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49867" w14:textId="77777777" w:rsidR="00892544" w:rsidRPr="00A52A6B" w:rsidRDefault="00892544" w:rsidP="00892544">
      <w:pPr>
        <w:spacing w:before="240" w:after="240" w:line="360" w:lineRule="auto"/>
        <w:jc w:val="center"/>
        <w:rPr>
          <w:rFonts w:ascii="Palatino Linotype" w:hAnsi="Palatino Linotype"/>
          <w:b/>
          <w:sz w:val="24"/>
          <w:lang w:val="es-ES_tradnl"/>
        </w:rPr>
      </w:pPr>
      <w:r w:rsidRPr="00A52A6B">
        <w:rPr>
          <w:rFonts w:ascii="Palatino Linotype" w:hAnsi="Palatino Linotype"/>
          <w:b/>
          <w:sz w:val="24"/>
          <w:lang w:val="es-ES_tradnl"/>
        </w:rPr>
        <w:t>RESUMEN DE LA RESOLUCIÓN</w:t>
      </w:r>
    </w:p>
    <w:p w14:paraId="49C76DA0" w14:textId="77777777" w:rsidR="00892544" w:rsidRPr="00A52A6B" w:rsidRDefault="00892544" w:rsidP="00892544">
      <w:pPr>
        <w:spacing w:before="240" w:after="240" w:line="360" w:lineRule="auto"/>
        <w:jc w:val="both"/>
        <w:rPr>
          <w:rFonts w:ascii="Palatino Linotype" w:hAnsi="Palatino Linotype"/>
          <w:sz w:val="24"/>
          <w:lang w:val="es-ES_tradnl"/>
        </w:rPr>
      </w:pPr>
      <w:bookmarkStart w:id="0" w:name="_Toc476570283"/>
      <w:r w:rsidRPr="00A52A6B">
        <w:rPr>
          <w:rFonts w:ascii="Palatino Linotype" w:hAnsi="Palatino Linotype"/>
          <w:sz w:val="24"/>
          <w:lang w:val="es-ES_tradnl"/>
        </w:rPr>
        <w:t>El artículo 160 de la Ley General Transparencia y Acceso a la Información Pública, delimita de manera categórica, que el recurso de inconformidad únicamente procede en contra de las resoluciones que confirmen o modifiquen la clasificación de la información, así como en los casos en que se confirme la inexistencia, o bien ante la falta de emisión de la resolución de los organismos garantes en los plazos previstos, contextos que resultan, puntuales, precisos y contundentes, por lo que no dan oportunidad a interpretar que se quiso decir.</w:t>
      </w:r>
    </w:p>
    <w:p w14:paraId="02C57489" w14:textId="77777777" w:rsidR="00892544" w:rsidRPr="00A52A6B" w:rsidRDefault="00892544" w:rsidP="00892544">
      <w:pPr>
        <w:spacing w:before="240" w:after="240" w:line="360" w:lineRule="auto"/>
        <w:jc w:val="both"/>
        <w:rPr>
          <w:rFonts w:ascii="Palatino Linotype" w:hAnsi="Palatino Linotype"/>
          <w:sz w:val="24"/>
          <w:lang w:val="es-ES_tradnl"/>
        </w:rPr>
      </w:pPr>
      <w:r w:rsidRPr="00A52A6B">
        <w:rPr>
          <w:rFonts w:ascii="Palatino Linotype" w:hAnsi="Palatino Linotype"/>
          <w:sz w:val="24"/>
          <w:lang w:val="es-ES_tradnl"/>
        </w:rPr>
        <w:t>Resulta evidente, incuestionable e indiscutible que la resolución recurrida, dictada por este Órgano Garante en fecha treinta (30) de septiembre de dos mil veinte, en el recurso de revisión 02758/INFOEM/IP/RR/2020 y Acumulados, no implica ninguno de los supuestos anteriores, por lo que al estar evidenciado que no se colmaban los supuestos necesarios para la procedencia, puede afectarse el principio de legalidad; principio fundamental, conforme al cual todo ejercicio de un poder público debe realizarse acorde a la ley vigente y su jurisdicción y no a la voluntad de las personas.</w:t>
      </w:r>
    </w:p>
    <w:p w14:paraId="6C146457" w14:textId="77777777" w:rsidR="00892544" w:rsidRPr="00A52A6B" w:rsidRDefault="00892544" w:rsidP="00892544">
      <w:pPr>
        <w:spacing w:before="240" w:after="240" w:line="360" w:lineRule="auto"/>
        <w:jc w:val="both"/>
        <w:rPr>
          <w:rFonts w:ascii="Palatino Linotype" w:hAnsi="Palatino Linotype"/>
          <w:sz w:val="24"/>
          <w:lang w:val="es-ES_tradnl"/>
        </w:rPr>
      </w:pPr>
      <w:r w:rsidRPr="00A52A6B">
        <w:rPr>
          <w:rFonts w:ascii="Palatino Linotype" w:hAnsi="Palatino Linotype"/>
          <w:sz w:val="24"/>
          <w:lang w:val="es-ES_tradnl"/>
        </w:rPr>
        <w:t xml:space="preserve">El recurso de inconformidad nace como un medio de impugnación efectivo, sencillo y rápido, para remediar o impedir prácticas que limitan el ejercicio efectivo del derecho de acceso a la información; no obstante la resolución al recurso de inconformidad </w:t>
      </w:r>
      <w:r w:rsidR="00042E80" w:rsidRPr="00A52A6B">
        <w:rPr>
          <w:rFonts w:ascii="Palatino Linotype" w:hAnsi="Palatino Linotype"/>
          <w:sz w:val="24"/>
          <w:lang w:val="es-ES_tradnl"/>
        </w:rPr>
        <w:t>00148</w:t>
      </w:r>
      <w:r w:rsidRPr="00A52A6B">
        <w:rPr>
          <w:rFonts w:ascii="Palatino Linotype" w:hAnsi="Palatino Linotype"/>
          <w:sz w:val="24"/>
          <w:lang w:val="es-ES_tradnl"/>
        </w:rPr>
        <w:t xml:space="preserve">/20, instruye a este Instituto para que emita una nueva </w:t>
      </w:r>
      <w:r w:rsidRPr="00A52A6B">
        <w:rPr>
          <w:rFonts w:ascii="Palatino Linotype" w:hAnsi="Palatino Linotype"/>
          <w:sz w:val="24"/>
          <w:lang w:val="es-ES_tradnl"/>
        </w:rPr>
        <w:lastRenderedPageBreak/>
        <w:t>resolución en la que ordene al Sujeto Obligado</w:t>
      </w:r>
      <w:r w:rsidR="00A94988" w:rsidRPr="00A52A6B">
        <w:rPr>
          <w:rFonts w:ascii="Palatino Linotype" w:hAnsi="Palatino Linotype"/>
          <w:sz w:val="24"/>
          <w:lang w:val="es-ES_tradnl"/>
        </w:rPr>
        <w:t>:</w:t>
      </w:r>
      <w:r w:rsidRPr="00A52A6B">
        <w:rPr>
          <w:rFonts w:ascii="Palatino Linotype" w:hAnsi="Palatino Linotype"/>
          <w:sz w:val="24"/>
          <w:lang w:val="es-ES_tradnl"/>
        </w:rPr>
        <w:t xml:space="preserve"> </w:t>
      </w:r>
      <w:r w:rsidR="00A94988" w:rsidRPr="00A52A6B">
        <w:rPr>
          <w:rFonts w:ascii="Palatino Linotype" w:hAnsi="Palatino Linotype"/>
          <w:b/>
          <w:sz w:val="24"/>
          <w:lang w:val="es-ES_tradnl"/>
        </w:rPr>
        <w:t>1.</w:t>
      </w:r>
      <w:r w:rsidR="00A94988" w:rsidRPr="00A52A6B">
        <w:rPr>
          <w:rFonts w:ascii="Palatino Linotype" w:hAnsi="Palatino Linotype"/>
          <w:sz w:val="24"/>
          <w:lang w:val="es-ES_tradnl"/>
        </w:rPr>
        <w:t xml:space="preserve"> </w:t>
      </w:r>
      <w:r w:rsidR="00042E80" w:rsidRPr="00A52A6B">
        <w:rPr>
          <w:rFonts w:ascii="Palatino Linotype" w:hAnsi="Palatino Linotype"/>
          <w:sz w:val="24"/>
        </w:rPr>
        <w:t xml:space="preserve">La </w:t>
      </w:r>
      <w:proofErr w:type="spellStart"/>
      <w:r w:rsidR="00042E80" w:rsidRPr="00A52A6B">
        <w:rPr>
          <w:rFonts w:ascii="Palatino Linotype" w:hAnsi="Palatino Linotype"/>
          <w:sz w:val="24"/>
        </w:rPr>
        <w:t>información</w:t>
      </w:r>
      <w:proofErr w:type="spellEnd"/>
      <w:r w:rsidR="00042E80" w:rsidRPr="00A52A6B">
        <w:rPr>
          <w:rFonts w:ascii="Palatino Linotype" w:hAnsi="Palatino Linotype"/>
          <w:sz w:val="24"/>
        </w:rPr>
        <w:t xml:space="preserve"> de los programas de subsidios, </w:t>
      </w:r>
      <w:r w:rsidR="00A52A6B" w:rsidRPr="00A52A6B">
        <w:rPr>
          <w:rFonts w:ascii="Palatino Linotype" w:hAnsi="Palatino Linotype"/>
          <w:sz w:val="24"/>
        </w:rPr>
        <w:t>estímulos</w:t>
      </w:r>
      <w:r w:rsidR="00042E80" w:rsidRPr="00A52A6B">
        <w:rPr>
          <w:rFonts w:ascii="Palatino Linotype" w:hAnsi="Palatino Linotype"/>
          <w:sz w:val="24"/>
        </w:rPr>
        <w:t xml:space="preserve"> y apoyos del ayuntamiento otorgados por la </w:t>
      </w:r>
      <w:proofErr w:type="spellStart"/>
      <w:r w:rsidR="00042E80" w:rsidRPr="00A52A6B">
        <w:rPr>
          <w:rFonts w:ascii="Palatino Linotype" w:hAnsi="Palatino Linotype"/>
          <w:sz w:val="24"/>
        </w:rPr>
        <w:t>Dirección</w:t>
      </w:r>
      <w:proofErr w:type="spellEnd"/>
      <w:r w:rsidR="00042E80" w:rsidRPr="00A52A6B">
        <w:rPr>
          <w:rFonts w:ascii="Palatino Linotype" w:hAnsi="Palatino Linotype"/>
          <w:sz w:val="24"/>
        </w:rPr>
        <w:t xml:space="preserve"> de Desarrollo Social y/o por cualquier dependencia del sector ayuntamiento, así como la </w:t>
      </w:r>
      <w:r w:rsidR="00A52A6B" w:rsidRPr="00A52A6B">
        <w:rPr>
          <w:rFonts w:ascii="Palatino Linotype" w:hAnsi="Palatino Linotype"/>
          <w:sz w:val="24"/>
        </w:rPr>
        <w:t>información</w:t>
      </w:r>
      <w:r w:rsidR="00042E80" w:rsidRPr="00A52A6B">
        <w:rPr>
          <w:rFonts w:ascii="Palatino Linotype" w:hAnsi="Palatino Linotype"/>
          <w:sz w:val="24"/>
        </w:rPr>
        <w:t xml:space="preserve"> de los programas de subsidios, </w:t>
      </w:r>
      <w:r w:rsidR="00A52A6B" w:rsidRPr="00A52A6B">
        <w:rPr>
          <w:rFonts w:ascii="Palatino Linotype" w:hAnsi="Palatino Linotype"/>
          <w:sz w:val="24"/>
        </w:rPr>
        <w:t>estímulos</w:t>
      </w:r>
      <w:r w:rsidR="00042E80" w:rsidRPr="00A52A6B">
        <w:rPr>
          <w:rFonts w:ascii="Palatino Linotype" w:hAnsi="Palatino Linotype"/>
          <w:sz w:val="24"/>
        </w:rPr>
        <w:t xml:space="preserve"> y apoyos del sistema municipal DIF, durante el </w:t>
      </w:r>
      <w:proofErr w:type="spellStart"/>
      <w:r w:rsidR="00042E80" w:rsidRPr="00A52A6B">
        <w:rPr>
          <w:rFonts w:ascii="Palatino Linotype" w:hAnsi="Palatino Linotype"/>
          <w:sz w:val="24"/>
        </w:rPr>
        <w:t>año</w:t>
      </w:r>
      <w:proofErr w:type="spellEnd"/>
      <w:r w:rsidR="00042E80" w:rsidRPr="00A52A6B">
        <w:rPr>
          <w:rFonts w:ascii="Palatino Linotype" w:hAnsi="Palatino Linotype"/>
          <w:sz w:val="24"/>
        </w:rPr>
        <w:t xml:space="preserve"> dos mil diecinueve, en el que se </w:t>
      </w:r>
      <w:proofErr w:type="spellStart"/>
      <w:r w:rsidR="00042E80" w:rsidRPr="00A52A6B">
        <w:rPr>
          <w:rFonts w:ascii="Palatino Linotype" w:hAnsi="Palatino Linotype"/>
          <w:sz w:val="24"/>
        </w:rPr>
        <w:t>debera</w:t>
      </w:r>
      <w:proofErr w:type="spellEnd"/>
      <w:r w:rsidR="00042E80" w:rsidRPr="00A52A6B">
        <w:rPr>
          <w:rFonts w:ascii="Palatino Linotype" w:hAnsi="Palatino Linotype"/>
          <w:sz w:val="24"/>
        </w:rPr>
        <w:t xml:space="preserve">́ informar respecto de los programas de transferencia, de servicios, de infraestructura social y de subsidio, en los que se </w:t>
      </w:r>
      <w:proofErr w:type="spellStart"/>
      <w:r w:rsidR="00042E80" w:rsidRPr="00A52A6B">
        <w:rPr>
          <w:rFonts w:ascii="Palatino Linotype" w:hAnsi="Palatino Linotype"/>
          <w:sz w:val="24"/>
        </w:rPr>
        <w:t>debera</w:t>
      </w:r>
      <w:proofErr w:type="spellEnd"/>
      <w:r w:rsidR="00042E80" w:rsidRPr="00A52A6B">
        <w:rPr>
          <w:rFonts w:ascii="Palatino Linotype" w:hAnsi="Palatino Linotype"/>
          <w:sz w:val="24"/>
        </w:rPr>
        <w:t xml:space="preserve">́ contener el a) </w:t>
      </w:r>
      <w:proofErr w:type="spellStart"/>
      <w:r w:rsidR="00042E80" w:rsidRPr="00A52A6B">
        <w:rPr>
          <w:rFonts w:ascii="Palatino Linotype" w:hAnsi="Palatino Linotype"/>
          <w:sz w:val="24"/>
        </w:rPr>
        <w:t>área</w:t>
      </w:r>
      <w:proofErr w:type="spellEnd"/>
      <w:r w:rsidR="00042E80" w:rsidRPr="00A52A6B">
        <w:rPr>
          <w:rFonts w:ascii="Palatino Linotype" w:hAnsi="Palatino Linotype"/>
          <w:sz w:val="24"/>
        </w:rPr>
        <w:t xml:space="preserve">; b) </w:t>
      </w:r>
      <w:proofErr w:type="spellStart"/>
      <w:r w:rsidR="00042E80" w:rsidRPr="00A52A6B">
        <w:rPr>
          <w:rFonts w:ascii="Palatino Linotype" w:hAnsi="Palatino Linotype"/>
          <w:sz w:val="24"/>
        </w:rPr>
        <w:t>denominación</w:t>
      </w:r>
      <w:proofErr w:type="spellEnd"/>
      <w:r w:rsidR="00042E80" w:rsidRPr="00A52A6B">
        <w:rPr>
          <w:rFonts w:ascii="Palatino Linotype" w:hAnsi="Palatino Linotype"/>
          <w:sz w:val="24"/>
        </w:rPr>
        <w:t xml:space="preserve"> del programa; c) periodo de vigencia; d) </w:t>
      </w:r>
      <w:proofErr w:type="spellStart"/>
      <w:r w:rsidR="00042E80" w:rsidRPr="00A52A6B">
        <w:rPr>
          <w:rFonts w:ascii="Palatino Linotype" w:hAnsi="Palatino Linotype"/>
          <w:sz w:val="24"/>
        </w:rPr>
        <w:t>diseño</w:t>
      </w:r>
      <w:proofErr w:type="spellEnd"/>
      <w:r w:rsidR="00042E80" w:rsidRPr="00A52A6B">
        <w:rPr>
          <w:rFonts w:ascii="Palatino Linotype" w:hAnsi="Palatino Linotype"/>
          <w:sz w:val="24"/>
        </w:rPr>
        <w:t xml:space="preserve">, objetivos y alcances; e) metas </w:t>
      </w:r>
      <w:proofErr w:type="spellStart"/>
      <w:r w:rsidR="00042E80" w:rsidRPr="00A52A6B">
        <w:rPr>
          <w:rFonts w:ascii="Palatino Linotype" w:hAnsi="Palatino Linotype"/>
          <w:sz w:val="24"/>
        </w:rPr>
        <w:t>físicas</w:t>
      </w:r>
      <w:proofErr w:type="spellEnd"/>
      <w:r w:rsidR="00042E80" w:rsidRPr="00A52A6B">
        <w:rPr>
          <w:rFonts w:ascii="Palatino Linotype" w:hAnsi="Palatino Linotype"/>
          <w:sz w:val="24"/>
        </w:rPr>
        <w:t xml:space="preserve">; f) </w:t>
      </w:r>
      <w:proofErr w:type="spellStart"/>
      <w:r w:rsidR="00042E80" w:rsidRPr="00A52A6B">
        <w:rPr>
          <w:rFonts w:ascii="Palatino Linotype" w:hAnsi="Palatino Linotype"/>
          <w:sz w:val="24"/>
        </w:rPr>
        <w:t>población</w:t>
      </w:r>
      <w:proofErr w:type="spellEnd"/>
      <w:r w:rsidR="00042E80" w:rsidRPr="00A52A6B">
        <w:rPr>
          <w:rFonts w:ascii="Palatino Linotype" w:hAnsi="Palatino Linotype"/>
          <w:sz w:val="24"/>
        </w:rPr>
        <w:t xml:space="preserve"> beneficiada estimada; g) monto aprobado, modificado y ejercido, </w:t>
      </w:r>
      <w:proofErr w:type="spellStart"/>
      <w:r w:rsidR="00042E80" w:rsidRPr="00A52A6B">
        <w:rPr>
          <w:rFonts w:ascii="Palatino Linotype" w:hAnsi="Palatino Linotype"/>
          <w:sz w:val="24"/>
        </w:rPr>
        <w:t>asi</w:t>
      </w:r>
      <w:proofErr w:type="spellEnd"/>
      <w:r w:rsidR="00042E80" w:rsidRPr="00A52A6B">
        <w:rPr>
          <w:rFonts w:ascii="Palatino Linotype" w:hAnsi="Palatino Linotype"/>
          <w:sz w:val="24"/>
        </w:rPr>
        <w:t xml:space="preserve">́ como los calendarios de su </w:t>
      </w:r>
      <w:proofErr w:type="spellStart"/>
      <w:r w:rsidR="00042E80" w:rsidRPr="00A52A6B">
        <w:rPr>
          <w:rFonts w:ascii="Palatino Linotype" w:hAnsi="Palatino Linotype"/>
          <w:sz w:val="24"/>
        </w:rPr>
        <w:t>programación</w:t>
      </w:r>
      <w:proofErr w:type="spellEnd"/>
      <w:r w:rsidR="00042E80" w:rsidRPr="00A52A6B">
        <w:rPr>
          <w:rFonts w:ascii="Palatino Linotype" w:hAnsi="Palatino Linotype"/>
          <w:sz w:val="24"/>
        </w:rPr>
        <w:t xml:space="preserve"> presupuestal; h) requisitos y procedimientos de acceso; i) procedimiento de queja o inconformidad ciudadana; j) mecanismos de exigibilidad; k) mecanismos e informes de </w:t>
      </w:r>
      <w:proofErr w:type="spellStart"/>
      <w:r w:rsidR="00042E80" w:rsidRPr="00A52A6B">
        <w:rPr>
          <w:rFonts w:ascii="Palatino Linotype" w:hAnsi="Palatino Linotype"/>
          <w:sz w:val="24"/>
        </w:rPr>
        <w:t>evaluación</w:t>
      </w:r>
      <w:proofErr w:type="spellEnd"/>
      <w:r w:rsidR="00042E80" w:rsidRPr="00A52A6B">
        <w:rPr>
          <w:rFonts w:ascii="Palatino Linotype" w:hAnsi="Palatino Linotype"/>
          <w:sz w:val="24"/>
        </w:rPr>
        <w:t xml:space="preserve"> y seguimiento de recomendaciones; l) indicadores con nombre, </w:t>
      </w:r>
      <w:proofErr w:type="spellStart"/>
      <w:r w:rsidR="00042E80" w:rsidRPr="00A52A6B">
        <w:rPr>
          <w:rFonts w:ascii="Palatino Linotype" w:hAnsi="Palatino Linotype"/>
          <w:sz w:val="24"/>
        </w:rPr>
        <w:t>definición</w:t>
      </w:r>
      <w:proofErr w:type="spellEnd"/>
      <w:r w:rsidR="00042E80" w:rsidRPr="00A52A6B">
        <w:rPr>
          <w:rFonts w:ascii="Palatino Linotype" w:hAnsi="Palatino Linotype"/>
          <w:sz w:val="24"/>
        </w:rPr>
        <w:t xml:space="preserve">, método de </w:t>
      </w:r>
      <w:proofErr w:type="spellStart"/>
      <w:r w:rsidR="00042E80" w:rsidRPr="00A52A6B">
        <w:rPr>
          <w:rFonts w:ascii="Palatino Linotype" w:hAnsi="Palatino Linotype"/>
          <w:sz w:val="24"/>
        </w:rPr>
        <w:t>cálculo</w:t>
      </w:r>
      <w:proofErr w:type="spellEnd"/>
      <w:r w:rsidR="00042E80" w:rsidRPr="00A52A6B">
        <w:rPr>
          <w:rFonts w:ascii="Palatino Linotype" w:hAnsi="Palatino Linotype"/>
          <w:sz w:val="24"/>
        </w:rPr>
        <w:t xml:space="preserve">, unidad de medida; </w:t>
      </w:r>
      <w:proofErr w:type="spellStart"/>
      <w:r w:rsidR="00042E80" w:rsidRPr="00A52A6B">
        <w:rPr>
          <w:rFonts w:ascii="Palatino Linotype" w:hAnsi="Palatino Linotype"/>
          <w:sz w:val="24"/>
        </w:rPr>
        <w:t>dimensión</w:t>
      </w:r>
      <w:proofErr w:type="spellEnd"/>
      <w:r w:rsidR="00042E80" w:rsidRPr="00A52A6B">
        <w:rPr>
          <w:rFonts w:ascii="Palatino Linotype" w:hAnsi="Palatino Linotype"/>
          <w:sz w:val="24"/>
        </w:rPr>
        <w:t xml:space="preserve">, frecuencia de </w:t>
      </w:r>
      <w:proofErr w:type="spellStart"/>
      <w:r w:rsidR="00042E80" w:rsidRPr="00A52A6B">
        <w:rPr>
          <w:rFonts w:ascii="Palatino Linotype" w:hAnsi="Palatino Linotype"/>
          <w:sz w:val="24"/>
        </w:rPr>
        <w:t>medición</w:t>
      </w:r>
      <w:proofErr w:type="spellEnd"/>
      <w:r w:rsidR="00042E80" w:rsidRPr="00A52A6B">
        <w:rPr>
          <w:rFonts w:ascii="Palatino Linotype" w:hAnsi="Palatino Linotype"/>
          <w:sz w:val="24"/>
        </w:rPr>
        <w:t xml:space="preserve">, nombre de las bases de datos utilizadas para su </w:t>
      </w:r>
      <w:proofErr w:type="spellStart"/>
      <w:r w:rsidR="00042E80" w:rsidRPr="00A52A6B">
        <w:rPr>
          <w:rFonts w:ascii="Palatino Linotype" w:hAnsi="Palatino Linotype"/>
          <w:sz w:val="24"/>
        </w:rPr>
        <w:t>cálculo</w:t>
      </w:r>
      <w:proofErr w:type="spellEnd"/>
      <w:r w:rsidR="00042E80" w:rsidRPr="00A52A6B">
        <w:rPr>
          <w:rFonts w:ascii="Palatino Linotype" w:hAnsi="Palatino Linotype"/>
          <w:sz w:val="24"/>
        </w:rPr>
        <w:t xml:space="preserve">; m)formas de </w:t>
      </w:r>
      <w:proofErr w:type="spellStart"/>
      <w:r w:rsidR="00042E80" w:rsidRPr="00A52A6B">
        <w:rPr>
          <w:rFonts w:ascii="Palatino Linotype" w:hAnsi="Palatino Linotype"/>
          <w:sz w:val="24"/>
        </w:rPr>
        <w:t>participación</w:t>
      </w:r>
      <w:proofErr w:type="spellEnd"/>
      <w:r w:rsidR="00042E80" w:rsidRPr="00A52A6B">
        <w:rPr>
          <w:rFonts w:ascii="Palatino Linotype" w:hAnsi="Palatino Linotype"/>
          <w:sz w:val="24"/>
        </w:rPr>
        <w:t xml:space="preserve"> social; n) </w:t>
      </w:r>
      <w:proofErr w:type="spellStart"/>
      <w:r w:rsidR="00042E80" w:rsidRPr="00A52A6B">
        <w:rPr>
          <w:rFonts w:ascii="Palatino Linotype" w:hAnsi="Palatino Linotype"/>
          <w:sz w:val="24"/>
        </w:rPr>
        <w:t>articulación</w:t>
      </w:r>
      <w:proofErr w:type="spellEnd"/>
      <w:r w:rsidR="00042E80" w:rsidRPr="00A52A6B">
        <w:rPr>
          <w:rFonts w:ascii="Palatino Linotype" w:hAnsi="Palatino Linotype"/>
          <w:sz w:val="24"/>
        </w:rPr>
        <w:t xml:space="preserve"> con otros programas sociales; ñ) </w:t>
      </w:r>
      <w:proofErr w:type="spellStart"/>
      <w:r w:rsidR="00042E80" w:rsidRPr="00A52A6B">
        <w:rPr>
          <w:rFonts w:ascii="Palatino Linotype" w:hAnsi="Palatino Linotype"/>
          <w:sz w:val="24"/>
        </w:rPr>
        <w:t>vínculo</w:t>
      </w:r>
      <w:proofErr w:type="spellEnd"/>
      <w:r w:rsidR="00042E80" w:rsidRPr="00A52A6B">
        <w:rPr>
          <w:rFonts w:ascii="Palatino Linotype" w:hAnsi="Palatino Linotype"/>
          <w:sz w:val="24"/>
        </w:rPr>
        <w:t xml:space="preserve"> a las reglas de </w:t>
      </w:r>
      <w:proofErr w:type="spellStart"/>
      <w:r w:rsidR="00042E80" w:rsidRPr="00A52A6B">
        <w:rPr>
          <w:rFonts w:ascii="Palatino Linotype" w:hAnsi="Palatino Linotype"/>
          <w:sz w:val="24"/>
        </w:rPr>
        <w:t>operación</w:t>
      </w:r>
      <w:proofErr w:type="spellEnd"/>
      <w:r w:rsidR="00042E80" w:rsidRPr="00A52A6B">
        <w:rPr>
          <w:rFonts w:ascii="Palatino Linotype" w:hAnsi="Palatino Linotype"/>
          <w:sz w:val="24"/>
        </w:rPr>
        <w:t xml:space="preserve"> o documento equivalente; o) informes </w:t>
      </w:r>
      <w:proofErr w:type="spellStart"/>
      <w:r w:rsidR="00042E80" w:rsidRPr="00A52A6B">
        <w:rPr>
          <w:rFonts w:ascii="Palatino Linotype" w:hAnsi="Palatino Linotype"/>
          <w:sz w:val="24"/>
        </w:rPr>
        <w:t>periódicos</w:t>
      </w:r>
      <w:proofErr w:type="spellEnd"/>
      <w:r w:rsidR="00042E80" w:rsidRPr="00A52A6B">
        <w:rPr>
          <w:rFonts w:ascii="Palatino Linotype" w:hAnsi="Palatino Linotype"/>
          <w:sz w:val="24"/>
        </w:rPr>
        <w:t xml:space="preserve"> sobre la </w:t>
      </w:r>
      <w:proofErr w:type="spellStart"/>
      <w:r w:rsidR="00042E80" w:rsidRPr="00A52A6B">
        <w:rPr>
          <w:rFonts w:ascii="Palatino Linotype" w:hAnsi="Palatino Linotype"/>
          <w:sz w:val="24"/>
        </w:rPr>
        <w:t>ejecución</w:t>
      </w:r>
      <w:proofErr w:type="spellEnd"/>
      <w:r w:rsidR="00042E80" w:rsidRPr="00A52A6B">
        <w:rPr>
          <w:rFonts w:ascii="Palatino Linotype" w:hAnsi="Palatino Linotype"/>
          <w:sz w:val="24"/>
        </w:rPr>
        <w:t xml:space="preserve"> y los resultados de las evaluaciones realizadas; y p) </w:t>
      </w:r>
      <w:proofErr w:type="spellStart"/>
      <w:r w:rsidR="00042E80" w:rsidRPr="00A52A6B">
        <w:rPr>
          <w:rFonts w:ascii="Palatino Linotype" w:hAnsi="Palatino Linotype"/>
          <w:sz w:val="24"/>
        </w:rPr>
        <w:t>padrón</w:t>
      </w:r>
      <w:proofErr w:type="spellEnd"/>
      <w:r w:rsidR="00042E80" w:rsidRPr="00A52A6B">
        <w:rPr>
          <w:rFonts w:ascii="Palatino Linotype" w:hAnsi="Palatino Linotype"/>
          <w:sz w:val="24"/>
        </w:rPr>
        <w:t xml:space="preserve"> de beneficiarios mismo que </w:t>
      </w:r>
      <w:proofErr w:type="spellStart"/>
      <w:r w:rsidR="00042E80" w:rsidRPr="00A52A6B">
        <w:rPr>
          <w:rFonts w:ascii="Palatino Linotype" w:hAnsi="Palatino Linotype"/>
          <w:sz w:val="24"/>
        </w:rPr>
        <w:t>debera</w:t>
      </w:r>
      <w:proofErr w:type="spellEnd"/>
      <w:r w:rsidR="00042E80" w:rsidRPr="00A52A6B">
        <w:rPr>
          <w:rFonts w:ascii="Palatino Linotype" w:hAnsi="Palatino Linotype"/>
          <w:sz w:val="24"/>
        </w:rPr>
        <w:t xml:space="preserve">́ contener los siguientes datos: nombre de la persona </w:t>
      </w:r>
      <w:proofErr w:type="spellStart"/>
      <w:r w:rsidR="00042E80" w:rsidRPr="00A52A6B">
        <w:rPr>
          <w:rFonts w:ascii="Palatino Linotype" w:hAnsi="Palatino Linotype"/>
          <w:sz w:val="24"/>
        </w:rPr>
        <w:t>física</w:t>
      </w:r>
      <w:proofErr w:type="spellEnd"/>
      <w:r w:rsidR="00042E80" w:rsidRPr="00A52A6B">
        <w:rPr>
          <w:rFonts w:ascii="Palatino Linotype" w:hAnsi="Palatino Linotype"/>
          <w:sz w:val="24"/>
        </w:rPr>
        <w:t xml:space="preserve"> o </w:t>
      </w:r>
      <w:proofErr w:type="spellStart"/>
      <w:r w:rsidR="00042E80" w:rsidRPr="00A52A6B">
        <w:rPr>
          <w:rFonts w:ascii="Palatino Linotype" w:hAnsi="Palatino Linotype"/>
          <w:sz w:val="24"/>
        </w:rPr>
        <w:t>denominación</w:t>
      </w:r>
      <w:proofErr w:type="spellEnd"/>
      <w:r w:rsidR="00042E80" w:rsidRPr="00A52A6B">
        <w:rPr>
          <w:rFonts w:ascii="Palatino Linotype" w:hAnsi="Palatino Linotype"/>
          <w:sz w:val="24"/>
        </w:rPr>
        <w:t xml:space="preserve"> social de las personas </w:t>
      </w:r>
      <w:proofErr w:type="spellStart"/>
      <w:r w:rsidR="00042E80" w:rsidRPr="00A52A6B">
        <w:rPr>
          <w:rFonts w:ascii="Palatino Linotype" w:hAnsi="Palatino Linotype"/>
          <w:sz w:val="24"/>
        </w:rPr>
        <w:t>jurídicas</w:t>
      </w:r>
      <w:proofErr w:type="spellEnd"/>
      <w:r w:rsidR="00042E80" w:rsidRPr="00A52A6B">
        <w:rPr>
          <w:rFonts w:ascii="Palatino Linotype" w:hAnsi="Palatino Linotype"/>
          <w:sz w:val="24"/>
        </w:rPr>
        <w:t xml:space="preserve"> colectivas beneficiadas, el monto, recurso, beneficio o apoyo otorgado para cada una de ellas, unidad territorial, en su caso, edad y sexo, constituye información pública de oficio conforme al artículo 92, fracción XIV de la Ley de Transparencia y Acceso </w:t>
      </w:r>
      <w:r w:rsidR="00042E80" w:rsidRPr="00A52A6B">
        <w:rPr>
          <w:rFonts w:ascii="Palatino Linotype" w:hAnsi="Palatino Linotype"/>
          <w:sz w:val="24"/>
        </w:rPr>
        <w:lastRenderedPageBreak/>
        <w:t>a la Información Pública del Estado de México y Municipios</w:t>
      </w:r>
      <w:r w:rsidR="00042E80" w:rsidRPr="00A52A6B">
        <w:rPr>
          <w:rFonts w:ascii="Palatino Linotype" w:hAnsi="Palatino Linotype"/>
          <w:b/>
          <w:sz w:val="24"/>
        </w:rPr>
        <w:t xml:space="preserve">; </w:t>
      </w:r>
      <w:r w:rsidR="00A94988" w:rsidRPr="00A52A6B">
        <w:rPr>
          <w:rFonts w:ascii="Palatino Linotype" w:hAnsi="Palatino Linotype"/>
          <w:b/>
          <w:sz w:val="24"/>
        </w:rPr>
        <w:t>2.</w:t>
      </w:r>
      <w:r w:rsidR="00A94988" w:rsidRPr="00A52A6B">
        <w:rPr>
          <w:rFonts w:ascii="Palatino Linotype" w:hAnsi="Palatino Linotype"/>
          <w:sz w:val="24"/>
        </w:rPr>
        <w:t xml:space="preserve"> </w:t>
      </w:r>
      <w:r w:rsidR="00042E80" w:rsidRPr="00A52A6B">
        <w:rPr>
          <w:rFonts w:ascii="Palatino Linotype" w:hAnsi="Palatino Linotype"/>
          <w:sz w:val="24"/>
        </w:rPr>
        <w:t xml:space="preserve">La </w:t>
      </w:r>
      <w:proofErr w:type="spellStart"/>
      <w:r w:rsidR="00042E80" w:rsidRPr="00A52A6B">
        <w:rPr>
          <w:rFonts w:ascii="Palatino Linotype" w:hAnsi="Palatino Linotype"/>
          <w:sz w:val="24"/>
        </w:rPr>
        <w:t>información</w:t>
      </w:r>
      <w:proofErr w:type="spellEnd"/>
      <w:r w:rsidR="00042E80" w:rsidRPr="00A52A6B">
        <w:rPr>
          <w:rFonts w:ascii="Palatino Linotype" w:hAnsi="Palatino Linotype"/>
          <w:sz w:val="24"/>
        </w:rPr>
        <w:t xml:space="preserve"> de los programas de subsidios, </w:t>
      </w:r>
      <w:proofErr w:type="spellStart"/>
      <w:r w:rsidR="00042E80" w:rsidRPr="00A52A6B">
        <w:rPr>
          <w:rFonts w:ascii="Palatino Linotype" w:hAnsi="Palatino Linotype"/>
          <w:sz w:val="24"/>
        </w:rPr>
        <w:t>estímulos</w:t>
      </w:r>
      <w:proofErr w:type="spellEnd"/>
      <w:r w:rsidR="00042E80" w:rsidRPr="00A52A6B">
        <w:rPr>
          <w:rFonts w:ascii="Palatino Linotype" w:hAnsi="Palatino Linotype"/>
          <w:sz w:val="24"/>
        </w:rPr>
        <w:t xml:space="preserve"> y apoyos otorgados por el ayuntamiento a través de cualquiera de sus </w:t>
      </w:r>
      <w:proofErr w:type="spellStart"/>
      <w:r w:rsidR="00042E80" w:rsidRPr="00A52A6B">
        <w:rPr>
          <w:rFonts w:ascii="Palatino Linotype" w:hAnsi="Palatino Linotype"/>
          <w:sz w:val="24"/>
        </w:rPr>
        <w:t>áreas</w:t>
      </w:r>
      <w:proofErr w:type="spellEnd"/>
      <w:r w:rsidR="00042E80" w:rsidRPr="00A52A6B">
        <w:rPr>
          <w:rFonts w:ascii="Palatino Linotype" w:hAnsi="Palatino Linotype"/>
          <w:sz w:val="24"/>
        </w:rPr>
        <w:t xml:space="preserve"> y/o el sistema municipal DIF, vinculados con los acuerdos de cabildo aprobados para transferir al DIF recursos municipales para otorgar apoyos diversos con motivo de la pandemia por </w:t>
      </w:r>
      <w:proofErr w:type="spellStart"/>
      <w:r w:rsidR="00042E80" w:rsidRPr="00A52A6B">
        <w:rPr>
          <w:rFonts w:ascii="Palatino Linotype" w:hAnsi="Palatino Linotype"/>
          <w:sz w:val="24"/>
        </w:rPr>
        <w:t>Covid</w:t>
      </w:r>
      <w:proofErr w:type="spellEnd"/>
      <w:r w:rsidR="00042E80" w:rsidRPr="00A52A6B">
        <w:rPr>
          <w:rFonts w:ascii="Palatino Linotype" w:hAnsi="Palatino Linotype"/>
          <w:sz w:val="24"/>
        </w:rPr>
        <w:t xml:space="preserve"> 19, en el que se </w:t>
      </w:r>
      <w:proofErr w:type="spellStart"/>
      <w:r w:rsidR="00042E80" w:rsidRPr="00A52A6B">
        <w:rPr>
          <w:rFonts w:ascii="Palatino Linotype" w:hAnsi="Palatino Linotype"/>
          <w:sz w:val="24"/>
        </w:rPr>
        <w:t>debera</w:t>
      </w:r>
      <w:proofErr w:type="spellEnd"/>
      <w:r w:rsidR="00042E80" w:rsidRPr="00A52A6B">
        <w:rPr>
          <w:rFonts w:ascii="Palatino Linotype" w:hAnsi="Palatino Linotype"/>
          <w:sz w:val="24"/>
        </w:rPr>
        <w:t xml:space="preserve">́ informar respecto de los programas de transferencia, de servicios, de infraestructura social y de subsidio, en los que se </w:t>
      </w:r>
      <w:proofErr w:type="spellStart"/>
      <w:r w:rsidR="00042E80" w:rsidRPr="00A52A6B">
        <w:rPr>
          <w:rFonts w:ascii="Palatino Linotype" w:hAnsi="Palatino Linotype"/>
          <w:sz w:val="24"/>
        </w:rPr>
        <w:t>debera</w:t>
      </w:r>
      <w:proofErr w:type="spellEnd"/>
      <w:r w:rsidR="00042E80" w:rsidRPr="00A52A6B">
        <w:rPr>
          <w:rFonts w:ascii="Palatino Linotype" w:hAnsi="Palatino Linotype"/>
          <w:sz w:val="24"/>
        </w:rPr>
        <w:t xml:space="preserve">́ contener el a) </w:t>
      </w:r>
      <w:proofErr w:type="spellStart"/>
      <w:r w:rsidR="00042E80" w:rsidRPr="00A52A6B">
        <w:rPr>
          <w:rFonts w:ascii="Palatino Linotype" w:hAnsi="Palatino Linotype"/>
          <w:sz w:val="24"/>
        </w:rPr>
        <w:t>área</w:t>
      </w:r>
      <w:proofErr w:type="spellEnd"/>
      <w:r w:rsidR="00042E80" w:rsidRPr="00A52A6B">
        <w:rPr>
          <w:rFonts w:ascii="Palatino Linotype" w:hAnsi="Palatino Linotype"/>
          <w:sz w:val="24"/>
        </w:rPr>
        <w:t xml:space="preserve">; b) </w:t>
      </w:r>
      <w:proofErr w:type="spellStart"/>
      <w:r w:rsidR="00042E80" w:rsidRPr="00A52A6B">
        <w:rPr>
          <w:rFonts w:ascii="Palatino Linotype" w:hAnsi="Palatino Linotype"/>
          <w:sz w:val="24"/>
        </w:rPr>
        <w:t>denominación</w:t>
      </w:r>
      <w:proofErr w:type="spellEnd"/>
      <w:r w:rsidR="00042E80" w:rsidRPr="00A52A6B">
        <w:rPr>
          <w:rFonts w:ascii="Palatino Linotype" w:hAnsi="Palatino Linotype"/>
          <w:sz w:val="24"/>
        </w:rPr>
        <w:t xml:space="preserve"> del programa; c) periodo de vigencia; d) </w:t>
      </w:r>
      <w:proofErr w:type="spellStart"/>
      <w:r w:rsidR="00042E80" w:rsidRPr="00A52A6B">
        <w:rPr>
          <w:rFonts w:ascii="Palatino Linotype" w:hAnsi="Palatino Linotype"/>
          <w:sz w:val="24"/>
        </w:rPr>
        <w:t>diseño</w:t>
      </w:r>
      <w:proofErr w:type="spellEnd"/>
      <w:r w:rsidR="00042E80" w:rsidRPr="00A52A6B">
        <w:rPr>
          <w:rFonts w:ascii="Palatino Linotype" w:hAnsi="Palatino Linotype"/>
          <w:sz w:val="24"/>
        </w:rPr>
        <w:t xml:space="preserve">, objetivos y alcances; e) metas </w:t>
      </w:r>
      <w:proofErr w:type="spellStart"/>
      <w:r w:rsidR="00042E80" w:rsidRPr="00A52A6B">
        <w:rPr>
          <w:rFonts w:ascii="Palatino Linotype" w:hAnsi="Palatino Linotype"/>
          <w:sz w:val="24"/>
        </w:rPr>
        <w:t>físicas</w:t>
      </w:r>
      <w:proofErr w:type="spellEnd"/>
      <w:r w:rsidR="00042E80" w:rsidRPr="00A52A6B">
        <w:rPr>
          <w:rFonts w:ascii="Palatino Linotype" w:hAnsi="Palatino Linotype"/>
          <w:sz w:val="24"/>
        </w:rPr>
        <w:t xml:space="preserve">; f) </w:t>
      </w:r>
      <w:proofErr w:type="spellStart"/>
      <w:r w:rsidR="00042E80" w:rsidRPr="00A52A6B">
        <w:rPr>
          <w:rFonts w:ascii="Palatino Linotype" w:hAnsi="Palatino Linotype"/>
          <w:sz w:val="24"/>
        </w:rPr>
        <w:t>población</w:t>
      </w:r>
      <w:proofErr w:type="spellEnd"/>
      <w:r w:rsidR="00042E80" w:rsidRPr="00A52A6B">
        <w:rPr>
          <w:rFonts w:ascii="Palatino Linotype" w:hAnsi="Palatino Linotype"/>
          <w:sz w:val="24"/>
        </w:rPr>
        <w:t xml:space="preserve"> beneficiada estimada; g) monto aprobado, modificado y ejercido, </w:t>
      </w:r>
      <w:proofErr w:type="spellStart"/>
      <w:r w:rsidR="00042E80" w:rsidRPr="00A52A6B">
        <w:rPr>
          <w:rFonts w:ascii="Palatino Linotype" w:hAnsi="Palatino Linotype"/>
          <w:sz w:val="24"/>
        </w:rPr>
        <w:t>asi</w:t>
      </w:r>
      <w:proofErr w:type="spellEnd"/>
      <w:r w:rsidR="00042E80" w:rsidRPr="00A52A6B">
        <w:rPr>
          <w:rFonts w:ascii="Palatino Linotype" w:hAnsi="Palatino Linotype"/>
          <w:sz w:val="24"/>
        </w:rPr>
        <w:t xml:space="preserve">́ como los calendarios de su </w:t>
      </w:r>
      <w:proofErr w:type="spellStart"/>
      <w:r w:rsidR="00042E80" w:rsidRPr="00A52A6B">
        <w:rPr>
          <w:rFonts w:ascii="Palatino Linotype" w:hAnsi="Palatino Linotype"/>
          <w:sz w:val="24"/>
        </w:rPr>
        <w:t>programación</w:t>
      </w:r>
      <w:proofErr w:type="spellEnd"/>
      <w:r w:rsidR="00042E80" w:rsidRPr="00A52A6B">
        <w:rPr>
          <w:rFonts w:ascii="Palatino Linotype" w:hAnsi="Palatino Linotype"/>
          <w:sz w:val="24"/>
        </w:rPr>
        <w:t xml:space="preserve"> presupuestal; h) requisitos y procedimientos de acceso; i) procedimiento de queja o inconformidad ciudadana; j) mecanismos de exigibilidad; k) mecanismos e informes de </w:t>
      </w:r>
      <w:proofErr w:type="spellStart"/>
      <w:r w:rsidR="00042E80" w:rsidRPr="00A52A6B">
        <w:rPr>
          <w:rFonts w:ascii="Palatino Linotype" w:hAnsi="Palatino Linotype"/>
          <w:sz w:val="24"/>
        </w:rPr>
        <w:t>evaluación</w:t>
      </w:r>
      <w:proofErr w:type="spellEnd"/>
      <w:r w:rsidR="00042E80" w:rsidRPr="00A52A6B">
        <w:rPr>
          <w:rFonts w:ascii="Palatino Linotype" w:hAnsi="Palatino Linotype"/>
          <w:sz w:val="24"/>
        </w:rPr>
        <w:t xml:space="preserve"> y seguimiento de recomendaciones; l) indicadores con nombre, </w:t>
      </w:r>
      <w:proofErr w:type="spellStart"/>
      <w:r w:rsidR="00042E80" w:rsidRPr="00A52A6B">
        <w:rPr>
          <w:rFonts w:ascii="Palatino Linotype" w:hAnsi="Palatino Linotype"/>
          <w:sz w:val="24"/>
        </w:rPr>
        <w:t>definición</w:t>
      </w:r>
      <w:proofErr w:type="spellEnd"/>
      <w:r w:rsidR="00042E80" w:rsidRPr="00A52A6B">
        <w:rPr>
          <w:rFonts w:ascii="Palatino Linotype" w:hAnsi="Palatino Linotype"/>
          <w:sz w:val="24"/>
        </w:rPr>
        <w:t xml:space="preserve">, método de </w:t>
      </w:r>
      <w:proofErr w:type="spellStart"/>
      <w:r w:rsidR="00042E80" w:rsidRPr="00A52A6B">
        <w:rPr>
          <w:rFonts w:ascii="Palatino Linotype" w:hAnsi="Palatino Linotype"/>
          <w:sz w:val="24"/>
        </w:rPr>
        <w:t>cálculo</w:t>
      </w:r>
      <w:proofErr w:type="spellEnd"/>
      <w:r w:rsidR="00042E80" w:rsidRPr="00A52A6B">
        <w:rPr>
          <w:rFonts w:ascii="Palatino Linotype" w:hAnsi="Palatino Linotype"/>
          <w:sz w:val="24"/>
        </w:rPr>
        <w:t xml:space="preserve">, unidad de medida; </w:t>
      </w:r>
      <w:proofErr w:type="spellStart"/>
      <w:r w:rsidR="00042E80" w:rsidRPr="00A52A6B">
        <w:rPr>
          <w:rFonts w:ascii="Palatino Linotype" w:hAnsi="Palatino Linotype"/>
          <w:sz w:val="24"/>
        </w:rPr>
        <w:t>dimensión</w:t>
      </w:r>
      <w:proofErr w:type="spellEnd"/>
      <w:r w:rsidR="00042E80" w:rsidRPr="00A52A6B">
        <w:rPr>
          <w:rFonts w:ascii="Palatino Linotype" w:hAnsi="Palatino Linotype"/>
          <w:sz w:val="24"/>
        </w:rPr>
        <w:t xml:space="preserve">, frecuencia de </w:t>
      </w:r>
      <w:proofErr w:type="spellStart"/>
      <w:r w:rsidR="00042E80" w:rsidRPr="00A52A6B">
        <w:rPr>
          <w:rFonts w:ascii="Palatino Linotype" w:hAnsi="Palatino Linotype"/>
          <w:sz w:val="24"/>
        </w:rPr>
        <w:t>medición</w:t>
      </w:r>
      <w:proofErr w:type="spellEnd"/>
      <w:r w:rsidR="00042E80" w:rsidRPr="00A52A6B">
        <w:rPr>
          <w:rFonts w:ascii="Palatino Linotype" w:hAnsi="Palatino Linotype"/>
          <w:sz w:val="24"/>
        </w:rPr>
        <w:t xml:space="preserve">, nombre de las bases de datos utilizadas para su </w:t>
      </w:r>
      <w:proofErr w:type="spellStart"/>
      <w:r w:rsidR="00042E80" w:rsidRPr="00A52A6B">
        <w:rPr>
          <w:rFonts w:ascii="Palatino Linotype" w:hAnsi="Palatino Linotype"/>
          <w:sz w:val="24"/>
        </w:rPr>
        <w:t>cálculo</w:t>
      </w:r>
      <w:proofErr w:type="spellEnd"/>
      <w:r w:rsidR="00042E80" w:rsidRPr="00A52A6B">
        <w:rPr>
          <w:rFonts w:ascii="Palatino Linotype" w:hAnsi="Palatino Linotype"/>
          <w:sz w:val="24"/>
        </w:rPr>
        <w:t xml:space="preserve">; m) formas de </w:t>
      </w:r>
      <w:proofErr w:type="spellStart"/>
      <w:r w:rsidR="00042E80" w:rsidRPr="00A52A6B">
        <w:rPr>
          <w:rFonts w:ascii="Palatino Linotype" w:hAnsi="Palatino Linotype"/>
          <w:sz w:val="24"/>
        </w:rPr>
        <w:t>participación</w:t>
      </w:r>
      <w:proofErr w:type="spellEnd"/>
      <w:r w:rsidR="00042E80" w:rsidRPr="00A52A6B">
        <w:rPr>
          <w:rFonts w:ascii="Palatino Linotype" w:hAnsi="Palatino Linotype"/>
          <w:sz w:val="24"/>
        </w:rPr>
        <w:t xml:space="preserve"> social; n) </w:t>
      </w:r>
      <w:proofErr w:type="spellStart"/>
      <w:r w:rsidR="00042E80" w:rsidRPr="00A52A6B">
        <w:rPr>
          <w:rFonts w:ascii="Palatino Linotype" w:hAnsi="Palatino Linotype"/>
          <w:sz w:val="24"/>
        </w:rPr>
        <w:t>articulación</w:t>
      </w:r>
      <w:proofErr w:type="spellEnd"/>
      <w:r w:rsidR="00042E80" w:rsidRPr="00A52A6B">
        <w:rPr>
          <w:rFonts w:ascii="Palatino Linotype" w:hAnsi="Palatino Linotype"/>
          <w:sz w:val="24"/>
        </w:rPr>
        <w:t xml:space="preserve"> con otros programas sociales; ñ) </w:t>
      </w:r>
      <w:proofErr w:type="spellStart"/>
      <w:r w:rsidR="00042E80" w:rsidRPr="00A52A6B">
        <w:rPr>
          <w:rFonts w:ascii="Palatino Linotype" w:hAnsi="Palatino Linotype"/>
          <w:sz w:val="24"/>
        </w:rPr>
        <w:t>vínculo</w:t>
      </w:r>
      <w:proofErr w:type="spellEnd"/>
      <w:r w:rsidR="00042E80" w:rsidRPr="00A52A6B">
        <w:rPr>
          <w:rFonts w:ascii="Palatino Linotype" w:hAnsi="Palatino Linotype"/>
          <w:sz w:val="24"/>
        </w:rPr>
        <w:t xml:space="preserve"> a las reglas de </w:t>
      </w:r>
      <w:proofErr w:type="spellStart"/>
      <w:r w:rsidR="00042E80" w:rsidRPr="00A52A6B">
        <w:rPr>
          <w:rFonts w:ascii="Palatino Linotype" w:hAnsi="Palatino Linotype"/>
          <w:sz w:val="24"/>
        </w:rPr>
        <w:t>operación</w:t>
      </w:r>
      <w:proofErr w:type="spellEnd"/>
      <w:r w:rsidR="00042E80" w:rsidRPr="00A52A6B">
        <w:rPr>
          <w:rFonts w:ascii="Palatino Linotype" w:hAnsi="Palatino Linotype"/>
          <w:sz w:val="24"/>
        </w:rPr>
        <w:t xml:space="preserve"> o documento equivalente; o) informes </w:t>
      </w:r>
      <w:proofErr w:type="spellStart"/>
      <w:r w:rsidR="00042E80" w:rsidRPr="00A52A6B">
        <w:rPr>
          <w:rFonts w:ascii="Palatino Linotype" w:hAnsi="Palatino Linotype"/>
          <w:sz w:val="24"/>
        </w:rPr>
        <w:t>periódicos</w:t>
      </w:r>
      <w:proofErr w:type="spellEnd"/>
      <w:r w:rsidR="00042E80" w:rsidRPr="00A52A6B">
        <w:rPr>
          <w:rFonts w:ascii="Palatino Linotype" w:hAnsi="Palatino Linotype"/>
          <w:sz w:val="24"/>
        </w:rPr>
        <w:t xml:space="preserve"> sobre la </w:t>
      </w:r>
      <w:proofErr w:type="spellStart"/>
      <w:r w:rsidR="00042E80" w:rsidRPr="00A52A6B">
        <w:rPr>
          <w:rFonts w:ascii="Palatino Linotype" w:hAnsi="Palatino Linotype"/>
          <w:sz w:val="24"/>
        </w:rPr>
        <w:t>ejecución</w:t>
      </w:r>
      <w:proofErr w:type="spellEnd"/>
      <w:r w:rsidR="00042E80" w:rsidRPr="00A52A6B">
        <w:rPr>
          <w:rFonts w:ascii="Palatino Linotype" w:hAnsi="Palatino Linotype"/>
          <w:sz w:val="24"/>
        </w:rPr>
        <w:t xml:space="preserve"> y los resultados de las evaluaciones realizadas; y p) </w:t>
      </w:r>
      <w:proofErr w:type="spellStart"/>
      <w:r w:rsidR="00042E80" w:rsidRPr="00A52A6B">
        <w:rPr>
          <w:rFonts w:ascii="Palatino Linotype" w:hAnsi="Palatino Linotype"/>
          <w:sz w:val="24"/>
        </w:rPr>
        <w:t>padrón</w:t>
      </w:r>
      <w:proofErr w:type="spellEnd"/>
      <w:r w:rsidR="00042E80" w:rsidRPr="00A52A6B">
        <w:rPr>
          <w:rFonts w:ascii="Palatino Linotype" w:hAnsi="Palatino Linotype"/>
          <w:sz w:val="24"/>
        </w:rPr>
        <w:t xml:space="preserve"> de beneficiarios mismo que </w:t>
      </w:r>
      <w:proofErr w:type="spellStart"/>
      <w:r w:rsidR="00042E80" w:rsidRPr="00A52A6B">
        <w:rPr>
          <w:rFonts w:ascii="Palatino Linotype" w:hAnsi="Palatino Linotype"/>
          <w:sz w:val="24"/>
        </w:rPr>
        <w:t>debera</w:t>
      </w:r>
      <w:proofErr w:type="spellEnd"/>
      <w:r w:rsidR="00042E80" w:rsidRPr="00A52A6B">
        <w:rPr>
          <w:rFonts w:ascii="Palatino Linotype" w:hAnsi="Palatino Linotype"/>
          <w:sz w:val="24"/>
        </w:rPr>
        <w:t xml:space="preserve">́ contener los siguientes datos: nombre de la persona </w:t>
      </w:r>
      <w:proofErr w:type="spellStart"/>
      <w:r w:rsidR="00042E80" w:rsidRPr="00A52A6B">
        <w:rPr>
          <w:rFonts w:ascii="Palatino Linotype" w:hAnsi="Palatino Linotype"/>
          <w:sz w:val="24"/>
        </w:rPr>
        <w:t>física</w:t>
      </w:r>
      <w:proofErr w:type="spellEnd"/>
      <w:r w:rsidR="00042E80" w:rsidRPr="00A52A6B">
        <w:rPr>
          <w:rFonts w:ascii="Palatino Linotype" w:hAnsi="Palatino Linotype"/>
          <w:sz w:val="24"/>
        </w:rPr>
        <w:t xml:space="preserve"> o </w:t>
      </w:r>
      <w:proofErr w:type="spellStart"/>
      <w:r w:rsidR="00042E80" w:rsidRPr="00A52A6B">
        <w:rPr>
          <w:rFonts w:ascii="Palatino Linotype" w:hAnsi="Palatino Linotype"/>
          <w:sz w:val="24"/>
        </w:rPr>
        <w:t>denominación</w:t>
      </w:r>
      <w:proofErr w:type="spellEnd"/>
      <w:r w:rsidR="00042E80" w:rsidRPr="00A52A6B">
        <w:rPr>
          <w:rFonts w:ascii="Palatino Linotype" w:hAnsi="Palatino Linotype"/>
          <w:sz w:val="24"/>
        </w:rPr>
        <w:t xml:space="preserve"> social de las personas </w:t>
      </w:r>
      <w:proofErr w:type="spellStart"/>
      <w:r w:rsidR="00042E80" w:rsidRPr="00A52A6B">
        <w:rPr>
          <w:rFonts w:ascii="Palatino Linotype" w:hAnsi="Palatino Linotype"/>
          <w:sz w:val="24"/>
        </w:rPr>
        <w:t>jurídicas</w:t>
      </w:r>
      <w:proofErr w:type="spellEnd"/>
      <w:r w:rsidR="00042E80" w:rsidRPr="00A52A6B">
        <w:rPr>
          <w:rFonts w:ascii="Palatino Linotype" w:hAnsi="Palatino Linotype"/>
          <w:sz w:val="24"/>
        </w:rPr>
        <w:t xml:space="preserve"> colectivas beneficiadas, el monto, recurso, beneficio o apoyo otorgado para cada una de ellas, unidad territorial, en su caso, edad y sexo, que constituye información pública de oficio conforme al artículo 92, fracción XIV de la </w:t>
      </w:r>
      <w:r w:rsidR="00042E80" w:rsidRPr="00A52A6B">
        <w:rPr>
          <w:rFonts w:ascii="Palatino Linotype" w:hAnsi="Palatino Linotype"/>
          <w:sz w:val="24"/>
        </w:rPr>
        <w:lastRenderedPageBreak/>
        <w:t xml:space="preserve">Ley de Transparencia y Acceso a la Información Pública del Estado de México y Municipios; </w:t>
      </w:r>
      <w:r w:rsidR="00A94988" w:rsidRPr="00A52A6B">
        <w:rPr>
          <w:rFonts w:ascii="Palatino Linotype" w:hAnsi="Palatino Linotype"/>
          <w:b/>
          <w:sz w:val="24"/>
        </w:rPr>
        <w:t>3.</w:t>
      </w:r>
      <w:r w:rsidR="00A94988" w:rsidRPr="00A52A6B">
        <w:rPr>
          <w:rFonts w:ascii="Palatino Linotype" w:hAnsi="Palatino Linotype"/>
          <w:sz w:val="24"/>
        </w:rPr>
        <w:t xml:space="preserve"> </w:t>
      </w:r>
      <w:r w:rsidR="00042E80" w:rsidRPr="00A52A6B">
        <w:rPr>
          <w:rFonts w:ascii="Palatino Linotype" w:hAnsi="Palatino Linotype"/>
          <w:sz w:val="24"/>
        </w:rPr>
        <w:t xml:space="preserve">La </w:t>
      </w:r>
      <w:proofErr w:type="spellStart"/>
      <w:r w:rsidR="00042E80" w:rsidRPr="00A52A6B">
        <w:rPr>
          <w:rFonts w:ascii="Palatino Linotype" w:hAnsi="Palatino Linotype"/>
          <w:sz w:val="24"/>
        </w:rPr>
        <w:t>relación</w:t>
      </w:r>
      <w:proofErr w:type="spellEnd"/>
      <w:r w:rsidR="00042E80" w:rsidRPr="00A52A6B">
        <w:rPr>
          <w:rFonts w:ascii="Palatino Linotype" w:hAnsi="Palatino Linotype"/>
          <w:sz w:val="24"/>
        </w:rPr>
        <w:t xml:space="preserve"> de contratistas beneficiados con la </w:t>
      </w:r>
      <w:proofErr w:type="spellStart"/>
      <w:r w:rsidR="00042E80" w:rsidRPr="00A52A6B">
        <w:rPr>
          <w:rFonts w:ascii="Palatino Linotype" w:hAnsi="Palatino Linotype"/>
          <w:sz w:val="24"/>
        </w:rPr>
        <w:t>adjudicación</w:t>
      </w:r>
      <w:proofErr w:type="spellEnd"/>
      <w:r w:rsidR="00042E80" w:rsidRPr="00A52A6B">
        <w:rPr>
          <w:rFonts w:ascii="Palatino Linotype" w:hAnsi="Palatino Linotype"/>
          <w:sz w:val="24"/>
        </w:rPr>
        <w:t xml:space="preserve"> de alguna obra durante el ejercicio dos mil diecinueve, incluyendo su nombre, </w:t>
      </w:r>
      <w:proofErr w:type="spellStart"/>
      <w:r w:rsidR="00042E80" w:rsidRPr="00A52A6B">
        <w:rPr>
          <w:rFonts w:ascii="Palatino Linotype" w:hAnsi="Palatino Linotype"/>
          <w:sz w:val="24"/>
        </w:rPr>
        <w:t>ubicación</w:t>
      </w:r>
      <w:proofErr w:type="spellEnd"/>
      <w:r w:rsidR="00042E80" w:rsidRPr="00A52A6B">
        <w:rPr>
          <w:rFonts w:ascii="Palatino Linotype" w:hAnsi="Palatino Linotype"/>
          <w:sz w:val="24"/>
        </w:rPr>
        <w:t xml:space="preserve"> y costo, que constituye información pública de oficio conforme al artículo 92, fracción XIV de la Ley de Transparencia y Acceso a la Información Pública del Estado de México y Municipios, que constituye información pública de oficio conforme al artículo 92, fracciones XXIX, inciso b, XXXI, XXXII y XXXVI de la Ley de Transparencia y Acceso a la Información Pública del Estado de México y Municipios; </w:t>
      </w:r>
      <w:r w:rsidR="00A94988" w:rsidRPr="00A52A6B">
        <w:rPr>
          <w:rFonts w:ascii="Palatino Linotype" w:hAnsi="Palatino Linotype"/>
          <w:b/>
          <w:sz w:val="24"/>
        </w:rPr>
        <w:t>4.</w:t>
      </w:r>
      <w:r w:rsidR="00A94988" w:rsidRPr="00A52A6B">
        <w:rPr>
          <w:rFonts w:ascii="Palatino Linotype" w:hAnsi="Palatino Linotype"/>
          <w:sz w:val="24"/>
        </w:rPr>
        <w:t xml:space="preserve"> </w:t>
      </w:r>
      <w:r w:rsidR="00042E80" w:rsidRPr="00A52A6B">
        <w:rPr>
          <w:rFonts w:ascii="Palatino Linotype" w:hAnsi="Palatino Linotype"/>
          <w:sz w:val="24"/>
        </w:rPr>
        <w:t xml:space="preserve">La </w:t>
      </w:r>
      <w:proofErr w:type="spellStart"/>
      <w:r w:rsidR="00042E80" w:rsidRPr="00A52A6B">
        <w:rPr>
          <w:rFonts w:ascii="Palatino Linotype" w:hAnsi="Palatino Linotype"/>
          <w:sz w:val="24"/>
        </w:rPr>
        <w:t>relación</w:t>
      </w:r>
      <w:proofErr w:type="spellEnd"/>
      <w:r w:rsidR="00042E80" w:rsidRPr="00A52A6B">
        <w:rPr>
          <w:rFonts w:ascii="Palatino Linotype" w:hAnsi="Palatino Linotype"/>
          <w:sz w:val="24"/>
        </w:rPr>
        <w:t xml:space="preserve"> de todos los proveedores beneficiados, con la </w:t>
      </w:r>
      <w:proofErr w:type="spellStart"/>
      <w:r w:rsidR="00042E80" w:rsidRPr="00A52A6B">
        <w:rPr>
          <w:rFonts w:ascii="Palatino Linotype" w:hAnsi="Palatino Linotype"/>
          <w:sz w:val="24"/>
        </w:rPr>
        <w:t>adjudicación</w:t>
      </w:r>
      <w:proofErr w:type="spellEnd"/>
      <w:r w:rsidR="00042E80" w:rsidRPr="00A52A6B">
        <w:rPr>
          <w:rFonts w:ascii="Palatino Linotype" w:hAnsi="Palatino Linotype"/>
          <w:sz w:val="24"/>
        </w:rPr>
        <w:t xml:space="preserve"> de </w:t>
      </w:r>
      <w:proofErr w:type="spellStart"/>
      <w:r w:rsidR="00042E80" w:rsidRPr="00A52A6B">
        <w:rPr>
          <w:rFonts w:ascii="Palatino Linotype" w:hAnsi="Palatino Linotype"/>
          <w:sz w:val="24"/>
        </w:rPr>
        <w:t>algún</w:t>
      </w:r>
      <w:proofErr w:type="spellEnd"/>
      <w:r w:rsidR="00042E80" w:rsidRPr="00A52A6B">
        <w:rPr>
          <w:rFonts w:ascii="Palatino Linotype" w:hAnsi="Palatino Linotype"/>
          <w:sz w:val="24"/>
        </w:rPr>
        <w:t xml:space="preserve"> contrato de adquisiciones y/o servicios durante el ejercicio dos mil diecinueve, incluyendo su nombre, </w:t>
      </w:r>
      <w:proofErr w:type="spellStart"/>
      <w:r w:rsidR="00042E80" w:rsidRPr="00A52A6B">
        <w:rPr>
          <w:rFonts w:ascii="Palatino Linotype" w:hAnsi="Palatino Linotype"/>
          <w:sz w:val="24"/>
        </w:rPr>
        <w:t>ubicación</w:t>
      </w:r>
      <w:proofErr w:type="spellEnd"/>
      <w:r w:rsidR="00042E80" w:rsidRPr="00A52A6B">
        <w:rPr>
          <w:rFonts w:ascii="Palatino Linotype" w:hAnsi="Palatino Linotype"/>
          <w:sz w:val="24"/>
        </w:rPr>
        <w:t xml:space="preserve"> y costo, que constituye información pública de oficio conforme al artículo 92, fracciones XXIX, inciso b, XXXI, XXXII y XXXVI de la Ley de Transparencia y Acceso a la Información Pública de</w:t>
      </w:r>
      <w:r w:rsidR="00A94988" w:rsidRPr="00A52A6B">
        <w:rPr>
          <w:rFonts w:ascii="Palatino Linotype" w:hAnsi="Palatino Linotype"/>
          <w:sz w:val="24"/>
        </w:rPr>
        <w:t xml:space="preserve">l Estado de México y Municipios. </w:t>
      </w:r>
      <w:r w:rsidR="00A94988" w:rsidRPr="00A52A6B">
        <w:rPr>
          <w:rFonts w:ascii="Palatino Linotype" w:hAnsi="Palatino Linotype"/>
          <w:sz w:val="24"/>
          <w:szCs w:val="24"/>
        </w:rPr>
        <w:t>En la modalidad elegida por la persona recurrente de manera inicial, es decir, medio electrónico gratuito, tales como habilitar una liga electrónica que deberá proporcionarle para que descargue los archivos -en caso de estar en posibilidad-; enviar la información a su cuenta de correo electrónico; concederle el acceso en disco compacto, con la posibilidad de envío mediante correo certificado, previo pago del costo del disco compacto y del envío, y darle la posibilidad de obtenerla de manera gratuita si la parte solicitante misma aporta el disco compacto o la memoria USB en la que se le proporcionarán los archivos electrónicos.</w:t>
      </w:r>
    </w:p>
    <w:p w14:paraId="655A3CC4" w14:textId="77777777" w:rsidR="00892544" w:rsidRPr="00A52A6B" w:rsidRDefault="00892544" w:rsidP="00892544">
      <w:pPr>
        <w:spacing w:before="240" w:after="240" w:line="360" w:lineRule="auto"/>
        <w:jc w:val="both"/>
        <w:rPr>
          <w:rFonts w:ascii="Palatino Linotype" w:eastAsia="MS Mincho" w:hAnsi="Palatino Linotype"/>
          <w:sz w:val="24"/>
          <w:lang w:val="es-ES_tradnl"/>
        </w:rPr>
      </w:pPr>
      <w:r w:rsidRPr="00A52A6B">
        <w:rPr>
          <w:rFonts w:ascii="Palatino Linotype" w:hAnsi="Palatino Linotype" w:cs="Arial"/>
          <w:sz w:val="24"/>
          <w:lang w:val="es-ES_tradnl" w:eastAsia="es-MX"/>
        </w:rPr>
        <w:lastRenderedPageBreak/>
        <w:t>L</w:t>
      </w:r>
      <w:r w:rsidRPr="00A52A6B">
        <w:rPr>
          <w:rFonts w:ascii="Palatino Linotype" w:hAnsi="Palatino Linotype"/>
          <w:sz w:val="24"/>
          <w:lang w:val="es-ES_tradnl"/>
        </w:rPr>
        <w:t xml:space="preserve">o que resulta inverso a los principios </w:t>
      </w:r>
      <w:r w:rsidRPr="00A52A6B">
        <w:rPr>
          <w:rFonts w:ascii="Palatino Linotype" w:eastAsia="MS Mincho" w:hAnsi="Palatino Linotype"/>
          <w:sz w:val="24"/>
          <w:lang w:val="es-ES_tradnl"/>
        </w:rPr>
        <w:t xml:space="preserve">de simplicidad y rapidez, bajo los cuales se rige el derecho de acceso a la información, y a los cuales dio observancia este Instituto al emitir su resolución de </w:t>
      </w:r>
      <w:proofErr w:type="gramStart"/>
      <w:r w:rsidRPr="00A52A6B">
        <w:rPr>
          <w:rFonts w:ascii="Palatino Linotype" w:eastAsia="MS Mincho" w:hAnsi="Palatino Linotype"/>
          <w:sz w:val="24"/>
          <w:lang w:val="es-ES_tradnl"/>
        </w:rPr>
        <w:t>fecha  treinta</w:t>
      </w:r>
      <w:proofErr w:type="gramEnd"/>
      <w:r w:rsidRPr="00A52A6B">
        <w:rPr>
          <w:rFonts w:ascii="Palatino Linotype" w:eastAsia="MS Mincho" w:hAnsi="Palatino Linotype"/>
          <w:sz w:val="24"/>
          <w:lang w:val="es-ES_tradnl"/>
        </w:rPr>
        <w:t xml:space="preserve"> (30) de septiembre de dos mil veinte.</w:t>
      </w:r>
    </w:p>
    <w:p w14:paraId="51DA0FFB" w14:textId="77777777" w:rsidR="00892544" w:rsidRPr="00A52A6B" w:rsidRDefault="00A52A6B" w:rsidP="00892544">
      <w:pPr>
        <w:spacing w:before="240" w:after="240" w:line="360" w:lineRule="auto"/>
        <w:jc w:val="both"/>
        <w:rPr>
          <w:rFonts w:ascii="Palatino Linotype" w:hAnsi="Palatino Linotype"/>
          <w:sz w:val="24"/>
          <w:lang w:val="es-ES_tradnl"/>
        </w:rPr>
      </w:pPr>
      <w:r>
        <w:rPr>
          <w:rFonts w:ascii="Palatino Linotype" w:hAnsi="Palatino Linotype"/>
          <w:noProof/>
          <w:sz w:val="24"/>
          <w:lang w:eastAsia="es-MX"/>
        </w:rPr>
        <mc:AlternateContent>
          <mc:Choice Requires="wps">
            <w:drawing>
              <wp:anchor distT="0" distB="0" distL="114300" distR="114300" simplePos="0" relativeHeight="251668480" behindDoc="0" locked="0" layoutInCell="1" allowOverlap="1" wp14:anchorId="742A4816" wp14:editId="151C5ADF">
                <wp:simplePos x="0" y="0"/>
                <wp:positionH relativeFrom="column">
                  <wp:posOffset>-3810</wp:posOffset>
                </wp:positionH>
                <wp:positionV relativeFrom="paragraph">
                  <wp:posOffset>20955</wp:posOffset>
                </wp:positionV>
                <wp:extent cx="5581650" cy="64008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581650" cy="6400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B77DA" id="Conector recto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1.65pt" to="439.2pt,5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" strokecolor="#5b9bd5 [3204]" strokeweight=".5pt">
                <v:stroke joinstyle="miter"/>
              </v:line>
            </w:pict>
          </mc:Fallback>
        </mc:AlternateContent>
      </w:r>
    </w:p>
    <w:p w14:paraId="35A3F5CA" w14:textId="77777777" w:rsidR="00756BD4" w:rsidRPr="00A52A6B" w:rsidRDefault="00756BD4" w:rsidP="00892544">
      <w:pPr>
        <w:spacing w:before="240" w:after="240" w:line="360" w:lineRule="auto"/>
        <w:jc w:val="both"/>
        <w:rPr>
          <w:rFonts w:ascii="Palatino Linotype" w:hAnsi="Palatino Linotype"/>
          <w:sz w:val="24"/>
          <w:lang w:val="es-ES_tradnl"/>
        </w:rPr>
      </w:pPr>
    </w:p>
    <w:p w14:paraId="6E19058B" w14:textId="77777777" w:rsidR="00756BD4" w:rsidRPr="00A52A6B" w:rsidRDefault="00756BD4" w:rsidP="00892544">
      <w:pPr>
        <w:spacing w:before="240" w:after="240" w:line="360" w:lineRule="auto"/>
        <w:jc w:val="both"/>
        <w:rPr>
          <w:rFonts w:ascii="Palatino Linotype" w:hAnsi="Palatino Linotype"/>
          <w:sz w:val="24"/>
          <w:lang w:val="es-ES_tradnl"/>
        </w:rPr>
      </w:pPr>
    </w:p>
    <w:p w14:paraId="50F6AA6B" w14:textId="77777777" w:rsidR="00756BD4" w:rsidRPr="00A52A6B" w:rsidRDefault="00756BD4" w:rsidP="00892544">
      <w:pPr>
        <w:spacing w:before="240" w:after="240" w:line="360" w:lineRule="auto"/>
        <w:jc w:val="both"/>
        <w:rPr>
          <w:rFonts w:ascii="Palatino Linotype" w:hAnsi="Palatino Linotype"/>
          <w:sz w:val="24"/>
          <w:lang w:val="es-ES_tradnl"/>
        </w:rPr>
      </w:pPr>
    </w:p>
    <w:p w14:paraId="21F4ADB4" w14:textId="77777777" w:rsidR="00756BD4" w:rsidRPr="00A52A6B" w:rsidRDefault="00756BD4" w:rsidP="00892544">
      <w:pPr>
        <w:spacing w:before="240" w:after="240" w:line="360" w:lineRule="auto"/>
        <w:jc w:val="both"/>
        <w:rPr>
          <w:rFonts w:ascii="Palatino Linotype" w:hAnsi="Palatino Linotype"/>
          <w:sz w:val="24"/>
          <w:lang w:val="es-ES_tradnl"/>
        </w:rPr>
      </w:pPr>
    </w:p>
    <w:p w14:paraId="42B89C45" w14:textId="77777777" w:rsidR="00756BD4" w:rsidRPr="00A52A6B" w:rsidRDefault="00756BD4" w:rsidP="00892544">
      <w:pPr>
        <w:spacing w:before="240" w:after="240" w:line="360" w:lineRule="auto"/>
        <w:jc w:val="both"/>
        <w:rPr>
          <w:rFonts w:ascii="Palatino Linotype" w:hAnsi="Palatino Linotype"/>
          <w:sz w:val="24"/>
          <w:lang w:val="es-ES_tradnl"/>
        </w:rPr>
      </w:pPr>
    </w:p>
    <w:p w14:paraId="3F4FE0A7" w14:textId="77777777" w:rsidR="00756BD4" w:rsidRPr="00A52A6B" w:rsidRDefault="00756BD4" w:rsidP="00892544">
      <w:pPr>
        <w:spacing w:before="240" w:after="240" w:line="360" w:lineRule="auto"/>
        <w:jc w:val="both"/>
        <w:rPr>
          <w:rFonts w:ascii="Palatino Linotype" w:hAnsi="Palatino Linotype"/>
          <w:sz w:val="24"/>
          <w:lang w:val="es-ES_tradnl"/>
        </w:rPr>
      </w:pPr>
    </w:p>
    <w:p w14:paraId="766A3B7C" w14:textId="77777777" w:rsidR="00756BD4" w:rsidRPr="00A52A6B" w:rsidRDefault="00756BD4" w:rsidP="00892544">
      <w:pPr>
        <w:spacing w:before="240" w:after="240" w:line="360" w:lineRule="auto"/>
        <w:jc w:val="both"/>
        <w:rPr>
          <w:rFonts w:ascii="Palatino Linotype" w:hAnsi="Palatino Linotype"/>
          <w:sz w:val="24"/>
          <w:lang w:val="es-ES_tradnl"/>
        </w:rPr>
      </w:pPr>
    </w:p>
    <w:p w14:paraId="6478F590" w14:textId="77777777" w:rsidR="00756BD4" w:rsidRPr="00A52A6B" w:rsidRDefault="00756BD4" w:rsidP="00892544">
      <w:pPr>
        <w:spacing w:before="240" w:after="240" w:line="360" w:lineRule="auto"/>
        <w:jc w:val="both"/>
        <w:rPr>
          <w:rFonts w:ascii="Palatino Linotype" w:hAnsi="Palatino Linotype"/>
          <w:sz w:val="24"/>
          <w:lang w:val="es-ES_tradnl"/>
        </w:rPr>
      </w:pPr>
    </w:p>
    <w:p w14:paraId="0F717659" w14:textId="77777777" w:rsidR="00756BD4" w:rsidRPr="00A52A6B" w:rsidRDefault="00756BD4" w:rsidP="00892544">
      <w:pPr>
        <w:spacing w:before="240" w:after="240" w:line="360" w:lineRule="auto"/>
        <w:jc w:val="both"/>
        <w:rPr>
          <w:rFonts w:ascii="Palatino Linotype" w:hAnsi="Palatino Linotype"/>
          <w:sz w:val="24"/>
          <w:lang w:val="es-ES_tradnl"/>
        </w:rPr>
      </w:pPr>
    </w:p>
    <w:p w14:paraId="0ED5F06E" w14:textId="77777777" w:rsidR="00756BD4" w:rsidRPr="00A52A6B" w:rsidRDefault="00756BD4" w:rsidP="00892544">
      <w:pPr>
        <w:spacing w:before="240" w:after="240" w:line="360" w:lineRule="auto"/>
        <w:jc w:val="both"/>
        <w:rPr>
          <w:rFonts w:ascii="Palatino Linotype" w:hAnsi="Palatino Linotype"/>
          <w:sz w:val="24"/>
          <w:lang w:val="es-ES_tradnl"/>
        </w:rPr>
      </w:pPr>
    </w:p>
    <w:p w14:paraId="40755300" w14:textId="77777777" w:rsidR="00756BD4" w:rsidRPr="00A52A6B" w:rsidRDefault="00756BD4" w:rsidP="00892544">
      <w:pPr>
        <w:spacing w:before="240" w:after="240" w:line="360" w:lineRule="auto"/>
        <w:jc w:val="both"/>
        <w:rPr>
          <w:rFonts w:ascii="Palatino Linotype" w:hAnsi="Palatino Linotype"/>
          <w:sz w:val="24"/>
          <w:lang w:val="es-ES_tradnl"/>
        </w:rPr>
      </w:pPr>
    </w:p>
    <w:p w14:paraId="6FFDF2D3" w14:textId="77777777" w:rsidR="00892544" w:rsidRPr="00A52A6B" w:rsidRDefault="00892544" w:rsidP="00892544">
      <w:pPr>
        <w:spacing w:before="240" w:after="240" w:line="276" w:lineRule="auto"/>
        <w:jc w:val="both"/>
        <w:rPr>
          <w:rFonts w:ascii="Palatino Linotype" w:eastAsia="Calibri" w:hAnsi="Palatino Linotype" w:cs="Arial"/>
          <w:b/>
          <w:sz w:val="32"/>
          <w:szCs w:val="28"/>
          <w:lang w:val="es-ES_tradnl" w:eastAsia="es-MX"/>
        </w:rPr>
      </w:pPr>
    </w:p>
    <w:bookmarkEnd w:id="0"/>
    <w:p w14:paraId="7C5981F5" w14:textId="77777777" w:rsidR="00892544" w:rsidRPr="00A52A6B" w:rsidRDefault="00892544" w:rsidP="00892544">
      <w:pPr>
        <w:spacing w:before="240" w:after="240" w:line="276" w:lineRule="auto"/>
        <w:jc w:val="center"/>
        <w:rPr>
          <w:rFonts w:ascii="Palatino Linotype" w:hAnsi="Palatino Linotype"/>
          <w:sz w:val="28"/>
          <w:szCs w:val="28"/>
          <w:lang w:val="es-ES_tradnl"/>
        </w:rPr>
      </w:pPr>
      <w:r w:rsidRPr="00A52A6B">
        <w:rPr>
          <w:rFonts w:ascii="Palatino Linotype" w:hAnsi="Palatino Linotype"/>
          <w:b/>
          <w:sz w:val="28"/>
          <w:szCs w:val="28"/>
          <w:lang w:val="es-ES_tradnl"/>
        </w:rPr>
        <w:lastRenderedPageBreak/>
        <w:t>Índice</w:t>
      </w:r>
      <w:r w:rsidRPr="00A52A6B">
        <w:rPr>
          <w:rFonts w:ascii="Palatino Linotype" w:hAnsi="Palatino Linotype"/>
          <w:sz w:val="28"/>
          <w:szCs w:val="28"/>
          <w:lang w:val="es-ES_tradnl"/>
        </w:rPr>
        <w:t>.</w:t>
      </w:r>
    </w:p>
    <w:sdt>
      <w:sdtPr>
        <w:rPr>
          <w:rFonts w:ascii="Palatino Linotype" w:eastAsiaTheme="minorEastAsia" w:hAnsi="Palatino Linotype" w:cstheme="minorBidi"/>
          <w:color w:val="auto"/>
          <w:sz w:val="22"/>
          <w:szCs w:val="28"/>
          <w:lang w:val="es-ES_tradnl" w:eastAsia="es-ES"/>
        </w:rPr>
        <w:id w:val="1703668029"/>
        <w:docPartObj>
          <w:docPartGallery w:val="Table of Contents"/>
          <w:docPartUnique/>
        </w:docPartObj>
      </w:sdtPr>
      <w:sdtEndPr>
        <w:rPr>
          <w:rFonts w:eastAsiaTheme="minorHAnsi"/>
          <w:b/>
          <w:bCs/>
          <w:sz w:val="24"/>
          <w:szCs w:val="22"/>
          <w:lang w:eastAsia="en-US"/>
        </w:rPr>
      </w:sdtEndPr>
      <w:sdtContent>
        <w:p w14:paraId="10DB9735" w14:textId="77777777" w:rsidR="00892544" w:rsidRPr="00A52A6B" w:rsidRDefault="00892544" w:rsidP="00892544">
          <w:pPr>
            <w:pStyle w:val="TtuloTDC"/>
            <w:spacing w:line="276" w:lineRule="auto"/>
            <w:jc w:val="both"/>
            <w:rPr>
              <w:rFonts w:ascii="Palatino Linotype" w:hAnsi="Palatino Linotype"/>
              <w:color w:val="auto"/>
              <w:szCs w:val="28"/>
              <w:lang w:val="es-ES_tradnl"/>
            </w:rPr>
          </w:pPr>
        </w:p>
        <w:p w14:paraId="534481D4" w14:textId="77777777" w:rsidR="006261BA" w:rsidRPr="00A52A6B" w:rsidRDefault="00892544" w:rsidP="006261BA">
          <w:pPr>
            <w:pStyle w:val="TDC1"/>
            <w:rPr>
              <w:rFonts w:asciiTheme="minorHAnsi" w:eastAsiaTheme="minorEastAsia" w:hAnsiTheme="minorHAnsi" w:cstheme="minorBidi"/>
              <w:noProof/>
              <w:sz w:val="22"/>
              <w:szCs w:val="22"/>
              <w:lang w:val="es-MX" w:eastAsia="es-MX"/>
            </w:rPr>
          </w:pPr>
          <w:r w:rsidRPr="00A52A6B">
            <w:rPr>
              <w:rFonts w:ascii="Palatino Linotype" w:hAnsi="Palatino Linotype"/>
              <w:sz w:val="32"/>
              <w:szCs w:val="28"/>
              <w:lang w:val="es-ES_tradnl"/>
            </w:rPr>
            <w:fldChar w:fldCharType="begin"/>
          </w:r>
          <w:r w:rsidRPr="00A52A6B">
            <w:rPr>
              <w:rFonts w:ascii="Palatino Linotype" w:hAnsi="Palatino Linotype"/>
              <w:sz w:val="32"/>
              <w:szCs w:val="28"/>
              <w:lang w:val="es-ES_tradnl"/>
            </w:rPr>
            <w:instrText xml:space="preserve"> TOC \o "1-3" \h \z \u </w:instrText>
          </w:r>
          <w:r w:rsidRPr="00A52A6B">
            <w:rPr>
              <w:rFonts w:ascii="Palatino Linotype" w:hAnsi="Palatino Linotype"/>
              <w:sz w:val="32"/>
              <w:szCs w:val="28"/>
              <w:lang w:val="es-ES_tradnl"/>
            </w:rPr>
            <w:fldChar w:fldCharType="separate"/>
          </w:r>
          <w:hyperlink w:anchor="_Toc66304356" w:history="1">
            <w:r w:rsidR="006261BA" w:rsidRPr="00A52A6B">
              <w:rPr>
                <w:rStyle w:val="Hipervnculo"/>
                <w:rFonts w:ascii="Palatino Linotype" w:hAnsi="Palatino Linotype"/>
                <w:b/>
                <w:noProof/>
                <w:lang w:val="es-ES_tradnl"/>
              </w:rPr>
              <w:t>ANTECEDENTES</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_Toc66304356 \h </w:instrText>
            </w:r>
            <w:r w:rsidR="006261BA" w:rsidRPr="00A52A6B">
              <w:rPr>
                <w:noProof/>
                <w:webHidden/>
              </w:rPr>
            </w:r>
            <w:r w:rsidR="006261BA" w:rsidRPr="00A52A6B">
              <w:rPr>
                <w:noProof/>
                <w:webHidden/>
              </w:rPr>
              <w:fldChar w:fldCharType="separate"/>
            </w:r>
            <w:r w:rsidR="006261BA" w:rsidRPr="00A52A6B">
              <w:rPr>
                <w:noProof/>
                <w:webHidden/>
              </w:rPr>
              <w:t>9</w:t>
            </w:r>
            <w:r w:rsidR="006261BA" w:rsidRPr="00A52A6B">
              <w:rPr>
                <w:noProof/>
                <w:webHidden/>
              </w:rPr>
              <w:fldChar w:fldCharType="end"/>
            </w:r>
          </w:hyperlink>
        </w:p>
        <w:p w14:paraId="063576FD" w14:textId="77777777" w:rsidR="006261BA" w:rsidRPr="00A52A6B" w:rsidRDefault="000F62C2" w:rsidP="006261BA">
          <w:pPr>
            <w:pStyle w:val="TDC1"/>
            <w:rPr>
              <w:rFonts w:asciiTheme="minorHAnsi" w:eastAsiaTheme="minorEastAsia" w:hAnsiTheme="minorHAnsi" w:cstheme="minorBidi"/>
              <w:noProof/>
              <w:sz w:val="22"/>
              <w:szCs w:val="22"/>
              <w:lang w:val="es-MX" w:eastAsia="es-MX"/>
            </w:rPr>
          </w:pPr>
          <w:hyperlink w:anchor="_Toc66304357" w:history="1">
            <w:r w:rsidR="006261BA" w:rsidRPr="00A52A6B">
              <w:rPr>
                <w:rStyle w:val="Hipervnculo"/>
                <w:rFonts w:ascii="Palatino Linotype" w:hAnsi="Palatino Linotype"/>
                <w:b/>
                <w:noProof/>
                <w:lang w:val="es-ES_tradnl"/>
              </w:rPr>
              <w:t>CONSIDERANDO</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_Toc66304357 \h </w:instrText>
            </w:r>
            <w:r w:rsidR="006261BA" w:rsidRPr="00A52A6B">
              <w:rPr>
                <w:noProof/>
                <w:webHidden/>
              </w:rPr>
            </w:r>
            <w:r w:rsidR="006261BA" w:rsidRPr="00A52A6B">
              <w:rPr>
                <w:noProof/>
                <w:webHidden/>
              </w:rPr>
              <w:fldChar w:fldCharType="separate"/>
            </w:r>
            <w:r w:rsidR="006261BA" w:rsidRPr="00A52A6B">
              <w:rPr>
                <w:noProof/>
                <w:webHidden/>
              </w:rPr>
              <w:t>30</w:t>
            </w:r>
            <w:r w:rsidR="006261BA" w:rsidRPr="00A52A6B">
              <w:rPr>
                <w:noProof/>
                <w:webHidden/>
              </w:rPr>
              <w:fldChar w:fldCharType="end"/>
            </w:r>
          </w:hyperlink>
        </w:p>
        <w:p w14:paraId="4C227AA3" w14:textId="77777777" w:rsidR="006261BA" w:rsidRPr="00A52A6B" w:rsidRDefault="000F62C2" w:rsidP="006261BA">
          <w:pPr>
            <w:pStyle w:val="TDC2"/>
            <w:spacing w:line="360" w:lineRule="auto"/>
            <w:rPr>
              <w:rFonts w:asciiTheme="minorHAnsi" w:eastAsiaTheme="minorEastAsia" w:hAnsiTheme="minorHAnsi" w:cstheme="minorBidi"/>
              <w:noProof/>
              <w:sz w:val="22"/>
              <w:szCs w:val="22"/>
              <w:lang w:val="es-MX" w:eastAsia="es-MX"/>
            </w:rPr>
          </w:pPr>
          <w:hyperlink w:anchor="_Toc66304358" w:history="1">
            <w:r w:rsidR="006261BA" w:rsidRPr="00A52A6B">
              <w:rPr>
                <w:rStyle w:val="Hipervnculo"/>
                <w:rFonts w:ascii="Palatino Linotype" w:hAnsi="Palatino Linotype"/>
                <w:b/>
                <w:noProof/>
                <w:lang w:val="es-ES_tradnl"/>
              </w:rPr>
              <w:t>PRIMERO. Atribuciones del INAI</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_Toc66304358 \h </w:instrText>
            </w:r>
            <w:r w:rsidR="006261BA" w:rsidRPr="00A52A6B">
              <w:rPr>
                <w:noProof/>
                <w:webHidden/>
              </w:rPr>
            </w:r>
            <w:r w:rsidR="006261BA" w:rsidRPr="00A52A6B">
              <w:rPr>
                <w:noProof/>
                <w:webHidden/>
              </w:rPr>
              <w:fldChar w:fldCharType="separate"/>
            </w:r>
            <w:r w:rsidR="006261BA" w:rsidRPr="00A52A6B">
              <w:rPr>
                <w:noProof/>
                <w:webHidden/>
              </w:rPr>
              <w:t>30</w:t>
            </w:r>
            <w:r w:rsidR="006261BA" w:rsidRPr="00A52A6B">
              <w:rPr>
                <w:noProof/>
                <w:webHidden/>
              </w:rPr>
              <w:fldChar w:fldCharType="end"/>
            </w:r>
          </w:hyperlink>
        </w:p>
        <w:p w14:paraId="61C797EE" w14:textId="77777777" w:rsidR="006261BA" w:rsidRPr="00A52A6B" w:rsidRDefault="000F62C2" w:rsidP="006261BA">
          <w:pPr>
            <w:pStyle w:val="TDC2"/>
            <w:spacing w:line="360" w:lineRule="auto"/>
            <w:rPr>
              <w:rFonts w:asciiTheme="minorHAnsi" w:eastAsiaTheme="minorEastAsia" w:hAnsiTheme="minorHAnsi" w:cstheme="minorBidi"/>
              <w:noProof/>
              <w:sz w:val="22"/>
              <w:szCs w:val="22"/>
              <w:lang w:val="es-MX" w:eastAsia="es-MX"/>
            </w:rPr>
          </w:pPr>
          <w:hyperlink w:anchor="_Toc66304359" w:history="1">
            <w:r w:rsidR="006261BA" w:rsidRPr="00A52A6B">
              <w:rPr>
                <w:rStyle w:val="Hipervnculo"/>
                <w:rFonts w:ascii="Palatino Linotype" w:hAnsi="Palatino Linotype"/>
                <w:b/>
                <w:noProof/>
                <w:lang w:val="es-ES_tradnl"/>
              </w:rPr>
              <w:t>SEGUNDO. Resolución y efectos</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_Toc66304359 \h </w:instrText>
            </w:r>
            <w:r w:rsidR="006261BA" w:rsidRPr="00A52A6B">
              <w:rPr>
                <w:noProof/>
                <w:webHidden/>
              </w:rPr>
            </w:r>
            <w:r w:rsidR="006261BA" w:rsidRPr="00A52A6B">
              <w:rPr>
                <w:noProof/>
                <w:webHidden/>
              </w:rPr>
              <w:fldChar w:fldCharType="separate"/>
            </w:r>
            <w:r w:rsidR="006261BA" w:rsidRPr="00A52A6B">
              <w:rPr>
                <w:noProof/>
                <w:webHidden/>
              </w:rPr>
              <w:t>31</w:t>
            </w:r>
            <w:r w:rsidR="006261BA" w:rsidRPr="00A52A6B">
              <w:rPr>
                <w:noProof/>
                <w:webHidden/>
              </w:rPr>
              <w:fldChar w:fldCharType="end"/>
            </w:r>
          </w:hyperlink>
        </w:p>
        <w:p w14:paraId="411C61B3" w14:textId="77777777" w:rsidR="006261BA" w:rsidRPr="00A52A6B" w:rsidRDefault="000F62C2" w:rsidP="006261BA">
          <w:pPr>
            <w:pStyle w:val="TDC1"/>
            <w:rPr>
              <w:rFonts w:asciiTheme="minorHAnsi" w:eastAsiaTheme="minorEastAsia" w:hAnsiTheme="minorHAnsi" w:cstheme="minorBidi"/>
              <w:noProof/>
              <w:sz w:val="22"/>
              <w:szCs w:val="22"/>
              <w:lang w:val="es-MX" w:eastAsia="es-MX"/>
            </w:rPr>
          </w:pPr>
          <w:hyperlink w:anchor="_Toc66304360" w:history="1">
            <w:r w:rsidR="006261BA" w:rsidRPr="00A52A6B">
              <w:rPr>
                <w:rStyle w:val="Hipervnculo"/>
                <w:rFonts w:ascii="Palatino Linotype" w:hAnsi="Palatino Linotype"/>
                <w:b/>
                <w:noProof/>
                <w:lang w:val="es-ES_tradnl"/>
              </w:rPr>
              <w:t>TERCERO. Consideraciones de especial pronunciamiento</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_Toc66304360 \h </w:instrText>
            </w:r>
            <w:r w:rsidR="006261BA" w:rsidRPr="00A52A6B">
              <w:rPr>
                <w:noProof/>
                <w:webHidden/>
              </w:rPr>
            </w:r>
            <w:r w:rsidR="006261BA" w:rsidRPr="00A52A6B">
              <w:rPr>
                <w:noProof/>
                <w:webHidden/>
              </w:rPr>
              <w:fldChar w:fldCharType="separate"/>
            </w:r>
            <w:r w:rsidR="006261BA" w:rsidRPr="00A52A6B">
              <w:rPr>
                <w:noProof/>
                <w:webHidden/>
              </w:rPr>
              <w:t>34</w:t>
            </w:r>
            <w:r w:rsidR="006261BA" w:rsidRPr="00A52A6B">
              <w:rPr>
                <w:noProof/>
                <w:webHidden/>
              </w:rPr>
              <w:fldChar w:fldCharType="end"/>
            </w:r>
          </w:hyperlink>
        </w:p>
        <w:p w14:paraId="78DCDA81" w14:textId="77777777" w:rsidR="006261BA" w:rsidRPr="00A52A6B" w:rsidRDefault="000F62C2" w:rsidP="006261BA">
          <w:pPr>
            <w:pStyle w:val="TDC1"/>
            <w:tabs>
              <w:tab w:val="left" w:pos="1100"/>
            </w:tabs>
            <w:rPr>
              <w:rFonts w:asciiTheme="minorHAnsi" w:eastAsiaTheme="minorEastAsia" w:hAnsiTheme="minorHAnsi" w:cstheme="minorBidi"/>
              <w:noProof/>
              <w:sz w:val="22"/>
              <w:szCs w:val="22"/>
              <w:lang w:val="es-MX" w:eastAsia="es-MX"/>
            </w:rPr>
          </w:pPr>
          <w:hyperlink w:anchor="_Toc66304361" w:history="1">
            <w:r w:rsidR="006261BA" w:rsidRPr="00A52A6B">
              <w:rPr>
                <w:rStyle w:val="Hipervnculo"/>
                <w:rFonts w:ascii="Palatino Linotype" w:hAnsi="Palatino Linotype"/>
                <w:b/>
                <w:noProof/>
              </w:rPr>
              <w:t>I.</w:t>
            </w:r>
            <w:r w:rsidR="006261BA" w:rsidRPr="00A52A6B">
              <w:rPr>
                <w:rFonts w:asciiTheme="minorHAnsi" w:eastAsiaTheme="minorEastAsia" w:hAnsiTheme="minorHAnsi" w:cstheme="minorBidi"/>
                <w:noProof/>
                <w:sz w:val="22"/>
                <w:szCs w:val="22"/>
                <w:lang w:val="es-MX" w:eastAsia="es-MX"/>
              </w:rPr>
              <w:tab/>
            </w:r>
            <w:r w:rsidR="006261BA" w:rsidRPr="00A52A6B">
              <w:rPr>
                <w:rStyle w:val="Hipervnculo"/>
                <w:rFonts w:ascii="Palatino Linotype" w:hAnsi="Palatino Linotype"/>
                <w:b/>
                <w:noProof/>
              </w:rPr>
              <w:t>Del Principio de Legalidad</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_Toc66304361 \h </w:instrText>
            </w:r>
            <w:r w:rsidR="006261BA" w:rsidRPr="00A52A6B">
              <w:rPr>
                <w:noProof/>
                <w:webHidden/>
              </w:rPr>
            </w:r>
            <w:r w:rsidR="006261BA" w:rsidRPr="00A52A6B">
              <w:rPr>
                <w:noProof/>
                <w:webHidden/>
              </w:rPr>
              <w:fldChar w:fldCharType="separate"/>
            </w:r>
            <w:r w:rsidR="006261BA" w:rsidRPr="00A52A6B">
              <w:rPr>
                <w:noProof/>
                <w:webHidden/>
              </w:rPr>
              <w:t>34</w:t>
            </w:r>
            <w:r w:rsidR="006261BA" w:rsidRPr="00A52A6B">
              <w:rPr>
                <w:noProof/>
                <w:webHidden/>
              </w:rPr>
              <w:fldChar w:fldCharType="end"/>
            </w:r>
          </w:hyperlink>
        </w:p>
        <w:p w14:paraId="4BB775D5" w14:textId="77777777" w:rsidR="006261BA" w:rsidRPr="00A52A6B" w:rsidRDefault="000F62C2" w:rsidP="006261BA">
          <w:pPr>
            <w:pStyle w:val="TDC1"/>
            <w:rPr>
              <w:rFonts w:asciiTheme="minorHAnsi" w:eastAsiaTheme="minorEastAsia" w:hAnsiTheme="minorHAnsi" w:cstheme="minorBidi"/>
              <w:noProof/>
              <w:sz w:val="22"/>
              <w:szCs w:val="22"/>
              <w:lang w:val="es-MX" w:eastAsia="es-MX"/>
            </w:rPr>
          </w:pPr>
          <w:hyperlink w:anchor="_Toc66304362" w:history="1">
            <w:r w:rsidR="006261BA" w:rsidRPr="00A52A6B">
              <w:rPr>
                <w:rStyle w:val="Hipervnculo"/>
                <w:rFonts w:ascii="Palatino Linotype" w:hAnsi="Palatino Linotype"/>
                <w:b/>
                <w:noProof/>
              </w:rPr>
              <w:t>II. De las causales legamente establecidas de procedencias del recurso de inconformidad establecido en el Ley General de Transparencia y Acceso a la Información Pública</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_Toc66304362 \h </w:instrText>
            </w:r>
            <w:r w:rsidR="006261BA" w:rsidRPr="00A52A6B">
              <w:rPr>
                <w:noProof/>
                <w:webHidden/>
              </w:rPr>
            </w:r>
            <w:r w:rsidR="006261BA" w:rsidRPr="00A52A6B">
              <w:rPr>
                <w:noProof/>
                <w:webHidden/>
              </w:rPr>
              <w:fldChar w:fldCharType="separate"/>
            </w:r>
            <w:r w:rsidR="006261BA" w:rsidRPr="00A52A6B">
              <w:rPr>
                <w:noProof/>
                <w:webHidden/>
              </w:rPr>
              <w:t>40</w:t>
            </w:r>
            <w:r w:rsidR="006261BA" w:rsidRPr="00A52A6B">
              <w:rPr>
                <w:noProof/>
                <w:webHidden/>
              </w:rPr>
              <w:fldChar w:fldCharType="end"/>
            </w:r>
          </w:hyperlink>
        </w:p>
        <w:p w14:paraId="583046AB" w14:textId="77777777" w:rsidR="006261BA" w:rsidRPr="00A52A6B" w:rsidRDefault="000F62C2" w:rsidP="006261BA">
          <w:pPr>
            <w:pStyle w:val="TDC1"/>
            <w:tabs>
              <w:tab w:val="left" w:pos="1100"/>
            </w:tabs>
            <w:rPr>
              <w:rFonts w:asciiTheme="minorHAnsi" w:eastAsiaTheme="minorEastAsia" w:hAnsiTheme="minorHAnsi" w:cstheme="minorBidi"/>
              <w:noProof/>
              <w:sz w:val="22"/>
              <w:szCs w:val="22"/>
              <w:lang w:val="es-MX" w:eastAsia="es-MX"/>
            </w:rPr>
          </w:pPr>
          <w:hyperlink w:anchor="_Toc66304363" w:history="1">
            <w:r w:rsidR="006261BA" w:rsidRPr="00A52A6B">
              <w:rPr>
                <w:rStyle w:val="Hipervnculo"/>
                <w:rFonts w:ascii="Palatino Linotype" w:hAnsi="Palatino Linotype"/>
                <w:b/>
                <w:noProof/>
              </w:rPr>
              <w:t>I.</w:t>
            </w:r>
            <w:r w:rsidR="006261BA" w:rsidRPr="00A52A6B">
              <w:rPr>
                <w:rFonts w:asciiTheme="minorHAnsi" w:eastAsiaTheme="minorEastAsia" w:hAnsiTheme="minorHAnsi" w:cstheme="minorBidi"/>
                <w:noProof/>
                <w:sz w:val="22"/>
                <w:szCs w:val="22"/>
                <w:lang w:val="es-MX" w:eastAsia="es-MX"/>
              </w:rPr>
              <w:tab/>
            </w:r>
            <w:r w:rsidR="006261BA" w:rsidRPr="00A52A6B">
              <w:rPr>
                <w:rStyle w:val="Hipervnculo"/>
                <w:rFonts w:ascii="Palatino Linotype" w:hAnsi="Palatino Linotype"/>
                <w:b/>
                <w:noProof/>
              </w:rPr>
              <w:t>De los Derechos del solicitante de acceso a la información</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_Toc66304363 \h </w:instrText>
            </w:r>
            <w:r w:rsidR="006261BA" w:rsidRPr="00A52A6B">
              <w:rPr>
                <w:noProof/>
                <w:webHidden/>
              </w:rPr>
            </w:r>
            <w:r w:rsidR="006261BA" w:rsidRPr="00A52A6B">
              <w:rPr>
                <w:noProof/>
                <w:webHidden/>
              </w:rPr>
              <w:fldChar w:fldCharType="separate"/>
            </w:r>
            <w:r w:rsidR="006261BA" w:rsidRPr="00A52A6B">
              <w:rPr>
                <w:noProof/>
                <w:webHidden/>
              </w:rPr>
              <w:t>56</w:t>
            </w:r>
            <w:r w:rsidR="006261BA" w:rsidRPr="00A52A6B">
              <w:rPr>
                <w:noProof/>
                <w:webHidden/>
              </w:rPr>
              <w:fldChar w:fldCharType="end"/>
            </w:r>
          </w:hyperlink>
        </w:p>
        <w:p w14:paraId="4F13E33D" w14:textId="77777777" w:rsidR="006261BA" w:rsidRPr="00A52A6B" w:rsidRDefault="000F62C2" w:rsidP="006261BA">
          <w:pPr>
            <w:pStyle w:val="TDC1"/>
            <w:tabs>
              <w:tab w:val="left" w:pos="1100"/>
            </w:tabs>
            <w:rPr>
              <w:rFonts w:asciiTheme="minorHAnsi" w:eastAsiaTheme="minorEastAsia" w:hAnsiTheme="minorHAnsi" w:cstheme="minorBidi"/>
              <w:noProof/>
              <w:sz w:val="22"/>
              <w:szCs w:val="22"/>
              <w:lang w:val="es-MX" w:eastAsia="es-MX"/>
            </w:rPr>
          </w:pPr>
          <w:hyperlink w:anchor="_Toc66304364" w:history="1">
            <w:r w:rsidR="006261BA" w:rsidRPr="00A52A6B">
              <w:rPr>
                <w:rStyle w:val="Hipervnculo"/>
                <w:rFonts w:ascii="Palatino Linotype" w:hAnsi="Palatino Linotype"/>
                <w:b/>
                <w:noProof/>
              </w:rPr>
              <w:t>II.</w:t>
            </w:r>
            <w:r w:rsidR="006261BA" w:rsidRPr="00A52A6B">
              <w:rPr>
                <w:rFonts w:asciiTheme="minorHAnsi" w:eastAsiaTheme="minorEastAsia" w:hAnsiTheme="minorHAnsi" w:cstheme="minorBidi"/>
                <w:noProof/>
                <w:sz w:val="22"/>
                <w:szCs w:val="22"/>
                <w:lang w:val="es-MX" w:eastAsia="es-MX"/>
              </w:rPr>
              <w:tab/>
            </w:r>
            <w:r w:rsidR="006261BA" w:rsidRPr="00A52A6B">
              <w:rPr>
                <w:rStyle w:val="Hipervnculo"/>
                <w:rFonts w:ascii="Palatino Linotype" w:hAnsi="Palatino Linotype"/>
                <w:b/>
                <w:noProof/>
              </w:rPr>
              <w:t>De las Restricciones del solicitante del derecho de acceso a la información</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_Toc66304364 \h </w:instrText>
            </w:r>
            <w:r w:rsidR="006261BA" w:rsidRPr="00A52A6B">
              <w:rPr>
                <w:noProof/>
                <w:webHidden/>
              </w:rPr>
            </w:r>
            <w:r w:rsidR="006261BA" w:rsidRPr="00A52A6B">
              <w:rPr>
                <w:noProof/>
                <w:webHidden/>
              </w:rPr>
              <w:fldChar w:fldCharType="separate"/>
            </w:r>
            <w:r w:rsidR="006261BA" w:rsidRPr="00A52A6B">
              <w:rPr>
                <w:noProof/>
                <w:webHidden/>
              </w:rPr>
              <w:t>58</w:t>
            </w:r>
            <w:r w:rsidR="006261BA" w:rsidRPr="00A52A6B">
              <w:rPr>
                <w:noProof/>
                <w:webHidden/>
              </w:rPr>
              <w:fldChar w:fldCharType="end"/>
            </w:r>
          </w:hyperlink>
        </w:p>
        <w:p w14:paraId="49018230" w14:textId="77777777" w:rsidR="006261BA" w:rsidRPr="00A52A6B" w:rsidRDefault="000F62C2" w:rsidP="006261BA">
          <w:pPr>
            <w:pStyle w:val="TDC1"/>
            <w:tabs>
              <w:tab w:val="left" w:pos="1320"/>
            </w:tabs>
            <w:rPr>
              <w:rFonts w:asciiTheme="minorHAnsi" w:eastAsiaTheme="minorEastAsia" w:hAnsiTheme="minorHAnsi" w:cstheme="minorBidi"/>
              <w:noProof/>
              <w:sz w:val="22"/>
              <w:szCs w:val="22"/>
              <w:lang w:val="es-MX" w:eastAsia="es-MX"/>
            </w:rPr>
          </w:pPr>
          <w:hyperlink w:anchor="_Toc66304365" w:history="1">
            <w:r w:rsidR="006261BA" w:rsidRPr="00A52A6B">
              <w:rPr>
                <w:rStyle w:val="Hipervnculo"/>
                <w:rFonts w:ascii="Palatino Linotype" w:hAnsi="Palatino Linotype"/>
                <w:b/>
                <w:noProof/>
              </w:rPr>
              <w:t>III.</w:t>
            </w:r>
            <w:r w:rsidR="006261BA" w:rsidRPr="00A52A6B">
              <w:rPr>
                <w:rFonts w:asciiTheme="minorHAnsi" w:eastAsiaTheme="minorEastAsia" w:hAnsiTheme="minorHAnsi" w:cstheme="minorBidi"/>
                <w:noProof/>
                <w:sz w:val="22"/>
                <w:szCs w:val="22"/>
                <w:lang w:val="es-MX" w:eastAsia="es-MX"/>
              </w:rPr>
              <w:tab/>
            </w:r>
            <w:r w:rsidR="006261BA" w:rsidRPr="00A52A6B">
              <w:rPr>
                <w:rStyle w:val="Hipervnculo"/>
                <w:rFonts w:ascii="Palatino Linotype" w:hAnsi="Palatino Linotype"/>
                <w:b/>
                <w:noProof/>
              </w:rPr>
              <w:t>De la acreditación de la legalidad de la resolución del Instituto de Transparencia, Acceso a la Información Pública y Protección de Datos Personales del Estado de México y Municipios.</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_Toc66304365 \h </w:instrText>
            </w:r>
            <w:r w:rsidR="006261BA" w:rsidRPr="00A52A6B">
              <w:rPr>
                <w:noProof/>
                <w:webHidden/>
              </w:rPr>
            </w:r>
            <w:r w:rsidR="006261BA" w:rsidRPr="00A52A6B">
              <w:rPr>
                <w:noProof/>
                <w:webHidden/>
              </w:rPr>
              <w:fldChar w:fldCharType="separate"/>
            </w:r>
            <w:r w:rsidR="006261BA" w:rsidRPr="00A52A6B">
              <w:rPr>
                <w:noProof/>
                <w:webHidden/>
              </w:rPr>
              <w:t>63</w:t>
            </w:r>
            <w:r w:rsidR="006261BA" w:rsidRPr="00A52A6B">
              <w:rPr>
                <w:noProof/>
                <w:webHidden/>
              </w:rPr>
              <w:fldChar w:fldCharType="end"/>
            </w:r>
          </w:hyperlink>
        </w:p>
        <w:p w14:paraId="59EC3BE9" w14:textId="77777777" w:rsidR="006261BA" w:rsidRPr="00A52A6B" w:rsidRDefault="000F62C2" w:rsidP="006261BA">
          <w:pPr>
            <w:pStyle w:val="TDC1"/>
            <w:tabs>
              <w:tab w:val="left" w:pos="1320"/>
            </w:tabs>
            <w:rPr>
              <w:rFonts w:asciiTheme="minorHAnsi" w:eastAsiaTheme="minorEastAsia" w:hAnsiTheme="minorHAnsi" w:cstheme="minorBidi"/>
              <w:noProof/>
              <w:sz w:val="22"/>
              <w:szCs w:val="22"/>
              <w:lang w:val="es-MX" w:eastAsia="es-MX"/>
            </w:rPr>
          </w:pPr>
          <w:hyperlink w:anchor="_Toc66304366" w:history="1">
            <w:r w:rsidR="006261BA" w:rsidRPr="00A52A6B">
              <w:rPr>
                <w:rStyle w:val="Hipervnculo"/>
                <w:rFonts w:ascii="Palatino Linotype" w:hAnsi="Palatino Linotype"/>
                <w:b/>
                <w:noProof/>
              </w:rPr>
              <w:t>IV.</w:t>
            </w:r>
            <w:r w:rsidR="006261BA" w:rsidRPr="00A52A6B">
              <w:rPr>
                <w:rFonts w:asciiTheme="minorHAnsi" w:eastAsiaTheme="minorEastAsia" w:hAnsiTheme="minorHAnsi" w:cstheme="minorBidi"/>
                <w:noProof/>
                <w:sz w:val="22"/>
                <w:szCs w:val="22"/>
                <w:lang w:val="es-MX" w:eastAsia="es-MX"/>
              </w:rPr>
              <w:tab/>
            </w:r>
            <w:r w:rsidR="006261BA" w:rsidRPr="00A52A6B">
              <w:rPr>
                <w:rStyle w:val="Hipervnculo"/>
                <w:rFonts w:ascii="Palatino Linotype" w:hAnsi="Palatino Linotype"/>
                <w:b/>
                <w:noProof/>
              </w:rPr>
              <w:t>De las deficiencias en la resolución del recurso de inconformidad emitida por el Instituto Nacional de Transparencia, Acceso a la Información Pública y Protección de Datos Personales.</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_Toc66304366 \h </w:instrText>
            </w:r>
            <w:r w:rsidR="006261BA" w:rsidRPr="00A52A6B">
              <w:rPr>
                <w:noProof/>
                <w:webHidden/>
              </w:rPr>
            </w:r>
            <w:r w:rsidR="006261BA" w:rsidRPr="00A52A6B">
              <w:rPr>
                <w:noProof/>
                <w:webHidden/>
              </w:rPr>
              <w:fldChar w:fldCharType="separate"/>
            </w:r>
            <w:r w:rsidR="006261BA" w:rsidRPr="00A52A6B">
              <w:rPr>
                <w:noProof/>
                <w:webHidden/>
              </w:rPr>
              <w:t>75</w:t>
            </w:r>
            <w:r w:rsidR="006261BA" w:rsidRPr="00A52A6B">
              <w:rPr>
                <w:noProof/>
                <w:webHidden/>
              </w:rPr>
              <w:fldChar w:fldCharType="end"/>
            </w:r>
          </w:hyperlink>
        </w:p>
        <w:p w14:paraId="56C336A1" w14:textId="77777777" w:rsidR="006261BA" w:rsidRPr="00A52A6B" w:rsidRDefault="000F62C2" w:rsidP="006261BA">
          <w:pPr>
            <w:pStyle w:val="TDC1"/>
            <w:tabs>
              <w:tab w:val="left" w:pos="1100"/>
            </w:tabs>
            <w:rPr>
              <w:rFonts w:asciiTheme="minorHAnsi" w:eastAsiaTheme="minorEastAsia" w:hAnsiTheme="minorHAnsi" w:cstheme="minorBidi"/>
              <w:noProof/>
              <w:sz w:val="22"/>
              <w:szCs w:val="22"/>
              <w:lang w:val="es-MX" w:eastAsia="es-MX"/>
            </w:rPr>
          </w:pPr>
          <w:hyperlink w:anchor="_Toc66304367" w:history="1">
            <w:r w:rsidR="006261BA" w:rsidRPr="00A52A6B">
              <w:rPr>
                <w:rStyle w:val="Hipervnculo"/>
                <w:rFonts w:ascii="Palatino Linotype" w:hAnsi="Palatino Linotype"/>
                <w:b/>
                <w:noProof/>
              </w:rPr>
              <w:t>V.</w:t>
            </w:r>
            <w:r w:rsidR="006261BA" w:rsidRPr="00A52A6B">
              <w:rPr>
                <w:rFonts w:asciiTheme="minorHAnsi" w:eastAsiaTheme="minorEastAsia" w:hAnsiTheme="minorHAnsi" w:cstheme="minorBidi"/>
                <w:noProof/>
                <w:sz w:val="22"/>
                <w:szCs w:val="22"/>
                <w:lang w:val="es-MX" w:eastAsia="es-MX"/>
              </w:rPr>
              <w:tab/>
            </w:r>
            <w:r w:rsidR="006261BA" w:rsidRPr="00A52A6B">
              <w:rPr>
                <w:rStyle w:val="Hipervnculo"/>
                <w:rFonts w:ascii="Palatino Linotype" w:hAnsi="Palatino Linotype"/>
                <w:b/>
                <w:noProof/>
              </w:rPr>
              <w:t>Conclusiones</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_Toc66304367 \h </w:instrText>
            </w:r>
            <w:r w:rsidR="006261BA" w:rsidRPr="00A52A6B">
              <w:rPr>
                <w:noProof/>
                <w:webHidden/>
              </w:rPr>
            </w:r>
            <w:r w:rsidR="006261BA" w:rsidRPr="00A52A6B">
              <w:rPr>
                <w:noProof/>
                <w:webHidden/>
              </w:rPr>
              <w:fldChar w:fldCharType="separate"/>
            </w:r>
            <w:r w:rsidR="006261BA" w:rsidRPr="00A52A6B">
              <w:rPr>
                <w:noProof/>
                <w:webHidden/>
              </w:rPr>
              <w:t>76</w:t>
            </w:r>
            <w:r w:rsidR="006261BA" w:rsidRPr="00A52A6B">
              <w:rPr>
                <w:noProof/>
                <w:webHidden/>
              </w:rPr>
              <w:fldChar w:fldCharType="end"/>
            </w:r>
          </w:hyperlink>
        </w:p>
        <w:p w14:paraId="1A13A84A" w14:textId="77777777" w:rsidR="006261BA" w:rsidRPr="00A52A6B" w:rsidRDefault="000F62C2">
          <w:pPr>
            <w:pStyle w:val="TDC1"/>
            <w:rPr>
              <w:rFonts w:asciiTheme="minorHAnsi" w:eastAsiaTheme="minorEastAsia" w:hAnsiTheme="minorHAnsi" w:cstheme="minorBidi"/>
              <w:noProof/>
              <w:sz w:val="22"/>
              <w:szCs w:val="22"/>
              <w:lang w:val="es-MX" w:eastAsia="es-MX"/>
            </w:rPr>
          </w:pPr>
          <w:hyperlink w:anchor="_Toc66304368" w:history="1">
            <w:r w:rsidR="006261BA" w:rsidRPr="00A52A6B">
              <w:rPr>
                <w:rStyle w:val="Hipervnculo"/>
                <w:rFonts w:ascii="Palatino Linotype" w:hAnsi="Palatino Linotype"/>
                <w:b/>
                <w:noProof/>
                <w:shd w:val="clear" w:color="auto" w:fill="FFFFFF"/>
              </w:rPr>
              <w:t>CUARTO. Cumplimiento al Recurso de Inconformidad 00148/20</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_Toc66304368 \h </w:instrText>
            </w:r>
            <w:r w:rsidR="006261BA" w:rsidRPr="00A52A6B">
              <w:rPr>
                <w:noProof/>
                <w:webHidden/>
              </w:rPr>
            </w:r>
            <w:r w:rsidR="006261BA" w:rsidRPr="00A52A6B">
              <w:rPr>
                <w:noProof/>
                <w:webHidden/>
              </w:rPr>
              <w:fldChar w:fldCharType="separate"/>
            </w:r>
            <w:r w:rsidR="006261BA" w:rsidRPr="00A52A6B">
              <w:rPr>
                <w:noProof/>
                <w:webHidden/>
              </w:rPr>
              <w:t>78</w:t>
            </w:r>
            <w:r w:rsidR="006261BA" w:rsidRPr="00A52A6B">
              <w:rPr>
                <w:noProof/>
                <w:webHidden/>
              </w:rPr>
              <w:fldChar w:fldCharType="end"/>
            </w:r>
          </w:hyperlink>
        </w:p>
        <w:p w14:paraId="7F2BE4A3" w14:textId="77777777" w:rsidR="006261BA" w:rsidRPr="00A52A6B" w:rsidRDefault="000F62C2">
          <w:pPr>
            <w:pStyle w:val="TDC2"/>
            <w:tabs>
              <w:tab w:val="left" w:pos="1100"/>
            </w:tabs>
            <w:rPr>
              <w:rFonts w:asciiTheme="minorHAnsi" w:eastAsiaTheme="minorEastAsia" w:hAnsiTheme="minorHAnsi" w:cstheme="minorBidi"/>
              <w:noProof/>
              <w:sz w:val="22"/>
              <w:szCs w:val="22"/>
              <w:lang w:val="es-MX" w:eastAsia="es-MX"/>
            </w:rPr>
          </w:pPr>
          <w:hyperlink w:anchor="_Toc66304369" w:history="1">
            <w:r w:rsidR="006261BA" w:rsidRPr="00A52A6B">
              <w:rPr>
                <w:rStyle w:val="Hipervnculo"/>
                <w:rFonts w:ascii="Palatino Linotype" w:hAnsi="Palatino Linotype"/>
                <w:b/>
                <w:noProof/>
              </w:rPr>
              <w:t>A.</w:t>
            </w:r>
            <w:r w:rsidR="006261BA" w:rsidRPr="00A52A6B">
              <w:rPr>
                <w:rFonts w:asciiTheme="minorHAnsi" w:eastAsiaTheme="minorEastAsia" w:hAnsiTheme="minorHAnsi" w:cstheme="minorBidi"/>
                <w:noProof/>
                <w:sz w:val="22"/>
                <w:szCs w:val="22"/>
                <w:lang w:val="es-MX" w:eastAsia="es-MX"/>
              </w:rPr>
              <w:tab/>
            </w:r>
            <w:r w:rsidR="006261BA" w:rsidRPr="00A52A6B">
              <w:rPr>
                <w:rStyle w:val="Hipervnculo"/>
                <w:rFonts w:ascii="Palatino Linotype" w:hAnsi="Palatino Linotype"/>
                <w:b/>
                <w:noProof/>
              </w:rPr>
              <w:t>Requisitos de fondo del acuerdo de clasificación.</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_Toc66304369 \h </w:instrText>
            </w:r>
            <w:r w:rsidR="006261BA" w:rsidRPr="00A52A6B">
              <w:rPr>
                <w:noProof/>
                <w:webHidden/>
              </w:rPr>
            </w:r>
            <w:r w:rsidR="006261BA" w:rsidRPr="00A52A6B">
              <w:rPr>
                <w:noProof/>
                <w:webHidden/>
              </w:rPr>
              <w:fldChar w:fldCharType="separate"/>
            </w:r>
            <w:r w:rsidR="006261BA" w:rsidRPr="00A52A6B">
              <w:rPr>
                <w:noProof/>
                <w:webHidden/>
              </w:rPr>
              <w:t>87</w:t>
            </w:r>
            <w:r w:rsidR="006261BA" w:rsidRPr="00A52A6B">
              <w:rPr>
                <w:noProof/>
                <w:webHidden/>
              </w:rPr>
              <w:fldChar w:fldCharType="end"/>
            </w:r>
          </w:hyperlink>
        </w:p>
        <w:p w14:paraId="51EF458A" w14:textId="77777777" w:rsidR="006261BA" w:rsidRPr="00A52A6B" w:rsidRDefault="000F62C2">
          <w:pPr>
            <w:pStyle w:val="TDC1"/>
            <w:rPr>
              <w:rFonts w:asciiTheme="minorHAnsi" w:eastAsiaTheme="minorEastAsia" w:hAnsiTheme="minorHAnsi" w:cstheme="minorBidi"/>
              <w:noProof/>
              <w:sz w:val="22"/>
              <w:szCs w:val="22"/>
              <w:lang w:val="es-MX" w:eastAsia="es-MX"/>
            </w:rPr>
          </w:pPr>
          <w:hyperlink w:anchor="_Toc66304370" w:history="1">
            <w:r w:rsidR="006261BA" w:rsidRPr="00A52A6B">
              <w:rPr>
                <w:rStyle w:val="Hipervnculo"/>
                <w:rFonts w:ascii="Palatino Linotype" w:eastAsia="Calibri" w:hAnsi="Palatino Linotype"/>
                <w:b/>
                <w:noProof/>
                <w:lang w:val="es-ES_tradnl" w:eastAsia="es-ES"/>
              </w:rPr>
              <w:t>R E S O L U T I V O S</w:t>
            </w:r>
            <w:r w:rsidR="006261BA" w:rsidRPr="00A52A6B">
              <w:rPr>
                <w:noProof/>
                <w:webHidden/>
              </w:rPr>
              <w:tab/>
            </w:r>
            <w:r w:rsidR="006261BA" w:rsidRPr="00A52A6B">
              <w:rPr>
                <w:noProof/>
                <w:webHidden/>
              </w:rPr>
              <w:fldChar w:fldCharType="begin"/>
            </w:r>
            <w:r w:rsidR="006261BA" w:rsidRPr="00A52A6B">
              <w:rPr>
                <w:noProof/>
                <w:webHidden/>
              </w:rPr>
              <w:instrText xml:space="preserve"> PAGEREF _Toc66304370 \h </w:instrText>
            </w:r>
            <w:r w:rsidR="006261BA" w:rsidRPr="00A52A6B">
              <w:rPr>
                <w:noProof/>
                <w:webHidden/>
              </w:rPr>
            </w:r>
            <w:r w:rsidR="006261BA" w:rsidRPr="00A52A6B">
              <w:rPr>
                <w:noProof/>
                <w:webHidden/>
              </w:rPr>
              <w:fldChar w:fldCharType="separate"/>
            </w:r>
            <w:r w:rsidR="006261BA" w:rsidRPr="00A52A6B">
              <w:rPr>
                <w:noProof/>
                <w:webHidden/>
              </w:rPr>
              <w:t>94</w:t>
            </w:r>
            <w:r w:rsidR="006261BA" w:rsidRPr="00A52A6B">
              <w:rPr>
                <w:noProof/>
                <w:webHidden/>
              </w:rPr>
              <w:fldChar w:fldCharType="end"/>
            </w:r>
          </w:hyperlink>
        </w:p>
        <w:p w14:paraId="634B9094" w14:textId="77777777" w:rsidR="00892544" w:rsidRPr="00A52A6B" w:rsidRDefault="00892544" w:rsidP="00892544">
          <w:pPr>
            <w:spacing w:line="276" w:lineRule="auto"/>
            <w:jc w:val="both"/>
            <w:rPr>
              <w:rFonts w:ascii="Palatino Linotype" w:hAnsi="Palatino Linotype"/>
              <w:b/>
              <w:bCs/>
              <w:sz w:val="24"/>
              <w:lang w:val="es-ES_tradnl"/>
            </w:rPr>
          </w:pPr>
          <w:r w:rsidRPr="00A52A6B">
            <w:rPr>
              <w:rFonts w:ascii="Palatino Linotype" w:hAnsi="Palatino Linotype"/>
              <w:b/>
              <w:bCs/>
              <w:sz w:val="32"/>
              <w:szCs w:val="28"/>
              <w:lang w:val="es-ES_tradnl"/>
            </w:rPr>
            <w:fldChar w:fldCharType="end"/>
          </w:r>
        </w:p>
      </w:sdtContent>
    </w:sdt>
    <w:p w14:paraId="64F6689D" w14:textId="77777777" w:rsidR="00756BD4" w:rsidRPr="00A52A6B" w:rsidRDefault="00A52A6B" w:rsidP="00892544">
      <w:pPr>
        <w:spacing w:line="360" w:lineRule="auto"/>
        <w:jc w:val="both"/>
        <w:rPr>
          <w:rFonts w:ascii="Palatino Linotype" w:hAnsi="Palatino Linotype"/>
          <w:sz w:val="24"/>
          <w:lang w:val="es-ES_tradnl"/>
        </w:rPr>
      </w:pPr>
      <w:r>
        <w:rPr>
          <w:rFonts w:ascii="Palatino Linotype" w:hAnsi="Palatino Linotype"/>
          <w:noProof/>
          <w:sz w:val="24"/>
          <w:lang w:eastAsia="es-MX"/>
        </w:rPr>
        <mc:AlternateContent>
          <mc:Choice Requires="wps">
            <w:drawing>
              <wp:anchor distT="0" distB="0" distL="114300" distR="114300" simplePos="0" relativeHeight="251669504" behindDoc="0" locked="0" layoutInCell="1" allowOverlap="1" wp14:anchorId="7BD6DF9F" wp14:editId="7D4DC2F4">
                <wp:simplePos x="0" y="0"/>
                <wp:positionH relativeFrom="column">
                  <wp:posOffset>-108586</wp:posOffset>
                </wp:positionH>
                <wp:positionV relativeFrom="paragraph">
                  <wp:posOffset>113029</wp:posOffset>
                </wp:positionV>
                <wp:extent cx="5705475" cy="56483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705475" cy="5648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869018" id="Conector recto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5pt,8.9pt" to="440.7pt,4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" strokecolor="#5b9bd5 [3204]" strokeweight=".5pt">
                <v:stroke joinstyle="miter"/>
              </v:line>
            </w:pict>
          </mc:Fallback>
        </mc:AlternateContent>
      </w:r>
    </w:p>
    <w:p w14:paraId="5C18299F" w14:textId="77777777" w:rsidR="00756BD4" w:rsidRPr="00A52A6B" w:rsidRDefault="00756BD4" w:rsidP="00892544">
      <w:pPr>
        <w:spacing w:line="360" w:lineRule="auto"/>
        <w:jc w:val="both"/>
        <w:rPr>
          <w:rFonts w:ascii="Palatino Linotype" w:hAnsi="Palatino Linotype"/>
          <w:sz w:val="24"/>
          <w:lang w:val="es-ES_tradnl"/>
        </w:rPr>
      </w:pPr>
    </w:p>
    <w:p w14:paraId="2601A9C1" w14:textId="77777777" w:rsidR="00756BD4" w:rsidRPr="00A52A6B" w:rsidRDefault="00756BD4" w:rsidP="00892544">
      <w:pPr>
        <w:spacing w:line="360" w:lineRule="auto"/>
        <w:jc w:val="both"/>
        <w:rPr>
          <w:rFonts w:ascii="Palatino Linotype" w:hAnsi="Palatino Linotype"/>
          <w:sz w:val="24"/>
          <w:lang w:val="es-ES_tradnl"/>
        </w:rPr>
      </w:pPr>
    </w:p>
    <w:p w14:paraId="28DA27A8" w14:textId="77777777" w:rsidR="00756BD4" w:rsidRPr="00A52A6B" w:rsidRDefault="00756BD4" w:rsidP="00892544">
      <w:pPr>
        <w:spacing w:line="360" w:lineRule="auto"/>
        <w:jc w:val="both"/>
        <w:rPr>
          <w:rFonts w:ascii="Palatino Linotype" w:hAnsi="Palatino Linotype"/>
          <w:sz w:val="24"/>
          <w:lang w:val="es-ES_tradnl"/>
        </w:rPr>
      </w:pPr>
    </w:p>
    <w:p w14:paraId="54302A00" w14:textId="77777777" w:rsidR="00756BD4" w:rsidRPr="00A52A6B" w:rsidRDefault="00756BD4" w:rsidP="00892544">
      <w:pPr>
        <w:spacing w:line="360" w:lineRule="auto"/>
        <w:jc w:val="both"/>
        <w:rPr>
          <w:rFonts w:ascii="Palatino Linotype" w:hAnsi="Palatino Linotype"/>
          <w:sz w:val="24"/>
          <w:lang w:val="es-ES_tradnl"/>
        </w:rPr>
      </w:pPr>
    </w:p>
    <w:p w14:paraId="56C83743" w14:textId="77777777" w:rsidR="00756BD4" w:rsidRPr="00A52A6B" w:rsidRDefault="00756BD4" w:rsidP="00892544">
      <w:pPr>
        <w:spacing w:line="360" w:lineRule="auto"/>
        <w:jc w:val="both"/>
        <w:rPr>
          <w:rFonts w:ascii="Palatino Linotype" w:hAnsi="Palatino Linotype"/>
          <w:sz w:val="24"/>
          <w:lang w:val="es-ES_tradnl"/>
        </w:rPr>
      </w:pPr>
    </w:p>
    <w:p w14:paraId="59FCE971" w14:textId="77777777" w:rsidR="00756BD4" w:rsidRPr="00A52A6B" w:rsidRDefault="00756BD4" w:rsidP="00892544">
      <w:pPr>
        <w:spacing w:line="360" w:lineRule="auto"/>
        <w:jc w:val="both"/>
        <w:rPr>
          <w:rFonts w:ascii="Palatino Linotype" w:hAnsi="Palatino Linotype"/>
          <w:sz w:val="24"/>
          <w:lang w:val="es-ES_tradnl"/>
        </w:rPr>
      </w:pPr>
    </w:p>
    <w:p w14:paraId="569487AA" w14:textId="77777777" w:rsidR="00756BD4" w:rsidRPr="00A52A6B" w:rsidRDefault="00756BD4" w:rsidP="00892544">
      <w:pPr>
        <w:spacing w:line="360" w:lineRule="auto"/>
        <w:jc w:val="both"/>
        <w:rPr>
          <w:rFonts w:ascii="Palatino Linotype" w:hAnsi="Palatino Linotype"/>
          <w:sz w:val="24"/>
          <w:lang w:val="es-ES_tradnl"/>
        </w:rPr>
      </w:pPr>
    </w:p>
    <w:p w14:paraId="1B256904" w14:textId="77777777" w:rsidR="00756BD4" w:rsidRPr="00A52A6B" w:rsidRDefault="00756BD4" w:rsidP="00892544">
      <w:pPr>
        <w:spacing w:line="360" w:lineRule="auto"/>
        <w:jc w:val="both"/>
        <w:rPr>
          <w:rFonts w:ascii="Palatino Linotype" w:hAnsi="Palatino Linotype"/>
          <w:sz w:val="24"/>
          <w:lang w:val="es-ES_tradnl"/>
        </w:rPr>
      </w:pPr>
    </w:p>
    <w:p w14:paraId="053A7348" w14:textId="77777777" w:rsidR="00756BD4" w:rsidRPr="00A52A6B" w:rsidRDefault="00756BD4" w:rsidP="00892544">
      <w:pPr>
        <w:spacing w:line="360" w:lineRule="auto"/>
        <w:jc w:val="both"/>
        <w:rPr>
          <w:rFonts w:ascii="Palatino Linotype" w:hAnsi="Palatino Linotype"/>
          <w:sz w:val="24"/>
          <w:lang w:val="es-ES_tradnl"/>
        </w:rPr>
      </w:pPr>
    </w:p>
    <w:p w14:paraId="2E6546CE" w14:textId="77777777" w:rsidR="00756BD4" w:rsidRPr="00A52A6B" w:rsidRDefault="00756BD4" w:rsidP="00892544">
      <w:pPr>
        <w:spacing w:line="360" w:lineRule="auto"/>
        <w:jc w:val="both"/>
        <w:rPr>
          <w:rFonts w:ascii="Palatino Linotype" w:hAnsi="Palatino Linotype"/>
          <w:sz w:val="24"/>
          <w:lang w:val="es-ES_tradnl"/>
        </w:rPr>
      </w:pPr>
    </w:p>
    <w:p w14:paraId="7E5A28C5" w14:textId="77777777" w:rsidR="00892544" w:rsidRPr="00A52A6B" w:rsidRDefault="00892544" w:rsidP="00892544">
      <w:pPr>
        <w:spacing w:line="360" w:lineRule="auto"/>
        <w:jc w:val="both"/>
        <w:rPr>
          <w:rFonts w:ascii="Palatino Linotype" w:hAnsi="Palatino Linotype"/>
          <w:sz w:val="24"/>
          <w:lang w:val="es-ES_tradnl"/>
        </w:rPr>
      </w:pPr>
      <w:r w:rsidRPr="00A52A6B">
        <w:rPr>
          <w:rFonts w:ascii="Palatino Linotype" w:hAnsi="Palatino Linotype"/>
          <w:sz w:val="24"/>
          <w:lang w:val="es-ES_tradnl"/>
        </w:rPr>
        <w:lastRenderedPageBreak/>
        <w:t xml:space="preserve">Resolución del Pleno del Instituto de Transparencia, Acceso a la Información Pública y Protección de Datos Personales del Estado de México y Municipios, con domicilio en Metepec, Estado de México; de </w:t>
      </w:r>
      <w:r w:rsidR="00756BD4" w:rsidRPr="00A52A6B">
        <w:rPr>
          <w:rFonts w:ascii="Palatino Linotype" w:hAnsi="Palatino Linotype"/>
          <w:sz w:val="24"/>
          <w:lang w:val="es-ES_tradnl"/>
        </w:rPr>
        <w:t xml:space="preserve">fecha dieciocho (18) de </w:t>
      </w:r>
      <w:proofErr w:type="gramStart"/>
      <w:r w:rsidR="00756BD4" w:rsidRPr="00A52A6B">
        <w:rPr>
          <w:rFonts w:ascii="Palatino Linotype" w:hAnsi="Palatino Linotype"/>
          <w:sz w:val="24"/>
          <w:lang w:val="es-ES_tradnl"/>
        </w:rPr>
        <w:t xml:space="preserve">marzo </w:t>
      </w:r>
      <w:r w:rsidRPr="00A52A6B">
        <w:rPr>
          <w:rFonts w:ascii="Palatino Linotype" w:hAnsi="Palatino Linotype"/>
          <w:sz w:val="24"/>
          <w:lang w:val="es-ES_tradnl"/>
        </w:rPr>
        <w:t xml:space="preserve"> de</w:t>
      </w:r>
      <w:proofErr w:type="gramEnd"/>
      <w:r w:rsidRPr="00A52A6B">
        <w:rPr>
          <w:rFonts w:ascii="Palatino Linotype" w:hAnsi="Palatino Linotype"/>
          <w:sz w:val="24"/>
          <w:lang w:val="es-ES_tradnl"/>
        </w:rPr>
        <w:t xml:space="preserve"> dos mil veintiuno.</w:t>
      </w:r>
    </w:p>
    <w:p w14:paraId="63DB08E6" w14:textId="4CA2EA77" w:rsidR="00892544" w:rsidRPr="00A52A6B" w:rsidRDefault="00892544" w:rsidP="00892544">
      <w:pPr>
        <w:spacing w:before="240" w:after="360" w:line="360" w:lineRule="auto"/>
        <w:jc w:val="both"/>
        <w:rPr>
          <w:rFonts w:ascii="Palatino Linotype" w:hAnsi="Palatino Linotype" w:cs="Arial"/>
          <w:b/>
          <w:bCs/>
          <w:sz w:val="24"/>
          <w:lang w:val="es-ES_tradnl"/>
        </w:rPr>
      </w:pPr>
      <w:r w:rsidRPr="00A52A6B">
        <w:rPr>
          <w:rFonts w:ascii="Palatino Linotype" w:hAnsi="Palatino Linotype"/>
          <w:sz w:val="24"/>
          <w:lang w:val="es-ES_tradnl"/>
        </w:rPr>
        <w:t xml:space="preserve">Visto </w:t>
      </w:r>
      <w:r w:rsidRPr="00A52A6B">
        <w:rPr>
          <w:rFonts w:ascii="Palatino Linotype" w:hAnsi="Palatino Linotype"/>
          <w:color w:val="000000" w:themeColor="text1"/>
          <w:sz w:val="24"/>
          <w:lang w:val="es-ES_tradnl"/>
        </w:rPr>
        <w:t xml:space="preserve">el expediente formado con motivo de los recursos de revisión </w:t>
      </w:r>
      <w:r w:rsidR="00756BD4" w:rsidRPr="00A52A6B">
        <w:rPr>
          <w:rFonts w:ascii="Palatino Linotype" w:hAnsi="Palatino Linotype"/>
          <w:b/>
          <w:color w:val="000000" w:themeColor="text1"/>
          <w:sz w:val="24"/>
          <w:lang w:val="es-ES_tradnl"/>
        </w:rPr>
        <w:t>02758/INFOEM/IP/RR/2020, 02759/INFOEM/IP/RR/2020, 02851/INFOEM/IP/RR/2020, 02852/INFOEM/IP/RR/2020 y 02853</w:t>
      </w:r>
      <w:r w:rsidRPr="00A52A6B">
        <w:rPr>
          <w:rFonts w:ascii="Palatino Linotype" w:hAnsi="Palatino Linotype"/>
          <w:b/>
          <w:color w:val="000000" w:themeColor="text1"/>
          <w:sz w:val="24"/>
          <w:lang w:val="es-ES_tradnl"/>
        </w:rPr>
        <w:t>/INFOEM/IP/RR/2020</w:t>
      </w:r>
      <w:r w:rsidRPr="00A52A6B">
        <w:rPr>
          <w:rFonts w:ascii="Palatino Linotype" w:hAnsi="Palatino Linotype"/>
          <w:color w:val="000000" w:themeColor="text1"/>
          <w:sz w:val="24"/>
          <w:lang w:val="es-ES_tradnl"/>
        </w:rPr>
        <w:t xml:space="preserve">, promovido por la C. </w:t>
      </w:r>
      <w:r w:rsidR="007348F8" w:rsidRPr="007348F8">
        <w:rPr>
          <w:rFonts w:ascii="Palatino Linotype" w:hAnsi="Palatino Linotype"/>
          <w:b/>
          <w:sz w:val="24"/>
          <w:highlight w:val="black"/>
        </w:rPr>
        <w:t>-------------------------------------------</w:t>
      </w:r>
      <w:r w:rsidRPr="00A52A6B">
        <w:rPr>
          <w:rFonts w:ascii="Palatino Linotype" w:hAnsi="Palatino Linotype"/>
          <w:color w:val="000000" w:themeColor="text1"/>
          <w:sz w:val="24"/>
          <w:lang w:val="es-ES_tradnl"/>
        </w:rPr>
        <w:t xml:space="preserve">, </w:t>
      </w:r>
      <w:r w:rsidRPr="00A52A6B">
        <w:rPr>
          <w:rFonts w:ascii="Palatino Linotype" w:hAnsi="Palatino Linotype" w:cs="Arial"/>
          <w:color w:val="000000" w:themeColor="text1"/>
          <w:sz w:val="24"/>
          <w:lang w:val="es-ES_tradnl"/>
        </w:rPr>
        <w:t>en lo sucesivo</w:t>
      </w:r>
      <w:r w:rsidRPr="00A52A6B">
        <w:rPr>
          <w:rFonts w:ascii="Palatino Linotype" w:hAnsi="Palatino Linotype" w:cs="Arial"/>
          <w:b/>
          <w:color w:val="000000" w:themeColor="text1"/>
          <w:sz w:val="24"/>
          <w:lang w:val="es-ES_tradnl"/>
        </w:rPr>
        <w:t xml:space="preserve"> LA RECURRENTE,</w:t>
      </w:r>
      <w:r w:rsidRPr="00A52A6B">
        <w:rPr>
          <w:rFonts w:ascii="Palatino Linotype" w:hAnsi="Palatino Linotype"/>
          <w:color w:val="000000" w:themeColor="text1"/>
          <w:sz w:val="24"/>
          <w:lang w:val="es-ES_tradnl"/>
        </w:rPr>
        <w:t xml:space="preserve"> en contra de la respuesta emitida por el </w:t>
      </w:r>
      <w:r w:rsidRPr="00A52A6B">
        <w:rPr>
          <w:rFonts w:ascii="Palatino Linotype" w:hAnsi="Palatino Linotype"/>
          <w:b/>
          <w:color w:val="000000" w:themeColor="text1"/>
          <w:sz w:val="24"/>
          <w:lang w:val="es-ES_tradnl"/>
        </w:rPr>
        <w:t xml:space="preserve">Ayuntamiento de Ixtapan de la Sal, </w:t>
      </w:r>
      <w:r w:rsidRPr="00A52A6B">
        <w:rPr>
          <w:rFonts w:ascii="Palatino Linotype" w:hAnsi="Palatino Linotype"/>
          <w:color w:val="000000" w:themeColor="text1"/>
          <w:sz w:val="24"/>
          <w:lang w:val="es-ES_tradnl"/>
        </w:rPr>
        <w:t xml:space="preserve">en lo sucesivo </w:t>
      </w:r>
      <w:r w:rsidRPr="00A52A6B">
        <w:rPr>
          <w:rFonts w:ascii="Palatino Linotype" w:hAnsi="Palatino Linotype"/>
          <w:b/>
          <w:color w:val="000000" w:themeColor="text1"/>
          <w:sz w:val="24"/>
          <w:lang w:val="es-ES_tradnl"/>
        </w:rPr>
        <w:t>EL SUJETO OBLIGADO</w:t>
      </w:r>
      <w:r w:rsidRPr="00A52A6B">
        <w:rPr>
          <w:rFonts w:ascii="Palatino Linotype" w:hAnsi="Palatino Linotype"/>
          <w:color w:val="000000" w:themeColor="text1"/>
          <w:sz w:val="24"/>
          <w:lang w:val="es-ES_tradnl"/>
        </w:rPr>
        <w:t xml:space="preserve">, se procede a dictar la presente resolución, </w:t>
      </w:r>
      <w:r w:rsidRPr="00A52A6B">
        <w:rPr>
          <w:rStyle w:val="Ninguno"/>
          <w:rFonts w:ascii="Palatino Linotype" w:eastAsia="Palatino Linotype" w:hAnsi="Palatino Linotype" w:cs="Palatino Linotype"/>
          <w:sz w:val="24"/>
        </w:rPr>
        <w:t xml:space="preserve">en cumplimiento al fallo emitido en fecha </w:t>
      </w:r>
      <w:r w:rsidR="00AA089D" w:rsidRPr="00A52A6B">
        <w:rPr>
          <w:rStyle w:val="Ninguno"/>
          <w:rFonts w:ascii="Palatino Linotype" w:eastAsia="Palatino Linotype" w:hAnsi="Palatino Linotype" w:cs="Palatino Linotype"/>
          <w:sz w:val="24"/>
        </w:rPr>
        <w:t>veinte de enero de dos mil veintiuno</w:t>
      </w:r>
      <w:r w:rsidRPr="00A52A6B">
        <w:rPr>
          <w:rStyle w:val="Ninguno"/>
          <w:rFonts w:ascii="Palatino Linotype" w:eastAsia="Palatino Linotype" w:hAnsi="Palatino Linotype" w:cs="Palatino Linotype"/>
          <w:sz w:val="24"/>
        </w:rPr>
        <w:t xml:space="preserve">, por el Instituto Nacional de Transparencia, Acceso a la Información y Protección de Datos Personales, en lo subsecuente el </w:t>
      </w:r>
      <w:r w:rsidRPr="00A52A6B">
        <w:rPr>
          <w:rStyle w:val="Ninguno"/>
          <w:rFonts w:ascii="Palatino Linotype" w:eastAsia="Palatino Linotype" w:hAnsi="Palatino Linotype" w:cs="Palatino Linotype"/>
          <w:b/>
          <w:sz w:val="24"/>
        </w:rPr>
        <w:t>Órgano Garante Nacional</w:t>
      </w:r>
      <w:r w:rsidRPr="00A52A6B">
        <w:rPr>
          <w:rStyle w:val="Ninguno"/>
          <w:rFonts w:ascii="Palatino Linotype" w:eastAsia="Palatino Linotype" w:hAnsi="Palatino Linotype" w:cs="Palatino Linotype"/>
          <w:sz w:val="24"/>
        </w:rPr>
        <w:t xml:space="preserve">, correspondiente al  Recurso de Inconformidad número </w:t>
      </w:r>
      <w:r w:rsidR="00AA089D" w:rsidRPr="00A52A6B">
        <w:rPr>
          <w:rStyle w:val="Ninguno"/>
          <w:rFonts w:ascii="Palatino Linotype" w:eastAsia="Palatino Linotype" w:hAnsi="Palatino Linotype" w:cs="Palatino Linotype"/>
          <w:b/>
          <w:sz w:val="24"/>
        </w:rPr>
        <w:t>RIA 00148</w:t>
      </w:r>
      <w:r w:rsidRPr="00A52A6B">
        <w:rPr>
          <w:rStyle w:val="Ninguno"/>
          <w:rFonts w:ascii="Palatino Linotype" w:eastAsia="Palatino Linotype" w:hAnsi="Palatino Linotype" w:cs="Palatino Linotype"/>
          <w:b/>
          <w:sz w:val="24"/>
        </w:rPr>
        <w:t>/20</w:t>
      </w:r>
      <w:r w:rsidRPr="00A52A6B">
        <w:rPr>
          <w:rFonts w:ascii="Palatino Linotype" w:hAnsi="Palatino Linotype"/>
          <w:sz w:val="24"/>
          <w:lang w:val="es-ES_tradnl"/>
        </w:rPr>
        <w:t>, con base en los siguientes:</w:t>
      </w:r>
    </w:p>
    <w:p w14:paraId="64F138CB" w14:textId="77777777" w:rsidR="00892544" w:rsidRPr="00A52A6B" w:rsidRDefault="00892544" w:rsidP="00892544">
      <w:pPr>
        <w:pStyle w:val="Ttulo1"/>
        <w:spacing w:line="360" w:lineRule="auto"/>
        <w:jc w:val="center"/>
        <w:rPr>
          <w:rFonts w:ascii="Palatino Linotype" w:hAnsi="Palatino Linotype"/>
          <w:b/>
          <w:color w:val="auto"/>
          <w:sz w:val="28"/>
          <w:szCs w:val="24"/>
          <w:lang w:val="es-ES_tradnl"/>
        </w:rPr>
      </w:pPr>
      <w:bookmarkStart w:id="1" w:name="_Toc66304356"/>
      <w:r w:rsidRPr="00A52A6B">
        <w:rPr>
          <w:rFonts w:ascii="Palatino Linotype" w:hAnsi="Palatino Linotype"/>
          <w:b/>
          <w:color w:val="auto"/>
          <w:sz w:val="28"/>
          <w:szCs w:val="24"/>
          <w:lang w:val="es-ES_tradnl"/>
        </w:rPr>
        <w:t>ANTECEDENTES</w:t>
      </w:r>
      <w:bookmarkEnd w:id="1"/>
    </w:p>
    <w:p w14:paraId="151CAA67" w14:textId="77777777" w:rsidR="00892544" w:rsidRPr="00A52A6B" w:rsidRDefault="00892544" w:rsidP="00892544">
      <w:pPr>
        <w:rPr>
          <w:rFonts w:ascii="Palatino Linotype" w:hAnsi="Palatino Linotype"/>
          <w:sz w:val="24"/>
          <w:lang w:val="es-ES_tradnl"/>
        </w:rPr>
      </w:pPr>
    </w:p>
    <w:p w14:paraId="07C1DF0E" w14:textId="77777777" w:rsidR="00892544" w:rsidRPr="00A52A6B" w:rsidRDefault="00892544" w:rsidP="00892544">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A52A6B">
        <w:rPr>
          <w:rFonts w:ascii="Palatino Linotype" w:eastAsia="Calibri" w:hAnsi="Palatino Linotype" w:cs="Arial"/>
          <w:lang w:val="es-ES_tradnl"/>
        </w:rPr>
        <w:t xml:space="preserve">El </w:t>
      </w:r>
      <w:r w:rsidR="00AA089D" w:rsidRPr="00A52A6B">
        <w:rPr>
          <w:rFonts w:ascii="Palatino Linotype" w:eastAsia="Calibri" w:hAnsi="Palatino Linotype" w:cs="Arial"/>
          <w:sz w:val="24"/>
          <w:szCs w:val="24"/>
          <w:lang w:val="es-ES" w:eastAsia="es-ES"/>
        </w:rPr>
        <w:t>cinco (05) y doce (12) de junio</w:t>
      </w:r>
      <w:r w:rsidRPr="00A52A6B">
        <w:rPr>
          <w:rFonts w:ascii="Palatino Linotype" w:eastAsia="Calibri" w:hAnsi="Palatino Linotype" w:cs="Arial"/>
          <w:sz w:val="24"/>
          <w:szCs w:val="24"/>
          <w:lang w:val="es-ES" w:eastAsia="es-ES"/>
        </w:rPr>
        <w:t xml:space="preserve"> de dos mil veinte,</w:t>
      </w:r>
      <w:r w:rsidRPr="00A52A6B">
        <w:rPr>
          <w:rFonts w:ascii="Palatino Linotype" w:eastAsia="Calibri" w:hAnsi="Palatino Linotype" w:cs="Times New Roman"/>
          <w:sz w:val="24"/>
          <w:szCs w:val="24"/>
          <w:lang w:val="es-ES" w:eastAsia="es-ES"/>
        </w:rPr>
        <w:t xml:space="preserve"> </w:t>
      </w:r>
      <w:r w:rsidRPr="00A52A6B">
        <w:rPr>
          <w:rFonts w:ascii="Palatino Linotype" w:eastAsiaTheme="minorEastAsia" w:hAnsi="Palatino Linotype"/>
          <w:sz w:val="24"/>
          <w:szCs w:val="24"/>
          <w:lang w:val="es-ES_tradnl" w:eastAsia="es-ES"/>
        </w:rPr>
        <w:t>se presentaron</w:t>
      </w:r>
      <w:r w:rsidRPr="00A52A6B">
        <w:rPr>
          <w:rFonts w:ascii="Palatino Linotype" w:eastAsia="Calibri" w:hAnsi="Palatino Linotype" w:cs="Arial"/>
          <w:sz w:val="24"/>
          <w:szCs w:val="24"/>
          <w:lang w:val="es-ES" w:eastAsia="es-ES"/>
        </w:rPr>
        <w:t xml:space="preserve"> ante el </w:t>
      </w:r>
      <w:r w:rsidRPr="00A52A6B">
        <w:rPr>
          <w:rFonts w:ascii="Palatino Linotype" w:eastAsia="Calibri" w:hAnsi="Palatino Linotype" w:cs="Arial"/>
          <w:b/>
          <w:sz w:val="24"/>
          <w:szCs w:val="24"/>
          <w:lang w:val="es-ES" w:eastAsia="es-ES"/>
        </w:rPr>
        <w:t>SUJETO OBLIGADO</w:t>
      </w:r>
      <w:r w:rsidRPr="00A52A6B">
        <w:rPr>
          <w:rFonts w:ascii="Palatino Linotype" w:eastAsia="Calibri" w:hAnsi="Palatino Linotype" w:cs="Arial"/>
          <w:sz w:val="24"/>
          <w:szCs w:val="24"/>
          <w:lang w:val="es-ES_tradnl" w:eastAsia="es-ES"/>
        </w:rPr>
        <w:t xml:space="preserve"> vía </w:t>
      </w:r>
      <w:r w:rsidRPr="00A52A6B">
        <w:rPr>
          <w:rFonts w:ascii="Palatino Linotype" w:eastAsia="Calibri" w:hAnsi="Palatino Linotype" w:cs="Arial"/>
          <w:sz w:val="24"/>
          <w:szCs w:val="24"/>
          <w:lang w:val="es-ES" w:eastAsia="es-ES"/>
        </w:rPr>
        <w:t>Sistema de Acceso a la Información Mexiquense (</w:t>
      </w:r>
      <w:r w:rsidRPr="00A52A6B">
        <w:rPr>
          <w:rFonts w:ascii="Palatino Linotype" w:eastAsia="Calibri" w:hAnsi="Palatino Linotype" w:cs="Arial"/>
          <w:b/>
          <w:sz w:val="24"/>
          <w:szCs w:val="24"/>
          <w:lang w:val="es-ES" w:eastAsia="es-ES"/>
        </w:rPr>
        <w:t>SAIMEX)</w:t>
      </w:r>
      <w:r w:rsidRPr="00A52A6B">
        <w:rPr>
          <w:rFonts w:ascii="Palatino Linotype" w:eastAsia="Calibri" w:hAnsi="Palatino Linotype" w:cs="Arial"/>
          <w:sz w:val="24"/>
          <w:szCs w:val="24"/>
          <w:lang w:val="es-ES" w:eastAsia="es-ES"/>
        </w:rPr>
        <w:t xml:space="preserve">, las solicitudes de información registradas con los números </w:t>
      </w:r>
      <w:r w:rsidR="00AA089D" w:rsidRPr="00A52A6B">
        <w:rPr>
          <w:rFonts w:ascii="Palatino Linotype" w:hAnsi="Palatino Linotype"/>
          <w:b/>
          <w:bCs/>
          <w:sz w:val="24"/>
        </w:rPr>
        <w:t xml:space="preserve">00933/IXTASAL/IP/2020, 00932/IXTASAL/IP/2020, 00852/IXTASAL/IP/2020, </w:t>
      </w:r>
      <w:r w:rsidR="00AA089D" w:rsidRPr="00A52A6B">
        <w:rPr>
          <w:rFonts w:ascii="Palatino Linotype" w:hAnsi="Palatino Linotype"/>
          <w:b/>
          <w:bCs/>
          <w:sz w:val="24"/>
        </w:rPr>
        <w:lastRenderedPageBreak/>
        <w:t>00851/IXTASAL/IP/2020 y 00850/IXTASAL/IP/2020</w:t>
      </w:r>
      <w:r w:rsidRPr="00A52A6B">
        <w:rPr>
          <w:rFonts w:ascii="Palatino Linotype" w:eastAsiaTheme="minorEastAsia" w:hAnsi="Palatino Linotype"/>
          <w:b/>
          <w:sz w:val="24"/>
          <w:szCs w:val="24"/>
          <w:lang w:val="es-ES_tradnl" w:eastAsia="es-ES"/>
        </w:rPr>
        <w:t xml:space="preserve">, </w:t>
      </w:r>
      <w:r w:rsidRPr="00A52A6B">
        <w:rPr>
          <w:rFonts w:ascii="Palatino Linotype" w:eastAsia="Calibri" w:hAnsi="Palatino Linotype" w:cs="Arial"/>
          <w:sz w:val="24"/>
          <w:szCs w:val="24"/>
          <w:lang w:val="es-ES" w:eastAsia="es-ES"/>
        </w:rPr>
        <w:t>mediante las cuales requirieron lo siguiente:</w:t>
      </w:r>
    </w:p>
    <w:p w14:paraId="3396C0F4" w14:textId="77777777" w:rsidR="006121DA" w:rsidRPr="00A52A6B" w:rsidRDefault="006121DA" w:rsidP="006121DA">
      <w:pPr>
        <w:spacing w:after="0" w:line="360" w:lineRule="auto"/>
        <w:contextualSpacing/>
        <w:jc w:val="both"/>
        <w:rPr>
          <w:rFonts w:ascii="Palatino Linotype" w:eastAsia="Times New Roman" w:hAnsi="Palatino Linotype" w:cs="Arial"/>
          <w:sz w:val="24"/>
          <w:szCs w:val="24"/>
          <w:lang w:val="es-ES" w:eastAsia="es-ES"/>
        </w:rPr>
      </w:pPr>
    </w:p>
    <w:p w14:paraId="39751234" w14:textId="77777777" w:rsidR="00AA089D" w:rsidRPr="00A52A6B" w:rsidRDefault="00AA089D" w:rsidP="006121DA">
      <w:pPr>
        <w:pStyle w:val="Prrafodelista"/>
        <w:spacing w:line="360" w:lineRule="auto"/>
        <w:ind w:left="502" w:right="567"/>
        <w:jc w:val="both"/>
        <w:rPr>
          <w:rFonts w:ascii="Palatino Linotype" w:hAnsi="Palatino Linotype"/>
          <w:b/>
          <w:bCs/>
        </w:rPr>
      </w:pPr>
      <w:r w:rsidRPr="00A52A6B">
        <w:rPr>
          <w:rFonts w:ascii="Palatino Linotype" w:hAnsi="Palatino Linotype"/>
          <w:b/>
          <w:bCs/>
        </w:rPr>
        <w:t>00933/IXTASAL/IP/2020:</w:t>
      </w:r>
    </w:p>
    <w:p w14:paraId="5B482C41" w14:textId="77777777" w:rsidR="00AA089D" w:rsidRPr="00A52A6B" w:rsidRDefault="00AA089D" w:rsidP="00AA089D">
      <w:pPr>
        <w:pStyle w:val="Prrafodelista"/>
        <w:spacing w:line="360" w:lineRule="auto"/>
        <w:ind w:left="1069" w:right="567"/>
        <w:jc w:val="both"/>
        <w:rPr>
          <w:rFonts w:ascii="Palatino Linotype" w:hAnsi="Palatino Linotype"/>
          <w:i/>
          <w:color w:val="000000"/>
        </w:rPr>
      </w:pPr>
      <w:r w:rsidRPr="00A52A6B">
        <w:rPr>
          <w:rFonts w:ascii="Palatino Linotype" w:hAnsi="Palatino Linotype"/>
          <w:i/>
          <w:color w:val="000000"/>
        </w:rPr>
        <w:t xml:space="preserve"> “La relación de proveedores beneficiados, (todos), con la adjudicación de algún contrato de adquisiciones y/o servicios durante el ejercicio 2019, incluyendo su nombre, ubicación y costo.” (Sic) </w:t>
      </w:r>
    </w:p>
    <w:p w14:paraId="7AD6B1DF" w14:textId="77777777" w:rsidR="00AA089D" w:rsidRPr="00A52A6B" w:rsidRDefault="00AA089D" w:rsidP="00AA089D">
      <w:pPr>
        <w:pStyle w:val="Prrafodelista"/>
        <w:spacing w:line="360" w:lineRule="auto"/>
        <w:ind w:left="1069" w:right="567"/>
        <w:jc w:val="both"/>
        <w:rPr>
          <w:rFonts w:ascii="Palatino Linotype" w:hAnsi="Palatino Linotype"/>
          <w:i/>
          <w:color w:val="000000"/>
        </w:rPr>
      </w:pPr>
    </w:p>
    <w:p w14:paraId="1972A64F" w14:textId="77777777" w:rsidR="00AA089D" w:rsidRPr="00A52A6B" w:rsidRDefault="00AA089D" w:rsidP="006121DA">
      <w:pPr>
        <w:pStyle w:val="Prrafodelista"/>
        <w:spacing w:line="360" w:lineRule="auto"/>
        <w:ind w:left="502" w:right="567"/>
        <w:jc w:val="both"/>
        <w:rPr>
          <w:rFonts w:ascii="Palatino Linotype" w:hAnsi="Palatino Linotype"/>
          <w:b/>
          <w:bCs/>
          <w:i/>
        </w:rPr>
      </w:pPr>
      <w:r w:rsidRPr="00A52A6B">
        <w:rPr>
          <w:rFonts w:ascii="Palatino Linotype" w:hAnsi="Palatino Linotype"/>
          <w:b/>
          <w:bCs/>
        </w:rPr>
        <w:t>00932/IXTASAL/IP/2020</w:t>
      </w:r>
      <w:r w:rsidRPr="00A52A6B">
        <w:rPr>
          <w:rFonts w:ascii="Palatino Linotype" w:hAnsi="Palatino Linotype"/>
          <w:b/>
          <w:bCs/>
          <w:i/>
        </w:rPr>
        <w:t>:</w:t>
      </w:r>
    </w:p>
    <w:p w14:paraId="5E62E68F" w14:textId="77777777" w:rsidR="00AA089D" w:rsidRPr="00A52A6B" w:rsidRDefault="00AA089D" w:rsidP="00AA089D">
      <w:pPr>
        <w:pStyle w:val="Prrafodelista"/>
        <w:spacing w:line="360" w:lineRule="auto"/>
        <w:ind w:left="1069" w:right="567"/>
        <w:jc w:val="both"/>
        <w:rPr>
          <w:rFonts w:ascii="Palatino Linotype" w:hAnsi="Palatino Linotype"/>
          <w:i/>
          <w:color w:val="000000"/>
        </w:rPr>
      </w:pPr>
      <w:r w:rsidRPr="00A52A6B">
        <w:rPr>
          <w:rFonts w:ascii="Palatino Linotype" w:hAnsi="Palatino Linotype"/>
          <w:i/>
          <w:color w:val="000000"/>
        </w:rPr>
        <w:t>“La relación de contratistas beneficiados con la adjudicación de alguna obra durante el ejercicio 2019, incluyendo su nombre, ubicación y costo.” (Sic)</w:t>
      </w:r>
    </w:p>
    <w:p w14:paraId="1333EF31" w14:textId="77777777" w:rsidR="00AA089D" w:rsidRPr="00A52A6B" w:rsidRDefault="00AA089D" w:rsidP="00AA089D">
      <w:pPr>
        <w:pStyle w:val="Prrafodelista"/>
        <w:spacing w:line="360" w:lineRule="auto"/>
        <w:ind w:left="1069" w:right="567"/>
        <w:jc w:val="both"/>
        <w:rPr>
          <w:rFonts w:ascii="Palatino Linotype" w:hAnsi="Palatino Linotype"/>
          <w:i/>
          <w:color w:val="000000"/>
        </w:rPr>
      </w:pPr>
    </w:p>
    <w:p w14:paraId="4A6BEC36" w14:textId="77777777" w:rsidR="00AA089D" w:rsidRPr="00A52A6B" w:rsidRDefault="00AA089D" w:rsidP="006121DA">
      <w:pPr>
        <w:pStyle w:val="Prrafodelista"/>
        <w:spacing w:line="360" w:lineRule="auto"/>
        <w:ind w:left="502" w:right="567"/>
        <w:jc w:val="both"/>
        <w:rPr>
          <w:rFonts w:ascii="Palatino Linotype" w:hAnsi="Palatino Linotype"/>
          <w:i/>
          <w:color w:val="000000"/>
        </w:rPr>
      </w:pPr>
      <w:r w:rsidRPr="00A52A6B">
        <w:rPr>
          <w:rFonts w:ascii="Palatino Linotype" w:hAnsi="Palatino Linotype"/>
          <w:b/>
          <w:bCs/>
        </w:rPr>
        <w:t>00852/IXTASAL/IP/2020:</w:t>
      </w:r>
    </w:p>
    <w:p w14:paraId="2951C369" w14:textId="77777777" w:rsidR="00AA089D" w:rsidRPr="00A52A6B" w:rsidRDefault="00AA089D" w:rsidP="00AA089D">
      <w:pPr>
        <w:pStyle w:val="Prrafodelista"/>
        <w:spacing w:line="360" w:lineRule="auto"/>
        <w:ind w:left="1134" w:right="567"/>
        <w:jc w:val="both"/>
        <w:rPr>
          <w:rFonts w:ascii="Palatino Linotype" w:hAnsi="Palatino Linotype"/>
          <w:i/>
          <w:color w:val="000000"/>
        </w:rPr>
      </w:pPr>
      <w:r w:rsidRPr="00A52A6B">
        <w:rPr>
          <w:rFonts w:ascii="Palatino Linotype" w:hAnsi="Palatino Linotype"/>
          <w:i/>
          <w:color w:val="000000"/>
        </w:rPr>
        <w:t xml:space="preserve">“La información de los programas de subsidios, estímulos y apoyos otorgados por el ayuntamiento a través de cualquiera de sus áreas y/o el sistema municipal DIF , vinculados con los acuerdos de cabildo aprobados para transferir al DIF recursos municipales para otorgar apoyos diversos con motivo de la pandemia por </w:t>
      </w:r>
      <w:proofErr w:type="spellStart"/>
      <w:r w:rsidRPr="00A52A6B">
        <w:rPr>
          <w:rFonts w:ascii="Palatino Linotype" w:hAnsi="Palatino Linotype"/>
          <w:i/>
          <w:color w:val="000000"/>
        </w:rPr>
        <w:t>Covid</w:t>
      </w:r>
      <w:proofErr w:type="spellEnd"/>
      <w:r w:rsidRPr="00A52A6B">
        <w:rPr>
          <w:rFonts w:ascii="Palatino Linotype" w:hAnsi="Palatino Linotype"/>
          <w:i/>
          <w:color w:val="000000"/>
        </w:rPr>
        <w:t xml:space="preserve"> 19, en el que se deberá informar respecto de los programas de transferencia, de servicios, de infraestructura social y de subsidio, en los que se deberá contener lo siguiente: a) Área; b) Denominación del programa; c) Periodo de vigencia; d) diseño, objetivos y alcances; e) Metas físicas; f) Población beneficiada estimada; g) Monto </w:t>
      </w:r>
      <w:r w:rsidRPr="00A52A6B">
        <w:rPr>
          <w:rFonts w:ascii="Palatino Linotype" w:hAnsi="Palatino Linotype"/>
          <w:i/>
          <w:color w:val="000000"/>
        </w:rPr>
        <w:lastRenderedPageBreak/>
        <w:t>aprobado, modificado y ejercido, así como los calendarios de su programación presupuestal; h) Requisitos y procedimientos de acceso; i) Procedimiento de queja o inconformidad ciudadana; j) Mecanismos de exigibilidad; k) Mecanismos e informes de evaluación y seguimiento de recomendaciones; l) Indicadores con nombre, definición, método de cálculo, unidad de medida; dimensión, frecuencia de medición, nombre de las bases de datos utilizadas para su cálculo; m)Formas de participación social; n) Articulación con otros programas sociales; ñ) Vínculo a las reglas de operación o documento equivalente; o) Informes periódicos sobre la ejecución y los resultados de las evaluaciones realizadas; y 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40C26D49" w14:textId="77777777" w:rsidR="00AA089D" w:rsidRPr="00A52A6B" w:rsidRDefault="00AA089D" w:rsidP="00AA089D">
      <w:pPr>
        <w:pStyle w:val="Prrafodelista"/>
        <w:spacing w:line="360" w:lineRule="auto"/>
        <w:ind w:left="1134" w:right="567"/>
        <w:jc w:val="both"/>
        <w:rPr>
          <w:rFonts w:ascii="Palatino Linotype" w:hAnsi="Palatino Linotype"/>
          <w:i/>
          <w:color w:val="000000"/>
        </w:rPr>
      </w:pPr>
    </w:p>
    <w:p w14:paraId="7DE750B3" w14:textId="77777777" w:rsidR="00AA089D" w:rsidRPr="00A52A6B" w:rsidRDefault="00AA089D" w:rsidP="006121DA">
      <w:pPr>
        <w:spacing w:line="360" w:lineRule="auto"/>
        <w:ind w:left="142" w:right="567"/>
        <w:jc w:val="both"/>
        <w:rPr>
          <w:rFonts w:ascii="Palatino Linotype" w:hAnsi="Palatino Linotype"/>
          <w:i/>
          <w:color w:val="000000"/>
        </w:rPr>
      </w:pPr>
      <w:r w:rsidRPr="00A52A6B">
        <w:rPr>
          <w:rFonts w:ascii="Palatino Linotype" w:hAnsi="Palatino Linotype"/>
          <w:b/>
          <w:bCs/>
        </w:rPr>
        <w:t>00851/IXTASAL/IP/2020:</w:t>
      </w:r>
    </w:p>
    <w:p w14:paraId="2E0FD24C" w14:textId="77777777" w:rsidR="00AA089D" w:rsidRPr="00A52A6B" w:rsidRDefault="00AA089D" w:rsidP="00AA089D">
      <w:pPr>
        <w:pStyle w:val="Prrafodelista"/>
        <w:spacing w:line="360" w:lineRule="auto"/>
        <w:ind w:left="1134" w:right="567"/>
        <w:jc w:val="both"/>
        <w:rPr>
          <w:rFonts w:ascii="Palatino Linotype" w:hAnsi="Palatino Linotype"/>
          <w:i/>
          <w:color w:val="000000"/>
        </w:rPr>
      </w:pPr>
      <w:r w:rsidRPr="00A52A6B">
        <w:rPr>
          <w:rFonts w:ascii="Palatino Linotype" w:hAnsi="Palatino Linotype"/>
          <w:i/>
          <w:color w:val="000000"/>
        </w:rPr>
        <w:t xml:space="preserve">“La información de los programas de subsidios, estímulos y apoyos del sistema municipal DIF durante el año 2019, en el que se deberá informar respecto de los programas de transferencia, de servicios, de infraestructura social y de subsidio, en los que se deberá contener lo siguiente: a) Área; b) Denominación del programa; c) Periodo de vigencia; d) diseño, objetivos y alcances; e) Metas físicas; f) Población beneficiada estimada; g) Monto </w:t>
      </w:r>
      <w:r w:rsidRPr="00A52A6B">
        <w:rPr>
          <w:rFonts w:ascii="Palatino Linotype" w:hAnsi="Palatino Linotype"/>
          <w:i/>
          <w:color w:val="000000"/>
        </w:rPr>
        <w:lastRenderedPageBreak/>
        <w:t>aprobado, modificado y ejercido, así como los calendarios de su programación presupuestal; h) Requisitos y procedimientos de acceso; i) Procedimiento de queja o inconformidad ciudadana; j) Mecanismos de exigibilidad; k) Mecanismos e informes de evaluación y seguimiento de recomendaciones; l) Indicadores con nombre, definición, método de cálculo, unidad de medida; dimensión, frecuencia de medición, nombre de las bases de datos utilizadas para su cálculo; m)Formas de participación social; n) Articulación con otros programas sociales; ñ) Vínculo a las reglas de operación o documento equivalente; o) Informes periódicos sobre la ejecución y los resultados de las evaluaciones realizadas; y 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30037D69" w14:textId="77777777" w:rsidR="00AA089D" w:rsidRPr="00A52A6B" w:rsidRDefault="00AA089D" w:rsidP="00AA089D">
      <w:pPr>
        <w:pStyle w:val="Prrafodelista"/>
        <w:jc w:val="both"/>
        <w:rPr>
          <w:rFonts w:ascii="Palatino Linotype" w:hAnsi="Palatino Linotype"/>
          <w:i/>
          <w:color w:val="000000"/>
        </w:rPr>
      </w:pPr>
    </w:p>
    <w:p w14:paraId="10EEE9C8" w14:textId="77777777" w:rsidR="00AA089D" w:rsidRPr="00A52A6B" w:rsidRDefault="00AA089D" w:rsidP="006121DA">
      <w:pPr>
        <w:pStyle w:val="Prrafodelista"/>
        <w:spacing w:line="360" w:lineRule="auto"/>
        <w:ind w:left="502" w:right="567"/>
        <w:jc w:val="both"/>
        <w:rPr>
          <w:rFonts w:ascii="Palatino Linotype" w:hAnsi="Palatino Linotype"/>
          <w:i/>
          <w:color w:val="000000"/>
        </w:rPr>
      </w:pPr>
      <w:r w:rsidRPr="00A52A6B">
        <w:rPr>
          <w:rFonts w:ascii="Palatino Linotype" w:hAnsi="Palatino Linotype"/>
          <w:b/>
          <w:bCs/>
        </w:rPr>
        <w:t>00850/IXTASAL/IP/2020:</w:t>
      </w:r>
    </w:p>
    <w:p w14:paraId="388B5FD2" w14:textId="77777777" w:rsidR="00AA089D" w:rsidRPr="00A52A6B" w:rsidRDefault="00AA089D" w:rsidP="00AA089D">
      <w:pPr>
        <w:pStyle w:val="Prrafodelista"/>
        <w:spacing w:line="360" w:lineRule="auto"/>
        <w:ind w:left="1134" w:right="567"/>
        <w:jc w:val="both"/>
        <w:rPr>
          <w:rFonts w:ascii="Palatino Linotype" w:hAnsi="Palatino Linotype"/>
          <w:i/>
          <w:color w:val="000000"/>
        </w:rPr>
      </w:pPr>
      <w:r w:rsidRPr="00A52A6B">
        <w:rPr>
          <w:rFonts w:ascii="Palatino Linotype" w:hAnsi="Palatino Linotype"/>
          <w:i/>
          <w:color w:val="000000"/>
        </w:rPr>
        <w:t xml:space="preserve">“La información de los programas de subsidios, estímulos y apoyos del ayuntamiento otorgados por la Dirección de Desarrollo Social y/o por cualquier dependencia del sector ayuntamiento durante el año 2019, en el que se deberá informar respecto de los programas de transferencia, de servicios, de infraestructura social y de subsidio, en los que se deberá contener lo siguiente: a) Área; b) Denominación del programa; c) Periodo de vigencia; d) diseño, objetivos y alcances; e) Metas físicas; f) Población </w:t>
      </w:r>
      <w:r w:rsidRPr="00A52A6B">
        <w:rPr>
          <w:rFonts w:ascii="Palatino Linotype" w:hAnsi="Palatino Linotype"/>
          <w:i/>
          <w:color w:val="000000"/>
        </w:rPr>
        <w:lastRenderedPageBreak/>
        <w:t>beneficiada estimada; g) Monto aprobado, modificado y ejercido, así como los calendarios de su programación presupuestal; h) Requisitos y procedimientos de acceso; i) Procedimiento de queja o inconformidad ciudadana; j) Mecanismos de exigibilidad; k) Mecanismos e informes de evaluación y seguimiento de recomendaciones; l) Indicadores con nombre, definición, método de cálculo, unidad de medida; dimensión, frecuencia de medición, nombre de las bases de datos utilizadas para su cálculo; m)Formas de participación social; n) Articulación con otros programas sociales; ñ) Vínculo a las reglas de operación o documento equivalente; o) Informes periódicos sobre la ejecución y los resultados de las evaluaciones realizadas; y 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55E7BDAD" w14:textId="77777777" w:rsidR="00892544" w:rsidRPr="00A52A6B" w:rsidRDefault="00892544" w:rsidP="00892544">
      <w:pPr>
        <w:pStyle w:val="Prrafodelista"/>
        <w:tabs>
          <w:tab w:val="left" w:pos="426"/>
        </w:tabs>
        <w:spacing w:before="240" w:after="240" w:line="360" w:lineRule="auto"/>
        <w:ind w:left="0"/>
        <w:jc w:val="both"/>
        <w:rPr>
          <w:rFonts w:ascii="Palatino Linotype" w:hAnsi="Palatino Linotype"/>
          <w:lang w:val="es-ES_tradnl"/>
        </w:rPr>
      </w:pPr>
    </w:p>
    <w:p w14:paraId="36646D24" w14:textId="77777777" w:rsidR="00892544" w:rsidRPr="00A52A6B" w:rsidRDefault="00892544" w:rsidP="00892544">
      <w:pPr>
        <w:pStyle w:val="Prrafodelista"/>
        <w:spacing w:line="360" w:lineRule="auto"/>
        <w:ind w:right="34"/>
        <w:jc w:val="both"/>
        <w:rPr>
          <w:rFonts w:ascii="Palatino Linotype" w:hAnsi="Palatino Linotype" w:cs="Arial"/>
          <w:b/>
          <w:lang w:val="es-ES_tradnl"/>
        </w:rPr>
      </w:pPr>
      <w:r w:rsidRPr="00A52A6B">
        <w:rPr>
          <w:rFonts w:ascii="Palatino Linotype" w:hAnsi="Palatino Linotype" w:cs="Arial"/>
          <w:lang w:val="es-ES_tradnl"/>
        </w:rPr>
        <w:t xml:space="preserve">La particular señaló como modalidad de entrega de la información: </w:t>
      </w:r>
      <w:r w:rsidRPr="00A52A6B">
        <w:rPr>
          <w:rFonts w:ascii="Palatino Linotype" w:hAnsi="Palatino Linotype" w:cs="Arial"/>
          <w:b/>
          <w:lang w:val="es-ES_tradnl"/>
        </w:rPr>
        <w:t>a través del SAIMEX.</w:t>
      </w:r>
    </w:p>
    <w:p w14:paraId="45BBC902" w14:textId="77777777" w:rsidR="00892544" w:rsidRPr="00A52A6B" w:rsidRDefault="00892544" w:rsidP="00892544">
      <w:pPr>
        <w:spacing w:after="0" w:line="360" w:lineRule="auto"/>
        <w:contextualSpacing/>
        <w:jc w:val="both"/>
        <w:rPr>
          <w:rFonts w:ascii="Palatino Linotype" w:eastAsiaTheme="minorEastAsia" w:hAnsi="Palatino Linotype"/>
          <w:sz w:val="24"/>
          <w:szCs w:val="24"/>
          <w:lang w:val="es-ES_tradnl" w:eastAsia="es-ES"/>
        </w:rPr>
      </w:pPr>
    </w:p>
    <w:p w14:paraId="501B1DC7" w14:textId="77777777" w:rsidR="00892544" w:rsidRPr="00A52A6B" w:rsidRDefault="00892544" w:rsidP="00AA089D">
      <w:pPr>
        <w:numPr>
          <w:ilvl w:val="0"/>
          <w:numId w:val="1"/>
        </w:numPr>
        <w:spacing w:after="0" w:line="360" w:lineRule="auto"/>
        <w:ind w:left="0" w:firstLine="0"/>
        <w:contextualSpacing/>
        <w:jc w:val="both"/>
        <w:rPr>
          <w:rFonts w:ascii="Palatino Linotype" w:eastAsia="Calibri" w:hAnsi="Palatino Linotype" w:cs="Times New Roman"/>
          <w:sz w:val="28"/>
          <w:szCs w:val="24"/>
          <w:lang w:val="es-ES" w:eastAsia="es-ES"/>
        </w:rPr>
      </w:pPr>
      <w:r w:rsidRPr="00A52A6B">
        <w:rPr>
          <w:rFonts w:ascii="Palatino Linotype" w:eastAsiaTheme="minorEastAsia" w:hAnsi="Palatino Linotype"/>
          <w:sz w:val="24"/>
          <w:szCs w:val="24"/>
          <w:lang w:val="es-ES_tradnl" w:eastAsia="es-ES"/>
        </w:rPr>
        <w:t xml:space="preserve">El </w:t>
      </w:r>
      <w:r w:rsidR="00AA089D" w:rsidRPr="00A52A6B">
        <w:rPr>
          <w:rFonts w:ascii="Palatino Linotype" w:eastAsiaTheme="minorEastAsia" w:hAnsi="Palatino Linotype"/>
          <w:sz w:val="24"/>
          <w:szCs w:val="24"/>
          <w:lang w:val="es-ES_tradnl" w:eastAsia="es-ES"/>
        </w:rPr>
        <w:t>veintiocho (28</w:t>
      </w:r>
      <w:r w:rsidRPr="00A52A6B">
        <w:rPr>
          <w:rFonts w:ascii="Palatino Linotype" w:eastAsiaTheme="minorEastAsia" w:hAnsi="Palatino Linotype"/>
          <w:sz w:val="24"/>
          <w:szCs w:val="24"/>
          <w:lang w:val="es-ES_tradnl" w:eastAsia="es-ES"/>
        </w:rPr>
        <w:t xml:space="preserve">) de </w:t>
      </w:r>
      <w:proofErr w:type="gramStart"/>
      <w:r w:rsidRPr="00A52A6B">
        <w:rPr>
          <w:rFonts w:ascii="Palatino Linotype" w:eastAsiaTheme="minorEastAsia" w:hAnsi="Palatino Linotype"/>
          <w:sz w:val="24"/>
          <w:szCs w:val="24"/>
          <w:lang w:val="es-ES_tradnl" w:eastAsia="es-ES"/>
        </w:rPr>
        <w:t>julio  de</w:t>
      </w:r>
      <w:proofErr w:type="gramEnd"/>
      <w:r w:rsidRPr="00A52A6B">
        <w:rPr>
          <w:rFonts w:ascii="Palatino Linotype" w:eastAsiaTheme="minorEastAsia" w:hAnsi="Palatino Linotype"/>
          <w:sz w:val="24"/>
          <w:szCs w:val="24"/>
          <w:lang w:val="es-ES_tradnl" w:eastAsia="es-ES"/>
        </w:rPr>
        <w:t xml:space="preserve"> dos mil veinte, </w:t>
      </w:r>
      <w:r w:rsidRPr="00A52A6B">
        <w:rPr>
          <w:rFonts w:ascii="Palatino Linotype" w:hAnsi="Palatino Linotype" w:cs="Arial"/>
          <w:sz w:val="24"/>
          <w:szCs w:val="24"/>
        </w:rPr>
        <w:t xml:space="preserve">el </w:t>
      </w:r>
      <w:r w:rsidRPr="00A52A6B">
        <w:rPr>
          <w:rFonts w:ascii="Palatino Linotype" w:hAnsi="Palatino Linotype" w:cs="Arial"/>
          <w:b/>
          <w:sz w:val="24"/>
          <w:szCs w:val="24"/>
        </w:rPr>
        <w:t xml:space="preserve">SUJETO OBLIGADO </w:t>
      </w:r>
      <w:r w:rsidRPr="00A52A6B">
        <w:rPr>
          <w:rFonts w:ascii="Palatino Linotype" w:hAnsi="Palatino Linotype" w:cs="Arial"/>
          <w:sz w:val="24"/>
          <w:szCs w:val="24"/>
        </w:rPr>
        <w:t xml:space="preserve">a través del Titular de la Unidad de Transparencia emitió sus respuestas, </w:t>
      </w:r>
      <w:r w:rsidR="00AA089D" w:rsidRPr="00A52A6B">
        <w:rPr>
          <w:rFonts w:ascii="Palatino Linotype" w:hAnsi="Palatino Linotype" w:cs="Arial"/>
          <w:sz w:val="24"/>
          <w:szCs w:val="24"/>
        </w:rPr>
        <w:t xml:space="preserve">en los mismos </w:t>
      </w:r>
      <w:r w:rsidR="00AA089D" w:rsidRPr="00A52A6B">
        <w:rPr>
          <w:rFonts w:ascii="Palatino Linotype" w:hAnsi="Palatino Linotype" w:cs="Arial"/>
          <w:sz w:val="24"/>
          <w:szCs w:val="24"/>
        </w:rPr>
        <w:lastRenderedPageBreak/>
        <w:t>términos en para todas las solicitudes de información como a continuación se describe:</w:t>
      </w:r>
      <w:r w:rsidR="00AA089D" w:rsidRPr="00A52A6B">
        <w:rPr>
          <w:rFonts w:ascii="Palatino Linotype" w:eastAsia="Calibri" w:hAnsi="Palatino Linotype" w:cs="Times New Roman"/>
          <w:sz w:val="28"/>
          <w:szCs w:val="24"/>
          <w:lang w:val="es-ES" w:eastAsia="es-ES"/>
        </w:rPr>
        <w:t xml:space="preserve"> </w:t>
      </w:r>
    </w:p>
    <w:tbl>
      <w:tblPr>
        <w:tblW w:w="8080" w:type="dxa"/>
        <w:jc w:val="center"/>
        <w:tblCellSpacing w:w="0" w:type="dxa"/>
        <w:tblCellMar>
          <w:left w:w="0" w:type="dxa"/>
          <w:right w:w="0" w:type="dxa"/>
        </w:tblCellMar>
        <w:tblLook w:val="04A0" w:firstRow="1" w:lastRow="0" w:firstColumn="1" w:lastColumn="0" w:noHBand="0" w:noVBand="1"/>
      </w:tblPr>
      <w:tblGrid>
        <w:gridCol w:w="8080"/>
      </w:tblGrid>
      <w:tr w:rsidR="00AA089D" w:rsidRPr="00A52A6B" w14:paraId="5DE6B2D7" w14:textId="77777777" w:rsidTr="00C2159A">
        <w:trPr>
          <w:trHeight w:val="150"/>
          <w:tblCellSpacing w:w="0" w:type="dxa"/>
          <w:jc w:val="center"/>
        </w:trPr>
        <w:tc>
          <w:tcPr>
            <w:tcW w:w="8080" w:type="dxa"/>
            <w:vAlign w:val="center"/>
            <w:hideMark/>
          </w:tcPr>
          <w:p w14:paraId="3B524325" w14:textId="77777777" w:rsidR="00AA089D" w:rsidRPr="00A52A6B" w:rsidRDefault="00AA089D" w:rsidP="00C2159A">
            <w:pPr>
              <w:jc w:val="both"/>
              <w:rPr>
                <w:rFonts w:ascii="Palatino Linotype" w:hAnsi="Palatino Linotype"/>
                <w:i/>
              </w:rPr>
            </w:pPr>
            <w:r w:rsidRPr="00A52A6B">
              <w:rPr>
                <w:rFonts w:ascii="Palatino Linotype" w:hAnsi="Palatino Linotype"/>
                <w:i/>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A089D" w:rsidRPr="00A52A6B" w14:paraId="040F6B2F" w14:textId="77777777" w:rsidTr="00C2159A">
        <w:trPr>
          <w:trHeight w:val="375"/>
          <w:tblCellSpacing w:w="0" w:type="dxa"/>
          <w:jc w:val="center"/>
        </w:trPr>
        <w:tc>
          <w:tcPr>
            <w:tcW w:w="8080" w:type="dxa"/>
            <w:vAlign w:val="center"/>
            <w:hideMark/>
          </w:tcPr>
          <w:p w14:paraId="7667B81F" w14:textId="77777777" w:rsidR="00AA089D" w:rsidRPr="00A52A6B" w:rsidRDefault="00AA089D" w:rsidP="00C2159A">
            <w:pPr>
              <w:jc w:val="both"/>
              <w:rPr>
                <w:rFonts w:ascii="Palatino Linotype" w:hAnsi="Palatino Linotype"/>
                <w:i/>
              </w:rPr>
            </w:pPr>
          </w:p>
        </w:tc>
      </w:tr>
      <w:tr w:rsidR="00AA089D" w:rsidRPr="00A52A6B" w14:paraId="494DDCDB" w14:textId="77777777" w:rsidTr="00C2159A">
        <w:trPr>
          <w:trHeight w:val="150"/>
          <w:tblCellSpacing w:w="0" w:type="dxa"/>
          <w:jc w:val="center"/>
        </w:trPr>
        <w:tc>
          <w:tcPr>
            <w:tcW w:w="8080" w:type="dxa"/>
            <w:vAlign w:val="center"/>
            <w:hideMark/>
          </w:tcPr>
          <w:p w14:paraId="5E8FAF88" w14:textId="77777777" w:rsidR="00AA089D" w:rsidRPr="00A52A6B" w:rsidRDefault="00AA089D" w:rsidP="00C2159A">
            <w:pPr>
              <w:jc w:val="both"/>
              <w:rPr>
                <w:rFonts w:ascii="Palatino Linotype" w:hAnsi="Palatino Linotype"/>
                <w:i/>
                <w:szCs w:val="24"/>
              </w:rPr>
            </w:pPr>
            <w:r w:rsidRPr="00A52A6B">
              <w:rPr>
                <w:rFonts w:ascii="Palatino Linotype" w:hAnsi="Palatino Linotype"/>
                <w:i/>
                <w:szCs w:val="18"/>
              </w:rPr>
              <w:t>Con fundamento en los artículos 12 y 53, fracciones II y VI y 163 de la Ley de Transparencia y Acceso a la Información del Estado de México y Municipios, adjunto al presente se servirá encontrar el Acuerdo de la Dieciseisava Sesión Extraordinaria del Comité de Transparencia, de fecha nueve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tc>
      </w:tr>
      <w:tr w:rsidR="00AA089D" w:rsidRPr="00A52A6B" w14:paraId="70D3A804" w14:textId="77777777" w:rsidTr="00C2159A">
        <w:trPr>
          <w:tblCellSpacing w:w="0" w:type="dxa"/>
          <w:jc w:val="center"/>
        </w:trPr>
        <w:tc>
          <w:tcPr>
            <w:tcW w:w="8080" w:type="dxa"/>
            <w:vAlign w:val="center"/>
            <w:hideMark/>
          </w:tcPr>
          <w:p w14:paraId="4B1E9F57" w14:textId="77777777" w:rsidR="00AA089D" w:rsidRPr="00A52A6B" w:rsidRDefault="00AA089D" w:rsidP="00C2159A">
            <w:pPr>
              <w:spacing w:after="0" w:line="240" w:lineRule="auto"/>
              <w:jc w:val="both"/>
              <w:rPr>
                <w:rFonts w:ascii="Times New Roman" w:eastAsia="Times New Roman" w:hAnsi="Times New Roman" w:cs="Times New Roman"/>
                <w:sz w:val="24"/>
                <w:szCs w:val="24"/>
                <w:lang w:eastAsia="es-MX"/>
              </w:rPr>
            </w:pPr>
          </w:p>
        </w:tc>
      </w:tr>
    </w:tbl>
    <w:p w14:paraId="02E19260" w14:textId="77777777" w:rsidR="00AA089D" w:rsidRPr="00A52A6B" w:rsidRDefault="00AA089D" w:rsidP="00AA089D">
      <w:pPr>
        <w:spacing w:after="0" w:line="360" w:lineRule="auto"/>
        <w:ind w:right="567"/>
        <w:contextualSpacing/>
        <w:jc w:val="both"/>
        <w:rPr>
          <w:rFonts w:ascii="Palatino Linotype" w:hAnsi="Palatino Linotype"/>
          <w:i/>
        </w:rPr>
      </w:pPr>
    </w:p>
    <w:p w14:paraId="22B9162A" w14:textId="77777777" w:rsidR="00AA089D" w:rsidRPr="00A52A6B" w:rsidRDefault="00AA089D" w:rsidP="00AA089D">
      <w:pPr>
        <w:pStyle w:val="Prrafodelista"/>
        <w:numPr>
          <w:ilvl w:val="0"/>
          <w:numId w:val="34"/>
        </w:numPr>
        <w:spacing w:line="360" w:lineRule="auto"/>
        <w:jc w:val="both"/>
        <w:rPr>
          <w:rFonts w:ascii="Palatino Linotype" w:hAnsi="Palatino Linotype" w:cs="Arial"/>
          <w:b/>
          <w:lang w:val="es-ES" w:eastAsia="es-ES"/>
        </w:rPr>
      </w:pPr>
      <w:r w:rsidRPr="00A52A6B">
        <w:rPr>
          <w:rFonts w:ascii="Palatino Linotype" w:hAnsi="Palatino Linotype" w:cs="Arial"/>
          <w:lang w:val="es-ES" w:eastAsia="es-ES"/>
        </w:rPr>
        <w:t xml:space="preserve">Se adjuntó un archivo en formato PDF de nombre  </w:t>
      </w:r>
      <w:hyperlink r:id="rId7" w:tgtFrame="_blank" w:history="1">
        <w:r w:rsidRPr="00A52A6B">
          <w:rPr>
            <w:rStyle w:val="Hipervnculo"/>
            <w:rFonts w:ascii="Palatino Linotype" w:hAnsi="Palatino Linotype" w:cs="Arial"/>
            <w:b/>
            <w:bCs/>
            <w:color w:val="auto"/>
          </w:rPr>
          <w:t>IXTASAL-CT-0016EXT-2020.pdf</w:t>
        </w:r>
      </w:hyperlink>
      <w:r w:rsidRPr="00A52A6B">
        <w:rPr>
          <w:rFonts w:ascii="Palatino Linotype" w:hAnsi="Palatino Linotype"/>
          <w:b/>
        </w:rPr>
        <w:t xml:space="preserve"> </w:t>
      </w:r>
      <w:r w:rsidRPr="00A52A6B">
        <w:rPr>
          <w:rFonts w:ascii="Palatino Linotype" w:hAnsi="Palatino Linotype"/>
        </w:rPr>
        <w:t>que pertenece a la sesión extraordinaria número diecisiete del Comité de Transparencia en la cual se aprueba la consulta directa (in situ) de la información solicitada por el particular.</w:t>
      </w:r>
    </w:p>
    <w:p w14:paraId="3193FFF6" w14:textId="77777777" w:rsidR="00892544" w:rsidRPr="00A52A6B" w:rsidRDefault="00892544" w:rsidP="00892544">
      <w:pPr>
        <w:pStyle w:val="Prrafodelista"/>
        <w:tabs>
          <w:tab w:val="left" w:pos="284"/>
          <w:tab w:val="left" w:pos="426"/>
        </w:tabs>
        <w:spacing w:line="360" w:lineRule="auto"/>
        <w:ind w:left="0"/>
        <w:jc w:val="both"/>
        <w:rPr>
          <w:rFonts w:ascii="Palatino Linotype" w:hAnsi="Palatino Linotype"/>
          <w:sz w:val="28"/>
          <w:lang w:val="es-ES_tradnl"/>
        </w:rPr>
      </w:pPr>
    </w:p>
    <w:p w14:paraId="15CF3B6A" w14:textId="77777777" w:rsidR="00892544" w:rsidRPr="00A52A6B" w:rsidRDefault="00892544" w:rsidP="00892544">
      <w:pPr>
        <w:pStyle w:val="Prrafodelista"/>
        <w:numPr>
          <w:ilvl w:val="0"/>
          <w:numId w:val="1"/>
        </w:numPr>
        <w:tabs>
          <w:tab w:val="left" w:pos="284"/>
          <w:tab w:val="left" w:pos="426"/>
        </w:tabs>
        <w:spacing w:line="360" w:lineRule="auto"/>
        <w:ind w:left="0" w:firstLine="0"/>
        <w:jc w:val="both"/>
        <w:rPr>
          <w:rFonts w:ascii="Palatino Linotype" w:hAnsi="Palatino Linotype"/>
          <w:lang w:val="es-ES_tradnl"/>
        </w:rPr>
      </w:pPr>
      <w:r w:rsidRPr="00A52A6B">
        <w:rPr>
          <w:rFonts w:ascii="Palatino Linotype" w:hAnsi="Palatino Linotype" w:cs="Arial"/>
          <w:lang w:val="es-ES_tradnl"/>
        </w:rPr>
        <w:t xml:space="preserve">Derivado de la respuesta emitida por el </w:t>
      </w:r>
      <w:r w:rsidRPr="00A52A6B">
        <w:rPr>
          <w:rFonts w:ascii="Palatino Linotype" w:hAnsi="Palatino Linotype" w:cs="Arial"/>
          <w:b/>
          <w:lang w:val="es-ES_tradnl"/>
        </w:rPr>
        <w:t>SUJETO OBLIGADO</w:t>
      </w:r>
      <w:r w:rsidRPr="00A52A6B">
        <w:rPr>
          <w:rFonts w:ascii="Palatino Linotype" w:hAnsi="Palatino Linotype" w:cs="Arial"/>
          <w:lang w:val="es-ES_tradnl"/>
        </w:rPr>
        <w:t>, el dieciocho (18) de agosto de dos mil veinte, estando en tiempo y forma, la particular interpuso los recursos de revisión</w:t>
      </w:r>
      <w:r w:rsidRPr="00A52A6B">
        <w:rPr>
          <w:rFonts w:ascii="Palatino Linotype" w:eastAsia="Calibri" w:hAnsi="Palatino Linotype" w:cs="Arial"/>
          <w:b/>
          <w:lang w:val="es-ES_tradnl"/>
        </w:rPr>
        <w:t>;</w:t>
      </w:r>
      <w:r w:rsidRPr="00A52A6B">
        <w:rPr>
          <w:rFonts w:ascii="Palatino Linotype" w:hAnsi="Palatino Linotype" w:cs="Arial"/>
          <w:lang w:val="es-ES_tradnl"/>
        </w:rPr>
        <w:t xml:space="preserve"> impugnación en la que refirió lo siguiente:</w:t>
      </w:r>
    </w:p>
    <w:p w14:paraId="4A270A14" w14:textId="77777777" w:rsidR="00D12099" w:rsidRPr="00A52A6B" w:rsidRDefault="00D12099" w:rsidP="00D12099">
      <w:pPr>
        <w:pStyle w:val="Prrafodelista"/>
        <w:tabs>
          <w:tab w:val="left" w:pos="284"/>
          <w:tab w:val="left" w:pos="426"/>
        </w:tabs>
        <w:spacing w:line="360" w:lineRule="auto"/>
        <w:ind w:left="0"/>
        <w:jc w:val="both"/>
        <w:rPr>
          <w:rFonts w:ascii="Palatino Linotype" w:hAnsi="Palatino Linotype"/>
          <w:lang w:val="es-ES_tradnl"/>
        </w:rPr>
      </w:pPr>
    </w:p>
    <w:p w14:paraId="56BA806C" w14:textId="77777777" w:rsidR="00EC41DD" w:rsidRPr="00A52A6B" w:rsidRDefault="00EC41DD" w:rsidP="00616500">
      <w:pPr>
        <w:pStyle w:val="Prrafodelista"/>
        <w:spacing w:line="360" w:lineRule="auto"/>
        <w:ind w:left="502"/>
        <w:jc w:val="both"/>
        <w:rPr>
          <w:rFonts w:ascii="Palatino Linotype" w:eastAsiaTheme="minorEastAsia" w:hAnsi="Palatino Linotype" w:cs="Arial"/>
          <w:i/>
          <w:lang w:val="es-ES_tradnl" w:eastAsia="es-ES"/>
        </w:rPr>
      </w:pPr>
      <w:r w:rsidRPr="00A52A6B">
        <w:rPr>
          <w:rFonts w:ascii="Palatino Linotype" w:hAnsi="Palatino Linotype"/>
          <w:b/>
        </w:rPr>
        <w:t>2758/INFOEM/IP/RR/2020</w:t>
      </w:r>
      <w:r w:rsidRPr="00A52A6B">
        <w:rPr>
          <w:rFonts w:ascii="Palatino Linotype" w:hAnsi="Palatino Linotype"/>
          <w:b/>
          <w:bCs/>
        </w:rPr>
        <w:t>:</w:t>
      </w:r>
    </w:p>
    <w:p w14:paraId="4BDDA34C" w14:textId="77777777" w:rsidR="00EC41DD" w:rsidRPr="00A52A6B" w:rsidRDefault="00EC41DD" w:rsidP="00EC41DD">
      <w:pPr>
        <w:spacing w:after="0" w:line="360" w:lineRule="auto"/>
        <w:ind w:left="567" w:right="567"/>
        <w:contextualSpacing/>
        <w:rPr>
          <w:rFonts w:ascii="Palatino Linotype" w:eastAsiaTheme="minorEastAsia" w:hAnsi="Palatino Linotype" w:cs="Arial"/>
          <w:i/>
          <w:lang w:val="es-ES_tradnl" w:eastAsia="es-ES"/>
        </w:rPr>
      </w:pPr>
    </w:p>
    <w:p w14:paraId="10CE8250" w14:textId="77777777" w:rsidR="00EC41DD" w:rsidRPr="00A52A6B" w:rsidRDefault="00EC41DD" w:rsidP="00EC41DD">
      <w:pPr>
        <w:spacing w:after="0" w:line="360" w:lineRule="auto"/>
        <w:ind w:left="567" w:right="567"/>
        <w:contextualSpacing/>
        <w:jc w:val="both"/>
        <w:rPr>
          <w:rFonts w:ascii="Palatino Linotype" w:eastAsia="Calibri" w:hAnsi="Palatino Linotype" w:cs="Arial"/>
          <w:i/>
          <w:lang w:val="es-ES" w:eastAsia="es-ES"/>
        </w:rPr>
      </w:pPr>
      <w:r w:rsidRPr="00A52A6B">
        <w:rPr>
          <w:rFonts w:ascii="Palatino Linotype" w:eastAsiaTheme="minorEastAsia" w:hAnsi="Palatino Linotype"/>
          <w:b/>
          <w:sz w:val="24"/>
          <w:szCs w:val="24"/>
          <w:lang w:val="es-ES_tradnl" w:eastAsia="es-ES"/>
        </w:rPr>
        <w:t>Acto impugnado</w:t>
      </w:r>
      <w:r w:rsidRPr="00A52A6B">
        <w:rPr>
          <w:rFonts w:ascii="Palatino Linotype" w:eastAsiaTheme="minorEastAsia" w:hAnsi="Palatino Linotype"/>
          <w:b/>
          <w:i/>
          <w:sz w:val="24"/>
          <w:szCs w:val="24"/>
          <w:lang w:val="es-ES_tradnl" w:eastAsia="es-ES"/>
        </w:rPr>
        <w:t>:</w:t>
      </w:r>
      <w:r w:rsidRPr="00A52A6B">
        <w:rPr>
          <w:rFonts w:ascii="Palatino Linotype" w:hAnsi="Palatino Linotype"/>
          <w:i/>
          <w:color w:val="000000"/>
          <w:sz w:val="24"/>
          <w:szCs w:val="24"/>
        </w:rPr>
        <w:t xml:space="preserve"> “La contestación del sujeto obligado y el acta del comité de transparencia.” (Sic)</w:t>
      </w:r>
    </w:p>
    <w:p w14:paraId="5D69F986" w14:textId="77777777" w:rsidR="00EC41DD" w:rsidRPr="00A52A6B" w:rsidRDefault="00EC41DD" w:rsidP="00EC41DD">
      <w:pPr>
        <w:spacing w:after="0" w:line="360" w:lineRule="auto"/>
        <w:ind w:left="567" w:right="567"/>
        <w:contextualSpacing/>
        <w:jc w:val="both"/>
        <w:rPr>
          <w:rFonts w:ascii="Palatino Linotype" w:eastAsia="Calibri" w:hAnsi="Palatino Linotype" w:cs="Arial"/>
          <w:sz w:val="24"/>
          <w:lang w:val="es-ES" w:eastAsia="es-ES"/>
        </w:rPr>
      </w:pPr>
    </w:p>
    <w:p w14:paraId="459667F1" w14:textId="77777777" w:rsidR="00EC41DD" w:rsidRPr="00A52A6B" w:rsidRDefault="00EC41DD" w:rsidP="00EC41DD">
      <w:pPr>
        <w:spacing w:after="0" w:line="360" w:lineRule="auto"/>
        <w:ind w:left="567" w:right="567"/>
        <w:contextualSpacing/>
        <w:jc w:val="both"/>
        <w:rPr>
          <w:rFonts w:ascii="Palatino Linotype" w:hAnsi="Palatino Linotype"/>
          <w:i/>
          <w:color w:val="000000"/>
        </w:rPr>
      </w:pPr>
      <w:r w:rsidRPr="00A52A6B">
        <w:rPr>
          <w:rFonts w:ascii="Palatino Linotype" w:eastAsiaTheme="minorEastAsia" w:hAnsi="Palatino Linotype"/>
          <w:b/>
          <w:sz w:val="24"/>
          <w:szCs w:val="24"/>
          <w:lang w:val="es-ES_tradnl" w:eastAsia="es-ES"/>
        </w:rPr>
        <w:t>Razones o Motivos de inconformidad:</w:t>
      </w:r>
      <w:r w:rsidRPr="00A52A6B">
        <w:rPr>
          <w:rFonts w:ascii="Palatino Linotype" w:eastAsiaTheme="majorEastAsia" w:hAnsi="Palatino Linotype" w:cstheme="majorBidi"/>
          <w:b/>
          <w:color w:val="2E74B5" w:themeColor="accent1" w:themeShade="BF"/>
          <w:sz w:val="26"/>
          <w:szCs w:val="26"/>
          <w:lang w:val="es-ES" w:eastAsia="es-ES"/>
        </w:rPr>
        <w:t xml:space="preserve"> </w:t>
      </w:r>
      <w:r w:rsidRPr="00A52A6B">
        <w:rPr>
          <w:rFonts w:ascii="Palatino Linotype" w:eastAsiaTheme="majorEastAsia" w:hAnsi="Palatino Linotype" w:cstheme="majorBidi"/>
          <w:i/>
          <w:lang w:val="es-ES" w:eastAsia="es-ES"/>
        </w:rPr>
        <w:t>“</w:t>
      </w:r>
      <w:r w:rsidRPr="00A52A6B">
        <w:rPr>
          <w:rFonts w:ascii="Palatino Linotype" w:hAnsi="Palatino Linotype"/>
          <w:i/>
          <w:color w:val="000000"/>
        </w:rPr>
        <w:t xml:space="preserve">La indebida motivación y fundamentación de la respuesta otorgada por el sujeto obligado mediante el oficio de la titular y el acta del comité de transparencia, pues es notorio, que el comité de transparencia carece de atribuciones legales para cambiar la modalidad de la entrega de la información solicitada, además, que resulta evidente, que si cuenta con la información para proporcionarla in situ, es incuestionable que lo único que le hace falta para entregármela vía </w:t>
      </w:r>
      <w:proofErr w:type="spellStart"/>
      <w:r w:rsidRPr="00A52A6B">
        <w:rPr>
          <w:rFonts w:ascii="Palatino Linotype" w:hAnsi="Palatino Linotype"/>
          <w:i/>
          <w:color w:val="000000"/>
        </w:rPr>
        <w:t>saimex</w:t>
      </w:r>
      <w:proofErr w:type="spellEnd"/>
      <w:r w:rsidRPr="00A52A6B">
        <w:rPr>
          <w:rFonts w:ascii="Palatino Linotype" w:hAnsi="Palatino Linotype"/>
          <w:i/>
          <w:color w:val="000000"/>
        </w:rPr>
        <w:t xml:space="preserve"> es escanearla en muchos de los casos, y en otros elaborar la versión pública y sesionar en comité, actividades que no requieren de tanto tiempo, por ende, no existe congruencia entre lo vertido y lo que acontece en la realidad. Es claro y patente, que su conducta busca eludir y retrasar el cumplimiento de sus obligaciones. Por lo demás, es absolutamente falso que el sujeto obligado sólo cuente con tres personas para atender las solicitudes de información, las tres personas a que alude son las adscritas a la unidad de transparencia, más todos y cada uno de los servidores públicos habilitados que se encuentran registrados en el sistema proporcionado por ustedes (más de treinta), por lo que, la suma de dichos servidores públicos da como resultado que cuenta con más de treinta servidores públicos para atender las solicitudes y no con tres, cómo maliciosamente pretende hacerlo ver; asimismo, es falso, que en todo el ayuntamiento se ha estado laborando durante la pandemia con el personal mínimo indispensable, pues </w:t>
      </w:r>
      <w:r w:rsidRPr="00A52A6B">
        <w:rPr>
          <w:rFonts w:ascii="Palatino Linotype" w:hAnsi="Palatino Linotype"/>
          <w:i/>
          <w:color w:val="000000"/>
        </w:rPr>
        <w:lastRenderedPageBreak/>
        <w:t xml:space="preserve">aquí todos sabemos que la administración municipal ha laborado normalmente y prácticamente en su totalidad, lo que puede corroborar este órgano garante con las propias actas que ha estado emitiendo el comité de transparencia en dicho período, así como, con todos y cada uno de los acuses de recibo de los oficios emitidos por la unidad de transparencia requiriendo información a los servidores públicos habilitados durante la pandemia, así como, con la información que deriva del reloj </w:t>
      </w:r>
      <w:proofErr w:type="spellStart"/>
      <w:r w:rsidRPr="00A52A6B">
        <w:rPr>
          <w:rFonts w:ascii="Palatino Linotype" w:hAnsi="Palatino Linotype"/>
          <w:i/>
          <w:color w:val="000000"/>
        </w:rPr>
        <w:t>checador</w:t>
      </w:r>
      <w:proofErr w:type="spellEnd"/>
      <w:r w:rsidRPr="00A52A6B">
        <w:rPr>
          <w:rFonts w:ascii="Palatino Linotype" w:hAnsi="Palatino Linotype"/>
          <w:i/>
          <w:color w:val="000000"/>
        </w:rPr>
        <w:t xml:space="preserve"> de control de asistencia, documentales todas, que desde este momento, pido se las requiera al sujeto obligado, advirtiendo que asumirá una conducta procesal falsa y dolosa, para ocultar también esta información, pues el presidente municipal es experto en simulación e hipocresía, emite actas de cabildo y acuerdos que no respeta. Por si fuera poco lo anterior, el obligado ha contado con suficiente tiempo para cumplir con sus obligaciones derivado de la interrupción de los plazos y términos por la pandemia, por lo que reitero, no existe lógica ni congruencia, para cambiar la modalidad de entrega de la información y lo único que pretende es descubrir quienes les solicitamos información para amedrentarnos, pues así lo ha declarado el presidente y la de transparencia, que van a descubrir quien les solicita información y no se la va a acabar, que harán lo necesario para que se arrepienta, y tales actitudes son notoriamente ilegales e infringen la ley de la materia, en tanto que no pueden andar investigando quien les solicita información y mucho menos para amedrentarlo, pido los sancionen, por estas razones y porqué siempre están ocultando información. Se resalta que además de vulnerar mi derecho humano a obtener la información en la modalidad deseada (</w:t>
      </w:r>
      <w:proofErr w:type="spellStart"/>
      <w:r w:rsidRPr="00A52A6B">
        <w:rPr>
          <w:rFonts w:ascii="Palatino Linotype" w:hAnsi="Palatino Linotype"/>
          <w:i/>
          <w:color w:val="000000"/>
        </w:rPr>
        <w:t>saimex</w:t>
      </w:r>
      <w:proofErr w:type="spellEnd"/>
      <w:r w:rsidRPr="00A52A6B">
        <w:rPr>
          <w:rFonts w:ascii="Palatino Linotype" w:hAnsi="Palatino Linotype"/>
          <w:i/>
          <w:color w:val="000000"/>
        </w:rPr>
        <w:t>), también, transgrede mi derecho humano a información gratuita, pues pretende cobrarme la información.” (Sic).</w:t>
      </w:r>
    </w:p>
    <w:p w14:paraId="361E4F5C" w14:textId="77777777" w:rsidR="00EC41DD" w:rsidRPr="00A52A6B" w:rsidRDefault="00EC41DD" w:rsidP="00EC41DD">
      <w:pPr>
        <w:spacing w:after="0" w:line="360" w:lineRule="auto"/>
        <w:ind w:left="567" w:right="567"/>
        <w:contextualSpacing/>
        <w:jc w:val="both"/>
        <w:rPr>
          <w:rFonts w:ascii="Palatino Linotype" w:hAnsi="Palatino Linotype"/>
          <w:i/>
          <w:color w:val="000000"/>
        </w:rPr>
      </w:pPr>
    </w:p>
    <w:p w14:paraId="43D748D9" w14:textId="77777777" w:rsidR="00EC41DD" w:rsidRPr="00A52A6B" w:rsidRDefault="00EC41DD" w:rsidP="00616500">
      <w:pPr>
        <w:pStyle w:val="Prrafodelista"/>
        <w:spacing w:line="360" w:lineRule="auto"/>
        <w:ind w:left="502" w:right="567"/>
        <w:jc w:val="both"/>
        <w:rPr>
          <w:rFonts w:ascii="Palatino Linotype" w:eastAsiaTheme="minorEastAsia" w:hAnsi="Palatino Linotype" w:cs="Arial"/>
          <w:i/>
          <w:lang w:val="es-ES_tradnl" w:eastAsia="es-ES"/>
        </w:rPr>
      </w:pPr>
      <w:r w:rsidRPr="00A52A6B">
        <w:rPr>
          <w:rFonts w:ascii="Palatino Linotype" w:hAnsi="Palatino Linotype"/>
          <w:b/>
          <w:bCs/>
        </w:rPr>
        <w:t>02759/INFOEM/IP/RR/2020:</w:t>
      </w:r>
    </w:p>
    <w:p w14:paraId="35129129" w14:textId="77777777" w:rsidR="00EC41DD" w:rsidRPr="00A52A6B" w:rsidRDefault="00EC41DD" w:rsidP="00EC41DD">
      <w:pPr>
        <w:pStyle w:val="Prrafodelista"/>
        <w:spacing w:line="360" w:lineRule="auto"/>
        <w:ind w:right="567"/>
        <w:jc w:val="both"/>
        <w:rPr>
          <w:rFonts w:ascii="Palatino Linotype" w:eastAsiaTheme="minorEastAsia" w:hAnsi="Palatino Linotype" w:cs="Arial"/>
          <w:i/>
          <w:lang w:val="es-ES_tradnl" w:eastAsia="es-ES"/>
        </w:rPr>
      </w:pPr>
    </w:p>
    <w:p w14:paraId="2457B40D" w14:textId="77777777" w:rsidR="00EC41DD" w:rsidRPr="00A52A6B" w:rsidRDefault="00EC41DD" w:rsidP="00EC41DD">
      <w:pPr>
        <w:spacing w:after="0" w:line="360" w:lineRule="auto"/>
        <w:ind w:left="567" w:right="567"/>
        <w:contextualSpacing/>
        <w:jc w:val="both"/>
        <w:rPr>
          <w:rFonts w:ascii="Palatino Linotype" w:eastAsia="Calibri" w:hAnsi="Palatino Linotype" w:cs="Arial"/>
          <w:i/>
          <w:lang w:val="es-ES" w:eastAsia="es-ES"/>
        </w:rPr>
      </w:pPr>
      <w:r w:rsidRPr="00A52A6B">
        <w:rPr>
          <w:rFonts w:ascii="Palatino Linotype" w:eastAsiaTheme="minorEastAsia" w:hAnsi="Palatino Linotype"/>
          <w:b/>
          <w:sz w:val="24"/>
          <w:szCs w:val="24"/>
          <w:lang w:val="es-ES_tradnl" w:eastAsia="es-ES"/>
        </w:rPr>
        <w:t>Acto impugnado</w:t>
      </w:r>
      <w:r w:rsidRPr="00A52A6B">
        <w:rPr>
          <w:rFonts w:ascii="Palatino Linotype" w:eastAsiaTheme="minorEastAsia" w:hAnsi="Palatino Linotype"/>
          <w:b/>
          <w:i/>
          <w:lang w:val="es-ES_tradnl" w:eastAsia="es-ES"/>
        </w:rPr>
        <w:t>:</w:t>
      </w:r>
      <w:r w:rsidRPr="00A52A6B">
        <w:rPr>
          <w:rFonts w:ascii="Palatino Linotype" w:hAnsi="Palatino Linotype"/>
          <w:i/>
          <w:color w:val="000000"/>
        </w:rPr>
        <w:t xml:space="preserve"> “La contestación del sujeto obligado y el acta del comité de transparencia.” (Sic)</w:t>
      </w:r>
    </w:p>
    <w:p w14:paraId="53A32E9D" w14:textId="77777777" w:rsidR="00EC41DD" w:rsidRPr="00A52A6B" w:rsidRDefault="00EC41DD" w:rsidP="00EC41DD">
      <w:pPr>
        <w:spacing w:after="0" w:line="360" w:lineRule="auto"/>
        <w:ind w:left="567" w:right="567"/>
        <w:contextualSpacing/>
        <w:jc w:val="both"/>
        <w:rPr>
          <w:rFonts w:ascii="Palatino Linotype" w:eastAsia="Calibri" w:hAnsi="Palatino Linotype" w:cs="Arial"/>
          <w:sz w:val="24"/>
          <w:lang w:val="es-ES" w:eastAsia="es-ES"/>
        </w:rPr>
      </w:pPr>
    </w:p>
    <w:p w14:paraId="36401959" w14:textId="77777777" w:rsidR="00EC41DD" w:rsidRPr="00A52A6B" w:rsidRDefault="00EC41DD" w:rsidP="00EC41DD">
      <w:pPr>
        <w:spacing w:after="0" w:line="360" w:lineRule="auto"/>
        <w:ind w:left="567" w:right="567"/>
        <w:contextualSpacing/>
        <w:jc w:val="both"/>
        <w:rPr>
          <w:rFonts w:ascii="Palatino Linotype" w:eastAsiaTheme="minorEastAsia" w:hAnsi="Palatino Linotype" w:cs="Arial"/>
          <w:i/>
          <w:lang w:val="es-ES_tradnl" w:eastAsia="es-ES"/>
        </w:rPr>
      </w:pPr>
      <w:r w:rsidRPr="00A52A6B">
        <w:rPr>
          <w:rFonts w:ascii="Palatino Linotype" w:eastAsiaTheme="minorEastAsia" w:hAnsi="Palatino Linotype"/>
          <w:b/>
          <w:sz w:val="24"/>
          <w:szCs w:val="24"/>
          <w:lang w:val="es-ES_tradnl" w:eastAsia="es-ES"/>
        </w:rPr>
        <w:t>Razones o Motivos de inconformidad:</w:t>
      </w:r>
      <w:r w:rsidRPr="00A52A6B">
        <w:rPr>
          <w:rFonts w:ascii="Palatino Linotype" w:eastAsiaTheme="majorEastAsia" w:hAnsi="Palatino Linotype" w:cstheme="majorBidi"/>
          <w:b/>
          <w:color w:val="2E74B5" w:themeColor="accent1" w:themeShade="BF"/>
          <w:sz w:val="26"/>
          <w:szCs w:val="26"/>
          <w:lang w:val="es-ES" w:eastAsia="es-ES"/>
        </w:rPr>
        <w:t xml:space="preserve"> </w:t>
      </w:r>
      <w:r w:rsidRPr="00A52A6B">
        <w:rPr>
          <w:rFonts w:ascii="Palatino Linotype" w:eastAsiaTheme="majorEastAsia" w:hAnsi="Palatino Linotype" w:cstheme="majorBidi"/>
          <w:i/>
          <w:lang w:val="es-ES" w:eastAsia="es-ES"/>
        </w:rPr>
        <w:t>“</w:t>
      </w:r>
      <w:r w:rsidRPr="00A52A6B">
        <w:rPr>
          <w:rFonts w:ascii="Palatino Linotype" w:hAnsi="Palatino Linotype"/>
          <w:i/>
          <w:color w:val="000000"/>
        </w:rPr>
        <w:t xml:space="preserve">La indebida motivación y fundamentación de la respuesta otorgada por el sujeto obligado mediante el oficio de la titular y el acta del comité de transparencia, pues es notorio, que el comité de transparencia carece de atribuciones legales para cambiar la modalidad de la entrega de la información solicitada, además, que resulta evidente, que si cuenta con la información para proporcionarla in situ, es incuestionable que lo único que le hace falta para entregármela vía </w:t>
      </w:r>
      <w:proofErr w:type="spellStart"/>
      <w:r w:rsidRPr="00A52A6B">
        <w:rPr>
          <w:rFonts w:ascii="Palatino Linotype" w:hAnsi="Palatino Linotype"/>
          <w:i/>
          <w:color w:val="000000"/>
        </w:rPr>
        <w:t>saimex</w:t>
      </w:r>
      <w:proofErr w:type="spellEnd"/>
      <w:r w:rsidRPr="00A52A6B">
        <w:rPr>
          <w:rFonts w:ascii="Palatino Linotype" w:hAnsi="Palatino Linotype"/>
          <w:i/>
          <w:color w:val="000000"/>
        </w:rPr>
        <w:t xml:space="preserve"> es escanearla en muchos de los casos, y en otros elaborar la versión pública y sesionar en comité, actividades que no requieren de tanto tiempo, por ende, no existe congruencia entre lo vertido y lo que acontece en la realidad. Es claro y patente, que su conducta busca eludir y retrasar el cumplimiento de sus obligaciones. Por lo demás, es absolutamente falso que el sujeto obligado sólo cuente con tres personas para atender las solicitudes de información, las tres personas a que alude son las adscritas a la unidad de transparencia, más todos y cada uno de los servidores públicos habilitados que se encuentran registrados en el sistema proporcionado por ustedes (más de treinta), por lo que, la suma de dichos servidores públicos da como resultado que cuenta con más de treinta servidores públicos para atender las solicitudes y no con tres, cómo maliciosamente pretende hacerlo ver; asimismo, es falso, que en todo el ayuntamiento se ha estado laborando durante la pandemia con el personal mínimo indispensable, pues aquí todos sabemos que la administración municipal ha laborado normalmente y prácticamente en su totalidad, lo que puede corroborar este órgano garante con las </w:t>
      </w:r>
      <w:r w:rsidRPr="00A52A6B">
        <w:rPr>
          <w:rFonts w:ascii="Palatino Linotype" w:hAnsi="Palatino Linotype"/>
          <w:i/>
          <w:color w:val="000000"/>
        </w:rPr>
        <w:lastRenderedPageBreak/>
        <w:t xml:space="preserve">propias actas que ha estado emitiendo el comité de transparencia en dicho período, así como, con todos y cada uno de los acuses de recibo de los oficios emitidos por la unidad de transparencia requiriendo información a los servidores públicos habilitados durante la pandemia, así como, con la información que deriva del reloj </w:t>
      </w:r>
      <w:proofErr w:type="spellStart"/>
      <w:r w:rsidRPr="00A52A6B">
        <w:rPr>
          <w:rFonts w:ascii="Palatino Linotype" w:hAnsi="Palatino Linotype"/>
          <w:i/>
          <w:color w:val="000000"/>
        </w:rPr>
        <w:t>checador</w:t>
      </w:r>
      <w:proofErr w:type="spellEnd"/>
      <w:r w:rsidRPr="00A52A6B">
        <w:rPr>
          <w:rFonts w:ascii="Palatino Linotype" w:hAnsi="Palatino Linotype"/>
          <w:i/>
          <w:color w:val="000000"/>
        </w:rPr>
        <w:t xml:space="preserve"> de control de asistencia, documentales todas, que desde este momento, pido se las requiera al sujeto obligado, advirtiendo que asumirá una conducta procesal falsa y dolosa, para ocultar también esta información, pues el presidente municipal es experto en simulación e hipocresía, emite actas de cabildo y acuerdos que no respeta. Por si fuera poco lo anterior, el obligado ha contado con suficiente tiempo para cumplir con sus obligaciones derivado de la interrupción de los plazos y términos por la pandemia, por lo que reitero, no existe lógica ni congruencia, para cambiar la modalidad de entrega de la información y lo único que pretende es descubrir quienes les solicitamos información para amedrentarnos, pues así lo ha declarado el presidente y la de transparencia, que van a descubrir quien les solicita información y no se la va a acabar, que harán lo necesario para que se arrepienta, y tales actitudes son notoriamente ilegales e infringen la ley de la materia, en tanto que no pueden andar investigando quien les solicita información y mucho menos para amedrentarlo, pido los sancionen, por estas razones y porqué siempre están ocultando información. Se resalta que además de vulnerar mi derecho humano a obtener la información en la modalidad deseada (</w:t>
      </w:r>
      <w:proofErr w:type="spellStart"/>
      <w:r w:rsidRPr="00A52A6B">
        <w:rPr>
          <w:rFonts w:ascii="Palatino Linotype" w:hAnsi="Palatino Linotype"/>
          <w:i/>
          <w:color w:val="000000"/>
        </w:rPr>
        <w:t>saimex</w:t>
      </w:r>
      <w:proofErr w:type="spellEnd"/>
      <w:r w:rsidRPr="00A52A6B">
        <w:rPr>
          <w:rFonts w:ascii="Palatino Linotype" w:hAnsi="Palatino Linotype"/>
          <w:i/>
          <w:color w:val="000000"/>
        </w:rPr>
        <w:t>), también, transgrede mi derecho humano a información gratuita, pues pretende cobrarme la información.” (Sic)</w:t>
      </w:r>
    </w:p>
    <w:p w14:paraId="54193CC7" w14:textId="77777777" w:rsidR="00EC41DD" w:rsidRPr="00A52A6B" w:rsidRDefault="00EC41DD" w:rsidP="00EC41DD">
      <w:pPr>
        <w:spacing w:after="0" w:line="360" w:lineRule="auto"/>
        <w:contextualSpacing/>
        <w:jc w:val="both"/>
        <w:rPr>
          <w:rFonts w:ascii="Palatino Linotype" w:eastAsiaTheme="minorEastAsia" w:hAnsi="Palatino Linotype" w:cs="Arial"/>
          <w:i/>
          <w:lang w:val="es-ES_tradnl" w:eastAsia="es-ES"/>
        </w:rPr>
      </w:pPr>
    </w:p>
    <w:p w14:paraId="673D8923" w14:textId="77777777" w:rsidR="00EC41DD" w:rsidRPr="00A52A6B" w:rsidRDefault="00EC41DD" w:rsidP="00616500">
      <w:pPr>
        <w:pStyle w:val="Prrafodelista"/>
        <w:spacing w:line="360" w:lineRule="auto"/>
        <w:ind w:left="502"/>
        <w:jc w:val="both"/>
        <w:rPr>
          <w:rFonts w:ascii="Palatino Linotype" w:hAnsi="Palatino Linotype"/>
          <w:b/>
        </w:rPr>
      </w:pPr>
      <w:r w:rsidRPr="00A52A6B">
        <w:rPr>
          <w:rFonts w:ascii="Palatino Linotype" w:hAnsi="Palatino Linotype"/>
          <w:b/>
        </w:rPr>
        <w:t>2851/INFOEM/IP/RR/2020:</w:t>
      </w:r>
    </w:p>
    <w:p w14:paraId="3EC304AB" w14:textId="77777777" w:rsidR="00EC41DD" w:rsidRPr="00A52A6B" w:rsidRDefault="00EC41DD" w:rsidP="00EC41DD">
      <w:pPr>
        <w:pStyle w:val="Prrafodelista"/>
        <w:spacing w:line="360" w:lineRule="auto"/>
        <w:jc w:val="both"/>
        <w:rPr>
          <w:rFonts w:ascii="Palatino Linotype" w:hAnsi="Palatino Linotype"/>
          <w:b/>
        </w:rPr>
      </w:pPr>
    </w:p>
    <w:p w14:paraId="5A96DEC0" w14:textId="77777777" w:rsidR="00EC41DD" w:rsidRPr="00A52A6B" w:rsidRDefault="00EC41DD" w:rsidP="00EC41DD">
      <w:pPr>
        <w:spacing w:after="0" w:line="360" w:lineRule="auto"/>
        <w:ind w:left="567" w:right="567"/>
        <w:contextualSpacing/>
        <w:jc w:val="both"/>
        <w:rPr>
          <w:rFonts w:ascii="Palatino Linotype" w:eastAsia="Calibri" w:hAnsi="Palatino Linotype" w:cs="Arial"/>
          <w:i/>
          <w:lang w:val="es-ES" w:eastAsia="es-ES"/>
        </w:rPr>
      </w:pPr>
      <w:r w:rsidRPr="00A52A6B">
        <w:rPr>
          <w:rFonts w:ascii="Palatino Linotype" w:eastAsiaTheme="minorEastAsia" w:hAnsi="Palatino Linotype"/>
          <w:b/>
          <w:sz w:val="24"/>
          <w:szCs w:val="24"/>
          <w:lang w:val="es-ES_tradnl" w:eastAsia="es-ES"/>
        </w:rPr>
        <w:lastRenderedPageBreak/>
        <w:t>Acto impugnado</w:t>
      </w:r>
      <w:r w:rsidRPr="00A52A6B">
        <w:rPr>
          <w:rFonts w:ascii="Palatino Linotype" w:eastAsiaTheme="minorEastAsia" w:hAnsi="Palatino Linotype"/>
          <w:b/>
          <w:i/>
          <w:lang w:val="es-ES_tradnl" w:eastAsia="es-ES"/>
        </w:rPr>
        <w:t>:</w:t>
      </w:r>
      <w:r w:rsidRPr="00A52A6B">
        <w:rPr>
          <w:rFonts w:ascii="Palatino Linotype" w:hAnsi="Palatino Linotype"/>
          <w:i/>
          <w:color w:val="000000"/>
        </w:rPr>
        <w:t xml:space="preserve"> “La contestación del sujeto obligado y el acta del comité de transparencia.” (Sic)</w:t>
      </w:r>
    </w:p>
    <w:p w14:paraId="68EC424A" w14:textId="77777777" w:rsidR="00EC41DD" w:rsidRPr="00A52A6B" w:rsidRDefault="00EC41DD" w:rsidP="00EC41DD">
      <w:pPr>
        <w:spacing w:after="0" w:line="360" w:lineRule="auto"/>
        <w:ind w:left="567" w:right="567"/>
        <w:contextualSpacing/>
        <w:jc w:val="both"/>
        <w:rPr>
          <w:rFonts w:ascii="Palatino Linotype" w:eastAsia="Calibri" w:hAnsi="Palatino Linotype" w:cs="Arial"/>
          <w:sz w:val="24"/>
          <w:lang w:val="es-ES" w:eastAsia="es-ES"/>
        </w:rPr>
      </w:pPr>
    </w:p>
    <w:p w14:paraId="4AB80938" w14:textId="77777777" w:rsidR="00EC41DD" w:rsidRPr="00A52A6B" w:rsidRDefault="00EC41DD" w:rsidP="00EC41DD">
      <w:pPr>
        <w:spacing w:after="0" w:line="360" w:lineRule="auto"/>
        <w:ind w:left="567" w:right="567"/>
        <w:contextualSpacing/>
        <w:jc w:val="both"/>
        <w:rPr>
          <w:rFonts w:ascii="Palatino Linotype" w:eastAsiaTheme="minorEastAsia" w:hAnsi="Palatino Linotype" w:cs="Arial"/>
          <w:i/>
          <w:lang w:val="es-ES_tradnl" w:eastAsia="es-ES"/>
        </w:rPr>
      </w:pPr>
      <w:r w:rsidRPr="00A52A6B">
        <w:rPr>
          <w:rFonts w:ascii="Palatino Linotype" w:eastAsiaTheme="minorEastAsia" w:hAnsi="Palatino Linotype"/>
          <w:b/>
          <w:sz w:val="24"/>
          <w:szCs w:val="24"/>
          <w:lang w:val="es-ES_tradnl" w:eastAsia="es-ES"/>
        </w:rPr>
        <w:t>Razones o Motivos de inconformidad:</w:t>
      </w:r>
      <w:r w:rsidRPr="00A52A6B">
        <w:rPr>
          <w:rFonts w:ascii="Palatino Linotype" w:eastAsiaTheme="majorEastAsia" w:hAnsi="Palatino Linotype" w:cstheme="majorBidi"/>
          <w:b/>
          <w:color w:val="2E74B5" w:themeColor="accent1" w:themeShade="BF"/>
          <w:sz w:val="26"/>
          <w:szCs w:val="26"/>
          <w:lang w:val="es-ES" w:eastAsia="es-ES"/>
        </w:rPr>
        <w:t xml:space="preserve"> </w:t>
      </w:r>
      <w:r w:rsidRPr="00A52A6B">
        <w:rPr>
          <w:rFonts w:ascii="Palatino Linotype" w:eastAsiaTheme="majorEastAsia" w:hAnsi="Palatino Linotype" w:cstheme="majorBidi"/>
          <w:i/>
          <w:lang w:val="es-ES" w:eastAsia="es-ES"/>
        </w:rPr>
        <w:t>“</w:t>
      </w:r>
      <w:r w:rsidRPr="00A52A6B">
        <w:rPr>
          <w:rFonts w:ascii="Palatino Linotype" w:hAnsi="Palatino Linotype"/>
          <w:i/>
          <w:color w:val="000000"/>
        </w:rPr>
        <w:t xml:space="preserve">La indebida motivación y fundamentación de la respuesta otorgada por el sujeto obligado mediante el oficio de la titular y el acta del comité de transparencia, pues es notorio, que el comité de transparencia carece de atribuciones legales para cambiar la modalidad de la entrega de la información solicitada, además, que resulta evidente, que si cuenta con la información para proporcionarla in situ, es incuestionable que lo único que le hace falta para entregármela vía </w:t>
      </w:r>
      <w:proofErr w:type="spellStart"/>
      <w:r w:rsidRPr="00A52A6B">
        <w:rPr>
          <w:rFonts w:ascii="Palatino Linotype" w:hAnsi="Palatino Linotype"/>
          <w:i/>
          <w:color w:val="000000"/>
        </w:rPr>
        <w:t>saimex</w:t>
      </w:r>
      <w:proofErr w:type="spellEnd"/>
      <w:r w:rsidRPr="00A52A6B">
        <w:rPr>
          <w:rFonts w:ascii="Palatino Linotype" w:hAnsi="Palatino Linotype"/>
          <w:i/>
          <w:color w:val="000000"/>
        </w:rPr>
        <w:t xml:space="preserve"> es escanearla en muchos de los casos, y en otros elaborar la versión pública y sesionar en comité, actividades que no requieren de tanto tiempo, por ende, no existe congruencia entre lo vertido y lo que acontece en la realidad. Es claro y patente, que su conducta busca eludir y retrasar el cumplimiento de sus obligaciones. Por lo demás, es absolutamente falso que el sujeto obligado sólo cuente con tres personas para atender las solicitudes de información, las tres personas a que alude son las adscritas a la unidad de transparencia, más todos y cada uno de los servidores públicos habilitados que se encuentran registrados en el sistema proporcionado por ustedes (más de treinta), por lo que, la suma de dichos servidores públicos da como resultado que cuenta con más de treinta servidores públicos para atender las solicitudes y no con tres, cómo maliciosamente pretende hacerlo ver; asimismo, es falso, que en todo el ayuntamiento se ha estado laborando durante la pandemia con el personal mínimo indispensable, pues aquí todos sabemos que la administración municipal ha laborado normalmente y prácticamente en su totalidad, lo que puede corroborar este órgano garante con las propias actas que ha estado emitiendo el comité de transparencia en dicho período, así </w:t>
      </w:r>
      <w:r w:rsidRPr="00A52A6B">
        <w:rPr>
          <w:rFonts w:ascii="Palatino Linotype" w:hAnsi="Palatino Linotype"/>
          <w:i/>
          <w:color w:val="000000"/>
        </w:rPr>
        <w:lastRenderedPageBreak/>
        <w:t xml:space="preserve">como, con todos y cada uno de los acuses de recibo de los oficios emitidos por la unidad de transparencia requiriendo información a los servidores públicos habilitados durante la pandemia, así como, con la información que deriva del reloj </w:t>
      </w:r>
      <w:proofErr w:type="spellStart"/>
      <w:r w:rsidRPr="00A52A6B">
        <w:rPr>
          <w:rFonts w:ascii="Palatino Linotype" w:hAnsi="Palatino Linotype"/>
          <w:i/>
          <w:color w:val="000000"/>
        </w:rPr>
        <w:t>checador</w:t>
      </w:r>
      <w:proofErr w:type="spellEnd"/>
      <w:r w:rsidRPr="00A52A6B">
        <w:rPr>
          <w:rFonts w:ascii="Palatino Linotype" w:hAnsi="Palatino Linotype"/>
          <w:i/>
          <w:color w:val="000000"/>
        </w:rPr>
        <w:t xml:space="preserve"> de control de asistencia, documentales todas, que desde este momento, pido se las requiera al sujeto obligado, advirtiendo que asumirá una conducta procesal falsa y dolosa, para ocultar también esta información, pues el presidente municipal es experto en simulación e hipocresía, emite actas de cabildo y acuerdos que no respeta. Por si fuera poco lo anterior, el obligado ha contado con suficiente tiempo para cumplir con sus obligaciones derivado de la interrupción de los plazos y términos por la pandemia, por lo que reitero, no existe lógica ni congruencia, para cambiar la modalidad de entrega de la información y lo único que pretende es descubrir quienes les solicitamos información para amedrentarnos, pues así lo ha declarado el presidente y la de transparencia, que van a descubrir quien les solicita información y no se la va a acabar, que harán lo necesario para que se arrepienta, y tales actitudes son notoriamente ilegales e infringen la ley de la materia, en tanto que no pueden andar investigando quien les solicita información y mucho menos para amedrentarlo, pido los sancionen, por estas razones y porqué siempre están ocultando información. Se resalta que además de vulnerar mi derecho humano a obtener la información en la modalidad deseada (</w:t>
      </w:r>
      <w:proofErr w:type="spellStart"/>
      <w:r w:rsidRPr="00A52A6B">
        <w:rPr>
          <w:rFonts w:ascii="Palatino Linotype" w:hAnsi="Palatino Linotype"/>
          <w:i/>
          <w:color w:val="000000"/>
        </w:rPr>
        <w:t>saimex</w:t>
      </w:r>
      <w:proofErr w:type="spellEnd"/>
      <w:r w:rsidRPr="00A52A6B">
        <w:rPr>
          <w:rFonts w:ascii="Palatino Linotype" w:hAnsi="Palatino Linotype"/>
          <w:i/>
          <w:color w:val="000000"/>
        </w:rPr>
        <w:t>), también, transgrede mi derecho humano a información gratuita, pues pretende cobrarme la información.”</w:t>
      </w:r>
    </w:p>
    <w:p w14:paraId="1146783F" w14:textId="77777777" w:rsidR="00EC41DD" w:rsidRPr="00A52A6B" w:rsidRDefault="00EC41DD" w:rsidP="00EC41DD">
      <w:pPr>
        <w:pStyle w:val="Prrafodelista"/>
        <w:spacing w:line="360" w:lineRule="auto"/>
        <w:jc w:val="both"/>
        <w:rPr>
          <w:rFonts w:ascii="Palatino Linotype" w:hAnsi="Palatino Linotype"/>
          <w:b/>
        </w:rPr>
      </w:pPr>
    </w:p>
    <w:p w14:paraId="577FC6A0" w14:textId="77777777" w:rsidR="00EC41DD" w:rsidRPr="00A52A6B" w:rsidRDefault="00EC41DD" w:rsidP="00616500">
      <w:pPr>
        <w:pStyle w:val="Prrafodelista"/>
        <w:spacing w:line="360" w:lineRule="auto"/>
        <w:ind w:left="502"/>
        <w:jc w:val="both"/>
        <w:rPr>
          <w:rFonts w:ascii="Palatino Linotype" w:hAnsi="Palatino Linotype"/>
          <w:b/>
        </w:rPr>
      </w:pPr>
      <w:r w:rsidRPr="00A52A6B">
        <w:rPr>
          <w:rFonts w:ascii="Palatino Linotype" w:hAnsi="Palatino Linotype"/>
          <w:b/>
        </w:rPr>
        <w:t>2852/INFOEM/IP/RR/2020:</w:t>
      </w:r>
    </w:p>
    <w:p w14:paraId="5BF3DBBD" w14:textId="77777777" w:rsidR="00EC41DD" w:rsidRPr="00A52A6B" w:rsidRDefault="00EC41DD" w:rsidP="00EC41DD">
      <w:pPr>
        <w:pStyle w:val="Prrafodelista"/>
        <w:spacing w:line="360" w:lineRule="auto"/>
        <w:jc w:val="both"/>
        <w:rPr>
          <w:rFonts w:ascii="Palatino Linotype" w:hAnsi="Palatino Linotype"/>
          <w:b/>
        </w:rPr>
      </w:pPr>
    </w:p>
    <w:p w14:paraId="3541C5EA" w14:textId="77777777" w:rsidR="00EC41DD" w:rsidRPr="00A52A6B" w:rsidRDefault="00EC41DD" w:rsidP="00EC41DD">
      <w:pPr>
        <w:pStyle w:val="Prrafodelista"/>
        <w:spacing w:line="360" w:lineRule="auto"/>
        <w:ind w:left="567" w:right="567"/>
        <w:jc w:val="both"/>
        <w:rPr>
          <w:rFonts w:ascii="Palatino Linotype" w:eastAsia="Calibri" w:hAnsi="Palatino Linotype" w:cs="Arial"/>
          <w:i/>
          <w:lang w:val="es-ES" w:eastAsia="es-ES"/>
        </w:rPr>
      </w:pPr>
      <w:r w:rsidRPr="00A52A6B">
        <w:rPr>
          <w:rFonts w:ascii="Palatino Linotype" w:eastAsiaTheme="minorEastAsia" w:hAnsi="Palatino Linotype"/>
          <w:b/>
          <w:lang w:val="es-ES_tradnl" w:eastAsia="es-ES"/>
        </w:rPr>
        <w:t>Acto impugnado</w:t>
      </w:r>
      <w:r w:rsidRPr="00A52A6B">
        <w:rPr>
          <w:rFonts w:ascii="Palatino Linotype" w:eastAsiaTheme="minorEastAsia" w:hAnsi="Palatino Linotype"/>
          <w:b/>
          <w:i/>
          <w:lang w:val="es-ES_tradnl" w:eastAsia="es-ES"/>
        </w:rPr>
        <w:t>:</w:t>
      </w:r>
      <w:r w:rsidRPr="00A52A6B">
        <w:rPr>
          <w:rFonts w:ascii="Palatino Linotype" w:hAnsi="Palatino Linotype"/>
          <w:i/>
          <w:color w:val="000000"/>
        </w:rPr>
        <w:t xml:space="preserve"> “La contestación del sujeto obligado y el acta del comité de transparencia.” (Sic)</w:t>
      </w:r>
    </w:p>
    <w:p w14:paraId="37527D32" w14:textId="77777777" w:rsidR="00EC41DD" w:rsidRPr="00A52A6B" w:rsidRDefault="00EC41DD" w:rsidP="00EC41DD">
      <w:pPr>
        <w:pStyle w:val="Prrafodelista"/>
        <w:spacing w:line="360" w:lineRule="auto"/>
        <w:ind w:right="567"/>
        <w:jc w:val="both"/>
        <w:rPr>
          <w:rFonts w:ascii="Palatino Linotype" w:eastAsia="Calibri" w:hAnsi="Palatino Linotype" w:cs="Arial"/>
          <w:lang w:val="es-ES" w:eastAsia="es-ES"/>
        </w:rPr>
      </w:pPr>
    </w:p>
    <w:p w14:paraId="7299C32C" w14:textId="77777777" w:rsidR="00EC41DD" w:rsidRPr="00A52A6B" w:rsidRDefault="00EC41DD" w:rsidP="00EC41DD">
      <w:pPr>
        <w:pStyle w:val="Prrafodelista"/>
        <w:spacing w:line="360" w:lineRule="auto"/>
        <w:ind w:left="567" w:right="567"/>
        <w:jc w:val="both"/>
        <w:rPr>
          <w:rFonts w:ascii="Palatino Linotype" w:eastAsiaTheme="minorEastAsia" w:hAnsi="Palatino Linotype" w:cs="Arial"/>
          <w:i/>
          <w:lang w:val="es-ES_tradnl" w:eastAsia="es-ES"/>
        </w:rPr>
      </w:pPr>
      <w:r w:rsidRPr="00A52A6B">
        <w:rPr>
          <w:rFonts w:ascii="Palatino Linotype" w:eastAsiaTheme="minorEastAsia" w:hAnsi="Palatino Linotype"/>
          <w:b/>
          <w:lang w:val="es-ES_tradnl" w:eastAsia="es-ES"/>
        </w:rPr>
        <w:t>Razones o Motivos de inconformidad:</w:t>
      </w:r>
      <w:r w:rsidRPr="00A52A6B">
        <w:rPr>
          <w:rFonts w:ascii="Palatino Linotype" w:eastAsiaTheme="majorEastAsia" w:hAnsi="Palatino Linotype" w:cstheme="majorBidi"/>
          <w:b/>
          <w:color w:val="2E74B5" w:themeColor="accent1" w:themeShade="BF"/>
          <w:sz w:val="26"/>
          <w:szCs w:val="26"/>
          <w:lang w:val="es-ES" w:eastAsia="es-ES"/>
        </w:rPr>
        <w:t xml:space="preserve"> </w:t>
      </w:r>
      <w:r w:rsidRPr="00A52A6B">
        <w:rPr>
          <w:rFonts w:ascii="Palatino Linotype" w:eastAsiaTheme="majorEastAsia" w:hAnsi="Palatino Linotype" w:cstheme="majorBidi"/>
          <w:i/>
          <w:lang w:val="es-ES" w:eastAsia="es-ES"/>
        </w:rPr>
        <w:t>“</w:t>
      </w:r>
      <w:r w:rsidRPr="00A52A6B">
        <w:rPr>
          <w:rFonts w:ascii="Palatino Linotype" w:hAnsi="Palatino Linotype"/>
          <w:i/>
          <w:color w:val="000000"/>
        </w:rPr>
        <w:t xml:space="preserve">La indebida motivación y fundamentación de la respuesta otorgada por el sujeto obligado mediante el oficio de la titular y el acta del comité de transparencia, pues es notorio, que el comité de transparencia carece de atribuciones legales para cambiar la modalidad de la entrega de la información solicitada, además, que resulta evidente, que si cuenta con la información para proporcionarla in situ, es incuestionable que lo único que le hace falta para entregármela vía </w:t>
      </w:r>
      <w:proofErr w:type="spellStart"/>
      <w:r w:rsidRPr="00A52A6B">
        <w:rPr>
          <w:rFonts w:ascii="Palatino Linotype" w:hAnsi="Palatino Linotype"/>
          <w:i/>
          <w:color w:val="000000"/>
        </w:rPr>
        <w:t>saimex</w:t>
      </w:r>
      <w:proofErr w:type="spellEnd"/>
      <w:r w:rsidRPr="00A52A6B">
        <w:rPr>
          <w:rFonts w:ascii="Palatino Linotype" w:hAnsi="Palatino Linotype"/>
          <w:i/>
          <w:color w:val="000000"/>
        </w:rPr>
        <w:t xml:space="preserve"> es escanearla en muchos de los casos, y en otros elaborar la versión pública y sesionar en comité, actividades que no requieren de tanto tiempo, por ende, no existe congruencia entre lo vertido y lo que acontece en la realidad. Es claro y patente, que su conducta busca eludir y retrasar el cumplimiento de sus obligaciones. Por lo demás, es absolutamente falso que el sujeto obligado sólo cuente con tres personas para atender las solicitudes de información, las tres personas a que alude son las adscritas a la unidad de transparencia, más todos y cada uno de los servidores públicos habilitados que se encuentran registrados en el sistema proporcionado por ustedes (más de treinta), por lo que, la suma de dichos servidores públicos da como resultado que cuenta con más de treinta servidores públicos para atender las solicitudes y no con tres, cómo maliciosamente pretende hacerlo ver; asimismo, es falso, que en todo el ayuntamiento se ha estado laborando durante la pandemia con el personal mínimo indispensable, pues aquí todos sabemos que la administración municipal ha laborado normalmente y prácticamente en su </w:t>
      </w:r>
      <w:r w:rsidRPr="00A52A6B">
        <w:rPr>
          <w:rFonts w:ascii="Palatino Linotype" w:hAnsi="Palatino Linotype"/>
          <w:i/>
          <w:color w:val="000000"/>
        </w:rPr>
        <w:lastRenderedPageBreak/>
        <w:t xml:space="preserve">totalidad, lo que puede corroborar este órgano garante con las propias actas que ha estado emitiendo el comité de transparencia en dicho período, así como, con todos y cada uno de los acuses de recibo de los oficios emitidos por la unidad de transparencia requiriendo información a los servidores públicos habilitados durante la pandemia, así como, con la información que deriva del reloj </w:t>
      </w:r>
      <w:proofErr w:type="spellStart"/>
      <w:r w:rsidRPr="00A52A6B">
        <w:rPr>
          <w:rFonts w:ascii="Palatino Linotype" w:hAnsi="Palatino Linotype"/>
          <w:i/>
          <w:color w:val="000000"/>
        </w:rPr>
        <w:t>checador</w:t>
      </w:r>
      <w:proofErr w:type="spellEnd"/>
      <w:r w:rsidRPr="00A52A6B">
        <w:rPr>
          <w:rFonts w:ascii="Palatino Linotype" w:hAnsi="Palatino Linotype"/>
          <w:i/>
          <w:color w:val="000000"/>
        </w:rPr>
        <w:t xml:space="preserve"> de control de asistencia, documentales todas, que desde este momento, pido se las requiera al sujeto obligado, advirtiendo que asumirá una conducta procesal falsa y dolosa, para ocultar también esta información, pues el presidente municipal es experto en simulación e hipocresía, emite actas de cabildo y acuerdos que no respeta. Por si fuera poco lo anterior, el obligado ha contado con suficiente tiempo para cumplir con sus obligaciones derivado de la interrupción de los plazos y términos por la pandemia, por lo que reitero, no existe lógica ni congruencia, para cambiar la modalidad de entrega de la información y lo único que pretende es descubrir quienes les solicitamos información para amedrentarnos, pues así lo ha declarado el presidente y la de transparencia, que van a descubrir quien les solicita información y no se la va a acabar, que harán lo necesario para que se arrepienta, y tales actitudes son notoriamente ilegales e infringen la ley de la materia, en tanto que no pueden andar investigando quien les solicita información y mucho menos para amedrentarlo, pido los sancionen, por estas razones y porqué siempre están ocultando información. Se resalta que además de vulnerar mi derecho humano a obtener la información en la modalidad deseada </w:t>
      </w:r>
      <w:r w:rsidRPr="00A52A6B">
        <w:rPr>
          <w:rFonts w:ascii="Palatino Linotype" w:hAnsi="Palatino Linotype"/>
          <w:i/>
          <w:color w:val="000000"/>
        </w:rPr>
        <w:lastRenderedPageBreak/>
        <w:t>(</w:t>
      </w:r>
      <w:proofErr w:type="spellStart"/>
      <w:r w:rsidRPr="00A52A6B">
        <w:rPr>
          <w:rFonts w:ascii="Palatino Linotype" w:hAnsi="Palatino Linotype"/>
          <w:i/>
          <w:color w:val="000000"/>
        </w:rPr>
        <w:t>saimex</w:t>
      </w:r>
      <w:proofErr w:type="spellEnd"/>
      <w:r w:rsidRPr="00A52A6B">
        <w:rPr>
          <w:rFonts w:ascii="Palatino Linotype" w:hAnsi="Palatino Linotype"/>
          <w:i/>
          <w:color w:val="000000"/>
        </w:rPr>
        <w:t>), también, transgrede mi derecho humano a información gratuita, pues pretende cobrarme la información.”</w:t>
      </w:r>
    </w:p>
    <w:p w14:paraId="0FE1714A" w14:textId="77777777" w:rsidR="00EC41DD" w:rsidRPr="00A52A6B" w:rsidRDefault="00EC41DD" w:rsidP="00EC41DD">
      <w:pPr>
        <w:pStyle w:val="Prrafodelista"/>
        <w:spacing w:line="360" w:lineRule="auto"/>
        <w:jc w:val="both"/>
        <w:rPr>
          <w:rFonts w:ascii="Palatino Linotype" w:hAnsi="Palatino Linotype"/>
          <w:b/>
        </w:rPr>
      </w:pPr>
    </w:p>
    <w:p w14:paraId="56C3D290" w14:textId="77777777" w:rsidR="00EC41DD" w:rsidRPr="00A52A6B" w:rsidRDefault="00EC41DD" w:rsidP="00616500">
      <w:pPr>
        <w:pStyle w:val="Prrafodelista"/>
        <w:spacing w:line="360" w:lineRule="auto"/>
        <w:ind w:left="502"/>
        <w:jc w:val="both"/>
        <w:rPr>
          <w:rFonts w:ascii="Palatino Linotype" w:hAnsi="Palatino Linotype"/>
          <w:b/>
        </w:rPr>
      </w:pPr>
      <w:r w:rsidRPr="00A52A6B">
        <w:rPr>
          <w:rFonts w:ascii="Palatino Linotype" w:hAnsi="Palatino Linotype"/>
          <w:b/>
        </w:rPr>
        <w:t>2853/INFOEM/IP/RR/2020:</w:t>
      </w:r>
    </w:p>
    <w:p w14:paraId="3171BE5F" w14:textId="77777777" w:rsidR="00EC41DD" w:rsidRPr="00A52A6B" w:rsidRDefault="00EC41DD" w:rsidP="00EC41DD">
      <w:pPr>
        <w:pStyle w:val="Prrafodelista"/>
        <w:spacing w:line="360" w:lineRule="auto"/>
        <w:jc w:val="both"/>
        <w:rPr>
          <w:rFonts w:ascii="Palatino Linotype" w:hAnsi="Palatino Linotype"/>
          <w:b/>
        </w:rPr>
      </w:pPr>
    </w:p>
    <w:p w14:paraId="73A1171A" w14:textId="77777777" w:rsidR="00EC41DD" w:rsidRPr="00A52A6B" w:rsidRDefault="00EC41DD" w:rsidP="00EC41DD">
      <w:pPr>
        <w:pStyle w:val="Prrafodelista"/>
        <w:spacing w:line="360" w:lineRule="auto"/>
        <w:ind w:left="567" w:right="567"/>
        <w:jc w:val="both"/>
        <w:rPr>
          <w:rFonts w:ascii="Palatino Linotype" w:eastAsia="Calibri" w:hAnsi="Palatino Linotype" w:cs="Arial"/>
          <w:i/>
          <w:lang w:val="es-ES" w:eastAsia="es-ES"/>
        </w:rPr>
      </w:pPr>
      <w:r w:rsidRPr="00A52A6B">
        <w:rPr>
          <w:rFonts w:ascii="Palatino Linotype" w:eastAsiaTheme="minorEastAsia" w:hAnsi="Palatino Linotype"/>
          <w:b/>
          <w:lang w:val="es-ES_tradnl" w:eastAsia="es-ES"/>
        </w:rPr>
        <w:t>Acto impugnado</w:t>
      </w:r>
      <w:r w:rsidRPr="00A52A6B">
        <w:rPr>
          <w:rFonts w:ascii="Palatino Linotype" w:eastAsiaTheme="minorEastAsia" w:hAnsi="Palatino Linotype"/>
          <w:b/>
          <w:i/>
          <w:lang w:val="es-ES_tradnl" w:eastAsia="es-ES"/>
        </w:rPr>
        <w:t>:</w:t>
      </w:r>
      <w:r w:rsidRPr="00A52A6B">
        <w:rPr>
          <w:rFonts w:ascii="Palatino Linotype" w:hAnsi="Palatino Linotype"/>
          <w:i/>
          <w:color w:val="000000"/>
        </w:rPr>
        <w:t xml:space="preserve"> “La contestación del sujeto obligado y el acta del comité de transparencia.” (Sic)</w:t>
      </w:r>
    </w:p>
    <w:p w14:paraId="0600436C" w14:textId="77777777" w:rsidR="00EC41DD" w:rsidRPr="00A52A6B" w:rsidRDefault="00EC41DD" w:rsidP="00EC41DD">
      <w:pPr>
        <w:pStyle w:val="Prrafodelista"/>
        <w:spacing w:line="360" w:lineRule="auto"/>
        <w:ind w:right="567"/>
        <w:jc w:val="both"/>
        <w:rPr>
          <w:rFonts w:ascii="Palatino Linotype" w:eastAsia="Calibri" w:hAnsi="Palatino Linotype" w:cs="Arial"/>
          <w:lang w:val="es-ES" w:eastAsia="es-ES"/>
        </w:rPr>
      </w:pPr>
    </w:p>
    <w:p w14:paraId="53274D31" w14:textId="77777777" w:rsidR="00EC41DD" w:rsidRPr="00A52A6B" w:rsidRDefault="00EC41DD" w:rsidP="00EC41DD">
      <w:pPr>
        <w:pStyle w:val="Prrafodelista"/>
        <w:spacing w:line="360" w:lineRule="auto"/>
        <w:ind w:left="567" w:right="567"/>
        <w:jc w:val="both"/>
        <w:rPr>
          <w:rFonts w:ascii="Palatino Linotype" w:hAnsi="Palatino Linotype"/>
          <w:i/>
          <w:color w:val="000000"/>
        </w:rPr>
      </w:pPr>
      <w:r w:rsidRPr="00A52A6B">
        <w:rPr>
          <w:rFonts w:ascii="Palatino Linotype" w:eastAsiaTheme="minorEastAsia" w:hAnsi="Palatino Linotype"/>
          <w:b/>
          <w:lang w:val="es-ES_tradnl" w:eastAsia="es-ES"/>
        </w:rPr>
        <w:t>Razones o Motivos de inconformidad:</w:t>
      </w:r>
      <w:r w:rsidRPr="00A52A6B">
        <w:rPr>
          <w:rFonts w:ascii="Palatino Linotype" w:eastAsiaTheme="majorEastAsia" w:hAnsi="Palatino Linotype" w:cstheme="majorBidi"/>
          <w:b/>
          <w:color w:val="2E74B5" w:themeColor="accent1" w:themeShade="BF"/>
          <w:sz w:val="26"/>
          <w:szCs w:val="26"/>
          <w:lang w:val="es-ES" w:eastAsia="es-ES"/>
        </w:rPr>
        <w:t xml:space="preserve"> </w:t>
      </w:r>
      <w:r w:rsidRPr="00A52A6B">
        <w:rPr>
          <w:rFonts w:ascii="Palatino Linotype" w:eastAsiaTheme="majorEastAsia" w:hAnsi="Palatino Linotype" w:cstheme="majorBidi"/>
          <w:i/>
          <w:lang w:val="es-ES" w:eastAsia="es-ES"/>
        </w:rPr>
        <w:t>“</w:t>
      </w:r>
      <w:r w:rsidRPr="00A52A6B">
        <w:rPr>
          <w:rFonts w:ascii="Palatino Linotype" w:hAnsi="Palatino Linotype"/>
          <w:i/>
          <w:color w:val="000000"/>
        </w:rPr>
        <w:t xml:space="preserve">La indebida motivación y fundamentación de la respuesta otorgada por el sujeto obligado mediante el oficio de la titular y el acta del comité de transparencia, pues es notorio, que el comité de transparencia carece de atribuciones legales para cambiar la modalidad de la entrega de la información solicitada, además, que resulta evidente, que si cuenta con la información para proporcionarla in situ, es incuestionable que lo único que le hace falta para entregármela vía </w:t>
      </w:r>
      <w:proofErr w:type="spellStart"/>
      <w:r w:rsidRPr="00A52A6B">
        <w:rPr>
          <w:rFonts w:ascii="Palatino Linotype" w:hAnsi="Palatino Linotype"/>
          <w:i/>
          <w:color w:val="000000"/>
        </w:rPr>
        <w:t>saimex</w:t>
      </w:r>
      <w:proofErr w:type="spellEnd"/>
      <w:r w:rsidRPr="00A52A6B">
        <w:rPr>
          <w:rFonts w:ascii="Palatino Linotype" w:hAnsi="Palatino Linotype"/>
          <w:i/>
          <w:color w:val="000000"/>
        </w:rPr>
        <w:t xml:space="preserve"> es escanearla en muchos de los casos, y en otros elaborar la versión pública y sesionar en comité, actividades que no requieren de tanto tiempo, por ende, no existe congruencia entre lo vertido y lo que acontece en la realidad. Es claro y patente, que su conducta busca eludir y retrasar el cumplimiento de sus obligaciones. Por lo demás, es absolutamente falso que el sujeto obligado sólo cuente con tres personas para atender las solicitudes de información, las tres personas a que alude son las adscritas a la unidad de transparencia, más todos y cada uno de los servidores públicos </w:t>
      </w:r>
      <w:r w:rsidRPr="00A52A6B">
        <w:rPr>
          <w:rFonts w:ascii="Palatino Linotype" w:hAnsi="Palatino Linotype"/>
          <w:i/>
          <w:color w:val="000000"/>
        </w:rPr>
        <w:lastRenderedPageBreak/>
        <w:t xml:space="preserve">habilitados que se encuentran registrados en el sistema proporcionado por ustedes (más de treinta), por lo que, la suma de dichos servidores públicos da como resultado que cuenta con más de treinta servidores públicos para atender las solicitudes y no con tres, cómo maliciosamente pretende hacerlo ver; asimismo, es falso, que en todo el ayuntamiento se ha estado laborando durante la pandemia con el personal mínimo indispensable, pues aquí todos sabemos que la administración municipal ha laborado normalmente y prácticamente en su totalidad, lo que puede corroborar este órgano garante con las propias actas que ha estado emitiendo el comité de transparencia en dicho período, así como, con todos y cada uno de los acuses de recibo de los oficios emitidos por la unidad de transparencia requiriendo información a los servidores públicos habilitados durante la pandemia, así como, con la información que deriva del reloj </w:t>
      </w:r>
      <w:proofErr w:type="spellStart"/>
      <w:r w:rsidRPr="00A52A6B">
        <w:rPr>
          <w:rFonts w:ascii="Palatino Linotype" w:hAnsi="Palatino Linotype"/>
          <w:i/>
          <w:color w:val="000000"/>
        </w:rPr>
        <w:t>checador</w:t>
      </w:r>
      <w:proofErr w:type="spellEnd"/>
      <w:r w:rsidRPr="00A52A6B">
        <w:rPr>
          <w:rFonts w:ascii="Palatino Linotype" w:hAnsi="Palatino Linotype"/>
          <w:i/>
          <w:color w:val="000000"/>
        </w:rPr>
        <w:t xml:space="preserve"> de control de asistencia, documentales todas, que desde este momento, pido se las requiera al sujeto obligado, advirtiendo que asumirá una conducta procesal falsa y dolosa, para ocultar también esta información, pues el presidente municipal es experto en simulación e hipocresía, emite actas de cabildo y acuerdos que no respeta. Por si fuera poco lo anterior, el obligado ha contado con suficiente tiempo para cumplir con sus obligaciones derivado de la interrupción de los plazos y términos por la pandemia, por lo que reitero, no existe lógica ni congruencia, para cambiar la modalidad de entrega de la información y lo único que pretende es descubrir quienes les solicitamos información para amedrentarnos, pues así lo ha declarado el presidente y la de transparencia, que van a descubrir quien les </w:t>
      </w:r>
      <w:r w:rsidRPr="00A52A6B">
        <w:rPr>
          <w:rFonts w:ascii="Palatino Linotype" w:hAnsi="Palatino Linotype"/>
          <w:i/>
          <w:color w:val="000000"/>
        </w:rPr>
        <w:lastRenderedPageBreak/>
        <w:t>solicita información y no se la va a acabar, que harán lo necesario para que se arrepienta, y tales actitudes son notoriamente ilegales e infringen la ley de la materia, en tanto que no pueden andar investigando quien les solicita información y mucho menos para amedrentarlo, pido los sancionen, por estas razones y porqué siempre están ocultando información. Se resalta que además de vulnerar mi derecho humano a obtener la información en la modalidad deseada (</w:t>
      </w:r>
      <w:proofErr w:type="spellStart"/>
      <w:r w:rsidRPr="00A52A6B">
        <w:rPr>
          <w:rFonts w:ascii="Palatino Linotype" w:hAnsi="Palatino Linotype"/>
          <w:i/>
          <w:color w:val="000000"/>
        </w:rPr>
        <w:t>saimex</w:t>
      </w:r>
      <w:proofErr w:type="spellEnd"/>
      <w:r w:rsidRPr="00A52A6B">
        <w:rPr>
          <w:rFonts w:ascii="Palatino Linotype" w:hAnsi="Palatino Linotype"/>
          <w:i/>
          <w:color w:val="000000"/>
        </w:rPr>
        <w:t>), también, transgrede mi derecho humano a información gratuita, pues pretende cobrarme la información.”</w:t>
      </w:r>
    </w:p>
    <w:p w14:paraId="25C92B2B" w14:textId="77777777" w:rsidR="00EC41DD" w:rsidRPr="00A52A6B" w:rsidRDefault="00EC41DD" w:rsidP="00EC41DD">
      <w:pPr>
        <w:pStyle w:val="Prrafodelista"/>
        <w:spacing w:line="360" w:lineRule="auto"/>
        <w:ind w:left="567" w:right="567"/>
        <w:jc w:val="both"/>
        <w:rPr>
          <w:rFonts w:ascii="Palatino Linotype" w:eastAsiaTheme="minorEastAsia" w:hAnsi="Palatino Linotype" w:cs="Arial"/>
          <w:i/>
          <w:lang w:val="es-ES_tradnl" w:eastAsia="es-ES"/>
        </w:rPr>
      </w:pPr>
    </w:p>
    <w:p w14:paraId="3189C659" w14:textId="77777777" w:rsidR="00892544" w:rsidRPr="00A52A6B" w:rsidRDefault="00892544" w:rsidP="00892544">
      <w:pPr>
        <w:pStyle w:val="Prrafodelista"/>
        <w:numPr>
          <w:ilvl w:val="0"/>
          <w:numId w:val="1"/>
        </w:numPr>
        <w:tabs>
          <w:tab w:val="left" w:pos="426"/>
        </w:tabs>
        <w:spacing w:line="360" w:lineRule="auto"/>
        <w:ind w:left="0" w:firstLine="0"/>
        <w:jc w:val="both"/>
        <w:rPr>
          <w:rFonts w:ascii="Palatino Linotype" w:eastAsia="Calibri" w:hAnsi="Palatino Linotype" w:cs="Arial"/>
          <w:lang w:val="es-ES_tradnl"/>
        </w:rPr>
      </w:pPr>
      <w:r w:rsidRPr="00A52A6B">
        <w:rPr>
          <w:rFonts w:ascii="Palatino Linotype" w:hAnsi="Palatino Linotype" w:cs="Arial"/>
          <w:lang w:val="es-ES_tradnl"/>
        </w:rPr>
        <w:t xml:space="preserve">Se registró el recurso de revisión bajo el número de expediente </w:t>
      </w:r>
      <w:r w:rsidRPr="00A52A6B">
        <w:rPr>
          <w:rFonts w:ascii="Palatino Linotype" w:hAnsi="Palatino Linotype" w:cs="Arial"/>
          <w:bCs/>
          <w:lang w:val="es-ES_tradnl"/>
        </w:rPr>
        <w:t xml:space="preserve">al rubro indicado, asimismo, con fundamento en lo dispuesto por el </w:t>
      </w:r>
      <w:r w:rsidRPr="00A52A6B">
        <w:rPr>
          <w:rFonts w:ascii="Palatino Linotype" w:eastAsia="Calibri" w:hAnsi="Palatino Linotype" w:cs="Arial"/>
          <w:lang w:val="es-ES_tradnl"/>
        </w:rPr>
        <w:t xml:space="preserve">artículo 185 fracción I de la </w:t>
      </w:r>
      <w:r w:rsidRPr="00A52A6B">
        <w:rPr>
          <w:rFonts w:ascii="Palatino Linotype" w:eastAsia="Calibri" w:hAnsi="Palatino Linotype" w:cs="Arial"/>
          <w:b/>
          <w:lang w:val="es-ES_tradnl"/>
        </w:rPr>
        <w:t xml:space="preserve">Ley de Transparencia y Acceso a la Información Pública del Estado de México y Municipios </w:t>
      </w:r>
      <w:r w:rsidRPr="00A52A6B">
        <w:rPr>
          <w:rFonts w:ascii="Palatino Linotype" w:hAnsi="Palatino Linotype" w:cs="Arial"/>
          <w:lang w:val="es-ES_tradnl"/>
        </w:rPr>
        <w:t xml:space="preserve">se turnó al </w:t>
      </w:r>
      <w:r w:rsidRPr="00A52A6B">
        <w:rPr>
          <w:rFonts w:ascii="Palatino Linotype" w:hAnsi="Palatino Linotype" w:cs="Arial"/>
          <w:b/>
          <w:lang w:val="es-ES_tradnl"/>
        </w:rPr>
        <w:t xml:space="preserve">Comisionado José Guadalupe Luna Hernández, </w:t>
      </w:r>
      <w:r w:rsidRPr="00A52A6B">
        <w:rPr>
          <w:rFonts w:ascii="Palatino Linotype" w:hAnsi="Palatino Linotype" w:cs="Arial"/>
          <w:lang w:val="es-ES_tradnl"/>
        </w:rPr>
        <w:t>con el objeto de su análisis.</w:t>
      </w:r>
    </w:p>
    <w:p w14:paraId="0D8B00E1" w14:textId="77777777" w:rsidR="00892544" w:rsidRPr="00A52A6B" w:rsidRDefault="00892544" w:rsidP="00892544">
      <w:pPr>
        <w:pStyle w:val="Prrafodelista"/>
        <w:tabs>
          <w:tab w:val="left" w:pos="426"/>
        </w:tabs>
        <w:spacing w:line="360" w:lineRule="auto"/>
        <w:ind w:left="0"/>
        <w:jc w:val="both"/>
        <w:rPr>
          <w:rFonts w:ascii="Palatino Linotype" w:eastAsia="Calibri" w:hAnsi="Palatino Linotype" w:cs="Arial"/>
          <w:lang w:val="es-ES_tradnl"/>
        </w:rPr>
      </w:pPr>
    </w:p>
    <w:p w14:paraId="28AD6239" w14:textId="77777777" w:rsidR="00892544" w:rsidRPr="00A52A6B" w:rsidRDefault="00892544" w:rsidP="00892544">
      <w:pPr>
        <w:pStyle w:val="Prrafodelista"/>
        <w:numPr>
          <w:ilvl w:val="0"/>
          <w:numId w:val="1"/>
        </w:numPr>
        <w:tabs>
          <w:tab w:val="left" w:pos="426"/>
        </w:tabs>
        <w:spacing w:line="360" w:lineRule="auto"/>
        <w:ind w:left="0" w:firstLine="0"/>
        <w:jc w:val="both"/>
        <w:rPr>
          <w:rFonts w:ascii="Palatino Linotype" w:eastAsia="Calibri" w:hAnsi="Palatino Linotype" w:cs="Arial"/>
          <w:lang w:val="es-ES_tradnl"/>
        </w:rPr>
      </w:pPr>
      <w:r w:rsidRPr="00A52A6B">
        <w:rPr>
          <w:rFonts w:ascii="Palatino Linotype" w:hAnsi="Palatino Linotype" w:cs="Arial"/>
          <w:lang w:val="es-ES_tradnl"/>
        </w:rPr>
        <w:t>El</w:t>
      </w:r>
      <w:r w:rsidRPr="00A52A6B">
        <w:rPr>
          <w:rFonts w:ascii="Palatino Linotype" w:eastAsia="Calibri" w:hAnsi="Palatino Linotype" w:cs="Arial"/>
          <w:lang w:val="es-ES_tradnl"/>
        </w:rPr>
        <w:t xml:space="preserve"> Comisionado Ponente con fundamento en lo dispuesto por el artículo 185 fracción II de la ley de la materia, a través del acuerdo de admisión de veinticuatro (24) de agosto de dos mil veinte, puso a disposición de las partes el expediente electrónico vía Sistema de Acceso a la Información Mexiquense (</w:t>
      </w:r>
      <w:r w:rsidRPr="00A52A6B">
        <w:rPr>
          <w:rFonts w:ascii="Palatino Linotype" w:eastAsia="Calibri" w:hAnsi="Palatino Linotype" w:cs="Arial"/>
          <w:b/>
          <w:lang w:val="es-ES_tradnl"/>
        </w:rPr>
        <w:t xml:space="preserve">SAIMEX) </w:t>
      </w:r>
      <w:r w:rsidRPr="00A52A6B">
        <w:rPr>
          <w:rFonts w:ascii="Palatino Linotype" w:eastAsia="Calibri" w:hAnsi="Palatino Linotype" w:cs="Arial"/>
          <w:lang w:val="es-ES_tradnl"/>
        </w:rPr>
        <w:t xml:space="preserve">a efecto de que en un plazo máximo de siete días manifestaran lo que a su derecho convinieran, ofrecieran pruebas y alegatos según corresponda a los casos concretos, </w:t>
      </w:r>
      <w:r w:rsidRPr="00A52A6B">
        <w:rPr>
          <w:rFonts w:ascii="Palatino Linotype" w:eastAsia="Calibri" w:hAnsi="Palatino Linotype" w:cs="Arial"/>
          <w:lang w:val="es-ES_tradnl"/>
        </w:rPr>
        <w:lastRenderedPageBreak/>
        <w:t xml:space="preserve">de esta forma para que el </w:t>
      </w:r>
      <w:r w:rsidRPr="00A52A6B">
        <w:rPr>
          <w:rFonts w:ascii="Palatino Linotype" w:eastAsia="Calibri" w:hAnsi="Palatino Linotype" w:cs="Arial"/>
          <w:b/>
          <w:lang w:val="es-ES_tradnl"/>
        </w:rPr>
        <w:t>SUJETO OBLIGADO</w:t>
      </w:r>
      <w:r w:rsidRPr="00A52A6B">
        <w:rPr>
          <w:rFonts w:ascii="Palatino Linotype" w:eastAsia="Calibri" w:hAnsi="Palatino Linotype" w:cs="Arial"/>
          <w:lang w:val="es-ES_tradnl"/>
        </w:rPr>
        <w:t xml:space="preserve"> presentara el informe justificado procedente.</w:t>
      </w:r>
    </w:p>
    <w:p w14:paraId="1E9DFE2C" w14:textId="77777777" w:rsidR="00892544" w:rsidRPr="00A52A6B" w:rsidRDefault="00892544" w:rsidP="00892544">
      <w:pPr>
        <w:pStyle w:val="Prrafodelista"/>
        <w:tabs>
          <w:tab w:val="left" w:pos="426"/>
        </w:tabs>
        <w:spacing w:before="240" w:after="240" w:line="360" w:lineRule="auto"/>
        <w:ind w:left="0"/>
        <w:jc w:val="both"/>
        <w:rPr>
          <w:rFonts w:ascii="Palatino Linotype" w:eastAsia="Calibri" w:hAnsi="Palatino Linotype" w:cs="Arial"/>
          <w:sz w:val="28"/>
          <w:lang w:val="es-ES_tradnl"/>
        </w:rPr>
      </w:pPr>
    </w:p>
    <w:p w14:paraId="2E2CB32E" w14:textId="77777777" w:rsidR="00892544" w:rsidRPr="00A52A6B" w:rsidRDefault="00892544" w:rsidP="00892544">
      <w:pPr>
        <w:pStyle w:val="Prrafodelista"/>
        <w:numPr>
          <w:ilvl w:val="0"/>
          <w:numId w:val="1"/>
        </w:numPr>
        <w:tabs>
          <w:tab w:val="left" w:pos="426"/>
        </w:tabs>
        <w:spacing w:line="360" w:lineRule="auto"/>
        <w:ind w:left="0" w:firstLine="0"/>
        <w:jc w:val="both"/>
        <w:rPr>
          <w:rFonts w:ascii="Palatino Linotype" w:eastAsia="Calibri" w:hAnsi="Palatino Linotype" w:cs="Arial"/>
          <w:lang w:val="es-ES_tradnl"/>
        </w:rPr>
      </w:pPr>
      <w:r w:rsidRPr="00A52A6B">
        <w:rPr>
          <w:rFonts w:ascii="Palatino Linotype" w:eastAsia="Calibri" w:hAnsi="Palatino Linotype" w:cs="Arial"/>
          <w:lang w:val="es-ES_tradnl"/>
        </w:rPr>
        <w:t xml:space="preserve">De las constancias que obran en el expediente digital </w:t>
      </w:r>
      <w:proofErr w:type="gramStart"/>
      <w:r w:rsidRPr="00A52A6B">
        <w:rPr>
          <w:rFonts w:ascii="Palatino Linotype" w:eastAsia="Calibri" w:hAnsi="Palatino Linotype" w:cs="Arial"/>
          <w:lang w:val="es-ES_tradnl"/>
        </w:rPr>
        <w:t>de</w:t>
      </w:r>
      <w:r w:rsidR="00EC41DD" w:rsidRPr="00A52A6B">
        <w:rPr>
          <w:rFonts w:ascii="Palatino Linotype" w:eastAsia="Calibri" w:hAnsi="Palatino Linotype" w:cs="Arial"/>
          <w:lang w:val="es-ES_tradnl"/>
        </w:rPr>
        <w:t xml:space="preserve"> </w:t>
      </w:r>
      <w:r w:rsidRPr="00A52A6B">
        <w:rPr>
          <w:rFonts w:ascii="Palatino Linotype" w:eastAsia="Calibri" w:hAnsi="Palatino Linotype" w:cs="Arial"/>
          <w:lang w:val="es-ES_tradnl"/>
        </w:rPr>
        <w:t xml:space="preserve"> los</w:t>
      </w:r>
      <w:proofErr w:type="gramEnd"/>
      <w:r w:rsidRPr="00A52A6B">
        <w:rPr>
          <w:rFonts w:ascii="Palatino Linotype" w:eastAsia="Calibri" w:hAnsi="Palatino Linotype" w:cs="Arial"/>
          <w:lang w:val="es-ES_tradnl"/>
        </w:rPr>
        <w:t xml:space="preserve"> recurso</w:t>
      </w:r>
      <w:r w:rsidR="00EC41DD" w:rsidRPr="00A52A6B">
        <w:rPr>
          <w:rFonts w:ascii="Palatino Linotype" w:eastAsia="Calibri" w:hAnsi="Palatino Linotype" w:cs="Arial"/>
          <w:lang w:val="es-ES_tradnl"/>
        </w:rPr>
        <w:t>s</w:t>
      </w:r>
      <w:r w:rsidRPr="00A52A6B">
        <w:rPr>
          <w:rFonts w:ascii="Palatino Linotype" w:eastAsia="Calibri" w:hAnsi="Palatino Linotype" w:cs="Arial"/>
          <w:lang w:val="es-ES_tradnl"/>
        </w:rPr>
        <w:t xml:space="preserve"> de revisión que hoy se resuelven, se aprecia que el </w:t>
      </w:r>
      <w:r w:rsidRPr="00A52A6B">
        <w:rPr>
          <w:rFonts w:ascii="Palatino Linotype" w:eastAsia="Calibri" w:hAnsi="Palatino Linotype" w:cs="Arial"/>
          <w:b/>
          <w:lang w:val="es-ES_tradnl"/>
        </w:rPr>
        <w:t xml:space="preserve">SUJETO OBLIGADO </w:t>
      </w:r>
      <w:r w:rsidRPr="00A52A6B">
        <w:rPr>
          <w:rFonts w:ascii="Palatino Linotype" w:eastAsia="Calibri" w:hAnsi="Palatino Linotype" w:cs="Arial"/>
          <w:lang w:val="es-ES_tradnl"/>
        </w:rPr>
        <w:t xml:space="preserve">no rindió informe justificado para manifestar lo que a su derecho conviniera; por su parte, la </w:t>
      </w:r>
      <w:r w:rsidRPr="00A52A6B">
        <w:rPr>
          <w:rFonts w:ascii="Palatino Linotype" w:eastAsia="Calibri" w:hAnsi="Palatino Linotype" w:cs="Arial"/>
          <w:b/>
          <w:lang w:val="es-ES_tradnl"/>
        </w:rPr>
        <w:t xml:space="preserve">RECURRENTE </w:t>
      </w:r>
      <w:r w:rsidRPr="00A52A6B">
        <w:rPr>
          <w:rFonts w:ascii="Palatino Linotype" w:eastAsia="Calibri" w:hAnsi="Palatino Linotype" w:cs="Arial"/>
          <w:lang w:val="es-ES_tradnl"/>
        </w:rPr>
        <w:t xml:space="preserve">no presentó alegatos ni ofreció medios de prueba. Se adjunta captura del apartado de </w:t>
      </w:r>
      <w:r w:rsidRPr="00A52A6B">
        <w:rPr>
          <w:rFonts w:ascii="Palatino Linotype" w:eastAsia="Calibri" w:hAnsi="Palatino Linotype" w:cs="Arial"/>
          <w:i/>
          <w:iCs/>
          <w:lang w:val="es-ES_tradnl"/>
        </w:rPr>
        <w:t>Manifestaciones</w:t>
      </w:r>
      <w:r w:rsidRPr="00A52A6B">
        <w:rPr>
          <w:rFonts w:ascii="Palatino Linotype" w:eastAsia="Calibri" w:hAnsi="Palatino Linotype" w:cs="Arial"/>
          <w:lang w:val="es-ES_tradnl"/>
        </w:rPr>
        <w:t xml:space="preserve"> del </w:t>
      </w:r>
      <w:r w:rsidRPr="00A52A6B">
        <w:rPr>
          <w:rFonts w:ascii="Palatino Linotype" w:eastAsia="Calibri" w:hAnsi="Palatino Linotype" w:cs="Arial"/>
          <w:i/>
          <w:iCs/>
          <w:lang w:val="es-ES_tradnl"/>
        </w:rPr>
        <w:t>SAIMEX</w:t>
      </w:r>
      <w:r w:rsidRPr="00A52A6B">
        <w:rPr>
          <w:rFonts w:ascii="Palatino Linotype" w:eastAsia="Calibri" w:hAnsi="Palatino Linotype" w:cs="Arial"/>
          <w:lang w:val="es-ES_tradnl"/>
        </w:rPr>
        <w:t xml:space="preserve"> como mera referencia:</w:t>
      </w:r>
    </w:p>
    <w:p w14:paraId="03E2B359" w14:textId="77777777" w:rsidR="00892544" w:rsidRPr="00A52A6B" w:rsidRDefault="00892544" w:rsidP="00892544">
      <w:pPr>
        <w:pStyle w:val="Prrafodelista"/>
        <w:tabs>
          <w:tab w:val="left" w:pos="426"/>
        </w:tabs>
        <w:spacing w:line="360" w:lineRule="auto"/>
        <w:ind w:left="0"/>
        <w:jc w:val="both"/>
        <w:rPr>
          <w:rFonts w:ascii="Palatino Linotype" w:eastAsia="Calibri" w:hAnsi="Palatino Linotype" w:cs="Arial"/>
          <w:lang w:val="es-ES_tradnl"/>
        </w:rPr>
      </w:pPr>
    </w:p>
    <w:p w14:paraId="2B070353" w14:textId="77777777" w:rsidR="00892544" w:rsidRPr="00A52A6B" w:rsidRDefault="00EC41DD" w:rsidP="00892544">
      <w:pPr>
        <w:pStyle w:val="Prrafodelista"/>
        <w:tabs>
          <w:tab w:val="left" w:pos="426"/>
        </w:tabs>
        <w:spacing w:line="360" w:lineRule="auto"/>
        <w:ind w:left="0"/>
        <w:jc w:val="center"/>
        <w:rPr>
          <w:rFonts w:ascii="Palatino Linotype" w:eastAsia="Calibri" w:hAnsi="Palatino Linotype" w:cs="Arial"/>
          <w:sz w:val="28"/>
          <w:lang w:val="es-ES_tradnl"/>
        </w:rPr>
      </w:pPr>
      <w:r w:rsidRPr="00A52A6B">
        <w:rPr>
          <w:noProof/>
          <w:lang w:val="es-MX" w:eastAsia="es-MX"/>
        </w:rPr>
        <mc:AlternateContent>
          <mc:Choice Requires="wps">
            <w:drawing>
              <wp:anchor distT="0" distB="0" distL="114300" distR="114300" simplePos="0" relativeHeight="251659264" behindDoc="0" locked="0" layoutInCell="1" allowOverlap="1" wp14:anchorId="2B3D15EF" wp14:editId="617F3F13">
                <wp:simplePos x="0" y="0"/>
                <wp:positionH relativeFrom="column">
                  <wp:posOffset>158115</wp:posOffset>
                </wp:positionH>
                <wp:positionV relativeFrom="paragraph">
                  <wp:posOffset>55245</wp:posOffset>
                </wp:positionV>
                <wp:extent cx="2390775" cy="304800"/>
                <wp:effectExtent l="19050" t="19050" r="28575" b="19050"/>
                <wp:wrapNone/>
                <wp:docPr id="9" name="Rectángulo redondeado 9"/>
                <wp:cNvGraphicFramePr/>
                <a:graphic xmlns:a="http://schemas.openxmlformats.org/drawingml/2006/main">
                  <a:graphicData uri="http://schemas.microsoft.com/office/word/2010/wordprocessingShape">
                    <wps:wsp>
                      <wps:cNvSpPr/>
                      <wps:spPr>
                        <a:xfrm>
                          <a:off x="0" y="0"/>
                          <a:ext cx="2390775"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87D405" id="Rectángulo redondeado 9" o:spid="_x0000_s1026" style="position:absolute;margin-left:12.45pt;margin-top:4.35pt;width:188.2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" filled="f" strokecolor="red" strokeweight="3pt">
                <v:stroke joinstyle="miter"/>
              </v:roundrect>
            </w:pict>
          </mc:Fallback>
        </mc:AlternateContent>
      </w:r>
      <w:r w:rsidRPr="00A52A6B">
        <w:rPr>
          <w:noProof/>
          <w:lang w:val="es-MX" w:eastAsia="es-MX"/>
        </w:rPr>
        <w:drawing>
          <wp:inline distT="0" distB="0" distL="0" distR="0" wp14:anchorId="69A3A027" wp14:editId="4543F9B8">
            <wp:extent cx="5276850" cy="1552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991" t="35319" r="18364" b="34192"/>
                    <a:stretch/>
                  </pic:blipFill>
                  <pic:spPr bwMode="auto">
                    <a:xfrm>
                      <a:off x="0" y="0"/>
                      <a:ext cx="5276850" cy="1552575"/>
                    </a:xfrm>
                    <a:prstGeom prst="rect">
                      <a:avLst/>
                    </a:prstGeom>
                    <a:ln>
                      <a:noFill/>
                    </a:ln>
                    <a:extLst>
                      <a:ext uri="{53640926-AAD7-44D8-BBD7-CCE9431645EC}">
                        <a14:shadowObscured xmlns:a14="http://schemas.microsoft.com/office/drawing/2010/main"/>
                      </a:ext>
                    </a:extLst>
                  </pic:spPr>
                </pic:pic>
              </a:graphicData>
            </a:graphic>
          </wp:inline>
        </w:drawing>
      </w:r>
    </w:p>
    <w:p w14:paraId="47173E26" w14:textId="77777777" w:rsidR="00892544" w:rsidRPr="00A52A6B" w:rsidRDefault="00892544" w:rsidP="00892544">
      <w:pPr>
        <w:pStyle w:val="Prrafodelista"/>
        <w:tabs>
          <w:tab w:val="left" w:pos="426"/>
        </w:tabs>
        <w:spacing w:line="360" w:lineRule="auto"/>
        <w:ind w:left="0"/>
        <w:jc w:val="center"/>
        <w:rPr>
          <w:rFonts w:ascii="Palatino Linotype" w:eastAsia="Calibri" w:hAnsi="Palatino Linotype" w:cs="Arial"/>
          <w:sz w:val="28"/>
          <w:lang w:val="es-ES_tradnl"/>
        </w:rPr>
      </w:pPr>
    </w:p>
    <w:p w14:paraId="61B81E14" w14:textId="77777777" w:rsidR="00892544" w:rsidRPr="00A52A6B" w:rsidRDefault="00EC41DD" w:rsidP="00892544">
      <w:pPr>
        <w:pStyle w:val="Prrafodelista"/>
        <w:tabs>
          <w:tab w:val="left" w:pos="426"/>
        </w:tabs>
        <w:spacing w:line="360" w:lineRule="auto"/>
        <w:ind w:left="0"/>
        <w:jc w:val="center"/>
        <w:rPr>
          <w:rFonts w:ascii="Palatino Linotype" w:eastAsia="Calibri" w:hAnsi="Palatino Linotype" w:cs="Arial"/>
          <w:sz w:val="28"/>
          <w:lang w:val="es-ES_tradnl"/>
        </w:rPr>
      </w:pPr>
      <w:r w:rsidRPr="00A52A6B">
        <w:rPr>
          <w:noProof/>
          <w:lang w:val="es-MX" w:eastAsia="es-MX"/>
        </w:rPr>
        <mc:AlternateContent>
          <mc:Choice Requires="wps">
            <w:drawing>
              <wp:anchor distT="0" distB="0" distL="114300" distR="114300" simplePos="0" relativeHeight="251661312" behindDoc="0" locked="0" layoutInCell="1" allowOverlap="1" wp14:anchorId="5BCFE3DB" wp14:editId="5165247F">
                <wp:simplePos x="0" y="0"/>
                <wp:positionH relativeFrom="column">
                  <wp:posOffset>200025</wp:posOffset>
                </wp:positionH>
                <wp:positionV relativeFrom="paragraph">
                  <wp:posOffset>30480</wp:posOffset>
                </wp:positionV>
                <wp:extent cx="2390775" cy="304800"/>
                <wp:effectExtent l="19050" t="19050" r="28575" b="19050"/>
                <wp:wrapNone/>
                <wp:docPr id="10" name="Rectángulo redondeado 10"/>
                <wp:cNvGraphicFramePr/>
                <a:graphic xmlns:a="http://schemas.openxmlformats.org/drawingml/2006/main">
                  <a:graphicData uri="http://schemas.microsoft.com/office/word/2010/wordprocessingShape">
                    <wps:wsp>
                      <wps:cNvSpPr/>
                      <wps:spPr>
                        <a:xfrm>
                          <a:off x="0" y="0"/>
                          <a:ext cx="2390775"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87792E" id="Rectángulo redondeado 10" o:spid="_x0000_s1026" style="position:absolute;margin-left:15.75pt;margin-top:2.4pt;width:188.2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" filled="f" strokecolor="red" strokeweight="3pt">
                <v:stroke joinstyle="miter"/>
              </v:roundrect>
            </w:pict>
          </mc:Fallback>
        </mc:AlternateContent>
      </w:r>
      <w:r w:rsidRPr="00A52A6B">
        <w:rPr>
          <w:noProof/>
          <w:lang w:val="es-MX" w:eastAsia="es-MX"/>
        </w:rPr>
        <w:drawing>
          <wp:inline distT="0" distB="0" distL="0" distR="0" wp14:anchorId="3035F11B" wp14:editId="206F71E7">
            <wp:extent cx="5219700" cy="1409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90" t="35923" r="17855" b="35098"/>
                    <a:stretch/>
                  </pic:blipFill>
                  <pic:spPr bwMode="auto">
                    <a:xfrm>
                      <a:off x="0" y="0"/>
                      <a:ext cx="5219700" cy="1409700"/>
                    </a:xfrm>
                    <a:prstGeom prst="rect">
                      <a:avLst/>
                    </a:prstGeom>
                    <a:ln>
                      <a:noFill/>
                    </a:ln>
                    <a:extLst>
                      <a:ext uri="{53640926-AAD7-44D8-BBD7-CCE9431645EC}">
                        <a14:shadowObscured xmlns:a14="http://schemas.microsoft.com/office/drawing/2010/main"/>
                      </a:ext>
                    </a:extLst>
                  </pic:spPr>
                </pic:pic>
              </a:graphicData>
            </a:graphic>
          </wp:inline>
        </w:drawing>
      </w:r>
    </w:p>
    <w:p w14:paraId="6F66E325" w14:textId="77777777" w:rsidR="00EC41DD" w:rsidRPr="00A52A6B" w:rsidRDefault="00EC41DD" w:rsidP="00892544">
      <w:pPr>
        <w:pStyle w:val="Prrafodelista"/>
        <w:tabs>
          <w:tab w:val="left" w:pos="426"/>
        </w:tabs>
        <w:spacing w:line="360" w:lineRule="auto"/>
        <w:ind w:left="0"/>
        <w:jc w:val="center"/>
        <w:rPr>
          <w:rFonts w:ascii="Palatino Linotype" w:eastAsia="Calibri" w:hAnsi="Palatino Linotype" w:cs="Arial"/>
          <w:sz w:val="28"/>
          <w:lang w:val="es-ES_tradnl"/>
        </w:rPr>
      </w:pPr>
    </w:p>
    <w:p w14:paraId="5924E246" w14:textId="77777777" w:rsidR="00EC41DD" w:rsidRPr="00A52A6B" w:rsidRDefault="00EC41DD" w:rsidP="00892544">
      <w:pPr>
        <w:pStyle w:val="Prrafodelista"/>
        <w:tabs>
          <w:tab w:val="left" w:pos="426"/>
        </w:tabs>
        <w:spacing w:line="360" w:lineRule="auto"/>
        <w:ind w:left="0"/>
        <w:jc w:val="center"/>
        <w:rPr>
          <w:rFonts w:ascii="Palatino Linotype" w:eastAsia="Calibri" w:hAnsi="Palatino Linotype" w:cs="Arial"/>
          <w:sz w:val="28"/>
          <w:lang w:val="es-ES_tradnl"/>
        </w:rPr>
      </w:pPr>
      <w:r w:rsidRPr="00A52A6B">
        <w:rPr>
          <w:noProof/>
          <w:lang w:val="es-MX" w:eastAsia="es-MX"/>
        </w:rPr>
        <w:lastRenderedPageBreak/>
        <mc:AlternateContent>
          <mc:Choice Requires="wps">
            <w:drawing>
              <wp:anchor distT="0" distB="0" distL="114300" distR="114300" simplePos="0" relativeHeight="251663360" behindDoc="0" locked="0" layoutInCell="1" allowOverlap="1" wp14:anchorId="6E715D44" wp14:editId="0E13FC4E">
                <wp:simplePos x="0" y="0"/>
                <wp:positionH relativeFrom="column">
                  <wp:posOffset>243840</wp:posOffset>
                </wp:positionH>
                <wp:positionV relativeFrom="paragraph">
                  <wp:posOffset>17780</wp:posOffset>
                </wp:positionV>
                <wp:extent cx="2390775" cy="304800"/>
                <wp:effectExtent l="19050" t="19050" r="28575" b="19050"/>
                <wp:wrapNone/>
                <wp:docPr id="11" name="Rectángulo redondeado 11"/>
                <wp:cNvGraphicFramePr/>
                <a:graphic xmlns:a="http://schemas.openxmlformats.org/drawingml/2006/main">
                  <a:graphicData uri="http://schemas.microsoft.com/office/word/2010/wordprocessingShape">
                    <wps:wsp>
                      <wps:cNvSpPr/>
                      <wps:spPr>
                        <a:xfrm>
                          <a:off x="0" y="0"/>
                          <a:ext cx="2390775"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AB5052" id="Rectángulo redondeado 11" o:spid="_x0000_s1026" style="position:absolute;margin-left:19.2pt;margin-top:1.4pt;width:188.2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" filled="f" strokecolor="red" strokeweight="3pt">
                <v:stroke joinstyle="miter"/>
              </v:roundrect>
            </w:pict>
          </mc:Fallback>
        </mc:AlternateContent>
      </w:r>
      <w:r w:rsidRPr="00A52A6B">
        <w:rPr>
          <w:noProof/>
          <w:lang w:val="es-MX" w:eastAsia="es-MX"/>
        </w:rPr>
        <w:drawing>
          <wp:inline distT="0" distB="0" distL="0" distR="0" wp14:anchorId="2FC306E4" wp14:editId="67EC2866">
            <wp:extent cx="5133975" cy="1457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91" t="36224" r="18194" b="35702"/>
                    <a:stretch/>
                  </pic:blipFill>
                  <pic:spPr bwMode="auto">
                    <a:xfrm>
                      <a:off x="0" y="0"/>
                      <a:ext cx="5133975" cy="1457325"/>
                    </a:xfrm>
                    <a:prstGeom prst="rect">
                      <a:avLst/>
                    </a:prstGeom>
                    <a:ln>
                      <a:noFill/>
                    </a:ln>
                    <a:extLst>
                      <a:ext uri="{53640926-AAD7-44D8-BBD7-CCE9431645EC}">
                        <a14:shadowObscured xmlns:a14="http://schemas.microsoft.com/office/drawing/2010/main"/>
                      </a:ext>
                    </a:extLst>
                  </pic:spPr>
                </pic:pic>
              </a:graphicData>
            </a:graphic>
          </wp:inline>
        </w:drawing>
      </w:r>
    </w:p>
    <w:p w14:paraId="77097D8E" w14:textId="77777777" w:rsidR="00EC41DD" w:rsidRPr="00A52A6B" w:rsidRDefault="00EC41DD" w:rsidP="00892544">
      <w:pPr>
        <w:pStyle w:val="Prrafodelista"/>
        <w:tabs>
          <w:tab w:val="left" w:pos="426"/>
        </w:tabs>
        <w:spacing w:line="360" w:lineRule="auto"/>
        <w:ind w:left="0"/>
        <w:jc w:val="center"/>
        <w:rPr>
          <w:rFonts w:ascii="Palatino Linotype" w:eastAsia="Calibri" w:hAnsi="Palatino Linotype" w:cs="Arial"/>
          <w:sz w:val="28"/>
          <w:lang w:val="es-ES_tradnl"/>
        </w:rPr>
      </w:pPr>
      <w:r w:rsidRPr="00A52A6B">
        <w:rPr>
          <w:noProof/>
          <w:lang w:val="es-MX" w:eastAsia="es-MX"/>
        </w:rPr>
        <mc:AlternateContent>
          <mc:Choice Requires="wps">
            <w:drawing>
              <wp:anchor distT="0" distB="0" distL="114300" distR="114300" simplePos="0" relativeHeight="251665408" behindDoc="0" locked="0" layoutInCell="1" allowOverlap="1" wp14:anchorId="69D6CD82" wp14:editId="7096E91D">
                <wp:simplePos x="0" y="0"/>
                <wp:positionH relativeFrom="column">
                  <wp:posOffset>177165</wp:posOffset>
                </wp:positionH>
                <wp:positionV relativeFrom="paragraph">
                  <wp:posOffset>3175</wp:posOffset>
                </wp:positionV>
                <wp:extent cx="2390775" cy="304800"/>
                <wp:effectExtent l="19050" t="19050" r="28575" b="19050"/>
                <wp:wrapNone/>
                <wp:docPr id="12" name="Rectángulo redondeado 12"/>
                <wp:cNvGraphicFramePr/>
                <a:graphic xmlns:a="http://schemas.openxmlformats.org/drawingml/2006/main">
                  <a:graphicData uri="http://schemas.microsoft.com/office/word/2010/wordprocessingShape">
                    <wps:wsp>
                      <wps:cNvSpPr/>
                      <wps:spPr>
                        <a:xfrm>
                          <a:off x="0" y="0"/>
                          <a:ext cx="2390775"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01772B" id="Rectángulo redondeado 12" o:spid="_x0000_s1026" style="position:absolute;margin-left:13.95pt;margin-top:.25pt;width:188.2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" filled="f" strokecolor="red" strokeweight="3pt">
                <v:stroke joinstyle="miter"/>
              </v:roundrect>
            </w:pict>
          </mc:Fallback>
        </mc:AlternateContent>
      </w:r>
      <w:r w:rsidRPr="00A52A6B">
        <w:rPr>
          <w:noProof/>
          <w:lang w:val="es-MX" w:eastAsia="es-MX"/>
        </w:rPr>
        <w:drawing>
          <wp:inline distT="0" distB="0" distL="0" distR="0" wp14:anchorId="6879E529" wp14:editId="275937D4">
            <wp:extent cx="5248275" cy="14954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91" t="36526" r="18194" b="35400"/>
                    <a:stretch/>
                  </pic:blipFill>
                  <pic:spPr bwMode="auto">
                    <a:xfrm>
                      <a:off x="0" y="0"/>
                      <a:ext cx="5248275" cy="1495425"/>
                    </a:xfrm>
                    <a:prstGeom prst="rect">
                      <a:avLst/>
                    </a:prstGeom>
                    <a:ln>
                      <a:noFill/>
                    </a:ln>
                    <a:extLst>
                      <a:ext uri="{53640926-AAD7-44D8-BBD7-CCE9431645EC}">
                        <a14:shadowObscured xmlns:a14="http://schemas.microsoft.com/office/drawing/2010/main"/>
                      </a:ext>
                    </a:extLst>
                  </pic:spPr>
                </pic:pic>
              </a:graphicData>
            </a:graphic>
          </wp:inline>
        </w:drawing>
      </w:r>
    </w:p>
    <w:p w14:paraId="4222A087" w14:textId="77777777" w:rsidR="00EC41DD" w:rsidRPr="00A52A6B" w:rsidRDefault="00EC41DD" w:rsidP="00892544">
      <w:pPr>
        <w:pStyle w:val="Prrafodelista"/>
        <w:tabs>
          <w:tab w:val="left" w:pos="426"/>
        </w:tabs>
        <w:spacing w:line="360" w:lineRule="auto"/>
        <w:ind w:left="0"/>
        <w:jc w:val="center"/>
        <w:rPr>
          <w:rFonts w:ascii="Palatino Linotype" w:eastAsia="Calibri" w:hAnsi="Palatino Linotype" w:cs="Arial"/>
          <w:sz w:val="28"/>
          <w:lang w:val="es-ES_tradnl"/>
        </w:rPr>
      </w:pPr>
    </w:p>
    <w:p w14:paraId="45754345" w14:textId="77777777" w:rsidR="00EC41DD" w:rsidRPr="00A52A6B" w:rsidRDefault="00EC41DD" w:rsidP="00892544">
      <w:pPr>
        <w:pStyle w:val="Prrafodelista"/>
        <w:tabs>
          <w:tab w:val="left" w:pos="426"/>
        </w:tabs>
        <w:spacing w:line="360" w:lineRule="auto"/>
        <w:ind w:left="0"/>
        <w:jc w:val="center"/>
        <w:rPr>
          <w:rFonts w:ascii="Palatino Linotype" w:eastAsia="Calibri" w:hAnsi="Palatino Linotype" w:cs="Arial"/>
          <w:sz w:val="28"/>
          <w:lang w:val="es-ES_tradnl"/>
        </w:rPr>
      </w:pPr>
      <w:r w:rsidRPr="00A52A6B">
        <w:rPr>
          <w:noProof/>
          <w:lang w:val="es-MX" w:eastAsia="es-MX"/>
        </w:rPr>
        <mc:AlternateContent>
          <mc:Choice Requires="wps">
            <w:drawing>
              <wp:anchor distT="0" distB="0" distL="114300" distR="114300" simplePos="0" relativeHeight="251667456" behindDoc="0" locked="0" layoutInCell="1" allowOverlap="1" wp14:anchorId="24BF8301" wp14:editId="62117FAC">
                <wp:simplePos x="0" y="0"/>
                <wp:positionH relativeFrom="column">
                  <wp:posOffset>167640</wp:posOffset>
                </wp:positionH>
                <wp:positionV relativeFrom="paragraph">
                  <wp:posOffset>31750</wp:posOffset>
                </wp:positionV>
                <wp:extent cx="2390775" cy="304800"/>
                <wp:effectExtent l="19050" t="19050" r="28575" b="19050"/>
                <wp:wrapNone/>
                <wp:docPr id="13" name="Rectángulo redondeado 13"/>
                <wp:cNvGraphicFramePr/>
                <a:graphic xmlns:a="http://schemas.openxmlformats.org/drawingml/2006/main">
                  <a:graphicData uri="http://schemas.microsoft.com/office/word/2010/wordprocessingShape">
                    <wps:wsp>
                      <wps:cNvSpPr/>
                      <wps:spPr>
                        <a:xfrm>
                          <a:off x="0" y="0"/>
                          <a:ext cx="2390775"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968120" id="Rectángulo redondeado 13" o:spid="_x0000_s1026" style="position:absolute;margin-left:13.2pt;margin-top:2.5pt;width:188.2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" filled="f" strokecolor="red" strokeweight="3pt">
                <v:stroke joinstyle="miter"/>
              </v:roundrect>
            </w:pict>
          </mc:Fallback>
        </mc:AlternateContent>
      </w:r>
      <w:r w:rsidRPr="00A52A6B">
        <w:rPr>
          <w:noProof/>
          <w:lang w:val="es-MX" w:eastAsia="es-MX"/>
        </w:rPr>
        <w:drawing>
          <wp:inline distT="0" distB="0" distL="0" distR="0" wp14:anchorId="545BE02B" wp14:editId="63B3C708">
            <wp:extent cx="5295900" cy="15716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00" t="36224" r="18364" b="36004"/>
                    <a:stretch/>
                  </pic:blipFill>
                  <pic:spPr bwMode="auto">
                    <a:xfrm>
                      <a:off x="0" y="0"/>
                      <a:ext cx="5295900" cy="1571625"/>
                    </a:xfrm>
                    <a:prstGeom prst="rect">
                      <a:avLst/>
                    </a:prstGeom>
                    <a:ln>
                      <a:noFill/>
                    </a:ln>
                    <a:extLst>
                      <a:ext uri="{53640926-AAD7-44D8-BBD7-CCE9431645EC}">
                        <a14:shadowObscured xmlns:a14="http://schemas.microsoft.com/office/drawing/2010/main"/>
                      </a:ext>
                    </a:extLst>
                  </pic:spPr>
                </pic:pic>
              </a:graphicData>
            </a:graphic>
          </wp:inline>
        </w:drawing>
      </w:r>
    </w:p>
    <w:p w14:paraId="3EA27AF1" w14:textId="77777777" w:rsidR="00892544" w:rsidRPr="00A52A6B" w:rsidRDefault="00892544" w:rsidP="00892544">
      <w:pPr>
        <w:pStyle w:val="Prrafodelista"/>
        <w:tabs>
          <w:tab w:val="left" w:pos="426"/>
        </w:tabs>
        <w:spacing w:line="360" w:lineRule="auto"/>
        <w:ind w:left="0"/>
        <w:jc w:val="center"/>
        <w:rPr>
          <w:rFonts w:ascii="Palatino Linotype" w:eastAsia="Calibri" w:hAnsi="Palatino Linotype" w:cs="Arial"/>
          <w:sz w:val="28"/>
          <w:lang w:val="es-ES_tradnl"/>
        </w:rPr>
      </w:pPr>
    </w:p>
    <w:p w14:paraId="7A535753"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b/>
          <w:u w:val="single"/>
          <w:lang w:val="es-ES_tradnl"/>
        </w:rPr>
      </w:pPr>
      <w:r w:rsidRPr="00A52A6B">
        <w:rPr>
          <w:rFonts w:ascii="Palatino Linotype" w:hAnsi="Palatino Linotype"/>
          <w:lang w:val="es-ES_tradnl"/>
        </w:rPr>
        <w:t>El Comisionado Ponente</w:t>
      </w:r>
      <w:r w:rsidRPr="00A52A6B">
        <w:rPr>
          <w:rFonts w:ascii="Palatino Linotype" w:eastAsia="Calibri" w:hAnsi="Palatino Linotype" w:cs="Arial"/>
          <w:lang w:val="es-ES_tradnl"/>
        </w:rPr>
        <w:t>, en</w:t>
      </w:r>
      <w:r w:rsidRPr="00A52A6B">
        <w:rPr>
          <w:rFonts w:ascii="Palatino Linotype" w:hAnsi="Palatino Linotype"/>
          <w:lang w:val="es-ES_tradnl"/>
        </w:rPr>
        <w:t xml:space="preserve"> fecha </w:t>
      </w:r>
      <w:r w:rsidR="00C44003" w:rsidRPr="00A52A6B">
        <w:rPr>
          <w:rFonts w:ascii="Palatino Linotype" w:eastAsia="Calibri" w:hAnsi="Palatino Linotype" w:cs="Arial"/>
          <w:lang w:val="es-ES_tradnl"/>
        </w:rPr>
        <w:t>catorce (14</w:t>
      </w:r>
      <w:r w:rsidRPr="00A52A6B">
        <w:rPr>
          <w:rFonts w:ascii="Palatino Linotype" w:eastAsia="Calibri" w:hAnsi="Palatino Linotype" w:cs="Arial"/>
          <w:lang w:val="es-ES_tradnl"/>
        </w:rPr>
        <w:t>)</w:t>
      </w:r>
      <w:r w:rsidR="00C44003" w:rsidRPr="00A52A6B">
        <w:rPr>
          <w:rFonts w:ascii="Palatino Linotype" w:eastAsia="Calibri" w:hAnsi="Palatino Linotype" w:cs="Arial"/>
          <w:lang w:val="es-ES_tradnl"/>
        </w:rPr>
        <w:t xml:space="preserve"> y diecisiete (17)</w:t>
      </w:r>
      <w:r w:rsidRPr="00A52A6B">
        <w:rPr>
          <w:rFonts w:ascii="Palatino Linotype" w:eastAsia="Calibri" w:hAnsi="Palatino Linotype" w:cs="Arial"/>
          <w:lang w:val="es-ES_tradnl"/>
        </w:rPr>
        <w:t xml:space="preserve"> de septiembre de dos mil veinte</w:t>
      </w:r>
      <w:r w:rsidRPr="00A52A6B">
        <w:rPr>
          <w:rFonts w:ascii="Palatino Linotype" w:hAnsi="Palatino Linotype"/>
          <w:lang w:val="es-ES_tradnl"/>
        </w:rPr>
        <w:t xml:space="preserve">, decretó el cierre de instrucción, </w:t>
      </w:r>
      <w:r w:rsidRPr="00A52A6B">
        <w:rPr>
          <w:rFonts w:ascii="Palatino Linotype" w:hAnsi="Palatino Linotype" w:cs="Arial"/>
          <w:lang w:val="es-ES_tradnl"/>
        </w:rPr>
        <w:t>por lo que, ordenó turnar el expediente a resolución.</w:t>
      </w:r>
    </w:p>
    <w:p w14:paraId="6A49FAF1" w14:textId="77777777" w:rsidR="00892544" w:rsidRPr="00A52A6B" w:rsidRDefault="00892544" w:rsidP="00892544">
      <w:pPr>
        <w:pStyle w:val="Prrafodelista"/>
        <w:tabs>
          <w:tab w:val="left" w:pos="0"/>
        </w:tabs>
        <w:spacing w:line="360" w:lineRule="auto"/>
        <w:ind w:left="0" w:right="49"/>
        <w:jc w:val="both"/>
        <w:rPr>
          <w:rFonts w:ascii="Palatino Linotype" w:hAnsi="Palatino Linotype"/>
          <w:b/>
          <w:u w:val="single"/>
          <w:lang w:val="es-ES_tradnl"/>
        </w:rPr>
      </w:pPr>
    </w:p>
    <w:p w14:paraId="332CF00E"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b/>
          <w:u w:val="single"/>
          <w:lang w:val="es-ES_tradnl"/>
        </w:rPr>
      </w:pPr>
      <w:r w:rsidRPr="00A52A6B">
        <w:rPr>
          <w:rFonts w:ascii="Palatino Linotype" w:hAnsi="Palatino Linotype"/>
          <w:lang w:val="es-ES_tradnl"/>
        </w:rPr>
        <w:lastRenderedPageBreak/>
        <w:t xml:space="preserve">Así, en fecha treinta (30) de septiembre de dos mil veinte, en la Vigésima Sesión Ordinaria del Pleno del Instituto de Transparencia, Acceso a la Información Pública y Protección de Datos Personales del Estado de México y Municipios, se aprobó la resolución de referencia, en la que se determinó </w:t>
      </w:r>
      <w:r w:rsidRPr="00A52A6B">
        <w:rPr>
          <w:rFonts w:ascii="Palatino Linotype" w:eastAsia="Calibri" w:hAnsi="Palatino Linotype" w:cs="Arial"/>
          <w:b/>
          <w:lang w:val="es-ES_tradnl"/>
        </w:rPr>
        <w:t xml:space="preserve">CONFIRMAR </w:t>
      </w:r>
      <w:r w:rsidRPr="00A52A6B">
        <w:rPr>
          <w:rFonts w:ascii="Palatino Linotype" w:eastAsia="Calibri" w:hAnsi="Palatino Linotype" w:cs="Arial"/>
          <w:lang w:val="es-ES_tradnl"/>
        </w:rPr>
        <w:t>la</w:t>
      </w:r>
      <w:r w:rsidR="00C44003" w:rsidRPr="00A52A6B">
        <w:rPr>
          <w:rFonts w:ascii="Palatino Linotype" w:eastAsia="Calibri" w:hAnsi="Palatino Linotype" w:cs="Arial"/>
          <w:lang w:val="es-ES_tradnl"/>
        </w:rPr>
        <w:t>s</w:t>
      </w:r>
      <w:r w:rsidRPr="00A52A6B">
        <w:rPr>
          <w:rFonts w:ascii="Palatino Linotype" w:eastAsia="Calibri" w:hAnsi="Palatino Linotype" w:cs="Arial"/>
          <w:lang w:val="es-ES_tradnl"/>
        </w:rPr>
        <w:t xml:space="preserve"> respuesta</w:t>
      </w:r>
      <w:r w:rsidR="00C44003" w:rsidRPr="00A52A6B">
        <w:rPr>
          <w:rFonts w:ascii="Palatino Linotype" w:eastAsia="Calibri" w:hAnsi="Palatino Linotype" w:cs="Arial"/>
          <w:lang w:val="es-ES_tradnl"/>
        </w:rPr>
        <w:t>s</w:t>
      </w:r>
      <w:r w:rsidRPr="00A52A6B">
        <w:rPr>
          <w:rFonts w:ascii="Palatino Linotype" w:eastAsia="Calibri" w:hAnsi="Palatino Linotype" w:cs="Arial"/>
          <w:lang w:val="es-ES_tradnl"/>
        </w:rPr>
        <w:t xml:space="preserve"> emitida</w:t>
      </w:r>
      <w:r w:rsidR="00C44003" w:rsidRPr="00A52A6B">
        <w:rPr>
          <w:rFonts w:ascii="Palatino Linotype" w:eastAsia="Calibri" w:hAnsi="Palatino Linotype" w:cs="Arial"/>
          <w:lang w:val="es-ES_tradnl"/>
        </w:rPr>
        <w:t>s</w:t>
      </w:r>
      <w:r w:rsidRPr="00A52A6B">
        <w:rPr>
          <w:rFonts w:ascii="Palatino Linotype" w:eastAsia="Calibri" w:hAnsi="Palatino Linotype" w:cs="Arial"/>
          <w:lang w:val="es-ES_tradnl"/>
        </w:rPr>
        <w:t xml:space="preserve"> por el </w:t>
      </w:r>
      <w:r w:rsidRPr="00A52A6B">
        <w:rPr>
          <w:rFonts w:ascii="Palatino Linotype" w:hAnsi="Palatino Linotype" w:cs="Arial"/>
          <w:lang w:val="es-ES_tradnl"/>
        </w:rPr>
        <w:t>Ayuntamiento de Ixtapan de la Sal,</w:t>
      </w:r>
      <w:r w:rsidRPr="00A52A6B">
        <w:rPr>
          <w:rFonts w:ascii="Palatino Linotype" w:eastAsia="Calibri" w:hAnsi="Palatino Linotype" w:cs="Arial"/>
          <w:lang w:val="es-ES_tradnl"/>
        </w:rPr>
        <w:t xml:space="preserve"> a la solicitud de información </w:t>
      </w:r>
      <w:r w:rsidR="00C44003" w:rsidRPr="00A52A6B">
        <w:rPr>
          <w:rFonts w:ascii="Palatino Linotype" w:hAnsi="Palatino Linotype"/>
          <w:b/>
          <w:bCs/>
        </w:rPr>
        <w:t>00933/IXTASAL/IP/2020, 00932/IXTASAL/IP/2020, 00852/IXTASAL/IP/2020, 00851/IXTASAL/IP/2020 y 00850/IXTASAL/IP/2020</w:t>
      </w:r>
      <w:r w:rsidRPr="00A52A6B">
        <w:rPr>
          <w:rFonts w:ascii="Palatino Linotype" w:hAnsi="Palatino Linotype"/>
          <w:lang w:val="es-ES_tradnl"/>
        </w:rPr>
        <w:t>, cuyos puntos resolutivos son los siguientes:</w:t>
      </w:r>
    </w:p>
    <w:p w14:paraId="5E021044" w14:textId="77777777" w:rsidR="00892544" w:rsidRPr="00A52A6B" w:rsidRDefault="00892544" w:rsidP="00892544">
      <w:pPr>
        <w:pStyle w:val="Sinespaciado"/>
        <w:spacing w:line="276" w:lineRule="auto"/>
        <w:jc w:val="both"/>
        <w:rPr>
          <w:rFonts w:ascii="Palatino Linotype" w:hAnsi="Palatino Linotype"/>
          <w:sz w:val="22"/>
          <w:szCs w:val="22"/>
        </w:rPr>
      </w:pPr>
    </w:p>
    <w:p w14:paraId="1036EFFA" w14:textId="77777777" w:rsidR="00C44003" w:rsidRPr="00A52A6B" w:rsidRDefault="00892544" w:rsidP="00C44003">
      <w:pPr>
        <w:spacing w:before="240" w:line="276" w:lineRule="auto"/>
        <w:ind w:left="630"/>
        <w:jc w:val="both"/>
        <w:rPr>
          <w:rFonts w:ascii="Palatino Linotype" w:hAnsi="Palatino Linotype" w:cs="Arial"/>
          <w:bCs/>
          <w:i/>
          <w:lang w:val="es-ES_tradnl"/>
        </w:rPr>
      </w:pPr>
      <w:r w:rsidRPr="00A52A6B">
        <w:rPr>
          <w:rFonts w:ascii="Palatino Linotype" w:hAnsi="Palatino Linotype" w:cs="Arial"/>
          <w:i/>
          <w:lang w:val="es-ES_tradnl"/>
        </w:rPr>
        <w:t>“</w:t>
      </w:r>
      <w:r w:rsidR="00C44003" w:rsidRPr="00A52A6B">
        <w:rPr>
          <w:rFonts w:ascii="Palatino Linotype" w:hAnsi="Palatino Linotype" w:cs="Arial"/>
          <w:b/>
          <w:i/>
          <w:lang w:val="es-ES_tradnl"/>
        </w:rPr>
        <w:t>PRIMERO.</w:t>
      </w:r>
      <w:r w:rsidR="00C44003" w:rsidRPr="00A52A6B">
        <w:rPr>
          <w:rFonts w:ascii="Palatino Linotype" w:hAnsi="Palatino Linotype" w:cs="Arial"/>
          <w:i/>
          <w:lang w:val="es-ES_tradnl"/>
        </w:rPr>
        <w:t xml:space="preserve"> Resultan infundadas las </w:t>
      </w:r>
      <w:r w:rsidR="00C44003" w:rsidRPr="00A52A6B">
        <w:rPr>
          <w:rFonts w:ascii="Palatino Linotype" w:hAnsi="Palatino Linotype" w:cs="Arial"/>
          <w:i/>
          <w:lang w:val="es-ES"/>
        </w:rPr>
        <w:t xml:space="preserve">razones o motivos de inconformidad hechos valer en los recursos de revisión </w:t>
      </w:r>
      <w:r w:rsidR="00C44003" w:rsidRPr="00A52A6B">
        <w:rPr>
          <w:rFonts w:ascii="Palatino Linotype" w:hAnsi="Palatino Linotype" w:cs="Arial"/>
          <w:b/>
          <w:bCs/>
          <w:i/>
          <w:lang w:val="es-ES_tradnl"/>
        </w:rPr>
        <w:t>02758/INFOEM/IP/RR/2020, 02759/INFOEM/IP/RR/2020, 02851/INFOEM/IP/RR/2020, 02852/INFOEM/IP/RR/2020 y 02853/INFOEM/IP/RR/2020</w:t>
      </w:r>
      <w:r w:rsidR="00C44003" w:rsidRPr="00A52A6B">
        <w:rPr>
          <w:rFonts w:ascii="Palatino Linotype" w:hAnsi="Palatino Linotype" w:cs="Arial"/>
          <w:bCs/>
          <w:i/>
          <w:lang w:val="es-ES_tradnl"/>
        </w:rPr>
        <w:t xml:space="preserve"> en términos del Considerando </w:t>
      </w:r>
      <w:r w:rsidR="00C44003" w:rsidRPr="00A52A6B">
        <w:rPr>
          <w:rFonts w:ascii="Palatino Linotype" w:hAnsi="Palatino Linotype" w:cs="Arial"/>
          <w:b/>
          <w:bCs/>
          <w:i/>
          <w:lang w:val="es-ES_tradnl"/>
        </w:rPr>
        <w:t>CUARTO</w:t>
      </w:r>
      <w:r w:rsidR="00C44003" w:rsidRPr="00A52A6B">
        <w:rPr>
          <w:rFonts w:ascii="Palatino Linotype" w:hAnsi="Palatino Linotype" w:cs="Arial"/>
          <w:bCs/>
          <w:i/>
          <w:lang w:val="es-ES_tradnl"/>
        </w:rPr>
        <w:t xml:space="preserve"> de la presente resolución.</w:t>
      </w:r>
    </w:p>
    <w:p w14:paraId="26A0F32F" w14:textId="77777777" w:rsidR="00C44003" w:rsidRPr="00A52A6B" w:rsidRDefault="00C44003" w:rsidP="00C44003">
      <w:pPr>
        <w:spacing w:before="240" w:line="276" w:lineRule="auto"/>
        <w:ind w:left="630"/>
        <w:jc w:val="both"/>
        <w:rPr>
          <w:rFonts w:ascii="Palatino Linotype" w:hAnsi="Palatino Linotype" w:cs="Arial"/>
          <w:i/>
          <w:lang w:val="es-ES_tradnl"/>
        </w:rPr>
      </w:pPr>
    </w:p>
    <w:p w14:paraId="079E0FBE" w14:textId="77777777" w:rsidR="00C44003" w:rsidRPr="00A52A6B" w:rsidRDefault="00C44003" w:rsidP="00C44003">
      <w:pPr>
        <w:spacing w:before="240" w:line="276" w:lineRule="auto"/>
        <w:ind w:left="630"/>
        <w:jc w:val="both"/>
        <w:rPr>
          <w:rFonts w:ascii="Palatino Linotype" w:hAnsi="Palatino Linotype" w:cs="Arial"/>
          <w:i/>
          <w:lang w:val="es-ES"/>
        </w:rPr>
      </w:pPr>
      <w:r w:rsidRPr="00A52A6B">
        <w:rPr>
          <w:rFonts w:ascii="Palatino Linotype" w:hAnsi="Palatino Linotype" w:cs="Arial"/>
          <w:b/>
          <w:i/>
          <w:lang w:val="es-ES_tradnl"/>
        </w:rPr>
        <w:t>SEGUNDO.</w:t>
      </w:r>
      <w:r w:rsidRPr="00A52A6B">
        <w:rPr>
          <w:rFonts w:ascii="Palatino Linotype" w:hAnsi="Palatino Linotype" w:cs="Arial"/>
          <w:i/>
          <w:lang w:val="es-ES_tradnl"/>
        </w:rPr>
        <w:t xml:space="preserve"> </w:t>
      </w:r>
      <w:r w:rsidRPr="00A52A6B">
        <w:rPr>
          <w:rFonts w:ascii="Palatino Linotype" w:hAnsi="Palatino Linotype" w:cs="Arial"/>
          <w:i/>
          <w:lang w:val="es-ES"/>
        </w:rPr>
        <w:t xml:space="preserve">Se </w:t>
      </w:r>
      <w:r w:rsidRPr="00A52A6B">
        <w:rPr>
          <w:rFonts w:ascii="Palatino Linotype" w:hAnsi="Palatino Linotype" w:cs="Arial"/>
          <w:b/>
          <w:i/>
          <w:lang w:val="es-ES"/>
        </w:rPr>
        <w:t>CONFIRMAN</w:t>
      </w:r>
      <w:r w:rsidRPr="00A52A6B">
        <w:rPr>
          <w:rFonts w:ascii="Palatino Linotype" w:hAnsi="Palatino Linotype" w:cs="Arial"/>
          <w:i/>
          <w:lang w:val="es-ES"/>
        </w:rPr>
        <w:t xml:space="preserve"> las respuestas emitidas por el </w:t>
      </w:r>
      <w:r w:rsidRPr="00A52A6B">
        <w:rPr>
          <w:rFonts w:ascii="Palatino Linotype" w:hAnsi="Palatino Linotype" w:cs="Arial"/>
          <w:i/>
          <w:lang w:val="es-ES_tradnl"/>
        </w:rPr>
        <w:t>Ayuntamiento de Ixtapan de la Sal</w:t>
      </w:r>
      <w:r w:rsidRPr="00A52A6B">
        <w:rPr>
          <w:rFonts w:ascii="Palatino Linotype" w:hAnsi="Palatino Linotype" w:cs="Arial"/>
          <w:i/>
          <w:lang w:val="es-ES"/>
        </w:rPr>
        <w:t xml:space="preserve"> a las </w:t>
      </w:r>
      <w:proofErr w:type="gramStart"/>
      <w:r w:rsidRPr="00A52A6B">
        <w:rPr>
          <w:rFonts w:ascii="Palatino Linotype" w:hAnsi="Palatino Linotype" w:cs="Arial"/>
          <w:i/>
          <w:lang w:val="es-ES"/>
        </w:rPr>
        <w:t xml:space="preserve">solicitudes </w:t>
      </w:r>
      <w:r w:rsidRPr="00A52A6B">
        <w:rPr>
          <w:rFonts w:ascii="Palatino Linotype" w:hAnsi="Palatino Linotype" w:cs="Arial"/>
          <w:bCs/>
          <w:i/>
        </w:rPr>
        <w:t> </w:t>
      </w:r>
      <w:r w:rsidRPr="00A52A6B">
        <w:rPr>
          <w:rFonts w:ascii="Palatino Linotype" w:hAnsi="Palatino Linotype" w:cs="Arial"/>
          <w:b/>
          <w:bCs/>
          <w:i/>
        </w:rPr>
        <w:t>00933</w:t>
      </w:r>
      <w:proofErr w:type="gramEnd"/>
      <w:r w:rsidRPr="00A52A6B">
        <w:rPr>
          <w:rFonts w:ascii="Palatino Linotype" w:hAnsi="Palatino Linotype" w:cs="Arial"/>
          <w:b/>
          <w:bCs/>
          <w:i/>
        </w:rPr>
        <w:t>/IXTASAL/IP/2020, 00932/IXTASAL/IP/2020, 00852/IXTASAL/IP/2020, 00851/IXTASAL/IP/2020 y 00850/IXTASAL/IP/2020</w:t>
      </w:r>
      <w:r w:rsidRPr="00A52A6B">
        <w:rPr>
          <w:rFonts w:ascii="Palatino Linotype" w:hAnsi="Palatino Linotype" w:cs="Arial"/>
          <w:b/>
          <w:i/>
          <w:lang w:val="es-ES"/>
        </w:rPr>
        <w:t>.</w:t>
      </w:r>
      <w:r w:rsidRPr="00A52A6B">
        <w:rPr>
          <w:rFonts w:ascii="Palatino Linotype" w:hAnsi="Palatino Linotype" w:cs="Arial"/>
          <w:i/>
          <w:lang w:val="es-ES"/>
        </w:rPr>
        <w:t xml:space="preserve"> </w:t>
      </w:r>
    </w:p>
    <w:p w14:paraId="55CEB24E" w14:textId="77777777" w:rsidR="00C44003" w:rsidRPr="00A52A6B" w:rsidRDefault="00C44003" w:rsidP="00C44003">
      <w:pPr>
        <w:spacing w:before="240" w:line="276" w:lineRule="auto"/>
        <w:ind w:left="630"/>
        <w:jc w:val="both"/>
        <w:rPr>
          <w:rFonts w:ascii="Palatino Linotype" w:hAnsi="Palatino Linotype" w:cs="Arial"/>
          <w:i/>
          <w:lang w:val="es-ES"/>
        </w:rPr>
      </w:pPr>
    </w:p>
    <w:p w14:paraId="759B42B5" w14:textId="77777777" w:rsidR="00C44003" w:rsidRPr="00A52A6B" w:rsidRDefault="00C44003" w:rsidP="00C44003">
      <w:pPr>
        <w:spacing w:before="240" w:line="276" w:lineRule="auto"/>
        <w:ind w:left="630"/>
        <w:jc w:val="both"/>
        <w:rPr>
          <w:rFonts w:ascii="Palatino Linotype" w:hAnsi="Palatino Linotype" w:cs="Arial"/>
          <w:i/>
          <w:lang w:val="es-ES_tradnl"/>
        </w:rPr>
      </w:pPr>
      <w:r w:rsidRPr="00A52A6B">
        <w:rPr>
          <w:rFonts w:ascii="Palatino Linotype" w:hAnsi="Palatino Linotype" w:cs="Arial"/>
          <w:b/>
          <w:i/>
          <w:lang w:val="es-ES_tradnl"/>
        </w:rPr>
        <w:t>TERCERO. REMÍTASE</w:t>
      </w:r>
      <w:r w:rsidRPr="00A52A6B">
        <w:rPr>
          <w:rFonts w:ascii="Palatino Linotype" w:hAnsi="Palatino Linotype" w:cs="Arial"/>
          <w:i/>
          <w:lang w:val="es-ES_tradnl"/>
        </w:rPr>
        <w:t xml:space="preserve">, vía Sistema de Acceso a la Información Mexiquense (SAIMEX), la presente resolución al Titular de la Unidad de Transparencia del </w:t>
      </w:r>
      <w:r w:rsidRPr="00A52A6B">
        <w:rPr>
          <w:rFonts w:ascii="Palatino Linotype" w:hAnsi="Palatino Linotype" w:cs="Arial"/>
          <w:b/>
          <w:i/>
          <w:lang w:val="es-ES_tradnl"/>
        </w:rPr>
        <w:t>SUJETO OBLIGADO</w:t>
      </w:r>
      <w:r w:rsidRPr="00A52A6B">
        <w:rPr>
          <w:rFonts w:ascii="Palatino Linotype" w:hAnsi="Palatino Linotype" w:cs="Arial"/>
          <w:i/>
          <w:lang w:val="es-ES_tradnl"/>
        </w:rPr>
        <w:t>.</w:t>
      </w:r>
    </w:p>
    <w:p w14:paraId="605B1AEE" w14:textId="77777777" w:rsidR="00C44003" w:rsidRPr="00A52A6B" w:rsidRDefault="00C44003" w:rsidP="00C44003">
      <w:pPr>
        <w:spacing w:before="240" w:line="276" w:lineRule="auto"/>
        <w:ind w:left="630"/>
        <w:jc w:val="both"/>
        <w:rPr>
          <w:rFonts w:ascii="Palatino Linotype" w:hAnsi="Palatino Linotype" w:cs="Arial"/>
          <w:i/>
          <w:lang w:val="es-ES_tradnl"/>
        </w:rPr>
      </w:pPr>
    </w:p>
    <w:p w14:paraId="2224FBFF" w14:textId="6A6CCEF0" w:rsidR="00C44003" w:rsidRPr="00A52A6B" w:rsidRDefault="00C44003" w:rsidP="00C44003">
      <w:pPr>
        <w:spacing w:before="240" w:line="276" w:lineRule="auto"/>
        <w:ind w:left="630"/>
        <w:jc w:val="both"/>
        <w:rPr>
          <w:rFonts w:ascii="Palatino Linotype" w:hAnsi="Palatino Linotype" w:cs="Arial"/>
          <w:i/>
          <w:lang w:val="es-ES_tradnl"/>
        </w:rPr>
      </w:pPr>
      <w:r w:rsidRPr="00A52A6B">
        <w:rPr>
          <w:rFonts w:ascii="Palatino Linotype" w:hAnsi="Palatino Linotype" w:cs="Arial"/>
          <w:b/>
          <w:i/>
          <w:lang w:val="es-ES_tradnl"/>
        </w:rPr>
        <w:t>CUARTO.</w:t>
      </w:r>
      <w:r w:rsidRPr="00A52A6B">
        <w:rPr>
          <w:rFonts w:ascii="Palatino Linotype" w:hAnsi="Palatino Linotype" w:cs="Arial"/>
          <w:i/>
          <w:lang w:val="es-ES_tradnl"/>
        </w:rPr>
        <w:t xml:space="preserve"> </w:t>
      </w:r>
      <w:r w:rsidRPr="00A52A6B">
        <w:rPr>
          <w:rFonts w:ascii="Palatino Linotype" w:hAnsi="Palatino Linotype" w:cs="Arial"/>
          <w:bCs/>
          <w:i/>
          <w:lang w:val="es-ES"/>
        </w:rPr>
        <w:t xml:space="preserve">Notifíquese a </w:t>
      </w:r>
      <w:r w:rsidR="007348F8" w:rsidRPr="007348F8">
        <w:rPr>
          <w:rFonts w:ascii="Palatino Linotype" w:hAnsi="Palatino Linotype" w:cs="Arial"/>
          <w:b/>
          <w:bCs/>
          <w:i/>
          <w:highlight w:val="black"/>
          <w:lang w:val="es-ES"/>
        </w:rPr>
        <w:t>--------------------------------</w:t>
      </w:r>
      <w:r w:rsidRPr="00A52A6B">
        <w:rPr>
          <w:rFonts w:ascii="Palatino Linotype" w:hAnsi="Palatino Linotype" w:cs="Arial"/>
          <w:i/>
          <w:lang w:val="es-ES_tradnl"/>
        </w:rPr>
        <w:t xml:space="preserve"> la presente resolución.</w:t>
      </w:r>
    </w:p>
    <w:p w14:paraId="7FE42FD0" w14:textId="77777777" w:rsidR="00C44003" w:rsidRPr="00A52A6B" w:rsidRDefault="00C44003" w:rsidP="00C44003">
      <w:pPr>
        <w:spacing w:before="240" w:line="276" w:lineRule="auto"/>
        <w:ind w:left="630"/>
        <w:jc w:val="both"/>
        <w:rPr>
          <w:rFonts w:ascii="Palatino Linotype" w:hAnsi="Palatino Linotype" w:cs="Arial"/>
          <w:i/>
          <w:lang w:val="es-ES_tradnl"/>
        </w:rPr>
      </w:pPr>
    </w:p>
    <w:p w14:paraId="700B3805" w14:textId="7306CC43" w:rsidR="00892544" w:rsidRPr="00A52A6B" w:rsidRDefault="00C44003" w:rsidP="00C44003">
      <w:pPr>
        <w:spacing w:before="240" w:line="276" w:lineRule="auto"/>
        <w:ind w:left="630"/>
        <w:jc w:val="both"/>
        <w:rPr>
          <w:rFonts w:ascii="Palatino Linotype" w:hAnsi="Palatino Linotype" w:cs="Arial"/>
          <w:i/>
          <w:lang w:val="es-ES"/>
        </w:rPr>
      </w:pPr>
      <w:r w:rsidRPr="00A52A6B">
        <w:rPr>
          <w:rFonts w:ascii="Palatino Linotype" w:hAnsi="Palatino Linotype" w:cs="Arial"/>
          <w:b/>
          <w:i/>
        </w:rPr>
        <w:t>QUINTO.</w:t>
      </w:r>
      <w:r w:rsidRPr="00A52A6B">
        <w:rPr>
          <w:rFonts w:ascii="Palatino Linotype" w:hAnsi="Palatino Linotype" w:cs="Arial"/>
          <w:i/>
        </w:rPr>
        <w:t xml:space="preserve"> </w:t>
      </w:r>
      <w:r w:rsidRPr="00A52A6B">
        <w:rPr>
          <w:rFonts w:ascii="Palatino Linotype" w:hAnsi="Palatino Linotype" w:cs="Arial"/>
          <w:i/>
          <w:lang w:val="es-ES"/>
        </w:rPr>
        <w:t xml:space="preserve">Se hace del conocimiento del </w:t>
      </w:r>
      <w:r w:rsidR="004A55D3" w:rsidRPr="004A55D3">
        <w:rPr>
          <w:rFonts w:ascii="Palatino Linotype" w:hAnsi="Palatino Linotype" w:cs="Arial"/>
          <w:b/>
          <w:bCs/>
          <w:i/>
          <w:highlight w:val="black"/>
          <w:lang w:val="es-ES"/>
        </w:rPr>
        <w:t>------------------------------------</w:t>
      </w:r>
      <w:r w:rsidRPr="00A52A6B">
        <w:rPr>
          <w:rFonts w:ascii="Palatino Linotype" w:hAnsi="Palatino Linotype" w:cs="Arial"/>
          <w:i/>
          <w:lang w:val="es-ES_tradnl"/>
        </w:rPr>
        <w:t xml:space="preserve"> </w:t>
      </w:r>
      <w:r w:rsidRPr="00A52A6B">
        <w:rPr>
          <w:rFonts w:ascii="Palatino Linotype" w:hAnsi="Palatino Linotype" w:cs="Arial"/>
          <w:i/>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A52A6B">
        <w:rPr>
          <w:rFonts w:ascii="Palatino Linotype" w:hAnsi="Palatino Linotype" w:cs="Arial"/>
          <w:bCs/>
          <w:i/>
          <w:lang w:val="es-ES"/>
        </w:rPr>
        <w:t>vía juicio de amparo</w:t>
      </w:r>
      <w:r w:rsidRPr="00A52A6B">
        <w:rPr>
          <w:rFonts w:ascii="Palatino Linotype" w:hAnsi="Palatino Linotype" w:cs="Arial"/>
          <w:i/>
          <w:lang w:val="es-ES"/>
        </w:rPr>
        <w:t> en los términos de las leyes aplicables.</w:t>
      </w:r>
      <w:r w:rsidR="00892544" w:rsidRPr="00A52A6B">
        <w:rPr>
          <w:rFonts w:ascii="Palatino Linotype" w:eastAsia="MS Mincho" w:hAnsi="Palatino Linotype"/>
          <w:i/>
          <w:lang w:val="es-ES_tradnl"/>
        </w:rPr>
        <w:t>”</w:t>
      </w:r>
    </w:p>
    <w:p w14:paraId="79710296" w14:textId="77777777" w:rsidR="00892544" w:rsidRPr="00A52A6B" w:rsidRDefault="00892544" w:rsidP="00892544">
      <w:pPr>
        <w:spacing w:before="240" w:after="240" w:line="276" w:lineRule="auto"/>
        <w:ind w:left="630"/>
        <w:jc w:val="both"/>
        <w:rPr>
          <w:rFonts w:ascii="Palatino Linotype" w:eastAsia="MS Mincho" w:hAnsi="Palatino Linotype"/>
          <w:i/>
          <w:sz w:val="24"/>
          <w:lang w:val="es-ES_tradnl"/>
        </w:rPr>
      </w:pPr>
    </w:p>
    <w:p w14:paraId="7F7D2E8C"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b/>
          <w:u w:val="single"/>
          <w:lang w:val="es-ES_tradnl"/>
        </w:rPr>
      </w:pPr>
      <w:r w:rsidRPr="00A52A6B">
        <w:rPr>
          <w:rFonts w:ascii="Palatino Linotype" w:hAnsi="Palatino Linotype"/>
          <w:lang w:val="es-ES_tradnl"/>
        </w:rPr>
        <w:t xml:space="preserve">Posteriormente, la particular en fecha </w:t>
      </w:r>
      <w:r w:rsidR="00D12099" w:rsidRPr="00A52A6B">
        <w:rPr>
          <w:rFonts w:ascii="Palatino Linotype" w:hAnsi="Palatino Linotype"/>
          <w:lang w:val="es-ES_tradnl"/>
        </w:rPr>
        <w:t xml:space="preserve">diecinueve (19) de octubre </w:t>
      </w:r>
      <w:r w:rsidR="00C44003" w:rsidRPr="00A52A6B">
        <w:rPr>
          <w:rFonts w:ascii="Palatino Linotype" w:hAnsi="Palatino Linotype"/>
          <w:lang w:val="es-ES_tradnl"/>
        </w:rPr>
        <w:t xml:space="preserve"> </w:t>
      </w:r>
      <w:r w:rsidRPr="00A52A6B">
        <w:rPr>
          <w:rFonts w:ascii="Palatino Linotype" w:hAnsi="Palatino Linotype"/>
          <w:lang w:val="es-ES_tradnl"/>
        </w:rPr>
        <w:t xml:space="preserve"> de dos mil veinte, presentó el recurso de inconformidad ante el Instituto Nacional de Transparencia, Acceso a la Información Pública y Protección de Datos Personales (INAI).</w:t>
      </w:r>
    </w:p>
    <w:p w14:paraId="006FAD05" w14:textId="77777777" w:rsidR="00892544" w:rsidRPr="00A52A6B" w:rsidRDefault="00892544" w:rsidP="00892544">
      <w:pPr>
        <w:pStyle w:val="Prrafodelista"/>
        <w:tabs>
          <w:tab w:val="left" w:pos="0"/>
        </w:tabs>
        <w:spacing w:line="360" w:lineRule="auto"/>
        <w:ind w:left="0" w:right="49"/>
        <w:jc w:val="both"/>
        <w:rPr>
          <w:rFonts w:ascii="Palatino Linotype" w:hAnsi="Palatino Linotype"/>
          <w:b/>
          <w:u w:val="single"/>
          <w:lang w:val="es-ES_tradnl"/>
        </w:rPr>
      </w:pPr>
    </w:p>
    <w:p w14:paraId="574D4B8B"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b/>
          <w:u w:val="single"/>
          <w:lang w:val="es-ES_tradnl"/>
        </w:rPr>
      </w:pPr>
      <w:r w:rsidRPr="00A52A6B">
        <w:rPr>
          <w:rFonts w:ascii="Palatino Linotype" w:hAnsi="Palatino Linotype"/>
          <w:lang w:val="es-ES_tradnl"/>
        </w:rPr>
        <w:t xml:space="preserve">El órgano garante federal, por medio del Secretario de Acuerdos y Ponencia de Protección de Datos Personales adscrito a la Ponencia de la Comisionada </w:t>
      </w:r>
      <w:r w:rsidR="00C44003" w:rsidRPr="00A52A6B">
        <w:rPr>
          <w:rFonts w:ascii="Palatino Linotype" w:hAnsi="Palatino Linotype"/>
          <w:lang w:val="es-ES_tradnl"/>
        </w:rPr>
        <w:t>Josefina Román Vergara</w:t>
      </w:r>
      <w:r w:rsidRPr="00A52A6B">
        <w:rPr>
          <w:rFonts w:ascii="Palatino Linotype" w:hAnsi="Palatino Linotype"/>
          <w:lang w:val="es-ES_tradnl"/>
        </w:rPr>
        <w:t xml:space="preserve">, mediante proveído de fecha </w:t>
      </w:r>
      <w:r w:rsidR="00616500" w:rsidRPr="00A52A6B">
        <w:rPr>
          <w:rFonts w:ascii="Palatino Linotype" w:hAnsi="Palatino Linotype"/>
          <w:lang w:val="es-ES_tradnl"/>
        </w:rPr>
        <w:t>veintiséis (26</w:t>
      </w:r>
      <w:r w:rsidR="00D12099" w:rsidRPr="00A52A6B">
        <w:rPr>
          <w:rFonts w:ascii="Palatino Linotype" w:hAnsi="Palatino Linotype"/>
          <w:lang w:val="es-ES_tradnl"/>
        </w:rPr>
        <w:t>) de octubre</w:t>
      </w:r>
      <w:r w:rsidRPr="00A52A6B">
        <w:rPr>
          <w:rFonts w:ascii="Palatino Linotype" w:hAnsi="Palatino Linotype"/>
          <w:lang w:val="es-ES_tradnl"/>
        </w:rPr>
        <w:t xml:space="preserve"> del año que transcurre, acordó la admisión del recurso de inconformidad número </w:t>
      </w:r>
      <w:r w:rsidRPr="00A52A6B">
        <w:rPr>
          <w:rFonts w:ascii="Palatino Linotype" w:hAnsi="Palatino Linotype"/>
          <w:b/>
          <w:lang w:val="es-ES_tradnl"/>
        </w:rPr>
        <w:t xml:space="preserve">RIA </w:t>
      </w:r>
      <w:r w:rsidR="00C44003" w:rsidRPr="00A52A6B">
        <w:rPr>
          <w:rFonts w:ascii="Palatino Linotype" w:hAnsi="Palatino Linotype"/>
          <w:b/>
          <w:lang w:val="es-ES_tradnl"/>
        </w:rPr>
        <w:t>00148</w:t>
      </w:r>
      <w:r w:rsidRPr="00A52A6B">
        <w:rPr>
          <w:rFonts w:ascii="Palatino Linotype" w:hAnsi="Palatino Linotype"/>
          <w:b/>
          <w:lang w:val="es-ES_tradnl"/>
        </w:rPr>
        <w:t>/20</w:t>
      </w:r>
      <w:r w:rsidRPr="00A52A6B">
        <w:rPr>
          <w:rFonts w:ascii="Palatino Linotype" w:hAnsi="Palatino Linotype"/>
          <w:lang w:val="es-ES_tradnl"/>
        </w:rPr>
        <w:t xml:space="preserve"> y dio vista a este Instituto a efecto de que dentro del plazo de diez días hábiles, contados a partir del día hábil siguiente a la fecha de su notificación alegara lo que a su derecho convenga. </w:t>
      </w:r>
    </w:p>
    <w:p w14:paraId="4B57EC36" w14:textId="77777777" w:rsidR="00892544" w:rsidRPr="00A52A6B" w:rsidRDefault="00892544" w:rsidP="00892544">
      <w:pPr>
        <w:pStyle w:val="Prrafodelista"/>
        <w:tabs>
          <w:tab w:val="left" w:pos="0"/>
        </w:tabs>
        <w:spacing w:line="360" w:lineRule="auto"/>
        <w:ind w:left="502" w:right="49"/>
        <w:jc w:val="both"/>
        <w:rPr>
          <w:rFonts w:ascii="Palatino Linotype" w:hAnsi="Palatino Linotype"/>
          <w:lang w:val="es-ES_tradnl"/>
        </w:rPr>
      </w:pPr>
    </w:p>
    <w:p w14:paraId="070DBB52"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El </w:t>
      </w:r>
      <w:r w:rsidR="00616500" w:rsidRPr="00A52A6B">
        <w:rPr>
          <w:rFonts w:ascii="Palatino Linotype" w:hAnsi="Palatino Linotype"/>
          <w:lang w:val="es-ES_tradnl"/>
        </w:rPr>
        <w:t>veintiséis (26</w:t>
      </w:r>
      <w:r w:rsidRPr="00A52A6B">
        <w:rPr>
          <w:rFonts w:ascii="Palatino Linotype" w:hAnsi="Palatino Linotype"/>
          <w:lang w:val="es-ES_tradnl"/>
        </w:rPr>
        <w:t>) de noviembre de dos mil veinte, se tuvo por rendido el informe justificado.</w:t>
      </w:r>
    </w:p>
    <w:p w14:paraId="34D7FB40" w14:textId="77777777" w:rsidR="00892544" w:rsidRPr="00A52A6B" w:rsidRDefault="00892544" w:rsidP="00892544">
      <w:pPr>
        <w:pStyle w:val="Prrafodelista"/>
        <w:spacing w:line="360" w:lineRule="auto"/>
        <w:jc w:val="both"/>
        <w:rPr>
          <w:rFonts w:ascii="Palatino Linotype" w:hAnsi="Palatino Linotype"/>
          <w:lang w:val="es-ES_tradnl"/>
        </w:rPr>
      </w:pPr>
    </w:p>
    <w:p w14:paraId="5CCEA482"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lastRenderedPageBreak/>
        <w:t xml:space="preserve">Con </w:t>
      </w:r>
      <w:r w:rsidR="00D12099" w:rsidRPr="00A52A6B">
        <w:rPr>
          <w:rFonts w:ascii="Palatino Linotype" w:hAnsi="Palatino Linotype"/>
          <w:lang w:val="es-ES_tradnl"/>
        </w:rPr>
        <w:t>fecha dos (2</w:t>
      </w:r>
      <w:r w:rsidRPr="00A52A6B">
        <w:rPr>
          <w:rFonts w:ascii="Palatino Linotype" w:hAnsi="Palatino Linotype"/>
          <w:lang w:val="es-ES_tradnl"/>
        </w:rPr>
        <w:t>) de diciembre de dos mil veinte, la Secretaria de Acuerdo y Ponencia de Acceso a la Información, acordó por única vez, la ampliación del término por un periodo igual, para resolver el recurso de revisión.</w:t>
      </w:r>
    </w:p>
    <w:p w14:paraId="7E89FC65" w14:textId="77777777" w:rsidR="00892544" w:rsidRPr="00A52A6B" w:rsidRDefault="00892544" w:rsidP="00892544">
      <w:pPr>
        <w:pStyle w:val="Prrafodelista"/>
        <w:spacing w:line="360" w:lineRule="auto"/>
        <w:jc w:val="both"/>
        <w:rPr>
          <w:rFonts w:ascii="Palatino Linotype" w:hAnsi="Palatino Linotype"/>
          <w:lang w:val="es-ES_tradnl"/>
        </w:rPr>
      </w:pPr>
    </w:p>
    <w:p w14:paraId="0EA4A17C"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El </w:t>
      </w:r>
      <w:r w:rsidR="00616500" w:rsidRPr="00A52A6B">
        <w:rPr>
          <w:rFonts w:ascii="Palatino Linotype" w:hAnsi="Palatino Linotype"/>
          <w:lang w:val="es-ES_tradnl"/>
        </w:rPr>
        <w:t>diecinueve (19) de enero de dos mil veintiuno</w:t>
      </w:r>
      <w:r w:rsidRPr="00A52A6B">
        <w:rPr>
          <w:rFonts w:ascii="Palatino Linotype" w:hAnsi="Palatino Linotype"/>
          <w:lang w:val="es-ES_tradnl"/>
        </w:rPr>
        <w:t>, la Secretaria de Acuerdos y Ponencia de Acceso a la Información, al no existir diligencias pendientes por desahogar acordó el cierre de instrucción, pasando el expediente a resolución.</w:t>
      </w:r>
    </w:p>
    <w:p w14:paraId="5CD3D003" w14:textId="77777777" w:rsidR="00892544" w:rsidRPr="00A52A6B" w:rsidRDefault="00892544" w:rsidP="00892544">
      <w:pPr>
        <w:pStyle w:val="Prrafodelista"/>
        <w:spacing w:line="360" w:lineRule="auto"/>
        <w:jc w:val="both"/>
        <w:rPr>
          <w:rFonts w:ascii="Palatino Linotype" w:hAnsi="Palatino Linotype"/>
          <w:lang w:val="es-ES_tradnl"/>
        </w:rPr>
      </w:pPr>
    </w:p>
    <w:p w14:paraId="44DFE53F"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En sesión ordinaria celebrada el día </w:t>
      </w:r>
      <w:r w:rsidR="00AB0C6D" w:rsidRPr="00A52A6B">
        <w:rPr>
          <w:rFonts w:ascii="Palatino Linotype" w:hAnsi="Palatino Linotype"/>
          <w:lang w:val="es-ES_tradnl"/>
        </w:rPr>
        <w:t xml:space="preserve">veinte de </w:t>
      </w:r>
      <w:proofErr w:type="gramStart"/>
      <w:r w:rsidR="00AB0C6D" w:rsidRPr="00A52A6B">
        <w:rPr>
          <w:rFonts w:ascii="Palatino Linotype" w:hAnsi="Palatino Linotype"/>
          <w:lang w:val="es-ES_tradnl"/>
        </w:rPr>
        <w:t>enero  de</w:t>
      </w:r>
      <w:proofErr w:type="gramEnd"/>
      <w:r w:rsidR="00AB0C6D" w:rsidRPr="00A52A6B">
        <w:rPr>
          <w:rFonts w:ascii="Palatino Linotype" w:hAnsi="Palatino Linotype"/>
          <w:lang w:val="es-ES_tradnl"/>
        </w:rPr>
        <w:t xml:space="preserve"> dos mil veintiuno</w:t>
      </w:r>
      <w:r w:rsidRPr="00A52A6B">
        <w:rPr>
          <w:rFonts w:ascii="Palatino Linotype" w:hAnsi="Palatino Linotype"/>
          <w:lang w:val="es-ES_tradnl"/>
        </w:rPr>
        <w:t xml:space="preserve">, el Pleno del INAI, se aprobó la resolución del recurso de revisión RIA </w:t>
      </w:r>
      <w:r w:rsidR="00AB0C6D" w:rsidRPr="00A52A6B">
        <w:rPr>
          <w:rFonts w:ascii="Palatino Linotype" w:hAnsi="Palatino Linotype"/>
          <w:lang w:val="es-ES_tradnl"/>
        </w:rPr>
        <w:t>00148/20</w:t>
      </w:r>
      <w:r w:rsidRPr="00A52A6B">
        <w:rPr>
          <w:rFonts w:ascii="Palatino Linotype" w:hAnsi="Palatino Linotype"/>
          <w:lang w:val="es-ES_tradnl"/>
        </w:rPr>
        <w:t xml:space="preserve">, posteriormente en fecha </w:t>
      </w:r>
      <w:r w:rsidR="001C7697" w:rsidRPr="00A52A6B">
        <w:rPr>
          <w:rFonts w:ascii="Palatino Linotype" w:hAnsi="Palatino Linotype"/>
          <w:lang w:val="es-ES_tradnl"/>
        </w:rPr>
        <w:t>tres (03) de marzo de dos mil veintiuno</w:t>
      </w:r>
      <w:r w:rsidRPr="00A52A6B">
        <w:rPr>
          <w:rFonts w:ascii="Palatino Linotype" w:hAnsi="Palatino Linotype"/>
          <w:lang w:val="es-ES_tradnl"/>
        </w:rPr>
        <w:t xml:space="preserve">, fue notificada a este Órgano Garante. </w:t>
      </w:r>
    </w:p>
    <w:p w14:paraId="5C6A79C7" w14:textId="77777777" w:rsidR="00892544" w:rsidRPr="00A52A6B" w:rsidRDefault="00892544" w:rsidP="00892544">
      <w:pPr>
        <w:pStyle w:val="Prrafodelista"/>
        <w:tabs>
          <w:tab w:val="left" w:pos="0"/>
        </w:tabs>
        <w:spacing w:line="360" w:lineRule="auto"/>
        <w:ind w:left="0" w:right="49"/>
        <w:jc w:val="both"/>
        <w:rPr>
          <w:rFonts w:ascii="Palatino Linotype" w:hAnsi="Palatino Linotype"/>
          <w:lang w:val="es-ES_tradnl"/>
        </w:rPr>
      </w:pPr>
    </w:p>
    <w:p w14:paraId="7BCEA39A" w14:textId="77777777" w:rsidR="00892544" w:rsidRPr="00A52A6B" w:rsidRDefault="00892544" w:rsidP="00892544">
      <w:pPr>
        <w:pStyle w:val="Prrafodelista"/>
        <w:tabs>
          <w:tab w:val="left" w:pos="0"/>
        </w:tabs>
        <w:spacing w:line="360" w:lineRule="auto"/>
        <w:ind w:left="0" w:right="49"/>
        <w:jc w:val="both"/>
        <w:rPr>
          <w:rFonts w:ascii="Palatino Linotype" w:hAnsi="Palatino Linotype"/>
          <w:lang w:val="es-ES_tradnl"/>
        </w:rPr>
      </w:pPr>
    </w:p>
    <w:p w14:paraId="416742C2" w14:textId="77777777" w:rsidR="00892544" w:rsidRPr="00A52A6B" w:rsidRDefault="00892544" w:rsidP="00892544">
      <w:pPr>
        <w:pStyle w:val="Ttulo1"/>
        <w:spacing w:line="360" w:lineRule="auto"/>
        <w:jc w:val="center"/>
        <w:rPr>
          <w:rFonts w:ascii="Palatino Linotype" w:hAnsi="Palatino Linotype"/>
          <w:b/>
          <w:color w:val="auto"/>
          <w:sz w:val="24"/>
          <w:szCs w:val="24"/>
          <w:lang w:val="es-ES_tradnl"/>
        </w:rPr>
      </w:pPr>
      <w:bookmarkStart w:id="2" w:name="_Toc66304357"/>
      <w:r w:rsidRPr="00A52A6B">
        <w:rPr>
          <w:rFonts w:ascii="Palatino Linotype" w:hAnsi="Palatino Linotype"/>
          <w:b/>
          <w:color w:val="auto"/>
          <w:sz w:val="24"/>
          <w:szCs w:val="24"/>
          <w:lang w:val="es-ES_tradnl"/>
        </w:rPr>
        <w:t>CONSIDERANDO</w:t>
      </w:r>
      <w:bookmarkEnd w:id="2"/>
    </w:p>
    <w:p w14:paraId="3178D10A" w14:textId="77777777" w:rsidR="00892544" w:rsidRPr="00A52A6B" w:rsidRDefault="00892544" w:rsidP="00892544">
      <w:pPr>
        <w:spacing w:line="360" w:lineRule="auto"/>
        <w:jc w:val="both"/>
        <w:rPr>
          <w:rFonts w:ascii="Palatino Linotype" w:hAnsi="Palatino Linotype"/>
          <w:lang w:val="es-ES_tradnl"/>
        </w:rPr>
      </w:pPr>
    </w:p>
    <w:p w14:paraId="02F827D5" w14:textId="77777777" w:rsidR="00892544" w:rsidRPr="00A52A6B" w:rsidRDefault="00892544" w:rsidP="00892544">
      <w:pPr>
        <w:pStyle w:val="Ttulo2"/>
        <w:spacing w:line="360" w:lineRule="auto"/>
        <w:jc w:val="both"/>
        <w:rPr>
          <w:rFonts w:ascii="Palatino Linotype" w:hAnsi="Palatino Linotype"/>
          <w:b/>
          <w:color w:val="auto"/>
          <w:sz w:val="24"/>
          <w:szCs w:val="24"/>
          <w:lang w:val="es-ES_tradnl"/>
        </w:rPr>
      </w:pPr>
      <w:bookmarkStart w:id="3" w:name="_Toc66304358"/>
      <w:r w:rsidRPr="00A52A6B">
        <w:rPr>
          <w:rFonts w:ascii="Palatino Linotype" w:hAnsi="Palatino Linotype"/>
          <w:b/>
          <w:color w:val="auto"/>
          <w:sz w:val="24"/>
          <w:szCs w:val="24"/>
          <w:lang w:val="es-ES_tradnl"/>
        </w:rPr>
        <w:t>PRIMERO. Atribuciones del INAI</w:t>
      </w:r>
      <w:bookmarkEnd w:id="3"/>
    </w:p>
    <w:p w14:paraId="051CB687" w14:textId="77777777" w:rsidR="00892544" w:rsidRPr="00A52A6B" w:rsidRDefault="00892544" w:rsidP="00892544">
      <w:pPr>
        <w:spacing w:line="360" w:lineRule="auto"/>
        <w:jc w:val="both"/>
        <w:rPr>
          <w:rFonts w:ascii="Palatino Linotype" w:hAnsi="Palatino Linotype"/>
          <w:lang w:val="es-ES_tradnl"/>
        </w:rPr>
      </w:pPr>
    </w:p>
    <w:p w14:paraId="39930999"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eastAsia="Calibri" w:hAnsi="Palatino Linotype"/>
          <w:lang w:val="es-ES_tradnl"/>
        </w:rPr>
        <w:t>El</w:t>
      </w:r>
      <w:r w:rsidRPr="00A52A6B">
        <w:rPr>
          <w:rFonts w:ascii="Palatino Linotype" w:hAnsi="Palatino Linotype"/>
          <w:lang w:val="es-ES_tradnl"/>
        </w:rPr>
        <w:t xml:space="preserve"> Instituto Nacional de Transparencia, Acceso a la Información y Protección de Datos Personales es competente para conocer del asunto, de conformidad con lo ordenado por los artículo 6o, Apartado A, fracción VIII, de la Constitución Política </w:t>
      </w:r>
      <w:r w:rsidRPr="00A52A6B">
        <w:rPr>
          <w:rFonts w:ascii="Palatino Linotype" w:hAnsi="Palatino Linotype"/>
          <w:lang w:val="es-ES_tradnl"/>
        </w:rPr>
        <w:lastRenderedPageBreak/>
        <w:t>de los Estados Unidos Mexicanos; el Transitorio Sexto del Decreto por el que se reforman y adicionan diversas disposiciones de la Constitución Política de los Estados Unidos Mexicanos, en materia de transparencia, publicado en el Diario Oficial de la Federación el siete de febrero de dos mil catorce; el artículo 3o., fracción XIII, Capítulo II, 159; 160; 161; 162; 163; 165; 170 y los Transitorios Primero, Quinto y Sexto de la Ley General de Transparencia y Acceso a la Información Pública; Transitorios Primero y Quinto de la Ley Federal de Transparencia y Acceso a la Información Pública, publicada en el Diario Oficial de la Federación el nueve de mayo de dos mil dieciséis; así como de los artículos 12, fracciones I, V y XXXV, 18, fracciones V, XIV y XVI del Estatuto Orgánico del Instituto Nacional de Transparencia, Acceso a la Información y Protección de Datos Personales, publicado en el Diario Oficial de la Federación el diecisiete de enero de dos mil diecisiete.</w:t>
      </w:r>
    </w:p>
    <w:p w14:paraId="58E41806" w14:textId="77777777" w:rsidR="00892544" w:rsidRPr="00A52A6B" w:rsidRDefault="00892544" w:rsidP="00892544">
      <w:pPr>
        <w:pStyle w:val="Ttulo2"/>
        <w:spacing w:line="360" w:lineRule="auto"/>
        <w:jc w:val="both"/>
        <w:rPr>
          <w:rFonts w:ascii="Palatino Linotype" w:hAnsi="Palatino Linotype"/>
          <w:b/>
          <w:color w:val="auto"/>
          <w:sz w:val="24"/>
          <w:szCs w:val="24"/>
          <w:lang w:val="es-ES_tradnl"/>
        </w:rPr>
      </w:pPr>
      <w:bookmarkStart w:id="4" w:name="_Toc66304359"/>
      <w:r w:rsidRPr="00A52A6B">
        <w:rPr>
          <w:rFonts w:ascii="Palatino Linotype" w:hAnsi="Palatino Linotype"/>
          <w:b/>
          <w:color w:val="auto"/>
          <w:sz w:val="24"/>
          <w:szCs w:val="24"/>
          <w:lang w:val="es-ES_tradnl"/>
        </w:rPr>
        <w:t>SEGUNDO. Resolución y efectos</w:t>
      </w:r>
      <w:bookmarkEnd w:id="4"/>
    </w:p>
    <w:p w14:paraId="417A8CD9" w14:textId="77777777" w:rsidR="00892544" w:rsidRPr="00A52A6B" w:rsidRDefault="00892544" w:rsidP="00892544">
      <w:pPr>
        <w:pStyle w:val="Prrafodelista"/>
        <w:tabs>
          <w:tab w:val="left" w:pos="0"/>
        </w:tabs>
        <w:spacing w:line="360" w:lineRule="auto"/>
        <w:ind w:left="0" w:right="49"/>
        <w:jc w:val="both"/>
        <w:rPr>
          <w:rFonts w:ascii="Palatino Linotype" w:hAnsi="Palatino Linotype"/>
          <w:lang w:val="es-ES_tradnl"/>
        </w:rPr>
      </w:pPr>
    </w:p>
    <w:p w14:paraId="157A458A" w14:textId="77777777" w:rsidR="00892544" w:rsidRPr="00A52A6B" w:rsidRDefault="00892544" w:rsidP="007518DD">
      <w:pPr>
        <w:pStyle w:val="Prrafodelista"/>
        <w:numPr>
          <w:ilvl w:val="0"/>
          <w:numId w:val="1"/>
        </w:numPr>
        <w:tabs>
          <w:tab w:val="left" w:pos="0"/>
          <w:tab w:val="left" w:pos="709"/>
        </w:tabs>
        <w:spacing w:line="360" w:lineRule="auto"/>
        <w:ind w:left="0" w:right="49" w:firstLine="0"/>
        <w:jc w:val="both"/>
        <w:rPr>
          <w:rFonts w:ascii="Palatino Linotype" w:hAnsi="Palatino Linotype" w:cs="Arial"/>
          <w:sz w:val="22"/>
          <w:lang w:val="es-ES_tradnl"/>
        </w:rPr>
      </w:pPr>
      <w:r w:rsidRPr="00A52A6B">
        <w:rPr>
          <w:rFonts w:ascii="Palatino Linotype" w:eastAsia="Calibri" w:hAnsi="Palatino Linotype"/>
          <w:lang w:val="es-ES_tradnl"/>
        </w:rPr>
        <w:t>En</w:t>
      </w:r>
      <w:r w:rsidRPr="00A52A6B">
        <w:rPr>
          <w:rFonts w:ascii="Palatino Linotype" w:hAnsi="Palatino Linotype" w:cs="Arial"/>
          <w:lang w:val="es-ES_tradnl"/>
        </w:rPr>
        <w:t xml:space="preserve"> cumplimiento a lo establecido en el artículo 172 de la Ley General de Transparencia y Acceso a la Información Pública, el presente fallo tiene los efectos siguientes: </w:t>
      </w:r>
      <w:r w:rsidRPr="00A52A6B">
        <w:rPr>
          <w:rFonts w:ascii="Palatino Linotype" w:hAnsi="Palatino Linotype"/>
          <w:i/>
          <w:lang w:val="es-ES_tradnl"/>
        </w:rPr>
        <w:t xml:space="preserve">… </w:t>
      </w:r>
      <w:r w:rsidRPr="00A52A6B">
        <w:rPr>
          <w:rFonts w:ascii="Palatino Linotype" w:hAnsi="Palatino Linotype"/>
          <w:b/>
          <w:lang w:val="es-ES_tradnl"/>
        </w:rPr>
        <w:t>REVOCAR</w:t>
      </w:r>
      <w:r w:rsidRPr="00A52A6B">
        <w:rPr>
          <w:rFonts w:ascii="Palatino Linotype" w:hAnsi="Palatino Linotype"/>
          <w:lang w:val="es-ES_tradnl"/>
        </w:rPr>
        <w:t xml:space="preserve"> la resolución del Instituto de Transparencia, Acceso a la Información Pública y Protección de Datos Personales</w:t>
      </w:r>
      <w:r w:rsidRPr="00A52A6B">
        <w:rPr>
          <w:rFonts w:ascii="Palatino Linotype" w:hAnsi="Palatino Linotype"/>
          <w:spacing w:val="-8"/>
          <w:lang w:val="es-ES_tradnl"/>
        </w:rPr>
        <w:t xml:space="preserve"> </w:t>
      </w:r>
      <w:r w:rsidRPr="00A52A6B">
        <w:rPr>
          <w:rFonts w:ascii="Palatino Linotype" w:hAnsi="Palatino Linotype"/>
          <w:lang w:val="es-ES_tradnl"/>
        </w:rPr>
        <w:t>del</w:t>
      </w:r>
      <w:r w:rsidRPr="00A52A6B">
        <w:rPr>
          <w:rFonts w:ascii="Palatino Linotype" w:hAnsi="Palatino Linotype"/>
          <w:spacing w:val="-3"/>
          <w:lang w:val="es-ES_tradnl"/>
        </w:rPr>
        <w:t xml:space="preserve"> </w:t>
      </w:r>
      <w:r w:rsidRPr="00A52A6B">
        <w:rPr>
          <w:rFonts w:ascii="Palatino Linotype" w:hAnsi="Palatino Linotype"/>
          <w:lang w:val="es-ES_tradnl"/>
        </w:rPr>
        <w:t>Estado</w:t>
      </w:r>
      <w:r w:rsidRPr="00A52A6B">
        <w:rPr>
          <w:rFonts w:ascii="Palatino Linotype" w:hAnsi="Palatino Linotype"/>
          <w:spacing w:val="-4"/>
          <w:lang w:val="es-ES_tradnl"/>
        </w:rPr>
        <w:t xml:space="preserve"> </w:t>
      </w:r>
      <w:r w:rsidRPr="00A52A6B">
        <w:rPr>
          <w:rFonts w:ascii="Palatino Linotype" w:hAnsi="Palatino Linotype"/>
          <w:lang w:val="es-ES_tradnl"/>
        </w:rPr>
        <w:t>de</w:t>
      </w:r>
      <w:r w:rsidRPr="00A52A6B">
        <w:rPr>
          <w:rFonts w:ascii="Palatino Linotype" w:hAnsi="Palatino Linotype"/>
          <w:spacing w:val="-7"/>
          <w:lang w:val="es-ES_tradnl"/>
        </w:rPr>
        <w:t xml:space="preserve"> </w:t>
      </w:r>
      <w:r w:rsidRPr="00A52A6B">
        <w:rPr>
          <w:rFonts w:ascii="Palatino Linotype" w:hAnsi="Palatino Linotype"/>
          <w:lang w:val="es-ES_tradnl"/>
        </w:rPr>
        <w:t>México</w:t>
      </w:r>
      <w:r w:rsidRPr="00A52A6B">
        <w:rPr>
          <w:rFonts w:ascii="Palatino Linotype" w:hAnsi="Palatino Linotype"/>
          <w:spacing w:val="-6"/>
          <w:lang w:val="es-ES_tradnl"/>
        </w:rPr>
        <w:t xml:space="preserve"> </w:t>
      </w:r>
      <w:r w:rsidRPr="00A52A6B">
        <w:rPr>
          <w:rFonts w:ascii="Palatino Linotype" w:hAnsi="Palatino Linotype"/>
          <w:lang w:val="es-ES_tradnl"/>
        </w:rPr>
        <w:t>y</w:t>
      </w:r>
      <w:r w:rsidRPr="00A52A6B">
        <w:rPr>
          <w:rFonts w:ascii="Palatino Linotype" w:hAnsi="Palatino Linotype"/>
          <w:spacing w:val="-7"/>
          <w:lang w:val="es-ES_tradnl"/>
        </w:rPr>
        <w:t xml:space="preserve"> </w:t>
      </w:r>
      <w:r w:rsidRPr="00A52A6B">
        <w:rPr>
          <w:rFonts w:ascii="Palatino Linotype" w:hAnsi="Palatino Linotype"/>
          <w:lang w:val="es-ES_tradnl"/>
        </w:rPr>
        <w:t>Municipios,</w:t>
      </w:r>
      <w:r w:rsidRPr="00A52A6B">
        <w:rPr>
          <w:rFonts w:ascii="Palatino Linotype" w:hAnsi="Palatino Linotype"/>
          <w:spacing w:val="-4"/>
          <w:lang w:val="es-ES_tradnl"/>
        </w:rPr>
        <w:t xml:space="preserve"> </w:t>
      </w:r>
      <w:r w:rsidRPr="00A52A6B">
        <w:rPr>
          <w:rFonts w:ascii="Palatino Linotype" w:hAnsi="Palatino Linotype"/>
          <w:lang w:val="es-ES_tradnl"/>
        </w:rPr>
        <w:t>y</w:t>
      </w:r>
      <w:r w:rsidRPr="00A52A6B">
        <w:rPr>
          <w:rFonts w:ascii="Palatino Linotype" w:hAnsi="Palatino Linotype"/>
          <w:spacing w:val="-7"/>
          <w:lang w:val="es-ES_tradnl"/>
        </w:rPr>
        <w:t xml:space="preserve"> </w:t>
      </w:r>
      <w:r w:rsidRPr="00A52A6B">
        <w:rPr>
          <w:rFonts w:ascii="Palatino Linotype" w:hAnsi="Palatino Linotype"/>
          <w:lang w:val="es-ES_tradnl"/>
        </w:rPr>
        <w:t>se</w:t>
      </w:r>
      <w:r w:rsidRPr="00A52A6B">
        <w:rPr>
          <w:rFonts w:ascii="Palatino Linotype" w:hAnsi="Palatino Linotype"/>
          <w:spacing w:val="-6"/>
          <w:lang w:val="es-ES_tradnl"/>
        </w:rPr>
        <w:t xml:space="preserve"> </w:t>
      </w:r>
      <w:r w:rsidRPr="00A52A6B">
        <w:rPr>
          <w:rFonts w:ascii="Palatino Linotype" w:hAnsi="Palatino Linotype"/>
          <w:b/>
          <w:lang w:val="es-ES_tradnl"/>
        </w:rPr>
        <w:t>instruye</w:t>
      </w:r>
      <w:r w:rsidRPr="00A52A6B">
        <w:rPr>
          <w:rFonts w:ascii="Palatino Linotype" w:hAnsi="Palatino Linotype"/>
          <w:b/>
          <w:spacing w:val="-5"/>
          <w:lang w:val="es-ES_tradnl"/>
        </w:rPr>
        <w:t xml:space="preserve"> </w:t>
      </w:r>
      <w:r w:rsidRPr="00A52A6B">
        <w:rPr>
          <w:rFonts w:ascii="Palatino Linotype" w:hAnsi="Palatino Linotype"/>
          <w:lang w:val="es-ES_tradnl"/>
        </w:rPr>
        <w:t>a</w:t>
      </w:r>
      <w:r w:rsidRPr="00A52A6B">
        <w:rPr>
          <w:rFonts w:ascii="Palatino Linotype" w:hAnsi="Palatino Linotype"/>
          <w:spacing w:val="-7"/>
          <w:lang w:val="es-ES_tradnl"/>
        </w:rPr>
        <w:t xml:space="preserve"> </w:t>
      </w:r>
      <w:r w:rsidRPr="00A52A6B">
        <w:rPr>
          <w:rFonts w:ascii="Palatino Linotype" w:hAnsi="Palatino Linotype"/>
          <w:lang w:val="es-ES_tradnl"/>
        </w:rPr>
        <w:t>efecto</w:t>
      </w:r>
      <w:r w:rsidRPr="00A52A6B">
        <w:rPr>
          <w:rFonts w:ascii="Palatino Linotype" w:hAnsi="Palatino Linotype"/>
          <w:spacing w:val="-6"/>
          <w:lang w:val="es-ES_tradnl"/>
        </w:rPr>
        <w:t xml:space="preserve"> </w:t>
      </w:r>
      <w:r w:rsidRPr="00A52A6B">
        <w:rPr>
          <w:rFonts w:ascii="Palatino Linotype" w:hAnsi="Palatino Linotype"/>
          <w:lang w:val="es-ES_tradnl"/>
        </w:rPr>
        <w:t>de</w:t>
      </w:r>
      <w:r w:rsidRPr="00A52A6B">
        <w:rPr>
          <w:rFonts w:ascii="Palatino Linotype" w:hAnsi="Palatino Linotype"/>
          <w:spacing w:val="-7"/>
          <w:lang w:val="es-ES_tradnl"/>
        </w:rPr>
        <w:t xml:space="preserve"> </w:t>
      </w:r>
      <w:r w:rsidRPr="00A52A6B">
        <w:rPr>
          <w:rFonts w:ascii="Palatino Linotype" w:hAnsi="Palatino Linotype"/>
          <w:lang w:val="es-ES_tradnl"/>
        </w:rPr>
        <w:t>que</w:t>
      </w:r>
      <w:r w:rsidRPr="00A52A6B">
        <w:rPr>
          <w:rFonts w:ascii="Palatino Linotype" w:hAnsi="Palatino Linotype"/>
          <w:spacing w:val="-6"/>
          <w:lang w:val="es-ES_tradnl"/>
        </w:rPr>
        <w:t xml:space="preserve"> </w:t>
      </w:r>
      <w:r w:rsidRPr="00A52A6B">
        <w:rPr>
          <w:rFonts w:ascii="Palatino Linotype" w:hAnsi="Palatino Linotype"/>
          <w:lang w:val="es-ES_tradnl"/>
        </w:rPr>
        <w:t xml:space="preserve">emita una nueva resolución en la que </w:t>
      </w:r>
      <w:r w:rsidRPr="00A52A6B">
        <w:rPr>
          <w:rFonts w:ascii="Palatino Linotype" w:hAnsi="Palatino Linotype"/>
          <w:b/>
          <w:lang w:val="es-ES_tradnl"/>
        </w:rPr>
        <w:t xml:space="preserve">instruya al Ayuntamiento de Ixtapan de la Sal </w:t>
      </w:r>
      <w:r w:rsidRPr="00A52A6B">
        <w:rPr>
          <w:rFonts w:ascii="Palatino Linotype" w:hAnsi="Palatino Linotype"/>
          <w:lang w:val="es-ES_tradnl"/>
        </w:rPr>
        <w:t>a realizar la entrega</w:t>
      </w:r>
      <w:r w:rsidR="001C7697" w:rsidRPr="00A52A6B">
        <w:rPr>
          <w:rFonts w:ascii="Palatino Linotype" w:hAnsi="Palatino Linotype"/>
          <w:lang w:val="es-ES_tradnl"/>
        </w:rPr>
        <w:t xml:space="preserve"> de la siguiente información</w:t>
      </w:r>
      <w:r w:rsidR="001C7697" w:rsidRPr="00A52A6B">
        <w:rPr>
          <w:rFonts w:ascii="Palatino Linotype" w:hAnsi="Palatino Linotype"/>
          <w:i/>
          <w:lang w:val="es-ES_tradnl"/>
        </w:rPr>
        <w:t>:</w:t>
      </w:r>
      <w:r w:rsidRPr="00A52A6B">
        <w:rPr>
          <w:rFonts w:ascii="Palatino Linotype" w:hAnsi="Palatino Linotype"/>
          <w:i/>
          <w:lang w:val="es-ES_tradnl"/>
        </w:rPr>
        <w:t xml:space="preserve"> </w:t>
      </w:r>
      <w:r w:rsidR="001C7697" w:rsidRPr="00A52A6B">
        <w:rPr>
          <w:rFonts w:ascii="Palatino Linotype" w:hAnsi="Palatino Linotype"/>
          <w:i/>
          <w:lang w:val="es-ES_tradnl"/>
        </w:rPr>
        <w:t xml:space="preserve">“1. </w:t>
      </w:r>
      <w:r w:rsidR="001C7697" w:rsidRPr="00A52A6B">
        <w:rPr>
          <w:rFonts w:ascii="Palatino Linotype" w:hAnsi="Palatino Linotype"/>
          <w:i/>
          <w:lang w:val="es-MX"/>
        </w:rPr>
        <w:t xml:space="preserve">La </w:t>
      </w:r>
      <w:proofErr w:type="spellStart"/>
      <w:r w:rsidR="001C7697" w:rsidRPr="00A52A6B">
        <w:rPr>
          <w:rFonts w:ascii="Palatino Linotype" w:hAnsi="Palatino Linotype"/>
          <w:i/>
          <w:lang w:val="es-MX"/>
        </w:rPr>
        <w:t>información</w:t>
      </w:r>
      <w:proofErr w:type="spellEnd"/>
      <w:r w:rsidR="001C7697" w:rsidRPr="00A52A6B">
        <w:rPr>
          <w:rFonts w:ascii="Palatino Linotype" w:hAnsi="Palatino Linotype"/>
          <w:i/>
          <w:lang w:val="es-MX"/>
        </w:rPr>
        <w:t xml:space="preserve"> de los programas de subsidios, </w:t>
      </w:r>
      <w:proofErr w:type="spellStart"/>
      <w:r w:rsidR="001C7697" w:rsidRPr="00A52A6B">
        <w:rPr>
          <w:rFonts w:ascii="Palatino Linotype" w:hAnsi="Palatino Linotype"/>
          <w:i/>
          <w:lang w:val="es-MX"/>
        </w:rPr>
        <w:t>estímulos</w:t>
      </w:r>
      <w:proofErr w:type="spellEnd"/>
      <w:r w:rsidR="001C7697" w:rsidRPr="00A52A6B">
        <w:rPr>
          <w:rFonts w:ascii="Palatino Linotype" w:hAnsi="Palatino Linotype"/>
          <w:i/>
          <w:lang w:val="es-MX"/>
        </w:rPr>
        <w:t xml:space="preserve"> y apoyos del ayuntamiento otorgados por la </w:t>
      </w:r>
      <w:proofErr w:type="spellStart"/>
      <w:r w:rsidR="001C7697" w:rsidRPr="00A52A6B">
        <w:rPr>
          <w:rFonts w:ascii="Palatino Linotype" w:hAnsi="Palatino Linotype"/>
          <w:i/>
          <w:lang w:val="es-MX"/>
        </w:rPr>
        <w:t>Dirección</w:t>
      </w:r>
      <w:proofErr w:type="spellEnd"/>
      <w:r w:rsidR="001C7697" w:rsidRPr="00A52A6B">
        <w:rPr>
          <w:rFonts w:ascii="Palatino Linotype" w:hAnsi="Palatino Linotype"/>
          <w:i/>
          <w:lang w:val="es-MX"/>
        </w:rPr>
        <w:t xml:space="preserve"> de Desarrollo Social y/o por cualquier dependencia </w:t>
      </w:r>
      <w:r w:rsidR="001C7697" w:rsidRPr="00A52A6B">
        <w:rPr>
          <w:rFonts w:ascii="Palatino Linotype" w:hAnsi="Palatino Linotype"/>
          <w:i/>
          <w:lang w:val="es-MX"/>
        </w:rPr>
        <w:lastRenderedPageBreak/>
        <w:t xml:space="preserve">del sector ayuntamiento, así como la </w:t>
      </w:r>
      <w:proofErr w:type="spellStart"/>
      <w:r w:rsidR="001C7697" w:rsidRPr="00A52A6B">
        <w:rPr>
          <w:rFonts w:ascii="Palatino Linotype" w:hAnsi="Palatino Linotype"/>
          <w:i/>
          <w:lang w:val="es-MX"/>
        </w:rPr>
        <w:t>información</w:t>
      </w:r>
      <w:proofErr w:type="spellEnd"/>
      <w:r w:rsidR="001C7697" w:rsidRPr="00A52A6B">
        <w:rPr>
          <w:rFonts w:ascii="Palatino Linotype" w:hAnsi="Palatino Linotype"/>
          <w:i/>
          <w:lang w:val="es-MX"/>
        </w:rPr>
        <w:t xml:space="preserve"> de los programas de subsidios, </w:t>
      </w:r>
      <w:proofErr w:type="spellStart"/>
      <w:r w:rsidR="001C7697" w:rsidRPr="00A52A6B">
        <w:rPr>
          <w:rFonts w:ascii="Palatino Linotype" w:hAnsi="Palatino Linotype"/>
          <w:i/>
          <w:lang w:val="es-MX"/>
        </w:rPr>
        <w:t>estímulos</w:t>
      </w:r>
      <w:proofErr w:type="spellEnd"/>
      <w:r w:rsidR="001C7697" w:rsidRPr="00A52A6B">
        <w:rPr>
          <w:rFonts w:ascii="Palatino Linotype" w:hAnsi="Palatino Linotype"/>
          <w:i/>
          <w:lang w:val="es-MX"/>
        </w:rPr>
        <w:t xml:space="preserve"> y apoyos del sistema municipal DIF, durante el </w:t>
      </w:r>
      <w:proofErr w:type="spellStart"/>
      <w:r w:rsidR="001C7697" w:rsidRPr="00A52A6B">
        <w:rPr>
          <w:rFonts w:ascii="Palatino Linotype" w:hAnsi="Palatino Linotype"/>
          <w:i/>
          <w:lang w:val="es-MX"/>
        </w:rPr>
        <w:t>año</w:t>
      </w:r>
      <w:proofErr w:type="spellEnd"/>
      <w:r w:rsidR="001C7697" w:rsidRPr="00A52A6B">
        <w:rPr>
          <w:rFonts w:ascii="Palatino Linotype" w:hAnsi="Palatino Linotype"/>
          <w:i/>
          <w:lang w:val="es-MX"/>
        </w:rPr>
        <w:t xml:space="preserve"> dos mil diecinueve, en el que se </w:t>
      </w:r>
      <w:proofErr w:type="spellStart"/>
      <w:r w:rsidR="001C7697" w:rsidRPr="00A52A6B">
        <w:rPr>
          <w:rFonts w:ascii="Palatino Linotype" w:hAnsi="Palatino Linotype"/>
          <w:i/>
          <w:lang w:val="es-MX"/>
        </w:rPr>
        <w:t>debera</w:t>
      </w:r>
      <w:proofErr w:type="spellEnd"/>
      <w:r w:rsidR="001C7697" w:rsidRPr="00A52A6B">
        <w:rPr>
          <w:rFonts w:ascii="Palatino Linotype" w:hAnsi="Palatino Linotype"/>
          <w:i/>
          <w:lang w:val="es-MX"/>
        </w:rPr>
        <w:t xml:space="preserve">́ informar respecto de los programas de transferencia, de servicios, de infraestructura social y de subsidio, en los que se </w:t>
      </w:r>
      <w:proofErr w:type="spellStart"/>
      <w:r w:rsidR="001C7697" w:rsidRPr="00A52A6B">
        <w:rPr>
          <w:rFonts w:ascii="Palatino Linotype" w:hAnsi="Palatino Linotype"/>
          <w:i/>
          <w:lang w:val="es-MX"/>
        </w:rPr>
        <w:t>debera</w:t>
      </w:r>
      <w:proofErr w:type="spellEnd"/>
      <w:r w:rsidR="001C7697" w:rsidRPr="00A52A6B">
        <w:rPr>
          <w:rFonts w:ascii="Palatino Linotype" w:hAnsi="Palatino Linotype"/>
          <w:i/>
          <w:lang w:val="es-MX"/>
        </w:rPr>
        <w:t xml:space="preserve">́ contener el a) </w:t>
      </w:r>
      <w:proofErr w:type="spellStart"/>
      <w:r w:rsidR="001C7697" w:rsidRPr="00A52A6B">
        <w:rPr>
          <w:rFonts w:ascii="Palatino Linotype" w:hAnsi="Palatino Linotype"/>
          <w:i/>
          <w:lang w:val="es-MX"/>
        </w:rPr>
        <w:t>área</w:t>
      </w:r>
      <w:proofErr w:type="spellEnd"/>
      <w:r w:rsidR="001C7697" w:rsidRPr="00A52A6B">
        <w:rPr>
          <w:rFonts w:ascii="Palatino Linotype" w:hAnsi="Palatino Linotype"/>
          <w:i/>
          <w:lang w:val="es-MX"/>
        </w:rPr>
        <w:t xml:space="preserve">; b) </w:t>
      </w:r>
      <w:proofErr w:type="spellStart"/>
      <w:r w:rsidR="001C7697" w:rsidRPr="00A52A6B">
        <w:rPr>
          <w:rFonts w:ascii="Palatino Linotype" w:hAnsi="Palatino Linotype"/>
          <w:i/>
          <w:lang w:val="es-MX"/>
        </w:rPr>
        <w:t>denominación</w:t>
      </w:r>
      <w:proofErr w:type="spellEnd"/>
      <w:r w:rsidR="001C7697" w:rsidRPr="00A52A6B">
        <w:rPr>
          <w:rFonts w:ascii="Palatino Linotype" w:hAnsi="Palatino Linotype"/>
          <w:i/>
          <w:lang w:val="es-MX"/>
        </w:rPr>
        <w:t xml:space="preserve"> del programa; c) periodo de vigencia; d) </w:t>
      </w:r>
      <w:proofErr w:type="spellStart"/>
      <w:r w:rsidR="001C7697" w:rsidRPr="00A52A6B">
        <w:rPr>
          <w:rFonts w:ascii="Palatino Linotype" w:hAnsi="Palatino Linotype"/>
          <w:i/>
          <w:lang w:val="es-MX"/>
        </w:rPr>
        <w:t>diseño</w:t>
      </w:r>
      <w:proofErr w:type="spellEnd"/>
      <w:r w:rsidR="001C7697" w:rsidRPr="00A52A6B">
        <w:rPr>
          <w:rFonts w:ascii="Palatino Linotype" w:hAnsi="Palatino Linotype"/>
          <w:i/>
          <w:lang w:val="es-MX"/>
        </w:rPr>
        <w:t xml:space="preserve">, objetivos y alcances; e) metas </w:t>
      </w:r>
      <w:proofErr w:type="spellStart"/>
      <w:r w:rsidR="001C7697" w:rsidRPr="00A52A6B">
        <w:rPr>
          <w:rFonts w:ascii="Palatino Linotype" w:hAnsi="Palatino Linotype"/>
          <w:i/>
          <w:lang w:val="es-MX"/>
        </w:rPr>
        <w:t>físicas</w:t>
      </w:r>
      <w:proofErr w:type="spellEnd"/>
      <w:r w:rsidR="001C7697" w:rsidRPr="00A52A6B">
        <w:rPr>
          <w:rFonts w:ascii="Palatino Linotype" w:hAnsi="Palatino Linotype"/>
          <w:i/>
          <w:lang w:val="es-MX"/>
        </w:rPr>
        <w:t xml:space="preserve">; f) </w:t>
      </w:r>
      <w:proofErr w:type="spellStart"/>
      <w:r w:rsidR="001C7697" w:rsidRPr="00A52A6B">
        <w:rPr>
          <w:rFonts w:ascii="Palatino Linotype" w:hAnsi="Palatino Linotype"/>
          <w:i/>
          <w:lang w:val="es-MX"/>
        </w:rPr>
        <w:t>población</w:t>
      </w:r>
      <w:proofErr w:type="spellEnd"/>
      <w:r w:rsidR="001C7697" w:rsidRPr="00A52A6B">
        <w:rPr>
          <w:rFonts w:ascii="Palatino Linotype" w:hAnsi="Palatino Linotype"/>
          <w:i/>
          <w:lang w:val="es-MX"/>
        </w:rPr>
        <w:t xml:space="preserve"> beneficiada estimada; g) monto aprobado, modificado y ejercido, </w:t>
      </w:r>
      <w:proofErr w:type="spellStart"/>
      <w:r w:rsidR="001C7697" w:rsidRPr="00A52A6B">
        <w:rPr>
          <w:rFonts w:ascii="Palatino Linotype" w:hAnsi="Palatino Linotype"/>
          <w:i/>
          <w:lang w:val="es-MX"/>
        </w:rPr>
        <w:t>asi</w:t>
      </w:r>
      <w:proofErr w:type="spellEnd"/>
      <w:r w:rsidR="001C7697" w:rsidRPr="00A52A6B">
        <w:rPr>
          <w:rFonts w:ascii="Palatino Linotype" w:hAnsi="Palatino Linotype"/>
          <w:i/>
          <w:lang w:val="es-MX"/>
        </w:rPr>
        <w:t xml:space="preserve">́ como los calendarios de su </w:t>
      </w:r>
      <w:proofErr w:type="spellStart"/>
      <w:r w:rsidR="001C7697" w:rsidRPr="00A52A6B">
        <w:rPr>
          <w:rFonts w:ascii="Palatino Linotype" w:hAnsi="Palatino Linotype"/>
          <w:i/>
          <w:lang w:val="es-MX"/>
        </w:rPr>
        <w:t>programación</w:t>
      </w:r>
      <w:proofErr w:type="spellEnd"/>
      <w:r w:rsidR="001C7697" w:rsidRPr="00A52A6B">
        <w:rPr>
          <w:rFonts w:ascii="Palatino Linotype" w:hAnsi="Palatino Linotype"/>
          <w:i/>
          <w:lang w:val="es-MX"/>
        </w:rPr>
        <w:t xml:space="preserve"> presupuestal; h) requisitos y procedimientos de acceso; i) procedimiento de queja o inconformidad ciudadana; j) mecanismos de exigibilidad; k) mecanismos e informes de </w:t>
      </w:r>
      <w:proofErr w:type="spellStart"/>
      <w:r w:rsidR="001C7697" w:rsidRPr="00A52A6B">
        <w:rPr>
          <w:rFonts w:ascii="Palatino Linotype" w:hAnsi="Palatino Linotype"/>
          <w:i/>
          <w:lang w:val="es-MX"/>
        </w:rPr>
        <w:t>evaluación</w:t>
      </w:r>
      <w:proofErr w:type="spellEnd"/>
      <w:r w:rsidR="001C7697" w:rsidRPr="00A52A6B">
        <w:rPr>
          <w:rFonts w:ascii="Palatino Linotype" w:hAnsi="Palatino Linotype"/>
          <w:i/>
          <w:lang w:val="es-MX"/>
        </w:rPr>
        <w:t xml:space="preserve"> y seguimiento de recomendaciones; l) indicadores con nombre, </w:t>
      </w:r>
      <w:proofErr w:type="spellStart"/>
      <w:r w:rsidR="001C7697" w:rsidRPr="00A52A6B">
        <w:rPr>
          <w:rFonts w:ascii="Palatino Linotype" w:hAnsi="Palatino Linotype"/>
          <w:i/>
          <w:lang w:val="es-MX"/>
        </w:rPr>
        <w:t>definición</w:t>
      </w:r>
      <w:proofErr w:type="spellEnd"/>
      <w:r w:rsidR="001C7697" w:rsidRPr="00A52A6B">
        <w:rPr>
          <w:rFonts w:ascii="Palatino Linotype" w:hAnsi="Palatino Linotype"/>
          <w:i/>
          <w:lang w:val="es-MX"/>
        </w:rPr>
        <w:t xml:space="preserve">, método de </w:t>
      </w:r>
      <w:proofErr w:type="spellStart"/>
      <w:r w:rsidR="001C7697" w:rsidRPr="00A52A6B">
        <w:rPr>
          <w:rFonts w:ascii="Palatino Linotype" w:hAnsi="Palatino Linotype"/>
          <w:i/>
          <w:lang w:val="es-MX"/>
        </w:rPr>
        <w:t>cálculo</w:t>
      </w:r>
      <w:proofErr w:type="spellEnd"/>
      <w:r w:rsidR="001C7697" w:rsidRPr="00A52A6B">
        <w:rPr>
          <w:rFonts w:ascii="Palatino Linotype" w:hAnsi="Palatino Linotype"/>
          <w:i/>
          <w:lang w:val="es-MX"/>
        </w:rPr>
        <w:t xml:space="preserve">, unidad de medida; </w:t>
      </w:r>
      <w:proofErr w:type="spellStart"/>
      <w:r w:rsidR="001C7697" w:rsidRPr="00A52A6B">
        <w:rPr>
          <w:rFonts w:ascii="Palatino Linotype" w:hAnsi="Palatino Linotype"/>
          <w:i/>
          <w:lang w:val="es-MX"/>
        </w:rPr>
        <w:t>dimensión</w:t>
      </w:r>
      <w:proofErr w:type="spellEnd"/>
      <w:r w:rsidR="001C7697" w:rsidRPr="00A52A6B">
        <w:rPr>
          <w:rFonts w:ascii="Palatino Linotype" w:hAnsi="Palatino Linotype"/>
          <w:i/>
          <w:lang w:val="es-MX"/>
        </w:rPr>
        <w:t xml:space="preserve">, frecuencia de </w:t>
      </w:r>
      <w:proofErr w:type="spellStart"/>
      <w:r w:rsidR="001C7697" w:rsidRPr="00A52A6B">
        <w:rPr>
          <w:rFonts w:ascii="Palatino Linotype" w:hAnsi="Palatino Linotype"/>
          <w:i/>
          <w:lang w:val="es-MX"/>
        </w:rPr>
        <w:t>medición</w:t>
      </w:r>
      <w:proofErr w:type="spellEnd"/>
      <w:r w:rsidR="001C7697" w:rsidRPr="00A52A6B">
        <w:rPr>
          <w:rFonts w:ascii="Palatino Linotype" w:hAnsi="Palatino Linotype"/>
          <w:i/>
          <w:lang w:val="es-MX"/>
        </w:rPr>
        <w:t xml:space="preserve">, nombre de las bases de datos utilizadas para su </w:t>
      </w:r>
      <w:proofErr w:type="spellStart"/>
      <w:r w:rsidR="001C7697" w:rsidRPr="00A52A6B">
        <w:rPr>
          <w:rFonts w:ascii="Palatino Linotype" w:hAnsi="Palatino Linotype"/>
          <w:i/>
          <w:lang w:val="es-MX"/>
        </w:rPr>
        <w:t>cálculo</w:t>
      </w:r>
      <w:proofErr w:type="spellEnd"/>
      <w:r w:rsidR="001C7697" w:rsidRPr="00A52A6B">
        <w:rPr>
          <w:rFonts w:ascii="Palatino Linotype" w:hAnsi="Palatino Linotype"/>
          <w:i/>
          <w:lang w:val="es-MX"/>
        </w:rPr>
        <w:t xml:space="preserve">; m)formas de </w:t>
      </w:r>
      <w:proofErr w:type="spellStart"/>
      <w:r w:rsidR="001C7697" w:rsidRPr="00A52A6B">
        <w:rPr>
          <w:rFonts w:ascii="Palatino Linotype" w:hAnsi="Palatino Linotype"/>
          <w:i/>
          <w:lang w:val="es-MX"/>
        </w:rPr>
        <w:t>participación</w:t>
      </w:r>
      <w:proofErr w:type="spellEnd"/>
      <w:r w:rsidR="001C7697" w:rsidRPr="00A52A6B">
        <w:rPr>
          <w:rFonts w:ascii="Palatino Linotype" w:hAnsi="Palatino Linotype"/>
          <w:i/>
          <w:lang w:val="es-MX"/>
        </w:rPr>
        <w:t xml:space="preserve"> social; n) </w:t>
      </w:r>
      <w:proofErr w:type="spellStart"/>
      <w:r w:rsidR="001C7697" w:rsidRPr="00A52A6B">
        <w:rPr>
          <w:rFonts w:ascii="Palatino Linotype" w:hAnsi="Palatino Linotype"/>
          <w:i/>
          <w:lang w:val="es-MX"/>
        </w:rPr>
        <w:t>articulación</w:t>
      </w:r>
      <w:proofErr w:type="spellEnd"/>
      <w:r w:rsidR="001C7697" w:rsidRPr="00A52A6B">
        <w:rPr>
          <w:rFonts w:ascii="Palatino Linotype" w:hAnsi="Palatino Linotype"/>
          <w:i/>
          <w:lang w:val="es-MX"/>
        </w:rPr>
        <w:t xml:space="preserve"> con otros programas sociales; ñ) </w:t>
      </w:r>
      <w:proofErr w:type="spellStart"/>
      <w:r w:rsidR="001C7697" w:rsidRPr="00A52A6B">
        <w:rPr>
          <w:rFonts w:ascii="Palatino Linotype" w:hAnsi="Palatino Linotype"/>
          <w:i/>
          <w:lang w:val="es-MX"/>
        </w:rPr>
        <w:t>vínculo</w:t>
      </w:r>
      <w:proofErr w:type="spellEnd"/>
      <w:r w:rsidR="001C7697" w:rsidRPr="00A52A6B">
        <w:rPr>
          <w:rFonts w:ascii="Palatino Linotype" w:hAnsi="Palatino Linotype"/>
          <w:i/>
          <w:lang w:val="es-MX"/>
        </w:rPr>
        <w:t xml:space="preserve"> a las reglas de </w:t>
      </w:r>
      <w:proofErr w:type="spellStart"/>
      <w:r w:rsidR="001C7697" w:rsidRPr="00A52A6B">
        <w:rPr>
          <w:rFonts w:ascii="Palatino Linotype" w:hAnsi="Palatino Linotype"/>
          <w:i/>
          <w:lang w:val="es-MX"/>
        </w:rPr>
        <w:t>operación</w:t>
      </w:r>
      <w:proofErr w:type="spellEnd"/>
      <w:r w:rsidR="001C7697" w:rsidRPr="00A52A6B">
        <w:rPr>
          <w:rFonts w:ascii="Palatino Linotype" w:hAnsi="Palatino Linotype"/>
          <w:i/>
          <w:lang w:val="es-MX"/>
        </w:rPr>
        <w:t xml:space="preserve"> o documento equivalente; o) informes </w:t>
      </w:r>
      <w:proofErr w:type="spellStart"/>
      <w:r w:rsidR="001C7697" w:rsidRPr="00A52A6B">
        <w:rPr>
          <w:rFonts w:ascii="Palatino Linotype" w:hAnsi="Palatino Linotype"/>
          <w:i/>
          <w:lang w:val="es-MX"/>
        </w:rPr>
        <w:t>periódicos</w:t>
      </w:r>
      <w:proofErr w:type="spellEnd"/>
      <w:r w:rsidR="001C7697" w:rsidRPr="00A52A6B">
        <w:rPr>
          <w:rFonts w:ascii="Palatino Linotype" w:hAnsi="Palatino Linotype"/>
          <w:i/>
          <w:lang w:val="es-MX"/>
        </w:rPr>
        <w:t xml:space="preserve"> sobre la </w:t>
      </w:r>
      <w:proofErr w:type="spellStart"/>
      <w:r w:rsidR="001C7697" w:rsidRPr="00A52A6B">
        <w:rPr>
          <w:rFonts w:ascii="Palatino Linotype" w:hAnsi="Palatino Linotype"/>
          <w:i/>
          <w:lang w:val="es-MX"/>
        </w:rPr>
        <w:t>ejecución</w:t>
      </w:r>
      <w:proofErr w:type="spellEnd"/>
      <w:r w:rsidR="001C7697" w:rsidRPr="00A52A6B">
        <w:rPr>
          <w:rFonts w:ascii="Palatino Linotype" w:hAnsi="Palatino Linotype"/>
          <w:i/>
          <w:lang w:val="es-MX"/>
        </w:rPr>
        <w:t xml:space="preserve"> y los resultados de las evaluaciones realizadas; y p) </w:t>
      </w:r>
      <w:proofErr w:type="spellStart"/>
      <w:r w:rsidR="001C7697" w:rsidRPr="00A52A6B">
        <w:rPr>
          <w:rFonts w:ascii="Palatino Linotype" w:hAnsi="Palatino Linotype"/>
          <w:i/>
          <w:lang w:val="es-MX"/>
        </w:rPr>
        <w:t>padrón</w:t>
      </w:r>
      <w:proofErr w:type="spellEnd"/>
      <w:r w:rsidR="001C7697" w:rsidRPr="00A52A6B">
        <w:rPr>
          <w:rFonts w:ascii="Palatino Linotype" w:hAnsi="Palatino Linotype"/>
          <w:i/>
          <w:lang w:val="es-MX"/>
        </w:rPr>
        <w:t xml:space="preserve"> de beneficiarios mismo que </w:t>
      </w:r>
      <w:proofErr w:type="spellStart"/>
      <w:r w:rsidR="001C7697" w:rsidRPr="00A52A6B">
        <w:rPr>
          <w:rFonts w:ascii="Palatino Linotype" w:hAnsi="Palatino Linotype"/>
          <w:i/>
          <w:lang w:val="es-MX"/>
        </w:rPr>
        <w:t>debera</w:t>
      </w:r>
      <w:proofErr w:type="spellEnd"/>
      <w:r w:rsidR="001C7697" w:rsidRPr="00A52A6B">
        <w:rPr>
          <w:rFonts w:ascii="Palatino Linotype" w:hAnsi="Palatino Linotype"/>
          <w:i/>
          <w:lang w:val="es-MX"/>
        </w:rPr>
        <w:t xml:space="preserve">́ contener los siguientes datos: nombre de la persona </w:t>
      </w:r>
      <w:proofErr w:type="spellStart"/>
      <w:r w:rsidR="001C7697" w:rsidRPr="00A52A6B">
        <w:rPr>
          <w:rFonts w:ascii="Palatino Linotype" w:hAnsi="Palatino Linotype"/>
          <w:i/>
          <w:lang w:val="es-MX"/>
        </w:rPr>
        <w:t>física</w:t>
      </w:r>
      <w:proofErr w:type="spellEnd"/>
      <w:r w:rsidR="001C7697" w:rsidRPr="00A52A6B">
        <w:rPr>
          <w:rFonts w:ascii="Palatino Linotype" w:hAnsi="Palatino Linotype"/>
          <w:i/>
          <w:lang w:val="es-MX"/>
        </w:rPr>
        <w:t xml:space="preserve"> o </w:t>
      </w:r>
      <w:proofErr w:type="spellStart"/>
      <w:r w:rsidR="001C7697" w:rsidRPr="00A52A6B">
        <w:rPr>
          <w:rFonts w:ascii="Palatino Linotype" w:hAnsi="Palatino Linotype"/>
          <w:i/>
          <w:lang w:val="es-MX"/>
        </w:rPr>
        <w:t>denominación</w:t>
      </w:r>
      <w:proofErr w:type="spellEnd"/>
      <w:r w:rsidR="001C7697" w:rsidRPr="00A52A6B">
        <w:rPr>
          <w:rFonts w:ascii="Palatino Linotype" w:hAnsi="Palatino Linotype"/>
          <w:i/>
          <w:lang w:val="es-MX"/>
        </w:rPr>
        <w:t xml:space="preserve"> social de las personas </w:t>
      </w:r>
      <w:proofErr w:type="spellStart"/>
      <w:r w:rsidR="001C7697" w:rsidRPr="00A52A6B">
        <w:rPr>
          <w:rFonts w:ascii="Palatino Linotype" w:hAnsi="Palatino Linotype"/>
          <w:i/>
          <w:lang w:val="es-MX"/>
        </w:rPr>
        <w:t>jurídicas</w:t>
      </w:r>
      <w:proofErr w:type="spellEnd"/>
      <w:r w:rsidR="001C7697" w:rsidRPr="00A52A6B">
        <w:rPr>
          <w:rFonts w:ascii="Palatino Linotype" w:hAnsi="Palatino Linotype"/>
          <w:i/>
          <w:lang w:val="es-MX"/>
        </w:rPr>
        <w:t xml:space="preserve"> colectivas beneficiadas, el monto, recurso, beneficio o apoyo otorgado para cada una de ellas, unidad territorial, en su caso, edad y sexo, constituye información pública de oficio conforme al artículo 92, fracción XIV de la Ley de Transparencia y Acceso a la Información Pública del Estado de México y Municipios; 2. La </w:t>
      </w:r>
      <w:proofErr w:type="spellStart"/>
      <w:r w:rsidR="001C7697" w:rsidRPr="00A52A6B">
        <w:rPr>
          <w:rFonts w:ascii="Palatino Linotype" w:hAnsi="Palatino Linotype"/>
          <w:i/>
          <w:lang w:val="es-MX"/>
        </w:rPr>
        <w:t>información</w:t>
      </w:r>
      <w:proofErr w:type="spellEnd"/>
      <w:r w:rsidR="001C7697" w:rsidRPr="00A52A6B">
        <w:rPr>
          <w:rFonts w:ascii="Palatino Linotype" w:hAnsi="Palatino Linotype"/>
          <w:i/>
          <w:lang w:val="es-MX"/>
        </w:rPr>
        <w:t xml:space="preserve"> de los programas de subsidios, </w:t>
      </w:r>
      <w:proofErr w:type="spellStart"/>
      <w:r w:rsidR="001C7697" w:rsidRPr="00A52A6B">
        <w:rPr>
          <w:rFonts w:ascii="Palatino Linotype" w:hAnsi="Palatino Linotype"/>
          <w:i/>
          <w:lang w:val="es-MX"/>
        </w:rPr>
        <w:t>estímulos</w:t>
      </w:r>
      <w:proofErr w:type="spellEnd"/>
      <w:r w:rsidR="001C7697" w:rsidRPr="00A52A6B">
        <w:rPr>
          <w:rFonts w:ascii="Palatino Linotype" w:hAnsi="Palatino Linotype"/>
          <w:i/>
          <w:lang w:val="es-MX"/>
        </w:rPr>
        <w:t xml:space="preserve"> y apoyos otorgados por el ayuntamiento a través de cualquiera de sus </w:t>
      </w:r>
      <w:proofErr w:type="spellStart"/>
      <w:r w:rsidR="001C7697" w:rsidRPr="00A52A6B">
        <w:rPr>
          <w:rFonts w:ascii="Palatino Linotype" w:hAnsi="Palatino Linotype"/>
          <w:i/>
          <w:lang w:val="es-MX"/>
        </w:rPr>
        <w:t>áreas</w:t>
      </w:r>
      <w:proofErr w:type="spellEnd"/>
      <w:r w:rsidR="001C7697" w:rsidRPr="00A52A6B">
        <w:rPr>
          <w:rFonts w:ascii="Palatino Linotype" w:hAnsi="Palatino Linotype"/>
          <w:i/>
          <w:lang w:val="es-MX"/>
        </w:rPr>
        <w:t xml:space="preserve"> y/o el sistema municipal DIF, vinculados con los acuerdos de cabildo aprobados para transferir al DIF recursos municipales para otorgar apoyos diversos con motivo de la pandemia por </w:t>
      </w:r>
      <w:proofErr w:type="spellStart"/>
      <w:r w:rsidR="001C7697" w:rsidRPr="00A52A6B">
        <w:rPr>
          <w:rFonts w:ascii="Palatino Linotype" w:hAnsi="Palatino Linotype"/>
          <w:i/>
          <w:lang w:val="es-MX"/>
        </w:rPr>
        <w:t>Covid</w:t>
      </w:r>
      <w:proofErr w:type="spellEnd"/>
      <w:r w:rsidR="001C7697" w:rsidRPr="00A52A6B">
        <w:rPr>
          <w:rFonts w:ascii="Palatino Linotype" w:hAnsi="Palatino Linotype"/>
          <w:i/>
          <w:lang w:val="es-MX"/>
        </w:rPr>
        <w:t xml:space="preserve"> 19, en el que se </w:t>
      </w:r>
      <w:proofErr w:type="spellStart"/>
      <w:r w:rsidR="001C7697" w:rsidRPr="00A52A6B">
        <w:rPr>
          <w:rFonts w:ascii="Palatino Linotype" w:hAnsi="Palatino Linotype"/>
          <w:i/>
          <w:lang w:val="es-MX"/>
        </w:rPr>
        <w:t>debera</w:t>
      </w:r>
      <w:proofErr w:type="spellEnd"/>
      <w:r w:rsidR="001C7697" w:rsidRPr="00A52A6B">
        <w:rPr>
          <w:rFonts w:ascii="Palatino Linotype" w:hAnsi="Palatino Linotype"/>
          <w:i/>
          <w:lang w:val="es-MX"/>
        </w:rPr>
        <w:t xml:space="preserve">́ informar </w:t>
      </w:r>
      <w:r w:rsidR="001C7697" w:rsidRPr="00A52A6B">
        <w:rPr>
          <w:rFonts w:ascii="Palatino Linotype" w:hAnsi="Palatino Linotype"/>
          <w:i/>
          <w:lang w:val="es-MX"/>
        </w:rPr>
        <w:lastRenderedPageBreak/>
        <w:t xml:space="preserve">respecto de los programas de transferencia, de servicios, de infraestructura social y de subsidio, en los que se </w:t>
      </w:r>
      <w:proofErr w:type="spellStart"/>
      <w:r w:rsidR="001C7697" w:rsidRPr="00A52A6B">
        <w:rPr>
          <w:rFonts w:ascii="Palatino Linotype" w:hAnsi="Palatino Linotype"/>
          <w:i/>
          <w:lang w:val="es-MX"/>
        </w:rPr>
        <w:t>debera</w:t>
      </w:r>
      <w:proofErr w:type="spellEnd"/>
      <w:r w:rsidR="001C7697" w:rsidRPr="00A52A6B">
        <w:rPr>
          <w:rFonts w:ascii="Palatino Linotype" w:hAnsi="Palatino Linotype"/>
          <w:i/>
          <w:lang w:val="es-MX"/>
        </w:rPr>
        <w:t xml:space="preserve">́ contener el a) </w:t>
      </w:r>
      <w:proofErr w:type="spellStart"/>
      <w:r w:rsidR="001C7697" w:rsidRPr="00A52A6B">
        <w:rPr>
          <w:rFonts w:ascii="Palatino Linotype" w:hAnsi="Palatino Linotype"/>
          <w:i/>
          <w:lang w:val="es-MX"/>
        </w:rPr>
        <w:t>área</w:t>
      </w:r>
      <w:proofErr w:type="spellEnd"/>
      <w:r w:rsidR="001C7697" w:rsidRPr="00A52A6B">
        <w:rPr>
          <w:rFonts w:ascii="Palatino Linotype" w:hAnsi="Palatino Linotype"/>
          <w:i/>
          <w:lang w:val="es-MX"/>
        </w:rPr>
        <w:t xml:space="preserve">; b) </w:t>
      </w:r>
      <w:proofErr w:type="spellStart"/>
      <w:r w:rsidR="001C7697" w:rsidRPr="00A52A6B">
        <w:rPr>
          <w:rFonts w:ascii="Palatino Linotype" w:hAnsi="Palatino Linotype"/>
          <w:i/>
          <w:lang w:val="es-MX"/>
        </w:rPr>
        <w:t>denominación</w:t>
      </w:r>
      <w:proofErr w:type="spellEnd"/>
      <w:r w:rsidR="001C7697" w:rsidRPr="00A52A6B">
        <w:rPr>
          <w:rFonts w:ascii="Palatino Linotype" w:hAnsi="Palatino Linotype"/>
          <w:i/>
          <w:lang w:val="es-MX"/>
        </w:rPr>
        <w:t xml:space="preserve"> del programa; c) periodo de vigencia; d) </w:t>
      </w:r>
      <w:proofErr w:type="spellStart"/>
      <w:r w:rsidR="001C7697" w:rsidRPr="00A52A6B">
        <w:rPr>
          <w:rFonts w:ascii="Palatino Linotype" w:hAnsi="Palatino Linotype"/>
          <w:i/>
          <w:lang w:val="es-MX"/>
        </w:rPr>
        <w:t>diseño</w:t>
      </w:r>
      <w:proofErr w:type="spellEnd"/>
      <w:r w:rsidR="001C7697" w:rsidRPr="00A52A6B">
        <w:rPr>
          <w:rFonts w:ascii="Palatino Linotype" w:hAnsi="Palatino Linotype"/>
          <w:i/>
          <w:lang w:val="es-MX"/>
        </w:rPr>
        <w:t xml:space="preserve">, objetivos y alcances; e) metas </w:t>
      </w:r>
      <w:proofErr w:type="spellStart"/>
      <w:r w:rsidR="001C7697" w:rsidRPr="00A52A6B">
        <w:rPr>
          <w:rFonts w:ascii="Palatino Linotype" w:hAnsi="Palatino Linotype"/>
          <w:i/>
          <w:lang w:val="es-MX"/>
        </w:rPr>
        <w:t>físicas</w:t>
      </w:r>
      <w:proofErr w:type="spellEnd"/>
      <w:r w:rsidR="001C7697" w:rsidRPr="00A52A6B">
        <w:rPr>
          <w:rFonts w:ascii="Palatino Linotype" w:hAnsi="Palatino Linotype"/>
          <w:i/>
          <w:lang w:val="es-MX"/>
        </w:rPr>
        <w:t xml:space="preserve">; f) </w:t>
      </w:r>
      <w:proofErr w:type="spellStart"/>
      <w:r w:rsidR="001C7697" w:rsidRPr="00A52A6B">
        <w:rPr>
          <w:rFonts w:ascii="Palatino Linotype" w:hAnsi="Palatino Linotype"/>
          <w:i/>
          <w:lang w:val="es-MX"/>
        </w:rPr>
        <w:t>población</w:t>
      </w:r>
      <w:proofErr w:type="spellEnd"/>
      <w:r w:rsidR="001C7697" w:rsidRPr="00A52A6B">
        <w:rPr>
          <w:rFonts w:ascii="Palatino Linotype" w:hAnsi="Palatino Linotype"/>
          <w:i/>
          <w:lang w:val="es-MX"/>
        </w:rPr>
        <w:t xml:space="preserve"> beneficiada estimada; g) monto aprobado, modificado y ejercido, </w:t>
      </w:r>
      <w:proofErr w:type="spellStart"/>
      <w:r w:rsidR="001C7697" w:rsidRPr="00A52A6B">
        <w:rPr>
          <w:rFonts w:ascii="Palatino Linotype" w:hAnsi="Palatino Linotype"/>
          <w:i/>
          <w:lang w:val="es-MX"/>
        </w:rPr>
        <w:t>asi</w:t>
      </w:r>
      <w:proofErr w:type="spellEnd"/>
      <w:r w:rsidR="001C7697" w:rsidRPr="00A52A6B">
        <w:rPr>
          <w:rFonts w:ascii="Palatino Linotype" w:hAnsi="Palatino Linotype"/>
          <w:i/>
          <w:lang w:val="es-MX"/>
        </w:rPr>
        <w:t xml:space="preserve">́ como los calendarios de su </w:t>
      </w:r>
      <w:proofErr w:type="spellStart"/>
      <w:r w:rsidR="001C7697" w:rsidRPr="00A52A6B">
        <w:rPr>
          <w:rFonts w:ascii="Palatino Linotype" w:hAnsi="Palatino Linotype"/>
          <w:i/>
          <w:lang w:val="es-MX"/>
        </w:rPr>
        <w:t>programación</w:t>
      </w:r>
      <w:proofErr w:type="spellEnd"/>
      <w:r w:rsidR="001C7697" w:rsidRPr="00A52A6B">
        <w:rPr>
          <w:rFonts w:ascii="Palatino Linotype" w:hAnsi="Palatino Linotype"/>
          <w:i/>
          <w:lang w:val="es-MX"/>
        </w:rPr>
        <w:t xml:space="preserve"> presupuestal; h) requisitos y procedimientos de acceso; i) procedimiento de queja o inconformidad ciudadana; j) mecanismos de exigibilidad; k) mecanismos e informes de </w:t>
      </w:r>
      <w:proofErr w:type="spellStart"/>
      <w:r w:rsidR="001C7697" w:rsidRPr="00A52A6B">
        <w:rPr>
          <w:rFonts w:ascii="Palatino Linotype" w:hAnsi="Palatino Linotype"/>
          <w:i/>
          <w:lang w:val="es-MX"/>
        </w:rPr>
        <w:t>evaluación</w:t>
      </w:r>
      <w:proofErr w:type="spellEnd"/>
      <w:r w:rsidR="001C7697" w:rsidRPr="00A52A6B">
        <w:rPr>
          <w:rFonts w:ascii="Palatino Linotype" w:hAnsi="Palatino Linotype"/>
          <w:i/>
          <w:lang w:val="es-MX"/>
        </w:rPr>
        <w:t xml:space="preserve"> y seguimiento de recomendaciones; l) indicadores con nombre, </w:t>
      </w:r>
      <w:proofErr w:type="spellStart"/>
      <w:r w:rsidR="001C7697" w:rsidRPr="00A52A6B">
        <w:rPr>
          <w:rFonts w:ascii="Palatino Linotype" w:hAnsi="Palatino Linotype"/>
          <w:i/>
          <w:lang w:val="es-MX"/>
        </w:rPr>
        <w:t>definición</w:t>
      </w:r>
      <w:proofErr w:type="spellEnd"/>
      <w:r w:rsidR="001C7697" w:rsidRPr="00A52A6B">
        <w:rPr>
          <w:rFonts w:ascii="Palatino Linotype" w:hAnsi="Palatino Linotype"/>
          <w:i/>
          <w:lang w:val="es-MX"/>
        </w:rPr>
        <w:t xml:space="preserve">, método de </w:t>
      </w:r>
      <w:proofErr w:type="spellStart"/>
      <w:r w:rsidR="001C7697" w:rsidRPr="00A52A6B">
        <w:rPr>
          <w:rFonts w:ascii="Palatino Linotype" w:hAnsi="Palatino Linotype"/>
          <w:i/>
          <w:lang w:val="es-MX"/>
        </w:rPr>
        <w:t>cálculo</w:t>
      </w:r>
      <w:proofErr w:type="spellEnd"/>
      <w:r w:rsidR="001C7697" w:rsidRPr="00A52A6B">
        <w:rPr>
          <w:rFonts w:ascii="Palatino Linotype" w:hAnsi="Palatino Linotype"/>
          <w:i/>
          <w:lang w:val="es-MX"/>
        </w:rPr>
        <w:t xml:space="preserve">, unidad de medida; </w:t>
      </w:r>
      <w:proofErr w:type="spellStart"/>
      <w:r w:rsidR="001C7697" w:rsidRPr="00A52A6B">
        <w:rPr>
          <w:rFonts w:ascii="Palatino Linotype" w:hAnsi="Palatino Linotype"/>
          <w:i/>
          <w:lang w:val="es-MX"/>
        </w:rPr>
        <w:t>dimensión</w:t>
      </w:r>
      <w:proofErr w:type="spellEnd"/>
      <w:r w:rsidR="001C7697" w:rsidRPr="00A52A6B">
        <w:rPr>
          <w:rFonts w:ascii="Palatino Linotype" w:hAnsi="Palatino Linotype"/>
          <w:i/>
          <w:lang w:val="es-MX"/>
        </w:rPr>
        <w:t xml:space="preserve">, frecuencia de </w:t>
      </w:r>
      <w:proofErr w:type="spellStart"/>
      <w:r w:rsidR="001C7697" w:rsidRPr="00A52A6B">
        <w:rPr>
          <w:rFonts w:ascii="Palatino Linotype" w:hAnsi="Palatino Linotype"/>
          <w:i/>
          <w:lang w:val="es-MX"/>
        </w:rPr>
        <w:t>medición</w:t>
      </w:r>
      <w:proofErr w:type="spellEnd"/>
      <w:r w:rsidR="001C7697" w:rsidRPr="00A52A6B">
        <w:rPr>
          <w:rFonts w:ascii="Palatino Linotype" w:hAnsi="Palatino Linotype"/>
          <w:i/>
          <w:lang w:val="es-MX"/>
        </w:rPr>
        <w:t xml:space="preserve">, nombre de las bases de datos utilizadas para su </w:t>
      </w:r>
      <w:proofErr w:type="spellStart"/>
      <w:r w:rsidR="001C7697" w:rsidRPr="00A52A6B">
        <w:rPr>
          <w:rFonts w:ascii="Palatino Linotype" w:hAnsi="Palatino Linotype"/>
          <w:i/>
          <w:lang w:val="es-MX"/>
        </w:rPr>
        <w:t>cálculo</w:t>
      </w:r>
      <w:proofErr w:type="spellEnd"/>
      <w:r w:rsidR="001C7697" w:rsidRPr="00A52A6B">
        <w:rPr>
          <w:rFonts w:ascii="Palatino Linotype" w:hAnsi="Palatino Linotype"/>
          <w:i/>
          <w:lang w:val="es-MX"/>
        </w:rPr>
        <w:t xml:space="preserve">; m) formas de </w:t>
      </w:r>
      <w:proofErr w:type="spellStart"/>
      <w:r w:rsidR="001C7697" w:rsidRPr="00A52A6B">
        <w:rPr>
          <w:rFonts w:ascii="Palatino Linotype" w:hAnsi="Palatino Linotype"/>
          <w:i/>
          <w:lang w:val="es-MX"/>
        </w:rPr>
        <w:t>participación</w:t>
      </w:r>
      <w:proofErr w:type="spellEnd"/>
      <w:r w:rsidR="001C7697" w:rsidRPr="00A52A6B">
        <w:rPr>
          <w:rFonts w:ascii="Palatino Linotype" w:hAnsi="Palatino Linotype"/>
          <w:i/>
          <w:lang w:val="es-MX"/>
        </w:rPr>
        <w:t xml:space="preserve"> social; n) </w:t>
      </w:r>
      <w:proofErr w:type="spellStart"/>
      <w:r w:rsidR="001C7697" w:rsidRPr="00A52A6B">
        <w:rPr>
          <w:rFonts w:ascii="Palatino Linotype" w:hAnsi="Palatino Linotype"/>
          <w:i/>
          <w:lang w:val="es-MX"/>
        </w:rPr>
        <w:t>articulación</w:t>
      </w:r>
      <w:proofErr w:type="spellEnd"/>
      <w:r w:rsidR="001C7697" w:rsidRPr="00A52A6B">
        <w:rPr>
          <w:rFonts w:ascii="Palatino Linotype" w:hAnsi="Palatino Linotype"/>
          <w:i/>
          <w:lang w:val="es-MX"/>
        </w:rPr>
        <w:t xml:space="preserve"> con otros programas sociales; ñ) </w:t>
      </w:r>
      <w:proofErr w:type="spellStart"/>
      <w:r w:rsidR="001C7697" w:rsidRPr="00A52A6B">
        <w:rPr>
          <w:rFonts w:ascii="Palatino Linotype" w:hAnsi="Palatino Linotype"/>
          <w:i/>
          <w:lang w:val="es-MX"/>
        </w:rPr>
        <w:t>vínculo</w:t>
      </w:r>
      <w:proofErr w:type="spellEnd"/>
      <w:r w:rsidR="001C7697" w:rsidRPr="00A52A6B">
        <w:rPr>
          <w:rFonts w:ascii="Palatino Linotype" w:hAnsi="Palatino Linotype"/>
          <w:i/>
          <w:lang w:val="es-MX"/>
        </w:rPr>
        <w:t xml:space="preserve"> a las reglas de </w:t>
      </w:r>
      <w:proofErr w:type="spellStart"/>
      <w:r w:rsidR="001C7697" w:rsidRPr="00A52A6B">
        <w:rPr>
          <w:rFonts w:ascii="Palatino Linotype" w:hAnsi="Palatino Linotype"/>
          <w:i/>
          <w:lang w:val="es-MX"/>
        </w:rPr>
        <w:t>operación</w:t>
      </w:r>
      <w:proofErr w:type="spellEnd"/>
      <w:r w:rsidR="001C7697" w:rsidRPr="00A52A6B">
        <w:rPr>
          <w:rFonts w:ascii="Palatino Linotype" w:hAnsi="Palatino Linotype"/>
          <w:i/>
          <w:lang w:val="es-MX"/>
        </w:rPr>
        <w:t xml:space="preserve"> o documento equivalente; o) informes </w:t>
      </w:r>
      <w:proofErr w:type="spellStart"/>
      <w:r w:rsidR="001C7697" w:rsidRPr="00A52A6B">
        <w:rPr>
          <w:rFonts w:ascii="Palatino Linotype" w:hAnsi="Palatino Linotype"/>
          <w:i/>
          <w:lang w:val="es-MX"/>
        </w:rPr>
        <w:t>periódicos</w:t>
      </w:r>
      <w:proofErr w:type="spellEnd"/>
      <w:r w:rsidR="001C7697" w:rsidRPr="00A52A6B">
        <w:rPr>
          <w:rFonts w:ascii="Palatino Linotype" w:hAnsi="Palatino Linotype"/>
          <w:i/>
          <w:lang w:val="es-MX"/>
        </w:rPr>
        <w:t xml:space="preserve"> sobre la </w:t>
      </w:r>
      <w:proofErr w:type="spellStart"/>
      <w:r w:rsidR="001C7697" w:rsidRPr="00A52A6B">
        <w:rPr>
          <w:rFonts w:ascii="Palatino Linotype" w:hAnsi="Palatino Linotype"/>
          <w:i/>
          <w:lang w:val="es-MX"/>
        </w:rPr>
        <w:t>ejecución</w:t>
      </w:r>
      <w:proofErr w:type="spellEnd"/>
      <w:r w:rsidR="001C7697" w:rsidRPr="00A52A6B">
        <w:rPr>
          <w:rFonts w:ascii="Palatino Linotype" w:hAnsi="Palatino Linotype"/>
          <w:i/>
          <w:lang w:val="es-MX"/>
        </w:rPr>
        <w:t xml:space="preserve"> y los resultados de las evaluaciones realizadas; y p) </w:t>
      </w:r>
      <w:proofErr w:type="spellStart"/>
      <w:r w:rsidR="001C7697" w:rsidRPr="00A52A6B">
        <w:rPr>
          <w:rFonts w:ascii="Palatino Linotype" w:hAnsi="Palatino Linotype"/>
          <w:i/>
          <w:lang w:val="es-MX"/>
        </w:rPr>
        <w:t>padrón</w:t>
      </w:r>
      <w:proofErr w:type="spellEnd"/>
      <w:r w:rsidR="001C7697" w:rsidRPr="00A52A6B">
        <w:rPr>
          <w:rFonts w:ascii="Palatino Linotype" w:hAnsi="Palatino Linotype"/>
          <w:i/>
          <w:lang w:val="es-MX"/>
        </w:rPr>
        <w:t xml:space="preserve"> de beneficiarios mismo que </w:t>
      </w:r>
      <w:proofErr w:type="spellStart"/>
      <w:r w:rsidR="001C7697" w:rsidRPr="00A52A6B">
        <w:rPr>
          <w:rFonts w:ascii="Palatino Linotype" w:hAnsi="Palatino Linotype"/>
          <w:i/>
          <w:lang w:val="es-MX"/>
        </w:rPr>
        <w:t>debera</w:t>
      </w:r>
      <w:proofErr w:type="spellEnd"/>
      <w:r w:rsidR="001C7697" w:rsidRPr="00A52A6B">
        <w:rPr>
          <w:rFonts w:ascii="Palatino Linotype" w:hAnsi="Palatino Linotype"/>
          <w:i/>
          <w:lang w:val="es-MX"/>
        </w:rPr>
        <w:t xml:space="preserve">́ contener los siguientes datos: nombre de la persona </w:t>
      </w:r>
      <w:proofErr w:type="spellStart"/>
      <w:r w:rsidR="001C7697" w:rsidRPr="00A52A6B">
        <w:rPr>
          <w:rFonts w:ascii="Palatino Linotype" w:hAnsi="Palatino Linotype"/>
          <w:i/>
          <w:lang w:val="es-MX"/>
        </w:rPr>
        <w:t>física</w:t>
      </w:r>
      <w:proofErr w:type="spellEnd"/>
      <w:r w:rsidR="001C7697" w:rsidRPr="00A52A6B">
        <w:rPr>
          <w:rFonts w:ascii="Palatino Linotype" w:hAnsi="Palatino Linotype"/>
          <w:i/>
          <w:lang w:val="es-MX"/>
        </w:rPr>
        <w:t xml:space="preserve"> o </w:t>
      </w:r>
      <w:proofErr w:type="spellStart"/>
      <w:r w:rsidR="001C7697" w:rsidRPr="00A52A6B">
        <w:rPr>
          <w:rFonts w:ascii="Palatino Linotype" w:hAnsi="Palatino Linotype"/>
          <w:i/>
          <w:lang w:val="es-MX"/>
        </w:rPr>
        <w:t>denominación</w:t>
      </w:r>
      <w:proofErr w:type="spellEnd"/>
      <w:r w:rsidR="001C7697" w:rsidRPr="00A52A6B">
        <w:rPr>
          <w:rFonts w:ascii="Palatino Linotype" w:hAnsi="Palatino Linotype"/>
          <w:i/>
          <w:lang w:val="es-MX"/>
        </w:rPr>
        <w:t xml:space="preserve"> social de las personas </w:t>
      </w:r>
      <w:proofErr w:type="spellStart"/>
      <w:r w:rsidR="001C7697" w:rsidRPr="00A52A6B">
        <w:rPr>
          <w:rFonts w:ascii="Palatino Linotype" w:hAnsi="Palatino Linotype"/>
          <w:i/>
          <w:lang w:val="es-MX"/>
        </w:rPr>
        <w:t>jurídicas</w:t>
      </w:r>
      <w:proofErr w:type="spellEnd"/>
      <w:r w:rsidR="001C7697" w:rsidRPr="00A52A6B">
        <w:rPr>
          <w:rFonts w:ascii="Palatino Linotype" w:hAnsi="Palatino Linotype"/>
          <w:i/>
          <w:lang w:val="es-MX"/>
        </w:rPr>
        <w:t xml:space="preserve"> colectivas beneficiadas, el monto, recurso, beneficio o apoyo otorgado para cada una de ellas, unidad territorial, en su caso, edad y sexo, que constituye información pública de oficio conforme al artículo 92, fracción XIV de la Ley de Transparencia y Acceso a la Información Pública del Estado de México y Municipios; 3. La </w:t>
      </w:r>
      <w:proofErr w:type="spellStart"/>
      <w:r w:rsidR="001C7697" w:rsidRPr="00A52A6B">
        <w:rPr>
          <w:rFonts w:ascii="Palatino Linotype" w:hAnsi="Palatino Linotype"/>
          <w:i/>
          <w:lang w:val="es-MX"/>
        </w:rPr>
        <w:t>relación</w:t>
      </w:r>
      <w:proofErr w:type="spellEnd"/>
      <w:r w:rsidR="001C7697" w:rsidRPr="00A52A6B">
        <w:rPr>
          <w:rFonts w:ascii="Palatino Linotype" w:hAnsi="Palatino Linotype"/>
          <w:i/>
          <w:lang w:val="es-MX"/>
        </w:rPr>
        <w:t xml:space="preserve"> de contratistas beneficiados con la </w:t>
      </w:r>
      <w:proofErr w:type="spellStart"/>
      <w:r w:rsidR="001C7697" w:rsidRPr="00A52A6B">
        <w:rPr>
          <w:rFonts w:ascii="Palatino Linotype" w:hAnsi="Palatino Linotype"/>
          <w:i/>
          <w:lang w:val="es-MX"/>
        </w:rPr>
        <w:t>adjudicación</w:t>
      </w:r>
      <w:proofErr w:type="spellEnd"/>
      <w:r w:rsidR="001C7697" w:rsidRPr="00A52A6B">
        <w:rPr>
          <w:rFonts w:ascii="Palatino Linotype" w:hAnsi="Palatino Linotype"/>
          <w:i/>
          <w:lang w:val="es-MX"/>
        </w:rPr>
        <w:t xml:space="preserve"> de alguna obra durante el ejercicio dos mil diecinueve, incluyendo su nombre, </w:t>
      </w:r>
      <w:proofErr w:type="spellStart"/>
      <w:r w:rsidR="001C7697" w:rsidRPr="00A52A6B">
        <w:rPr>
          <w:rFonts w:ascii="Palatino Linotype" w:hAnsi="Palatino Linotype"/>
          <w:i/>
          <w:lang w:val="es-MX"/>
        </w:rPr>
        <w:t>ubicación</w:t>
      </w:r>
      <w:proofErr w:type="spellEnd"/>
      <w:r w:rsidR="001C7697" w:rsidRPr="00A52A6B">
        <w:rPr>
          <w:rFonts w:ascii="Palatino Linotype" w:hAnsi="Palatino Linotype"/>
          <w:i/>
          <w:lang w:val="es-MX"/>
        </w:rPr>
        <w:t xml:space="preserve"> y costo, que constituye información pública de oficio conforme al artículo 92, fracción XIV de la Ley de Transparencia y Acceso a la Información Pública del Estado de México y Municipios, que constituye información pública de oficio conforme al artículo 92, fracciones XXIX, inciso b, XXXI, XXXII y XXXVI de la Ley de Transparencia y Acceso a la Información Pública del </w:t>
      </w:r>
      <w:r w:rsidR="001C7697" w:rsidRPr="00A52A6B">
        <w:rPr>
          <w:rFonts w:ascii="Palatino Linotype" w:hAnsi="Palatino Linotype"/>
          <w:i/>
          <w:lang w:val="es-MX"/>
        </w:rPr>
        <w:lastRenderedPageBreak/>
        <w:t xml:space="preserve">Estado de México y Municipios; 4. La </w:t>
      </w:r>
      <w:proofErr w:type="spellStart"/>
      <w:r w:rsidR="001C7697" w:rsidRPr="00A52A6B">
        <w:rPr>
          <w:rFonts w:ascii="Palatino Linotype" w:hAnsi="Palatino Linotype"/>
          <w:i/>
          <w:lang w:val="es-MX"/>
        </w:rPr>
        <w:t>relación</w:t>
      </w:r>
      <w:proofErr w:type="spellEnd"/>
      <w:r w:rsidR="001C7697" w:rsidRPr="00A52A6B">
        <w:rPr>
          <w:rFonts w:ascii="Palatino Linotype" w:hAnsi="Palatino Linotype"/>
          <w:i/>
          <w:lang w:val="es-MX"/>
        </w:rPr>
        <w:t xml:space="preserve"> de todos los proveedores beneficiados, con la </w:t>
      </w:r>
      <w:proofErr w:type="spellStart"/>
      <w:r w:rsidR="001C7697" w:rsidRPr="00A52A6B">
        <w:rPr>
          <w:rFonts w:ascii="Palatino Linotype" w:hAnsi="Palatino Linotype"/>
          <w:i/>
          <w:lang w:val="es-MX"/>
        </w:rPr>
        <w:t>adjudicación</w:t>
      </w:r>
      <w:proofErr w:type="spellEnd"/>
      <w:r w:rsidR="001C7697" w:rsidRPr="00A52A6B">
        <w:rPr>
          <w:rFonts w:ascii="Palatino Linotype" w:hAnsi="Palatino Linotype"/>
          <w:i/>
          <w:lang w:val="es-MX"/>
        </w:rPr>
        <w:t xml:space="preserve"> de </w:t>
      </w:r>
      <w:proofErr w:type="spellStart"/>
      <w:r w:rsidR="001C7697" w:rsidRPr="00A52A6B">
        <w:rPr>
          <w:rFonts w:ascii="Palatino Linotype" w:hAnsi="Palatino Linotype"/>
          <w:i/>
          <w:lang w:val="es-MX"/>
        </w:rPr>
        <w:t>algún</w:t>
      </w:r>
      <w:proofErr w:type="spellEnd"/>
      <w:r w:rsidR="001C7697" w:rsidRPr="00A52A6B">
        <w:rPr>
          <w:rFonts w:ascii="Palatino Linotype" w:hAnsi="Palatino Linotype"/>
          <w:i/>
          <w:lang w:val="es-MX"/>
        </w:rPr>
        <w:t xml:space="preserve"> contrato de adquisiciones y/o servicios durante el ejercicio dos mil diecinueve, incluyendo su nombre, </w:t>
      </w:r>
      <w:proofErr w:type="spellStart"/>
      <w:r w:rsidR="001C7697" w:rsidRPr="00A52A6B">
        <w:rPr>
          <w:rFonts w:ascii="Palatino Linotype" w:hAnsi="Palatino Linotype"/>
          <w:i/>
          <w:lang w:val="es-MX"/>
        </w:rPr>
        <w:t>ubicación</w:t>
      </w:r>
      <w:proofErr w:type="spellEnd"/>
      <w:r w:rsidR="001C7697" w:rsidRPr="00A52A6B">
        <w:rPr>
          <w:rFonts w:ascii="Palatino Linotype" w:hAnsi="Palatino Linotype"/>
          <w:i/>
          <w:lang w:val="es-MX"/>
        </w:rPr>
        <w:t xml:space="preserve"> y costo, que constituye información pública de oficio conforme al artículo 92, fracciones XXIX, inciso b, XXXI, XXXII y XXXVI de la Ley de Transparencia y Acceso a la Información Pública del Estado de México y Municipios. En la modalidad elegida por la persona recurrente de manera inicial, es decir, medio electrónico gratuito, tales como habilitar una liga electrónica que deberá proporcionarle para que descargue los archivos -en caso de estar en posibilidad-; enviar la información a su cuenta de correo electrónico; concederle el acceso en disco compacto, con la posibilidad de envío mediante correo certificado, previo pago del costo del disco compacto y del envío, y darle la posibilidad de obtenerla de manera gratuita si la parte solicitante misma aporta el disco compacto o la memoria USB en la que se le proporcionarán los archivos electrónicos.”</w:t>
      </w:r>
    </w:p>
    <w:p w14:paraId="0ECA7768" w14:textId="77777777" w:rsidR="00892544" w:rsidRPr="00A52A6B" w:rsidRDefault="00892544" w:rsidP="00892544">
      <w:pPr>
        <w:tabs>
          <w:tab w:val="left" w:pos="0"/>
          <w:tab w:val="left" w:pos="709"/>
        </w:tabs>
        <w:spacing w:line="360" w:lineRule="auto"/>
        <w:ind w:right="49"/>
        <w:jc w:val="both"/>
        <w:rPr>
          <w:rFonts w:ascii="Palatino Linotype" w:hAnsi="Palatino Linotype" w:cs="Arial"/>
          <w:lang w:val="es-ES_tradnl"/>
        </w:rPr>
      </w:pPr>
    </w:p>
    <w:p w14:paraId="08539412" w14:textId="77777777" w:rsidR="00892544" w:rsidRPr="00A52A6B" w:rsidRDefault="00892544" w:rsidP="00892544">
      <w:pPr>
        <w:pStyle w:val="Ttulo1"/>
        <w:spacing w:line="360" w:lineRule="auto"/>
        <w:jc w:val="both"/>
        <w:rPr>
          <w:rFonts w:ascii="Palatino Linotype" w:hAnsi="Palatino Linotype"/>
          <w:b/>
          <w:color w:val="auto"/>
          <w:sz w:val="24"/>
          <w:szCs w:val="24"/>
          <w:lang w:val="es-ES_tradnl"/>
        </w:rPr>
      </w:pPr>
      <w:bookmarkStart w:id="5" w:name="_Toc66304360"/>
      <w:r w:rsidRPr="00A52A6B">
        <w:rPr>
          <w:rFonts w:ascii="Palatino Linotype" w:hAnsi="Palatino Linotype"/>
          <w:b/>
          <w:color w:val="auto"/>
          <w:sz w:val="24"/>
          <w:szCs w:val="24"/>
          <w:lang w:val="es-ES_tradnl"/>
        </w:rPr>
        <w:t>TERCERO. Consideraciones de especial pronunciamiento</w:t>
      </w:r>
      <w:bookmarkEnd w:id="5"/>
    </w:p>
    <w:p w14:paraId="09642E5D" w14:textId="77777777" w:rsidR="00892544" w:rsidRPr="00A52A6B" w:rsidRDefault="00892544" w:rsidP="00892544">
      <w:pPr>
        <w:rPr>
          <w:rFonts w:ascii="Palatino Linotype" w:hAnsi="Palatino Linotype"/>
          <w:lang w:val="es-ES_tradnl"/>
        </w:rPr>
      </w:pPr>
    </w:p>
    <w:p w14:paraId="6353659F" w14:textId="77777777" w:rsidR="00892544" w:rsidRPr="00A52A6B" w:rsidRDefault="00892544" w:rsidP="00892544">
      <w:pPr>
        <w:pStyle w:val="Ttulo1"/>
        <w:numPr>
          <w:ilvl w:val="1"/>
          <w:numId w:val="1"/>
        </w:numPr>
        <w:ind w:left="0" w:firstLine="0"/>
        <w:rPr>
          <w:rFonts w:ascii="Palatino Linotype" w:hAnsi="Palatino Linotype"/>
          <w:b/>
          <w:color w:val="auto"/>
          <w:sz w:val="24"/>
          <w:szCs w:val="24"/>
        </w:rPr>
      </w:pPr>
      <w:bookmarkStart w:id="6" w:name="_Toc66304361"/>
      <w:r w:rsidRPr="00A52A6B">
        <w:rPr>
          <w:rFonts w:ascii="Palatino Linotype" w:hAnsi="Palatino Linotype"/>
          <w:b/>
          <w:color w:val="auto"/>
          <w:sz w:val="24"/>
          <w:szCs w:val="24"/>
        </w:rPr>
        <w:t>Del Principio de Legalidad</w:t>
      </w:r>
      <w:bookmarkEnd w:id="6"/>
    </w:p>
    <w:p w14:paraId="116E7BAD" w14:textId="77777777" w:rsidR="00892544" w:rsidRPr="00A52A6B" w:rsidRDefault="00892544" w:rsidP="00892544">
      <w:pPr>
        <w:pStyle w:val="Prrafodelista"/>
        <w:rPr>
          <w:rFonts w:ascii="Palatino Linotype" w:hAnsi="Palatino Linotype"/>
          <w:lang w:val="es-ES_tradnl"/>
        </w:rPr>
      </w:pPr>
    </w:p>
    <w:p w14:paraId="568B5970"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Primeramente, el artículo 8 de la Ley General de Transparencia y Acceso a la Información Pública establece los nueve principios rectores de los organismos garantes: certeza, eficacia, imparcialidad, independencia, legalidad, máxima publicidad, objetividad, profesionalismo y transparencia, como sigue:</w:t>
      </w:r>
    </w:p>
    <w:p w14:paraId="3AF3035E" w14:textId="77777777" w:rsidR="00892544" w:rsidRPr="00A52A6B" w:rsidRDefault="00892544" w:rsidP="00892544">
      <w:pPr>
        <w:pStyle w:val="Prrafodelista"/>
        <w:tabs>
          <w:tab w:val="left" w:pos="0"/>
        </w:tabs>
        <w:spacing w:line="276" w:lineRule="auto"/>
        <w:ind w:left="0" w:right="49"/>
        <w:jc w:val="both"/>
        <w:rPr>
          <w:rFonts w:ascii="Palatino Linotype" w:hAnsi="Palatino Linotype"/>
          <w:i/>
          <w:szCs w:val="22"/>
          <w:lang w:val="es-ES_tradnl"/>
        </w:rPr>
      </w:pPr>
    </w:p>
    <w:p w14:paraId="17D4F349" w14:textId="77777777" w:rsidR="00892544" w:rsidRPr="00A52A6B" w:rsidRDefault="00892544" w:rsidP="00892544">
      <w:pPr>
        <w:pStyle w:val="Texto"/>
        <w:spacing w:after="0" w:line="276" w:lineRule="auto"/>
        <w:ind w:left="502" w:firstLine="0"/>
        <w:rPr>
          <w:rFonts w:ascii="Palatino Linotype" w:hAnsi="Palatino Linotype"/>
          <w:i/>
          <w:sz w:val="24"/>
          <w:szCs w:val="22"/>
          <w:lang w:val="es-ES_tradnl"/>
        </w:rPr>
      </w:pPr>
      <w:bookmarkStart w:id="7" w:name="Artículo_8"/>
      <w:r w:rsidRPr="00A52A6B">
        <w:rPr>
          <w:rFonts w:ascii="Palatino Linotype" w:hAnsi="Palatino Linotype"/>
          <w:b/>
          <w:i/>
          <w:sz w:val="24"/>
          <w:szCs w:val="22"/>
          <w:lang w:val="es-ES_tradnl"/>
        </w:rPr>
        <w:lastRenderedPageBreak/>
        <w:t>Artículo 8</w:t>
      </w:r>
      <w:bookmarkEnd w:id="7"/>
      <w:r w:rsidRPr="00A52A6B">
        <w:rPr>
          <w:rFonts w:ascii="Palatino Linotype" w:hAnsi="Palatino Linotype"/>
          <w:b/>
          <w:i/>
          <w:sz w:val="24"/>
          <w:szCs w:val="22"/>
          <w:lang w:val="es-ES_tradnl"/>
        </w:rPr>
        <w:t xml:space="preserve">. </w:t>
      </w:r>
      <w:r w:rsidRPr="00A52A6B">
        <w:rPr>
          <w:rFonts w:ascii="Palatino Linotype" w:hAnsi="Palatino Linotype"/>
          <w:i/>
          <w:sz w:val="24"/>
          <w:szCs w:val="22"/>
          <w:lang w:val="es-ES_tradnl"/>
        </w:rPr>
        <w:t>Los Organismos garantes del derecho de acceso a la información deberán regir su funcionamiento de acuerdo a los siguientes principios:</w:t>
      </w:r>
    </w:p>
    <w:p w14:paraId="5F85EB98" w14:textId="77777777" w:rsidR="00892544" w:rsidRPr="00A52A6B" w:rsidRDefault="00892544" w:rsidP="00892544">
      <w:pPr>
        <w:pStyle w:val="Texto"/>
        <w:spacing w:after="0" w:line="276" w:lineRule="auto"/>
        <w:ind w:left="502" w:firstLine="0"/>
        <w:rPr>
          <w:rFonts w:ascii="Palatino Linotype" w:hAnsi="Palatino Linotype"/>
          <w:i/>
          <w:sz w:val="24"/>
          <w:szCs w:val="22"/>
          <w:lang w:val="es-ES_tradnl"/>
        </w:rPr>
      </w:pPr>
    </w:p>
    <w:p w14:paraId="2FAC0946" w14:textId="77777777" w:rsidR="00892544" w:rsidRPr="00A52A6B" w:rsidRDefault="00892544" w:rsidP="00892544">
      <w:pPr>
        <w:pStyle w:val="Texto"/>
        <w:spacing w:after="0" w:line="276" w:lineRule="auto"/>
        <w:ind w:left="502" w:firstLine="0"/>
        <w:rPr>
          <w:rFonts w:ascii="Palatino Linotype" w:hAnsi="Palatino Linotype"/>
          <w:b/>
          <w:i/>
          <w:sz w:val="24"/>
          <w:szCs w:val="22"/>
          <w:lang w:val="es-ES_tradnl"/>
        </w:rPr>
      </w:pPr>
      <w:r w:rsidRPr="00A52A6B">
        <w:rPr>
          <w:rFonts w:ascii="Palatino Linotype" w:hAnsi="Palatino Linotype"/>
          <w:b/>
          <w:i/>
          <w:sz w:val="24"/>
          <w:szCs w:val="22"/>
          <w:lang w:val="es-ES_tradnl"/>
        </w:rPr>
        <w:t>I.</w:t>
      </w:r>
      <w:r w:rsidRPr="00A52A6B">
        <w:rPr>
          <w:rFonts w:ascii="Palatino Linotype" w:hAnsi="Palatino Linotype"/>
          <w:b/>
          <w:i/>
          <w:sz w:val="24"/>
          <w:szCs w:val="22"/>
          <w:lang w:val="es-ES_tradnl"/>
        </w:rPr>
        <w:tab/>
        <w:t xml:space="preserve">Certeza: </w:t>
      </w:r>
      <w:r w:rsidRPr="00A52A6B">
        <w:rPr>
          <w:rFonts w:ascii="Palatino Linotype" w:hAnsi="Palatino Linotype"/>
          <w:i/>
          <w:sz w:val="24"/>
          <w:szCs w:val="22"/>
          <w:lang w:val="es-ES_tradnl"/>
        </w:rPr>
        <w:t>Principio que otorga seguridad y certidumbre jurídica a los particulares, en virtud de que permite conocer si las acciones de los Organismos garantes son apegadas a derecho y garantiza que los procedimientos sean completamente verificables, fidedignos y confiables;</w:t>
      </w:r>
    </w:p>
    <w:p w14:paraId="75ECA136" w14:textId="77777777" w:rsidR="00892544" w:rsidRPr="00A52A6B" w:rsidRDefault="00892544" w:rsidP="00892544">
      <w:pPr>
        <w:pStyle w:val="Texto"/>
        <w:spacing w:after="0" w:line="276" w:lineRule="auto"/>
        <w:ind w:left="502" w:firstLine="0"/>
        <w:rPr>
          <w:rFonts w:ascii="Palatino Linotype" w:hAnsi="Palatino Linotype"/>
          <w:i/>
          <w:sz w:val="24"/>
          <w:szCs w:val="22"/>
          <w:lang w:val="es-ES_tradnl"/>
        </w:rPr>
      </w:pPr>
    </w:p>
    <w:p w14:paraId="11F18C35" w14:textId="77777777" w:rsidR="00892544" w:rsidRPr="00A52A6B" w:rsidRDefault="00892544" w:rsidP="00892544">
      <w:pPr>
        <w:pStyle w:val="Texto"/>
        <w:spacing w:after="0" w:line="276" w:lineRule="auto"/>
        <w:ind w:left="502" w:firstLine="0"/>
        <w:rPr>
          <w:rFonts w:ascii="Palatino Linotype" w:hAnsi="Palatino Linotype"/>
          <w:i/>
          <w:sz w:val="24"/>
          <w:szCs w:val="22"/>
          <w:lang w:val="es-ES_tradnl"/>
        </w:rPr>
      </w:pPr>
      <w:r w:rsidRPr="00A52A6B">
        <w:rPr>
          <w:rFonts w:ascii="Palatino Linotype" w:hAnsi="Palatino Linotype"/>
          <w:b/>
          <w:i/>
          <w:sz w:val="24"/>
          <w:szCs w:val="22"/>
          <w:lang w:val="es-ES_tradnl"/>
        </w:rPr>
        <w:t xml:space="preserve">II. Eficacia: </w:t>
      </w:r>
      <w:r w:rsidRPr="00A52A6B">
        <w:rPr>
          <w:rFonts w:ascii="Palatino Linotype" w:hAnsi="Palatino Linotype"/>
          <w:i/>
          <w:sz w:val="24"/>
          <w:szCs w:val="22"/>
          <w:lang w:val="es-ES_tradnl"/>
        </w:rPr>
        <w:t>Obligación de los Organismos garantes para tutelar, de manera efectiva, el derecho de acceso a la información;</w:t>
      </w:r>
    </w:p>
    <w:p w14:paraId="7A9C7CD5" w14:textId="77777777" w:rsidR="00892544" w:rsidRPr="00A52A6B" w:rsidRDefault="00892544" w:rsidP="00892544">
      <w:pPr>
        <w:pStyle w:val="Texto"/>
        <w:spacing w:after="0" w:line="276" w:lineRule="auto"/>
        <w:ind w:left="502" w:firstLine="0"/>
        <w:rPr>
          <w:rFonts w:ascii="Palatino Linotype" w:hAnsi="Palatino Linotype"/>
          <w:b/>
          <w:i/>
          <w:sz w:val="24"/>
          <w:szCs w:val="22"/>
          <w:lang w:val="es-ES_tradnl"/>
        </w:rPr>
      </w:pPr>
    </w:p>
    <w:p w14:paraId="606DDE54" w14:textId="77777777" w:rsidR="00892544" w:rsidRPr="00A52A6B" w:rsidRDefault="00892544" w:rsidP="00892544">
      <w:pPr>
        <w:pStyle w:val="Texto"/>
        <w:spacing w:after="0" w:line="276" w:lineRule="auto"/>
        <w:ind w:left="502" w:firstLine="0"/>
        <w:rPr>
          <w:rFonts w:ascii="Palatino Linotype" w:hAnsi="Palatino Linotype"/>
          <w:i/>
          <w:sz w:val="24"/>
          <w:szCs w:val="22"/>
          <w:lang w:val="es-ES_tradnl"/>
        </w:rPr>
      </w:pPr>
      <w:r w:rsidRPr="00A52A6B">
        <w:rPr>
          <w:rFonts w:ascii="Palatino Linotype" w:hAnsi="Palatino Linotype"/>
          <w:b/>
          <w:i/>
          <w:sz w:val="24"/>
          <w:szCs w:val="22"/>
          <w:lang w:val="es-ES_tradnl"/>
        </w:rPr>
        <w:t xml:space="preserve">III. Imparcialidad: </w:t>
      </w:r>
      <w:r w:rsidRPr="00A52A6B">
        <w:rPr>
          <w:rFonts w:ascii="Palatino Linotype" w:hAnsi="Palatino Linotype"/>
          <w:i/>
          <w:sz w:val="24"/>
          <w:szCs w:val="22"/>
          <w:lang w:val="es-ES_tradnl"/>
        </w:rPr>
        <w:t>Cualidad que deben tener los Organismos garantes respecto de sus actuaciones de ser ajenos o extraños a los intereses de las partes en controversia y resolver sin favorecer indebidamente a ninguna de ellas;</w:t>
      </w:r>
    </w:p>
    <w:p w14:paraId="71F72C88" w14:textId="77777777" w:rsidR="00892544" w:rsidRPr="00A52A6B" w:rsidRDefault="00892544" w:rsidP="00892544">
      <w:pPr>
        <w:pStyle w:val="Texto"/>
        <w:spacing w:after="0" w:line="276" w:lineRule="auto"/>
        <w:ind w:left="502" w:firstLine="0"/>
        <w:rPr>
          <w:rFonts w:ascii="Palatino Linotype" w:hAnsi="Palatino Linotype"/>
          <w:i/>
          <w:sz w:val="24"/>
          <w:szCs w:val="22"/>
          <w:lang w:val="es-ES_tradnl"/>
        </w:rPr>
      </w:pPr>
    </w:p>
    <w:p w14:paraId="32744C73" w14:textId="77777777" w:rsidR="00892544" w:rsidRPr="00A52A6B" w:rsidRDefault="00892544" w:rsidP="00892544">
      <w:pPr>
        <w:pStyle w:val="Texto"/>
        <w:spacing w:after="0" w:line="276" w:lineRule="auto"/>
        <w:ind w:left="502" w:firstLine="0"/>
        <w:rPr>
          <w:rFonts w:ascii="Palatino Linotype" w:hAnsi="Palatino Linotype"/>
          <w:i/>
          <w:sz w:val="24"/>
          <w:szCs w:val="22"/>
          <w:lang w:val="es-ES_tradnl"/>
        </w:rPr>
      </w:pPr>
      <w:r w:rsidRPr="00A52A6B">
        <w:rPr>
          <w:rFonts w:ascii="Palatino Linotype" w:hAnsi="Palatino Linotype"/>
          <w:b/>
          <w:i/>
          <w:sz w:val="24"/>
          <w:szCs w:val="22"/>
          <w:lang w:val="es-ES_tradnl"/>
        </w:rPr>
        <w:t xml:space="preserve">IV. Independencia: </w:t>
      </w:r>
      <w:r w:rsidRPr="00A52A6B">
        <w:rPr>
          <w:rFonts w:ascii="Palatino Linotype" w:hAnsi="Palatino Linotype"/>
          <w:i/>
          <w:sz w:val="24"/>
          <w:szCs w:val="22"/>
          <w:lang w:val="es-ES_tradnl"/>
        </w:rPr>
        <w:t>Cualidad que deben tener los Organismos garantes para actuar sin supeditarse a interés, autoridad o persona alguna;</w:t>
      </w:r>
    </w:p>
    <w:p w14:paraId="32A5B91C" w14:textId="77777777" w:rsidR="00892544" w:rsidRPr="00A52A6B" w:rsidRDefault="00892544" w:rsidP="00892544">
      <w:pPr>
        <w:pStyle w:val="Texto"/>
        <w:spacing w:after="0" w:line="276" w:lineRule="auto"/>
        <w:ind w:left="502" w:firstLine="0"/>
        <w:rPr>
          <w:rFonts w:ascii="Palatino Linotype" w:hAnsi="Palatino Linotype"/>
          <w:b/>
          <w:i/>
          <w:sz w:val="24"/>
          <w:szCs w:val="22"/>
          <w:lang w:val="es-ES_tradnl"/>
        </w:rPr>
      </w:pPr>
    </w:p>
    <w:p w14:paraId="1ABB3F24" w14:textId="77777777" w:rsidR="00892544" w:rsidRPr="00A52A6B" w:rsidRDefault="00892544" w:rsidP="00892544">
      <w:pPr>
        <w:pStyle w:val="Texto"/>
        <w:spacing w:after="0" w:line="276" w:lineRule="auto"/>
        <w:ind w:left="502" w:firstLine="0"/>
        <w:rPr>
          <w:rFonts w:ascii="Palatino Linotype" w:hAnsi="Palatino Linotype"/>
          <w:b/>
          <w:i/>
          <w:sz w:val="24"/>
          <w:szCs w:val="22"/>
          <w:lang w:val="es-ES_tradnl"/>
        </w:rPr>
      </w:pPr>
      <w:r w:rsidRPr="00A52A6B">
        <w:rPr>
          <w:rFonts w:ascii="Palatino Linotype" w:hAnsi="Palatino Linotype"/>
          <w:b/>
          <w:i/>
          <w:sz w:val="24"/>
          <w:szCs w:val="22"/>
          <w:lang w:val="es-ES_tradnl"/>
        </w:rPr>
        <w:t>V.</w:t>
      </w:r>
      <w:r w:rsidRPr="00A52A6B">
        <w:rPr>
          <w:rFonts w:ascii="Palatino Linotype" w:hAnsi="Palatino Linotype"/>
          <w:b/>
          <w:i/>
          <w:sz w:val="24"/>
          <w:szCs w:val="22"/>
          <w:lang w:val="es-ES_tradnl"/>
        </w:rPr>
        <w:tab/>
        <w:t xml:space="preserve"> Legalidad: Obligación de los Organismos garantes de ajustar su actuación, que funde y motive sus resoluciones y actos en las normas aplicables;</w:t>
      </w:r>
    </w:p>
    <w:p w14:paraId="1C7204FF" w14:textId="77777777" w:rsidR="00892544" w:rsidRPr="00A52A6B" w:rsidRDefault="00892544" w:rsidP="00892544">
      <w:pPr>
        <w:pStyle w:val="Texto"/>
        <w:spacing w:after="0" w:line="276" w:lineRule="auto"/>
        <w:ind w:left="502" w:firstLine="0"/>
        <w:rPr>
          <w:rFonts w:ascii="Palatino Linotype" w:hAnsi="Palatino Linotype"/>
          <w:b/>
          <w:i/>
          <w:sz w:val="24"/>
          <w:szCs w:val="22"/>
          <w:lang w:val="es-ES_tradnl"/>
        </w:rPr>
      </w:pPr>
    </w:p>
    <w:p w14:paraId="5D3677F6" w14:textId="77777777" w:rsidR="00892544" w:rsidRPr="00A52A6B" w:rsidRDefault="00892544" w:rsidP="00892544">
      <w:pPr>
        <w:pStyle w:val="Texto"/>
        <w:spacing w:after="0" w:line="276" w:lineRule="auto"/>
        <w:ind w:left="502" w:firstLine="0"/>
        <w:rPr>
          <w:rFonts w:ascii="Palatino Linotype" w:hAnsi="Palatino Linotype"/>
          <w:i/>
          <w:sz w:val="24"/>
          <w:szCs w:val="22"/>
          <w:lang w:val="es-ES_tradnl"/>
        </w:rPr>
      </w:pPr>
      <w:r w:rsidRPr="00A52A6B">
        <w:rPr>
          <w:rFonts w:ascii="Palatino Linotype" w:hAnsi="Palatino Linotype"/>
          <w:b/>
          <w:i/>
          <w:sz w:val="24"/>
          <w:szCs w:val="22"/>
          <w:lang w:val="es-ES_tradnl"/>
        </w:rPr>
        <w:t xml:space="preserve">VI. Máxima Publicidad: </w:t>
      </w:r>
      <w:r w:rsidRPr="00A52A6B">
        <w:rPr>
          <w:rFonts w:ascii="Palatino Linotype" w:hAnsi="Palatino Linotype"/>
          <w:i/>
          <w:sz w:val="24"/>
          <w:szCs w:val="22"/>
          <w:lang w:val="es-ES_tradnl"/>
        </w:rPr>
        <w:t>Toda la información en posesión de los sujetos obligados será pública, completa, oportuna y accesible, sujeta a un claro régimen de excepciones que deberán estar definidas y ser además legítimas y estrictamente necesarias en una sociedad democrática;</w:t>
      </w:r>
    </w:p>
    <w:p w14:paraId="0DA50398" w14:textId="77777777" w:rsidR="00892544" w:rsidRPr="00A52A6B" w:rsidRDefault="00892544" w:rsidP="00892544">
      <w:pPr>
        <w:pStyle w:val="Texto"/>
        <w:spacing w:after="0" w:line="276" w:lineRule="auto"/>
        <w:ind w:left="502" w:firstLine="0"/>
        <w:rPr>
          <w:rFonts w:ascii="Palatino Linotype" w:hAnsi="Palatino Linotype"/>
          <w:b/>
          <w:i/>
          <w:sz w:val="24"/>
          <w:szCs w:val="22"/>
          <w:lang w:val="es-ES_tradnl"/>
        </w:rPr>
      </w:pPr>
    </w:p>
    <w:p w14:paraId="0E878EED" w14:textId="77777777" w:rsidR="00892544" w:rsidRPr="00A52A6B" w:rsidRDefault="00892544" w:rsidP="00892544">
      <w:pPr>
        <w:pStyle w:val="Texto"/>
        <w:spacing w:after="0" w:line="276" w:lineRule="auto"/>
        <w:ind w:left="502" w:firstLine="0"/>
        <w:rPr>
          <w:rFonts w:ascii="Palatino Linotype" w:hAnsi="Palatino Linotype"/>
          <w:i/>
          <w:sz w:val="24"/>
          <w:szCs w:val="22"/>
          <w:lang w:val="es-ES_tradnl"/>
        </w:rPr>
      </w:pPr>
      <w:r w:rsidRPr="00A52A6B">
        <w:rPr>
          <w:rFonts w:ascii="Palatino Linotype" w:hAnsi="Palatino Linotype"/>
          <w:b/>
          <w:i/>
          <w:sz w:val="24"/>
          <w:szCs w:val="22"/>
          <w:lang w:val="es-ES_tradnl"/>
        </w:rPr>
        <w:lastRenderedPageBreak/>
        <w:t xml:space="preserve">VII. Objetividad: </w:t>
      </w:r>
      <w:r w:rsidRPr="00A52A6B">
        <w:rPr>
          <w:rFonts w:ascii="Palatino Linotype" w:hAnsi="Palatino Linotype"/>
          <w:i/>
          <w:sz w:val="24"/>
          <w:szCs w:val="22"/>
          <w:lang w:val="es-ES_tradnl"/>
        </w:rPr>
        <w:t>Obligación de los Organismos garantes de ajustar su actuación a los presupuestos de ley que deben ser aplicados al analizar el caso en concreto y resolver todos los hechos, prescindiendo de las consideraciones y criterios personales;</w:t>
      </w:r>
    </w:p>
    <w:p w14:paraId="0182D020" w14:textId="77777777" w:rsidR="00892544" w:rsidRPr="00A52A6B" w:rsidRDefault="00892544" w:rsidP="00892544">
      <w:pPr>
        <w:pStyle w:val="Texto"/>
        <w:spacing w:after="0" w:line="276" w:lineRule="auto"/>
        <w:ind w:left="502" w:firstLine="0"/>
        <w:rPr>
          <w:rFonts w:ascii="Palatino Linotype" w:hAnsi="Palatino Linotype"/>
          <w:b/>
          <w:i/>
          <w:sz w:val="24"/>
          <w:szCs w:val="22"/>
          <w:lang w:val="es-ES_tradnl"/>
        </w:rPr>
      </w:pPr>
    </w:p>
    <w:p w14:paraId="12770DAE" w14:textId="77777777" w:rsidR="00892544" w:rsidRPr="00A52A6B" w:rsidRDefault="00892544" w:rsidP="00892544">
      <w:pPr>
        <w:pStyle w:val="Texto"/>
        <w:spacing w:after="0" w:line="276" w:lineRule="auto"/>
        <w:ind w:left="502" w:firstLine="0"/>
        <w:rPr>
          <w:rFonts w:ascii="Palatino Linotype" w:hAnsi="Palatino Linotype"/>
          <w:i/>
          <w:sz w:val="24"/>
          <w:szCs w:val="22"/>
          <w:lang w:val="es-ES_tradnl"/>
        </w:rPr>
      </w:pPr>
      <w:r w:rsidRPr="00A52A6B">
        <w:rPr>
          <w:rFonts w:ascii="Palatino Linotype" w:hAnsi="Palatino Linotype"/>
          <w:b/>
          <w:i/>
          <w:sz w:val="24"/>
          <w:szCs w:val="22"/>
          <w:lang w:val="es-ES_tradnl"/>
        </w:rPr>
        <w:t>VIII. Profesionalismo:</w:t>
      </w:r>
      <w:r w:rsidRPr="00A52A6B">
        <w:rPr>
          <w:rFonts w:ascii="Palatino Linotype" w:hAnsi="Palatino Linotype"/>
          <w:i/>
          <w:sz w:val="24"/>
          <w:szCs w:val="22"/>
          <w:lang w:val="es-ES_tradnl"/>
        </w:rPr>
        <w:t xml:space="preserve"> Los Servidores Públicos que laboren en los Organismos garantes deberán sujetar su actuación a conocimientos técnicos, teóricos y metodológicos que garanticen un desempeño eficiente y eficaz en el ejercicio de la función pública que tienen encomendada, y</w:t>
      </w:r>
    </w:p>
    <w:p w14:paraId="7C548C92" w14:textId="77777777" w:rsidR="00892544" w:rsidRPr="00A52A6B" w:rsidRDefault="00892544" w:rsidP="00892544">
      <w:pPr>
        <w:pStyle w:val="Texto"/>
        <w:spacing w:after="0" w:line="276" w:lineRule="auto"/>
        <w:ind w:left="502" w:firstLine="0"/>
        <w:rPr>
          <w:rFonts w:ascii="Palatino Linotype" w:hAnsi="Palatino Linotype"/>
          <w:b/>
          <w:i/>
          <w:sz w:val="24"/>
          <w:szCs w:val="22"/>
          <w:lang w:val="es-ES_tradnl"/>
        </w:rPr>
      </w:pPr>
    </w:p>
    <w:p w14:paraId="52A1C9DE" w14:textId="77777777" w:rsidR="00892544" w:rsidRPr="00A52A6B" w:rsidRDefault="00892544" w:rsidP="00892544">
      <w:pPr>
        <w:pStyle w:val="Texto"/>
        <w:spacing w:after="0" w:line="276" w:lineRule="auto"/>
        <w:ind w:left="502" w:firstLine="0"/>
        <w:rPr>
          <w:rFonts w:ascii="Palatino Linotype" w:hAnsi="Palatino Linotype"/>
          <w:i/>
          <w:sz w:val="24"/>
          <w:szCs w:val="22"/>
          <w:lang w:val="es-ES_tradnl"/>
        </w:rPr>
      </w:pPr>
      <w:r w:rsidRPr="00A52A6B">
        <w:rPr>
          <w:rFonts w:ascii="Palatino Linotype" w:hAnsi="Palatino Linotype"/>
          <w:b/>
          <w:i/>
          <w:sz w:val="24"/>
          <w:szCs w:val="22"/>
          <w:lang w:val="es-ES_tradnl"/>
        </w:rPr>
        <w:t xml:space="preserve">IX. Transparencia: </w:t>
      </w:r>
      <w:r w:rsidRPr="00A52A6B">
        <w:rPr>
          <w:rFonts w:ascii="Palatino Linotype" w:hAnsi="Palatino Linotype"/>
          <w:i/>
          <w:sz w:val="24"/>
          <w:szCs w:val="22"/>
          <w:lang w:val="es-ES_tradnl"/>
        </w:rPr>
        <w:t>Obligación de los Organismos garantes de dar publicidad a las deliberaciones y actos relacionados con sus atribuciones, así como dar acceso a la información que generen.</w:t>
      </w:r>
    </w:p>
    <w:p w14:paraId="23CA1F72" w14:textId="77777777" w:rsidR="00892544" w:rsidRPr="00A52A6B" w:rsidRDefault="00892544" w:rsidP="00892544">
      <w:pPr>
        <w:pStyle w:val="Texto"/>
        <w:spacing w:after="0" w:line="276" w:lineRule="auto"/>
        <w:ind w:left="502" w:firstLine="0"/>
        <w:rPr>
          <w:rFonts w:ascii="Palatino Linotype" w:hAnsi="Palatino Linotype"/>
          <w:i/>
          <w:sz w:val="24"/>
          <w:szCs w:val="22"/>
          <w:lang w:val="es-ES_tradnl"/>
        </w:rPr>
      </w:pPr>
    </w:p>
    <w:p w14:paraId="1C250B11"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Como puede advertirse, la fracción V del citado artículo 8 de la Ley General de Transparencia y Acceso a la Información establece el principio de legalidad como la obligación de los Organismos garantes de ajustar su actuación, que funde y motive sus resoluciones y actos en las normas aplicables.</w:t>
      </w:r>
    </w:p>
    <w:p w14:paraId="54265CEC" w14:textId="77777777" w:rsidR="00892544" w:rsidRPr="00A52A6B" w:rsidRDefault="00892544" w:rsidP="00892544">
      <w:pPr>
        <w:pStyle w:val="Prrafodelista"/>
        <w:tabs>
          <w:tab w:val="left" w:pos="0"/>
        </w:tabs>
        <w:spacing w:line="360" w:lineRule="auto"/>
        <w:ind w:left="0" w:right="49"/>
        <w:jc w:val="both"/>
        <w:rPr>
          <w:rFonts w:ascii="Palatino Linotype" w:hAnsi="Palatino Linotype"/>
          <w:lang w:val="es-ES_tradnl"/>
        </w:rPr>
      </w:pPr>
    </w:p>
    <w:p w14:paraId="5EC7AA17"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De lo anterior se advierte que el principio de legalidad constituye una obligación para los órganos garantes para: (1) ajustar sus actuaciones en las normas aplicables; y, (2) fundar y motivar sus resoluciones y actos en las normas aplicables. Conviene resaltar primeramente que el texto de la Ley General establece que es una </w:t>
      </w:r>
      <w:r w:rsidRPr="00A52A6B">
        <w:rPr>
          <w:rFonts w:ascii="Palatino Linotype" w:hAnsi="Palatino Linotype"/>
          <w:b/>
          <w:i/>
          <w:lang w:val="es-ES_tradnl"/>
        </w:rPr>
        <w:t>obligación,</w:t>
      </w:r>
      <w:r w:rsidRPr="00A52A6B">
        <w:rPr>
          <w:rFonts w:ascii="Palatino Linotype" w:hAnsi="Palatino Linotype"/>
          <w:lang w:val="es-ES_tradnl"/>
        </w:rPr>
        <w:t xml:space="preserve"> por lo tanto, debe entenderse como un deber y no una opción que </w:t>
      </w:r>
      <w:proofErr w:type="spellStart"/>
      <w:r w:rsidRPr="00A52A6B">
        <w:rPr>
          <w:rFonts w:ascii="Palatino Linotype" w:hAnsi="Palatino Linotype"/>
          <w:lang w:val="es-ES_tradnl"/>
        </w:rPr>
        <w:t>este</w:t>
      </w:r>
      <w:proofErr w:type="spellEnd"/>
      <w:r w:rsidRPr="00A52A6B">
        <w:rPr>
          <w:rFonts w:ascii="Palatino Linotype" w:hAnsi="Palatino Linotype"/>
          <w:lang w:val="es-ES_tradnl"/>
        </w:rPr>
        <w:t xml:space="preserve"> sujeta a capricho de los órganos garantes; segundo, en ambos casos (1) ajustar sus </w:t>
      </w:r>
      <w:r w:rsidRPr="00A52A6B">
        <w:rPr>
          <w:rFonts w:ascii="Palatino Linotype" w:hAnsi="Palatino Linotype"/>
          <w:lang w:val="es-ES_tradnl"/>
        </w:rPr>
        <w:lastRenderedPageBreak/>
        <w:t>actuaciones y (2) fundar y motivar sus resoluciones y actuaciones en las normas aplicables, sin duda constituye una garantía de seguridad y certidumbre jurídica.</w:t>
      </w:r>
    </w:p>
    <w:p w14:paraId="2CD524D3" w14:textId="77777777" w:rsidR="00892544" w:rsidRPr="00A52A6B" w:rsidRDefault="00892544" w:rsidP="00892544">
      <w:pPr>
        <w:pStyle w:val="Prrafodelista"/>
        <w:tabs>
          <w:tab w:val="left" w:pos="0"/>
        </w:tabs>
        <w:spacing w:line="360" w:lineRule="auto"/>
        <w:ind w:left="0" w:right="49"/>
        <w:jc w:val="both"/>
        <w:rPr>
          <w:rFonts w:ascii="Palatino Linotype" w:hAnsi="Palatino Linotype"/>
          <w:lang w:val="es-ES_tradnl"/>
        </w:rPr>
      </w:pPr>
    </w:p>
    <w:p w14:paraId="07F27EC9"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eastAsiaTheme="minorEastAsia" w:hAnsi="Palatino Linotype" w:cstheme="minorBidi"/>
          <w:i/>
          <w:lang w:val="es-ES_tradnl" w:eastAsia="es-ES"/>
        </w:rPr>
      </w:pPr>
      <w:r w:rsidRPr="00A52A6B">
        <w:rPr>
          <w:rFonts w:ascii="Palatino Linotype" w:hAnsi="Palatino Linotype"/>
          <w:lang w:val="es-ES_tradnl"/>
        </w:rPr>
        <w:t>En el derecho mexicano, el principio de legalidad en general se debe deducir de la interpretación conjunta del segundo párrafo del artículo 14 de la Constitución mexicana: “</w:t>
      </w:r>
      <w:r w:rsidRPr="00A52A6B">
        <w:rPr>
          <w:rFonts w:ascii="Palatino Linotype" w:hAnsi="Palatino Linotype"/>
          <w:i/>
          <w:lang w:val="es-ES_tradnl"/>
        </w:rPr>
        <w:t>Nadie podrá ser privado de la vida, de la libertad o de sus propiedades, posesiones o derechos, sino mediante juicio seguido ante los tribunales previamente establecidos, en el que se cumplan las formalidades esenciales del procedimiento y conforme a las leyes expedidas con anterioridad al hecho”,</w:t>
      </w:r>
      <w:r w:rsidRPr="00A52A6B">
        <w:rPr>
          <w:rFonts w:ascii="Palatino Linotype" w:hAnsi="Palatino Linotype"/>
          <w:lang w:val="es-ES_tradnl"/>
        </w:rPr>
        <w:t xml:space="preserve"> y del primer párrafo del artículo 16 de Constitucional: “</w:t>
      </w:r>
      <w:r w:rsidRPr="00A52A6B">
        <w:rPr>
          <w:rFonts w:ascii="Palatino Linotype" w:hAnsi="Palatino Linotype"/>
          <w:i/>
          <w:lang w:val="es-ES_tradnl"/>
        </w:rPr>
        <w:t>Nadie puede ser molestado en su persona, familia, domicilio, papeles o posesiones, sino en virtud de mandamiento escrito de la autoridad competente, que funde y motive la causa legal del procedimiento”.</w:t>
      </w:r>
    </w:p>
    <w:p w14:paraId="7CF6871C" w14:textId="77777777" w:rsidR="00892544" w:rsidRPr="00A52A6B" w:rsidRDefault="00892544" w:rsidP="00892544">
      <w:pPr>
        <w:pStyle w:val="Prrafodelista"/>
        <w:rPr>
          <w:rFonts w:ascii="Palatino Linotype" w:hAnsi="Palatino Linotype"/>
          <w:lang w:val="es-ES_tradnl"/>
        </w:rPr>
      </w:pPr>
    </w:p>
    <w:p w14:paraId="18AA2FD1"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eastAsiaTheme="minorEastAsia" w:hAnsi="Palatino Linotype" w:cstheme="minorBidi"/>
          <w:lang w:val="es-ES_tradnl" w:eastAsia="es-ES"/>
        </w:rPr>
      </w:pPr>
      <w:r w:rsidRPr="00A52A6B">
        <w:rPr>
          <w:rFonts w:ascii="Palatino Linotype" w:hAnsi="Palatino Linotype"/>
          <w:lang w:val="es-ES_tradnl"/>
        </w:rPr>
        <w:t xml:space="preserve">El principio de legalidad comprende en sí dos figuras jurídicas: el principio de legalidad y la reserva de ley, cuya distinción radica en que cada uno de estos </w:t>
      </w:r>
      <w:proofErr w:type="gramStart"/>
      <w:r w:rsidRPr="00A52A6B">
        <w:rPr>
          <w:rFonts w:ascii="Palatino Linotype" w:hAnsi="Palatino Linotype"/>
          <w:lang w:val="es-ES_tradnl"/>
        </w:rPr>
        <w:t>principios  surte</w:t>
      </w:r>
      <w:proofErr w:type="gramEnd"/>
      <w:r w:rsidRPr="00A52A6B">
        <w:rPr>
          <w:rFonts w:ascii="Palatino Linotype" w:hAnsi="Palatino Linotype"/>
          <w:lang w:val="es-ES_tradnl"/>
        </w:rPr>
        <w:t xml:space="preserve"> efectos en diferentes campos del derecho, el primero se sitúa en la esfera aplicativa de éste, mientras que el segundo, implica centrar nuestra atención en su esfera normativa.</w:t>
      </w:r>
    </w:p>
    <w:p w14:paraId="53F9151B" w14:textId="77777777" w:rsidR="00892544" w:rsidRPr="00A52A6B" w:rsidRDefault="00892544" w:rsidP="00892544">
      <w:pPr>
        <w:pStyle w:val="Prrafodelista"/>
        <w:spacing w:line="360" w:lineRule="auto"/>
        <w:rPr>
          <w:rFonts w:ascii="Palatino Linotype" w:hAnsi="Palatino Linotype"/>
          <w:lang w:val="es-ES_tradnl"/>
        </w:rPr>
      </w:pPr>
    </w:p>
    <w:p w14:paraId="15AB7EC8"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eastAsiaTheme="minorEastAsia" w:hAnsi="Palatino Linotype" w:cstheme="minorBidi"/>
          <w:lang w:val="es-ES_tradnl" w:eastAsia="es-ES"/>
        </w:rPr>
      </w:pPr>
      <w:r w:rsidRPr="00A52A6B">
        <w:rPr>
          <w:rFonts w:ascii="Palatino Linotype" w:hAnsi="Palatino Linotype"/>
          <w:lang w:val="es-ES_tradnl"/>
        </w:rPr>
        <w:t xml:space="preserve">El principio de legalidad entraña que los órganos del </w:t>
      </w:r>
      <w:proofErr w:type="gramStart"/>
      <w:r w:rsidRPr="00A52A6B">
        <w:rPr>
          <w:rFonts w:ascii="Palatino Linotype" w:hAnsi="Palatino Linotype"/>
          <w:lang w:val="es-ES_tradnl"/>
        </w:rPr>
        <w:t>Estado  deben</w:t>
      </w:r>
      <w:proofErr w:type="gramEnd"/>
      <w:r w:rsidRPr="00A52A6B">
        <w:rPr>
          <w:rFonts w:ascii="Palatino Linotype" w:hAnsi="Palatino Linotype"/>
          <w:lang w:val="es-ES_tradnl"/>
        </w:rPr>
        <w:t xml:space="preserve"> ceñir su actuar a lo que disponga la ley, lo que implica el respeto absoluto en la producción de las normas al orden escalonado exigido por la jerarquía de las fuentes del derecho, y finalmente, la sumisión de los actos concretos de una autoridad a las </w:t>
      </w:r>
      <w:r w:rsidRPr="00A52A6B">
        <w:rPr>
          <w:rFonts w:ascii="Palatino Linotype" w:hAnsi="Palatino Linotype"/>
          <w:lang w:val="es-ES_tradnl"/>
        </w:rPr>
        <w:lastRenderedPageBreak/>
        <w:t>disposiciones de carácter general. Mientras que el principio de reserva de ley implica delimitar las materias que deberán ser producidas exclusivamente por la Ley, es decir no permite la intromisión en las materias reservadas a la ley de alguna potestad normativa diferente a la del Congreso de la Unión o a las de los congresos locales. Lo que se traduce en la intención de preservar y dar vigencia a la separación de poderes, en especial del Ejecutivo y del Legislativo, lo que implica que la prohibición a la administración de dictar normas referentes a las materias reservadas al órgano legislativo y el deber de éste de no delegar dicho poder en cualquier ente distinto a él.</w:t>
      </w:r>
    </w:p>
    <w:p w14:paraId="6F2B8D8E" w14:textId="77777777" w:rsidR="00892544" w:rsidRPr="00A52A6B" w:rsidRDefault="00892544" w:rsidP="00892544">
      <w:pPr>
        <w:pStyle w:val="Prrafodelista"/>
        <w:rPr>
          <w:rFonts w:ascii="Palatino Linotype" w:hAnsi="Palatino Linotype"/>
          <w:color w:val="1E1916"/>
          <w:lang w:val="es-ES_tradnl"/>
        </w:rPr>
      </w:pPr>
    </w:p>
    <w:p w14:paraId="74E264B0"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color w:val="1E1916"/>
          <w:lang w:val="es-ES_tradnl"/>
        </w:rPr>
        <w:t xml:space="preserve">La sujeción de los órganos públicos a la ley se concreta en el principio de </w:t>
      </w:r>
      <w:r w:rsidRPr="00A52A6B">
        <w:rPr>
          <w:rFonts w:ascii="Palatino Linotype" w:hAnsi="Palatino Linotype"/>
          <w:i/>
          <w:color w:val="1E1916"/>
          <w:lang w:val="es-ES_tradnl"/>
        </w:rPr>
        <w:t>mera legalidad</w:t>
      </w:r>
      <w:r w:rsidRPr="00A52A6B">
        <w:rPr>
          <w:rFonts w:ascii="Palatino Linotype" w:hAnsi="Palatino Linotype"/>
          <w:color w:val="1E1916"/>
          <w:lang w:val="es-ES_tradnl"/>
        </w:rPr>
        <w:t xml:space="preserve">, el cual es distinto al principio de </w:t>
      </w:r>
      <w:r w:rsidRPr="00A52A6B">
        <w:rPr>
          <w:rFonts w:ascii="Palatino Linotype" w:hAnsi="Palatino Linotype"/>
          <w:i/>
          <w:color w:val="1E1916"/>
          <w:lang w:val="es-ES_tradnl"/>
        </w:rPr>
        <w:t xml:space="preserve">estricta legalidad </w:t>
      </w:r>
      <w:r w:rsidRPr="00A52A6B">
        <w:rPr>
          <w:rFonts w:ascii="Palatino Linotype" w:hAnsi="Palatino Linotype"/>
          <w:color w:val="1E1916"/>
          <w:lang w:val="es-ES_tradnl"/>
        </w:rPr>
        <w:t>según el cual las autoridades no solamente deben de acatar las leyes cualesquiera que sean sus contenidos, sino que es preciso además que todos sus actos incluyendo los propios actos legislativos estén subordinados a los derechos fundamentales.</w:t>
      </w:r>
      <w:r w:rsidRPr="00A52A6B">
        <w:rPr>
          <w:rStyle w:val="Refdenotaalpie"/>
          <w:rFonts w:ascii="Palatino Linotype" w:hAnsi="Palatino Linotype"/>
          <w:color w:val="1E1916"/>
          <w:lang w:val="es-ES_tradnl"/>
        </w:rPr>
        <w:footnoteReference w:id="1"/>
      </w:r>
    </w:p>
    <w:p w14:paraId="2C3DA78E" w14:textId="77777777" w:rsidR="00892544" w:rsidRPr="00A52A6B" w:rsidRDefault="00892544" w:rsidP="00892544">
      <w:pPr>
        <w:pStyle w:val="Prrafodelista"/>
        <w:rPr>
          <w:rFonts w:ascii="Palatino Linotype" w:hAnsi="Palatino Linotype"/>
          <w:lang w:val="es-ES_tradnl"/>
        </w:rPr>
      </w:pPr>
    </w:p>
    <w:p w14:paraId="5451B08D"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El principio de legalidad implica que toda acción de cualquier órgano investido de poder estatal debe estar justificada por una ley previa, toda vez que violentar este principio no solo es violatorio de los derechos de seguridad jurídica, sino que atenta contra del Estado de Derecho en el cual las autoridades deben encontrarse sujetas a la ley, es decir debe existir sujeción de los poderes públicos al </w:t>
      </w:r>
      <w:r w:rsidRPr="00A52A6B">
        <w:rPr>
          <w:rFonts w:ascii="Palatino Linotype" w:hAnsi="Palatino Linotype"/>
          <w:lang w:val="es-ES_tradnl"/>
        </w:rPr>
        <w:lastRenderedPageBreak/>
        <w:t xml:space="preserve">ordenamiento legal. Es por ello, que el Estado de Derecho es aquel en el cual prevalece el principio de legalidad que regula y controla el poder y la actividad de los órganos del Estado y en el que el sometimiento a la ley, sin lugar a dudas, </w:t>
      </w:r>
      <w:proofErr w:type="spellStart"/>
      <w:r w:rsidRPr="00A52A6B">
        <w:rPr>
          <w:rFonts w:ascii="Palatino Linotype" w:hAnsi="Palatino Linotype"/>
          <w:lang w:val="es-ES_tradnl"/>
        </w:rPr>
        <w:t>esta</w:t>
      </w:r>
      <w:proofErr w:type="spellEnd"/>
      <w:r w:rsidRPr="00A52A6B">
        <w:rPr>
          <w:rFonts w:ascii="Palatino Linotype" w:hAnsi="Palatino Linotype"/>
          <w:lang w:val="es-ES_tradnl"/>
        </w:rPr>
        <w:t xml:space="preserve"> relacionado con el respeto a la persona humana y a sus derechos fundamentales.</w:t>
      </w:r>
    </w:p>
    <w:p w14:paraId="5CEEF361" w14:textId="77777777" w:rsidR="00892544" w:rsidRPr="00A52A6B" w:rsidRDefault="00892544" w:rsidP="00892544">
      <w:pPr>
        <w:pStyle w:val="Textoindependiente"/>
        <w:spacing w:line="247" w:lineRule="auto"/>
        <w:ind w:left="117" w:right="113"/>
        <w:rPr>
          <w:rFonts w:ascii="Palatino Linotype" w:hAnsi="Palatino Linotype"/>
          <w:lang w:val="es-ES_tradnl"/>
        </w:rPr>
      </w:pPr>
    </w:p>
    <w:p w14:paraId="55FBA821" w14:textId="77777777" w:rsidR="00892544" w:rsidRPr="00A52A6B" w:rsidRDefault="00892544" w:rsidP="00892544">
      <w:pPr>
        <w:spacing w:line="249" w:lineRule="auto"/>
        <w:ind w:left="357" w:right="116"/>
        <w:jc w:val="both"/>
        <w:rPr>
          <w:rFonts w:ascii="Palatino Linotype" w:hAnsi="Palatino Linotype"/>
          <w:sz w:val="20"/>
          <w:lang w:val="es-ES_tradnl"/>
        </w:rPr>
      </w:pPr>
    </w:p>
    <w:p w14:paraId="326DD64D"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En consecuencia, los órganos de Estado definen sus alcances bajo la tutela del principio de legalidad consagrado en la Constitución por el cual deben </w:t>
      </w:r>
      <w:r w:rsidRPr="00A52A6B">
        <w:rPr>
          <w:rFonts w:ascii="Palatino Linotype" w:hAnsi="Palatino Linotype"/>
          <w:shd w:val="clear" w:color="auto" w:fill="FFFFFF"/>
          <w:lang w:val="es-ES_tradnl"/>
        </w:rPr>
        <w:t>de fundar y motivar sus actos consiste en citar de manera específica la ley exactamente aplicable al caso, así como en expresar las circunstancias especiales, razones particulares o causas inmediatas que se hayan tenido en consideración para la emisión del acto y la adecuación entre los motivos aducidos y las normas aplicables de lo contrario las actuaciones, resoluciones o actos serían violatorias del artículo 16 constitucional.</w:t>
      </w:r>
    </w:p>
    <w:p w14:paraId="3AC3196C" w14:textId="77777777" w:rsidR="00892544" w:rsidRPr="00A52A6B" w:rsidRDefault="00892544" w:rsidP="00892544">
      <w:pPr>
        <w:rPr>
          <w:rFonts w:ascii="Palatino Linotype" w:hAnsi="Palatino Linotype"/>
          <w:lang w:val="es-ES_tradnl"/>
        </w:rPr>
      </w:pPr>
    </w:p>
    <w:p w14:paraId="69B308B7"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Es por ello, que el principio de legalidad se encuentra íntimamente relacionado con el de fundamentación y motivación, entendiéndose por fundamentación que deberá expresarse con precisión el precepto legal aplicable al caso y, por motivación, que deben señalarse, con precisión, las circunstancias especiales, razones particulares o causas inmediatas que se hayan tenido en consideración para la emisión del acto; siendo necesario, además, que se presente subsunción entre </w:t>
      </w:r>
      <w:r w:rsidRPr="00A52A6B">
        <w:rPr>
          <w:rFonts w:ascii="Palatino Linotype" w:hAnsi="Palatino Linotype"/>
          <w:spacing w:val="-2"/>
          <w:lang w:val="es-ES_tradnl"/>
        </w:rPr>
        <w:t xml:space="preserve">los </w:t>
      </w:r>
      <w:r w:rsidRPr="00A52A6B">
        <w:rPr>
          <w:rFonts w:ascii="Palatino Linotype" w:hAnsi="Palatino Linotype"/>
          <w:lang w:val="es-ES_tradnl"/>
        </w:rPr>
        <w:t>fundamentos y motivos del acto de autoridad, es decir, que exista adecuación entre los motivos aducidos y las normas aplicables, configurándose así las hipótesis</w:t>
      </w:r>
      <w:r w:rsidRPr="00A52A6B">
        <w:rPr>
          <w:rFonts w:ascii="Palatino Linotype" w:hAnsi="Palatino Linotype"/>
          <w:spacing w:val="-5"/>
          <w:lang w:val="es-ES_tradnl"/>
        </w:rPr>
        <w:t xml:space="preserve"> </w:t>
      </w:r>
      <w:r w:rsidRPr="00A52A6B">
        <w:rPr>
          <w:rFonts w:ascii="Palatino Linotype" w:hAnsi="Palatino Linotype"/>
          <w:lang w:val="es-ES_tradnl"/>
        </w:rPr>
        <w:t>normativas.</w:t>
      </w:r>
    </w:p>
    <w:p w14:paraId="1462556F" w14:textId="77777777" w:rsidR="00892544" w:rsidRPr="00A52A6B" w:rsidRDefault="00892544" w:rsidP="00892544">
      <w:pPr>
        <w:pStyle w:val="Prrafodelista"/>
        <w:tabs>
          <w:tab w:val="left" w:pos="0"/>
        </w:tabs>
        <w:spacing w:line="360" w:lineRule="auto"/>
        <w:ind w:left="0" w:right="49"/>
        <w:jc w:val="both"/>
        <w:rPr>
          <w:rFonts w:ascii="Palatino Linotype" w:hAnsi="Palatino Linotype"/>
          <w:lang w:val="es-ES_tradnl"/>
        </w:rPr>
      </w:pPr>
    </w:p>
    <w:p w14:paraId="1B744DF5"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Sirve de sustento a lo anterior, la jurisprudencia que abajo se cita, la cual ha sido sustento de las numerosas ejecutorias que ha dictado el Poder Judicial de la Federación y que ha sido uno de los sustentos que han dado lugar a las diversas tesis aisladas y jurisprudenciales que existen en materia de fundamentación y</w:t>
      </w:r>
      <w:r w:rsidRPr="00A52A6B">
        <w:rPr>
          <w:rFonts w:ascii="Palatino Linotype" w:hAnsi="Palatino Linotype"/>
          <w:spacing w:val="-4"/>
          <w:lang w:val="es-ES_tradnl"/>
        </w:rPr>
        <w:t xml:space="preserve"> </w:t>
      </w:r>
      <w:r w:rsidRPr="00A52A6B">
        <w:rPr>
          <w:rFonts w:ascii="Palatino Linotype" w:hAnsi="Palatino Linotype"/>
          <w:lang w:val="es-ES_tradnl"/>
        </w:rPr>
        <w:t>motivación:</w:t>
      </w:r>
    </w:p>
    <w:p w14:paraId="57DF602F" w14:textId="77777777" w:rsidR="00892544" w:rsidRPr="00A52A6B" w:rsidRDefault="00892544" w:rsidP="00892544">
      <w:pPr>
        <w:pStyle w:val="Prrafodelista"/>
        <w:rPr>
          <w:rFonts w:ascii="Palatino Linotype" w:hAnsi="Palatino Linotype"/>
          <w:lang w:val="es-ES_tradnl"/>
        </w:rPr>
      </w:pPr>
    </w:p>
    <w:p w14:paraId="2F79BD0C" w14:textId="77777777" w:rsidR="00892544" w:rsidRPr="00A52A6B" w:rsidRDefault="00892544" w:rsidP="00892544">
      <w:pPr>
        <w:spacing w:line="276" w:lineRule="auto"/>
        <w:ind w:left="908" w:right="1121"/>
        <w:jc w:val="both"/>
        <w:rPr>
          <w:rFonts w:ascii="Palatino Linotype" w:hAnsi="Palatino Linotype"/>
          <w:i/>
          <w:lang w:val="es-ES_tradnl"/>
        </w:rPr>
      </w:pPr>
      <w:r w:rsidRPr="00A52A6B">
        <w:rPr>
          <w:rFonts w:ascii="Palatino Linotype" w:hAnsi="Palatino Linotype"/>
          <w:b/>
          <w:i/>
          <w:lang w:val="es-ES_tradnl"/>
        </w:rPr>
        <w:t xml:space="preserve">“FUNDAMENTACION Y MOTIVACION. </w:t>
      </w:r>
      <w:r w:rsidRPr="00A52A6B">
        <w:rPr>
          <w:rFonts w:ascii="Palatino Linotype" w:hAnsi="Palatino Linotype"/>
          <w:i/>
          <w:lang w:val="es-ES_tradnl"/>
        </w:rPr>
        <w:t>De acuerdo con el artículo 16 de la Constitución Federal, todo acto de autoridad debe estar adecuada y suficientemente fundado y motivado, entendiéndose por lo primero que ha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configuren las hipótesis</w:t>
      </w:r>
      <w:r w:rsidRPr="00A52A6B">
        <w:rPr>
          <w:rFonts w:ascii="Palatino Linotype" w:hAnsi="Palatino Linotype"/>
          <w:i/>
          <w:spacing w:val="-2"/>
          <w:lang w:val="es-ES_tradnl"/>
        </w:rPr>
        <w:t xml:space="preserve"> </w:t>
      </w:r>
      <w:r w:rsidRPr="00A52A6B">
        <w:rPr>
          <w:rFonts w:ascii="Palatino Linotype" w:hAnsi="Palatino Linotype"/>
          <w:i/>
          <w:lang w:val="es-ES_tradnl"/>
        </w:rPr>
        <w:t>normativas.”</w:t>
      </w:r>
      <w:r w:rsidRPr="00A52A6B">
        <w:rPr>
          <w:rStyle w:val="Refdenotaalpie"/>
          <w:rFonts w:ascii="Palatino Linotype" w:hAnsi="Palatino Linotype"/>
          <w:i/>
          <w:lang w:val="es-ES_tradnl"/>
        </w:rPr>
        <w:footnoteReference w:id="2"/>
      </w:r>
    </w:p>
    <w:p w14:paraId="6C564442" w14:textId="77777777" w:rsidR="00892544" w:rsidRPr="00A52A6B" w:rsidRDefault="00892544" w:rsidP="00892544">
      <w:pPr>
        <w:spacing w:line="276" w:lineRule="auto"/>
        <w:ind w:left="908" w:right="1121"/>
        <w:jc w:val="both"/>
        <w:rPr>
          <w:rFonts w:ascii="Palatino Linotype" w:hAnsi="Palatino Linotype"/>
          <w:i/>
          <w:lang w:val="es-ES_tradnl"/>
        </w:rPr>
      </w:pPr>
    </w:p>
    <w:p w14:paraId="44857C15" w14:textId="77777777" w:rsidR="00892544" w:rsidRPr="00A52A6B" w:rsidRDefault="00892544" w:rsidP="00892544">
      <w:pPr>
        <w:pStyle w:val="Ttulo1"/>
        <w:spacing w:line="360" w:lineRule="auto"/>
        <w:jc w:val="both"/>
        <w:rPr>
          <w:rFonts w:ascii="Palatino Linotype" w:hAnsi="Palatino Linotype"/>
          <w:b/>
          <w:color w:val="auto"/>
          <w:sz w:val="24"/>
          <w:szCs w:val="24"/>
        </w:rPr>
      </w:pPr>
      <w:bookmarkStart w:id="8" w:name="_Toc66304362"/>
      <w:r w:rsidRPr="00A52A6B">
        <w:rPr>
          <w:rFonts w:ascii="Palatino Linotype" w:hAnsi="Palatino Linotype"/>
          <w:b/>
          <w:color w:val="auto"/>
          <w:sz w:val="24"/>
          <w:szCs w:val="24"/>
        </w:rPr>
        <w:t>II. De las causales legamente establecidas de procedencias del recurso de inconformidad establecido en el Ley General de Transparencia y Acceso a la Información Pública</w:t>
      </w:r>
      <w:bookmarkEnd w:id="8"/>
    </w:p>
    <w:p w14:paraId="4FF5FEE1" w14:textId="77777777" w:rsidR="00892544" w:rsidRPr="00A52A6B" w:rsidRDefault="00892544" w:rsidP="00892544">
      <w:pPr>
        <w:pStyle w:val="Prrafodelista"/>
        <w:rPr>
          <w:rFonts w:ascii="Palatino Linotype" w:hAnsi="Palatino Linotype"/>
          <w:lang w:val="es-ES_tradnl"/>
        </w:rPr>
      </w:pPr>
    </w:p>
    <w:p w14:paraId="2B3FE1FE"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El artículo 6º. constitucional, fracción VIII contempla la facultad del Instituto Nacional de Transparencia, Acceso a la Información y Protección de Datos </w:t>
      </w:r>
      <w:r w:rsidRPr="00A52A6B">
        <w:rPr>
          <w:rFonts w:ascii="Palatino Linotype" w:hAnsi="Palatino Linotype"/>
          <w:lang w:val="es-ES_tradnl"/>
        </w:rPr>
        <w:lastRenderedPageBreak/>
        <w:t>Personales (INAI) de revisar, en segunda instancia, las resoluciones de sus homólogos en el nivel local, en los términos siguientes:</w:t>
      </w:r>
    </w:p>
    <w:p w14:paraId="4CCDA876" w14:textId="77777777" w:rsidR="00892544" w:rsidRPr="00A52A6B" w:rsidRDefault="00892544" w:rsidP="00892544">
      <w:pPr>
        <w:pStyle w:val="Prrafodelista"/>
        <w:rPr>
          <w:rFonts w:ascii="Palatino Linotype" w:hAnsi="Palatino Linotype"/>
          <w:lang w:val="es-ES_tradnl"/>
        </w:rPr>
      </w:pPr>
    </w:p>
    <w:p w14:paraId="08C492E2" w14:textId="77777777" w:rsidR="00892544" w:rsidRPr="00A52A6B" w:rsidRDefault="00892544" w:rsidP="00892544">
      <w:pPr>
        <w:spacing w:line="276" w:lineRule="auto"/>
        <w:ind w:left="900"/>
        <w:jc w:val="both"/>
        <w:rPr>
          <w:rFonts w:ascii="Palatino Linotype" w:hAnsi="Palatino Linotype"/>
          <w:i/>
          <w:lang w:val="es-ES_tradnl"/>
        </w:rPr>
      </w:pPr>
      <w:r w:rsidRPr="00A52A6B">
        <w:rPr>
          <w:rFonts w:ascii="Palatino Linotype" w:hAnsi="Palatino Linotype"/>
          <w:b/>
          <w:i/>
          <w:lang w:val="es-ES_tradnl"/>
        </w:rPr>
        <w:t>“Artículo 6o.</w:t>
      </w:r>
      <w:r w:rsidRPr="00A52A6B">
        <w:rPr>
          <w:rFonts w:ascii="Palatino Linotype" w:hAnsi="Palatino Linotype"/>
          <w:i/>
          <w:lang w:val="es-ES_tradnl"/>
        </w:rPr>
        <w:t xml:space="preserve"> (…) </w:t>
      </w:r>
    </w:p>
    <w:p w14:paraId="78439DAC" w14:textId="77777777" w:rsidR="00892544" w:rsidRPr="00A52A6B" w:rsidRDefault="00892544" w:rsidP="00892544">
      <w:pPr>
        <w:spacing w:line="276" w:lineRule="auto"/>
        <w:ind w:left="900"/>
        <w:jc w:val="both"/>
        <w:rPr>
          <w:rFonts w:ascii="Palatino Linotype" w:hAnsi="Palatino Linotype"/>
          <w:b/>
          <w:i/>
          <w:lang w:val="es-ES_tradnl"/>
        </w:rPr>
      </w:pPr>
      <w:r w:rsidRPr="00A52A6B">
        <w:rPr>
          <w:rFonts w:ascii="Palatino Linotype" w:hAnsi="Palatino Linotype"/>
          <w:b/>
          <w:i/>
          <w:lang w:val="es-ES_tradnl"/>
        </w:rPr>
        <w:t xml:space="preserve">A. (...) </w:t>
      </w:r>
    </w:p>
    <w:p w14:paraId="5504CAD1" w14:textId="77777777" w:rsidR="00892544" w:rsidRPr="00A52A6B" w:rsidRDefault="00892544" w:rsidP="00892544">
      <w:pPr>
        <w:spacing w:line="276" w:lineRule="auto"/>
        <w:ind w:left="900"/>
        <w:jc w:val="both"/>
        <w:rPr>
          <w:rFonts w:ascii="Palatino Linotype" w:hAnsi="Palatino Linotype"/>
          <w:i/>
          <w:lang w:val="es-ES_tradnl"/>
        </w:rPr>
      </w:pPr>
      <w:r w:rsidRPr="00A52A6B">
        <w:rPr>
          <w:rFonts w:ascii="Palatino Linotype" w:hAnsi="Palatino Linotype"/>
          <w:b/>
          <w:i/>
          <w:lang w:val="es-ES_tradnl"/>
        </w:rPr>
        <w:t>VIII.-</w:t>
      </w:r>
      <w:r w:rsidRPr="00A52A6B">
        <w:rPr>
          <w:rFonts w:ascii="Palatino Linotype" w:hAnsi="Palatino Linotype"/>
          <w:i/>
          <w:lang w:val="es-ES_tradnl"/>
        </w:rPr>
        <w:t xml:space="preserve"> El organismo garante tiene competencia para conocer de los asuntos relacionados con el acceso a la información pública y la protección de datos personales de cualquier autoridad, entidad, órgano u organismo que forme parte de alguno de los poderes Ejecutivo, Legislativo y Judicial, órganos autónomos, partidos políticos, fideicomisos y fondos públicos, así como de cualquier persona física, moral o sindicatos que reciba y ejerza recursos públicos o realice actos de autoridad en el ámbito federal; con excepción de aquellos asuntos jurisdiccionales que correspondan a la Suprema Corte de Justicia de la Nación, en cuyo caso resolverá un comité integrado por tres ministros. </w:t>
      </w:r>
      <w:r w:rsidRPr="00A52A6B">
        <w:rPr>
          <w:rFonts w:ascii="Palatino Linotype" w:hAnsi="Palatino Linotype"/>
          <w:b/>
          <w:i/>
          <w:lang w:val="es-ES_tradnl"/>
        </w:rPr>
        <w:t>También conocerá de los recursos que interpongan los particulares respecto de las resoluciones de los organismos autónomos especializados de los estados y el Distrito Federal que determinen la reserva, confidencialidad, inexistencia o negativa de la información, en los términos que establezca la ley.</w:t>
      </w:r>
      <w:r w:rsidRPr="00A52A6B">
        <w:rPr>
          <w:rFonts w:ascii="Palatino Linotype" w:hAnsi="Palatino Linotype"/>
          <w:i/>
          <w:lang w:val="es-ES_tradnl"/>
        </w:rPr>
        <w:t xml:space="preserve"> </w:t>
      </w:r>
    </w:p>
    <w:p w14:paraId="33E58D2B" w14:textId="77777777" w:rsidR="00892544" w:rsidRPr="00A52A6B" w:rsidRDefault="00892544" w:rsidP="00892544">
      <w:pPr>
        <w:pStyle w:val="Prrafodelista"/>
        <w:rPr>
          <w:rFonts w:ascii="Palatino Linotype" w:hAnsi="Palatino Linotype"/>
          <w:lang w:val="es-ES_tradnl"/>
        </w:rPr>
      </w:pPr>
    </w:p>
    <w:p w14:paraId="08656AEA"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Acorde al texto constitucional, el artículo 160 de la Ley General de Transparencia y Acceso a la Información Pública, regula el recurso de inconformidad como un mecanismo alternativo de impugnación de las resoluciones a los recursos de revisión emitidas por los organismos garantes locales, cuando confirmen o modifiquen la clasificación de información, confirmen la inexistencia o exista una negativa de información, detallando en sus dos fracciones, las causas por las cuales se puede interponer un recurso de inconformidad ante el INAI. </w:t>
      </w:r>
    </w:p>
    <w:p w14:paraId="35C340A4"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lastRenderedPageBreak/>
        <w:t>El artículo 160 de la Ley General de Transparencia y Acceso a la Información establece:</w:t>
      </w:r>
    </w:p>
    <w:p w14:paraId="1E939ECF" w14:textId="77777777" w:rsidR="00892544" w:rsidRPr="00A52A6B" w:rsidRDefault="00892544" w:rsidP="00892544">
      <w:pPr>
        <w:spacing w:line="276" w:lineRule="auto"/>
        <w:ind w:left="810"/>
        <w:jc w:val="both"/>
        <w:rPr>
          <w:rFonts w:ascii="Palatino Linotype" w:hAnsi="Palatino Linotype"/>
          <w:i/>
          <w:lang w:val="es-ES_tradnl"/>
        </w:rPr>
      </w:pPr>
      <w:r w:rsidRPr="00A52A6B">
        <w:rPr>
          <w:rFonts w:ascii="Palatino Linotype" w:hAnsi="Palatino Linotype"/>
          <w:b/>
          <w:i/>
          <w:lang w:val="es-ES_tradnl"/>
        </w:rPr>
        <w:t>Artículo 160.</w:t>
      </w:r>
      <w:r w:rsidRPr="00A52A6B">
        <w:rPr>
          <w:rFonts w:ascii="Palatino Linotype" w:hAnsi="Palatino Linotype"/>
          <w:i/>
          <w:lang w:val="es-ES_tradnl"/>
        </w:rPr>
        <w:t xml:space="preserve"> El recurso de inconformidad procede contra las resoluciones emitidas por los Organismos garantes de las Entidades Federativas que</w:t>
      </w:r>
    </w:p>
    <w:p w14:paraId="20402CC4" w14:textId="77777777" w:rsidR="00892544" w:rsidRPr="00A52A6B" w:rsidRDefault="00892544" w:rsidP="00892544">
      <w:pPr>
        <w:spacing w:line="276" w:lineRule="auto"/>
        <w:ind w:left="810"/>
        <w:jc w:val="both"/>
        <w:rPr>
          <w:rFonts w:ascii="Palatino Linotype" w:hAnsi="Palatino Linotype"/>
          <w:i/>
          <w:lang w:val="es-ES_tradnl"/>
        </w:rPr>
      </w:pPr>
    </w:p>
    <w:p w14:paraId="59020C34" w14:textId="77777777" w:rsidR="00892544" w:rsidRPr="00A52A6B" w:rsidRDefault="00892544" w:rsidP="00892544">
      <w:pPr>
        <w:spacing w:line="276" w:lineRule="auto"/>
        <w:ind w:left="810"/>
        <w:jc w:val="both"/>
        <w:rPr>
          <w:rFonts w:ascii="Palatino Linotype" w:hAnsi="Palatino Linotype"/>
          <w:i/>
          <w:lang w:val="es-ES_tradnl"/>
        </w:rPr>
      </w:pPr>
      <w:r w:rsidRPr="00A52A6B">
        <w:rPr>
          <w:rFonts w:ascii="Palatino Linotype" w:hAnsi="Palatino Linotype"/>
          <w:i/>
          <w:lang w:val="es-ES_tradnl"/>
        </w:rPr>
        <w:t xml:space="preserve">I. Confirmen o modifiquen la clasificación de la información, o </w:t>
      </w:r>
    </w:p>
    <w:p w14:paraId="3E9B1F27" w14:textId="77777777" w:rsidR="00892544" w:rsidRPr="00A52A6B" w:rsidRDefault="00892544" w:rsidP="00892544">
      <w:pPr>
        <w:spacing w:line="276" w:lineRule="auto"/>
        <w:ind w:left="810"/>
        <w:jc w:val="both"/>
        <w:rPr>
          <w:rFonts w:ascii="Palatino Linotype" w:hAnsi="Palatino Linotype"/>
          <w:i/>
          <w:lang w:val="es-ES_tradnl"/>
        </w:rPr>
      </w:pPr>
      <w:r w:rsidRPr="00A52A6B">
        <w:rPr>
          <w:rFonts w:ascii="Palatino Linotype" w:hAnsi="Palatino Linotype"/>
          <w:i/>
          <w:lang w:val="es-ES_tradnl"/>
        </w:rPr>
        <w:t xml:space="preserve">II. Confirmen la inexistencia o negativa de información. </w:t>
      </w:r>
    </w:p>
    <w:p w14:paraId="6006E319" w14:textId="77777777" w:rsidR="00892544" w:rsidRPr="00A52A6B" w:rsidRDefault="00892544" w:rsidP="00892544">
      <w:pPr>
        <w:spacing w:line="276" w:lineRule="auto"/>
        <w:ind w:left="810"/>
        <w:jc w:val="both"/>
        <w:rPr>
          <w:rFonts w:ascii="Palatino Linotype" w:hAnsi="Palatino Linotype"/>
          <w:i/>
          <w:lang w:val="es-ES_tradnl"/>
        </w:rPr>
      </w:pPr>
    </w:p>
    <w:p w14:paraId="03431E50" w14:textId="77777777" w:rsidR="00892544" w:rsidRPr="00A52A6B" w:rsidRDefault="00892544" w:rsidP="00892544">
      <w:pPr>
        <w:spacing w:line="276" w:lineRule="auto"/>
        <w:ind w:left="810"/>
        <w:jc w:val="both"/>
        <w:rPr>
          <w:rFonts w:ascii="Palatino Linotype" w:hAnsi="Palatino Linotype"/>
          <w:i/>
          <w:lang w:val="es-ES_tradnl"/>
        </w:rPr>
      </w:pPr>
      <w:r w:rsidRPr="00A52A6B">
        <w:rPr>
          <w:rFonts w:ascii="Palatino Linotype" w:hAnsi="Palatino Linotype"/>
          <w:i/>
          <w:lang w:val="es-ES_tradnl"/>
        </w:rPr>
        <w:t>Se entenderá como negativa de acceso a la información la falta de resolución de los Organismos garantes de las Entidades Federativas dentro del plazo previsto para ello.</w:t>
      </w:r>
    </w:p>
    <w:p w14:paraId="40EE8993" w14:textId="77777777" w:rsidR="00892544" w:rsidRPr="00A52A6B" w:rsidRDefault="00892544" w:rsidP="00892544">
      <w:pPr>
        <w:pStyle w:val="Prrafodelista"/>
        <w:tabs>
          <w:tab w:val="left" w:pos="0"/>
        </w:tabs>
        <w:spacing w:line="360" w:lineRule="auto"/>
        <w:ind w:left="0" w:right="49"/>
        <w:jc w:val="both"/>
        <w:rPr>
          <w:rFonts w:ascii="Palatino Linotype" w:hAnsi="Palatino Linotype"/>
          <w:lang w:val="es-ES_tradnl"/>
        </w:rPr>
      </w:pPr>
    </w:p>
    <w:p w14:paraId="1A20B42F"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De la interpretación literal de la Ley General se advierte que procede el recurso de inconformidad cuando en las resoluciones emitidas por los organismos garantes de las Entidades Federativas se confirme o modifique la clasificación de información, confirmen la inexistencia o negativa de la información, por lo que conviene analizar cada una de las causales legalmente establecidas en el </w:t>
      </w:r>
      <w:proofErr w:type="spellStart"/>
      <w:r w:rsidRPr="00A52A6B">
        <w:rPr>
          <w:rFonts w:ascii="Palatino Linotype" w:hAnsi="Palatino Linotype"/>
          <w:lang w:val="es-ES_tradnl"/>
        </w:rPr>
        <w:t>articulo</w:t>
      </w:r>
      <w:proofErr w:type="spellEnd"/>
      <w:r w:rsidRPr="00A52A6B">
        <w:rPr>
          <w:rFonts w:ascii="Palatino Linotype" w:hAnsi="Palatino Linotype"/>
          <w:lang w:val="es-ES_tradnl"/>
        </w:rPr>
        <w:t xml:space="preserve"> 160 del ordenamiento legal en cita.</w:t>
      </w:r>
    </w:p>
    <w:p w14:paraId="73AD2924" w14:textId="77777777" w:rsidR="00892544" w:rsidRPr="00A52A6B" w:rsidRDefault="00892544" w:rsidP="00892544">
      <w:pPr>
        <w:pStyle w:val="Prrafodelista"/>
        <w:tabs>
          <w:tab w:val="left" w:pos="0"/>
        </w:tabs>
        <w:spacing w:line="360" w:lineRule="auto"/>
        <w:ind w:left="0" w:right="49"/>
        <w:jc w:val="both"/>
        <w:rPr>
          <w:rFonts w:ascii="Palatino Linotype" w:hAnsi="Palatino Linotype"/>
          <w:i/>
          <w:lang w:val="es-ES_tradnl"/>
        </w:rPr>
      </w:pPr>
    </w:p>
    <w:p w14:paraId="55104183" w14:textId="77777777" w:rsidR="00892544" w:rsidRPr="00A52A6B" w:rsidRDefault="00892544" w:rsidP="00892544">
      <w:pPr>
        <w:pStyle w:val="Prrafodelista"/>
        <w:numPr>
          <w:ilvl w:val="2"/>
          <w:numId w:val="1"/>
        </w:numPr>
        <w:tabs>
          <w:tab w:val="left" w:pos="0"/>
        </w:tabs>
        <w:spacing w:line="360" w:lineRule="auto"/>
        <w:ind w:left="360" w:right="49"/>
        <w:jc w:val="both"/>
        <w:rPr>
          <w:rFonts w:ascii="Palatino Linotype" w:hAnsi="Palatino Linotype"/>
          <w:b/>
          <w:lang w:val="es-ES_tradnl"/>
        </w:rPr>
      </w:pPr>
      <w:r w:rsidRPr="00A52A6B">
        <w:rPr>
          <w:rFonts w:ascii="Palatino Linotype" w:hAnsi="Palatino Linotype"/>
          <w:b/>
          <w:lang w:val="es-ES_tradnl"/>
        </w:rPr>
        <w:t xml:space="preserve"> Confirmen o modifiquen la clasificación de la información, o </w:t>
      </w:r>
    </w:p>
    <w:p w14:paraId="6BAE2D1B" w14:textId="77777777" w:rsidR="00892544" w:rsidRPr="00A52A6B" w:rsidRDefault="00892544" w:rsidP="00892544">
      <w:pPr>
        <w:pStyle w:val="Prrafodelista"/>
        <w:tabs>
          <w:tab w:val="left" w:pos="0"/>
        </w:tabs>
        <w:spacing w:line="360" w:lineRule="auto"/>
        <w:ind w:left="0" w:right="49"/>
        <w:jc w:val="both"/>
        <w:rPr>
          <w:rFonts w:ascii="Palatino Linotype" w:hAnsi="Palatino Linotype"/>
          <w:lang w:val="es-ES_tradnl"/>
        </w:rPr>
      </w:pPr>
    </w:p>
    <w:p w14:paraId="140561F1"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El artículo 179 fracción II de la Ley de Transparencia y Acceso a la Información del Estado de México y Municipios establece que el recurso de revisión procede en contra de la clasificación de la información, la cual consiste en </w:t>
      </w:r>
      <w:r w:rsidRPr="00A52A6B">
        <w:rPr>
          <w:rFonts w:ascii="Palatino Linotype" w:eastAsiaTheme="minorHAnsi" w:hAnsi="Palatino Linotype"/>
          <w:lang w:val="es-ES_tradnl" w:eastAsia="en-US"/>
        </w:rPr>
        <w:t xml:space="preserve">la </w:t>
      </w:r>
      <w:r w:rsidRPr="00A52A6B">
        <w:rPr>
          <w:rFonts w:ascii="Palatino Linotype" w:eastAsiaTheme="minorHAnsi" w:hAnsi="Palatino Linotype"/>
          <w:lang w:val="es-ES_tradnl" w:eastAsia="en-US"/>
        </w:rPr>
        <w:lastRenderedPageBreak/>
        <w:t>restricción temporal (por</w:t>
      </w:r>
      <w:r w:rsidRPr="00A52A6B">
        <w:rPr>
          <w:rFonts w:ascii="Palatino Linotype" w:hAnsi="Palatino Linotype"/>
          <w:lang w:val="es-ES_tradnl"/>
        </w:rPr>
        <w:t xml:space="preserve"> </w:t>
      </w:r>
      <w:r w:rsidRPr="00A52A6B">
        <w:rPr>
          <w:rFonts w:ascii="Palatino Linotype" w:eastAsiaTheme="minorHAnsi" w:hAnsi="Palatino Linotype"/>
          <w:lang w:val="es-ES_tradnl" w:eastAsia="en-US"/>
        </w:rPr>
        <w:t xml:space="preserve">reserva), o permanente (por confidencialidad), del ejercicio del derecho de acceso a la información, </w:t>
      </w:r>
      <w:r w:rsidRPr="00A52A6B">
        <w:rPr>
          <w:rFonts w:ascii="Palatino Linotype" w:hAnsi="Palatino Linotype"/>
          <w:lang w:val="es-ES_tradnl"/>
        </w:rPr>
        <w:t xml:space="preserve">ya sea </w:t>
      </w:r>
      <w:r w:rsidRPr="00A52A6B">
        <w:rPr>
          <w:rFonts w:ascii="Palatino Linotype" w:eastAsiaTheme="minorHAnsi" w:hAnsi="Palatino Linotype"/>
          <w:lang w:val="es-ES_tradnl" w:eastAsia="en-US"/>
        </w:rPr>
        <w:t>como consecuencia de un acto formal pero inválido, cuando las autoridades han seguido el procedimiento formal y en el acto han participado el titular de la unidad administrativa que gestiona la información, el titular de la unidad de transparencia y el comité de transparencia; pero cuando la decisión posiblemente no cumpla con los criterios substanciales que justifican el procedimiento, en cuyo caso el recurso de revisión, de encontrar fundada la reclamación, deberá dejar sin efecto el acto y</w:t>
      </w:r>
      <w:r w:rsidRPr="00A52A6B">
        <w:rPr>
          <w:rFonts w:ascii="Palatino Linotype" w:hAnsi="Palatino Linotype"/>
          <w:lang w:val="es-ES_tradnl"/>
        </w:rPr>
        <w:t xml:space="preserve"> </w:t>
      </w:r>
      <w:r w:rsidRPr="00A52A6B">
        <w:rPr>
          <w:rFonts w:ascii="Palatino Linotype" w:eastAsiaTheme="minorHAnsi" w:hAnsi="Palatino Linotype"/>
          <w:lang w:val="es-ES_tradnl" w:eastAsia="en-US"/>
        </w:rPr>
        <w:t>ordenar la entrega de la información, o reponer el acuerdo de clasificación con una</w:t>
      </w:r>
      <w:r w:rsidRPr="00A52A6B">
        <w:rPr>
          <w:rFonts w:ascii="Palatino Linotype" w:hAnsi="Palatino Linotype"/>
          <w:lang w:val="es-ES_tradnl"/>
        </w:rPr>
        <w:t xml:space="preserve"> </w:t>
      </w:r>
      <w:r w:rsidRPr="00A52A6B">
        <w:rPr>
          <w:rFonts w:ascii="Palatino Linotype" w:eastAsiaTheme="minorHAnsi" w:hAnsi="Palatino Linotype"/>
          <w:lang w:val="es-ES_tradnl" w:eastAsia="en-US"/>
        </w:rPr>
        <w:t>justificación adecuada; aunque también en este supuesto podríamos estar frente a</w:t>
      </w:r>
      <w:r w:rsidRPr="00A52A6B">
        <w:rPr>
          <w:rFonts w:ascii="Palatino Linotype" w:hAnsi="Palatino Linotype"/>
          <w:lang w:val="es-ES_tradnl"/>
        </w:rPr>
        <w:t xml:space="preserve"> </w:t>
      </w:r>
      <w:r w:rsidRPr="00A52A6B">
        <w:rPr>
          <w:rFonts w:ascii="Palatino Linotype" w:eastAsiaTheme="minorHAnsi" w:hAnsi="Palatino Linotype"/>
          <w:lang w:val="es-ES_tradnl" w:eastAsia="en-US"/>
        </w:rPr>
        <w:t>un acto ilícito, que ocurre cuando se determina la clasificación sin seguir el procedimiento formal, sin que sea emitido por autoridad legalmente facultada para ello, en cuyo caso, deberá de desestimarse la decisión, aunque también determinar</w:t>
      </w:r>
      <w:r w:rsidRPr="00A52A6B">
        <w:rPr>
          <w:rFonts w:ascii="Palatino Linotype" w:hAnsi="Palatino Linotype"/>
          <w:lang w:val="es-ES_tradnl"/>
        </w:rPr>
        <w:t xml:space="preserve"> </w:t>
      </w:r>
      <w:r w:rsidRPr="00A52A6B">
        <w:rPr>
          <w:rFonts w:ascii="Palatino Linotype" w:eastAsiaTheme="minorHAnsi" w:hAnsi="Palatino Linotype"/>
          <w:lang w:val="es-ES_tradnl" w:eastAsia="en-US"/>
        </w:rPr>
        <w:t>la responsabilidad correspondiente a los funcionarios involucrados.</w:t>
      </w:r>
    </w:p>
    <w:p w14:paraId="2D8B1B37" w14:textId="77777777" w:rsidR="00892544" w:rsidRPr="00A52A6B" w:rsidRDefault="00892544" w:rsidP="00892544">
      <w:pPr>
        <w:tabs>
          <w:tab w:val="left" w:pos="0"/>
        </w:tabs>
        <w:spacing w:line="360" w:lineRule="auto"/>
        <w:ind w:right="49"/>
        <w:jc w:val="both"/>
        <w:rPr>
          <w:rFonts w:ascii="Palatino Linotype" w:hAnsi="Palatino Linotype"/>
          <w:lang w:val="es-ES_tradnl"/>
        </w:rPr>
      </w:pPr>
    </w:p>
    <w:p w14:paraId="4C9FDD74"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En ese tenor, el legislador previó que en los casos en los cuales los órganos garantes confirmen o </w:t>
      </w:r>
      <w:proofErr w:type="gramStart"/>
      <w:r w:rsidRPr="00A52A6B">
        <w:rPr>
          <w:rFonts w:ascii="Palatino Linotype" w:hAnsi="Palatino Linotype"/>
          <w:lang w:val="es-ES_tradnl"/>
        </w:rPr>
        <w:t>modifiquen  la</w:t>
      </w:r>
      <w:proofErr w:type="gramEnd"/>
      <w:r w:rsidRPr="00A52A6B">
        <w:rPr>
          <w:rFonts w:ascii="Palatino Linotype" w:hAnsi="Palatino Linotype"/>
          <w:lang w:val="es-ES_tradnl"/>
        </w:rPr>
        <w:t xml:space="preserve"> clasificación de la información, procede el recurso de inconformidad ante el Instituto Nacional de Transparencia, Acceso a la Información Pública y Protección de Datos Personales.</w:t>
      </w:r>
    </w:p>
    <w:p w14:paraId="2BFF8821" w14:textId="77777777" w:rsidR="00892544" w:rsidRPr="00A52A6B" w:rsidRDefault="00892544" w:rsidP="00892544">
      <w:pPr>
        <w:tabs>
          <w:tab w:val="left" w:pos="0"/>
        </w:tabs>
        <w:spacing w:line="360" w:lineRule="auto"/>
        <w:ind w:right="49"/>
        <w:jc w:val="both"/>
        <w:rPr>
          <w:rFonts w:ascii="Palatino Linotype" w:hAnsi="Palatino Linotype"/>
          <w:lang w:val="es-ES_tradnl"/>
        </w:rPr>
      </w:pPr>
    </w:p>
    <w:p w14:paraId="05161D6D"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Ahora bien, el Diccionario de la Real Academia de la Lengua Española define “confirmar”, </w:t>
      </w:r>
      <w:r w:rsidRPr="00A52A6B">
        <w:rPr>
          <w:rFonts w:ascii="Palatino Linotype" w:hAnsi="Palatino Linotype"/>
          <w:i/>
          <w:lang w:val="es-ES_tradnl"/>
        </w:rPr>
        <w:t>“</w:t>
      </w:r>
      <w:r w:rsidRPr="00A52A6B">
        <w:rPr>
          <w:rFonts w:ascii="Palatino Linotype" w:eastAsia="Arial Unicode MS" w:hAnsi="Palatino Linotype" w:cs="Arial Unicode MS"/>
          <w:i/>
          <w:spacing w:val="4"/>
          <w:lang w:val="es-ES_tradnl"/>
        </w:rPr>
        <w:t xml:space="preserve">Del lat. </w:t>
      </w:r>
      <w:proofErr w:type="spellStart"/>
      <w:r w:rsidRPr="00A52A6B">
        <w:rPr>
          <w:rFonts w:ascii="Palatino Linotype" w:eastAsia="Arial Unicode MS" w:hAnsi="Palatino Linotype" w:cs="Arial Unicode MS"/>
          <w:i/>
          <w:iCs/>
          <w:spacing w:val="4"/>
          <w:lang w:val="es-ES_tradnl"/>
        </w:rPr>
        <w:t>confirmāre</w:t>
      </w:r>
      <w:proofErr w:type="spellEnd"/>
      <w:r w:rsidRPr="00A52A6B">
        <w:rPr>
          <w:rFonts w:ascii="Palatino Linotype" w:eastAsia="Arial Unicode MS" w:hAnsi="Palatino Linotype" w:cs="Arial Unicode MS"/>
          <w:i/>
          <w:iCs/>
          <w:spacing w:val="4"/>
          <w:lang w:val="es-ES_tradnl"/>
        </w:rPr>
        <w:t>.</w:t>
      </w:r>
      <w:r w:rsidRPr="00A52A6B">
        <w:rPr>
          <w:rFonts w:ascii="Palatino Linotype" w:hAnsi="Palatino Linotype"/>
          <w:i/>
          <w:lang w:val="es-ES_tradnl"/>
        </w:rPr>
        <w:t xml:space="preserve"> </w:t>
      </w:r>
      <w:r w:rsidRPr="00A52A6B">
        <w:rPr>
          <w:rFonts w:ascii="Palatino Linotype" w:eastAsia="Arial Unicode MS" w:hAnsi="Palatino Linotype" w:cs="Arial Unicode MS"/>
          <w:b/>
          <w:bCs/>
          <w:i/>
          <w:spacing w:val="4"/>
          <w:lang w:val="es-ES_tradnl"/>
        </w:rPr>
        <w:t xml:space="preserve">1. </w:t>
      </w:r>
      <w:proofErr w:type="spellStart"/>
      <w:r w:rsidRPr="00A52A6B">
        <w:rPr>
          <w:rFonts w:ascii="Palatino Linotype" w:eastAsia="Arial Unicode MS" w:hAnsi="Palatino Linotype" w:cs="Arial Unicode MS"/>
          <w:i/>
          <w:spacing w:val="4"/>
          <w:lang w:val="es-ES_tradnl"/>
        </w:rPr>
        <w:t>tr</w:t>
      </w:r>
      <w:proofErr w:type="spellEnd"/>
      <w:r w:rsidRPr="00A52A6B">
        <w:rPr>
          <w:rFonts w:ascii="Palatino Linotype" w:eastAsia="Arial Unicode MS" w:hAnsi="Palatino Linotype" w:cs="Arial Unicode MS"/>
          <w:i/>
          <w:spacing w:val="4"/>
          <w:lang w:val="es-ES_tradnl"/>
        </w:rPr>
        <w:t xml:space="preserve">. Corroborar la verdad, certeza o el grado de </w:t>
      </w:r>
      <w:r w:rsidRPr="00A52A6B">
        <w:rPr>
          <w:rFonts w:ascii="Palatino Linotype" w:eastAsia="Arial Unicode MS" w:hAnsi="Palatino Linotype" w:cs="Arial Unicode MS"/>
          <w:i/>
          <w:spacing w:val="4"/>
          <w:lang w:val="es-ES_tradnl"/>
        </w:rPr>
        <w:lastRenderedPageBreak/>
        <w:t xml:space="preserve">probabilidad de algo. </w:t>
      </w:r>
      <w:r w:rsidRPr="00A52A6B">
        <w:rPr>
          <w:rFonts w:ascii="Palatino Linotype" w:eastAsia="Arial Unicode MS" w:hAnsi="Palatino Linotype" w:cs="Arial Unicode MS"/>
          <w:b/>
          <w:bCs/>
          <w:i/>
          <w:spacing w:val="4"/>
          <w:lang w:val="es-ES_tradnl"/>
        </w:rPr>
        <w:t xml:space="preserve">2. </w:t>
      </w:r>
      <w:proofErr w:type="spellStart"/>
      <w:r w:rsidRPr="00A52A6B">
        <w:rPr>
          <w:rFonts w:ascii="Palatino Linotype" w:eastAsia="Arial Unicode MS" w:hAnsi="Palatino Linotype" w:cs="Arial Unicode MS"/>
          <w:i/>
          <w:spacing w:val="4"/>
          <w:lang w:val="es-ES_tradnl"/>
        </w:rPr>
        <w:t>tr</w:t>
      </w:r>
      <w:proofErr w:type="spellEnd"/>
      <w:r w:rsidRPr="00A52A6B">
        <w:rPr>
          <w:rFonts w:ascii="Palatino Linotype" w:eastAsia="Arial Unicode MS" w:hAnsi="Palatino Linotype" w:cs="Arial Unicode MS"/>
          <w:i/>
          <w:spacing w:val="4"/>
          <w:lang w:val="es-ES_tradnl"/>
        </w:rPr>
        <w:t>. Revalidar lo ya aprobado.</w:t>
      </w:r>
      <w:r w:rsidRPr="00A52A6B">
        <w:rPr>
          <w:rFonts w:ascii="Palatino Linotype" w:hAnsi="Palatino Linotype"/>
          <w:i/>
          <w:lang w:val="es-ES_tradnl"/>
        </w:rPr>
        <w:t xml:space="preserve"> </w:t>
      </w:r>
      <w:r w:rsidRPr="00A52A6B">
        <w:rPr>
          <w:rFonts w:ascii="Palatino Linotype" w:eastAsia="Arial Unicode MS" w:hAnsi="Palatino Linotype" w:cs="Arial Unicode MS"/>
          <w:b/>
          <w:bCs/>
          <w:i/>
          <w:spacing w:val="4"/>
          <w:lang w:val="es-ES_tradnl"/>
        </w:rPr>
        <w:t xml:space="preserve">3. </w:t>
      </w:r>
      <w:proofErr w:type="spellStart"/>
      <w:r w:rsidRPr="00A52A6B">
        <w:rPr>
          <w:rFonts w:ascii="Palatino Linotype" w:eastAsia="Arial Unicode MS" w:hAnsi="Palatino Linotype" w:cs="Arial Unicode MS"/>
          <w:i/>
          <w:spacing w:val="4"/>
          <w:lang w:val="es-ES_tradnl"/>
        </w:rPr>
        <w:t>tr</w:t>
      </w:r>
      <w:proofErr w:type="spellEnd"/>
      <w:r w:rsidRPr="00A52A6B">
        <w:rPr>
          <w:rFonts w:ascii="Palatino Linotype" w:eastAsia="Arial Unicode MS" w:hAnsi="Palatino Linotype" w:cs="Arial Unicode MS"/>
          <w:i/>
          <w:spacing w:val="4"/>
          <w:lang w:val="es-ES_tradnl"/>
        </w:rPr>
        <w:t>. Asegurar, dar a alguien o algo mayor firmeza o seguridad.”</w:t>
      </w:r>
      <w:r w:rsidRPr="00A52A6B">
        <w:rPr>
          <w:rFonts w:ascii="Palatino Linotype" w:eastAsia="Arial Unicode MS" w:hAnsi="Palatino Linotype" w:cs="Arial Unicode MS"/>
          <w:spacing w:val="4"/>
          <w:lang w:val="es-ES_tradnl"/>
        </w:rPr>
        <w:t xml:space="preserve"> </w:t>
      </w:r>
      <w:r w:rsidRPr="00A52A6B">
        <w:rPr>
          <w:rStyle w:val="Refdenotaalpie"/>
          <w:rFonts w:ascii="Palatino Linotype" w:eastAsia="Arial Unicode MS" w:hAnsi="Palatino Linotype" w:cs="Arial Unicode MS"/>
          <w:spacing w:val="4"/>
          <w:lang w:val="es-ES_tradnl"/>
        </w:rPr>
        <w:footnoteReference w:id="3"/>
      </w:r>
      <w:r w:rsidRPr="00A52A6B">
        <w:rPr>
          <w:rFonts w:ascii="Palatino Linotype" w:hAnsi="Palatino Linotype"/>
          <w:lang w:val="es-ES_tradnl"/>
        </w:rPr>
        <w:t xml:space="preserve">Así mismo define “modificar”, </w:t>
      </w:r>
      <w:r w:rsidRPr="00A52A6B">
        <w:rPr>
          <w:rFonts w:ascii="Palatino Linotype" w:hAnsi="Palatino Linotype"/>
          <w:i/>
          <w:lang w:val="es-ES_tradnl"/>
        </w:rPr>
        <w:t>“</w:t>
      </w:r>
      <w:r w:rsidRPr="00A52A6B">
        <w:rPr>
          <w:rFonts w:ascii="Palatino Linotype" w:eastAsia="Arial Unicode MS" w:hAnsi="Palatino Linotype" w:cs="Arial Unicode MS"/>
          <w:i/>
          <w:spacing w:val="4"/>
          <w:lang w:val="es-ES_tradnl"/>
        </w:rPr>
        <w:t xml:space="preserve">Del lat. </w:t>
      </w:r>
      <w:proofErr w:type="spellStart"/>
      <w:r w:rsidRPr="00A52A6B">
        <w:rPr>
          <w:rFonts w:ascii="Palatino Linotype" w:eastAsia="Arial Unicode MS" w:hAnsi="Palatino Linotype" w:cs="Arial Unicode MS"/>
          <w:i/>
          <w:iCs/>
          <w:spacing w:val="4"/>
          <w:lang w:val="es-ES_tradnl"/>
        </w:rPr>
        <w:t>modificāre</w:t>
      </w:r>
      <w:proofErr w:type="spellEnd"/>
      <w:r w:rsidRPr="00A52A6B">
        <w:rPr>
          <w:rFonts w:ascii="Palatino Linotype" w:eastAsia="Arial Unicode MS" w:hAnsi="Palatino Linotype" w:cs="Arial Unicode MS"/>
          <w:i/>
          <w:spacing w:val="4"/>
          <w:lang w:val="es-ES_tradnl"/>
        </w:rPr>
        <w:t xml:space="preserve"> 'regular', 'ordenar', 'moderar'. </w:t>
      </w:r>
      <w:r w:rsidRPr="00A52A6B">
        <w:rPr>
          <w:rFonts w:ascii="Palatino Linotype" w:eastAsia="Arial Unicode MS" w:hAnsi="Palatino Linotype" w:cs="Arial Unicode MS"/>
          <w:b/>
          <w:bCs/>
          <w:i/>
          <w:spacing w:val="4"/>
          <w:lang w:val="es-ES_tradnl"/>
        </w:rPr>
        <w:t xml:space="preserve">1. </w:t>
      </w:r>
      <w:proofErr w:type="spellStart"/>
      <w:r w:rsidRPr="00A52A6B">
        <w:rPr>
          <w:rFonts w:ascii="Palatino Linotype" w:eastAsia="Arial Unicode MS" w:hAnsi="Palatino Linotype" w:cs="Arial Unicode MS"/>
          <w:i/>
          <w:spacing w:val="4"/>
          <w:lang w:val="es-ES_tradnl"/>
        </w:rPr>
        <w:t>tr</w:t>
      </w:r>
      <w:proofErr w:type="spellEnd"/>
      <w:r w:rsidRPr="00A52A6B">
        <w:rPr>
          <w:rFonts w:ascii="Palatino Linotype" w:eastAsia="Arial Unicode MS" w:hAnsi="Palatino Linotype" w:cs="Arial Unicode MS"/>
          <w:i/>
          <w:spacing w:val="4"/>
          <w:lang w:val="es-ES_tradnl"/>
        </w:rPr>
        <w:t xml:space="preserve">. Transformar o cambiar algo mudando alguna de sus características. U. t. c. </w:t>
      </w:r>
      <w:proofErr w:type="spellStart"/>
      <w:r w:rsidRPr="00A52A6B">
        <w:rPr>
          <w:rFonts w:ascii="Palatino Linotype" w:eastAsia="Arial Unicode MS" w:hAnsi="Palatino Linotype" w:cs="Arial Unicode MS"/>
          <w:i/>
          <w:spacing w:val="4"/>
          <w:lang w:val="es-ES_tradnl"/>
        </w:rPr>
        <w:t>prnl</w:t>
      </w:r>
      <w:proofErr w:type="spellEnd"/>
      <w:r w:rsidRPr="00A52A6B">
        <w:rPr>
          <w:rFonts w:ascii="Palatino Linotype" w:eastAsia="Arial Unicode MS" w:hAnsi="Palatino Linotype" w:cs="Arial Unicode MS"/>
          <w:i/>
          <w:spacing w:val="4"/>
          <w:lang w:val="es-ES_tradnl"/>
        </w:rPr>
        <w:t>...”</w:t>
      </w:r>
      <w:r w:rsidRPr="00A52A6B">
        <w:rPr>
          <w:rFonts w:ascii="Palatino Linotype" w:eastAsia="Arial Unicode MS" w:hAnsi="Palatino Linotype" w:cs="Arial Unicode MS"/>
          <w:spacing w:val="4"/>
          <w:lang w:val="es-ES_tradnl"/>
        </w:rPr>
        <w:t xml:space="preserve"> </w:t>
      </w:r>
      <w:r w:rsidRPr="00A52A6B">
        <w:rPr>
          <w:rStyle w:val="Refdenotaalpie"/>
          <w:rFonts w:ascii="Palatino Linotype" w:eastAsia="Arial Unicode MS" w:hAnsi="Palatino Linotype" w:cs="Arial Unicode MS"/>
          <w:spacing w:val="4"/>
          <w:lang w:val="es-ES_tradnl"/>
        </w:rPr>
        <w:footnoteReference w:id="4"/>
      </w:r>
    </w:p>
    <w:p w14:paraId="3C73A45B" w14:textId="77777777" w:rsidR="00892544" w:rsidRPr="00A52A6B" w:rsidRDefault="00892544" w:rsidP="00892544">
      <w:pPr>
        <w:pStyle w:val="Prrafodelista"/>
        <w:rPr>
          <w:rFonts w:ascii="Palatino Linotype" w:hAnsi="Palatino Linotype"/>
          <w:lang w:val="es-ES_tradnl"/>
        </w:rPr>
      </w:pPr>
    </w:p>
    <w:p w14:paraId="3B751505"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De lo anterior, se advierte que la procedencia del recurso de inconformidad previsto en el artículo 160, inciso a) de la Ley General de Transparencia y Acceso a la Información Pública se refiere a los casos en los cuales los órganos garantes en sus resoluciones corroboren, revaliden, le den firmeza (confirmar) o bien, transformen o cambien (modifiquen) la restricción al derecho de acceso a la información (clasificación de la información) hecha por los sujetos obligados.</w:t>
      </w:r>
    </w:p>
    <w:p w14:paraId="15B4321E" w14:textId="77777777" w:rsidR="00892544" w:rsidRPr="00A52A6B" w:rsidRDefault="00892544" w:rsidP="00892544">
      <w:pPr>
        <w:pStyle w:val="Prrafodelista"/>
        <w:rPr>
          <w:rFonts w:ascii="Palatino Linotype" w:hAnsi="Palatino Linotype"/>
          <w:lang w:val="es-ES_tradnl"/>
        </w:rPr>
      </w:pPr>
    </w:p>
    <w:p w14:paraId="3CF35F72" w14:textId="77777777" w:rsidR="00892544" w:rsidRPr="00A52A6B" w:rsidRDefault="00892544" w:rsidP="00892544">
      <w:pPr>
        <w:pStyle w:val="Prrafodelista"/>
        <w:tabs>
          <w:tab w:val="left" w:pos="0"/>
        </w:tabs>
        <w:spacing w:line="360" w:lineRule="auto"/>
        <w:ind w:left="630" w:right="49"/>
        <w:jc w:val="both"/>
        <w:rPr>
          <w:rFonts w:ascii="Palatino Linotype" w:hAnsi="Palatino Linotype"/>
          <w:b/>
          <w:lang w:val="es-ES_tradnl"/>
        </w:rPr>
      </w:pPr>
      <w:r w:rsidRPr="00A52A6B">
        <w:rPr>
          <w:rFonts w:ascii="Palatino Linotype" w:hAnsi="Palatino Linotype"/>
          <w:b/>
          <w:lang w:val="es-ES_tradnl"/>
        </w:rPr>
        <w:t>b) Confirmen la inexistencia o negativa de información</w:t>
      </w:r>
    </w:p>
    <w:p w14:paraId="5FA17B3E" w14:textId="77777777" w:rsidR="00892544" w:rsidRPr="00A52A6B" w:rsidRDefault="00892544" w:rsidP="00892544">
      <w:pPr>
        <w:pStyle w:val="Prrafodelista"/>
        <w:rPr>
          <w:rFonts w:ascii="Palatino Linotype" w:hAnsi="Palatino Linotype"/>
          <w:lang w:val="es-ES_tradnl"/>
        </w:rPr>
      </w:pPr>
    </w:p>
    <w:p w14:paraId="5101E9C4"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El artículo 179 fracción IV de la Ley de Transparencia y Acceso a la Información Pública del Estado de México y Municipios prevé que en contra de la declaración de inexistencia de la información, </w:t>
      </w:r>
      <w:r w:rsidRPr="00A52A6B">
        <w:rPr>
          <w:rFonts w:ascii="Palatino Linotype" w:eastAsiaTheme="minorHAnsi" w:hAnsi="Palatino Linotype"/>
          <w:lang w:val="es-ES_tradnl" w:eastAsia="en-US"/>
        </w:rPr>
        <w:t xml:space="preserve">entendiendo a este acto como consecuencia de los siguientes supuestos: a) que la facultad, competencia o función no se haya ejercido, que sea legalmente posible justificar su no ejercicio y, en consecuencia, el que no se haya generado la información; b) que la facultad, competencia o función no se haya ejercido, sin que sea legalmente posible </w:t>
      </w:r>
      <w:r w:rsidRPr="00A52A6B">
        <w:rPr>
          <w:rFonts w:ascii="Palatino Linotype" w:eastAsiaTheme="minorHAnsi" w:hAnsi="Palatino Linotype"/>
          <w:lang w:val="es-ES_tradnl" w:eastAsia="en-US"/>
        </w:rPr>
        <w:lastRenderedPageBreak/>
        <w:t>justificarlo y, en consecuencia, nos encontramos ante una función no ejercida y, como consecuencia de ello, una imposibilidad de generar información; c) que la facultad, competencia o función se ejerció. pero no se documentó su ejercicio; d) que la facultad, competencia o función se ejerció, se documentó en su momento, pero la información no se localiza; e) que la facultad, competencia o función se ejerció., se documentó. Pero la información se destruyó. siguiendo el procedimiento para la baja documental; f) que la facultad, competencia o función se ejerció., se documentó. pero la información se destruyó sin que se siguiera el procedimiento para la baja documental; y, g) que la facultad, competencia o función se ejerció, se documentó, pero la información se sustrajo del archivo público por el servidor público que la generó. o por cualquier otro.</w:t>
      </w:r>
    </w:p>
    <w:p w14:paraId="5171E1CA" w14:textId="77777777" w:rsidR="00892544" w:rsidRPr="00A52A6B" w:rsidRDefault="00892544" w:rsidP="00892544">
      <w:pPr>
        <w:pStyle w:val="Prrafodelista"/>
        <w:rPr>
          <w:rFonts w:ascii="Palatino Linotype" w:hAnsi="Palatino Linotype"/>
          <w:lang w:val="es-ES_tradnl"/>
        </w:rPr>
      </w:pPr>
    </w:p>
    <w:p w14:paraId="18EFD734"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De lo anterior, se advierte que la procedencia del recurso de inconformidad previsto en el artículo 160, inciso b) de la Ley General de Transparencia y Acceso a la Información Pública se refiere a los casos en los cuales los órganos garantes en sus resoluciones corroboren, revaliden, le den firmeza (confirmar) la declaración de inexistencia (falta de existencia) de la información solicitada, por encontrarse en los supuestos de los incisos del a) al g) del párrafo anterior. </w:t>
      </w:r>
    </w:p>
    <w:p w14:paraId="441FB10B" w14:textId="77777777" w:rsidR="00892544" w:rsidRPr="00A52A6B" w:rsidRDefault="00892544" w:rsidP="00892544">
      <w:pPr>
        <w:pStyle w:val="Prrafodelista"/>
        <w:tabs>
          <w:tab w:val="left" w:pos="0"/>
        </w:tabs>
        <w:spacing w:line="360" w:lineRule="auto"/>
        <w:ind w:left="0" w:right="49"/>
        <w:jc w:val="both"/>
        <w:rPr>
          <w:rFonts w:ascii="Palatino Linotype" w:hAnsi="Palatino Linotype"/>
          <w:lang w:val="es-ES_tradnl"/>
        </w:rPr>
      </w:pPr>
    </w:p>
    <w:p w14:paraId="0ED7D3F5"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Ahora bien, la fracción I de la Ley de Transparencia y Acceso a la Información Pública del Estado de México y Municipios establece que procede el recurso de revisión en contra de la negativa de la información solicitada, es decir, dicho medio de impugnación procede cuando el sujeto obligado </w:t>
      </w:r>
      <w:r w:rsidRPr="00A52A6B">
        <w:rPr>
          <w:rFonts w:ascii="Palatino Linotype" w:hAnsi="Palatino Linotype"/>
          <w:b/>
          <w:lang w:val="es-ES_tradnl"/>
        </w:rPr>
        <w:t xml:space="preserve">niega o limita el acceso a </w:t>
      </w:r>
      <w:r w:rsidRPr="00A52A6B">
        <w:rPr>
          <w:rFonts w:ascii="Palatino Linotype" w:hAnsi="Palatino Linotype"/>
          <w:b/>
          <w:lang w:val="es-ES_tradnl"/>
        </w:rPr>
        <w:lastRenderedPageBreak/>
        <w:t>información solicitada.</w:t>
      </w:r>
      <w:r w:rsidRPr="00A52A6B">
        <w:rPr>
          <w:rFonts w:ascii="Palatino Linotype" w:hAnsi="Palatino Linotype"/>
          <w:lang w:val="es-ES_tradnl"/>
        </w:rPr>
        <w:t xml:space="preserve"> Una negativa de información debe ser fundada y motivada por la autoridad y algunas de las razones pueden ser: la inexistencia de la información, la incompetencia del sujeto obligado o la clasificación de la información como confidencial o reservada; si </w:t>
      </w:r>
      <w:proofErr w:type="gramStart"/>
      <w:r w:rsidRPr="00A52A6B">
        <w:rPr>
          <w:rFonts w:ascii="Palatino Linotype" w:hAnsi="Palatino Linotype"/>
          <w:lang w:val="es-ES_tradnl"/>
        </w:rPr>
        <w:t>alguna de estas razones son</w:t>
      </w:r>
      <w:proofErr w:type="gramEnd"/>
      <w:r w:rsidRPr="00A52A6B">
        <w:rPr>
          <w:rFonts w:ascii="Palatino Linotype" w:hAnsi="Palatino Linotype"/>
          <w:lang w:val="es-ES_tradnl"/>
        </w:rPr>
        <w:t xml:space="preserve"> consideradas como insuficientes por el solicitante podrá interponer el recurso de revisión ante el órgano garante.</w:t>
      </w:r>
    </w:p>
    <w:p w14:paraId="08EB1322" w14:textId="77777777" w:rsidR="00892544" w:rsidRPr="00A52A6B" w:rsidRDefault="00892544" w:rsidP="00892544">
      <w:pPr>
        <w:pStyle w:val="Prrafodelista"/>
        <w:rPr>
          <w:rFonts w:ascii="Palatino Linotype" w:hAnsi="Palatino Linotype"/>
          <w:lang w:val="es-ES_tradnl"/>
        </w:rPr>
      </w:pPr>
    </w:p>
    <w:p w14:paraId="3D49AA83"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eastAsia="Arial Unicode MS" w:hAnsi="Palatino Linotype"/>
          <w:i/>
          <w:lang w:val="es-ES_tradnl"/>
        </w:rPr>
      </w:pPr>
      <w:r w:rsidRPr="00A52A6B">
        <w:rPr>
          <w:rFonts w:ascii="Palatino Linotype" w:hAnsi="Palatino Linotype"/>
          <w:lang w:val="es-ES_tradnl"/>
        </w:rPr>
        <w:t xml:space="preserve">El Diccionario de la Lengua Española de la Real Academia Española, nos proporciona varias definiciones de “negar”: </w:t>
      </w:r>
      <w:r w:rsidRPr="00A52A6B">
        <w:rPr>
          <w:rFonts w:ascii="Palatino Linotype" w:hAnsi="Palatino Linotype"/>
          <w:i/>
          <w:lang w:val="es-ES_tradnl"/>
        </w:rPr>
        <w:t>“</w:t>
      </w:r>
      <w:r w:rsidRPr="00A52A6B">
        <w:rPr>
          <w:rFonts w:ascii="Palatino Linotype" w:eastAsia="Arial Unicode MS" w:hAnsi="Palatino Linotype"/>
          <w:i/>
          <w:lang w:val="es-ES_tradnl"/>
        </w:rPr>
        <w:t xml:space="preserve">Del </w:t>
      </w:r>
      <w:proofErr w:type="spellStart"/>
      <w:proofErr w:type="gramStart"/>
      <w:r w:rsidRPr="00A52A6B">
        <w:rPr>
          <w:rFonts w:ascii="Palatino Linotype" w:eastAsia="Arial Unicode MS" w:hAnsi="Palatino Linotype"/>
          <w:i/>
          <w:lang w:val="es-ES_tradnl"/>
        </w:rPr>
        <w:t>lat.negāre</w:t>
      </w:r>
      <w:proofErr w:type="spellEnd"/>
      <w:proofErr w:type="gramEnd"/>
      <w:r w:rsidRPr="00A52A6B">
        <w:rPr>
          <w:rFonts w:ascii="Palatino Linotype" w:eastAsia="Arial Unicode MS" w:hAnsi="Palatino Linotype"/>
          <w:i/>
          <w:lang w:val="es-ES_tradnl"/>
        </w:rPr>
        <w:t xml:space="preserve">. 1. </w:t>
      </w:r>
      <w:proofErr w:type="spellStart"/>
      <w:r w:rsidRPr="00A52A6B">
        <w:rPr>
          <w:rFonts w:ascii="Palatino Linotype" w:eastAsia="Arial Unicode MS" w:hAnsi="Palatino Linotype"/>
          <w:i/>
          <w:lang w:val="es-ES_tradnl"/>
        </w:rPr>
        <w:t>tr</w:t>
      </w:r>
      <w:proofErr w:type="spellEnd"/>
      <w:r w:rsidRPr="00A52A6B">
        <w:rPr>
          <w:rFonts w:ascii="Palatino Linotype" w:eastAsia="Arial Unicode MS" w:hAnsi="Palatino Linotype"/>
          <w:i/>
          <w:lang w:val="es-ES_tradnl"/>
        </w:rPr>
        <w:t xml:space="preserve">. Decir que algo no existe, no es verdad o no es como alguien creo </w:t>
      </w:r>
      <w:proofErr w:type="gramStart"/>
      <w:r w:rsidRPr="00A52A6B">
        <w:rPr>
          <w:rFonts w:ascii="Palatino Linotype" w:eastAsia="Arial Unicode MS" w:hAnsi="Palatino Linotype"/>
          <w:i/>
          <w:lang w:val="es-ES_tradnl"/>
        </w:rPr>
        <w:t>afirma;  2</w:t>
      </w:r>
      <w:proofErr w:type="gramEnd"/>
      <w:r w:rsidRPr="00A52A6B">
        <w:rPr>
          <w:rFonts w:ascii="Palatino Linotype" w:eastAsia="Arial Unicode MS" w:hAnsi="Palatino Linotype"/>
          <w:i/>
          <w:lang w:val="es-ES_tradnl"/>
        </w:rPr>
        <w:t xml:space="preserve">. </w:t>
      </w:r>
      <w:proofErr w:type="spellStart"/>
      <w:r w:rsidRPr="00A52A6B">
        <w:rPr>
          <w:rFonts w:ascii="Palatino Linotype" w:eastAsia="Arial Unicode MS" w:hAnsi="Palatino Linotype"/>
          <w:i/>
          <w:lang w:val="es-ES_tradnl"/>
        </w:rPr>
        <w:t>tr</w:t>
      </w:r>
      <w:proofErr w:type="spellEnd"/>
      <w:r w:rsidRPr="00A52A6B">
        <w:rPr>
          <w:rFonts w:ascii="Palatino Linotype" w:eastAsia="Arial Unicode MS" w:hAnsi="Palatino Linotype"/>
          <w:i/>
          <w:lang w:val="es-ES_tradnl"/>
        </w:rPr>
        <w:t xml:space="preserve">. Dejar de reconocer algo, no admitir su existencia; 3. </w:t>
      </w:r>
      <w:proofErr w:type="spellStart"/>
      <w:r w:rsidRPr="00A52A6B">
        <w:rPr>
          <w:rFonts w:ascii="Palatino Linotype" w:eastAsia="Arial Unicode MS" w:hAnsi="Palatino Linotype"/>
          <w:i/>
          <w:lang w:val="es-ES_tradnl"/>
        </w:rPr>
        <w:t>tr</w:t>
      </w:r>
      <w:proofErr w:type="spellEnd"/>
      <w:r w:rsidRPr="00A52A6B">
        <w:rPr>
          <w:rFonts w:ascii="Palatino Linotype" w:eastAsia="Arial Unicode MS" w:hAnsi="Palatino Linotype"/>
          <w:i/>
          <w:lang w:val="es-ES_tradnl"/>
        </w:rPr>
        <w:t xml:space="preserve">. Decir que no a lo que se pretende o se pide, o no concederlo; 4. </w:t>
      </w:r>
      <w:proofErr w:type="spellStart"/>
      <w:r w:rsidRPr="00A52A6B">
        <w:rPr>
          <w:rFonts w:ascii="Palatino Linotype" w:eastAsia="Arial Unicode MS" w:hAnsi="Palatino Linotype"/>
          <w:i/>
          <w:lang w:val="es-ES_tradnl"/>
        </w:rPr>
        <w:t>tr</w:t>
      </w:r>
      <w:proofErr w:type="spellEnd"/>
      <w:r w:rsidRPr="00A52A6B">
        <w:rPr>
          <w:rFonts w:ascii="Palatino Linotype" w:eastAsia="Arial Unicode MS" w:hAnsi="Palatino Linotype"/>
          <w:i/>
          <w:lang w:val="es-ES_tradnl"/>
        </w:rPr>
        <w:t xml:space="preserve">. Prohibir o vedar, impedir o estorbar…” </w:t>
      </w:r>
      <w:r w:rsidRPr="00A52A6B">
        <w:rPr>
          <w:rFonts w:ascii="Palatino Linotype" w:eastAsia="Arial Unicode MS" w:hAnsi="Palatino Linotype"/>
          <w:i/>
          <w:lang w:val="es-ES_tradnl"/>
        </w:rPr>
        <w:footnoteReference w:id="5"/>
      </w:r>
    </w:p>
    <w:p w14:paraId="4E1F2F0B" w14:textId="77777777" w:rsidR="00892544" w:rsidRPr="00A52A6B" w:rsidRDefault="00892544" w:rsidP="00892544">
      <w:pPr>
        <w:pStyle w:val="Prrafodelista"/>
        <w:rPr>
          <w:rFonts w:ascii="Palatino Linotype" w:eastAsia="Arial Unicode MS" w:hAnsi="Palatino Linotype"/>
          <w:i/>
          <w:lang w:val="es-ES_tradnl"/>
        </w:rPr>
      </w:pPr>
    </w:p>
    <w:p w14:paraId="1D5C8F77"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eastAsia="Arial Unicode MS" w:hAnsi="Palatino Linotype"/>
          <w:lang w:val="es-ES_tradnl"/>
        </w:rPr>
      </w:pPr>
      <w:r w:rsidRPr="00A52A6B">
        <w:rPr>
          <w:rFonts w:ascii="Palatino Linotype" w:eastAsia="Arial Unicode MS" w:hAnsi="Palatino Linotype"/>
          <w:lang w:val="es-ES_tradnl"/>
        </w:rPr>
        <w:t xml:space="preserve">De lo anterior podemos concluir que se configura la negativa de la información solicitada cuando el sujeto obligado manifiesta que no existe </w:t>
      </w:r>
      <w:proofErr w:type="gramStart"/>
      <w:r w:rsidRPr="00A52A6B">
        <w:rPr>
          <w:rFonts w:ascii="Palatino Linotype" w:eastAsia="Arial Unicode MS" w:hAnsi="Palatino Linotype"/>
          <w:lang w:val="es-ES_tradnl"/>
        </w:rPr>
        <w:t>la  información</w:t>
      </w:r>
      <w:proofErr w:type="gramEnd"/>
      <w:r w:rsidRPr="00A52A6B">
        <w:rPr>
          <w:rFonts w:ascii="Palatino Linotype" w:eastAsia="Arial Unicode MS" w:hAnsi="Palatino Linotype"/>
          <w:lang w:val="es-ES_tradnl"/>
        </w:rPr>
        <w:t>, que no admite la existencia de la información, decir en su respuesta que no a lo que se le pide o no conceder el acceso a la información, vedar o impedir el acceso a la información sin fundamentación y motivación.</w:t>
      </w:r>
    </w:p>
    <w:p w14:paraId="02F8933D" w14:textId="77777777" w:rsidR="00892544" w:rsidRPr="00A52A6B" w:rsidRDefault="00892544" w:rsidP="00892544">
      <w:pPr>
        <w:pStyle w:val="Prrafodelista"/>
        <w:rPr>
          <w:rFonts w:ascii="Palatino Linotype" w:hAnsi="Palatino Linotype"/>
          <w:lang w:val="es-ES_tradnl"/>
        </w:rPr>
      </w:pPr>
    </w:p>
    <w:p w14:paraId="153537D2"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Si bien es cierto, el inciso b) del artículo 160 de la Ley General establece como supuesto de procedencia del recurso de inconformidad ante el Instituto Nacional de Transparencia, Acceso a la Información Pública y Protección de Datos Personales </w:t>
      </w:r>
      <w:r w:rsidRPr="00A52A6B">
        <w:rPr>
          <w:rFonts w:ascii="Palatino Linotype" w:hAnsi="Palatino Linotype"/>
          <w:lang w:val="es-ES_tradnl"/>
        </w:rPr>
        <w:lastRenderedPageBreak/>
        <w:t>cuando haya negativa de la información, también lo es que el último párrafo de dicho precepto legal establece que: “</w:t>
      </w:r>
      <w:r w:rsidRPr="00A52A6B">
        <w:rPr>
          <w:rFonts w:ascii="Palatino Linotype" w:hAnsi="Palatino Linotype"/>
          <w:i/>
          <w:lang w:val="es-ES_tradnl"/>
        </w:rPr>
        <w:t>Se entenderá como negativa de acceso a la información la falta de resolución de los Organismos garantes de las Entidades Federativas dentro del plazo previsto para ello.”</w:t>
      </w:r>
    </w:p>
    <w:p w14:paraId="35AB30A9" w14:textId="77777777" w:rsidR="00892544" w:rsidRPr="00A52A6B" w:rsidRDefault="00892544" w:rsidP="00892544">
      <w:pPr>
        <w:pStyle w:val="Prrafodelista"/>
        <w:rPr>
          <w:rFonts w:ascii="Palatino Linotype" w:hAnsi="Palatino Linotype"/>
          <w:lang w:val="es-ES_tradnl"/>
        </w:rPr>
      </w:pPr>
    </w:p>
    <w:p w14:paraId="037684D0"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De lo anterior se advierte que el legislador estableció que se entenderá como “negativa de la información” para la procedencia del recurso de inconformidad por lo tanto conforme al principio general de derecho que establece que </w:t>
      </w:r>
      <w:r w:rsidRPr="00A52A6B">
        <w:rPr>
          <w:rFonts w:ascii="Palatino Linotype" w:hAnsi="Palatino Linotype" w:cs="Arial"/>
          <w:bCs/>
          <w:shd w:val="clear" w:color="auto" w:fill="FFFFFF"/>
          <w:lang w:val="es-ES_tradnl"/>
        </w:rPr>
        <w:t xml:space="preserve">donde la ley no distingue, no hay porque distinguir, por tanto no debe interpretarse que la negativa de la información se refiere a los supuestos de procedencia </w:t>
      </w:r>
      <w:r w:rsidRPr="00A52A6B">
        <w:rPr>
          <w:rFonts w:ascii="Palatino Linotype" w:hAnsi="Palatino Linotype" w:cs="Arial"/>
          <w:bCs/>
          <w:color w:val="202124"/>
          <w:shd w:val="clear" w:color="auto" w:fill="FFFFFF"/>
          <w:lang w:val="es-ES_tradnl"/>
        </w:rPr>
        <w:t xml:space="preserve">del recurso de revisión, sino que de la interpretación literal y conforme al principio de legalidad, </w:t>
      </w:r>
      <w:r w:rsidRPr="00A52A6B">
        <w:rPr>
          <w:rFonts w:ascii="Palatino Linotype" w:hAnsi="Palatino Linotype"/>
          <w:lang w:val="es-ES_tradnl"/>
        </w:rPr>
        <w:t>la negativa de la información debe entenderse como la falta de resolución de los organismos garantes locales dentro del plazo previsto para ello.</w:t>
      </w:r>
    </w:p>
    <w:p w14:paraId="74D1C2A0" w14:textId="77777777" w:rsidR="00892544" w:rsidRPr="00A52A6B" w:rsidRDefault="00892544" w:rsidP="00892544">
      <w:pPr>
        <w:pStyle w:val="Prrafodelista"/>
        <w:rPr>
          <w:rFonts w:ascii="Palatino Linotype" w:hAnsi="Palatino Linotype"/>
          <w:lang w:val="es-ES_tradnl"/>
        </w:rPr>
      </w:pPr>
    </w:p>
    <w:p w14:paraId="2E2474A1"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 Para el caso que nos ocupa el artículo 181, tercer párrafo de la Ley de Transparencia y Acceso a la Información del Estado de México y Municipios establece que el Instituto resolverá el recurso de revisión en un plazo que no podrá exceder de treinta días hábiles, contados a partir de la admisión del mismo, en los términos que establezca la presente ley, plazo que podrá ampliarse por una sola vez y hasta quince días hábiles.</w:t>
      </w:r>
    </w:p>
    <w:p w14:paraId="479B0BBF" w14:textId="77777777" w:rsidR="00892544" w:rsidRPr="00A52A6B" w:rsidRDefault="00892544" w:rsidP="00892544">
      <w:pPr>
        <w:pStyle w:val="Prrafodelista"/>
        <w:rPr>
          <w:rFonts w:ascii="Palatino Linotype" w:hAnsi="Palatino Linotype"/>
          <w:lang w:val="es-ES_tradnl"/>
        </w:rPr>
      </w:pPr>
    </w:p>
    <w:p w14:paraId="221E6E43"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lang w:val="es-ES_tradnl"/>
        </w:rPr>
      </w:pPr>
      <w:r w:rsidRPr="00A52A6B">
        <w:rPr>
          <w:rFonts w:ascii="Palatino Linotype" w:hAnsi="Palatino Linotype"/>
          <w:lang w:val="es-ES_tradnl"/>
        </w:rPr>
        <w:t xml:space="preserve">Luego entonces, procede el recurso de inconformidad cuando el órgano garante local no emita una resolución en el plazo previsto para ello, ya que se </w:t>
      </w:r>
      <w:r w:rsidRPr="00A52A6B">
        <w:rPr>
          <w:rFonts w:ascii="Palatino Linotype" w:hAnsi="Palatino Linotype"/>
          <w:lang w:val="es-ES_tradnl"/>
        </w:rPr>
        <w:lastRenderedPageBreak/>
        <w:t>advierte que al no resolver sobre el medio de impugnación hecho valer por el particular, confirma la negativa de la información hecha por parte del sujeto obligado, en cuyo caso nos encontramos frente a lo que la doctrina define como “afirmativa ficta”.</w:t>
      </w:r>
    </w:p>
    <w:p w14:paraId="0478CBF2" w14:textId="77777777" w:rsidR="00892544" w:rsidRPr="00A52A6B" w:rsidRDefault="00892544" w:rsidP="00892544">
      <w:pPr>
        <w:pStyle w:val="Prrafodelista"/>
        <w:spacing w:line="360" w:lineRule="auto"/>
        <w:rPr>
          <w:rFonts w:ascii="Palatino Linotype" w:hAnsi="Palatino Linotype"/>
          <w:lang w:val="es-ES_tradnl"/>
        </w:rPr>
      </w:pPr>
    </w:p>
    <w:p w14:paraId="2934C0F5"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lang w:val="es-ES_tradnl"/>
        </w:rPr>
      </w:pPr>
      <w:r w:rsidRPr="00A52A6B">
        <w:rPr>
          <w:rFonts w:ascii="Palatino Linotype" w:hAnsi="Palatino Linotype"/>
          <w:lang w:val="es-ES_tradnl"/>
        </w:rPr>
        <w:t>En materia administrativa, cuando las peticiones o solicitudes hechas por los particulares no son respondidas o bien, los procedimientos administrativos no se resuelven dentro de los plazos legales establecidos para responder o emitir una resolución, se entiende que hay un silencio administrativo, ante el cual, para dar certidumbre a los particulares, puede configurarse una afirmativa </w:t>
      </w:r>
      <w:hyperlink r:id="rId13" w:tgtFrame="_blank" w:history="1">
        <w:r w:rsidRPr="00A52A6B">
          <w:rPr>
            <w:rStyle w:val="Hipervnculo"/>
            <w:rFonts w:ascii="Palatino Linotype" w:eastAsiaTheme="majorEastAsia" w:hAnsi="Palatino Linotype"/>
            <w:color w:val="auto"/>
            <w:u w:val="none"/>
            <w:lang w:val="es-ES_tradnl"/>
          </w:rPr>
          <w:t>o una negativa ficta</w:t>
        </w:r>
      </w:hyperlink>
      <w:r w:rsidRPr="00A52A6B">
        <w:rPr>
          <w:rFonts w:ascii="Palatino Linotype" w:hAnsi="Palatino Linotype"/>
          <w:lang w:val="es-ES_tradnl"/>
        </w:rPr>
        <w:t>. Existe una afirmativa ficta cuando el silencio de la autoridad da pie a una respuesta afirmativa de la petición; es decir, que la autoridad la concede</w:t>
      </w:r>
      <w:r w:rsidRPr="00A52A6B">
        <w:rPr>
          <w:rFonts w:ascii="Palatino Linotype" w:hAnsi="Palatino Linotype" w:cs="Arial"/>
          <w:color w:val="000000"/>
          <w:lang w:val="es-ES_tradnl"/>
        </w:rPr>
        <w:t>; por el contrario, se dice que hay una negativa ficta cuando el silencio de la autoridad implica una respuesta negativa, dando pie a que quien hizo la petición se defienda en tribunales.</w:t>
      </w:r>
      <w:r w:rsidRPr="00A52A6B">
        <w:rPr>
          <w:rFonts w:ascii="Palatino Linotype" w:hAnsi="Palatino Linotype" w:cs="Arial"/>
          <w:color w:val="000000"/>
          <w:shd w:val="clear" w:color="auto" w:fill="FFFFFF"/>
          <w:lang w:val="es-ES_tradnl"/>
        </w:rPr>
        <w:t xml:space="preserve"> Para ello, el silencio administrativo debe interpretarse en sentido negativo o positivo según sea el caso; el sentido de la respuesta debe colegirse de lo que está contemplado en la ley pertinente de manera expresa o bien de lo que pueda deducirse de su interpretación jurídica.</w:t>
      </w:r>
    </w:p>
    <w:p w14:paraId="67DB39C3"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lang w:val="es-ES_tradnl"/>
        </w:rPr>
      </w:pPr>
    </w:p>
    <w:p w14:paraId="6043E7F9"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lang w:val="es-ES_tradnl"/>
        </w:rPr>
        <w:t xml:space="preserve">En el caso que nos ocupa, nos encontramos ante una afirmativa ficta, ya que  el silencio de la autoridad confirma el acto impugnado, ya que al </w:t>
      </w:r>
      <w:r w:rsidRPr="00A52A6B">
        <w:rPr>
          <w:rFonts w:ascii="Palatino Linotype" w:hAnsi="Palatino Linotype" w:cs="Calibri"/>
          <w:color w:val="212529"/>
          <w:shd w:val="clear" w:color="auto" w:fill="FFFFFF"/>
          <w:lang w:val="es-ES_tradnl"/>
        </w:rPr>
        <w:t xml:space="preserve">no emitirse una resolución expresa a un recurso de revisión por parte de los órganos garantes </w:t>
      </w:r>
      <w:r w:rsidRPr="00A52A6B">
        <w:rPr>
          <w:rFonts w:ascii="Palatino Linotype" w:hAnsi="Palatino Linotype" w:cs="Calibri"/>
          <w:color w:val="212529"/>
          <w:shd w:val="clear" w:color="auto" w:fill="FFFFFF"/>
          <w:lang w:val="es-ES_tradnl"/>
        </w:rPr>
        <w:lastRenderedPageBreak/>
        <w:t>locales, en el plazo legal establecido, se entenderá que se confirmó la determinación administrativa impugnada, es decir  la negativa de información del sujeto obligado, por lo que el particular podrá decidir esperar la emisión de la resolución expresa o promover el recurso de inconformidad contra la confirmación ficta.</w:t>
      </w:r>
    </w:p>
    <w:p w14:paraId="28271825" w14:textId="77777777" w:rsidR="00892544" w:rsidRPr="00A52A6B" w:rsidRDefault="00892544" w:rsidP="00892544">
      <w:pPr>
        <w:pStyle w:val="Prrafodelista"/>
        <w:rPr>
          <w:rFonts w:ascii="Palatino Linotype" w:hAnsi="Palatino Linotype" w:cs="Calibri"/>
          <w:color w:val="212529"/>
          <w:shd w:val="clear" w:color="auto" w:fill="FFFFFF"/>
          <w:lang w:val="es-ES_tradnl"/>
        </w:rPr>
      </w:pPr>
    </w:p>
    <w:p w14:paraId="7ED6115D"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cs="Calibri"/>
          <w:color w:val="212529"/>
          <w:shd w:val="clear" w:color="auto" w:fill="FFFFFF"/>
          <w:lang w:val="es-ES_tradnl"/>
        </w:rPr>
        <w:t>Bajo estas consideraciones</w:t>
      </w:r>
      <w:r w:rsidRPr="00A52A6B">
        <w:rPr>
          <w:rFonts w:ascii="Palatino Linotype" w:hAnsi="Palatino Linotype"/>
          <w:lang w:val="es-ES_tradnl"/>
        </w:rPr>
        <w:t>, el recurso de inconformidad nace como un medio de impugnación efectivo, sencillo y rápido, para remediar o impedir prácticas que limitan el ejercicio efectivo del derecho de acceso a la información, las cuales fueron acotadas en el texto del artículo 160 de la Ley General de Transparencia y Acceso a la Información Pública, resultando ser las siguientes:</w:t>
      </w:r>
    </w:p>
    <w:p w14:paraId="75651963" w14:textId="77777777" w:rsidR="00892544" w:rsidRPr="00A52A6B" w:rsidRDefault="00892544" w:rsidP="00892544">
      <w:pPr>
        <w:pStyle w:val="Prrafodelista"/>
        <w:rPr>
          <w:rFonts w:ascii="Palatino Linotype" w:hAnsi="Palatino Linotype"/>
          <w:lang w:val="es-ES_tradnl"/>
        </w:rPr>
      </w:pPr>
    </w:p>
    <w:p w14:paraId="428BEDDD" w14:textId="77777777" w:rsidR="00892544" w:rsidRPr="00A52A6B" w:rsidRDefault="00892544" w:rsidP="00892544">
      <w:pPr>
        <w:pStyle w:val="Prrafodelista"/>
        <w:rPr>
          <w:rFonts w:ascii="Palatino Linotype" w:hAnsi="Palatino Linotype"/>
          <w:lang w:val="es-ES_tradnl"/>
        </w:rPr>
      </w:pPr>
    </w:p>
    <w:p w14:paraId="0D311DB7" w14:textId="77777777" w:rsidR="00892544" w:rsidRPr="00A52A6B" w:rsidRDefault="00892544" w:rsidP="00892544">
      <w:pPr>
        <w:pStyle w:val="Prrafodelista"/>
        <w:widowControl w:val="0"/>
        <w:numPr>
          <w:ilvl w:val="0"/>
          <w:numId w:val="16"/>
        </w:numPr>
        <w:tabs>
          <w:tab w:val="left" w:pos="1682"/>
        </w:tabs>
        <w:autoSpaceDE w:val="0"/>
        <w:autoSpaceDN w:val="0"/>
        <w:spacing w:line="276" w:lineRule="auto"/>
        <w:contextualSpacing w:val="0"/>
        <w:jc w:val="both"/>
        <w:rPr>
          <w:rFonts w:ascii="Palatino Linotype" w:hAnsi="Palatino Linotype"/>
          <w:i/>
          <w:sz w:val="22"/>
          <w:szCs w:val="22"/>
          <w:lang w:val="es-ES_tradnl"/>
        </w:rPr>
      </w:pPr>
      <w:r w:rsidRPr="00A52A6B">
        <w:rPr>
          <w:rFonts w:ascii="Palatino Linotype" w:hAnsi="Palatino Linotype"/>
          <w:i/>
          <w:sz w:val="22"/>
          <w:szCs w:val="22"/>
          <w:lang w:val="es-ES_tradnl"/>
        </w:rPr>
        <w:t>Cuando se clasifica la información como</w:t>
      </w:r>
      <w:r w:rsidRPr="00A52A6B">
        <w:rPr>
          <w:rFonts w:ascii="Palatino Linotype" w:hAnsi="Palatino Linotype"/>
          <w:i/>
          <w:spacing w:val="-1"/>
          <w:sz w:val="22"/>
          <w:szCs w:val="22"/>
          <w:lang w:val="es-ES_tradnl"/>
        </w:rPr>
        <w:t xml:space="preserve"> </w:t>
      </w:r>
      <w:r w:rsidRPr="00A52A6B">
        <w:rPr>
          <w:rFonts w:ascii="Palatino Linotype" w:hAnsi="Palatino Linotype"/>
          <w:i/>
          <w:sz w:val="22"/>
          <w:szCs w:val="22"/>
          <w:lang w:val="es-ES_tradnl"/>
        </w:rPr>
        <w:t>reservada;</w:t>
      </w:r>
    </w:p>
    <w:p w14:paraId="304DB492" w14:textId="77777777" w:rsidR="00892544" w:rsidRPr="00A52A6B" w:rsidRDefault="00892544" w:rsidP="00892544">
      <w:pPr>
        <w:pStyle w:val="Prrafodelista"/>
        <w:widowControl w:val="0"/>
        <w:numPr>
          <w:ilvl w:val="0"/>
          <w:numId w:val="16"/>
        </w:numPr>
        <w:tabs>
          <w:tab w:val="left" w:pos="1682"/>
        </w:tabs>
        <w:autoSpaceDE w:val="0"/>
        <w:autoSpaceDN w:val="0"/>
        <w:spacing w:line="276" w:lineRule="auto"/>
        <w:contextualSpacing w:val="0"/>
        <w:jc w:val="both"/>
        <w:rPr>
          <w:rFonts w:ascii="Palatino Linotype" w:hAnsi="Palatino Linotype"/>
          <w:i/>
          <w:sz w:val="22"/>
          <w:szCs w:val="22"/>
          <w:lang w:val="es-ES_tradnl"/>
        </w:rPr>
      </w:pPr>
      <w:r w:rsidRPr="00A52A6B">
        <w:rPr>
          <w:rFonts w:ascii="Palatino Linotype" w:hAnsi="Palatino Linotype"/>
          <w:i/>
          <w:sz w:val="22"/>
          <w:szCs w:val="22"/>
          <w:lang w:val="es-ES_tradnl"/>
        </w:rPr>
        <w:t>Cuando se clasifica la información como</w:t>
      </w:r>
      <w:r w:rsidRPr="00A52A6B">
        <w:rPr>
          <w:rFonts w:ascii="Palatino Linotype" w:hAnsi="Palatino Linotype"/>
          <w:i/>
          <w:spacing w:val="-15"/>
          <w:sz w:val="22"/>
          <w:szCs w:val="22"/>
          <w:lang w:val="es-ES_tradnl"/>
        </w:rPr>
        <w:t xml:space="preserve"> </w:t>
      </w:r>
      <w:r w:rsidRPr="00A52A6B">
        <w:rPr>
          <w:rFonts w:ascii="Palatino Linotype" w:hAnsi="Palatino Linotype"/>
          <w:i/>
          <w:sz w:val="22"/>
          <w:szCs w:val="22"/>
          <w:lang w:val="es-ES_tradnl"/>
        </w:rPr>
        <w:t>confidencial;</w:t>
      </w:r>
    </w:p>
    <w:p w14:paraId="30151CA2" w14:textId="77777777" w:rsidR="00892544" w:rsidRPr="00A52A6B" w:rsidRDefault="00892544" w:rsidP="00892544">
      <w:pPr>
        <w:pStyle w:val="Prrafodelista"/>
        <w:widowControl w:val="0"/>
        <w:numPr>
          <w:ilvl w:val="0"/>
          <w:numId w:val="16"/>
        </w:numPr>
        <w:tabs>
          <w:tab w:val="left" w:pos="1672"/>
        </w:tabs>
        <w:autoSpaceDE w:val="0"/>
        <w:autoSpaceDN w:val="0"/>
        <w:spacing w:before="1" w:line="276" w:lineRule="auto"/>
        <w:ind w:left="1671" w:hanging="226"/>
        <w:contextualSpacing w:val="0"/>
        <w:jc w:val="both"/>
        <w:rPr>
          <w:rFonts w:ascii="Palatino Linotype" w:hAnsi="Palatino Linotype"/>
          <w:i/>
          <w:sz w:val="22"/>
          <w:szCs w:val="22"/>
          <w:lang w:val="es-ES_tradnl"/>
        </w:rPr>
      </w:pPr>
      <w:r w:rsidRPr="00A52A6B">
        <w:rPr>
          <w:rFonts w:ascii="Palatino Linotype" w:hAnsi="Palatino Linotype"/>
          <w:i/>
          <w:sz w:val="22"/>
          <w:szCs w:val="22"/>
          <w:lang w:val="es-ES_tradnl"/>
        </w:rPr>
        <w:t>Cuando se declara la inexistencia de la información;</w:t>
      </w:r>
      <w:r w:rsidRPr="00A52A6B">
        <w:rPr>
          <w:rFonts w:ascii="Palatino Linotype" w:hAnsi="Palatino Linotype"/>
          <w:i/>
          <w:spacing w:val="-19"/>
          <w:sz w:val="22"/>
          <w:szCs w:val="22"/>
          <w:lang w:val="es-ES_tradnl"/>
        </w:rPr>
        <w:t xml:space="preserve"> </w:t>
      </w:r>
      <w:r w:rsidRPr="00A52A6B">
        <w:rPr>
          <w:rFonts w:ascii="Palatino Linotype" w:hAnsi="Palatino Linotype"/>
          <w:i/>
          <w:sz w:val="22"/>
          <w:szCs w:val="22"/>
          <w:lang w:val="es-ES_tradnl"/>
        </w:rPr>
        <w:t>y</w:t>
      </w:r>
    </w:p>
    <w:p w14:paraId="34F8334A" w14:textId="77777777" w:rsidR="00892544" w:rsidRPr="00A52A6B" w:rsidRDefault="00892544" w:rsidP="00892544">
      <w:pPr>
        <w:pStyle w:val="Prrafodelista"/>
        <w:widowControl w:val="0"/>
        <w:numPr>
          <w:ilvl w:val="0"/>
          <w:numId w:val="16"/>
        </w:numPr>
        <w:tabs>
          <w:tab w:val="left" w:pos="1687"/>
        </w:tabs>
        <w:autoSpaceDE w:val="0"/>
        <w:autoSpaceDN w:val="0"/>
        <w:spacing w:line="276" w:lineRule="auto"/>
        <w:ind w:left="1446" w:right="1445" w:firstLine="0"/>
        <w:contextualSpacing w:val="0"/>
        <w:jc w:val="both"/>
        <w:rPr>
          <w:rFonts w:ascii="Palatino Linotype" w:hAnsi="Palatino Linotype"/>
          <w:i/>
          <w:sz w:val="22"/>
          <w:szCs w:val="22"/>
          <w:lang w:val="es-ES_tradnl"/>
        </w:rPr>
      </w:pPr>
      <w:r w:rsidRPr="00A52A6B">
        <w:rPr>
          <w:rFonts w:ascii="Palatino Linotype" w:hAnsi="Palatino Linotype"/>
          <w:i/>
          <w:sz w:val="22"/>
          <w:szCs w:val="22"/>
          <w:lang w:val="es-ES_tradnl"/>
        </w:rPr>
        <w:t>Cuando existe una negativa de la información, es decir, cuando no existe respuesta por parte de los sujetos obligados o de los organismos</w:t>
      </w:r>
      <w:r w:rsidRPr="00A52A6B">
        <w:rPr>
          <w:rFonts w:ascii="Palatino Linotype" w:hAnsi="Palatino Linotype"/>
          <w:i/>
          <w:spacing w:val="-4"/>
          <w:sz w:val="22"/>
          <w:szCs w:val="22"/>
          <w:lang w:val="es-ES_tradnl"/>
        </w:rPr>
        <w:t xml:space="preserve"> </w:t>
      </w:r>
      <w:r w:rsidRPr="00A52A6B">
        <w:rPr>
          <w:rFonts w:ascii="Palatino Linotype" w:hAnsi="Palatino Linotype"/>
          <w:i/>
          <w:sz w:val="22"/>
          <w:szCs w:val="22"/>
          <w:lang w:val="es-ES_tradnl"/>
        </w:rPr>
        <w:t>garantes.</w:t>
      </w:r>
    </w:p>
    <w:p w14:paraId="30D47FD1" w14:textId="77777777" w:rsidR="00892544" w:rsidRPr="00A52A6B" w:rsidRDefault="00892544" w:rsidP="00892544">
      <w:pPr>
        <w:pStyle w:val="Prrafodelista"/>
        <w:rPr>
          <w:rFonts w:ascii="Palatino Linotype" w:hAnsi="Palatino Linotype"/>
          <w:lang w:val="es-ES_tradnl"/>
        </w:rPr>
      </w:pPr>
    </w:p>
    <w:p w14:paraId="633837E9" w14:textId="77777777" w:rsidR="00892544" w:rsidRPr="00A52A6B" w:rsidRDefault="00892544" w:rsidP="00892544">
      <w:pPr>
        <w:pStyle w:val="Prrafodelista"/>
        <w:rPr>
          <w:rFonts w:ascii="Palatino Linotype" w:hAnsi="Palatino Linotype"/>
          <w:lang w:val="es-ES_tradnl"/>
        </w:rPr>
      </w:pPr>
    </w:p>
    <w:p w14:paraId="7EC5CE51"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lang w:val="es-ES_tradnl"/>
        </w:rPr>
        <w:t>Es por ello que se insisten que  en el asunto que nos ocupa no estamos en presencia de alguna de las prácticas</w:t>
      </w:r>
      <w:r w:rsidRPr="00A52A6B">
        <w:rPr>
          <w:rFonts w:ascii="Palatino Linotype" w:hAnsi="Palatino Linotype"/>
          <w:spacing w:val="-11"/>
          <w:lang w:val="es-ES_tradnl"/>
        </w:rPr>
        <w:t xml:space="preserve"> </w:t>
      </w:r>
      <w:r w:rsidRPr="00A52A6B">
        <w:rPr>
          <w:rFonts w:ascii="Palatino Linotype" w:hAnsi="Palatino Linotype"/>
          <w:lang w:val="es-ES_tradnl"/>
        </w:rPr>
        <w:t>antes</w:t>
      </w:r>
      <w:r w:rsidRPr="00A52A6B">
        <w:rPr>
          <w:rFonts w:ascii="Palatino Linotype" w:hAnsi="Palatino Linotype"/>
          <w:spacing w:val="-15"/>
          <w:lang w:val="es-ES_tradnl"/>
        </w:rPr>
        <w:t xml:space="preserve"> </w:t>
      </w:r>
      <w:r w:rsidRPr="00A52A6B">
        <w:rPr>
          <w:rFonts w:ascii="Palatino Linotype" w:hAnsi="Palatino Linotype"/>
          <w:lang w:val="es-ES_tradnl"/>
        </w:rPr>
        <w:t>enlistadas,</w:t>
      </w:r>
      <w:r w:rsidRPr="00A52A6B">
        <w:rPr>
          <w:rFonts w:ascii="Palatino Linotype" w:hAnsi="Palatino Linotype"/>
          <w:spacing w:val="-15"/>
          <w:lang w:val="es-ES_tradnl"/>
        </w:rPr>
        <w:t xml:space="preserve"> </w:t>
      </w:r>
      <w:r w:rsidRPr="00A52A6B">
        <w:rPr>
          <w:rFonts w:ascii="Palatino Linotype" w:hAnsi="Palatino Linotype"/>
          <w:lang w:val="es-ES_tradnl"/>
        </w:rPr>
        <w:t>ya</w:t>
      </w:r>
      <w:r w:rsidRPr="00A52A6B">
        <w:rPr>
          <w:rFonts w:ascii="Palatino Linotype" w:hAnsi="Palatino Linotype"/>
          <w:spacing w:val="-12"/>
          <w:lang w:val="es-ES_tradnl"/>
        </w:rPr>
        <w:t xml:space="preserve"> </w:t>
      </w:r>
      <w:r w:rsidRPr="00A52A6B">
        <w:rPr>
          <w:rFonts w:ascii="Palatino Linotype" w:hAnsi="Palatino Linotype"/>
          <w:lang w:val="es-ES_tradnl"/>
        </w:rPr>
        <w:t>que</w:t>
      </w:r>
      <w:r w:rsidRPr="00A52A6B">
        <w:rPr>
          <w:rFonts w:ascii="Palatino Linotype" w:hAnsi="Palatino Linotype"/>
          <w:spacing w:val="-13"/>
          <w:lang w:val="es-ES_tradnl"/>
        </w:rPr>
        <w:t xml:space="preserve"> </w:t>
      </w:r>
      <w:r w:rsidRPr="00A52A6B">
        <w:rPr>
          <w:rFonts w:ascii="Palatino Linotype" w:hAnsi="Palatino Linotype"/>
          <w:lang w:val="es-ES_tradnl"/>
        </w:rPr>
        <w:t>la</w:t>
      </w:r>
      <w:r w:rsidRPr="00A52A6B">
        <w:rPr>
          <w:rFonts w:ascii="Palatino Linotype" w:hAnsi="Palatino Linotype"/>
          <w:spacing w:val="-17"/>
          <w:lang w:val="es-ES_tradnl"/>
        </w:rPr>
        <w:t xml:space="preserve"> </w:t>
      </w:r>
      <w:r w:rsidRPr="00A52A6B">
        <w:rPr>
          <w:rFonts w:ascii="Palatino Linotype" w:hAnsi="Palatino Linotype"/>
          <w:lang w:val="es-ES_tradnl"/>
        </w:rPr>
        <w:t>respuesta</w:t>
      </w:r>
      <w:r w:rsidRPr="00A52A6B">
        <w:rPr>
          <w:rFonts w:ascii="Palatino Linotype" w:hAnsi="Palatino Linotype"/>
          <w:spacing w:val="-17"/>
          <w:lang w:val="es-ES_tradnl"/>
        </w:rPr>
        <w:t xml:space="preserve"> </w:t>
      </w:r>
      <w:r w:rsidRPr="00A52A6B">
        <w:rPr>
          <w:rFonts w:ascii="Palatino Linotype" w:hAnsi="Palatino Linotype"/>
          <w:lang w:val="es-ES_tradnl"/>
        </w:rPr>
        <w:t>del</w:t>
      </w:r>
      <w:r w:rsidRPr="00A52A6B">
        <w:rPr>
          <w:rFonts w:ascii="Palatino Linotype" w:hAnsi="Palatino Linotype"/>
          <w:spacing w:val="-13"/>
          <w:lang w:val="es-ES_tradnl"/>
        </w:rPr>
        <w:t xml:space="preserve"> </w:t>
      </w:r>
      <w:r w:rsidRPr="00A52A6B">
        <w:rPr>
          <w:rFonts w:ascii="Palatino Linotype" w:hAnsi="Palatino Linotype"/>
          <w:lang w:val="es-ES_tradnl"/>
        </w:rPr>
        <w:t>Sujeto</w:t>
      </w:r>
      <w:r w:rsidRPr="00A52A6B">
        <w:rPr>
          <w:rFonts w:ascii="Palatino Linotype" w:hAnsi="Palatino Linotype"/>
          <w:spacing w:val="-12"/>
          <w:lang w:val="es-ES_tradnl"/>
        </w:rPr>
        <w:t xml:space="preserve"> </w:t>
      </w:r>
      <w:r w:rsidRPr="00A52A6B">
        <w:rPr>
          <w:rFonts w:ascii="Palatino Linotype" w:hAnsi="Palatino Linotype"/>
          <w:lang w:val="es-ES_tradnl"/>
        </w:rPr>
        <w:t>Obligado,</w:t>
      </w:r>
      <w:r w:rsidRPr="00A52A6B">
        <w:rPr>
          <w:rFonts w:ascii="Palatino Linotype" w:hAnsi="Palatino Linotype"/>
          <w:spacing w:val="-10"/>
          <w:lang w:val="es-ES_tradnl"/>
        </w:rPr>
        <w:t xml:space="preserve"> </w:t>
      </w:r>
      <w:r w:rsidRPr="00A52A6B">
        <w:rPr>
          <w:rFonts w:ascii="Palatino Linotype" w:hAnsi="Palatino Linotype"/>
          <w:lang w:val="es-ES_tradnl"/>
        </w:rPr>
        <w:t>en</w:t>
      </w:r>
      <w:r w:rsidRPr="00A52A6B">
        <w:rPr>
          <w:rFonts w:ascii="Palatino Linotype" w:hAnsi="Palatino Linotype"/>
          <w:spacing w:val="-12"/>
          <w:lang w:val="es-ES_tradnl"/>
        </w:rPr>
        <w:t xml:space="preserve"> </w:t>
      </w:r>
      <w:r w:rsidRPr="00A52A6B">
        <w:rPr>
          <w:rFonts w:ascii="Palatino Linotype" w:hAnsi="Palatino Linotype"/>
          <w:lang w:val="es-ES_tradnl"/>
        </w:rPr>
        <w:t>ningún</w:t>
      </w:r>
      <w:r w:rsidRPr="00A52A6B">
        <w:rPr>
          <w:rFonts w:ascii="Palatino Linotype" w:hAnsi="Palatino Linotype"/>
          <w:spacing w:val="-13"/>
          <w:lang w:val="es-ES_tradnl"/>
        </w:rPr>
        <w:t xml:space="preserve"> </w:t>
      </w:r>
      <w:r w:rsidRPr="00A52A6B">
        <w:rPr>
          <w:rFonts w:ascii="Palatino Linotype" w:hAnsi="Palatino Linotype"/>
          <w:lang w:val="es-ES_tradnl"/>
        </w:rPr>
        <w:t>momento clasificó</w:t>
      </w:r>
      <w:r w:rsidRPr="00A52A6B">
        <w:rPr>
          <w:rFonts w:ascii="Palatino Linotype" w:hAnsi="Palatino Linotype"/>
          <w:spacing w:val="-7"/>
          <w:lang w:val="es-ES_tradnl"/>
        </w:rPr>
        <w:t xml:space="preserve"> </w:t>
      </w:r>
      <w:r w:rsidRPr="00A52A6B">
        <w:rPr>
          <w:rFonts w:ascii="Palatino Linotype" w:hAnsi="Palatino Linotype"/>
          <w:lang w:val="es-ES_tradnl"/>
        </w:rPr>
        <w:t>la</w:t>
      </w:r>
      <w:r w:rsidRPr="00A52A6B">
        <w:rPr>
          <w:rFonts w:ascii="Palatino Linotype" w:hAnsi="Palatino Linotype"/>
          <w:spacing w:val="-6"/>
          <w:lang w:val="es-ES_tradnl"/>
        </w:rPr>
        <w:t xml:space="preserve"> </w:t>
      </w:r>
      <w:r w:rsidRPr="00A52A6B">
        <w:rPr>
          <w:rFonts w:ascii="Palatino Linotype" w:hAnsi="Palatino Linotype"/>
          <w:lang w:val="es-ES_tradnl"/>
        </w:rPr>
        <w:t>información</w:t>
      </w:r>
      <w:r w:rsidRPr="00A52A6B">
        <w:rPr>
          <w:rFonts w:ascii="Palatino Linotype" w:hAnsi="Palatino Linotype"/>
          <w:spacing w:val="-6"/>
          <w:lang w:val="es-ES_tradnl"/>
        </w:rPr>
        <w:t xml:space="preserve"> </w:t>
      </w:r>
      <w:r w:rsidRPr="00A52A6B">
        <w:rPr>
          <w:rFonts w:ascii="Palatino Linotype" w:hAnsi="Palatino Linotype"/>
          <w:lang w:val="es-ES_tradnl"/>
        </w:rPr>
        <w:t>como</w:t>
      </w:r>
      <w:r w:rsidRPr="00A52A6B">
        <w:rPr>
          <w:rFonts w:ascii="Palatino Linotype" w:hAnsi="Palatino Linotype"/>
          <w:spacing w:val="-6"/>
          <w:lang w:val="es-ES_tradnl"/>
        </w:rPr>
        <w:t xml:space="preserve"> </w:t>
      </w:r>
      <w:r w:rsidRPr="00A52A6B">
        <w:rPr>
          <w:rFonts w:ascii="Palatino Linotype" w:hAnsi="Palatino Linotype"/>
          <w:lang w:val="es-ES_tradnl"/>
        </w:rPr>
        <w:t>reservada</w:t>
      </w:r>
      <w:r w:rsidRPr="00A52A6B">
        <w:rPr>
          <w:rFonts w:ascii="Palatino Linotype" w:hAnsi="Palatino Linotype"/>
          <w:spacing w:val="-6"/>
          <w:lang w:val="es-ES_tradnl"/>
        </w:rPr>
        <w:t xml:space="preserve"> </w:t>
      </w:r>
      <w:r w:rsidRPr="00A52A6B">
        <w:rPr>
          <w:rFonts w:ascii="Palatino Linotype" w:hAnsi="Palatino Linotype"/>
          <w:lang w:val="es-ES_tradnl"/>
        </w:rPr>
        <w:t>o</w:t>
      </w:r>
      <w:r w:rsidRPr="00A52A6B">
        <w:rPr>
          <w:rFonts w:ascii="Palatino Linotype" w:hAnsi="Palatino Linotype"/>
          <w:spacing w:val="-6"/>
          <w:lang w:val="es-ES_tradnl"/>
        </w:rPr>
        <w:t xml:space="preserve"> </w:t>
      </w:r>
      <w:r w:rsidRPr="00A52A6B">
        <w:rPr>
          <w:rFonts w:ascii="Palatino Linotype" w:hAnsi="Palatino Linotype"/>
          <w:lang w:val="es-ES_tradnl"/>
        </w:rPr>
        <w:t>confidencial,</w:t>
      </w:r>
      <w:r w:rsidRPr="00A52A6B">
        <w:rPr>
          <w:rFonts w:ascii="Palatino Linotype" w:hAnsi="Palatino Linotype"/>
          <w:spacing w:val="-3"/>
          <w:lang w:val="es-ES_tradnl"/>
        </w:rPr>
        <w:t xml:space="preserve"> </w:t>
      </w:r>
      <w:r w:rsidRPr="00A52A6B">
        <w:rPr>
          <w:rFonts w:ascii="Palatino Linotype" w:hAnsi="Palatino Linotype"/>
          <w:lang w:val="es-ES_tradnl"/>
        </w:rPr>
        <w:t>tampoco</w:t>
      </w:r>
      <w:r w:rsidRPr="00A52A6B">
        <w:rPr>
          <w:rFonts w:ascii="Palatino Linotype" w:hAnsi="Palatino Linotype"/>
          <w:spacing w:val="-7"/>
          <w:lang w:val="es-ES_tradnl"/>
        </w:rPr>
        <w:t xml:space="preserve"> </w:t>
      </w:r>
      <w:r w:rsidRPr="00A52A6B">
        <w:rPr>
          <w:rFonts w:ascii="Palatino Linotype" w:hAnsi="Palatino Linotype"/>
          <w:lang w:val="es-ES_tradnl"/>
        </w:rPr>
        <w:t>declaró</w:t>
      </w:r>
      <w:r w:rsidRPr="00A52A6B">
        <w:rPr>
          <w:rFonts w:ascii="Palatino Linotype" w:hAnsi="Palatino Linotype"/>
          <w:spacing w:val="-6"/>
          <w:lang w:val="es-ES_tradnl"/>
        </w:rPr>
        <w:t xml:space="preserve"> </w:t>
      </w:r>
      <w:r w:rsidRPr="00A52A6B">
        <w:rPr>
          <w:rFonts w:ascii="Palatino Linotype" w:hAnsi="Palatino Linotype"/>
          <w:lang w:val="es-ES_tradnl"/>
        </w:rPr>
        <w:t>su</w:t>
      </w:r>
      <w:r w:rsidRPr="00A52A6B">
        <w:rPr>
          <w:rFonts w:ascii="Palatino Linotype" w:hAnsi="Palatino Linotype"/>
          <w:spacing w:val="-6"/>
          <w:lang w:val="es-ES_tradnl"/>
        </w:rPr>
        <w:t xml:space="preserve"> </w:t>
      </w:r>
      <w:r w:rsidRPr="00A52A6B">
        <w:rPr>
          <w:rFonts w:ascii="Palatino Linotype" w:hAnsi="Palatino Linotype"/>
          <w:lang w:val="es-ES_tradnl"/>
        </w:rPr>
        <w:t>inexistencia y mucho menos fue omiso en la atención a la solicitud de acceso a la</w:t>
      </w:r>
      <w:r w:rsidRPr="00A52A6B">
        <w:rPr>
          <w:rFonts w:ascii="Palatino Linotype" w:hAnsi="Palatino Linotype"/>
          <w:spacing w:val="-12"/>
          <w:lang w:val="es-ES_tradnl"/>
        </w:rPr>
        <w:t xml:space="preserve"> </w:t>
      </w:r>
      <w:r w:rsidRPr="00A52A6B">
        <w:rPr>
          <w:rFonts w:ascii="Palatino Linotype" w:hAnsi="Palatino Linotype"/>
          <w:lang w:val="es-ES_tradnl"/>
        </w:rPr>
        <w:t xml:space="preserve">información, puesto que en la resolución materia del recurso de inconformidad, el Instituto de Transparencia, Acceso a la </w:t>
      </w:r>
      <w:r w:rsidRPr="00A52A6B">
        <w:rPr>
          <w:rFonts w:ascii="Palatino Linotype" w:hAnsi="Palatino Linotype"/>
          <w:lang w:val="es-ES_tradnl"/>
        </w:rPr>
        <w:lastRenderedPageBreak/>
        <w:t>Información Pública y Protección de Datos Personales del Estado de México y Municipios, no confirmó una clasificación, ni validó la declaración de inexistencia, y mucho menos fue omiso en tramitar y resolver el recurso de revisión en los tiempos establecidos por la Ley de la Materia.</w:t>
      </w:r>
    </w:p>
    <w:p w14:paraId="0588F01E" w14:textId="77777777" w:rsidR="00892544" w:rsidRPr="00A52A6B" w:rsidRDefault="00892544" w:rsidP="00892544">
      <w:pPr>
        <w:pStyle w:val="Prrafodelista"/>
        <w:rPr>
          <w:rFonts w:ascii="Palatino Linotype" w:hAnsi="Palatino Linotype"/>
          <w:lang w:val="es-ES_tradnl"/>
        </w:rPr>
      </w:pPr>
    </w:p>
    <w:p w14:paraId="71705795"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lang w:val="es-ES_tradnl"/>
        </w:rPr>
        <w:t xml:space="preserve">En ese orden de ideas, el artículo 163 de la Ley General de Transparencia y Acceso a la Información Pública señala que una vez que el INAI reciba el recurso de inconformidad, a través de los medios electrónicos fijados para ellos, por escrito o por medio del organismo garante local, analizará si existen los presupuestos procesales que la Ley General exige para promoverlo, es  decir, el INAI debe verificar si es procedente el recurso de inconformidad o bien, si en su caso se configura alguna de las causales de improcedencia  establecidas en el artículo 178 de la multicitada ley general. </w:t>
      </w:r>
      <w:r w:rsidRPr="00A52A6B">
        <w:rPr>
          <w:rFonts w:ascii="Palatino Linotype" w:hAnsi="Palatino Linotype"/>
          <w:i/>
          <w:lang w:val="es-ES_tradnl"/>
        </w:rPr>
        <w:t xml:space="preserve">“…Para esto deberá revisar que: a) El escrito de recurso de inconformidad se haya presentado dentro del plazo de quince días hábiles fijado en el artículo 161; b) El recurrente o el tercero interesado no hayan tramitado —ante el Poder Judicial— algún recurso o medio de defensa por el mismo motivo; </w:t>
      </w:r>
      <w:r w:rsidRPr="00A52A6B">
        <w:rPr>
          <w:rFonts w:ascii="Palatino Linotype" w:hAnsi="Palatino Linotype"/>
          <w:b/>
          <w:i/>
          <w:lang w:val="es-ES_tradnl"/>
        </w:rPr>
        <w:t>c) El caso refiere a la confirmación o modificación de la clasificación de información, o bien, a la confirmación de la inexistencia o negativa de información (Ley General de Transparencia, artículo 160);</w:t>
      </w:r>
      <w:r w:rsidRPr="00A52A6B">
        <w:rPr>
          <w:rFonts w:ascii="Palatino Linotype" w:hAnsi="Palatino Linotype"/>
          <w:i/>
          <w:lang w:val="es-ES_tradnl"/>
        </w:rPr>
        <w:t xml:space="preserve"> d) La pretensión del recurrente es la originalmente planteada en el recurso de revisión, que no vaya más allá; e) El INAI sea competente para resolver; f) No exista alguna otra causal de improcedencia prevista en la Ley.”</w:t>
      </w:r>
      <w:r w:rsidRPr="00A52A6B">
        <w:rPr>
          <w:rStyle w:val="Refdenotaalpie"/>
          <w:rFonts w:ascii="Palatino Linotype" w:hAnsi="Palatino Linotype"/>
          <w:i/>
          <w:lang w:val="es-ES_tradnl"/>
        </w:rPr>
        <w:footnoteReference w:id="6"/>
      </w:r>
    </w:p>
    <w:p w14:paraId="7DDCE12B"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cs="Calibri"/>
          <w:color w:val="212529"/>
          <w:shd w:val="clear" w:color="auto" w:fill="FFFFFF"/>
          <w:lang w:val="es-ES_tradnl"/>
        </w:rPr>
      </w:pPr>
    </w:p>
    <w:p w14:paraId="1DB71A25"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lang w:val="es-ES_tradnl"/>
        </w:rPr>
        <w:t xml:space="preserve">Ahora bien, el artículo 178 de la Ley General de Transparencia y Acceso a la Información Pública establece las hipótesis en las cuales procede el </w:t>
      </w:r>
      <w:proofErr w:type="spellStart"/>
      <w:r w:rsidRPr="00A52A6B">
        <w:rPr>
          <w:rFonts w:ascii="Palatino Linotype" w:hAnsi="Palatino Linotype"/>
          <w:lang w:val="es-ES_tradnl"/>
        </w:rPr>
        <w:t>desechamiento</w:t>
      </w:r>
      <w:proofErr w:type="spellEnd"/>
      <w:r w:rsidRPr="00A52A6B">
        <w:rPr>
          <w:rFonts w:ascii="Palatino Linotype" w:hAnsi="Palatino Linotype"/>
          <w:lang w:val="es-ES_tradnl"/>
        </w:rPr>
        <w:t xml:space="preserve"> por improcedencia del recurso de inconformidad, causales que tendrán como efecto ya sea el </w:t>
      </w:r>
      <w:proofErr w:type="spellStart"/>
      <w:r w:rsidRPr="00A52A6B">
        <w:rPr>
          <w:rFonts w:ascii="Palatino Linotype" w:hAnsi="Palatino Linotype"/>
          <w:lang w:val="es-ES_tradnl"/>
        </w:rPr>
        <w:t>desechamiento</w:t>
      </w:r>
      <w:proofErr w:type="spellEnd"/>
      <w:r w:rsidRPr="00A52A6B">
        <w:rPr>
          <w:rFonts w:ascii="Palatino Linotype" w:hAnsi="Palatino Linotype"/>
          <w:lang w:val="es-ES_tradnl"/>
        </w:rPr>
        <w:t xml:space="preserve"> o sobreseimiento del recurso de inconformidad, dependiendo del momento en que surgen; si surgen al momento de la presentación del recurso, el efecto es el </w:t>
      </w:r>
      <w:proofErr w:type="spellStart"/>
      <w:r w:rsidRPr="00A52A6B">
        <w:rPr>
          <w:rFonts w:ascii="Palatino Linotype" w:hAnsi="Palatino Linotype"/>
          <w:lang w:val="es-ES_tradnl"/>
        </w:rPr>
        <w:t>desechamiento</w:t>
      </w:r>
      <w:proofErr w:type="spellEnd"/>
      <w:r w:rsidRPr="00A52A6B">
        <w:rPr>
          <w:rFonts w:ascii="Palatino Linotype" w:hAnsi="Palatino Linotype"/>
          <w:lang w:val="es-ES_tradnl"/>
        </w:rPr>
        <w:t xml:space="preserve"> de plano del recurso de inconformidad; si lo hacen una vez tramitado el recurso, cuando no hubiere sido manifiesta al momento de admitirlo o cuando sobrevenga durante el procedimiento, el efecto es el sobreseimiento del recurso.</w:t>
      </w:r>
    </w:p>
    <w:p w14:paraId="1472CA19" w14:textId="77777777" w:rsidR="00892544" w:rsidRPr="00A52A6B" w:rsidRDefault="00892544" w:rsidP="00892544">
      <w:pPr>
        <w:pStyle w:val="Prrafodelista"/>
        <w:rPr>
          <w:rFonts w:ascii="Palatino Linotype" w:hAnsi="Palatino Linotype"/>
          <w:lang w:val="es-ES_tradnl"/>
        </w:rPr>
      </w:pPr>
    </w:p>
    <w:p w14:paraId="12BFCD98"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lang w:val="es-ES_tradnl"/>
        </w:rPr>
        <w:t>En el caso que nos ocupa, el recurso de inconformidad resulta improcedente en virtud de configurarse la causal de improcedencia contenida en la fracción III del multicitado artículo 178 fracción III de la Ley General de Transparencia y Acceso a la Información Pública que señala que el acto reclamado no sea alguno de los señalados en el artículo 160, es decir, que será improcedente cuando el acto impugnado sea otro, diferente a: a). La confirmación o modificación de la clasificación de información por parte del organismo garante local. b). La confirmación de la inexistencia de la información por parte del organismo garante local. c). La negativa de información por parte del organismo garante local. “</w:t>
      </w:r>
      <w:r w:rsidRPr="00A52A6B">
        <w:rPr>
          <w:rFonts w:ascii="Palatino Linotype" w:hAnsi="Palatino Linotype"/>
          <w:b/>
          <w:lang w:val="es-ES_tradnl"/>
        </w:rPr>
        <w:t xml:space="preserve">Luego entonces, el recurso de inconformidad no procederá en contra de la falta de formalidad de las resoluciones de los organismos garantes locales. Por ejemplo, </w:t>
      </w:r>
      <w:r w:rsidRPr="00A52A6B">
        <w:rPr>
          <w:rFonts w:ascii="Palatino Linotype" w:hAnsi="Palatino Linotype"/>
          <w:b/>
          <w:lang w:val="es-ES_tradnl"/>
        </w:rPr>
        <w:lastRenderedPageBreak/>
        <w:t xml:space="preserve">no procederá ante la confirmación del cambio de modalidad de acceso a la información por parte del sujeto obligado.” </w:t>
      </w:r>
      <w:r w:rsidRPr="00A52A6B">
        <w:rPr>
          <w:rStyle w:val="Refdenotaalpie"/>
          <w:rFonts w:ascii="Palatino Linotype" w:hAnsi="Palatino Linotype"/>
          <w:b/>
          <w:lang w:val="es-ES_tradnl"/>
        </w:rPr>
        <w:footnoteReference w:id="7"/>
      </w:r>
    </w:p>
    <w:p w14:paraId="633EEFA6"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cs="Calibri"/>
          <w:color w:val="212529"/>
          <w:shd w:val="clear" w:color="auto" w:fill="FFFFFF"/>
          <w:lang w:val="es-ES_tradnl"/>
        </w:rPr>
      </w:pPr>
    </w:p>
    <w:p w14:paraId="007C8C53"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lang w:val="es-ES_tradnl"/>
        </w:rPr>
        <w:t>Ahora bien, el Maestro Ignacio Burgoa Orihuela define la improcedencia del amparo como la imposibilidad jurídica de que el órgano jurisdiccional de control estudie y decida dicha cuestión, absteniéndose de resolver sobre la constitucionalidad o inconstitucionalidad del acto de autoridad reclamado.</w:t>
      </w:r>
      <w:r w:rsidRPr="00A52A6B">
        <w:rPr>
          <w:rStyle w:val="Refdenotaalpie"/>
          <w:rFonts w:ascii="Palatino Linotype" w:hAnsi="Palatino Linotype"/>
          <w:lang w:val="es-ES_tradnl"/>
        </w:rPr>
        <w:footnoteReference w:id="8"/>
      </w:r>
      <w:r w:rsidRPr="00A52A6B">
        <w:rPr>
          <w:rFonts w:ascii="Palatino Linotype" w:hAnsi="Palatino Linotype"/>
          <w:lang w:val="es-ES_tradnl"/>
        </w:rPr>
        <w:t xml:space="preserve"> </w:t>
      </w:r>
    </w:p>
    <w:p w14:paraId="451FF789" w14:textId="77777777" w:rsidR="00892544" w:rsidRPr="00A52A6B" w:rsidRDefault="00892544" w:rsidP="00892544">
      <w:pPr>
        <w:pStyle w:val="Prrafodelista"/>
        <w:rPr>
          <w:rFonts w:ascii="Palatino Linotype" w:hAnsi="Palatino Linotype"/>
          <w:lang w:val="es-ES_tradnl"/>
        </w:rPr>
      </w:pPr>
    </w:p>
    <w:p w14:paraId="76682320"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lang w:val="es-ES_tradnl"/>
        </w:rPr>
        <w:t xml:space="preserve">Por su parte Manuel Lucero Espinosa, señala que por improcedencia del juicio debe entenderse la imposibilidad jurídica que tiene el juzgador para dirimir una controversia, por cuestiones de hecho o de derecho, que impidan al órgano jurisdiccional analizar y resolver la pretensión de la parte actora. </w:t>
      </w:r>
      <w:r w:rsidRPr="00A52A6B">
        <w:rPr>
          <w:rStyle w:val="Refdenotaalpie"/>
          <w:rFonts w:ascii="Palatino Linotype" w:hAnsi="Palatino Linotype"/>
          <w:lang w:val="es-ES_tradnl"/>
        </w:rPr>
        <w:footnoteReference w:id="9"/>
      </w:r>
    </w:p>
    <w:p w14:paraId="14187E8F" w14:textId="77777777" w:rsidR="00892544" w:rsidRPr="00A52A6B" w:rsidRDefault="00892544" w:rsidP="00892544">
      <w:pPr>
        <w:pStyle w:val="Prrafodelista"/>
        <w:rPr>
          <w:rFonts w:ascii="Palatino Linotype" w:hAnsi="Palatino Linotype"/>
          <w:lang w:val="es-ES_tradnl"/>
        </w:rPr>
      </w:pPr>
    </w:p>
    <w:p w14:paraId="0ABBF836"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lang w:val="es-ES_tradnl"/>
        </w:rPr>
        <w:t xml:space="preserve">Sirve de sustento el criterio del Cuarto Tribunal Colegiado en Materia Administrativa del Primero Circuito, publicado en el Semanario Judicial de la Federación, Octava Época, Tomo VII, noviembre de 1991, página 185, que dice:  </w:t>
      </w:r>
    </w:p>
    <w:p w14:paraId="682DF54C" w14:textId="77777777" w:rsidR="00892544" w:rsidRPr="00A52A6B" w:rsidRDefault="00892544" w:rsidP="00892544">
      <w:pPr>
        <w:spacing w:line="360" w:lineRule="auto"/>
        <w:ind w:left="720"/>
        <w:jc w:val="both"/>
        <w:rPr>
          <w:rFonts w:ascii="Palatino Linotype" w:hAnsi="Palatino Linotype"/>
          <w:i/>
          <w:lang w:val="es-ES_tradnl"/>
        </w:rPr>
      </w:pPr>
    </w:p>
    <w:p w14:paraId="462861F7" w14:textId="77777777" w:rsidR="00892544" w:rsidRPr="00A52A6B" w:rsidRDefault="00892544" w:rsidP="00892544">
      <w:pPr>
        <w:spacing w:line="276" w:lineRule="auto"/>
        <w:ind w:left="720"/>
        <w:jc w:val="both"/>
        <w:rPr>
          <w:rFonts w:ascii="Palatino Linotype" w:hAnsi="Palatino Linotype"/>
          <w:b/>
          <w:i/>
          <w:lang w:val="es-ES_tradnl"/>
        </w:rPr>
      </w:pPr>
      <w:r w:rsidRPr="00A52A6B">
        <w:rPr>
          <w:rFonts w:ascii="Palatino Linotype" w:hAnsi="Palatino Linotype"/>
          <w:b/>
          <w:i/>
          <w:lang w:val="es-ES_tradnl"/>
        </w:rPr>
        <w:t xml:space="preserve">CONTENCIOSO ADMINISTRATIVO, IMPROCEDENCIA DEL JUICIO, ANTE EL TRIBUNAL FISCAL. CONCEPTO JURIDICO. </w:t>
      </w:r>
      <w:r w:rsidRPr="00A52A6B">
        <w:rPr>
          <w:rFonts w:ascii="Palatino Linotype" w:hAnsi="Palatino Linotype"/>
          <w:i/>
          <w:lang w:val="es-ES_tradnl"/>
        </w:rPr>
        <w:t xml:space="preserve">Las causas de improcedencia que </w:t>
      </w:r>
      <w:r w:rsidRPr="00A52A6B">
        <w:rPr>
          <w:rFonts w:ascii="Palatino Linotype" w:hAnsi="Palatino Linotype"/>
          <w:i/>
          <w:lang w:val="es-ES_tradnl"/>
        </w:rPr>
        <w:lastRenderedPageBreak/>
        <w:t xml:space="preserve">determina la ley de la materia, ven o se refieren a la procedencia del juicio mismo, esto es, </w:t>
      </w:r>
      <w:r w:rsidRPr="00A52A6B">
        <w:rPr>
          <w:rFonts w:ascii="Palatino Linotype" w:hAnsi="Palatino Linotype"/>
          <w:b/>
          <w:i/>
          <w:u w:val="single"/>
          <w:lang w:val="es-ES_tradnl"/>
        </w:rPr>
        <w:t>los motivos de improcedencia son en cuanto a que la acción en sí misma considerada no procede por las causas específicas consignadas en la ley;</w:t>
      </w:r>
      <w:r w:rsidRPr="00A52A6B">
        <w:rPr>
          <w:rFonts w:ascii="Palatino Linotype" w:hAnsi="Palatino Linotype"/>
          <w:i/>
          <w:lang w:val="es-ES_tradnl"/>
        </w:rPr>
        <w:t xml:space="preserve"> es verdad que las causas de improcedencia dan lugar al sobreseimiento, pero no necesariamente éste sobreviene por alguna de esas causas, pues por ejemplo, de acuerdo con la fracción I del artículo 203 del Código Fiscal de la Federación, procede el sobreseimiento por desistimiento del demandante, lo anterior, no significa que el juicio sea improcedente; el juicio sí procede y lo que acontece en ese caso es que la actora por propia voluntad desiste de su acción y ello hace que se sobresea en el juicio, mas no significa que la acción en sí misma sea improcedente. </w:t>
      </w:r>
      <w:r w:rsidRPr="00A52A6B">
        <w:rPr>
          <w:rFonts w:ascii="Palatino Linotype" w:hAnsi="Palatino Linotype"/>
          <w:b/>
          <w:i/>
          <w:u w:val="single"/>
          <w:lang w:val="es-ES_tradnl"/>
        </w:rPr>
        <w:t>Acorde con la doctrina, la improcedencia de la acción se traduce en la imposibilidad de que ésta, en su concepción genérica, logre su objeto, es decir, la dicción del derecho sobre la cuestión de fondo o sustancial que su ejercicio plantea; tal improcedencia se manifiesta en que la acción no consiga su objeto propio, o sea, en que no se obtenga la pretensión del que la ejercita y principalmente por existir un impedimento para que el órgano jurisdiccional competente analice y resuelva sobre la cuestión debatida. En resumen, la improcedencia de la acción se traduce en la imposibilidad jurídica de que el órgano jurisdiccional estudie y decida dicha cuestión, absteniéndose obligatoriamente a resolver sobre el fondo de la controversia</w:t>
      </w:r>
      <w:r w:rsidRPr="00A52A6B">
        <w:rPr>
          <w:rFonts w:ascii="Palatino Linotype" w:hAnsi="Palatino Linotype"/>
          <w:i/>
          <w:lang w:val="es-ES_tradnl"/>
        </w:rPr>
        <w:t>.</w:t>
      </w:r>
    </w:p>
    <w:p w14:paraId="16431627" w14:textId="77777777" w:rsidR="00892544" w:rsidRPr="00A52A6B" w:rsidRDefault="00892544" w:rsidP="00892544">
      <w:pPr>
        <w:spacing w:line="276" w:lineRule="auto"/>
        <w:ind w:left="720"/>
        <w:jc w:val="both"/>
        <w:rPr>
          <w:rFonts w:ascii="Palatino Linotype" w:hAnsi="Palatino Linotype"/>
          <w:i/>
          <w:lang w:val="es-ES_tradnl"/>
        </w:rPr>
      </w:pPr>
    </w:p>
    <w:p w14:paraId="26B58C58" w14:textId="77777777" w:rsidR="00892544" w:rsidRPr="00A52A6B" w:rsidRDefault="00892544" w:rsidP="00892544">
      <w:pPr>
        <w:spacing w:line="276" w:lineRule="auto"/>
        <w:ind w:left="720"/>
        <w:jc w:val="both"/>
        <w:rPr>
          <w:rFonts w:ascii="Palatino Linotype" w:hAnsi="Palatino Linotype"/>
          <w:i/>
          <w:lang w:val="es-ES_tradnl"/>
        </w:rPr>
      </w:pPr>
      <w:r w:rsidRPr="00A52A6B">
        <w:rPr>
          <w:rFonts w:ascii="Palatino Linotype" w:hAnsi="Palatino Linotype"/>
          <w:i/>
          <w:lang w:val="es-ES_tradnl"/>
        </w:rPr>
        <w:t>CUARTO TRIBUNAL COLEGIADO EN MATERIA ADMINISTRATIVA DEL PRIMER CIRCUITO.</w:t>
      </w:r>
    </w:p>
    <w:p w14:paraId="1DD5CBF6" w14:textId="77777777" w:rsidR="00892544" w:rsidRPr="00A52A6B" w:rsidRDefault="00892544" w:rsidP="00892544">
      <w:pPr>
        <w:spacing w:line="276" w:lineRule="auto"/>
        <w:ind w:left="720"/>
        <w:jc w:val="both"/>
        <w:rPr>
          <w:rFonts w:ascii="Palatino Linotype" w:hAnsi="Palatino Linotype"/>
          <w:i/>
          <w:lang w:val="es-ES_tradnl"/>
        </w:rPr>
      </w:pPr>
    </w:p>
    <w:p w14:paraId="2DFE547D" w14:textId="77777777" w:rsidR="00892544" w:rsidRPr="00A52A6B" w:rsidRDefault="00892544" w:rsidP="00892544">
      <w:pPr>
        <w:spacing w:line="276" w:lineRule="auto"/>
        <w:ind w:left="720"/>
        <w:jc w:val="both"/>
        <w:rPr>
          <w:rFonts w:ascii="Palatino Linotype" w:hAnsi="Palatino Linotype"/>
          <w:i/>
          <w:lang w:val="es-ES_tradnl"/>
        </w:rPr>
      </w:pPr>
      <w:r w:rsidRPr="00A52A6B">
        <w:rPr>
          <w:rFonts w:ascii="Palatino Linotype" w:hAnsi="Palatino Linotype"/>
          <w:i/>
          <w:lang w:val="es-ES_tradnl"/>
        </w:rPr>
        <w:t>Amparo directo 734/91. Compañía Operadora de Teatros, S. A. 22 de agosto de 1991. Mayoría de votos. Ponente: Hilario Bárcenas Chávez. Engrose a cargo del magistrado: David Delgadillo Guerrero. Disidente: Hilario Bárcenas Chávez. Secretaria: Silvia Gutiérrez Toro.</w:t>
      </w:r>
    </w:p>
    <w:p w14:paraId="10FC1B20" w14:textId="77777777" w:rsidR="00892544" w:rsidRPr="00A52A6B" w:rsidRDefault="00892544" w:rsidP="00892544">
      <w:pPr>
        <w:pStyle w:val="Prrafodelista"/>
        <w:rPr>
          <w:rFonts w:ascii="Palatino Linotype" w:hAnsi="Palatino Linotype"/>
          <w:lang w:val="es-ES_tradnl"/>
        </w:rPr>
      </w:pPr>
    </w:p>
    <w:p w14:paraId="32A95AB1"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lang w:val="es-ES_tradnl"/>
        </w:rPr>
        <w:t xml:space="preserve">En el mismo sentido, sirve de apoyo el criterio del Sexto Tribunal Colegiado en Materia Administrativa del Tercer Circuito, contenido en la Gaceta del </w:t>
      </w:r>
      <w:r w:rsidRPr="00A52A6B">
        <w:rPr>
          <w:rFonts w:ascii="Palatino Linotype" w:hAnsi="Palatino Linotype"/>
          <w:lang w:val="es-ES_tradnl"/>
        </w:rPr>
        <w:lastRenderedPageBreak/>
        <w:t>Semanario Judicial de la Federación, Décima Época, Libro 78, septiembre de 2020 Tomo II, Tesis: III.6o.A.30 A (10a.), página: 982, que dispone lo siguiente:</w:t>
      </w:r>
    </w:p>
    <w:p w14:paraId="2608F764" w14:textId="77777777" w:rsidR="00892544" w:rsidRPr="00A52A6B" w:rsidRDefault="00892544" w:rsidP="00892544">
      <w:pPr>
        <w:pStyle w:val="Prrafodelista"/>
        <w:tabs>
          <w:tab w:val="left" w:pos="0"/>
        </w:tabs>
        <w:spacing w:line="360" w:lineRule="auto"/>
        <w:ind w:left="0" w:right="49"/>
        <w:jc w:val="both"/>
        <w:rPr>
          <w:rFonts w:ascii="Palatino Linotype" w:hAnsi="Palatino Linotype"/>
          <w:lang w:val="es-ES_tradnl"/>
        </w:rPr>
      </w:pPr>
    </w:p>
    <w:p w14:paraId="41078EEB" w14:textId="77777777" w:rsidR="00892544" w:rsidRPr="00A52A6B" w:rsidRDefault="00892544" w:rsidP="00892544">
      <w:pPr>
        <w:spacing w:line="276" w:lineRule="auto"/>
        <w:ind w:left="720" w:hanging="720"/>
        <w:jc w:val="both"/>
        <w:rPr>
          <w:rFonts w:ascii="Palatino Linotype" w:hAnsi="Palatino Linotype"/>
          <w:b/>
          <w:i/>
          <w:lang w:val="es-ES_tradnl"/>
        </w:rPr>
      </w:pPr>
      <w:r w:rsidRPr="00A52A6B">
        <w:rPr>
          <w:rFonts w:ascii="Palatino Linotype" w:hAnsi="Palatino Linotype"/>
          <w:b/>
          <w:i/>
          <w:lang w:val="es-ES_tradnl"/>
        </w:rPr>
        <w:tab/>
        <w:t>SOBRESEIMIENTO EN EL JUICIO CONTENCIOSO ADMINISTRATIVO FEDERAL. SU NATURALEZA JURÍDICA.</w:t>
      </w:r>
      <w:r w:rsidRPr="00A52A6B">
        <w:rPr>
          <w:rFonts w:ascii="Palatino Linotype" w:hAnsi="Palatino Linotype"/>
          <w:i/>
          <w:lang w:val="es-ES_tradnl"/>
        </w:rPr>
        <w:t xml:space="preserve"> De conformidad con el artículo 9o., fracción VI, de la Ley Federal de Procedimiento Contencioso Administrativo, el sobreseimiento en el juicio de nulidad se configura cuando existe impedimento legal para analizar el fondo del asunto, entre otros supuestos, por la actualización de alguna causa de improcedencia ajena a la litis principal, entendida como la condición por cumplir para estar en posibilidad de resolver la litis sustancial sobre los derechos en disputa, por ende, su esencia es adjetiva, contrario a sustantiva. </w:t>
      </w:r>
      <w:r w:rsidRPr="00A52A6B">
        <w:rPr>
          <w:rFonts w:ascii="Palatino Linotype" w:hAnsi="Palatino Linotype"/>
          <w:b/>
          <w:i/>
          <w:u w:val="single"/>
          <w:lang w:val="es-ES_tradnl"/>
        </w:rPr>
        <w:t>La improcedencia se erige como la ausencia de soporte legal, cuyo efecto es impedir el estudio de la cuestión sustancial propuesta, al no estar satisfechas las condiciones que permiten llevar a cabo ese análisis</w:t>
      </w:r>
      <w:r w:rsidRPr="00A52A6B">
        <w:rPr>
          <w:rFonts w:ascii="Palatino Linotype" w:hAnsi="Palatino Linotype"/>
          <w:i/>
          <w:lang w:val="es-ES_tradnl"/>
        </w:rPr>
        <w:t xml:space="preserve">, cuyos supuestos se enuncian en el artículo 8o. de la Ley Federal de Procedimiento Contencioso Administrativo y, dada su naturaleza jurídica, se reafirmó su estudio de oficio debido a las consecuencias generadas en caso de estar acreditada, pues se instituye como el supuesto jurídico por superar, razón por la cual, de probarse alguna de esas hipótesis, el efecto consecuente será tener por acreditado el motivo para sobreseer el juicio de nulidad. Por su parte, el Diccionario Jurídico Mexicano del Instituto de Investigaciones Jurídicas, Editorial Porrúa, Octava Edición, México 1995, página 2637, en relación con el sobreseimiento señala: "Sobreseimiento. I. (Del latín </w:t>
      </w:r>
      <w:proofErr w:type="spellStart"/>
      <w:r w:rsidRPr="00A52A6B">
        <w:rPr>
          <w:rFonts w:ascii="Palatino Linotype" w:hAnsi="Palatino Linotype"/>
          <w:i/>
          <w:lang w:val="es-ES_tradnl"/>
        </w:rPr>
        <w:t>supercedere</w:t>
      </w:r>
      <w:proofErr w:type="spellEnd"/>
      <w:r w:rsidRPr="00A52A6B">
        <w:rPr>
          <w:rFonts w:ascii="Palatino Linotype" w:hAnsi="Palatino Linotype"/>
          <w:i/>
          <w:lang w:val="es-ES_tradnl"/>
        </w:rPr>
        <w:t xml:space="preserve">; cesar, desistir). Es la resolución judicial por la cual se declara que existe un obstáculo jurídico o de hecho que impide la decisión sobre el fondo de la controversia". Así, el artículo 9o., fracción VI, de la ley citada y esa definición, conciben al sobreseimiento como el resultado de estar probada alguna causa de improcedencia, entre otros supuestos, dado que sin ésta, aquél no podría justificarse, </w:t>
      </w:r>
      <w:r w:rsidRPr="00A52A6B">
        <w:rPr>
          <w:rFonts w:ascii="Palatino Linotype" w:hAnsi="Palatino Linotype"/>
          <w:b/>
          <w:i/>
          <w:u w:val="single"/>
          <w:lang w:val="es-ES_tradnl"/>
        </w:rPr>
        <w:t>pues la improcedencia es la causa y la conclusión es el sobreseimiento; por tanto, si la improcedencia conlleva el sobreseimiento, entonces, su estudio es preferente a cualquier otra cuestión e, incluso, se debe llevar a cabo de oficio, pues de lo contrario se generaría inseguridad jurídica al proceder al análisis de un aspecto de fondo sin estar justificada su procedencia, lo cual desarticularía la estructura del juicio de nulidad</w:t>
      </w:r>
      <w:r w:rsidRPr="00A52A6B">
        <w:rPr>
          <w:rFonts w:ascii="Palatino Linotype" w:hAnsi="Palatino Linotype"/>
          <w:i/>
          <w:lang w:val="es-ES_tradnl"/>
        </w:rPr>
        <w:t xml:space="preserve">; </w:t>
      </w:r>
      <w:r w:rsidRPr="00A52A6B">
        <w:rPr>
          <w:rFonts w:ascii="Palatino Linotype" w:hAnsi="Palatino Linotype"/>
          <w:b/>
          <w:i/>
          <w:u w:val="single"/>
          <w:lang w:val="es-ES_tradnl"/>
        </w:rPr>
        <w:t xml:space="preserve">de ahí que el </w:t>
      </w:r>
      <w:r w:rsidRPr="00A52A6B">
        <w:rPr>
          <w:rFonts w:ascii="Palatino Linotype" w:hAnsi="Palatino Linotype"/>
          <w:b/>
          <w:i/>
          <w:u w:val="single"/>
          <w:lang w:val="es-ES_tradnl"/>
        </w:rPr>
        <w:lastRenderedPageBreak/>
        <w:t>sobreseimiento sí constituye un fallo definitivo al concluir la instancia y no definir la controversia de fondo propuesta, que no delimita los derechos sustanciales de los contendientes; por ende, el sobreseimiento justifica la omisión de analizar los conceptos de nulidad.</w:t>
      </w:r>
    </w:p>
    <w:p w14:paraId="5A02B42C" w14:textId="77777777" w:rsidR="00892544" w:rsidRPr="00A52A6B" w:rsidRDefault="00892544" w:rsidP="00892544">
      <w:pPr>
        <w:spacing w:line="276" w:lineRule="auto"/>
        <w:ind w:left="720" w:hanging="720"/>
        <w:jc w:val="both"/>
        <w:rPr>
          <w:rFonts w:ascii="Palatino Linotype" w:hAnsi="Palatino Linotype"/>
          <w:i/>
          <w:lang w:val="es-ES_tradnl"/>
        </w:rPr>
      </w:pPr>
      <w:r w:rsidRPr="00A52A6B">
        <w:rPr>
          <w:rFonts w:ascii="Palatino Linotype" w:hAnsi="Palatino Linotype"/>
          <w:i/>
          <w:lang w:val="es-ES_tradnl"/>
        </w:rPr>
        <w:tab/>
        <w:t>SEXTO TRIBUNAL COLEGIADO EN MATERIA ADMINISTRATIVA DEL TERCER CIRCUITO.</w:t>
      </w:r>
    </w:p>
    <w:p w14:paraId="34C6DDEB" w14:textId="77777777" w:rsidR="00892544" w:rsidRPr="00A52A6B" w:rsidRDefault="00892544" w:rsidP="00892544">
      <w:pPr>
        <w:spacing w:line="276" w:lineRule="auto"/>
        <w:ind w:left="720" w:hanging="720"/>
        <w:jc w:val="both"/>
        <w:rPr>
          <w:rFonts w:ascii="Palatino Linotype" w:hAnsi="Palatino Linotype"/>
          <w:i/>
          <w:lang w:val="es-ES_tradnl"/>
        </w:rPr>
      </w:pPr>
      <w:r w:rsidRPr="00A52A6B">
        <w:rPr>
          <w:rFonts w:ascii="Palatino Linotype" w:hAnsi="Palatino Linotype"/>
          <w:i/>
          <w:lang w:val="es-ES_tradnl"/>
        </w:rPr>
        <w:tab/>
        <w:t>Amparo directo 28/2020. Santiago Díaz Muñoz. 3 de junio de 2020. Unanimidad de votos. Ponente: Mario Alberto Domínguez Trejo. Secretario: Miguel Mora Pérez.</w:t>
      </w:r>
    </w:p>
    <w:p w14:paraId="4C3C435B" w14:textId="77777777" w:rsidR="00892544" w:rsidRPr="00A52A6B" w:rsidRDefault="00892544" w:rsidP="00892544">
      <w:pPr>
        <w:spacing w:line="276" w:lineRule="auto"/>
        <w:ind w:left="720" w:hanging="720"/>
        <w:jc w:val="both"/>
        <w:rPr>
          <w:rFonts w:ascii="Palatino Linotype" w:hAnsi="Palatino Linotype"/>
          <w:i/>
          <w:lang w:val="es-ES_tradnl"/>
        </w:rPr>
      </w:pPr>
      <w:r w:rsidRPr="00A52A6B">
        <w:rPr>
          <w:rFonts w:ascii="Palatino Linotype" w:hAnsi="Palatino Linotype"/>
          <w:i/>
          <w:lang w:val="es-ES_tradnl"/>
        </w:rPr>
        <w:tab/>
        <w:t>Esta tesis se publicó el viernes 18 de septiembre de 2020 a las 10:27 horas en el Semanario Judicial de la Federación.</w:t>
      </w:r>
    </w:p>
    <w:p w14:paraId="3EF0E2BC"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cs="Calibri"/>
          <w:color w:val="212529"/>
          <w:shd w:val="clear" w:color="auto" w:fill="FFFFFF"/>
          <w:lang w:val="es-ES_tradnl"/>
        </w:rPr>
      </w:pPr>
    </w:p>
    <w:p w14:paraId="3A37169F"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lang w:val="es-ES_tradnl"/>
        </w:rPr>
        <w:t>Por lo tanto, en el caso que nos ocupa, derivado de la falta de actualización de los supuestos contenidos en el artículo 160 de la Ley General de Transparencia y Acceso a la Información Pública, el derecho de la acción procesal del particular simplemente no puede configurarse, es decir su acción o pretensión es improcedente por no ajustarse a las hipótesis legales establecidas para ello lo que conlleva la inviabilidad de que el Órgano Garante Nacional analice y resuelva el recurso de inconformidad.</w:t>
      </w:r>
    </w:p>
    <w:p w14:paraId="6E6BA0CF"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cs="Calibri"/>
          <w:color w:val="212529"/>
          <w:shd w:val="clear" w:color="auto" w:fill="FFFFFF"/>
          <w:lang w:val="es-ES_tradnl"/>
        </w:rPr>
      </w:pPr>
    </w:p>
    <w:p w14:paraId="3205173E"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lang w:val="es-ES_tradnl"/>
        </w:rPr>
        <w:t xml:space="preserve">De lo anterior, se reitera categóricamente que el recurso de inconformidad resultaba improcedente por no actualizarse las hipótesis legales para su interposición, es decir, que se carece de acción para interponer dicho medio de impugnación y por ende existe imposibilidad jurídica por parte del INAI para estudiar y decidir dicha cuestión y ante dicha imposibilidad la acción del particular </w:t>
      </w:r>
      <w:r w:rsidRPr="00A52A6B">
        <w:rPr>
          <w:rFonts w:ascii="Palatino Linotype" w:hAnsi="Palatino Linotype"/>
          <w:lang w:val="es-ES_tradnl"/>
        </w:rPr>
        <w:lastRenderedPageBreak/>
        <w:t>no logra su objeto, por lo tanto, la improcedencia de la acción equivale a la improcedencia del recurso de inconformidad, ya que la primera como derecho público adjetivo del gobernado, y otro, como proceso que se origina al ejercitarla, persiguen el mismo objeto.</w:t>
      </w:r>
    </w:p>
    <w:p w14:paraId="08596AB0"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cs="Calibri"/>
          <w:color w:val="212529"/>
          <w:shd w:val="clear" w:color="auto" w:fill="FFFFFF"/>
          <w:lang w:val="es-ES_tradnl"/>
        </w:rPr>
      </w:pPr>
    </w:p>
    <w:p w14:paraId="695E8826"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shd w:val="clear" w:color="auto" w:fill="FFFFFF"/>
          <w:lang w:val="es-ES_tradnl"/>
        </w:rPr>
        <w:t>En efecto, la </w:t>
      </w:r>
      <w:r w:rsidRPr="00A52A6B">
        <w:rPr>
          <w:rFonts w:ascii="Palatino Linotype" w:hAnsi="Palatino Linotype"/>
          <w:lang w:val="es-ES_tradnl"/>
        </w:rPr>
        <w:t>improcedencia</w:t>
      </w:r>
      <w:r w:rsidRPr="00A52A6B">
        <w:rPr>
          <w:rFonts w:ascii="Palatino Linotype" w:hAnsi="Palatino Linotype"/>
          <w:shd w:val="clear" w:color="auto" w:fill="FFFFFF"/>
          <w:lang w:val="es-ES_tradnl"/>
        </w:rPr>
        <w:t xml:space="preserve">, conlleva la determinación unilateral de rechazar el medio de impugnación porque ante quien se presentó carece de atribuciones para conocer de las pretensiones del actor, en virtud de que el acto impugnado no encuadra dentro de las hipótesis legales para la procedencia del recurso de inconformidad que le compete conocer al Instituto Nacional de Transparencia, Acceso a la Información Pública y Protección de Datos Personales, por lo que ante esta clara </w:t>
      </w:r>
      <w:r w:rsidRPr="00A52A6B">
        <w:rPr>
          <w:rFonts w:ascii="Palatino Linotype" w:hAnsi="Palatino Linotype"/>
          <w:lang w:val="es-ES_tradnl"/>
        </w:rPr>
        <w:t>improcedencia</w:t>
      </w:r>
      <w:r w:rsidRPr="00A52A6B">
        <w:rPr>
          <w:rFonts w:ascii="Palatino Linotype" w:hAnsi="Palatino Linotype"/>
          <w:shd w:val="clear" w:color="auto" w:fill="FFFFFF"/>
          <w:lang w:val="es-ES_tradnl"/>
        </w:rPr>
        <w:t xml:space="preserve"> y toda vez que el recurso de inconformidad fue admitido, dicho órgano debió limitarse  a sobreseer el medio de impugnación, pues al carecer de facultades expresas para conocer del asunto, tampoco debió actuar en un sentido no autorizado por la ley, si se toma en cuenta que conforme al principio de legalidad sólo puede hacer lo que ésta le permite.</w:t>
      </w:r>
    </w:p>
    <w:p w14:paraId="6A9A0C11" w14:textId="77777777" w:rsidR="00892544" w:rsidRPr="00A52A6B" w:rsidRDefault="00892544" w:rsidP="00892544">
      <w:pPr>
        <w:pStyle w:val="Prrafodelista"/>
        <w:rPr>
          <w:rFonts w:ascii="Palatino Linotype" w:hAnsi="Palatino Linotype"/>
          <w:lang w:val="es-ES_tradnl"/>
        </w:rPr>
      </w:pPr>
    </w:p>
    <w:p w14:paraId="32CDE874"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cs="Calibri"/>
          <w:color w:val="212529"/>
          <w:shd w:val="clear" w:color="auto" w:fill="FFFFFF"/>
          <w:lang w:val="es-ES_tradnl"/>
        </w:rPr>
      </w:pPr>
      <w:r w:rsidRPr="00A52A6B">
        <w:rPr>
          <w:rFonts w:ascii="Palatino Linotype" w:hAnsi="Palatino Linotype"/>
          <w:lang w:val="es-ES_tradnl"/>
        </w:rPr>
        <w:t xml:space="preserve">Bajo dichas consideraciones, la procedencia o improcedencia de </w:t>
      </w:r>
      <w:proofErr w:type="spellStart"/>
      <w:r w:rsidRPr="00A52A6B">
        <w:rPr>
          <w:rFonts w:ascii="Palatino Linotype" w:hAnsi="Palatino Linotype"/>
          <w:lang w:val="es-ES_tradnl"/>
        </w:rPr>
        <w:t>lo</w:t>
      </w:r>
      <w:proofErr w:type="spellEnd"/>
      <w:r w:rsidRPr="00A52A6B">
        <w:rPr>
          <w:rFonts w:ascii="Palatino Linotype" w:hAnsi="Palatino Linotype"/>
          <w:lang w:val="es-ES_tradnl"/>
        </w:rPr>
        <w:t xml:space="preserve"> medios de impugnación no depende de que sean otorgados o negados caprichosamente por la autoridad, ya que en atención al principio que establece que cuando la ley no distingue no debe hacerlo el juzgador, la mención errónea de la procedencia del recurso de inconformidad no lo hace procedente, pues debe estarse al artículo 160 </w:t>
      </w:r>
      <w:r w:rsidRPr="00A52A6B">
        <w:rPr>
          <w:rFonts w:ascii="Palatino Linotype" w:hAnsi="Palatino Linotype"/>
          <w:lang w:val="es-ES_tradnl"/>
        </w:rPr>
        <w:lastRenderedPageBreak/>
        <w:t>de la Ley General de Transparencia y Acceso a la Información Pública, no a la voluntad del órgano resolutor.</w:t>
      </w:r>
    </w:p>
    <w:p w14:paraId="205B82C8" w14:textId="77777777" w:rsidR="00892544" w:rsidRPr="00A52A6B" w:rsidRDefault="00892544" w:rsidP="006261BA">
      <w:pPr>
        <w:rPr>
          <w:rFonts w:ascii="Palatino Linotype" w:hAnsi="Palatino Linotype"/>
          <w:shd w:val="clear" w:color="auto" w:fill="FFFFFF"/>
          <w:lang w:val="es-ES_tradnl"/>
        </w:rPr>
      </w:pPr>
    </w:p>
    <w:p w14:paraId="71B507EC" w14:textId="77777777" w:rsidR="00892544" w:rsidRPr="00A52A6B" w:rsidRDefault="00892544" w:rsidP="00892544">
      <w:pPr>
        <w:pStyle w:val="Ttulo1"/>
        <w:numPr>
          <w:ilvl w:val="0"/>
          <w:numId w:val="26"/>
        </w:numPr>
        <w:spacing w:line="360" w:lineRule="auto"/>
        <w:jc w:val="both"/>
        <w:rPr>
          <w:rFonts w:ascii="Palatino Linotype" w:hAnsi="Palatino Linotype"/>
          <w:b/>
        </w:rPr>
      </w:pPr>
      <w:bookmarkStart w:id="9" w:name="_Toc66304363"/>
      <w:r w:rsidRPr="00A52A6B">
        <w:rPr>
          <w:rFonts w:ascii="Palatino Linotype" w:hAnsi="Palatino Linotype"/>
          <w:b/>
          <w:color w:val="auto"/>
          <w:sz w:val="24"/>
        </w:rPr>
        <w:t>De los Derechos del solicitante de acceso a la información</w:t>
      </w:r>
      <w:bookmarkEnd w:id="9"/>
    </w:p>
    <w:p w14:paraId="48FDDDB2" w14:textId="77777777" w:rsidR="00892544" w:rsidRPr="00A52A6B" w:rsidRDefault="00892544" w:rsidP="00892544">
      <w:pPr>
        <w:pStyle w:val="Prrafodelista"/>
        <w:rPr>
          <w:rFonts w:ascii="Palatino Linotype" w:eastAsiaTheme="minorHAnsi" w:hAnsi="Palatino Linotype"/>
          <w:lang w:val="es-ES_tradnl" w:eastAsia="en-US"/>
        </w:rPr>
      </w:pPr>
    </w:p>
    <w:p w14:paraId="4E2EE455"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eastAsiaTheme="minorHAnsi" w:hAnsi="Palatino Linotype"/>
          <w:lang w:val="es-ES_tradnl" w:eastAsia="en-US"/>
        </w:rPr>
        <w:t>Por un lado, en el artículo sexto constitucional se reconoce el derecho de las personas de acceder a la información en posesión de los sujetos obligados la que, por principio, es pública, salvo las restricciones que defina la ley; así como el reconocimiento de las garantías para su protección, entre ellas, podemos identificar a las primarias como las inmediatamente relacionadas con el derecho y, por lo tanto, comunes para todos los sujetos obligados: el deber de documentar todo acto que realicen en el ejercicio de sus facultades, competencias o funciones; de resguardar los documentos en archivos administrativos actualizados; la de publicar, a través de los medios electrónicos disponibles, la información completa y actualizada, relacionada con el ejercicio de los recursos públicos y con los indicadores que permitan rendir cuenta del cumplimiento de sus objetivos y de los resultados obtenidos; y, finalmente, los procedimientos para solicitar información.</w:t>
      </w:r>
    </w:p>
    <w:p w14:paraId="77FA7594"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5E7DB3C3"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 xml:space="preserve">Respecto de los procedimientos para solicitar información, el artículo 124 de la Ley General de Transparencia y Acceso a la Información Pública, señala los requisitos para presentar una solicitud de información, señalando en la fracción V </w:t>
      </w:r>
      <w:r w:rsidRPr="00A52A6B">
        <w:rPr>
          <w:rFonts w:ascii="Palatino Linotype" w:hAnsi="Palatino Linotype"/>
          <w:shd w:val="clear" w:color="auto" w:fill="FFFFFF"/>
          <w:lang w:val="es-ES_tradnl"/>
        </w:rPr>
        <w:lastRenderedPageBreak/>
        <w:t xml:space="preserve">la modalidad en la que prefiere el particular para que </w:t>
      </w:r>
      <w:proofErr w:type="gramStart"/>
      <w:r w:rsidRPr="00A52A6B">
        <w:rPr>
          <w:rFonts w:ascii="Palatino Linotype" w:hAnsi="Palatino Linotype"/>
          <w:shd w:val="clear" w:color="auto" w:fill="FFFFFF"/>
          <w:lang w:val="es-ES_tradnl"/>
        </w:rPr>
        <w:t>se  le</w:t>
      </w:r>
      <w:proofErr w:type="gramEnd"/>
      <w:r w:rsidRPr="00A52A6B">
        <w:rPr>
          <w:rFonts w:ascii="Palatino Linotype" w:hAnsi="Palatino Linotype"/>
          <w:shd w:val="clear" w:color="auto" w:fill="FFFFFF"/>
          <w:lang w:val="es-ES_tradnl"/>
        </w:rPr>
        <w:t xml:space="preserve"> otorgue el acceso a la información, como a continuación se muestra:</w:t>
      </w:r>
    </w:p>
    <w:p w14:paraId="17662991" w14:textId="77777777" w:rsidR="00892544" w:rsidRPr="00A52A6B" w:rsidRDefault="00892544" w:rsidP="00892544">
      <w:pPr>
        <w:pStyle w:val="Prrafodelista"/>
        <w:rPr>
          <w:rFonts w:ascii="Palatino Linotype" w:hAnsi="Palatino Linotype"/>
          <w:shd w:val="clear" w:color="auto" w:fill="FFFFFF"/>
          <w:lang w:val="es-ES_tradnl"/>
        </w:rPr>
      </w:pPr>
    </w:p>
    <w:p w14:paraId="45555E77" w14:textId="77777777" w:rsidR="00892544" w:rsidRPr="00A52A6B" w:rsidRDefault="00892544" w:rsidP="00892544">
      <w:pPr>
        <w:pStyle w:val="Texto"/>
        <w:spacing w:after="0" w:line="276" w:lineRule="auto"/>
        <w:ind w:left="502" w:firstLine="0"/>
        <w:rPr>
          <w:rFonts w:ascii="Palatino Linotype" w:hAnsi="Palatino Linotype"/>
          <w:i/>
          <w:sz w:val="22"/>
          <w:szCs w:val="22"/>
          <w:lang w:val="es-ES_tradnl"/>
        </w:rPr>
      </w:pPr>
      <w:bookmarkStart w:id="10" w:name="Artículo_124"/>
      <w:r w:rsidRPr="00A52A6B">
        <w:rPr>
          <w:rFonts w:ascii="Palatino Linotype" w:hAnsi="Palatino Linotype"/>
          <w:b/>
          <w:i/>
          <w:sz w:val="22"/>
          <w:szCs w:val="22"/>
          <w:lang w:val="es-ES_tradnl"/>
        </w:rPr>
        <w:t>Artículo 124</w:t>
      </w:r>
      <w:bookmarkEnd w:id="10"/>
      <w:r w:rsidRPr="00A52A6B">
        <w:rPr>
          <w:rFonts w:ascii="Palatino Linotype" w:hAnsi="Palatino Linotype"/>
          <w:b/>
          <w:i/>
          <w:sz w:val="22"/>
          <w:szCs w:val="22"/>
          <w:lang w:val="es-ES_tradnl"/>
        </w:rPr>
        <w:t xml:space="preserve">. </w:t>
      </w:r>
      <w:r w:rsidRPr="00A52A6B">
        <w:rPr>
          <w:rFonts w:ascii="Palatino Linotype" w:hAnsi="Palatino Linotype"/>
          <w:i/>
          <w:sz w:val="22"/>
          <w:szCs w:val="22"/>
          <w:lang w:val="es-ES_tradnl"/>
        </w:rPr>
        <w:t>Para presentar una solicitud no se podrán exigir mayores requisitos que los siguientes:</w:t>
      </w:r>
    </w:p>
    <w:p w14:paraId="7715DD4F" w14:textId="77777777" w:rsidR="00892544" w:rsidRPr="00A52A6B" w:rsidRDefault="00892544" w:rsidP="00892544">
      <w:pPr>
        <w:pStyle w:val="Texto"/>
        <w:spacing w:after="0" w:line="276" w:lineRule="auto"/>
        <w:ind w:left="502" w:firstLine="0"/>
        <w:rPr>
          <w:rFonts w:ascii="Palatino Linotype" w:hAnsi="Palatino Linotype"/>
          <w:i/>
          <w:sz w:val="22"/>
          <w:szCs w:val="22"/>
          <w:lang w:val="es-ES_tradnl"/>
        </w:rPr>
      </w:pPr>
    </w:p>
    <w:p w14:paraId="1CD816FD" w14:textId="77777777" w:rsidR="00892544" w:rsidRPr="00A52A6B" w:rsidRDefault="00892544" w:rsidP="00892544">
      <w:pPr>
        <w:pStyle w:val="Texto"/>
        <w:spacing w:after="0" w:line="276" w:lineRule="auto"/>
        <w:ind w:left="502" w:firstLine="0"/>
        <w:rPr>
          <w:rFonts w:ascii="Palatino Linotype" w:hAnsi="Palatino Linotype"/>
          <w:i/>
          <w:sz w:val="22"/>
          <w:szCs w:val="22"/>
          <w:lang w:val="es-ES_tradnl"/>
        </w:rPr>
      </w:pPr>
      <w:r w:rsidRPr="00A52A6B">
        <w:rPr>
          <w:rFonts w:ascii="Palatino Linotype" w:hAnsi="Palatino Linotype"/>
          <w:b/>
          <w:i/>
          <w:sz w:val="22"/>
          <w:szCs w:val="22"/>
          <w:lang w:val="es-ES_tradnl"/>
        </w:rPr>
        <w:t>I.</w:t>
      </w:r>
      <w:r w:rsidRPr="00A52A6B">
        <w:rPr>
          <w:rFonts w:ascii="Palatino Linotype" w:hAnsi="Palatino Linotype"/>
          <w:b/>
          <w:i/>
          <w:sz w:val="22"/>
          <w:szCs w:val="22"/>
          <w:lang w:val="es-ES_tradnl"/>
        </w:rPr>
        <w:tab/>
      </w:r>
      <w:r w:rsidRPr="00A52A6B">
        <w:rPr>
          <w:rFonts w:ascii="Palatino Linotype" w:hAnsi="Palatino Linotype"/>
          <w:i/>
          <w:sz w:val="22"/>
          <w:szCs w:val="22"/>
          <w:lang w:val="es-ES_tradnl"/>
        </w:rPr>
        <w:t>Nombre o, en su caso, los datos generales de su representante;</w:t>
      </w:r>
    </w:p>
    <w:p w14:paraId="28F6A1FB" w14:textId="77777777" w:rsidR="00892544" w:rsidRPr="00A52A6B" w:rsidRDefault="00892544" w:rsidP="00892544">
      <w:pPr>
        <w:pStyle w:val="Texto"/>
        <w:spacing w:after="0" w:line="276" w:lineRule="auto"/>
        <w:ind w:left="502" w:firstLine="0"/>
        <w:rPr>
          <w:rFonts w:ascii="Palatino Linotype" w:hAnsi="Palatino Linotype"/>
          <w:i/>
          <w:sz w:val="22"/>
          <w:szCs w:val="22"/>
          <w:lang w:val="es-ES_tradnl"/>
        </w:rPr>
      </w:pPr>
    </w:p>
    <w:p w14:paraId="18B0EB42" w14:textId="77777777" w:rsidR="00892544" w:rsidRPr="00A52A6B" w:rsidRDefault="00892544" w:rsidP="00892544">
      <w:pPr>
        <w:pStyle w:val="Texto"/>
        <w:spacing w:after="0" w:line="276" w:lineRule="auto"/>
        <w:ind w:left="502" w:firstLine="0"/>
        <w:rPr>
          <w:rFonts w:ascii="Palatino Linotype" w:hAnsi="Palatino Linotype"/>
          <w:i/>
          <w:sz w:val="22"/>
          <w:szCs w:val="22"/>
          <w:lang w:val="es-ES_tradnl"/>
        </w:rPr>
      </w:pPr>
      <w:r w:rsidRPr="00A52A6B">
        <w:rPr>
          <w:rFonts w:ascii="Palatino Linotype" w:hAnsi="Palatino Linotype"/>
          <w:b/>
          <w:i/>
          <w:sz w:val="22"/>
          <w:szCs w:val="22"/>
          <w:lang w:val="es-ES_tradnl"/>
        </w:rPr>
        <w:t xml:space="preserve">II. </w:t>
      </w:r>
      <w:r w:rsidRPr="00A52A6B">
        <w:rPr>
          <w:rFonts w:ascii="Palatino Linotype" w:hAnsi="Palatino Linotype"/>
          <w:i/>
          <w:sz w:val="22"/>
          <w:szCs w:val="22"/>
          <w:lang w:val="es-ES_tradnl"/>
        </w:rPr>
        <w:t>Domicilio o medio para recibir notificaciones;</w:t>
      </w:r>
    </w:p>
    <w:p w14:paraId="563E0AFB" w14:textId="77777777" w:rsidR="00892544" w:rsidRPr="00A52A6B" w:rsidRDefault="00892544" w:rsidP="00892544">
      <w:pPr>
        <w:pStyle w:val="Texto"/>
        <w:spacing w:after="0" w:line="276" w:lineRule="auto"/>
        <w:ind w:left="502" w:firstLine="0"/>
        <w:rPr>
          <w:rFonts w:ascii="Palatino Linotype" w:hAnsi="Palatino Linotype"/>
          <w:i/>
          <w:sz w:val="22"/>
          <w:szCs w:val="22"/>
          <w:lang w:val="es-ES_tradnl"/>
        </w:rPr>
      </w:pPr>
    </w:p>
    <w:p w14:paraId="25382E61" w14:textId="77777777" w:rsidR="00892544" w:rsidRPr="00A52A6B" w:rsidRDefault="00892544" w:rsidP="00892544">
      <w:pPr>
        <w:pStyle w:val="Texto"/>
        <w:spacing w:after="0" w:line="276" w:lineRule="auto"/>
        <w:ind w:left="502" w:firstLine="0"/>
        <w:rPr>
          <w:rFonts w:ascii="Palatino Linotype" w:hAnsi="Palatino Linotype"/>
          <w:i/>
          <w:sz w:val="22"/>
          <w:szCs w:val="22"/>
          <w:lang w:val="es-ES_tradnl"/>
        </w:rPr>
      </w:pPr>
      <w:r w:rsidRPr="00A52A6B">
        <w:rPr>
          <w:rFonts w:ascii="Palatino Linotype" w:hAnsi="Palatino Linotype"/>
          <w:b/>
          <w:i/>
          <w:sz w:val="22"/>
          <w:szCs w:val="22"/>
          <w:lang w:val="es-ES_tradnl"/>
        </w:rPr>
        <w:t xml:space="preserve">III. </w:t>
      </w:r>
      <w:r w:rsidRPr="00A52A6B">
        <w:rPr>
          <w:rFonts w:ascii="Palatino Linotype" w:hAnsi="Palatino Linotype"/>
          <w:i/>
          <w:sz w:val="22"/>
          <w:szCs w:val="22"/>
          <w:lang w:val="es-ES_tradnl"/>
        </w:rPr>
        <w:t>La descripción de la información solicitada;</w:t>
      </w:r>
    </w:p>
    <w:p w14:paraId="775807FE" w14:textId="77777777" w:rsidR="00892544" w:rsidRPr="00A52A6B" w:rsidRDefault="00892544" w:rsidP="00892544">
      <w:pPr>
        <w:pStyle w:val="Texto"/>
        <w:spacing w:after="0" w:line="276" w:lineRule="auto"/>
        <w:ind w:left="502" w:firstLine="0"/>
        <w:rPr>
          <w:rFonts w:ascii="Palatino Linotype" w:hAnsi="Palatino Linotype"/>
          <w:i/>
          <w:sz w:val="22"/>
          <w:szCs w:val="22"/>
          <w:lang w:val="es-ES_tradnl"/>
        </w:rPr>
      </w:pPr>
    </w:p>
    <w:p w14:paraId="0737836D" w14:textId="77777777" w:rsidR="00892544" w:rsidRPr="00A52A6B" w:rsidRDefault="00892544" w:rsidP="00892544">
      <w:pPr>
        <w:pStyle w:val="Texto"/>
        <w:spacing w:after="0" w:line="276" w:lineRule="auto"/>
        <w:ind w:left="502" w:firstLine="0"/>
        <w:rPr>
          <w:rFonts w:ascii="Palatino Linotype" w:hAnsi="Palatino Linotype"/>
          <w:i/>
          <w:sz w:val="22"/>
          <w:szCs w:val="22"/>
          <w:lang w:val="es-ES_tradnl"/>
        </w:rPr>
      </w:pPr>
      <w:r w:rsidRPr="00A52A6B">
        <w:rPr>
          <w:rFonts w:ascii="Palatino Linotype" w:hAnsi="Palatino Linotype"/>
          <w:b/>
          <w:i/>
          <w:sz w:val="22"/>
          <w:szCs w:val="22"/>
          <w:lang w:val="es-ES_tradnl"/>
        </w:rPr>
        <w:t xml:space="preserve">IV. </w:t>
      </w:r>
      <w:r w:rsidRPr="00A52A6B">
        <w:rPr>
          <w:rFonts w:ascii="Palatino Linotype" w:hAnsi="Palatino Linotype"/>
          <w:i/>
          <w:sz w:val="22"/>
          <w:szCs w:val="22"/>
          <w:lang w:val="es-ES_tradnl"/>
        </w:rPr>
        <w:t>Cualquier otro dato que facilite su búsqueda y eventual localización, y</w:t>
      </w:r>
    </w:p>
    <w:p w14:paraId="77B9B2A7" w14:textId="77777777" w:rsidR="00892544" w:rsidRPr="00A52A6B" w:rsidRDefault="00892544" w:rsidP="00892544">
      <w:pPr>
        <w:pStyle w:val="Texto"/>
        <w:spacing w:after="0" w:line="276" w:lineRule="auto"/>
        <w:ind w:left="502" w:firstLine="0"/>
        <w:rPr>
          <w:rFonts w:ascii="Palatino Linotype" w:hAnsi="Palatino Linotype"/>
          <w:i/>
          <w:sz w:val="22"/>
          <w:szCs w:val="22"/>
          <w:lang w:val="es-ES_tradnl"/>
        </w:rPr>
      </w:pPr>
    </w:p>
    <w:p w14:paraId="2A07AA81" w14:textId="77777777" w:rsidR="00892544" w:rsidRPr="00A52A6B" w:rsidRDefault="00892544" w:rsidP="00892544">
      <w:pPr>
        <w:pStyle w:val="Texto"/>
        <w:spacing w:after="0" w:line="276" w:lineRule="auto"/>
        <w:ind w:left="502" w:firstLine="0"/>
        <w:rPr>
          <w:rFonts w:ascii="Palatino Linotype" w:hAnsi="Palatino Linotype"/>
          <w:b/>
          <w:i/>
          <w:sz w:val="22"/>
          <w:szCs w:val="22"/>
          <w:lang w:val="es-ES_tradnl"/>
        </w:rPr>
      </w:pPr>
      <w:r w:rsidRPr="00A52A6B">
        <w:rPr>
          <w:rFonts w:ascii="Palatino Linotype" w:hAnsi="Palatino Linotype"/>
          <w:b/>
          <w:i/>
          <w:sz w:val="22"/>
          <w:szCs w:val="22"/>
          <w:lang w:val="es-ES_tradnl"/>
        </w:rPr>
        <w:t>V.</w:t>
      </w:r>
      <w:r w:rsidRPr="00A52A6B">
        <w:rPr>
          <w:rFonts w:ascii="Palatino Linotype" w:hAnsi="Palatino Linotype"/>
          <w:b/>
          <w:i/>
          <w:sz w:val="22"/>
          <w:szCs w:val="22"/>
          <w:lang w:val="es-ES_tradnl"/>
        </w:rPr>
        <w:tab/>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0324D7D5" w14:textId="77777777" w:rsidR="00892544" w:rsidRPr="00A52A6B" w:rsidRDefault="00892544" w:rsidP="00892544">
      <w:pPr>
        <w:pStyle w:val="Texto"/>
        <w:spacing w:after="0" w:line="276" w:lineRule="auto"/>
        <w:ind w:left="502" w:firstLine="0"/>
        <w:rPr>
          <w:rFonts w:ascii="Palatino Linotype" w:hAnsi="Palatino Linotype"/>
          <w:i/>
          <w:sz w:val="22"/>
          <w:szCs w:val="22"/>
          <w:lang w:val="es-ES_tradnl"/>
        </w:rPr>
      </w:pPr>
    </w:p>
    <w:p w14:paraId="3778A600" w14:textId="77777777" w:rsidR="00892544" w:rsidRPr="00A52A6B" w:rsidRDefault="00892544" w:rsidP="00892544">
      <w:pPr>
        <w:pStyle w:val="Texto"/>
        <w:spacing w:after="0" w:line="276" w:lineRule="auto"/>
        <w:ind w:left="502" w:firstLine="0"/>
        <w:rPr>
          <w:rFonts w:ascii="Palatino Linotype" w:hAnsi="Palatino Linotype"/>
          <w:i/>
          <w:sz w:val="22"/>
          <w:szCs w:val="22"/>
          <w:lang w:val="es-ES_tradnl"/>
        </w:rPr>
      </w:pPr>
      <w:r w:rsidRPr="00A52A6B">
        <w:rPr>
          <w:rFonts w:ascii="Palatino Linotype" w:hAnsi="Palatino Linotype"/>
          <w:i/>
          <w:sz w:val="22"/>
          <w:szCs w:val="22"/>
          <w:lang w:val="es-ES_tradnl"/>
        </w:rPr>
        <w:t>En su caso, el solicitante señalará el formato accesible o la lengua indígena en la que se requiera la información de acuerdo a lo señalado en la presente Ley.</w:t>
      </w:r>
    </w:p>
    <w:p w14:paraId="2A851A81" w14:textId="77777777" w:rsidR="00892544" w:rsidRPr="00A52A6B" w:rsidRDefault="00892544" w:rsidP="00892544">
      <w:pPr>
        <w:pStyle w:val="Texto"/>
        <w:spacing w:after="0" w:line="276" w:lineRule="auto"/>
        <w:ind w:left="502" w:firstLine="0"/>
        <w:rPr>
          <w:rFonts w:ascii="Palatino Linotype" w:hAnsi="Palatino Linotype"/>
          <w:b/>
          <w:i/>
          <w:sz w:val="22"/>
          <w:szCs w:val="22"/>
          <w:lang w:val="es-ES_tradnl"/>
        </w:rPr>
      </w:pPr>
    </w:p>
    <w:p w14:paraId="4F56A2CD" w14:textId="77777777" w:rsidR="00892544" w:rsidRPr="00A52A6B" w:rsidRDefault="00892544" w:rsidP="00892544">
      <w:pPr>
        <w:pStyle w:val="Texto"/>
        <w:spacing w:after="0" w:line="276" w:lineRule="auto"/>
        <w:ind w:left="502" w:firstLine="0"/>
        <w:rPr>
          <w:rFonts w:ascii="Palatino Linotype" w:hAnsi="Palatino Linotype"/>
          <w:i/>
          <w:sz w:val="22"/>
          <w:szCs w:val="22"/>
          <w:lang w:val="es-ES_tradnl"/>
        </w:rPr>
      </w:pPr>
      <w:r w:rsidRPr="00A52A6B">
        <w:rPr>
          <w:rFonts w:ascii="Palatino Linotype" w:hAnsi="Palatino Linotype"/>
          <w:i/>
          <w:sz w:val="22"/>
          <w:szCs w:val="22"/>
          <w:lang w:val="es-ES_tradnl"/>
        </w:rPr>
        <w:t>La información de las fracciones I y IV será proporcionada por el solicitante de manera opcional y, en ningún caso, podrá ser un requisito indispensable para la procedencia de la solicitud.</w:t>
      </w:r>
    </w:p>
    <w:p w14:paraId="49B06771" w14:textId="77777777" w:rsidR="00892544" w:rsidRPr="00A52A6B" w:rsidRDefault="00892544" w:rsidP="00892544">
      <w:pPr>
        <w:pStyle w:val="Prrafodelista"/>
        <w:rPr>
          <w:rFonts w:ascii="Palatino Linotype" w:hAnsi="Palatino Linotype"/>
          <w:shd w:val="clear" w:color="auto" w:fill="FFFFFF"/>
          <w:lang w:val="es-ES_tradnl"/>
        </w:rPr>
      </w:pPr>
    </w:p>
    <w:p w14:paraId="0F7D3325"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De lo anterior se advierte que la garantía primaria del derecho de acceso a la información es la de solicitar el acceso a la información pública en la modalidad que el particular prefiera l</w:t>
      </w:r>
      <w:r w:rsidRPr="00A52A6B">
        <w:rPr>
          <w:rFonts w:ascii="Palatino Linotype" w:hAnsi="Palatino Linotype"/>
          <w:lang w:val="es-ES_tradnl"/>
        </w:rPr>
        <w:t xml:space="preserve">a cual podrá ser </w:t>
      </w:r>
      <w:r w:rsidRPr="00A52A6B">
        <w:rPr>
          <w:rFonts w:ascii="Palatino Linotype" w:hAnsi="Palatino Linotype"/>
          <w:b/>
          <w:lang w:val="es-ES_tradnl"/>
        </w:rPr>
        <w:t>verbal,</w:t>
      </w:r>
      <w:r w:rsidRPr="00A52A6B">
        <w:rPr>
          <w:rFonts w:ascii="Palatino Linotype" w:hAnsi="Palatino Linotype"/>
          <w:lang w:val="es-ES_tradnl"/>
        </w:rPr>
        <w:t xml:space="preserve"> siempre y cuando sea para fines de orientación, mediante </w:t>
      </w:r>
      <w:r w:rsidRPr="00A52A6B">
        <w:rPr>
          <w:rFonts w:ascii="Palatino Linotype" w:hAnsi="Palatino Linotype"/>
          <w:b/>
          <w:lang w:val="es-ES_tradnl"/>
        </w:rPr>
        <w:t>consulta directa</w:t>
      </w:r>
      <w:r w:rsidRPr="00A52A6B">
        <w:rPr>
          <w:rFonts w:ascii="Palatino Linotype" w:hAnsi="Palatino Linotype"/>
          <w:lang w:val="es-ES_tradnl"/>
        </w:rPr>
        <w:t xml:space="preserve">, mediante la expedición de </w:t>
      </w:r>
      <w:r w:rsidRPr="00A52A6B">
        <w:rPr>
          <w:rFonts w:ascii="Palatino Linotype" w:hAnsi="Palatino Linotype"/>
          <w:b/>
          <w:lang w:val="es-ES_tradnl"/>
        </w:rPr>
        <w:t xml:space="preserve">copias simples </w:t>
      </w:r>
      <w:r w:rsidRPr="00A52A6B">
        <w:rPr>
          <w:rFonts w:ascii="Palatino Linotype" w:hAnsi="Palatino Linotype"/>
          <w:b/>
          <w:lang w:val="es-ES_tradnl"/>
        </w:rPr>
        <w:lastRenderedPageBreak/>
        <w:t>o certificadas</w:t>
      </w:r>
      <w:r w:rsidRPr="00A52A6B">
        <w:rPr>
          <w:rFonts w:ascii="Palatino Linotype" w:hAnsi="Palatino Linotype"/>
          <w:lang w:val="es-ES_tradnl"/>
        </w:rPr>
        <w:t xml:space="preserve"> o la </w:t>
      </w:r>
      <w:r w:rsidRPr="00A52A6B">
        <w:rPr>
          <w:rFonts w:ascii="Palatino Linotype" w:hAnsi="Palatino Linotype"/>
          <w:b/>
          <w:lang w:val="es-ES_tradnl"/>
        </w:rPr>
        <w:t>reproducción en cualquier otro medio, incluidos los electrónicos.</w:t>
      </w:r>
    </w:p>
    <w:p w14:paraId="511FC4CB"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z w:val="22"/>
          <w:shd w:val="clear" w:color="auto" w:fill="FFFFFF"/>
          <w:lang w:val="es-ES_tradnl"/>
        </w:rPr>
      </w:pPr>
    </w:p>
    <w:p w14:paraId="4ACD7BFC" w14:textId="77777777" w:rsidR="00892544" w:rsidRPr="00A52A6B" w:rsidRDefault="00892544" w:rsidP="00892544">
      <w:pPr>
        <w:pStyle w:val="Ttulo1"/>
        <w:numPr>
          <w:ilvl w:val="0"/>
          <w:numId w:val="26"/>
        </w:numPr>
        <w:spacing w:line="360" w:lineRule="auto"/>
        <w:ind w:left="0" w:firstLine="0"/>
        <w:jc w:val="both"/>
        <w:rPr>
          <w:rFonts w:ascii="Palatino Linotype" w:hAnsi="Palatino Linotype"/>
          <w:b/>
          <w:color w:val="auto"/>
          <w:sz w:val="24"/>
          <w:szCs w:val="24"/>
        </w:rPr>
      </w:pPr>
      <w:bookmarkStart w:id="11" w:name="_Toc66304364"/>
      <w:r w:rsidRPr="00A52A6B">
        <w:rPr>
          <w:rFonts w:ascii="Palatino Linotype" w:hAnsi="Palatino Linotype"/>
          <w:b/>
          <w:color w:val="auto"/>
          <w:sz w:val="24"/>
          <w:szCs w:val="24"/>
        </w:rPr>
        <w:t>De las Restricciones del solicitante del derecho de acceso a la información</w:t>
      </w:r>
      <w:bookmarkEnd w:id="11"/>
    </w:p>
    <w:p w14:paraId="481A3D07"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31A3FE26"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eastAsiaTheme="minorHAnsi" w:hAnsi="Palatino Linotype"/>
          <w:lang w:val="es-ES_tradnl" w:eastAsia="en-US"/>
        </w:rPr>
        <w:t>Es de señalar que el derecho de acceso a la información pública no es un derecho absoluto y como tal tiene restricciones como lo son la clasificación de la información por actualizarse alguno de los supuestos de reserva y confidencialidad que establece la Ley General de Transparencia y Acceso a la Información Pública.</w:t>
      </w:r>
    </w:p>
    <w:p w14:paraId="7B59D204"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3FDAD7F8"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eastAsiaTheme="minorHAnsi" w:hAnsi="Palatino Linotype"/>
          <w:lang w:val="es-ES_tradnl" w:eastAsia="en-US"/>
        </w:rPr>
        <w:t xml:space="preserve">Asimismo, si bien es cierto, la elección de la modalidad para acceder a la información pública por parte del particular forma parte del derecho de acceso a la información pública, también va acompañado de una restricción, conforme lo establecido en el artículo 127 de la Ley General de Transparencia y Acceso a la Información Pública que establece que </w:t>
      </w:r>
      <w:r w:rsidRPr="00A52A6B">
        <w:rPr>
          <w:rFonts w:ascii="Palatino Linotype" w:hAnsi="Palatino Linotype"/>
          <w:lang w:val="es-ES_tradnl"/>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del sujeto obligado para cumplir con la solicitud, en los plazos establecidos para dichos efectos, se podrán poner a disposición del solicitante los documentos en consulta directa, salvo la información clasificada.</w:t>
      </w:r>
    </w:p>
    <w:p w14:paraId="499C09F4" w14:textId="77777777" w:rsidR="00892544" w:rsidRPr="00A52A6B" w:rsidRDefault="00892544" w:rsidP="00892544">
      <w:pPr>
        <w:pStyle w:val="Prrafodelista"/>
        <w:rPr>
          <w:rFonts w:ascii="Palatino Linotype" w:eastAsiaTheme="minorHAnsi" w:hAnsi="Palatino Linotype"/>
          <w:lang w:val="es-ES_tradnl" w:eastAsia="en-US"/>
        </w:rPr>
      </w:pPr>
    </w:p>
    <w:p w14:paraId="0236ACB6"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eastAsiaTheme="minorHAnsi" w:hAnsi="Palatino Linotype"/>
          <w:lang w:val="es-ES_tradnl" w:eastAsia="en-US"/>
        </w:rPr>
        <w:t>Ahora bien, el hecho de que el sujeto obligado responda en una modalidad diferente a la solicitada por el particular, sin justificar esa decisión constituye un acto formal emitido por funcionarios legalmente facultados, pero inválido en tanto que no respeta la prerrogativa legalmente establecida que concede al titular del derecho, la oportunidad de escoger la modalidad de entrega de la información.</w:t>
      </w:r>
    </w:p>
    <w:p w14:paraId="068C7825" w14:textId="77777777" w:rsidR="00892544" w:rsidRPr="00A52A6B" w:rsidRDefault="00892544" w:rsidP="00892544">
      <w:pPr>
        <w:pStyle w:val="Prrafodelista"/>
        <w:rPr>
          <w:rFonts w:ascii="Palatino Linotype" w:eastAsiaTheme="minorHAnsi" w:hAnsi="Palatino Linotype"/>
          <w:lang w:val="es-ES_tradnl" w:eastAsia="en-US"/>
        </w:rPr>
      </w:pPr>
    </w:p>
    <w:p w14:paraId="55E9D57F"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eastAsiaTheme="minorHAnsi" w:hAnsi="Palatino Linotype"/>
          <w:lang w:val="es-ES_tradnl" w:eastAsia="en-US"/>
        </w:rPr>
        <w:t>No obstante lo anterior, no todos los cambios de modalidad en la entrega de la información pueden considerarse como inválidos, ya que la Ley General en su artículo 127 señala que de  manera excepcional, … de forma fundada y motivada, así lo determine el sujeto obligado, en aquellos casos en que la información solicitada que ya se encuentre en su posesión implique análisis, estudio o procesamiento de documentos cuya entrega o reproducción sobrepase las capacidades técnicas del sujeto obligado para cumplir con la solicitud, en los plazos establecidos para dichos efectos, se podrán poner a disposición del solicitante los documentos en consulta directa, salvo la información clasificada.</w:t>
      </w:r>
    </w:p>
    <w:p w14:paraId="06B0407F" w14:textId="77777777" w:rsidR="00892544" w:rsidRPr="00A52A6B" w:rsidRDefault="00892544" w:rsidP="00892544">
      <w:pPr>
        <w:pStyle w:val="Prrafodelista"/>
        <w:rPr>
          <w:rFonts w:ascii="Palatino Linotype" w:eastAsiaTheme="minorHAnsi" w:hAnsi="Palatino Linotype"/>
          <w:lang w:val="es-ES_tradnl" w:eastAsia="en-US"/>
        </w:rPr>
      </w:pPr>
    </w:p>
    <w:p w14:paraId="32A70AC0"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eastAsiaTheme="minorHAnsi" w:hAnsi="Palatino Linotype"/>
          <w:lang w:val="es-ES_tradnl" w:eastAsia="en-US"/>
        </w:rPr>
        <w:t>Corolario a lo anterior el artículo 133 del ordenamiento legal citado establece que el acceso a la información se dará en la modalidad de entrega y, en su caso, de envío elegidos por el solicitante, cuando la información no pueda entregarse o enviarse en la modalidad elegida, el sujeto obligado deberá ofrecer otras modalidades de entrega; en cualquier caso, se debe fundar y motivar la necesidad de ofrecer otras modalidades.</w:t>
      </w:r>
    </w:p>
    <w:p w14:paraId="4D542D95" w14:textId="77777777" w:rsidR="00892544" w:rsidRPr="00A52A6B" w:rsidRDefault="00892544" w:rsidP="00892544">
      <w:pPr>
        <w:pStyle w:val="Prrafodelista"/>
        <w:rPr>
          <w:rFonts w:ascii="Palatino Linotype" w:eastAsiaTheme="minorHAnsi" w:hAnsi="Palatino Linotype"/>
          <w:lang w:val="es-ES_tradnl" w:eastAsia="en-US"/>
        </w:rPr>
      </w:pPr>
    </w:p>
    <w:p w14:paraId="3165920F"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eastAsiaTheme="minorHAnsi" w:hAnsi="Palatino Linotype"/>
          <w:lang w:val="es-ES_tradnl" w:eastAsia="en-US"/>
        </w:rPr>
        <w:t>En concordancia con la Ley General, la legislación del Estado de México establece lo siguiente:</w:t>
      </w:r>
    </w:p>
    <w:p w14:paraId="20A116A1" w14:textId="77777777" w:rsidR="00892544" w:rsidRPr="00A52A6B" w:rsidRDefault="00892544" w:rsidP="00892544">
      <w:pPr>
        <w:pStyle w:val="Prrafodelista"/>
        <w:rPr>
          <w:rFonts w:ascii="Palatino Linotype" w:hAnsi="Palatino Linotype"/>
          <w:shd w:val="clear" w:color="auto" w:fill="FFFFFF"/>
          <w:lang w:val="es-ES_tradnl"/>
        </w:rPr>
      </w:pPr>
    </w:p>
    <w:tbl>
      <w:tblPr>
        <w:tblStyle w:val="Tablaconcuadrcula"/>
        <w:tblW w:w="0" w:type="auto"/>
        <w:tblInd w:w="720" w:type="dxa"/>
        <w:tblLook w:val="04A0" w:firstRow="1" w:lastRow="0" w:firstColumn="1" w:lastColumn="0" w:noHBand="0" w:noVBand="1"/>
      </w:tblPr>
      <w:tblGrid>
        <w:gridCol w:w="4045"/>
        <w:gridCol w:w="4063"/>
      </w:tblGrid>
      <w:tr w:rsidR="00892544" w:rsidRPr="00A52A6B" w14:paraId="3D81C9C7" w14:textId="77777777" w:rsidTr="00892544">
        <w:tc>
          <w:tcPr>
            <w:tcW w:w="4414" w:type="dxa"/>
          </w:tcPr>
          <w:p w14:paraId="5EEDD569" w14:textId="77777777" w:rsidR="00892544" w:rsidRPr="00A52A6B" w:rsidRDefault="00892544" w:rsidP="00892544">
            <w:pPr>
              <w:pStyle w:val="Prrafodelista"/>
              <w:ind w:left="0"/>
              <w:rPr>
                <w:rFonts w:ascii="Palatino Linotype" w:hAnsi="Palatino Linotype"/>
                <w:b/>
                <w:sz w:val="22"/>
                <w:szCs w:val="22"/>
                <w:shd w:val="clear" w:color="auto" w:fill="FFFFFF"/>
                <w:lang w:val="es-ES_tradnl"/>
              </w:rPr>
            </w:pPr>
            <w:r w:rsidRPr="00A52A6B">
              <w:rPr>
                <w:rFonts w:ascii="Palatino Linotype" w:hAnsi="Palatino Linotype"/>
                <w:b/>
                <w:sz w:val="22"/>
                <w:szCs w:val="22"/>
                <w:shd w:val="clear" w:color="auto" w:fill="FFFFFF"/>
                <w:lang w:val="es-ES_tradnl"/>
              </w:rPr>
              <w:t>Ley General de Transparencia y Acceso a la Información Pública</w:t>
            </w:r>
          </w:p>
        </w:tc>
        <w:tc>
          <w:tcPr>
            <w:tcW w:w="4414" w:type="dxa"/>
          </w:tcPr>
          <w:p w14:paraId="6520FC74" w14:textId="77777777" w:rsidR="00892544" w:rsidRPr="00A52A6B" w:rsidRDefault="00892544" w:rsidP="00892544">
            <w:pPr>
              <w:pStyle w:val="Prrafodelista"/>
              <w:ind w:left="0"/>
              <w:rPr>
                <w:rFonts w:ascii="Palatino Linotype" w:hAnsi="Palatino Linotype"/>
                <w:b/>
                <w:sz w:val="22"/>
                <w:szCs w:val="22"/>
                <w:shd w:val="clear" w:color="auto" w:fill="FFFFFF"/>
                <w:lang w:val="es-ES_tradnl"/>
              </w:rPr>
            </w:pPr>
            <w:r w:rsidRPr="00A52A6B">
              <w:rPr>
                <w:rFonts w:ascii="Palatino Linotype" w:hAnsi="Palatino Linotype"/>
                <w:b/>
                <w:sz w:val="22"/>
                <w:szCs w:val="22"/>
                <w:shd w:val="clear" w:color="auto" w:fill="FFFFFF"/>
                <w:lang w:val="es-ES_tradnl"/>
              </w:rPr>
              <w:t>Ley de Transparencia y Acceso a la Información Pública del Estado de México y Municipios</w:t>
            </w:r>
          </w:p>
        </w:tc>
      </w:tr>
      <w:tr w:rsidR="00892544" w:rsidRPr="00A52A6B" w14:paraId="515DDC6D" w14:textId="77777777" w:rsidTr="00892544">
        <w:tc>
          <w:tcPr>
            <w:tcW w:w="4414" w:type="dxa"/>
          </w:tcPr>
          <w:p w14:paraId="3726B6C1" w14:textId="77777777" w:rsidR="00892544" w:rsidRPr="00A52A6B" w:rsidRDefault="00892544" w:rsidP="00892544">
            <w:pPr>
              <w:pStyle w:val="Texto"/>
              <w:spacing w:after="0" w:line="240" w:lineRule="auto"/>
              <w:rPr>
                <w:rFonts w:ascii="Palatino Linotype" w:hAnsi="Palatino Linotype"/>
                <w:sz w:val="22"/>
                <w:szCs w:val="22"/>
              </w:rPr>
            </w:pPr>
            <w:bookmarkStart w:id="12" w:name="Artículo_127"/>
            <w:r w:rsidRPr="00A52A6B">
              <w:rPr>
                <w:rFonts w:ascii="Palatino Linotype" w:hAnsi="Palatino Linotype"/>
                <w:b/>
                <w:sz w:val="22"/>
                <w:szCs w:val="22"/>
              </w:rPr>
              <w:t>Artículo 127</w:t>
            </w:r>
            <w:bookmarkEnd w:id="12"/>
            <w:r w:rsidRPr="00A52A6B">
              <w:rPr>
                <w:rFonts w:ascii="Palatino Linotype" w:hAnsi="Palatino Linotype"/>
                <w:b/>
                <w:sz w:val="22"/>
                <w:szCs w:val="22"/>
              </w:rPr>
              <w:t xml:space="preserve">. De manera excepcional, cuando, de forma fundada y motivada, así lo determine el sujeto obligado, </w:t>
            </w:r>
            <w:r w:rsidRPr="00A52A6B">
              <w:rPr>
                <w:rFonts w:ascii="Palatino Linotype" w:hAnsi="Palatino Linotype"/>
                <w:sz w:val="22"/>
                <w:szCs w:val="22"/>
              </w:rPr>
              <w:t xml:space="preserve">en aquellos casos en que la información solicitada que ya se encuentre en su posesión implique análisis, estudio o procesamiento de documentos </w:t>
            </w:r>
            <w:r w:rsidRPr="00A52A6B">
              <w:rPr>
                <w:rFonts w:ascii="Palatino Linotype" w:hAnsi="Palatino Linotype"/>
                <w:b/>
                <w:sz w:val="22"/>
                <w:szCs w:val="22"/>
              </w:rPr>
              <w:t xml:space="preserve">cuya entrega o reproducción sobrepase </w:t>
            </w:r>
            <w:r w:rsidRPr="00A52A6B">
              <w:rPr>
                <w:rFonts w:ascii="Palatino Linotype" w:hAnsi="Palatino Linotype"/>
                <w:b/>
                <w:sz w:val="22"/>
                <w:szCs w:val="22"/>
                <w:u w:val="single"/>
              </w:rPr>
              <w:t xml:space="preserve">las capacidades técnicas </w:t>
            </w:r>
            <w:r w:rsidRPr="00A52A6B">
              <w:rPr>
                <w:rFonts w:ascii="Palatino Linotype" w:hAnsi="Palatino Linotype"/>
                <w:b/>
                <w:sz w:val="22"/>
                <w:szCs w:val="22"/>
              </w:rPr>
              <w:t xml:space="preserve">del sujeto obligado </w:t>
            </w:r>
            <w:r w:rsidRPr="00A52A6B">
              <w:rPr>
                <w:rFonts w:ascii="Palatino Linotype" w:hAnsi="Palatino Linotype"/>
                <w:sz w:val="22"/>
                <w:szCs w:val="22"/>
              </w:rPr>
              <w:t xml:space="preserve">para cumplir con la solicitud, en los plazos establecidos para dichos efectos, se podrán poner a disposición del </w:t>
            </w:r>
            <w:r w:rsidRPr="00A52A6B">
              <w:rPr>
                <w:rFonts w:ascii="Palatino Linotype" w:hAnsi="Palatino Linotype"/>
                <w:b/>
                <w:sz w:val="22"/>
                <w:szCs w:val="22"/>
              </w:rPr>
              <w:t xml:space="preserve">solicitante los Documentos en consulta directa, </w:t>
            </w:r>
            <w:r w:rsidRPr="00A52A6B">
              <w:rPr>
                <w:rFonts w:ascii="Palatino Linotype" w:hAnsi="Palatino Linotype"/>
                <w:sz w:val="22"/>
                <w:szCs w:val="22"/>
              </w:rPr>
              <w:t>salvo la información clasificada.</w:t>
            </w:r>
          </w:p>
          <w:p w14:paraId="633DCD52" w14:textId="77777777" w:rsidR="00892544" w:rsidRPr="00A52A6B" w:rsidRDefault="00892544" w:rsidP="00892544">
            <w:pPr>
              <w:pStyle w:val="Texto"/>
              <w:spacing w:after="0" w:line="240" w:lineRule="auto"/>
              <w:rPr>
                <w:rFonts w:ascii="Palatino Linotype" w:hAnsi="Palatino Linotype"/>
                <w:sz w:val="22"/>
                <w:szCs w:val="22"/>
              </w:rPr>
            </w:pPr>
          </w:p>
          <w:p w14:paraId="54FAC05E" w14:textId="77777777" w:rsidR="00892544" w:rsidRPr="00A52A6B" w:rsidRDefault="00892544" w:rsidP="00892544">
            <w:pPr>
              <w:pStyle w:val="Texto"/>
              <w:spacing w:after="0" w:line="240" w:lineRule="auto"/>
              <w:rPr>
                <w:rFonts w:ascii="Palatino Linotype" w:hAnsi="Palatino Linotype"/>
                <w:sz w:val="22"/>
                <w:szCs w:val="22"/>
              </w:rPr>
            </w:pPr>
            <w:r w:rsidRPr="00A52A6B">
              <w:rPr>
                <w:rFonts w:ascii="Palatino Linotype" w:hAnsi="Palatino Linotype"/>
                <w:sz w:val="22"/>
                <w:szCs w:val="22"/>
              </w:rPr>
              <w:t>En todo caso se facilitará su copia simple o certificada, así como su reproducción por cualquier medio disponible en las instalaciones del sujeto obligado o que, en su caso, aporte el solicitante.</w:t>
            </w:r>
          </w:p>
          <w:p w14:paraId="32B2C079" w14:textId="77777777" w:rsidR="00892544" w:rsidRPr="00A52A6B" w:rsidRDefault="00892544" w:rsidP="00892544">
            <w:pPr>
              <w:pStyle w:val="Prrafodelista"/>
              <w:ind w:left="0"/>
              <w:rPr>
                <w:rFonts w:ascii="Palatino Linotype" w:hAnsi="Palatino Linotype"/>
                <w:b/>
                <w:sz w:val="22"/>
                <w:szCs w:val="22"/>
                <w:shd w:val="clear" w:color="auto" w:fill="FFFFFF"/>
                <w:lang w:val="es-ES_tradnl"/>
              </w:rPr>
            </w:pPr>
          </w:p>
        </w:tc>
        <w:tc>
          <w:tcPr>
            <w:tcW w:w="4414" w:type="dxa"/>
          </w:tcPr>
          <w:p w14:paraId="0E8EB222" w14:textId="77777777" w:rsidR="00892544" w:rsidRPr="00A52A6B" w:rsidRDefault="00892544" w:rsidP="00892544">
            <w:pPr>
              <w:ind w:right="3"/>
              <w:jc w:val="both"/>
              <w:rPr>
                <w:rFonts w:ascii="Palatino Linotype" w:hAnsi="Palatino Linotype"/>
                <w:sz w:val="22"/>
                <w:szCs w:val="22"/>
              </w:rPr>
            </w:pPr>
            <w:r w:rsidRPr="00A52A6B">
              <w:rPr>
                <w:rFonts w:ascii="Palatino Linotype" w:hAnsi="Palatino Linotype"/>
                <w:b/>
                <w:bCs/>
                <w:sz w:val="22"/>
                <w:szCs w:val="22"/>
              </w:rPr>
              <w:t>Artículo 158.</w:t>
            </w:r>
            <w:r w:rsidRPr="00A52A6B">
              <w:rPr>
                <w:rFonts w:ascii="Palatino Linotype" w:hAnsi="Palatino Linotype"/>
                <w:sz w:val="22"/>
                <w:szCs w:val="22"/>
              </w:rPr>
              <w:t xml:space="preserve"> </w:t>
            </w:r>
            <w:r w:rsidRPr="00A52A6B">
              <w:rPr>
                <w:rFonts w:ascii="Palatino Linotype" w:hAnsi="Palatino Linotype"/>
                <w:b/>
                <w:bCs/>
                <w:sz w:val="22"/>
                <w:szCs w:val="22"/>
              </w:rPr>
              <w:t xml:space="preserve">De manera excepcional, cuando </w:t>
            </w:r>
            <w:r w:rsidRPr="00A52A6B">
              <w:rPr>
                <w:rFonts w:ascii="Palatino Linotype" w:hAnsi="Palatino Linotype"/>
                <w:b/>
                <w:bCs/>
                <w:sz w:val="22"/>
                <w:szCs w:val="22"/>
                <w:u w:val="single"/>
              </w:rPr>
              <w:t>de forma fundada y motivada</w:t>
            </w:r>
            <w:r w:rsidRPr="00A52A6B">
              <w:rPr>
                <w:rFonts w:ascii="Palatino Linotype" w:hAnsi="Palatino Linotype"/>
                <w:b/>
                <w:bCs/>
                <w:sz w:val="22"/>
                <w:szCs w:val="22"/>
              </w:rPr>
              <w:t xml:space="preserve"> así lo determine el sujeto obligado</w:t>
            </w:r>
            <w:r w:rsidRPr="00A52A6B">
              <w:rPr>
                <w:rFonts w:ascii="Palatino Linotype" w:hAnsi="Palatino Linotype"/>
                <w:sz w:val="22"/>
                <w:szCs w:val="22"/>
              </w:rPr>
              <w:t xml:space="preserve">, en aquellos casos en que la información solicitada que ya se encuentre en su posesión implique análisis, estudio o procesamiento de documentos </w:t>
            </w:r>
            <w:r w:rsidRPr="00A52A6B">
              <w:rPr>
                <w:rFonts w:ascii="Palatino Linotype" w:hAnsi="Palatino Linotype"/>
                <w:b/>
                <w:bCs/>
                <w:sz w:val="22"/>
                <w:szCs w:val="22"/>
              </w:rPr>
              <w:t xml:space="preserve">cuya entrega o reproducción sobrepase </w:t>
            </w:r>
            <w:r w:rsidRPr="00A52A6B">
              <w:rPr>
                <w:rFonts w:ascii="Palatino Linotype" w:hAnsi="Palatino Linotype"/>
                <w:b/>
                <w:bCs/>
                <w:sz w:val="22"/>
                <w:szCs w:val="22"/>
                <w:u w:val="single"/>
              </w:rPr>
              <w:t>las capacidades técnicas administrativas y humanas</w:t>
            </w:r>
            <w:r w:rsidRPr="00A52A6B">
              <w:rPr>
                <w:rFonts w:ascii="Palatino Linotype" w:hAnsi="Palatino Linotype"/>
                <w:b/>
                <w:bCs/>
                <w:sz w:val="22"/>
                <w:szCs w:val="22"/>
              </w:rPr>
              <w:t xml:space="preserve"> del sujeto obligado</w:t>
            </w:r>
            <w:r w:rsidRPr="00A52A6B">
              <w:rPr>
                <w:rFonts w:ascii="Palatino Linotype" w:hAnsi="Palatino Linotype"/>
                <w:sz w:val="22"/>
                <w:szCs w:val="22"/>
              </w:rPr>
              <w:t xml:space="preserve"> para cumplir con la solicitud, en los plazos establecidos para dichos efectos,</w:t>
            </w:r>
            <w:r w:rsidRPr="00A52A6B">
              <w:rPr>
                <w:rFonts w:ascii="Palatino Linotype" w:hAnsi="Palatino Linotype"/>
                <w:b/>
                <w:bCs/>
                <w:sz w:val="22"/>
                <w:szCs w:val="22"/>
              </w:rPr>
              <w:t xml:space="preserve"> se podrá poner a disposición del solicitante los documentos en consulta directa</w:t>
            </w:r>
            <w:r w:rsidRPr="00A52A6B">
              <w:rPr>
                <w:rFonts w:ascii="Palatino Linotype" w:hAnsi="Palatino Linotype"/>
                <w:sz w:val="22"/>
                <w:szCs w:val="22"/>
              </w:rPr>
              <w:t>, salvo la información clasificada”.</w:t>
            </w:r>
          </w:p>
          <w:p w14:paraId="13548378" w14:textId="77777777" w:rsidR="00892544" w:rsidRPr="00A52A6B" w:rsidRDefault="00892544" w:rsidP="00892544">
            <w:pPr>
              <w:pStyle w:val="Prrafodelista"/>
              <w:ind w:left="0"/>
              <w:rPr>
                <w:rFonts w:ascii="Palatino Linotype" w:hAnsi="Palatino Linotype"/>
                <w:b/>
                <w:sz w:val="22"/>
                <w:szCs w:val="22"/>
                <w:shd w:val="clear" w:color="auto" w:fill="FFFFFF"/>
                <w:lang w:val="es-ES_tradnl"/>
              </w:rPr>
            </w:pPr>
          </w:p>
          <w:p w14:paraId="2C444027" w14:textId="77777777" w:rsidR="00892544" w:rsidRPr="00A52A6B" w:rsidRDefault="00892544" w:rsidP="00892544">
            <w:pPr>
              <w:pStyle w:val="Prrafodelista"/>
              <w:ind w:left="0"/>
              <w:rPr>
                <w:rFonts w:ascii="Palatino Linotype" w:hAnsi="Palatino Linotype"/>
                <w:sz w:val="22"/>
                <w:szCs w:val="22"/>
                <w:shd w:val="clear" w:color="auto" w:fill="FFFFFF"/>
                <w:lang w:val="es-ES_tradnl"/>
              </w:rPr>
            </w:pPr>
            <w:r w:rsidRPr="00A52A6B">
              <w:rPr>
                <w:rFonts w:ascii="Palatino Linotype" w:hAnsi="Palatino Linotype"/>
                <w:sz w:val="22"/>
                <w:szCs w:val="22"/>
                <w:shd w:val="clear" w:color="auto" w:fill="FFFFFF"/>
                <w:lang w:val="es-ES_tradnl"/>
              </w:rPr>
              <w:t>En todo caso, se facilitará su copia simple o certificada, así como su reproducción por cualquier medio disponible en las instalaciones del sujeto obligado o que, en su caso, aporte el solicitante.</w:t>
            </w:r>
          </w:p>
        </w:tc>
      </w:tr>
      <w:tr w:rsidR="00892544" w:rsidRPr="00A52A6B" w14:paraId="65B11BB7" w14:textId="77777777" w:rsidTr="00892544">
        <w:tc>
          <w:tcPr>
            <w:tcW w:w="4414" w:type="dxa"/>
          </w:tcPr>
          <w:p w14:paraId="18DE2DA6" w14:textId="77777777" w:rsidR="00892544" w:rsidRPr="00A52A6B" w:rsidRDefault="00892544" w:rsidP="00892544">
            <w:pPr>
              <w:pStyle w:val="Texto"/>
              <w:spacing w:after="0" w:line="240" w:lineRule="auto"/>
              <w:rPr>
                <w:rFonts w:ascii="Palatino Linotype" w:hAnsi="Palatino Linotype"/>
                <w:sz w:val="22"/>
                <w:szCs w:val="22"/>
              </w:rPr>
            </w:pPr>
            <w:bookmarkStart w:id="13" w:name="Artículo_133"/>
            <w:r w:rsidRPr="00A52A6B">
              <w:rPr>
                <w:rFonts w:ascii="Palatino Linotype" w:hAnsi="Palatino Linotype"/>
                <w:b/>
                <w:sz w:val="22"/>
                <w:szCs w:val="22"/>
              </w:rPr>
              <w:t>Artículo 133</w:t>
            </w:r>
            <w:bookmarkEnd w:id="13"/>
            <w:r w:rsidRPr="00A52A6B">
              <w:rPr>
                <w:rFonts w:ascii="Palatino Linotype" w:hAnsi="Palatino Linotype"/>
                <w:b/>
                <w:sz w:val="22"/>
                <w:szCs w:val="22"/>
              </w:rPr>
              <w:t xml:space="preserve">. </w:t>
            </w:r>
            <w:r w:rsidRPr="00A52A6B">
              <w:rPr>
                <w:rFonts w:ascii="Palatino Linotype" w:hAnsi="Palatino Linotype"/>
                <w:sz w:val="22"/>
                <w:szCs w:val="22"/>
              </w:rPr>
              <w:t xml:space="preserve">El acceso se dará en la modalidad de entrega y, en su caso, de envío elegidos por el solicitante. Cuando la información no pueda </w:t>
            </w:r>
            <w:r w:rsidRPr="00A52A6B">
              <w:rPr>
                <w:rFonts w:ascii="Palatino Linotype" w:hAnsi="Palatino Linotype"/>
                <w:sz w:val="22"/>
                <w:szCs w:val="22"/>
              </w:rPr>
              <w:lastRenderedPageBreak/>
              <w:t>entregarse o enviarse en la modalidad elegida, el sujeto obligado deberá ofrecer otra u otras modalidades de entrega.</w:t>
            </w:r>
          </w:p>
          <w:p w14:paraId="1E89E9EF" w14:textId="77777777" w:rsidR="00892544" w:rsidRPr="00A52A6B" w:rsidRDefault="00892544" w:rsidP="00892544">
            <w:pPr>
              <w:pStyle w:val="Texto"/>
              <w:spacing w:after="0" w:line="240" w:lineRule="auto"/>
              <w:rPr>
                <w:rFonts w:ascii="Palatino Linotype" w:hAnsi="Palatino Linotype"/>
                <w:b/>
                <w:sz w:val="22"/>
                <w:szCs w:val="22"/>
                <w:u w:val="single"/>
              </w:rPr>
            </w:pPr>
            <w:r w:rsidRPr="00A52A6B">
              <w:rPr>
                <w:rFonts w:ascii="Palatino Linotype" w:hAnsi="Palatino Linotype"/>
                <w:b/>
                <w:sz w:val="22"/>
                <w:szCs w:val="22"/>
                <w:u w:val="single"/>
              </w:rPr>
              <w:t>En cualquier caso, se deberá fundar y motivar la necesidad de ofrecer otras modalidades.</w:t>
            </w:r>
          </w:p>
          <w:p w14:paraId="2BE04B3E" w14:textId="77777777" w:rsidR="00892544" w:rsidRPr="00A52A6B" w:rsidRDefault="00892544" w:rsidP="00892544">
            <w:pPr>
              <w:pStyle w:val="Prrafodelista"/>
              <w:ind w:left="0"/>
              <w:rPr>
                <w:rFonts w:ascii="Palatino Linotype" w:hAnsi="Palatino Linotype"/>
                <w:b/>
                <w:sz w:val="22"/>
                <w:szCs w:val="22"/>
                <w:shd w:val="clear" w:color="auto" w:fill="FFFFFF"/>
                <w:lang w:val="es-ES_tradnl"/>
              </w:rPr>
            </w:pPr>
          </w:p>
        </w:tc>
        <w:tc>
          <w:tcPr>
            <w:tcW w:w="4414" w:type="dxa"/>
          </w:tcPr>
          <w:p w14:paraId="56B3660F" w14:textId="77777777" w:rsidR="00892544" w:rsidRPr="00A52A6B" w:rsidRDefault="00892544" w:rsidP="00892544">
            <w:pPr>
              <w:pStyle w:val="Prrafodelista"/>
              <w:ind w:left="0"/>
              <w:jc w:val="both"/>
              <w:rPr>
                <w:rFonts w:ascii="Palatino Linotype" w:hAnsi="Palatino Linotype"/>
                <w:sz w:val="22"/>
                <w:szCs w:val="22"/>
                <w:shd w:val="clear" w:color="auto" w:fill="FFFFFF"/>
                <w:lang w:val="es-ES_tradnl"/>
              </w:rPr>
            </w:pPr>
            <w:r w:rsidRPr="00A52A6B">
              <w:rPr>
                <w:rFonts w:ascii="Palatino Linotype" w:hAnsi="Palatino Linotype"/>
                <w:b/>
                <w:sz w:val="22"/>
                <w:szCs w:val="22"/>
                <w:shd w:val="clear" w:color="auto" w:fill="FFFFFF"/>
                <w:lang w:val="es-ES_tradnl"/>
              </w:rPr>
              <w:lastRenderedPageBreak/>
              <w:t xml:space="preserve">Artículo 164. </w:t>
            </w:r>
            <w:r w:rsidRPr="00A52A6B">
              <w:rPr>
                <w:rFonts w:ascii="Palatino Linotype" w:hAnsi="Palatino Linotype"/>
                <w:sz w:val="22"/>
                <w:szCs w:val="22"/>
                <w:shd w:val="clear" w:color="auto" w:fill="FFFFFF"/>
                <w:lang w:val="es-ES_tradnl"/>
              </w:rPr>
              <w:t xml:space="preserve">El acceso se dará en la modalidad de entrega y, en su caso, de envío elegidos por el solicitante. Cuando la información no pueda </w:t>
            </w:r>
            <w:r w:rsidRPr="00A52A6B">
              <w:rPr>
                <w:rFonts w:ascii="Palatino Linotype" w:hAnsi="Palatino Linotype"/>
                <w:sz w:val="22"/>
                <w:szCs w:val="22"/>
                <w:shd w:val="clear" w:color="auto" w:fill="FFFFFF"/>
                <w:lang w:val="es-ES_tradnl"/>
              </w:rPr>
              <w:lastRenderedPageBreak/>
              <w:t xml:space="preserve">entregarse o enviarse en la modalidad solicitada, el sujeto obligado </w:t>
            </w:r>
            <w:proofErr w:type="gramStart"/>
            <w:r w:rsidRPr="00A52A6B">
              <w:rPr>
                <w:rFonts w:ascii="Palatino Linotype" w:hAnsi="Palatino Linotype"/>
                <w:sz w:val="22"/>
                <w:szCs w:val="22"/>
                <w:shd w:val="clear" w:color="auto" w:fill="FFFFFF"/>
                <w:lang w:val="es-ES_tradnl"/>
              </w:rPr>
              <w:t>deberá  ofrecer</w:t>
            </w:r>
            <w:proofErr w:type="gramEnd"/>
            <w:r w:rsidRPr="00A52A6B">
              <w:rPr>
                <w:rFonts w:ascii="Palatino Linotype" w:hAnsi="Palatino Linotype"/>
                <w:sz w:val="22"/>
                <w:szCs w:val="22"/>
                <w:shd w:val="clear" w:color="auto" w:fill="FFFFFF"/>
                <w:lang w:val="es-ES_tradnl"/>
              </w:rPr>
              <w:t xml:space="preserve"> otra u otras modalidades de entrega.</w:t>
            </w:r>
          </w:p>
          <w:p w14:paraId="3B5F33CD" w14:textId="77777777" w:rsidR="00892544" w:rsidRPr="00A52A6B" w:rsidRDefault="00892544" w:rsidP="00892544">
            <w:pPr>
              <w:pStyle w:val="Prrafodelista"/>
              <w:ind w:left="0"/>
              <w:jc w:val="both"/>
              <w:rPr>
                <w:rFonts w:ascii="Palatino Linotype" w:hAnsi="Palatino Linotype"/>
                <w:b/>
                <w:sz w:val="22"/>
                <w:szCs w:val="22"/>
                <w:shd w:val="clear" w:color="auto" w:fill="FFFFFF"/>
                <w:lang w:val="es-ES_tradnl"/>
              </w:rPr>
            </w:pPr>
          </w:p>
          <w:p w14:paraId="4E531DF5" w14:textId="77777777" w:rsidR="00892544" w:rsidRPr="00A52A6B" w:rsidRDefault="00892544" w:rsidP="00892544">
            <w:pPr>
              <w:pStyle w:val="Prrafodelista"/>
              <w:ind w:left="0"/>
              <w:jc w:val="both"/>
              <w:rPr>
                <w:rFonts w:ascii="Palatino Linotype" w:hAnsi="Palatino Linotype"/>
                <w:b/>
                <w:sz w:val="22"/>
                <w:szCs w:val="22"/>
                <w:u w:val="single"/>
                <w:shd w:val="clear" w:color="auto" w:fill="FFFFFF"/>
                <w:lang w:val="es-ES_tradnl"/>
              </w:rPr>
            </w:pPr>
            <w:r w:rsidRPr="00A52A6B">
              <w:rPr>
                <w:rFonts w:ascii="Palatino Linotype" w:hAnsi="Palatino Linotype"/>
                <w:b/>
                <w:sz w:val="22"/>
                <w:szCs w:val="22"/>
                <w:u w:val="single"/>
                <w:shd w:val="clear" w:color="auto" w:fill="FFFFFF"/>
                <w:lang w:val="es-ES_tradnl"/>
              </w:rPr>
              <w:t>En cualquier caso, se deberá fundar y motivar la necesidad de ofrecer otras modalidades.</w:t>
            </w:r>
          </w:p>
        </w:tc>
      </w:tr>
    </w:tbl>
    <w:p w14:paraId="568121E8"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32FEA6BC" w14:textId="77777777" w:rsidR="00892544" w:rsidRPr="00A52A6B" w:rsidRDefault="00892544" w:rsidP="00892544">
      <w:pPr>
        <w:pStyle w:val="Prrafodelista"/>
        <w:rPr>
          <w:rFonts w:ascii="Palatino Linotype" w:hAnsi="Palatino Linotype"/>
          <w:shd w:val="clear" w:color="auto" w:fill="FFFFFF"/>
          <w:lang w:val="es-ES_tradnl"/>
        </w:rPr>
      </w:pPr>
    </w:p>
    <w:p w14:paraId="6E4F51E3"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Como puede advertirse del cuadro comparativo anterior, la Ley de Transparencia y Acceso a la Información Pública del Estado de México y Municipios, estableció que procedía la excepción de modificar la modalidad elegida por el particular no solo cuando se sobrepasaran las capacidades técnicas como lo establece la Ley General, sino que también contemplo el supuesto de que se sobrepasaran las capacidades administrativas y humanas, cuestiones que obviamente el Órgano Garante Nacional no contempló al momento de emitir su resolución, pero que este Instituto, sí consideró para fundar y motivar debidamente su resolución al momento de confirmar el cambio de modalidad, por haberse sobrepasado las capacidades administrativas y humanas, como puntualmente lo refiere nuestra ley local.</w:t>
      </w:r>
    </w:p>
    <w:p w14:paraId="74055843"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0C180AA3"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 xml:space="preserve">De lo anterior, se advierte que la restricción en proporcionar lo solicitado en la modalidad elegida por el solicitante, de manera excepcional de forma fundada y motivada, cuya entrega sobrepase las capacidades técnicas (para el caso de la Ley </w:t>
      </w:r>
      <w:r w:rsidRPr="00A52A6B">
        <w:rPr>
          <w:rFonts w:ascii="Palatino Linotype" w:hAnsi="Palatino Linotype"/>
          <w:shd w:val="clear" w:color="auto" w:fill="FFFFFF"/>
          <w:lang w:val="es-ES_tradnl"/>
        </w:rPr>
        <w:lastRenderedPageBreak/>
        <w:t>General), técnicas, administrativas y humanas (para el caso de la ley local) se podrá poner a disposición en consulta directa. Es decir, el cambio de modalidad no es de forma caprichosa o a discrecionalidad del sujeto obligado, sino atendiendo al principio de legalidad que implica la debida fundamentación y motivación del cambio de modalidad, entendiéndose que por fundamentación el precepto legal que les faculte para ello y el motivo de dicho cambio de modalidad que la propia norma establece, es decir que sobrepase las capacidades técnicas, administrativas y humanas.</w:t>
      </w:r>
    </w:p>
    <w:p w14:paraId="115CD247" w14:textId="77777777" w:rsidR="00892544" w:rsidRPr="00A52A6B" w:rsidRDefault="00892544" w:rsidP="00892544">
      <w:pPr>
        <w:pStyle w:val="Prrafodelista"/>
        <w:rPr>
          <w:rFonts w:ascii="Palatino Linotype" w:hAnsi="Palatino Linotype"/>
          <w:shd w:val="clear" w:color="auto" w:fill="FFFFFF"/>
          <w:lang w:val="es-ES_tradnl"/>
        </w:rPr>
      </w:pPr>
    </w:p>
    <w:p w14:paraId="30FBB713"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 xml:space="preserve">Cabe destacar que la ley de transparencia local no solo hace referencia a las capacidades técnicas, sino a las administrativas y humanas, lo cual implica necesariamente a la incapacidad de contar con los medios financieros, materiales y humanos para el estudio, análisis y procesamiento de la información solicitada, </w:t>
      </w:r>
      <w:r w:rsidRPr="00A52A6B">
        <w:rPr>
          <w:rFonts w:ascii="Palatino Linotype" w:eastAsiaTheme="minorHAnsi" w:hAnsi="Palatino Linotype"/>
          <w:lang w:val="es-ES_tradnl" w:eastAsia="en-US"/>
        </w:rPr>
        <w:t>por ejemplo, el volumen de la información requerida por una misma persona, mediante numerosas solicitudes de acceso a la información presentadas en un mismo día y que deberán de tramitarse simultáneamente en los plazos definidos por la ley podrán sobrepasar las capacidades administrativas, al tener que retirar a funcionarios públicos del desempeño de sus funciones ordinarias para dedicarse al procesamiento de la información; y, capacidades humanas, cuando el volumen es tal que sobrepasa las condiciones, especialmente de sujetos obligados con limitadas capacidades de recursos humanos.</w:t>
      </w:r>
    </w:p>
    <w:p w14:paraId="43AB201B" w14:textId="77777777" w:rsidR="00892544" w:rsidRPr="00A52A6B" w:rsidRDefault="00892544" w:rsidP="00892544">
      <w:pPr>
        <w:pStyle w:val="Prrafodelista"/>
        <w:rPr>
          <w:rFonts w:ascii="Palatino Linotype" w:hAnsi="Palatino Linotype"/>
          <w:sz w:val="28"/>
          <w:shd w:val="clear" w:color="auto" w:fill="FFFFFF"/>
          <w:lang w:val="es-ES_tradnl"/>
        </w:rPr>
      </w:pPr>
    </w:p>
    <w:p w14:paraId="16FB7B3C" w14:textId="77777777" w:rsidR="00892544" w:rsidRPr="00A52A6B" w:rsidRDefault="00892544" w:rsidP="00892544">
      <w:pPr>
        <w:pStyle w:val="Ttulo1"/>
        <w:numPr>
          <w:ilvl w:val="0"/>
          <w:numId w:val="26"/>
        </w:numPr>
        <w:spacing w:line="360" w:lineRule="auto"/>
        <w:ind w:left="0" w:firstLine="0"/>
        <w:jc w:val="both"/>
        <w:rPr>
          <w:rFonts w:ascii="Palatino Linotype" w:hAnsi="Palatino Linotype"/>
          <w:b/>
          <w:color w:val="auto"/>
          <w:sz w:val="24"/>
        </w:rPr>
      </w:pPr>
      <w:bookmarkStart w:id="14" w:name="_Toc66304365"/>
      <w:r w:rsidRPr="00A52A6B">
        <w:rPr>
          <w:rFonts w:ascii="Palatino Linotype" w:hAnsi="Palatino Linotype"/>
          <w:b/>
          <w:color w:val="auto"/>
          <w:sz w:val="24"/>
        </w:rPr>
        <w:lastRenderedPageBreak/>
        <w:t>De la acreditación de la legalidad de la resolución del Instituto de Transparencia, Acceso a la Información Pública y Protección de Datos Personales del Estado de México y Municipios.</w:t>
      </w:r>
      <w:bookmarkEnd w:id="14"/>
    </w:p>
    <w:p w14:paraId="48B374F4"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279A8B69" w14:textId="77777777" w:rsidR="00892544" w:rsidRPr="00A52A6B" w:rsidRDefault="00892544" w:rsidP="00892544">
      <w:pPr>
        <w:pStyle w:val="Prrafodelista"/>
        <w:rPr>
          <w:rFonts w:ascii="Palatino Linotype" w:hAnsi="Palatino Linotype"/>
          <w:lang w:val="es-ES_tradnl"/>
        </w:rPr>
      </w:pPr>
    </w:p>
    <w:p w14:paraId="6EE2FBA8"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 xml:space="preserve">Como ya se abordado en la presente resolución, el principio de legalidad se encuentra íntimamente relacionado con el de fundamentación y motivación, entendiéndose por fundamentación que deberá expresarse con precisión el precepto legal aplicable al caso y, por motivación, que deben señalarse, con precisión, las circunstancias especiales, razones particulares o causas inmediatas que se hayan tenido en consideración para la emisión del acto; siendo necesario, además, que se presente subsunción entre </w:t>
      </w:r>
      <w:r w:rsidRPr="00A52A6B">
        <w:rPr>
          <w:rFonts w:ascii="Palatino Linotype" w:hAnsi="Palatino Linotype"/>
          <w:spacing w:val="-2"/>
          <w:lang w:val="es-ES_tradnl"/>
        </w:rPr>
        <w:t xml:space="preserve">los </w:t>
      </w:r>
      <w:r w:rsidRPr="00A52A6B">
        <w:rPr>
          <w:rFonts w:ascii="Palatino Linotype" w:hAnsi="Palatino Linotype"/>
          <w:lang w:val="es-ES_tradnl"/>
        </w:rPr>
        <w:t>fundamentos y motivos del acto de autoridad, es decir, que exista adecuación entre los motivos aducidos y las normas aplicables, configurándose así las hipótesis</w:t>
      </w:r>
      <w:r w:rsidRPr="00A52A6B">
        <w:rPr>
          <w:rFonts w:ascii="Palatino Linotype" w:hAnsi="Palatino Linotype"/>
          <w:spacing w:val="-5"/>
          <w:lang w:val="es-ES_tradnl"/>
        </w:rPr>
        <w:t xml:space="preserve"> </w:t>
      </w:r>
      <w:r w:rsidRPr="00A52A6B">
        <w:rPr>
          <w:rFonts w:ascii="Palatino Linotype" w:hAnsi="Palatino Linotype"/>
          <w:lang w:val="es-ES_tradnl"/>
        </w:rPr>
        <w:t>normativas.</w:t>
      </w:r>
    </w:p>
    <w:p w14:paraId="14DD44EF"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07AA43B1"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Sirve de sustento a lo anterior, la jurisprudencia que abajo se cita, la cual ha sido sustento de las numerosas ejecutorias que ha dictado el Poder Judicial de la Federación y que ha sido uno de los sustentos que han dado lugar a las diversas tesis aisladas y jurisprudenciales que existen en materia de fundamentación y</w:t>
      </w:r>
      <w:r w:rsidRPr="00A52A6B">
        <w:rPr>
          <w:rFonts w:ascii="Palatino Linotype" w:hAnsi="Palatino Linotype"/>
          <w:spacing w:val="-4"/>
          <w:lang w:val="es-ES_tradnl"/>
        </w:rPr>
        <w:t xml:space="preserve"> </w:t>
      </w:r>
      <w:r w:rsidRPr="00A52A6B">
        <w:rPr>
          <w:rFonts w:ascii="Palatino Linotype" w:hAnsi="Palatino Linotype"/>
          <w:lang w:val="es-ES_tradnl"/>
        </w:rPr>
        <w:t>motivación:</w:t>
      </w:r>
    </w:p>
    <w:p w14:paraId="29F39FFD" w14:textId="77777777" w:rsidR="00892544" w:rsidRPr="00A52A6B" w:rsidRDefault="00892544" w:rsidP="00892544">
      <w:pPr>
        <w:pStyle w:val="Prrafodelista"/>
        <w:rPr>
          <w:rFonts w:ascii="Palatino Linotype" w:hAnsi="Palatino Linotype"/>
          <w:shd w:val="clear" w:color="auto" w:fill="FFFFFF"/>
          <w:lang w:val="es-ES_tradnl"/>
        </w:rPr>
      </w:pPr>
    </w:p>
    <w:p w14:paraId="024D79B7" w14:textId="77777777" w:rsidR="00892544" w:rsidRPr="00A52A6B" w:rsidRDefault="00892544" w:rsidP="00892544">
      <w:pPr>
        <w:pStyle w:val="Prrafodelista"/>
        <w:rPr>
          <w:rFonts w:ascii="Palatino Linotype" w:hAnsi="Palatino Linotype"/>
          <w:lang w:val="es-ES_tradnl"/>
        </w:rPr>
      </w:pPr>
    </w:p>
    <w:p w14:paraId="71431BEC" w14:textId="77777777" w:rsidR="00892544" w:rsidRPr="00A52A6B" w:rsidRDefault="00892544" w:rsidP="00892544">
      <w:pPr>
        <w:spacing w:line="276" w:lineRule="auto"/>
        <w:ind w:left="908" w:right="1121"/>
        <w:jc w:val="both"/>
        <w:rPr>
          <w:rFonts w:ascii="Palatino Linotype" w:hAnsi="Palatino Linotype"/>
          <w:i/>
          <w:lang w:val="es-ES_tradnl"/>
        </w:rPr>
      </w:pPr>
      <w:r w:rsidRPr="00A52A6B">
        <w:rPr>
          <w:rFonts w:ascii="Palatino Linotype" w:hAnsi="Palatino Linotype"/>
          <w:b/>
          <w:i/>
          <w:lang w:val="es-ES_tradnl"/>
        </w:rPr>
        <w:lastRenderedPageBreak/>
        <w:t xml:space="preserve">“FUNDAMENTACION Y MOTIVACION. </w:t>
      </w:r>
      <w:r w:rsidRPr="00A52A6B">
        <w:rPr>
          <w:rFonts w:ascii="Palatino Linotype" w:hAnsi="Palatino Linotype"/>
          <w:i/>
          <w:lang w:val="es-ES_tradnl"/>
        </w:rPr>
        <w:t>De acuerdo con el artículo 16 de la Constitución Federal, todo acto de autoridad debe estar adecuada y suficientemente fundado y motivado, entendiéndose por lo primero que ha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configuren las hipótesis</w:t>
      </w:r>
      <w:r w:rsidRPr="00A52A6B">
        <w:rPr>
          <w:rFonts w:ascii="Palatino Linotype" w:hAnsi="Palatino Linotype"/>
          <w:i/>
          <w:spacing w:val="-2"/>
          <w:lang w:val="es-ES_tradnl"/>
        </w:rPr>
        <w:t xml:space="preserve"> </w:t>
      </w:r>
      <w:r w:rsidRPr="00A52A6B">
        <w:rPr>
          <w:rFonts w:ascii="Palatino Linotype" w:hAnsi="Palatino Linotype"/>
          <w:i/>
          <w:lang w:val="es-ES_tradnl"/>
        </w:rPr>
        <w:t>normativas.”</w:t>
      </w:r>
      <w:r w:rsidRPr="00A52A6B">
        <w:rPr>
          <w:rStyle w:val="Refdenotaalpie"/>
          <w:rFonts w:ascii="Palatino Linotype" w:hAnsi="Palatino Linotype"/>
          <w:i/>
          <w:lang w:val="es-ES_tradnl"/>
        </w:rPr>
        <w:footnoteReference w:id="10"/>
      </w:r>
    </w:p>
    <w:p w14:paraId="369320A7" w14:textId="77777777" w:rsidR="00892544" w:rsidRPr="00A52A6B" w:rsidRDefault="00892544" w:rsidP="00892544">
      <w:pPr>
        <w:pStyle w:val="Prrafodelista"/>
        <w:rPr>
          <w:rFonts w:ascii="Palatino Linotype" w:hAnsi="Palatino Linotype"/>
          <w:lang w:val="es-ES_tradnl"/>
        </w:rPr>
      </w:pPr>
    </w:p>
    <w:p w14:paraId="45587112" w14:textId="77777777" w:rsidR="00892544" w:rsidRPr="00A52A6B" w:rsidRDefault="00892544" w:rsidP="00892544">
      <w:pPr>
        <w:rPr>
          <w:rFonts w:ascii="Palatino Linotype" w:hAnsi="Palatino Linotype"/>
          <w:lang w:val="es-ES_tradnl"/>
        </w:rPr>
      </w:pPr>
    </w:p>
    <w:p w14:paraId="6CF6A78A"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En este sentido, la Suprema Corte de Justicia de la Nación ha señalado, a través de la siguiente jurisprudencia se ha pronunciado respecto de la congruencia ay exhaustividad de las sentencias:</w:t>
      </w:r>
    </w:p>
    <w:p w14:paraId="4D863778" w14:textId="77777777" w:rsidR="00892544" w:rsidRPr="00A52A6B" w:rsidRDefault="00892544" w:rsidP="00892544">
      <w:pPr>
        <w:pStyle w:val="Prrafodelista"/>
        <w:shd w:val="clear" w:color="auto" w:fill="FFFFFF"/>
        <w:tabs>
          <w:tab w:val="left" w:pos="0"/>
        </w:tabs>
        <w:spacing w:before="240" w:after="150" w:line="360" w:lineRule="auto"/>
        <w:ind w:left="502" w:right="49"/>
        <w:jc w:val="both"/>
        <w:rPr>
          <w:rFonts w:ascii="Palatino Linotype" w:hAnsi="Palatino Linotype"/>
          <w:shd w:val="clear" w:color="auto" w:fill="FFFFFF"/>
          <w:lang w:val="es-ES_tradnl"/>
        </w:rPr>
      </w:pPr>
    </w:p>
    <w:p w14:paraId="310AC472" w14:textId="77777777" w:rsidR="00892544" w:rsidRPr="00A52A6B" w:rsidRDefault="00892544" w:rsidP="00892544">
      <w:pPr>
        <w:pStyle w:val="Prrafodelista"/>
        <w:spacing w:line="276" w:lineRule="auto"/>
        <w:ind w:left="502"/>
        <w:jc w:val="both"/>
        <w:rPr>
          <w:rFonts w:ascii="Palatino Linotype" w:hAnsi="Palatino Linotype"/>
          <w:i/>
          <w:sz w:val="22"/>
          <w:szCs w:val="22"/>
          <w:lang w:val="es-ES_tradnl"/>
        </w:rPr>
      </w:pPr>
      <w:r w:rsidRPr="00A52A6B">
        <w:rPr>
          <w:rFonts w:ascii="Palatino Linotype" w:hAnsi="Palatino Linotype"/>
          <w:b/>
          <w:i/>
          <w:sz w:val="22"/>
          <w:szCs w:val="22"/>
          <w:lang w:val="es-ES_tradnl"/>
        </w:rPr>
        <w:t>“SENTENCIAS DE AMPARO, PRINCIPIOS DE CONGRUENCIA Y EXHAUSTIVIDAD EN LAS.</w:t>
      </w:r>
      <w:r w:rsidRPr="00A52A6B">
        <w:rPr>
          <w:rFonts w:ascii="Palatino Linotype" w:hAnsi="Palatino Linotype"/>
          <w:i/>
          <w:sz w:val="22"/>
          <w:szCs w:val="22"/>
          <w:lang w:val="es-ES_tradnl"/>
        </w:rPr>
        <w:t xml:space="preserve"> De los artículos 77 y 78 de la Ley de Amparo se desprende que </w:t>
      </w:r>
      <w:r w:rsidRPr="00A52A6B">
        <w:rPr>
          <w:rFonts w:ascii="Palatino Linotype" w:hAnsi="Palatino Linotype"/>
          <w:b/>
          <w:i/>
          <w:sz w:val="22"/>
          <w:szCs w:val="22"/>
          <w:u w:val="single"/>
          <w:lang w:val="es-ES_tradnl"/>
        </w:rPr>
        <w:t>los principios de congruencia y exhaustividad que rigen en las sentencias de amparo, en esencia, están referidos a que éstas sean congruentes no sólo consigo mismas, sino también con la Litis y con la demanda de amparo, apreciando las pruebas conducentes y resolviendo sin omitir nada, ni añadir cuestiones no hechas valer, ni expresar consideraciones contrarias entre sí o con los puntos resolutivos, lo que obliga al juzgador,</w:t>
      </w:r>
      <w:r w:rsidRPr="00A52A6B">
        <w:rPr>
          <w:rFonts w:ascii="Palatino Linotype" w:hAnsi="Palatino Linotype"/>
          <w:i/>
          <w:sz w:val="22"/>
          <w:szCs w:val="22"/>
          <w:lang w:val="es-ES_tradnl"/>
        </w:rPr>
        <w:t xml:space="preserve"> tratándose del juicio de amparo contra leyes, a pronunciarse sobre todas y cada una de las pretensiones de los quejosos, analizando, en su caso, la constitucionalidad o inconstitucionalidad de los preceptos legales reclamados, sin introducir consideraciones ajenas </w:t>
      </w:r>
      <w:r w:rsidRPr="00A52A6B">
        <w:rPr>
          <w:rFonts w:ascii="Palatino Linotype" w:hAnsi="Palatino Linotype"/>
          <w:i/>
          <w:sz w:val="22"/>
          <w:szCs w:val="22"/>
          <w:lang w:val="es-ES_tradnl"/>
        </w:rPr>
        <w:lastRenderedPageBreak/>
        <w:t>que pudieran llevarlo a hacer declaraciones en relación con preceptos legales que no fueron impugnados.</w:t>
      </w:r>
    </w:p>
    <w:p w14:paraId="051F18B1" w14:textId="77777777" w:rsidR="00892544" w:rsidRPr="00A52A6B" w:rsidRDefault="00892544" w:rsidP="00892544">
      <w:pPr>
        <w:pStyle w:val="Prrafodelista"/>
        <w:spacing w:line="276" w:lineRule="auto"/>
        <w:ind w:left="502"/>
        <w:jc w:val="both"/>
        <w:rPr>
          <w:rFonts w:ascii="Palatino Linotype" w:hAnsi="Palatino Linotype"/>
          <w:i/>
          <w:sz w:val="22"/>
          <w:szCs w:val="22"/>
          <w:lang w:val="es-ES_tradnl"/>
        </w:rPr>
      </w:pPr>
    </w:p>
    <w:p w14:paraId="1502F886" w14:textId="77777777" w:rsidR="00892544" w:rsidRPr="00A52A6B" w:rsidRDefault="00892544" w:rsidP="00892544">
      <w:pPr>
        <w:pStyle w:val="Prrafodelista"/>
        <w:spacing w:line="276" w:lineRule="auto"/>
        <w:ind w:left="502"/>
        <w:jc w:val="both"/>
        <w:rPr>
          <w:rFonts w:ascii="Palatino Linotype" w:hAnsi="Palatino Linotype"/>
          <w:i/>
          <w:sz w:val="22"/>
          <w:szCs w:val="22"/>
          <w:lang w:val="es-ES_tradnl"/>
        </w:rPr>
      </w:pPr>
      <w:r w:rsidRPr="00A52A6B">
        <w:rPr>
          <w:rFonts w:ascii="Palatino Linotype" w:hAnsi="Palatino Linotype"/>
          <w:i/>
          <w:sz w:val="22"/>
          <w:szCs w:val="22"/>
          <w:lang w:val="es-ES_tradnl"/>
        </w:rPr>
        <w:t>Amparo en revisión 383/2000. Administradora de Centros Comerciales Santa Fe, S.A. de C.V. 24 de mayo de 2000. Cinco votos. Ponente: Olga Sánchez Cordero de García Villegas. Secretaria: Leticia Flores Díaz.</w:t>
      </w:r>
    </w:p>
    <w:p w14:paraId="2E04E554" w14:textId="77777777" w:rsidR="00892544" w:rsidRPr="00A52A6B" w:rsidRDefault="00892544" w:rsidP="00892544">
      <w:pPr>
        <w:pStyle w:val="Prrafodelista"/>
        <w:spacing w:line="276" w:lineRule="auto"/>
        <w:ind w:left="502"/>
        <w:jc w:val="both"/>
        <w:rPr>
          <w:rFonts w:ascii="Palatino Linotype" w:hAnsi="Palatino Linotype"/>
          <w:i/>
          <w:sz w:val="22"/>
          <w:szCs w:val="22"/>
          <w:lang w:val="es-ES_tradnl"/>
        </w:rPr>
      </w:pPr>
    </w:p>
    <w:p w14:paraId="0CDE8748" w14:textId="77777777" w:rsidR="00892544" w:rsidRPr="00A52A6B" w:rsidRDefault="00892544" w:rsidP="00892544">
      <w:pPr>
        <w:pStyle w:val="Prrafodelista"/>
        <w:spacing w:line="276" w:lineRule="auto"/>
        <w:ind w:left="502"/>
        <w:jc w:val="both"/>
        <w:rPr>
          <w:rFonts w:ascii="Palatino Linotype" w:hAnsi="Palatino Linotype"/>
          <w:i/>
          <w:sz w:val="22"/>
          <w:szCs w:val="22"/>
          <w:lang w:val="es-ES_tradnl"/>
        </w:rPr>
      </w:pPr>
      <w:r w:rsidRPr="00A52A6B">
        <w:rPr>
          <w:rFonts w:ascii="Palatino Linotype" w:hAnsi="Palatino Linotype"/>
          <w:i/>
          <w:sz w:val="22"/>
          <w:szCs w:val="22"/>
          <w:lang w:val="es-ES_tradnl"/>
        </w:rPr>
        <w:t>Nota: Este criterio ha integrado la jurisprudencia 1a./J. 33/2005, publicada en el Semanario Judicial de la Federación y su Gaceta, Novena Época, Tomo XXI, abril de 2005, página 108, de rubro: "CONGRUENCIA Y EXHAUSTIVIDAD EN SENTENCIAS DICTADAS EN AMPARO CONTRA LEYES. ALCANCE DE ESTOS PRINCIPIOS."</w:t>
      </w:r>
      <w:r w:rsidRPr="00A52A6B">
        <w:rPr>
          <w:rStyle w:val="Refdenotaalpie"/>
          <w:rFonts w:ascii="Palatino Linotype" w:hAnsi="Palatino Linotype"/>
          <w:i/>
          <w:sz w:val="22"/>
          <w:szCs w:val="22"/>
          <w:lang w:val="es-ES_tradnl"/>
        </w:rPr>
        <w:footnoteReference w:id="11"/>
      </w:r>
    </w:p>
    <w:p w14:paraId="4FF89EBC"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0FEE7A60"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Por</w:t>
      </w:r>
      <w:r w:rsidRPr="00A52A6B">
        <w:rPr>
          <w:rFonts w:ascii="Palatino Linotype" w:hAnsi="Palatino Linotype"/>
          <w:spacing w:val="-1"/>
          <w:lang w:val="es-ES_tradnl"/>
        </w:rPr>
        <w:t xml:space="preserve"> </w:t>
      </w:r>
      <w:r w:rsidRPr="00A52A6B">
        <w:rPr>
          <w:rFonts w:ascii="Palatino Linotype" w:hAnsi="Palatino Linotype"/>
          <w:lang w:val="es-ES_tradnl"/>
        </w:rPr>
        <w:t>lo</w:t>
      </w:r>
      <w:r w:rsidRPr="00A52A6B">
        <w:rPr>
          <w:rFonts w:ascii="Palatino Linotype" w:hAnsi="Palatino Linotype"/>
          <w:spacing w:val="-6"/>
          <w:lang w:val="es-ES_tradnl"/>
        </w:rPr>
        <w:t xml:space="preserve"> </w:t>
      </w:r>
      <w:r w:rsidRPr="00A52A6B">
        <w:rPr>
          <w:rFonts w:ascii="Palatino Linotype" w:hAnsi="Palatino Linotype"/>
          <w:lang w:val="es-ES_tradnl"/>
        </w:rPr>
        <w:t>tanto,</w:t>
      </w:r>
      <w:r w:rsidRPr="00A52A6B">
        <w:rPr>
          <w:rFonts w:ascii="Palatino Linotype" w:hAnsi="Palatino Linotype"/>
          <w:spacing w:val="-3"/>
          <w:lang w:val="es-ES_tradnl"/>
        </w:rPr>
        <w:t xml:space="preserve"> </w:t>
      </w:r>
      <w:r w:rsidRPr="00A52A6B">
        <w:rPr>
          <w:rFonts w:ascii="Palatino Linotype" w:hAnsi="Palatino Linotype"/>
          <w:lang w:val="es-ES_tradnl"/>
        </w:rPr>
        <w:t xml:space="preserve">si bien la particular hizo uso legítimo de su derecho de acceso a la información, este Órgano Garante Local en todo momento y en aras de </w:t>
      </w:r>
      <w:r w:rsidRPr="00A52A6B">
        <w:rPr>
          <w:rFonts w:ascii="Palatino Linotype" w:eastAsia="MS Mincho" w:hAnsi="Palatino Linotype"/>
          <w:lang w:val="es-ES_tradnl"/>
        </w:rPr>
        <w:t xml:space="preserve">promover, respetar, proteger y garantizar su derecho de acceso a la información, es que se determinó procedente poner a disposición de la solicitante la información solicitada en consulta directa, con la intención legítima de no lesionar el derecho humano, con base en los dispuesto por </w:t>
      </w:r>
      <w:r w:rsidRPr="00A52A6B">
        <w:rPr>
          <w:rFonts w:ascii="Palatino Linotype" w:eastAsia="MS Mincho" w:hAnsi="Palatino Linotype" w:cs="Arial"/>
          <w:lang w:val="es-ES_tradnl"/>
        </w:rPr>
        <w:t xml:space="preserve">los artículos 158 y 164 de la Ley de Transparencia y Acceso a la Información Pública del Estado de México y Municipios, que señalan lo siguiente: </w:t>
      </w:r>
    </w:p>
    <w:p w14:paraId="4AD973D0" w14:textId="77777777" w:rsidR="00892544" w:rsidRPr="00A52A6B" w:rsidRDefault="00892544" w:rsidP="00892544">
      <w:pPr>
        <w:pStyle w:val="Prrafodelista"/>
        <w:spacing w:line="276" w:lineRule="auto"/>
        <w:rPr>
          <w:rFonts w:ascii="Palatino Linotype" w:hAnsi="Palatino Linotype"/>
          <w:sz w:val="22"/>
          <w:szCs w:val="22"/>
          <w:lang w:val="es-ES_tradnl"/>
        </w:rPr>
      </w:pPr>
    </w:p>
    <w:p w14:paraId="133CE295" w14:textId="77777777" w:rsidR="00892544" w:rsidRPr="00A52A6B" w:rsidRDefault="00892544" w:rsidP="00892544">
      <w:pPr>
        <w:spacing w:line="276" w:lineRule="auto"/>
        <w:ind w:left="567" w:right="567"/>
        <w:jc w:val="both"/>
        <w:rPr>
          <w:rFonts w:ascii="Palatino Linotype" w:hAnsi="Palatino Linotype"/>
          <w:i/>
          <w:lang w:val="es-ES_tradnl"/>
        </w:rPr>
      </w:pPr>
      <w:r w:rsidRPr="00A52A6B">
        <w:rPr>
          <w:rFonts w:ascii="Palatino Linotype" w:hAnsi="Palatino Linotype"/>
          <w:i/>
          <w:lang w:val="es-ES_tradnl"/>
        </w:rPr>
        <w:t>“</w:t>
      </w:r>
      <w:r w:rsidRPr="00A52A6B">
        <w:rPr>
          <w:rFonts w:ascii="Palatino Linotype" w:hAnsi="Palatino Linotype"/>
          <w:b/>
          <w:bCs/>
          <w:i/>
          <w:lang w:val="es-ES_tradnl"/>
        </w:rPr>
        <w:t>Artículo 158.</w:t>
      </w:r>
      <w:r w:rsidRPr="00A52A6B">
        <w:rPr>
          <w:rFonts w:ascii="Palatino Linotype" w:hAnsi="Palatino Linotype"/>
          <w:i/>
          <w:lang w:val="es-ES_tradnl"/>
        </w:rPr>
        <w:t xml:space="preserve"> </w:t>
      </w:r>
      <w:r w:rsidRPr="00A52A6B">
        <w:rPr>
          <w:rFonts w:ascii="Palatino Linotype" w:hAnsi="Palatino Linotype"/>
          <w:b/>
          <w:bCs/>
          <w:i/>
          <w:lang w:val="es-ES_tradnl"/>
        </w:rPr>
        <w:t>De manera excepcional, cuando de forma fundada y motivada así lo determine el sujeto obligado</w:t>
      </w:r>
      <w:r w:rsidRPr="00A52A6B">
        <w:rPr>
          <w:rFonts w:ascii="Palatino Linotype" w:hAnsi="Palatino Linotype"/>
          <w:i/>
          <w:lang w:val="es-ES_tradnl"/>
        </w:rPr>
        <w:t xml:space="preserve">, en aquellos casos en que la información solicitada que ya se encuentre en su posesión implique análisis, estudio o procesamiento de documentos </w:t>
      </w:r>
      <w:r w:rsidRPr="00A52A6B">
        <w:rPr>
          <w:rFonts w:ascii="Palatino Linotype" w:hAnsi="Palatino Linotype"/>
          <w:b/>
          <w:bCs/>
          <w:i/>
          <w:lang w:val="es-ES_tradnl"/>
        </w:rPr>
        <w:lastRenderedPageBreak/>
        <w:t>cuya entrega o reproducción sobrepase las capacidades técnicas administrativas y humanas del sujeto obligado</w:t>
      </w:r>
      <w:r w:rsidRPr="00A52A6B">
        <w:rPr>
          <w:rFonts w:ascii="Palatino Linotype" w:hAnsi="Palatino Linotype"/>
          <w:i/>
          <w:lang w:val="es-ES_tradnl"/>
        </w:rPr>
        <w:t xml:space="preserve"> para cumplir con la solicitud, en los plazos establecidos para dichos efectos,</w:t>
      </w:r>
      <w:r w:rsidRPr="00A52A6B">
        <w:rPr>
          <w:rFonts w:ascii="Palatino Linotype" w:hAnsi="Palatino Linotype"/>
          <w:b/>
          <w:bCs/>
          <w:i/>
          <w:lang w:val="es-ES_tradnl"/>
        </w:rPr>
        <w:t xml:space="preserve"> se podrá poner a disposición del solicitante los documentos en consulta directa</w:t>
      </w:r>
      <w:r w:rsidRPr="00A52A6B">
        <w:rPr>
          <w:rFonts w:ascii="Palatino Linotype" w:hAnsi="Palatino Linotype"/>
          <w:i/>
          <w:lang w:val="es-ES_tradnl"/>
        </w:rPr>
        <w:t>, salvo la información clasificada”.</w:t>
      </w:r>
    </w:p>
    <w:p w14:paraId="21CD36D0" w14:textId="77777777" w:rsidR="00892544" w:rsidRPr="00A52A6B" w:rsidRDefault="00892544" w:rsidP="00892544">
      <w:pPr>
        <w:spacing w:line="276" w:lineRule="auto"/>
        <w:ind w:right="567"/>
        <w:jc w:val="both"/>
        <w:rPr>
          <w:rFonts w:ascii="Palatino Linotype" w:hAnsi="Palatino Linotype"/>
          <w:i/>
          <w:lang w:val="es-ES_tradnl"/>
        </w:rPr>
      </w:pPr>
    </w:p>
    <w:p w14:paraId="58BC8461" w14:textId="77777777" w:rsidR="00892544" w:rsidRPr="00A52A6B" w:rsidRDefault="00892544" w:rsidP="00892544">
      <w:pPr>
        <w:spacing w:line="276" w:lineRule="auto"/>
        <w:ind w:left="567" w:right="567"/>
        <w:jc w:val="both"/>
        <w:rPr>
          <w:rFonts w:ascii="Palatino Linotype" w:hAnsi="Palatino Linotype"/>
          <w:b/>
          <w:bCs/>
          <w:i/>
          <w:lang w:val="es-ES_tradnl"/>
        </w:rPr>
      </w:pPr>
      <w:r w:rsidRPr="00A52A6B">
        <w:rPr>
          <w:rFonts w:ascii="Palatino Linotype" w:hAnsi="Palatino Linotype"/>
          <w:i/>
          <w:lang w:val="es-ES_tradnl"/>
        </w:rPr>
        <w:t>“</w:t>
      </w:r>
      <w:r w:rsidRPr="00A52A6B">
        <w:rPr>
          <w:rFonts w:ascii="Palatino Linotype" w:hAnsi="Palatino Linotype"/>
          <w:b/>
          <w:bCs/>
          <w:i/>
          <w:lang w:val="es-ES_tradnl"/>
        </w:rPr>
        <w:t>Artículo 164.</w:t>
      </w:r>
      <w:r w:rsidRPr="00A52A6B">
        <w:rPr>
          <w:rFonts w:ascii="Palatino Linotype" w:hAnsi="Palatino Linotype"/>
          <w:i/>
          <w:lang w:val="es-ES_tradnl"/>
        </w:rPr>
        <w:t xml:space="preserve"> </w:t>
      </w:r>
      <w:r w:rsidRPr="00A52A6B">
        <w:rPr>
          <w:rFonts w:ascii="Palatino Linotype" w:hAnsi="Palatino Linotype"/>
          <w:b/>
          <w:bCs/>
          <w:i/>
          <w:lang w:val="es-ES_tradnl"/>
        </w:rPr>
        <w:t>El acceso se dará en la modalidad de entrega</w:t>
      </w:r>
      <w:r w:rsidRPr="00A52A6B">
        <w:rPr>
          <w:rFonts w:ascii="Palatino Linotype" w:hAnsi="Palatino Linotype"/>
          <w:i/>
          <w:lang w:val="es-ES_tradnl"/>
        </w:rPr>
        <w:t xml:space="preserve"> y, en su caso, de envío elegidos por el solicitante</w:t>
      </w:r>
      <w:r w:rsidRPr="00A52A6B">
        <w:rPr>
          <w:rFonts w:ascii="Palatino Linotype" w:hAnsi="Palatino Linotype"/>
          <w:b/>
          <w:bCs/>
          <w:i/>
          <w:lang w:val="es-ES_tradnl"/>
        </w:rPr>
        <w:t>. Cuando la información no pueda entregarse o enviarse en la modalidad solicitada, el sujeto obligado deberá ofrecer otra u otras modalidades de entrega.</w:t>
      </w:r>
    </w:p>
    <w:p w14:paraId="532F6DA1" w14:textId="77777777" w:rsidR="00892544" w:rsidRPr="00A52A6B" w:rsidRDefault="00892544" w:rsidP="00892544">
      <w:pPr>
        <w:spacing w:line="276" w:lineRule="auto"/>
        <w:ind w:left="567" w:right="567"/>
        <w:jc w:val="both"/>
        <w:rPr>
          <w:rFonts w:ascii="Palatino Linotype" w:hAnsi="Palatino Linotype"/>
          <w:i/>
          <w:lang w:val="es-ES_tradnl"/>
        </w:rPr>
      </w:pPr>
    </w:p>
    <w:p w14:paraId="5D8DA502" w14:textId="77777777" w:rsidR="00892544" w:rsidRPr="00A52A6B" w:rsidRDefault="00892544" w:rsidP="00892544">
      <w:pPr>
        <w:spacing w:line="276" w:lineRule="auto"/>
        <w:ind w:left="567" w:right="567"/>
        <w:jc w:val="both"/>
        <w:rPr>
          <w:rFonts w:ascii="Palatino Linotype" w:hAnsi="Palatino Linotype"/>
          <w:i/>
          <w:lang w:val="es-ES_tradnl"/>
        </w:rPr>
      </w:pPr>
      <w:r w:rsidRPr="00A52A6B">
        <w:rPr>
          <w:rFonts w:ascii="Palatino Linotype" w:hAnsi="Palatino Linotype"/>
          <w:b/>
          <w:bCs/>
          <w:i/>
          <w:lang w:val="es-ES_tradnl"/>
        </w:rPr>
        <w:t>En cualquier caso, se deberá fundar y motivar la necesidad de ofrecer otras modalidades</w:t>
      </w:r>
      <w:r w:rsidRPr="00A52A6B">
        <w:rPr>
          <w:rFonts w:ascii="Palatino Linotype" w:hAnsi="Palatino Linotype"/>
          <w:i/>
          <w:lang w:val="es-ES_tradnl"/>
        </w:rPr>
        <w:t>”.</w:t>
      </w:r>
    </w:p>
    <w:p w14:paraId="1E0030AB"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0857DC07"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 xml:space="preserve">Cabe destacar que el artículo 155 fracción V de la Ley de Transparencia y Acceso a la Información Pública del Estado de México y Municipios señala que para presentar una solicitud por escrito, un requisito es que se señale la modalidad en la que prefiere se otorgue el acceso a la información, la cual podrá ser verbal, siempre y cuando se </w:t>
      </w:r>
      <w:proofErr w:type="spellStart"/>
      <w:r w:rsidRPr="00A52A6B">
        <w:rPr>
          <w:rFonts w:ascii="Palatino Linotype" w:hAnsi="Palatino Linotype"/>
          <w:lang w:val="es-ES_tradnl"/>
        </w:rPr>
        <w:t>a</w:t>
      </w:r>
      <w:proofErr w:type="spellEnd"/>
      <w:r w:rsidRPr="00A52A6B">
        <w:rPr>
          <w:rFonts w:ascii="Palatino Linotype" w:hAnsi="Palatino Linotype"/>
          <w:lang w:val="es-ES_tradnl"/>
        </w:rPr>
        <w:t xml:space="preserve"> para fines de orientación, mediante consulta directa, mediante expedición de copias simples o certificadas o la reproducción en cualquier otro medio, incluidos lo electrónicos.</w:t>
      </w:r>
    </w:p>
    <w:p w14:paraId="2DA0AC18"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07F6ED5D"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 xml:space="preserve">En el caso en cuestión la modalidad elegida por el particular fue vía SAIMEX; sin embargo, el sujeto obligado derivado del número de solicitudes de información y recursos de revisión interpuestos en contra del Ayuntamiento de Ixtapan de la Sal </w:t>
      </w:r>
      <w:r w:rsidRPr="00A52A6B">
        <w:rPr>
          <w:rFonts w:ascii="Palatino Linotype" w:hAnsi="Palatino Linotype"/>
          <w:lang w:val="es-ES_tradnl"/>
        </w:rPr>
        <w:lastRenderedPageBreak/>
        <w:t xml:space="preserve">en un mismo lapso temporal, sobrepasaron </w:t>
      </w:r>
      <w:r w:rsidRPr="00A52A6B">
        <w:rPr>
          <w:rFonts w:ascii="Palatino Linotype" w:eastAsia="MS Mincho" w:hAnsi="Palatino Linotype"/>
          <w:lang w:val="es-ES_tradnl"/>
        </w:rPr>
        <w:t>sus capacidades administrativas y humanas, con las consecuencias que ello implica, como es la falta de eficiencia organizacional para efectuar sus funciones esenciales razón por la cual de conformidad con el artículo 158 de la Ley de Transparencia y Acceso a la Información Pública  del Estado de México y Municipios de</w:t>
      </w:r>
      <w:r w:rsidRPr="00A52A6B">
        <w:rPr>
          <w:rFonts w:ascii="Palatino Linotype" w:hAnsi="Palatino Linotype"/>
          <w:bCs/>
          <w:lang w:val="es-ES_tradnl"/>
        </w:rPr>
        <w:t xml:space="preserve"> manera excepcional, cuando de forma fundada y motivada así lo determine, </w:t>
      </w:r>
      <w:r w:rsidRPr="00A52A6B">
        <w:rPr>
          <w:rFonts w:ascii="Palatino Linotype" w:hAnsi="Palatino Linotype"/>
          <w:lang w:val="es-ES_tradnl"/>
        </w:rPr>
        <w:t xml:space="preserve">en aquellos casos en que la información solicitada que ya se encuentre en su posesión implique análisis, estudio o procesamiento de documentos </w:t>
      </w:r>
      <w:r w:rsidRPr="00A52A6B">
        <w:rPr>
          <w:rFonts w:ascii="Palatino Linotype" w:hAnsi="Palatino Linotype"/>
          <w:bCs/>
          <w:lang w:val="es-ES_tradnl"/>
        </w:rPr>
        <w:t>cuya entrega o reproducción sobrepase las capacidades técnicas administrativas y humanas del sujeto obligado</w:t>
      </w:r>
      <w:r w:rsidRPr="00A52A6B">
        <w:rPr>
          <w:rFonts w:ascii="Palatino Linotype" w:hAnsi="Palatino Linotype"/>
          <w:lang w:val="es-ES_tradnl"/>
        </w:rPr>
        <w:t xml:space="preserve"> para cumplir con la solicitud, en los plazos establecidos para dichos efectos,</w:t>
      </w:r>
      <w:r w:rsidRPr="00A52A6B">
        <w:rPr>
          <w:rFonts w:ascii="Palatino Linotype" w:hAnsi="Palatino Linotype"/>
          <w:bCs/>
          <w:lang w:val="es-ES_tradnl"/>
        </w:rPr>
        <w:t xml:space="preserve"> se podrá poner a disposición del solicitante los documentos en consulta directa</w:t>
      </w:r>
      <w:r w:rsidRPr="00A52A6B">
        <w:rPr>
          <w:rFonts w:ascii="Palatino Linotype" w:hAnsi="Palatino Linotype"/>
          <w:lang w:val="es-ES_tradnl"/>
        </w:rPr>
        <w:t>, salvo la información clasificada.</w:t>
      </w:r>
    </w:p>
    <w:p w14:paraId="26FCB7B1"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481FCFE7"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eastAsia="MS Mincho" w:hAnsi="Palatino Linotype"/>
          <w:lang w:val="es-ES_tradnl"/>
        </w:rPr>
        <w:t xml:space="preserve">En razón de ello, el sujeto obligado no negó el acceso a la información solicitada, ni mucho menos negó contar con la misma, si no que atendiendo a los preceptos legales citados, de manera fundada y motivada mediante Acta del Comité de Transparencia se determinó el cambio de modalidad a consulta directa en virtud de que sus capacidades técnicas, administrativas y humanos se encontraban sobrepasadas por el cúmulo de solicitudes de información y recursos de revisión  interpuestos, aunado a que, </w:t>
      </w:r>
      <w:r w:rsidRPr="00A52A6B">
        <w:rPr>
          <w:rFonts w:ascii="Palatino Linotype" w:hAnsi="Palatino Linotype"/>
          <w:lang w:val="es-ES_tradnl"/>
        </w:rPr>
        <w:t xml:space="preserve">como es del conocimiento general, múltiples instancias gubernamentales, ante la pandemia generada por el virus SARS-CoV-2 (COVID-19), anunciaron medidas como la suspensión de actividades desde el 17 de marzo </w:t>
      </w:r>
      <w:r w:rsidRPr="00A52A6B">
        <w:rPr>
          <w:rFonts w:ascii="Palatino Linotype" w:hAnsi="Palatino Linotype"/>
          <w:lang w:val="es-ES_tradnl"/>
        </w:rPr>
        <w:lastRenderedPageBreak/>
        <w:t>del dos mil veinte, de manera parcial o total, para evitar el contagio del COVID-19, lo que ha dificultado la continuidad de la gestión pública.</w:t>
      </w:r>
    </w:p>
    <w:p w14:paraId="07779927" w14:textId="77777777" w:rsidR="00892544" w:rsidRPr="00A52A6B" w:rsidRDefault="00892544" w:rsidP="00892544">
      <w:pPr>
        <w:pStyle w:val="Prrafodelista"/>
        <w:rPr>
          <w:rFonts w:ascii="Palatino Linotype" w:eastAsia="MS Mincho" w:hAnsi="Palatino Linotype"/>
          <w:lang w:val="es-ES_tradnl"/>
        </w:rPr>
      </w:pPr>
    </w:p>
    <w:p w14:paraId="123B248B"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eastAsia="MS Mincho" w:hAnsi="Palatino Linotype"/>
          <w:lang w:val="es-ES_tradnl"/>
        </w:rPr>
        <w:t>No obstante, lo anterior, el sujeto obligado ofreció otra modalidad de entrega de la información solicitada mediante la consulta directa de la misma, por ende, no se configura una negativa de proporcionar la información como erróneamente se inconforma el particular y como ha confirmado ese Órgano Garante en su resolución al recurso de inconformidad que se cumplimenta.</w:t>
      </w:r>
    </w:p>
    <w:p w14:paraId="01F5A4E4" w14:textId="77777777" w:rsidR="00892544" w:rsidRPr="00A52A6B" w:rsidRDefault="00892544" w:rsidP="00892544">
      <w:pPr>
        <w:pStyle w:val="Prrafodelista"/>
        <w:rPr>
          <w:rFonts w:ascii="Palatino Linotype" w:hAnsi="Palatino Linotype"/>
          <w:lang w:val="es-ES_tradnl"/>
        </w:rPr>
      </w:pPr>
    </w:p>
    <w:p w14:paraId="47C381BD"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 xml:space="preserve">Lo anterior, es así ya que de conformidad con lo dispuesto en el artículo 164 del ordenamiento legal referido señala que el </w:t>
      </w:r>
      <w:r w:rsidRPr="00A52A6B">
        <w:rPr>
          <w:rFonts w:ascii="Palatino Linotype" w:hAnsi="Palatino Linotype"/>
          <w:bCs/>
          <w:lang w:val="es-ES_tradnl"/>
        </w:rPr>
        <w:t>acceso se dará en la modalidad de entrega</w:t>
      </w:r>
      <w:r w:rsidRPr="00A52A6B">
        <w:rPr>
          <w:rFonts w:ascii="Palatino Linotype" w:hAnsi="Palatino Linotype"/>
          <w:lang w:val="es-ES_tradnl"/>
        </w:rPr>
        <w:t xml:space="preserve"> y, en su caso, de envío elegidos por el solicitante</w:t>
      </w:r>
      <w:r w:rsidRPr="00A52A6B">
        <w:rPr>
          <w:rFonts w:ascii="Palatino Linotype" w:hAnsi="Palatino Linotype"/>
          <w:bCs/>
          <w:lang w:val="es-ES_tradnl"/>
        </w:rPr>
        <w:t xml:space="preserve"> y que cuando la información no pueda entregarse o enviarse en la modalidad solicitada, el sujeto obligado deberá ofrecer otra u otras modalidades de entrega, lo cual en el presente caso fue la modalidad de consulta directa.</w:t>
      </w:r>
    </w:p>
    <w:p w14:paraId="3255115F" w14:textId="77777777" w:rsidR="00892544" w:rsidRPr="00A52A6B" w:rsidRDefault="00892544" w:rsidP="00892544">
      <w:pPr>
        <w:pStyle w:val="Prrafodelista"/>
        <w:rPr>
          <w:rFonts w:ascii="Palatino Linotype" w:hAnsi="Palatino Linotype"/>
          <w:lang w:val="es-ES_tradnl"/>
        </w:rPr>
      </w:pPr>
    </w:p>
    <w:p w14:paraId="04882E99"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En esa virtud, se considera que no se vulnero el derecho de acceso a la información del particular y mucho menos se trata de una negativa de información, como lo sostiene el Órgano Garante Nacional en su resolución al recurso de inconformidad, que alejándose del principio de legalidad pretende interpretar la norma general en el sentido de establecer una nueva causal de procedencia de dicho medio de impugnación como el idóneo para reclamar toda clase de negativas de acceso s al información que se imputen a los órganos garantes locales.</w:t>
      </w:r>
    </w:p>
    <w:p w14:paraId="77706930" w14:textId="77777777" w:rsidR="00892544" w:rsidRPr="00A52A6B" w:rsidRDefault="00892544" w:rsidP="00892544">
      <w:pPr>
        <w:pStyle w:val="Prrafodelista"/>
        <w:rPr>
          <w:rFonts w:ascii="Palatino Linotype" w:hAnsi="Palatino Linotype"/>
          <w:lang w:val="es-ES_tradnl"/>
        </w:rPr>
      </w:pPr>
    </w:p>
    <w:p w14:paraId="2E804CD3"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En este orden de ideas, el Órgano Garante Nacional refiere en su resolución lo siguiente:</w:t>
      </w:r>
    </w:p>
    <w:p w14:paraId="0B101432" w14:textId="77777777" w:rsidR="00892544" w:rsidRPr="00A52A6B" w:rsidRDefault="00892544" w:rsidP="00892544">
      <w:pPr>
        <w:pStyle w:val="Prrafodelista"/>
        <w:ind w:left="502"/>
        <w:rPr>
          <w:rFonts w:ascii="Palatino Linotype" w:hAnsi="Palatino Linotype"/>
          <w:lang w:val="es-ES_tradnl"/>
        </w:rPr>
      </w:pPr>
    </w:p>
    <w:p w14:paraId="02E377F7" w14:textId="77777777" w:rsidR="00892544" w:rsidRPr="00A52A6B" w:rsidRDefault="00892544" w:rsidP="00892544">
      <w:pPr>
        <w:pStyle w:val="Prrafodelista"/>
        <w:tabs>
          <w:tab w:val="left" w:pos="0"/>
        </w:tabs>
        <w:spacing w:line="276" w:lineRule="auto"/>
        <w:ind w:left="502" w:right="49"/>
        <w:jc w:val="both"/>
        <w:rPr>
          <w:rFonts w:ascii="Palatino Linotype" w:hAnsi="Palatino Linotype"/>
          <w:i/>
          <w:sz w:val="22"/>
          <w:szCs w:val="22"/>
          <w:lang w:val="es-ES_tradnl"/>
        </w:rPr>
      </w:pPr>
      <w:r w:rsidRPr="00A52A6B">
        <w:rPr>
          <w:rFonts w:ascii="Palatino Linotype" w:hAnsi="Palatino Linotype"/>
          <w:i/>
          <w:sz w:val="22"/>
          <w:szCs w:val="22"/>
          <w:lang w:val="es-ES_tradnl"/>
        </w:rPr>
        <w:t>“…</w:t>
      </w:r>
      <w:r w:rsidRPr="00A52A6B">
        <w:rPr>
          <w:rFonts w:ascii="Palatino Linotype" w:hAnsi="Palatino Linotype"/>
          <w:b/>
          <w:i/>
          <w:sz w:val="22"/>
          <w:szCs w:val="22"/>
          <w:lang w:val="es-ES_tradnl"/>
        </w:rPr>
        <w:t xml:space="preserve">debe existir un obstáculo infranqueable o de difícil superación </w:t>
      </w:r>
      <w:r w:rsidRPr="00A52A6B">
        <w:rPr>
          <w:rFonts w:ascii="Palatino Linotype" w:hAnsi="Palatino Linotype"/>
          <w:i/>
          <w:sz w:val="22"/>
          <w:szCs w:val="22"/>
          <w:lang w:val="es-ES_tradnl"/>
        </w:rPr>
        <w:t>para atenderla, como lo es que la información solicitada se encuentre en un formato diverso al solicitado, que atendiendo a las características de la misma sea imposible su reproducción en el medio elegido por la particular o bien, que la información que de atención a la solicitud amerite un cruce de información en los sistemas de datos, entre otros.</w:t>
      </w:r>
    </w:p>
    <w:p w14:paraId="6B7E023D" w14:textId="77777777" w:rsidR="00892544" w:rsidRPr="00A52A6B" w:rsidRDefault="00892544" w:rsidP="00892544">
      <w:pPr>
        <w:pStyle w:val="Prrafodelista"/>
        <w:spacing w:line="276" w:lineRule="auto"/>
        <w:ind w:left="502" w:right="18"/>
        <w:jc w:val="both"/>
        <w:rPr>
          <w:rFonts w:ascii="Palatino Linotype" w:hAnsi="Palatino Linotype"/>
          <w:i/>
          <w:sz w:val="22"/>
          <w:szCs w:val="22"/>
          <w:lang w:val="es-ES_tradnl"/>
        </w:rPr>
      </w:pPr>
    </w:p>
    <w:p w14:paraId="5C28D140" w14:textId="77777777" w:rsidR="00892544" w:rsidRPr="00A52A6B" w:rsidRDefault="00892544" w:rsidP="00892544">
      <w:pPr>
        <w:pStyle w:val="Prrafodelista"/>
        <w:spacing w:line="276" w:lineRule="auto"/>
        <w:ind w:left="502" w:right="18"/>
        <w:jc w:val="both"/>
        <w:rPr>
          <w:rFonts w:ascii="Palatino Linotype" w:hAnsi="Palatino Linotype"/>
          <w:i/>
          <w:sz w:val="22"/>
          <w:szCs w:val="22"/>
          <w:lang w:val="es-ES_tradnl"/>
        </w:rPr>
      </w:pPr>
      <w:r w:rsidRPr="00A52A6B">
        <w:rPr>
          <w:rFonts w:ascii="Palatino Linotype" w:hAnsi="Palatino Linotype"/>
          <w:i/>
          <w:sz w:val="22"/>
          <w:szCs w:val="22"/>
          <w:lang w:val="es-ES_tradnl"/>
        </w:rPr>
        <w:t>[…]</w:t>
      </w:r>
    </w:p>
    <w:p w14:paraId="24F0752B" w14:textId="77777777" w:rsidR="00892544" w:rsidRPr="00A52A6B" w:rsidRDefault="00892544" w:rsidP="00892544">
      <w:pPr>
        <w:pStyle w:val="Prrafodelista"/>
        <w:adjustRightInd w:val="0"/>
        <w:spacing w:before="240" w:after="360" w:line="276" w:lineRule="auto"/>
        <w:ind w:left="502" w:right="18"/>
        <w:jc w:val="both"/>
        <w:rPr>
          <w:rFonts w:ascii="Palatino Linotype" w:hAnsi="Palatino Linotype"/>
          <w:b/>
          <w:i/>
          <w:sz w:val="22"/>
          <w:szCs w:val="22"/>
          <w:lang w:val="es-ES_tradnl"/>
        </w:rPr>
      </w:pPr>
      <w:r w:rsidRPr="00A52A6B">
        <w:rPr>
          <w:rFonts w:ascii="Palatino Linotype" w:hAnsi="Palatino Linotype"/>
          <w:i/>
          <w:sz w:val="22"/>
          <w:szCs w:val="22"/>
          <w:lang w:val="es-ES_tradnl"/>
        </w:rPr>
        <w:t xml:space="preserve">Por tanto, resulta obvio que el Sujeto Obligado, no fundó, </w:t>
      </w:r>
      <w:r w:rsidRPr="00A52A6B">
        <w:rPr>
          <w:rFonts w:ascii="Palatino Linotype" w:hAnsi="Palatino Linotype"/>
          <w:b/>
          <w:i/>
          <w:sz w:val="22"/>
          <w:szCs w:val="22"/>
          <w:lang w:val="es-ES_tradnl"/>
        </w:rPr>
        <w:t>motivó ni justificó a cabalidad la imposibilidad de entregar la información solicitada en formato electrónico a través de la plataforma digital; es decir, no acreditó un impedimento justificado para proporcionar la información solicitada, a través del Sistema de Acceso</w:t>
      </w:r>
      <w:r w:rsidRPr="00A52A6B">
        <w:rPr>
          <w:rFonts w:ascii="Palatino Linotype" w:hAnsi="Palatino Linotype"/>
          <w:b/>
          <w:i/>
          <w:spacing w:val="-4"/>
          <w:sz w:val="22"/>
          <w:szCs w:val="22"/>
          <w:lang w:val="es-ES_tradnl"/>
        </w:rPr>
        <w:t xml:space="preserve"> </w:t>
      </w:r>
      <w:r w:rsidRPr="00A52A6B">
        <w:rPr>
          <w:rFonts w:ascii="Palatino Linotype" w:hAnsi="Palatino Linotype"/>
          <w:b/>
          <w:i/>
          <w:sz w:val="22"/>
          <w:szCs w:val="22"/>
          <w:lang w:val="es-ES_tradnl"/>
        </w:rPr>
        <w:t>a</w:t>
      </w:r>
      <w:r w:rsidRPr="00A52A6B">
        <w:rPr>
          <w:rFonts w:ascii="Palatino Linotype" w:hAnsi="Palatino Linotype"/>
          <w:b/>
          <w:i/>
          <w:spacing w:val="-4"/>
          <w:sz w:val="22"/>
          <w:szCs w:val="22"/>
          <w:lang w:val="es-ES_tradnl"/>
        </w:rPr>
        <w:t xml:space="preserve"> </w:t>
      </w:r>
      <w:r w:rsidRPr="00A52A6B">
        <w:rPr>
          <w:rFonts w:ascii="Palatino Linotype" w:hAnsi="Palatino Linotype"/>
          <w:b/>
          <w:i/>
          <w:sz w:val="22"/>
          <w:szCs w:val="22"/>
          <w:lang w:val="es-ES_tradnl"/>
        </w:rPr>
        <w:t>la</w:t>
      </w:r>
      <w:r w:rsidRPr="00A52A6B">
        <w:rPr>
          <w:rFonts w:ascii="Palatino Linotype" w:hAnsi="Palatino Linotype"/>
          <w:b/>
          <w:i/>
          <w:spacing w:val="-2"/>
          <w:sz w:val="22"/>
          <w:szCs w:val="22"/>
          <w:lang w:val="es-ES_tradnl"/>
        </w:rPr>
        <w:t xml:space="preserve"> </w:t>
      </w:r>
      <w:r w:rsidRPr="00A52A6B">
        <w:rPr>
          <w:rFonts w:ascii="Palatino Linotype" w:hAnsi="Palatino Linotype"/>
          <w:b/>
          <w:i/>
          <w:sz w:val="22"/>
          <w:szCs w:val="22"/>
          <w:lang w:val="es-ES_tradnl"/>
        </w:rPr>
        <w:t>Información</w:t>
      </w:r>
      <w:r w:rsidRPr="00A52A6B">
        <w:rPr>
          <w:rFonts w:ascii="Palatino Linotype" w:hAnsi="Palatino Linotype"/>
          <w:b/>
          <w:i/>
          <w:spacing w:val="-4"/>
          <w:sz w:val="22"/>
          <w:szCs w:val="22"/>
          <w:lang w:val="es-ES_tradnl"/>
        </w:rPr>
        <w:t xml:space="preserve"> </w:t>
      </w:r>
      <w:r w:rsidRPr="00A52A6B">
        <w:rPr>
          <w:rFonts w:ascii="Palatino Linotype" w:hAnsi="Palatino Linotype"/>
          <w:b/>
          <w:i/>
          <w:sz w:val="22"/>
          <w:szCs w:val="22"/>
          <w:lang w:val="es-ES_tradnl"/>
        </w:rPr>
        <w:t>Mexiquense</w:t>
      </w:r>
      <w:r w:rsidRPr="00A52A6B">
        <w:rPr>
          <w:rFonts w:ascii="Palatino Linotype" w:hAnsi="Palatino Linotype"/>
          <w:b/>
          <w:i/>
          <w:spacing w:val="-4"/>
          <w:sz w:val="22"/>
          <w:szCs w:val="22"/>
          <w:lang w:val="es-ES_tradnl"/>
        </w:rPr>
        <w:t xml:space="preserve"> </w:t>
      </w:r>
      <w:r w:rsidRPr="00A52A6B">
        <w:rPr>
          <w:rFonts w:ascii="Palatino Linotype" w:hAnsi="Palatino Linotype"/>
          <w:b/>
          <w:i/>
          <w:sz w:val="22"/>
          <w:szCs w:val="22"/>
          <w:lang w:val="es-ES_tradnl"/>
        </w:rPr>
        <w:t>(SAIMEX),</w:t>
      </w:r>
      <w:r w:rsidRPr="00A52A6B">
        <w:rPr>
          <w:rFonts w:ascii="Palatino Linotype" w:hAnsi="Palatino Linotype"/>
          <w:b/>
          <w:i/>
          <w:spacing w:val="-4"/>
          <w:sz w:val="22"/>
          <w:szCs w:val="22"/>
          <w:lang w:val="es-ES_tradnl"/>
        </w:rPr>
        <w:t xml:space="preserve"> </w:t>
      </w:r>
      <w:r w:rsidRPr="00A52A6B">
        <w:rPr>
          <w:rFonts w:ascii="Palatino Linotype" w:hAnsi="Palatino Linotype"/>
          <w:b/>
          <w:i/>
          <w:sz w:val="22"/>
          <w:szCs w:val="22"/>
          <w:lang w:val="es-ES_tradnl"/>
        </w:rPr>
        <w:t>pues</w:t>
      </w:r>
      <w:r w:rsidRPr="00A52A6B">
        <w:rPr>
          <w:rFonts w:ascii="Palatino Linotype" w:hAnsi="Palatino Linotype"/>
          <w:b/>
          <w:i/>
          <w:spacing w:val="-5"/>
          <w:sz w:val="22"/>
          <w:szCs w:val="22"/>
          <w:lang w:val="es-ES_tradnl"/>
        </w:rPr>
        <w:t xml:space="preserve"> </w:t>
      </w:r>
      <w:r w:rsidRPr="00A52A6B">
        <w:rPr>
          <w:rFonts w:ascii="Palatino Linotype" w:hAnsi="Palatino Linotype"/>
          <w:b/>
          <w:i/>
          <w:sz w:val="22"/>
          <w:szCs w:val="22"/>
          <w:lang w:val="es-ES_tradnl"/>
        </w:rPr>
        <w:t>la</w:t>
      </w:r>
      <w:r w:rsidRPr="00A52A6B">
        <w:rPr>
          <w:rFonts w:ascii="Palatino Linotype" w:hAnsi="Palatino Linotype"/>
          <w:b/>
          <w:i/>
          <w:spacing w:val="-3"/>
          <w:sz w:val="22"/>
          <w:szCs w:val="22"/>
          <w:lang w:val="es-ES_tradnl"/>
        </w:rPr>
        <w:t xml:space="preserve"> </w:t>
      </w:r>
      <w:r w:rsidRPr="00A52A6B">
        <w:rPr>
          <w:rFonts w:ascii="Palatino Linotype" w:hAnsi="Palatino Linotype"/>
          <w:b/>
          <w:i/>
          <w:sz w:val="22"/>
          <w:szCs w:val="22"/>
          <w:lang w:val="es-ES_tradnl"/>
        </w:rPr>
        <w:t>Ley</w:t>
      </w:r>
      <w:r w:rsidRPr="00A52A6B">
        <w:rPr>
          <w:rFonts w:ascii="Palatino Linotype" w:hAnsi="Palatino Linotype"/>
          <w:b/>
          <w:i/>
          <w:spacing w:val="-5"/>
          <w:sz w:val="22"/>
          <w:szCs w:val="22"/>
          <w:lang w:val="es-ES_tradnl"/>
        </w:rPr>
        <w:t xml:space="preserve"> </w:t>
      </w:r>
      <w:r w:rsidRPr="00A52A6B">
        <w:rPr>
          <w:rFonts w:ascii="Palatino Linotype" w:hAnsi="Palatino Linotype"/>
          <w:b/>
          <w:i/>
          <w:sz w:val="22"/>
          <w:szCs w:val="22"/>
          <w:lang w:val="es-ES_tradnl"/>
        </w:rPr>
        <w:t>de</w:t>
      </w:r>
      <w:r w:rsidRPr="00A52A6B">
        <w:rPr>
          <w:rFonts w:ascii="Palatino Linotype" w:hAnsi="Palatino Linotype"/>
          <w:b/>
          <w:i/>
          <w:spacing w:val="-9"/>
          <w:sz w:val="22"/>
          <w:szCs w:val="22"/>
          <w:lang w:val="es-ES_tradnl"/>
        </w:rPr>
        <w:t xml:space="preserve"> </w:t>
      </w:r>
      <w:r w:rsidRPr="00A52A6B">
        <w:rPr>
          <w:rFonts w:ascii="Palatino Linotype" w:hAnsi="Palatino Linotype"/>
          <w:b/>
          <w:i/>
          <w:sz w:val="22"/>
          <w:szCs w:val="22"/>
          <w:lang w:val="es-ES_tradnl"/>
        </w:rPr>
        <w:t>la</w:t>
      </w:r>
      <w:r w:rsidRPr="00A52A6B">
        <w:rPr>
          <w:rFonts w:ascii="Palatino Linotype" w:hAnsi="Palatino Linotype"/>
          <w:b/>
          <w:i/>
          <w:spacing w:val="-4"/>
          <w:sz w:val="22"/>
          <w:szCs w:val="22"/>
          <w:lang w:val="es-ES_tradnl"/>
        </w:rPr>
        <w:t xml:space="preserve"> </w:t>
      </w:r>
      <w:r w:rsidRPr="00A52A6B">
        <w:rPr>
          <w:rFonts w:ascii="Palatino Linotype" w:hAnsi="Palatino Linotype"/>
          <w:b/>
          <w:i/>
          <w:sz w:val="22"/>
          <w:szCs w:val="22"/>
          <w:lang w:val="es-ES_tradnl"/>
        </w:rPr>
        <w:t>materia</w:t>
      </w:r>
      <w:r w:rsidRPr="00A52A6B">
        <w:rPr>
          <w:rFonts w:ascii="Palatino Linotype" w:hAnsi="Palatino Linotype"/>
          <w:b/>
          <w:i/>
          <w:spacing w:val="-4"/>
          <w:sz w:val="22"/>
          <w:szCs w:val="22"/>
          <w:lang w:val="es-ES_tradnl"/>
        </w:rPr>
        <w:t xml:space="preserve"> </w:t>
      </w:r>
      <w:r w:rsidRPr="00A52A6B">
        <w:rPr>
          <w:rFonts w:ascii="Palatino Linotype" w:hAnsi="Palatino Linotype"/>
          <w:b/>
          <w:i/>
          <w:sz w:val="22"/>
          <w:szCs w:val="22"/>
          <w:lang w:val="es-ES_tradnl"/>
        </w:rPr>
        <w:t>no</w:t>
      </w:r>
      <w:r w:rsidRPr="00A52A6B">
        <w:rPr>
          <w:rFonts w:ascii="Palatino Linotype" w:hAnsi="Palatino Linotype"/>
          <w:b/>
          <w:i/>
          <w:spacing w:val="-4"/>
          <w:sz w:val="22"/>
          <w:szCs w:val="22"/>
          <w:lang w:val="es-ES_tradnl"/>
        </w:rPr>
        <w:t xml:space="preserve"> </w:t>
      </w:r>
      <w:r w:rsidRPr="00A52A6B">
        <w:rPr>
          <w:rFonts w:ascii="Palatino Linotype" w:hAnsi="Palatino Linotype"/>
          <w:b/>
          <w:i/>
          <w:sz w:val="22"/>
          <w:szCs w:val="22"/>
          <w:lang w:val="es-ES_tradnl"/>
        </w:rPr>
        <w:t xml:space="preserve">prevé que por el hecho de ser mucha la información o porque se interpongan diversas solicitudes por parte de un particular </w:t>
      </w:r>
      <w:r w:rsidRPr="00A52A6B">
        <w:rPr>
          <w:rFonts w:ascii="Palatino Linotype" w:hAnsi="Palatino Linotype"/>
          <w:b/>
          <w:i/>
          <w:spacing w:val="-3"/>
          <w:sz w:val="22"/>
          <w:szCs w:val="22"/>
          <w:lang w:val="es-ES_tradnl"/>
        </w:rPr>
        <w:t xml:space="preserve">se </w:t>
      </w:r>
      <w:r w:rsidRPr="00A52A6B">
        <w:rPr>
          <w:rFonts w:ascii="Palatino Linotype" w:hAnsi="Palatino Linotype"/>
          <w:b/>
          <w:i/>
          <w:sz w:val="22"/>
          <w:szCs w:val="22"/>
          <w:lang w:val="es-ES_tradnl"/>
        </w:rPr>
        <w:t>cambie la modalidad…”</w:t>
      </w:r>
    </w:p>
    <w:p w14:paraId="37CBC232" w14:textId="77777777" w:rsidR="00892544" w:rsidRPr="00A52A6B" w:rsidRDefault="00892544" w:rsidP="00892544">
      <w:pPr>
        <w:pStyle w:val="Prrafodelista"/>
        <w:rPr>
          <w:rFonts w:ascii="Palatino Linotype" w:hAnsi="Palatino Linotype"/>
          <w:lang w:val="es-ES_tradnl"/>
        </w:rPr>
      </w:pPr>
    </w:p>
    <w:p w14:paraId="1EE5CE42" w14:textId="77777777" w:rsidR="00892544" w:rsidRPr="00A52A6B" w:rsidRDefault="00892544" w:rsidP="00892544">
      <w:pPr>
        <w:pStyle w:val="Prrafodelista"/>
        <w:rPr>
          <w:rFonts w:ascii="Palatino Linotype" w:hAnsi="Palatino Linotype"/>
          <w:lang w:val="es-ES_tradnl"/>
        </w:rPr>
      </w:pPr>
    </w:p>
    <w:p w14:paraId="71268880"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Efectivamente, como bien lo señala el Órgano Garante Nacional la ley no establece que por el hecho de ser mucha información o porque se interpongan diversas solicitudes de información por parte de un particular se cambie la modalidad; sin embargo, tampoco establece que deba de “</w:t>
      </w:r>
      <w:r w:rsidRPr="00A52A6B">
        <w:rPr>
          <w:rFonts w:ascii="Palatino Linotype" w:hAnsi="Palatino Linotype"/>
          <w:i/>
          <w:lang w:val="es-ES_tradnl"/>
        </w:rPr>
        <w:t>existir un obstáculo infranqueable o de difícil superación”</w:t>
      </w:r>
      <w:r w:rsidRPr="00A52A6B">
        <w:rPr>
          <w:rFonts w:ascii="Palatino Linotype" w:hAnsi="Palatino Linotype"/>
          <w:lang w:val="es-ES_tradnl"/>
        </w:rPr>
        <w:t xml:space="preserve">, es mas en su resolución, derivado de su estudio interpretativo de la ley no define y deja claro que debe entenderse por </w:t>
      </w:r>
      <w:r w:rsidRPr="00A52A6B">
        <w:rPr>
          <w:rFonts w:ascii="Palatino Linotype" w:hAnsi="Palatino Linotype"/>
          <w:i/>
          <w:lang w:val="es-ES_tradnl"/>
        </w:rPr>
        <w:t>“obstáculo infranqueable o de difícil superación”</w:t>
      </w:r>
      <w:r w:rsidRPr="00A52A6B">
        <w:rPr>
          <w:rFonts w:ascii="Palatino Linotype" w:hAnsi="Palatino Linotype"/>
          <w:lang w:val="es-ES_tradnl"/>
        </w:rPr>
        <w:t xml:space="preserve"> limitándose únicamente a señalar que el sujeto </w:t>
      </w:r>
      <w:r w:rsidRPr="00A52A6B">
        <w:rPr>
          <w:rFonts w:ascii="Palatino Linotype" w:hAnsi="Palatino Linotype"/>
          <w:lang w:val="es-ES_tradnl"/>
        </w:rPr>
        <w:lastRenderedPageBreak/>
        <w:t>obligado no fundó, motivo ni justificó a cabalidad la imposibilidad de entregar la información solicitada en el formato elegido.</w:t>
      </w:r>
    </w:p>
    <w:p w14:paraId="6E4F7E20"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7AA6738E"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 xml:space="preserve">Cabe recordarle al Órgano Garante Nacional que la fundamentación y justificación del sujeto obligado no verso única y exclusivamente en que se hayan interpuesto diversas solicitudes por un particular, sino en que derivado </w:t>
      </w:r>
      <w:proofErr w:type="spellStart"/>
      <w:r w:rsidRPr="00A52A6B">
        <w:rPr>
          <w:rFonts w:ascii="Palatino Linotype" w:hAnsi="Palatino Linotype"/>
          <w:lang w:val="es-ES_tradnl"/>
        </w:rPr>
        <w:t>de el</w:t>
      </w:r>
      <w:proofErr w:type="spellEnd"/>
      <w:r w:rsidRPr="00A52A6B">
        <w:rPr>
          <w:rFonts w:ascii="Palatino Linotype" w:hAnsi="Palatino Linotype"/>
          <w:lang w:val="es-ES_tradnl"/>
        </w:rPr>
        <w:t xml:space="preserve"> cúmulo de solicitudes presentadas y recurso de revisión interpuestos, aunado a la limitación de la gestión pública por la pandemia generada por el virus SARS-CoV-2 (COVID-19) y las medidas como la suspensión de actividades desde el 17 de marzo del año pasado, de manera parcial o total, para evitar el contagio del COVID-19, se sobrepasaron las capacidades técnicas, administrativas y humanas del Sujeto Obligado.</w:t>
      </w:r>
    </w:p>
    <w:p w14:paraId="5EABF802" w14:textId="77777777" w:rsidR="00892544" w:rsidRPr="00A52A6B" w:rsidRDefault="00892544" w:rsidP="00892544">
      <w:pPr>
        <w:pStyle w:val="Prrafodelista"/>
        <w:rPr>
          <w:rFonts w:ascii="Palatino Linotype" w:hAnsi="Palatino Linotype"/>
          <w:lang w:val="es-ES_tradnl"/>
        </w:rPr>
      </w:pPr>
    </w:p>
    <w:p w14:paraId="06565473"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 xml:space="preserve">Asimismo se reitera que no existe una limitante en cada ciudadano para el ejercicio del derecho de acceso a la información, al contrario una de las funciones primordiales de los organismos garantes es la de </w:t>
      </w:r>
      <w:r w:rsidRPr="00A52A6B">
        <w:rPr>
          <w:rFonts w:ascii="Palatino Linotype" w:eastAsia="MS Mincho" w:hAnsi="Palatino Linotype"/>
          <w:b/>
          <w:lang w:val="es-ES_tradnl"/>
        </w:rPr>
        <w:t>promover</w:t>
      </w:r>
      <w:r w:rsidRPr="00A52A6B">
        <w:rPr>
          <w:rFonts w:ascii="Palatino Linotype" w:eastAsia="MS Mincho" w:hAnsi="Palatino Linotype"/>
          <w:lang w:val="es-ES_tradnl"/>
        </w:rPr>
        <w:t xml:space="preserve"> el ejercicio del derecho de acceso a la información pública; sin embargo, del caso concreto, al advertirse una excesiva y reiterada interposición de solicitudes de información por parte de un mismo Solicitante a un mismo Sujeto Obligado, provoca que se sobrepasaran sus capacidades como tuvo a bien exponerse en el Acuerdo de Comité de Transparencia del Sujeto Obligado; sin embargo con el ánimo de no conculcar el derecho de la particular fue que se determinó el cambio de modalidad de entrega de la información con base en lo dispuesto por los artículos 158 y 164 de la Ley de </w:t>
      </w:r>
      <w:r w:rsidRPr="00A52A6B">
        <w:rPr>
          <w:rFonts w:ascii="Palatino Linotype" w:eastAsia="MS Mincho" w:hAnsi="Palatino Linotype"/>
          <w:lang w:val="es-ES_tradnl"/>
        </w:rPr>
        <w:lastRenderedPageBreak/>
        <w:t>Transparencia y Acceso a la Información Pública del Estado de México y Municipios,</w:t>
      </w:r>
      <w:r w:rsidRPr="00A52A6B">
        <w:rPr>
          <w:rFonts w:ascii="Palatino Linotype" w:hAnsi="Palatino Linotype"/>
          <w:lang w:val="es-ES_tradnl"/>
        </w:rPr>
        <w:t xml:space="preserve"> para dar cumplimiento y salvaguardar el derecho de acceso a la información pública.</w:t>
      </w:r>
    </w:p>
    <w:p w14:paraId="38F26C96" w14:textId="77777777" w:rsidR="00892544" w:rsidRPr="00A52A6B" w:rsidRDefault="00892544" w:rsidP="00892544">
      <w:pPr>
        <w:pStyle w:val="Prrafodelista"/>
        <w:rPr>
          <w:rFonts w:ascii="Palatino Linotype" w:hAnsi="Palatino Linotype"/>
          <w:lang w:val="es-ES_tradnl"/>
        </w:rPr>
      </w:pPr>
    </w:p>
    <w:p w14:paraId="473C81CC"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 xml:space="preserve">Es así que, derivado del cúmulo de solicitudes de información, </w:t>
      </w:r>
      <w:r w:rsidRPr="00A52A6B">
        <w:rPr>
          <w:rFonts w:ascii="Palatino Linotype" w:hAnsi="Palatino Linotype"/>
          <w:b/>
          <w:lang w:val="es-ES_tradnl"/>
        </w:rPr>
        <w:t>y del múltiple soporte documental que implica todas y cada una de las solicitudes</w:t>
      </w:r>
      <w:r w:rsidRPr="00A52A6B">
        <w:rPr>
          <w:rFonts w:ascii="Palatino Linotype" w:hAnsi="Palatino Linotype"/>
          <w:lang w:val="es-ES_tradnl"/>
        </w:rPr>
        <w:t xml:space="preserve"> de </w:t>
      </w:r>
      <w:r w:rsidRPr="00A52A6B">
        <w:rPr>
          <w:rFonts w:ascii="Palatino Linotype" w:hAnsi="Palatino Linotype"/>
          <w:b/>
          <w:lang w:val="es-ES_tradnl"/>
        </w:rPr>
        <w:t>información</w:t>
      </w:r>
      <w:r w:rsidRPr="00A52A6B">
        <w:rPr>
          <w:rFonts w:ascii="Palatino Linotype" w:hAnsi="Palatino Linotype"/>
          <w:lang w:val="es-ES_tradnl"/>
        </w:rPr>
        <w:t>; implica un análisis, estudio, procesamiento de documentos, elaboración de versiones públicas y proyectos de clasificación, lo que implica destinar un número significativo de días, horas y personales exclusivamente para atender los requerimiento, que impediría la realización de las demás actividades y atribuciones a cargo del Sujeto Obligado que impactaría directamente al desarrollo del cumplimiento de sus actividades esenciales para con la sociedad del Municipio de Ixtapan de la Sal,</w:t>
      </w:r>
      <w:r w:rsidRPr="00A52A6B">
        <w:rPr>
          <w:rFonts w:ascii="Palatino Linotype" w:eastAsia="MS Mincho" w:hAnsi="Palatino Linotype"/>
          <w:lang w:val="es-ES_tradnl"/>
        </w:rPr>
        <w:t xml:space="preserve"> sumando que cuenta con personal limitado debido a la emergencia sanitaria que impera.</w:t>
      </w:r>
    </w:p>
    <w:p w14:paraId="774C37A3" w14:textId="77777777" w:rsidR="00892544" w:rsidRPr="00A52A6B" w:rsidRDefault="00892544" w:rsidP="00892544">
      <w:pPr>
        <w:pStyle w:val="Prrafodelista"/>
        <w:rPr>
          <w:rFonts w:ascii="Palatino Linotype" w:hAnsi="Palatino Linotype"/>
          <w:lang w:val="es-ES_tradnl"/>
        </w:rPr>
      </w:pPr>
    </w:p>
    <w:p w14:paraId="41FF61D3"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 xml:space="preserve">En ese sentido –se insiste– resulta insuficiente el recurso humano con el que cuenta el Sujeto Obligado para atender la cantidad de solicitudes cumpliendo con los plazos establecidos para tal efecto; plazos que atendiendo a los lapsos en que fueron presentadas las solicitudes de información (de la resolución de mérito y otras diversas interpuestas por el mismo solicitante), se ven aparejados, sin perder de vista que a la fecha de la presente resolución, continúan presentándose de manera consecutiva y reiterada, solicitudes de información y recursos de revisión, insistiendo en que las capacidades administrativas y humanas en coexistencia se </w:t>
      </w:r>
      <w:r w:rsidRPr="00A52A6B">
        <w:rPr>
          <w:rFonts w:ascii="Palatino Linotype" w:hAnsi="Palatino Linotype"/>
          <w:lang w:val="es-ES_tradnl"/>
        </w:rPr>
        <w:lastRenderedPageBreak/>
        <w:t>ven colapsadas para dar atención a los requerimientos de una sola persona, inhibiendo considerablemente el correcto funcionamiento y el alcance de objetivos planteados por el Ayuntamiento.</w:t>
      </w:r>
    </w:p>
    <w:p w14:paraId="7D58ADFF" w14:textId="77777777" w:rsidR="00892544" w:rsidRPr="00A52A6B" w:rsidRDefault="00892544" w:rsidP="00892544">
      <w:pPr>
        <w:pStyle w:val="Prrafodelista"/>
        <w:rPr>
          <w:rFonts w:ascii="Palatino Linotype" w:hAnsi="Palatino Linotype"/>
          <w:lang w:val="es-ES_tradnl"/>
        </w:rPr>
      </w:pPr>
    </w:p>
    <w:p w14:paraId="4E180161"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No obstante, ello, el Sujeto Obligado de las 1990 solicitudes de información que recibió en el ejercicio 2020, atendió en tiempo 1968, teniendo un porcentaje de solicitudes atendidas en tiempo del 98.89%, de las 1990 solicitudes únicamente en 193 se solicitó prórroga para atenderlas, es decir un 9.70%; asimismo, el sujeto obligado tuvo que atender los 1439 recursos de revisión interpuestos.</w:t>
      </w:r>
      <w:r w:rsidRPr="00A52A6B">
        <w:rPr>
          <w:rStyle w:val="Refdenotaalpie"/>
          <w:rFonts w:ascii="Palatino Linotype" w:hAnsi="Palatino Linotype"/>
          <w:lang w:val="es-ES_tradnl"/>
        </w:rPr>
        <w:footnoteReference w:id="12"/>
      </w:r>
    </w:p>
    <w:p w14:paraId="09F9B5E4" w14:textId="77777777" w:rsidR="00892544" w:rsidRPr="00A52A6B" w:rsidRDefault="00892544" w:rsidP="00892544">
      <w:pPr>
        <w:pStyle w:val="Prrafodelista"/>
        <w:rPr>
          <w:rFonts w:ascii="Palatino Linotype" w:hAnsi="Palatino Linotype"/>
          <w:lang w:val="es-ES_tradnl"/>
        </w:rPr>
      </w:pPr>
    </w:p>
    <w:p w14:paraId="4BC3A286"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 xml:space="preserve">Derivado de lo anterior, se demuestra que no se trata de una negativa de información, ya que dicha hipótesis encuadraría en el caso de que el sujeto obligado hubiese negado rotunda y categóricamente el acceso a la información pública o bien hubiese sido omiso en dar respuesta, lo cual en el presente caso no sucedió. </w:t>
      </w:r>
    </w:p>
    <w:p w14:paraId="2B3EDF73" w14:textId="77777777" w:rsidR="00892544" w:rsidRPr="00A52A6B" w:rsidRDefault="00892544" w:rsidP="00892544">
      <w:pPr>
        <w:pStyle w:val="Prrafodelista"/>
        <w:rPr>
          <w:rFonts w:ascii="Palatino Linotype" w:hAnsi="Palatino Linotype"/>
          <w:lang w:val="es-ES_tradnl"/>
        </w:rPr>
      </w:pPr>
    </w:p>
    <w:p w14:paraId="260F006B"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 xml:space="preserve">Luego entonces, se insiste, nos encontramos en un caso </w:t>
      </w:r>
      <w:r w:rsidRPr="00A52A6B">
        <w:rPr>
          <w:rFonts w:ascii="Palatino Linotype" w:hAnsi="Palatino Linotype"/>
          <w:i/>
          <w:lang w:val="es-ES_tradnl"/>
        </w:rPr>
        <w:t>sui generis</w:t>
      </w:r>
      <w:r w:rsidRPr="00A52A6B">
        <w:rPr>
          <w:rFonts w:ascii="Palatino Linotype" w:hAnsi="Palatino Linotype"/>
          <w:lang w:val="es-ES_tradnl"/>
        </w:rPr>
        <w:t xml:space="preserve"> donde se confronta un déficit humano; al contar únicamente con personal limitado; un déficit material; un déficit intangible, al no contar con el tiempo suficiente, y; ante un exceso de solicitudes de información, resulta descomunal cumplir con los plazos de entrega de la información bajo la modalidad prevista por el solicitante, además de la ya multicitada exclusividad para atender múltiples solicitudes de información interpuestas en los mismos lapsos temporales, por un solo peticionario.</w:t>
      </w:r>
    </w:p>
    <w:p w14:paraId="288FC0D8" w14:textId="77777777" w:rsidR="00892544" w:rsidRPr="00A52A6B" w:rsidRDefault="00892544" w:rsidP="00892544">
      <w:pPr>
        <w:pStyle w:val="Prrafodelista"/>
        <w:rPr>
          <w:rFonts w:ascii="Palatino Linotype" w:hAnsi="Palatino Linotype"/>
          <w:lang w:val="es-ES_tradnl"/>
        </w:rPr>
      </w:pPr>
    </w:p>
    <w:p w14:paraId="2DE5EC3F"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lang w:val="es-ES_tradnl"/>
        </w:rPr>
        <w:t xml:space="preserve">Por lo tanto, la decisión de este Instituto en confirmar el cambio de modalidad, obedeció a que el sujeto obligado de conformidad con el artículo 158 de la Ley de Transparencia y Acceso a la Información del Estado de México y Municipios, de manera excepcional y de forma fundada y motivada y debido a que se sobrepasaron las  capacidades administrativas y humanas, se modificó el cambio de modalidad a su consulta directa, con la finalidad de respetar en todo momento el  legítimo derecho de acceso a la información del particular, con base a la normatividad aplicable, por lo tanto es dable concluir que no existe transgresión al derecho de acceso a la información pública de la parte Recurrente. </w:t>
      </w:r>
    </w:p>
    <w:p w14:paraId="68A4F531" w14:textId="77777777" w:rsidR="00892544" w:rsidRPr="00A52A6B" w:rsidRDefault="00892544" w:rsidP="00892544">
      <w:pPr>
        <w:pStyle w:val="Prrafodelista"/>
        <w:rPr>
          <w:rFonts w:ascii="Palatino Linotype" w:hAnsi="Palatino Linotype"/>
          <w:shd w:val="clear" w:color="auto" w:fill="FFFFFF"/>
          <w:lang w:val="es-ES_tradnl"/>
        </w:rPr>
      </w:pPr>
    </w:p>
    <w:p w14:paraId="1B5F3D82"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Aunado a lo anterior, conviene recordarle al Órgano Garante que las capacidades técnicas, administrativas y humanas de los sujetos obligados no son iguales, por ejemplo: no es posible comparar las capacidades humanas, financieras y materiales de una Secretaría de Estado como la Secretaría de Hacienda y Crédito Público con el Municipio de Ixtapan de la Sal, que es un Municipio de menos de 50 mil habitantes, cuyo personal y presupuesto en nada se iguala o se compara con una Secretaria u organismo a nivel federal.</w:t>
      </w:r>
    </w:p>
    <w:p w14:paraId="2FC75C80" w14:textId="77777777" w:rsidR="00892544" w:rsidRPr="00A52A6B" w:rsidRDefault="00892544" w:rsidP="00892544">
      <w:pPr>
        <w:pStyle w:val="Prrafodelista"/>
        <w:rPr>
          <w:rFonts w:ascii="Palatino Linotype" w:hAnsi="Palatino Linotype"/>
          <w:shd w:val="clear" w:color="auto" w:fill="FFFFFF"/>
          <w:lang w:val="es-ES_tradnl"/>
        </w:rPr>
      </w:pPr>
    </w:p>
    <w:p w14:paraId="0E345DCA"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 xml:space="preserve">Finalmente, es de señalar que el Órgano Garante Nacional señala a su parecer que la información solicitada por el particular constituye parte de sus obligaciones de transparencia comunes que debían estar de manera permanente y actualizada en los respectivos medios electrónicos y que por ello su entrega resultaba sencilla para </w:t>
      </w:r>
      <w:r w:rsidRPr="00A52A6B">
        <w:rPr>
          <w:rFonts w:ascii="Palatino Linotype" w:hAnsi="Palatino Linotype"/>
          <w:shd w:val="clear" w:color="auto" w:fill="FFFFFF"/>
          <w:lang w:val="es-ES_tradnl"/>
        </w:rPr>
        <w:lastRenderedPageBreak/>
        <w:t>el sujeto obligado; sin embargo, pasa por alto que aún y cuando dicha información constituya parte de sus obligaciones de transparencia comunes, ello implica necesariamente un análisis, estudio o procesamiento de documentos por parte del sujeto obligado para poder atender las solicitudes de información, ya que su atención no se limita a entregar o copiar y pegar el enlace electrónico o link de IPOMEX o de la Plataforma Nacional, sino que implica una búsqueda, identificación y localización de la información solicitada para proporcionar el link específico que permite llegar a la información que particularmente se ha solicitado.</w:t>
      </w:r>
    </w:p>
    <w:p w14:paraId="09FEC635" w14:textId="77777777" w:rsidR="00892544" w:rsidRPr="00A52A6B" w:rsidRDefault="00892544" w:rsidP="00892544">
      <w:pPr>
        <w:pStyle w:val="Prrafodelista"/>
        <w:rPr>
          <w:rFonts w:ascii="Palatino Linotype" w:hAnsi="Palatino Linotype"/>
          <w:sz w:val="28"/>
          <w:shd w:val="clear" w:color="auto" w:fill="FFFFFF"/>
          <w:lang w:val="es-ES_tradnl"/>
        </w:rPr>
      </w:pPr>
    </w:p>
    <w:p w14:paraId="0E069F19" w14:textId="77777777" w:rsidR="00892544" w:rsidRPr="00A52A6B" w:rsidRDefault="00892544" w:rsidP="00892544">
      <w:pPr>
        <w:pStyle w:val="Ttulo1"/>
        <w:numPr>
          <w:ilvl w:val="0"/>
          <w:numId w:val="26"/>
        </w:numPr>
        <w:spacing w:line="360" w:lineRule="auto"/>
        <w:ind w:left="0" w:firstLine="0"/>
        <w:jc w:val="both"/>
        <w:rPr>
          <w:rFonts w:ascii="Palatino Linotype" w:hAnsi="Palatino Linotype"/>
          <w:b/>
          <w:color w:val="auto"/>
          <w:sz w:val="24"/>
          <w:szCs w:val="24"/>
        </w:rPr>
      </w:pPr>
      <w:bookmarkStart w:id="15" w:name="_Toc66304366"/>
      <w:r w:rsidRPr="00A52A6B">
        <w:rPr>
          <w:rFonts w:ascii="Palatino Linotype" w:hAnsi="Palatino Linotype"/>
          <w:b/>
          <w:color w:val="auto"/>
          <w:sz w:val="24"/>
          <w:szCs w:val="24"/>
        </w:rPr>
        <w:t>De las deficiencias en la resolución del recurso de inconformidad emitida por el Instituto Nacional de Transparencia, Acceso a la Información Pública y Protección de Datos Personales.</w:t>
      </w:r>
      <w:bookmarkEnd w:id="15"/>
      <w:r w:rsidRPr="00A52A6B">
        <w:rPr>
          <w:rFonts w:ascii="Palatino Linotype" w:hAnsi="Palatino Linotype"/>
          <w:b/>
          <w:color w:val="auto"/>
          <w:sz w:val="24"/>
          <w:szCs w:val="24"/>
        </w:rPr>
        <w:t xml:space="preserve"> </w:t>
      </w:r>
    </w:p>
    <w:p w14:paraId="2F122C45" w14:textId="77777777" w:rsidR="00892544" w:rsidRPr="00A52A6B" w:rsidRDefault="00892544" w:rsidP="00892544">
      <w:pPr>
        <w:pStyle w:val="Prrafodelista"/>
        <w:rPr>
          <w:rFonts w:ascii="Palatino Linotype" w:hAnsi="Palatino Linotype"/>
          <w:shd w:val="clear" w:color="auto" w:fill="FFFFFF"/>
          <w:lang w:val="es-ES_tradnl"/>
        </w:rPr>
      </w:pPr>
    </w:p>
    <w:p w14:paraId="673910A8"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Primeramente, se advierte que la resolución del recurso de inconformidad transgrede el principio de legalidad y por ende carece de una debida fundamentación y motivación, ya que pretende fundar su actuación y entrar al estudio de la inconformidad cuando de acuerdo a lo establecido en el artículo 160 de la Ley General de Transparencia y Acceso a la Información es notoriamente improcedente.</w:t>
      </w:r>
    </w:p>
    <w:p w14:paraId="1340E2B6"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3B462640"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 xml:space="preserve">Asimismo, dicho principio de legalidad se contraviene ya que la resolución de mérito se encuentra fundamentada en una sentencia a un amparo indirecto, el </w:t>
      </w:r>
      <w:r w:rsidRPr="00A52A6B">
        <w:rPr>
          <w:rFonts w:ascii="Palatino Linotype" w:hAnsi="Palatino Linotype"/>
          <w:shd w:val="clear" w:color="auto" w:fill="FFFFFF"/>
          <w:lang w:val="es-ES_tradnl"/>
        </w:rPr>
        <w:lastRenderedPageBreak/>
        <w:t>cual va más allá de ser un criterio orientador, pretende darle a una sentencia de amparo efectos erga omnes, dándole efectos expansivos mayores que una jurisprudencia, sino de dotarla de fuerza legal, constituyéndose en legislador y creador de normas para decidir sobre el actuar de los órganos garantes locales.</w:t>
      </w:r>
    </w:p>
    <w:p w14:paraId="0D363FB1"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753625FD"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Pretende hacer valer su criterio e inconformidad con el diseño constitucional previamente establecido, a través de su resolución, desconociendo que es en el cual únicamente mediante la acción de inconstitucionalidad mediante el cual puede solicitar a la Suprema Corte de Justicia de la Nación la declaratoria de inconstitucionalidad de la ley local, en la cual tanto el sujeto obligado como este Instituto ha fundado su actuar, en estricto apego y respeto por el principio de legalidad que nos rige.</w:t>
      </w:r>
    </w:p>
    <w:p w14:paraId="395C600F" w14:textId="77777777" w:rsidR="00892544" w:rsidRPr="00A52A6B" w:rsidRDefault="00892544" w:rsidP="00892544">
      <w:pPr>
        <w:pStyle w:val="Prrafodelista"/>
        <w:rPr>
          <w:rFonts w:ascii="Palatino Linotype" w:hAnsi="Palatino Linotype"/>
          <w:sz w:val="28"/>
          <w:shd w:val="clear" w:color="auto" w:fill="FFFFFF"/>
          <w:lang w:val="es-ES_tradnl"/>
        </w:rPr>
      </w:pPr>
    </w:p>
    <w:p w14:paraId="27DDF0C0" w14:textId="77777777" w:rsidR="00892544" w:rsidRPr="00A52A6B" w:rsidRDefault="00892544" w:rsidP="00892544">
      <w:pPr>
        <w:pStyle w:val="Ttulo1"/>
        <w:numPr>
          <w:ilvl w:val="0"/>
          <w:numId w:val="26"/>
        </w:numPr>
        <w:spacing w:line="360" w:lineRule="auto"/>
        <w:ind w:left="0" w:firstLine="0"/>
        <w:jc w:val="both"/>
        <w:rPr>
          <w:rFonts w:ascii="Palatino Linotype" w:hAnsi="Palatino Linotype"/>
          <w:b/>
          <w:color w:val="auto"/>
          <w:sz w:val="24"/>
        </w:rPr>
      </w:pPr>
      <w:bookmarkStart w:id="16" w:name="_Toc66304367"/>
      <w:r w:rsidRPr="00A52A6B">
        <w:rPr>
          <w:rFonts w:ascii="Palatino Linotype" w:hAnsi="Palatino Linotype"/>
          <w:b/>
          <w:color w:val="auto"/>
          <w:sz w:val="24"/>
        </w:rPr>
        <w:t>Conclusiones</w:t>
      </w:r>
      <w:bookmarkEnd w:id="16"/>
    </w:p>
    <w:p w14:paraId="0869AC4D" w14:textId="77777777" w:rsidR="00892544" w:rsidRPr="00A52A6B" w:rsidRDefault="00892544" w:rsidP="00892544">
      <w:pPr>
        <w:pStyle w:val="Prrafodelista"/>
        <w:rPr>
          <w:rFonts w:ascii="Palatino Linotype" w:hAnsi="Palatino Linotype"/>
          <w:shd w:val="clear" w:color="auto" w:fill="FFFFFF"/>
          <w:lang w:val="es-ES_tradnl"/>
        </w:rPr>
      </w:pPr>
    </w:p>
    <w:p w14:paraId="5903C270"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E</w:t>
      </w:r>
      <w:r w:rsidRPr="00A52A6B">
        <w:rPr>
          <w:rFonts w:ascii="Palatino Linotype" w:hAnsi="Palatino Linotype"/>
          <w:lang w:val="es-ES_tradnl"/>
        </w:rPr>
        <w:t>l recurso de inconformidad resulta improcedente por no actualizarse las hipótesis legales para su interposición, contenidas en el artículo 160 de la Ley General de Transparencia y Acceso a la Información Pública, y por ende existe imposibilidad jurídica por parte del INAI para estudiar y decidir dicha cuestión.</w:t>
      </w:r>
    </w:p>
    <w:p w14:paraId="004732EF"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4679B20C"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 xml:space="preserve">El INAI contraviene el principio de legalidad, ya que la resolución al recurso de inconformidad se funda y motiva en una sentencia de amparo indirecto que no </w:t>
      </w:r>
      <w:r w:rsidRPr="00A52A6B">
        <w:rPr>
          <w:rFonts w:ascii="Palatino Linotype" w:hAnsi="Palatino Linotype"/>
          <w:shd w:val="clear" w:color="auto" w:fill="FFFFFF"/>
          <w:lang w:val="es-ES_tradnl"/>
        </w:rPr>
        <w:lastRenderedPageBreak/>
        <w:t xml:space="preserve">tiene fuerza legal, que no constituye un criterio reiterado por el Poder Judicial de la Federación, el cual aunque así lo fuera, en virtud del respeto irrestricto al principio de legalidad que debe de regir su actuar como órgano garante, no puede aplicar y mucho menos darle los efectos erga omnes y expansivos que le otorga en su resolución. </w:t>
      </w:r>
    </w:p>
    <w:p w14:paraId="45B04B2E" w14:textId="77777777" w:rsidR="00892544" w:rsidRPr="00A52A6B" w:rsidRDefault="00892544" w:rsidP="00892544">
      <w:pPr>
        <w:pStyle w:val="Prrafodelista"/>
        <w:rPr>
          <w:rFonts w:ascii="Palatino Linotype" w:hAnsi="Palatino Linotype"/>
          <w:shd w:val="clear" w:color="auto" w:fill="FFFFFF"/>
          <w:lang w:val="es-ES_tradnl"/>
        </w:rPr>
      </w:pPr>
    </w:p>
    <w:p w14:paraId="1740FD41"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El INAI al resolver el recurso de inconformidad no hace un estudio pormenorizado y exhaustivo sobre los puntos particulares y específicos sobre el caso en concreto, ya que se limita a señalar que no se acreditó que se sobrepasaron las capacidades técnicas del sujeto obligado, pasando por alto que la ley local en materia de transparencia contempla también las capacidades administrativas y humanas de los sujetos obligados, supuestos que si fueron valorados y analizados por este Instituto al momento de resolver el recurso de revisión.</w:t>
      </w:r>
    </w:p>
    <w:p w14:paraId="33405C6A" w14:textId="77777777" w:rsidR="00892544" w:rsidRPr="00A52A6B" w:rsidRDefault="00892544" w:rsidP="00892544">
      <w:pPr>
        <w:pStyle w:val="Prrafodelista"/>
        <w:rPr>
          <w:rFonts w:ascii="Palatino Linotype" w:hAnsi="Palatino Linotype"/>
          <w:shd w:val="clear" w:color="auto" w:fill="FFFFFF"/>
          <w:lang w:val="es-ES_tradnl"/>
        </w:rPr>
      </w:pPr>
    </w:p>
    <w:p w14:paraId="47261205"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 xml:space="preserve">El Órgano Garante Nacional no solo interpreta el texto de la Ley General de Transparencia y Acceso a la Información Pública, específicamente lo dispuesto en el artículo 160 de dicho ordenamiento legal, sino que le añade supuestos de procedencia del recurso de inconformidad más allá de los establecidos en la norma, así que no solo hace una interpretación errónea de la norma, sino que llega al absurdo de desconocer el texto normativo, interpretarlo, legislar y aplicarlo a capricho, desconociendo y desdeñando el principio de legalidad que debe de regir en todo momento su actuar y que debe ser piedra angular de sus actuaciones y resoluciones. </w:t>
      </w:r>
    </w:p>
    <w:p w14:paraId="1A8E168C" w14:textId="77777777" w:rsidR="00892544" w:rsidRPr="00A52A6B" w:rsidRDefault="00892544" w:rsidP="00892544">
      <w:pPr>
        <w:pStyle w:val="Prrafodelista"/>
        <w:rPr>
          <w:rFonts w:ascii="Palatino Linotype" w:hAnsi="Palatino Linotype"/>
          <w:shd w:val="clear" w:color="auto" w:fill="FFFFFF"/>
          <w:lang w:val="es-ES_tradnl"/>
        </w:rPr>
      </w:pPr>
    </w:p>
    <w:p w14:paraId="5803AC55"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Ha quedado demostrado irrefutablemente que este Órgano Garante en su resolución y actuaciones en todo momento ha cumplido a cabalidad el principio de legalidad que rige su actuar, es indudable que ha cumplido con los principios de fundamentación y motivación al aplicar el marco normativo que les es aplicable, en aras de garantizar el derecho de acceso a la información pública que constitucionalmente se le ha encomendado garantizar.</w:t>
      </w:r>
    </w:p>
    <w:p w14:paraId="1FF730EB" w14:textId="77777777" w:rsidR="00892544" w:rsidRPr="00A52A6B" w:rsidRDefault="00892544" w:rsidP="00892544">
      <w:pPr>
        <w:pStyle w:val="Prrafodelista"/>
        <w:rPr>
          <w:rFonts w:ascii="Palatino Linotype" w:hAnsi="Palatino Linotype"/>
          <w:shd w:val="clear" w:color="auto" w:fill="FFFFFF"/>
          <w:lang w:val="es-ES_tradnl"/>
        </w:rPr>
      </w:pPr>
    </w:p>
    <w:p w14:paraId="691C5A65"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shd w:val="clear" w:color="auto" w:fill="FFFFFF"/>
          <w:lang w:val="es-ES_tradnl"/>
        </w:rPr>
        <w:t>Por ello, resulta a todas luces una resolución emitida al amparo de su prepotencia al ejercer el poder que se le ha concedido como órgano garante, excediéndose de sus facultades, como si fuera un órgano jurisdiccional con plena jurisdicción, como legislador que puede crear o derogar normas jurídicas, e incluso como vigilante de la constitucionalidad de las normas locales de transparencia.</w:t>
      </w:r>
    </w:p>
    <w:p w14:paraId="7FC4C947" w14:textId="77777777" w:rsidR="00892544" w:rsidRPr="00A52A6B" w:rsidRDefault="00892544" w:rsidP="00892544">
      <w:pPr>
        <w:pStyle w:val="Prrafodelista"/>
        <w:rPr>
          <w:rFonts w:ascii="Palatino Linotype" w:hAnsi="Palatino Linotype"/>
          <w:shd w:val="clear" w:color="auto" w:fill="FFFFFF"/>
          <w:lang w:val="es-ES_tradnl"/>
        </w:rPr>
      </w:pPr>
    </w:p>
    <w:p w14:paraId="3B6A9AE9" w14:textId="77777777" w:rsidR="00892544" w:rsidRPr="00A52A6B" w:rsidRDefault="00892544" w:rsidP="00892544">
      <w:pPr>
        <w:pStyle w:val="Ttulo1"/>
        <w:rPr>
          <w:rFonts w:ascii="Palatino Linotype" w:hAnsi="Palatino Linotype"/>
          <w:b/>
          <w:color w:val="auto"/>
          <w:sz w:val="24"/>
          <w:szCs w:val="24"/>
          <w:shd w:val="clear" w:color="auto" w:fill="FFFFFF"/>
        </w:rPr>
      </w:pPr>
      <w:bookmarkStart w:id="17" w:name="_Toc66304368"/>
      <w:r w:rsidRPr="00A52A6B">
        <w:rPr>
          <w:rFonts w:ascii="Palatino Linotype" w:hAnsi="Palatino Linotype"/>
          <w:b/>
          <w:color w:val="auto"/>
          <w:sz w:val="24"/>
          <w:szCs w:val="24"/>
          <w:shd w:val="clear" w:color="auto" w:fill="FFFFFF"/>
        </w:rPr>
        <w:t xml:space="preserve">CUARTO. Cumplimiento al Recurso de </w:t>
      </w:r>
      <w:r w:rsidR="00EE7169" w:rsidRPr="00A52A6B">
        <w:rPr>
          <w:rFonts w:ascii="Palatino Linotype" w:hAnsi="Palatino Linotype"/>
          <w:b/>
          <w:color w:val="auto"/>
          <w:sz w:val="24"/>
          <w:szCs w:val="24"/>
          <w:shd w:val="clear" w:color="auto" w:fill="FFFFFF"/>
        </w:rPr>
        <w:t>Inconformidad 00148</w:t>
      </w:r>
      <w:r w:rsidRPr="00A52A6B">
        <w:rPr>
          <w:rFonts w:ascii="Palatino Linotype" w:hAnsi="Palatino Linotype"/>
          <w:b/>
          <w:color w:val="auto"/>
          <w:sz w:val="24"/>
          <w:szCs w:val="24"/>
          <w:shd w:val="clear" w:color="auto" w:fill="FFFFFF"/>
        </w:rPr>
        <w:t>/20</w:t>
      </w:r>
      <w:bookmarkEnd w:id="17"/>
    </w:p>
    <w:p w14:paraId="03C5A8B3" w14:textId="77777777" w:rsidR="00892544" w:rsidRPr="00A52A6B" w:rsidRDefault="00892544" w:rsidP="00892544">
      <w:pPr>
        <w:rPr>
          <w:rFonts w:ascii="Palatino Linotype" w:hAnsi="Palatino Linotype"/>
        </w:rPr>
      </w:pPr>
    </w:p>
    <w:p w14:paraId="50E59C84" w14:textId="77777777" w:rsidR="00892544" w:rsidRPr="00A52A6B" w:rsidRDefault="00892544" w:rsidP="00892544">
      <w:pPr>
        <w:pStyle w:val="Prrafodelista"/>
        <w:rPr>
          <w:rFonts w:ascii="Palatino Linotype" w:hAnsi="Palatino Linotype" w:cs="Arial"/>
          <w:color w:val="000000" w:themeColor="text1"/>
          <w:lang w:val="es-ES_tradnl"/>
        </w:rPr>
      </w:pPr>
    </w:p>
    <w:p w14:paraId="13B2445B" w14:textId="77777777" w:rsidR="00892544" w:rsidRPr="00A52A6B" w:rsidRDefault="00892544" w:rsidP="00892544">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shd w:val="clear" w:color="auto" w:fill="FFFFFF"/>
          <w:lang w:val="es-ES_tradnl"/>
        </w:rPr>
      </w:pPr>
      <w:r w:rsidRPr="00A52A6B">
        <w:rPr>
          <w:rFonts w:ascii="Palatino Linotype" w:hAnsi="Palatino Linotype" w:cs="Arial"/>
          <w:color w:val="000000" w:themeColor="text1"/>
          <w:lang w:val="es-ES_tradnl"/>
        </w:rPr>
        <w:t xml:space="preserve">No obstante, lo anterior, </w:t>
      </w:r>
      <w:r w:rsidRPr="00A52A6B">
        <w:rPr>
          <w:rFonts w:ascii="Palatino Linotype" w:hAnsi="Palatino Linotype" w:cs="Arial"/>
          <w:lang w:val="es-ES_tradnl" w:eastAsia="es-MX"/>
        </w:rPr>
        <w:t xml:space="preserve">este Instituto, que además de encargarse de fomentar la transparencia y la rendición de cuentas, a través del contacto cercano y permanente con la sociedad mexiquense; también es respetuoso del principio de legalidad, por lo que atendiendo a lo dispuesto por el artículo 180 de la Ley General de Transparencia y Acceso a la Información Pública que señala que las resoluciones a los recursos de inconformidad emitidas por ese Órgano Garante Nacional son </w:t>
      </w:r>
      <w:r w:rsidRPr="00A52A6B">
        <w:rPr>
          <w:rFonts w:ascii="Palatino Linotype" w:hAnsi="Palatino Linotype" w:cs="Arial"/>
          <w:lang w:val="es-ES_tradnl" w:eastAsia="es-MX"/>
        </w:rPr>
        <w:lastRenderedPageBreak/>
        <w:t>definitivas e inatacables, en respeto a dicha disposición y a las instituciones, aunque no se comparte se acepta y acata la resolución emitida por el INAI.</w:t>
      </w:r>
    </w:p>
    <w:p w14:paraId="38F506B7"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14:paraId="2B0F620A" w14:textId="77777777" w:rsidR="00892544" w:rsidRPr="00A52A6B" w:rsidRDefault="00892544" w:rsidP="00EE7169">
      <w:pPr>
        <w:pStyle w:val="Prrafodelista"/>
        <w:numPr>
          <w:ilvl w:val="0"/>
          <w:numId w:val="1"/>
        </w:numPr>
        <w:spacing w:before="240" w:after="240" w:line="360" w:lineRule="auto"/>
        <w:ind w:left="0" w:firstLine="0"/>
        <w:jc w:val="both"/>
        <w:rPr>
          <w:rFonts w:ascii="Palatino Linotype" w:hAnsi="Palatino Linotype"/>
          <w:lang w:val="es-ES_tradnl"/>
        </w:rPr>
      </w:pPr>
      <w:r w:rsidRPr="00A52A6B">
        <w:rPr>
          <w:rFonts w:ascii="Palatino Linotype" w:hAnsi="Palatino Linotype" w:cs="Arial"/>
          <w:color w:val="000000" w:themeColor="text1"/>
          <w:lang w:val="es-ES_tradnl"/>
        </w:rPr>
        <w:t xml:space="preserve">Por lo que,  de conformidad con lo dispuesto en el artículo 172 de la Ley General de Transparencia se da cumplimiento en los términos que dispone el Órgano Garante Nacional en el </w:t>
      </w:r>
      <w:r w:rsidR="00EE7169" w:rsidRPr="00A52A6B">
        <w:rPr>
          <w:rFonts w:ascii="Palatino Linotype" w:hAnsi="Palatino Linotype" w:cs="Arial"/>
          <w:color w:val="000000" w:themeColor="text1"/>
          <w:lang w:val="es-ES_tradnl"/>
        </w:rPr>
        <w:t>RIA 00148</w:t>
      </w:r>
      <w:r w:rsidRPr="00A52A6B">
        <w:rPr>
          <w:rFonts w:ascii="Palatino Linotype" w:hAnsi="Palatino Linotype" w:cs="Arial"/>
          <w:color w:val="000000" w:themeColor="text1"/>
          <w:lang w:val="es-ES_tradnl"/>
        </w:rPr>
        <w:t>/20, mediante el cual</w:t>
      </w:r>
      <w:r w:rsidRPr="00A52A6B">
        <w:rPr>
          <w:rFonts w:ascii="Palatino Linotype" w:hAnsi="Palatino Linotype"/>
          <w:lang w:val="es-ES_tradnl"/>
        </w:rPr>
        <w:t xml:space="preserve"> estim</w:t>
      </w:r>
      <w:r w:rsidR="007A12FF" w:rsidRPr="00A52A6B">
        <w:rPr>
          <w:rFonts w:ascii="Palatino Linotype" w:hAnsi="Palatino Linotype"/>
          <w:lang w:val="es-ES_tradnl"/>
        </w:rPr>
        <w:t>ó</w:t>
      </w:r>
      <w:r w:rsidRPr="00A52A6B">
        <w:rPr>
          <w:rFonts w:ascii="Palatino Linotype" w:hAnsi="Palatino Linotype"/>
          <w:lang w:val="es-ES_tradnl"/>
        </w:rPr>
        <w:t xml:space="preserve"> procedente </w:t>
      </w:r>
      <w:r w:rsidRPr="00A52A6B">
        <w:rPr>
          <w:rFonts w:ascii="Palatino Linotype" w:hAnsi="Palatino Linotype"/>
          <w:i/>
          <w:lang w:val="es-ES_tradnl"/>
        </w:rPr>
        <w:t xml:space="preserve">… </w:t>
      </w:r>
      <w:r w:rsidRPr="00A52A6B">
        <w:rPr>
          <w:rFonts w:ascii="Palatino Linotype" w:hAnsi="Palatino Linotype"/>
          <w:b/>
          <w:lang w:val="es-ES_tradnl"/>
        </w:rPr>
        <w:t>REVOCAR</w:t>
      </w:r>
      <w:r w:rsidRPr="00A52A6B">
        <w:rPr>
          <w:rFonts w:ascii="Palatino Linotype" w:hAnsi="Palatino Linotype"/>
          <w:lang w:val="es-ES_tradnl"/>
        </w:rPr>
        <w:t xml:space="preserve"> la resolución del Instituto de Transparencia, Acceso a la Información Pública y Protección de Datos Personales</w:t>
      </w:r>
      <w:r w:rsidRPr="00A52A6B">
        <w:rPr>
          <w:rFonts w:ascii="Palatino Linotype" w:hAnsi="Palatino Linotype"/>
          <w:spacing w:val="-8"/>
          <w:lang w:val="es-ES_tradnl"/>
        </w:rPr>
        <w:t xml:space="preserve"> </w:t>
      </w:r>
      <w:r w:rsidRPr="00A52A6B">
        <w:rPr>
          <w:rFonts w:ascii="Palatino Linotype" w:hAnsi="Palatino Linotype"/>
          <w:lang w:val="es-ES_tradnl"/>
        </w:rPr>
        <w:t>del</w:t>
      </w:r>
      <w:r w:rsidRPr="00A52A6B">
        <w:rPr>
          <w:rFonts w:ascii="Palatino Linotype" w:hAnsi="Palatino Linotype"/>
          <w:spacing w:val="-3"/>
          <w:lang w:val="es-ES_tradnl"/>
        </w:rPr>
        <w:t xml:space="preserve"> </w:t>
      </w:r>
      <w:r w:rsidRPr="00A52A6B">
        <w:rPr>
          <w:rFonts w:ascii="Palatino Linotype" w:hAnsi="Palatino Linotype"/>
          <w:lang w:val="es-ES_tradnl"/>
        </w:rPr>
        <w:t>Estado</w:t>
      </w:r>
      <w:r w:rsidRPr="00A52A6B">
        <w:rPr>
          <w:rFonts w:ascii="Palatino Linotype" w:hAnsi="Palatino Linotype"/>
          <w:spacing w:val="-4"/>
          <w:lang w:val="es-ES_tradnl"/>
        </w:rPr>
        <w:t xml:space="preserve"> </w:t>
      </w:r>
      <w:r w:rsidRPr="00A52A6B">
        <w:rPr>
          <w:rFonts w:ascii="Palatino Linotype" w:hAnsi="Palatino Linotype"/>
          <w:lang w:val="es-ES_tradnl"/>
        </w:rPr>
        <w:t>de</w:t>
      </w:r>
      <w:r w:rsidRPr="00A52A6B">
        <w:rPr>
          <w:rFonts w:ascii="Palatino Linotype" w:hAnsi="Palatino Linotype"/>
          <w:spacing w:val="-7"/>
          <w:lang w:val="es-ES_tradnl"/>
        </w:rPr>
        <w:t xml:space="preserve"> </w:t>
      </w:r>
      <w:r w:rsidRPr="00A52A6B">
        <w:rPr>
          <w:rFonts w:ascii="Palatino Linotype" w:hAnsi="Palatino Linotype"/>
          <w:lang w:val="es-ES_tradnl"/>
        </w:rPr>
        <w:t>México</w:t>
      </w:r>
      <w:r w:rsidRPr="00A52A6B">
        <w:rPr>
          <w:rFonts w:ascii="Palatino Linotype" w:hAnsi="Palatino Linotype"/>
          <w:spacing w:val="-6"/>
          <w:lang w:val="es-ES_tradnl"/>
        </w:rPr>
        <w:t xml:space="preserve"> </w:t>
      </w:r>
      <w:r w:rsidRPr="00A52A6B">
        <w:rPr>
          <w:rFonts w:ascii="Palatino Linotype" w:hAnsi="Palatino Linotype"/>
          <w:lang w:val="es-ES_tradnl"/>
        </w:rPr>
        <w:t>y</w:t>
      </w:r>
      <w:r w:rsidRPr="00A52A6B">
        <w:rPr>
          <w:rFonts w:ascii="Palatino Linotype" w:hAnsi="Palatino Linotype"/>
          <w:spacing w:val="-7"/>
          <w:lang w:val="es-ES_tradnl"/>
        </w:rPr>
        <w:t xml:space="preserve"> </w:t>
      </w:r>
      <w:r w:rsidRPr="00A52A6B">
        <w:rPr>
          <w:rFonts w:ascii="Palatino Linotype" w:hAnsi="Palatino Linotype"/>
          <w:lang w:val="es-ES_tradnl"/>
        </w:rPr>
        <w:t>Municipios,</w:t>
      </w:r>
      <w:r w:rsidRPr="00A52A6B">
        <w:rPr>
          <w:rFonts w:ascii="Palatino Linotype" w:hAnsi="Palatino Linotype"/>
          <w:spacing w:val="-4"/>
          <w:lang w:val="es-ES_tradnl"/>
        </w:rPr>
        <w:t xml:space="preserve"> </w:t>
      </w:r>
      <w:r w:rsidRPr="00A52A6B">
        <w:rPr>
          <w:rFonts w:ascii="Palatino Linotype" w:hAnsi="Palatino Linotype"/>
          <w:lang w:val="es-ES_tradnl"/>
        </w:rPr>
        <w:t>y</w:t>
      </w:r>
      <w:r w:rsidRPr="00A52A6B">
        <w:rPr>
          <w:rFonts w:ascii="Palatino Linotype" w:hAnsi="Palatino Linotype"/>
          <w:spacing w:val="-7"/>
          <w:lang w:val="es-ES_tradnl"/>
        </w:rPr>
        <w:t xml:space="preserve"> </w:t>
      </w:r>
      <w:r w:rsidRPr="00A52A6B">
        <w:rPr>
          <w:rFonts w:ascii="Palatino Linotype" w:hAnsi="Palatino Linotype"/>
          <w:lang w:val="es-ES_tradnl"/>
        </w:rPr>
        <w:t>se</w:t>
      </w:r>
      <w:r w:rsidRPr="00A52A6B">
        <w:rPr>
          <w:rFonts w:ascii="Palatino Linotype" w:hAnsi="Palatino Linotype"/>
          <w:spacing w:val="-6"/>
          <w:lang w:val="es-ES_tradnl"/>
        </w:rPr>
        <w:t xml:space="preserve"> </w:t>
      </w:r>
      <w:r w:rsidRPr="00A52A6B">
        <w:rPr>
          <w:rFonts w:ascii="Palatino Linotype" w:hAnsi="Palatino Linotype"/>
          <w:b/>
          <w:lang w:val="es-ES_tradnl"/>
        </w:rPr>
        <w:t>instruye</w:t>
      </w:r>
      <w:r w:rsidRPr="00A52A6B">
        <w:rPr>
          <w:rFonts w:ascii="Palatino Linotype" w:hAnsi="Palatino Linotype"/>
          <w:b/>
          <w:spacing w:val="-5"/>
          <w:lang w:val="es-ES_tradnl"/>
        </w:rPr>
        <w:t xml:space="preserve"> </w:t>
      </w:r>
      <w:r w:rsidRPr="00A52A6B">
        <w:rPr>
          <w:rFonts w:ascii="Palatino Linotype" w:hAnsi="Palatino Linotype"/>
          <w:lang w:val="es-ES_tradnl"/>
        </w:rPr>
        <w:t>a</w:t>
      </w:r>
      <w:r w:rsidRPr="00A52A6B">
        <w:rPr>
          <w:rFonts w:ascii="Palatino Linotype" w:hAnsi="Palatino Linotype"/>
          <w:spacing w:val="-7"/>
          <w:lang w:val="es-ES_tradnl"/>
        </w:rPr>
        <w:t xml:space="preserve"> </w:t>
      </w:r>
      <w:r w:rsidRPr="00A52A6B">
        <w:rPr>
          <w:rFonts w:ascii="Palatino Linotype" w:hAnsi="Palatino Linotype"/>
          <w:lang w:val="es-ES_tradnl"/>
        </w:rPr>
        <w:t>efecto</w:t>
      </w:r>
      <w:r w:rsidRPr="00A52A6B">
        <w:rPr>
          <w:rFonts w:ascii="Palatino Linotype" w:hAnsi="Palatino Linotype"/>
          <w:spacing w:val="-6"/>
          <w:lang w:val="es-ES_tradnl"/>
        </w:rPr>
        <w:t xml:space="preserve"> </w:t>
      </w:r>
      <w:r w:rsidRPr="00A52A6B">
        <w:rPr>
          <w:rFonts w:ascii="Palatino Linotype" w:hAnsi="Palatino Linotype"/>
          <w:lang w:val="es-ES_tradnl"/>
        </w:rPr>
        <w:t>de</w:t>
      </w:r>
      <w:r w:rsidRPr="00A52A6B">
        <w:rPr>
          <w:rFonts w:ascii="Palatino Linotype" w:hAnsi="Palatino Linotype"/>
          <w:spacing w:val="-7"/>
          <w:lang w:val="es-ES_tradnl"/>
        </w:rPr>
        <w:t xml:space="preserve"> </w:t>
      </w:r>
      <w:r w:rsidRPr="00A52A6B">
        <w:rPr>
          <w:rFonts w:ascii="Palatino Linotype" w:hAnsi="Palatino Linotype"/>
          <w:lang w:val="es-ES_tradnl"/>
        </w:rPr>
        <w:t>que</w:t>
      </w:r>
      <w:r w:rsidRPr="00A52A6B">
        <w:rPr>
          <w:rFonts w:ascii="Palatino Linotype" w:hAnsi="Palatino Linotype"/>
          <w:spacing w:val="-6"/>
          <w:lang w:val="es-ES_tradnl"/>
        </w:rPr>
        <w:t xml:space="preserve"> </w:t>
      </w:r>
      <w:r w:rsidRPr="00A52A6B">
        <w:rPr>
          <w:rFonts w:ascii="Palatino Linotype" w:hAnsi="Palatino Linotype"/>
          <w:lang w:val="es-ES_tradnl"/>
        </w:rPr>
        <w:t xml:space="preserve">emita una nueva resolución en la que </w:t>
      </w:r>
      <w:r w:rsidRPr="00A52A6B">
        <w:rPr>
          <w:rFonts w:ascii="Palatino Linotype" w:hAnsi="Palatino Linotype"/>
          <w:b/>
          <w:lang w:val="es-ES_tradnl"/>
        </w:rPr>
        <w:t>instruya al Ayuntamiento de Ixtapan de la Sal a realizar la entrega</w:t>
      </w:r>
      <w:r w:rsidR="00EE7169" w:rsidRPr="00A52A6B">
        <w:rPr>
          <w:rFonts w:ascii="Palatino Linotype" w:hAnsi="Palatino Linotype"/>
          <w:b/>
          <w:lang w:val="es-ES_tradnl"/>
        </w:rPr>
        <w:t xml:space="preserve"> de la siguiente información: </w:t>
      </w:r>
      <w:r w:rsidRPr="00A52A6B">
        <w:rPr>
          <w:rFonts w:ascii="Palatino Linotype" w:hAnsi="Palatino Linotype"/>
          <w:i/>
          <w:lang w:val="es-MX"/>
        </w:rPr>
        <w:t xml:space="preserve"> </w:t>
      </w:r>
      <w:r w:rsidR="00EE7169" w:rsidRPr="00A52A6B">
        <w:rPr>
          <w:rFonts w:ascii="Palatino Linotype" w:hAnsi="Palatino Linotype"/>
          <w:i/>
          <w:lang w:val="es-MX"/>
        </w:rPr>
        <w:t>“</w:t>
      </w:r>
      <w:r w:rsidR="00EE7169" w:rsidRPr="00A52A6B">
        <w:rPr>
          <w:rFonts w:ascii="Palatino Linotype" w:hAnsi="Palatino Linotype"/>
          <w:b/>
          <w:i/>
          <w:lang w:val="es-ES_tradnl"/>
        </w:rPr>
        <w:t>1.</w:t>
      </w:r>
      <w:r w:rsidR="00EE7169" w:rsidRPr="00A52A6B">
        <w:rPr>
          <w:rFonts w:ascii="Palatino Linotype" w:hAnsi="Palatino Linotype"/>
          <w:i/>
          <w:lang w:val="es-ES_tradnl"/>
        </w:rPr>
        <w:t xml:space="preserve"> </w:t>
      </w:r>
      <w:r w:rsidR="00EE7169" w:rsidRPr="00A52A6B">
        <w:rPr>
          <w:rFonts w:ascii="Palatino Linotype" w:hAnsi="Palatino Linotype"/>
          <w:i/>
        </w:rPr>
        <w:t xml:space="preserve">La </w:t>
      </w:r>
      <w:proofErr w:type="spellStart"/>
      <w:r w:rsidR="00EE7169" w:rsidRPr="00A52A6B">
        <w:rPr>
          <w:rFonts w:ascii="Palatino Linotype" w:hAnsi="Palatino Linotype"/>
          <w:i/>
        </w:rPr>
        <w:t>información</w:t>
      </w:r>
      <w:proofErr w:type="spellEnd"/>
      <w:r w:rsidR="00EE7169" w:rsidRPr="00A52A6B">
        <w:rPr>
          <w:rFonts w:ascii="Palatino Linotype" w:hAnsi="Palatino Linotype"/>
          <w:i/>
        </w:rPr>
        <w:t xml:space="preserve"> de los programas de subsidios, </w:t>
      </w:r>
      <w:proofErr w:type="spellStart"/>
      <w:r w:rsidR="00EE7169" w:rsidRPr="00A52A6B">
        <w:rPr>
          <w:rFonts w:ascii="Palatino Linotype" w:hAnsi="Palatino Linotype"/>
          <w:i/>
        </w:rPr>
        <w:t>estímulos</w:t>
      </w:r>
      <w:proofErr w:type="spellEnd"/>
      <w:r w:rsidR="00EE7169" w:rsidRPr="00A52A6B">
        <w:rPr>
          <w:rFonts w:ascii="Palatino Linotype" w:hAnsi="Palatino Linotype"/>
          <w:i/>
        </w:rPr>
        <w:t xml:space="preserve"> y apoyos del ayuntamiento otorgados por la </w:t>
      </w:r>
      <w:proofErr w:type="spellStart"/>
      <w:r w:rsidR="00EE7169" w:rsidRPr="00A52A6B">
        <w:rPr>
          <w:rFonts w:ascii="Palatino Linotype" w:hAnsi="Palatino Linotype"/>
          <w:i/>
        </w:rPr>
        <w:t>Dirección</w:t>
      </w:r>
      <w:proofErr w:type="spellEnd"/>
      <w:r w:rsidR="00EE7169" w:rsidRPr="00A52A6B">
        <w:rPr>
          <w:rFonts w:ascii="Palatino Linotype" w:hAnsi="Palatino Linotype"/>
          <w:i/>
        </w:rPr>
        <w:t xml:space="preserve"> de Desarrollo Social y/o por cualquier dependencia del sector ayuntamiento, así como la </w:t>
      </w:r>
      <w:proofErr w:type="spellStart"/>
      <w:r w:rsidR="00EE7169" w:rsidRPr="00A52A6B">
        <w:rPr>
          <w:rFonts w:ascii="Palatino Linotype" w:hAnsi="Palatino Linotype"/>
          <w:i/>
        </w:rPr>
        <w:t>información</w:t>
      </w:r>
      <w:proofErr w:type="spellEnd"/>
      <w:r w:rsidR="00EE7169" w:rsidRPr="00A52A6B">
        <w:rPr>
          <w:rFonts w:ascii="Palatino Linotype" w:hAnsi="Palatino Linotype"/>
          <w:i/>
        </w:rPr>
        <w:t xml:space="preserve"> de los programas de subsidios, </w:t>
      </w:r>
      <w:proofErr w:type="spellStart"/>
      <w:r w:rsidR="00EE7169" w:rsidRPr="00A52A6B">
        <w:rPr>
          <w:rFonts w:ascii="Palatino Linotype" w:hAnsi="Palatino Linotype"/>
          <w:i/>
        </w:rPr>
        <w:t>estímulos</w:t>
      </w:r>
      <w:proofErr w:type="spellEnd"/>
      <w:r w:rsidR="00EE7169" w:rsidRPr="00A52A6B">
        <w:rPr>
          <w:rFonts w:ascii="Palatino Linotype" w:hAnsi="Palatino Linotype"/>
          <w:i/>
        </w:rPr>
        <w:t xml:space="preserve"> y apoyos del sistema municipal DIF, durante el </w:t>
      </w:r>
      <w:proofErr w:type="spellStart"/>
      <w:r w:rsidR="00EE7169" w:rsidRPr="00A52A6B">
        <w:rPr>
          <w:rFonts w:ascii="Palatino Linotype" w:hAnsi="Palatino Linotype"/>
          <w:i/>
        </w:rPr>
        <w:t>año</w:t>
      </w:r>
      <w:proofErr w:type="spellEnd"/>
      <w:r w:rsidR="00EE7169" w:rsidRPr="00A52A6B">
        <w:rPr>
          <w:rFonts w:ascii="Palatino Linotype" w:hAnsi="Palatino Linotype"/>
          <w:i/>
        </w:rPr>
        <w:t xml:space="preserve"> dos mil diecinueve, en el que se </w:t>
      </w:r>
      <w:proofErr w:type="spellStart"/>
      <w:r w:rsidR="00EE7169" w:rsidRPr="00A52A6B">
        <w:rPr>
          <w:rFonts w:ascii="Palatino Linotype" w:hAnsi="Palatino Linotype"/>
          <w:i/>
        </w:rPr>
        <w:t>debera</w:t>
      </w:r>
      <w:proofErr w:type="spellEnd"/>
      <w:r w:rsidR="00EE7169" w:rsidRPr="00A52A6B">
        <w:rPr>
          <w:rFonts w:ascii="Palatino Linotype" w:hAnsi="Palatino Linotype"/>
          <w:i/>
        </w:rPr>
        <w:t xml:space="preserve">́ informar respecto de los programas de transferencia, de servicios, de infraestructura social y de subsidio, en los que se </w:t>
      </w:r>
      <w:proofErr w:type="spellStart"/>
      <w:r w:rsidR="00EE7169" w:rsidRPr="00A52A6B">
        <w:rPr>
          <w:rFonts w:ascii="Palatino Linotype" w:hAnsi="Palatino Linotype"/>
          <w:i/>
        </w:rPr>
        <w:t>debera</w:t>
      </w:r>
      <w:proofErr w:type="spellEnd"/>
      <w:r w:rsidR="00EE7169" w:rsidRPr="00A52A6B">
        <w:rPr>
          <w:rFonts w:ascii="Palatino Linotype" w:hAnsi="Palatino Linotype"/>
          <w:i/>
        </w:rPr>
        <w:t xml:space="preserve">́ contener el a) </w:t>
      </w:r>
      <w:proofErr w:type="spellStart"/>
      <w:r w:rsidR="00EE7169" w:rsidRPr="00A52A6B">
        <w:rPr>
          <w:rFonts w:ascii="Palatino Linotype" w:hAnsi="Palatino Linotype"/>
          <w:i/>
        </w:rPr>
        <w:t>área</w:t>
      </w:r>
      <w:proofErr w:type="spellEnd"/>
      <w:r w:rsidR="00EE7169" w:rsidRPr="00A52A6B">
        <w:rPr>
          <w:rFonts w:ascii="Palatino Linotype" w:hAnsi="Palatino Linotype"/>
          <w:i/>
        </w:rPr>
        <w:t xml:space="preserve">; b) </w:t>
      </w:r>
      <w:proofErr w:type="spellStart"/>
      <w:r w:rsidR="00EE7169" w:rsidRPr="00A52A6B">
        <w:rPr>
          <w:rFonts w:ascii="Palatino Linotype" w:hAnsi="Palatino Linotype"/>
          <w:i/>
        </w:rPr>
        <w:t>denominación</w:t>
      </w:r>
      <w:proofErr w:type="spellEnd"/>
      <w:r w:rsidR="00EE7169" w:rsidRPr="00A52A6B">
        <w:rPr>
          <w:rFonts w:ascii="Palatino Linotype" w:hAnsi="Palatino Linotype"/>
          <w:i/>
        </w:rPr>
        <w:t xml:space="preserve"> del programa; c) periodo de vigencia; d) </w:t>
      </w:r>
      <w:proofErr w:type="spellStart"/>
      <w:r w:rsidR="00EE7169" w:rsidRPr="00A52A6B">
        <w:rPr>
          <w:rFonts w:ascii="Palatino Linotype" w:hAnsi="Palatino Linotype"/>
          <w:i/>
        </w:rPr>
        <w:t>diseño</w:t>
      </w:r>
      <w:proofErr w:type="spellEnd"/>
      <w:r w:rsidR="00EE7169" w:rsidRPr="00A52A6B">
        <w:rPr>
          <w:rFonts w:ascii="Palatino Linotype" w:hAnsi="Palatino Linotype"/>
          <w:i/>
        </w:rPr>
        <w:t xml:space="preserve">, objetivos y alcances; e) metas </w:t>
      </w:r>
      <w:proofErr w:type="spellStart"/>
      <w:r w:rsidR="00EE7169" w:rsidRPr="00A52A6B">
        <w:rPr>
          <w:rFonts w:ascii="Palatino Linotype" w:hAnsi="Palatino Linotype"/>
          <w:i/>
        </w:rPr>
        <w:t>físicas</w:t>
      </w:r>
      <w:proofErr w:type="spellEnd"/>
      <w:r w:rsidR="00EE7169" w:rsidRPr="00A52A6B">
        <w:rPr>
          <w:rFonts w:ascii="Palatino Linotype" w:hAnsi="Palatino Linotype"/>
          <w:i/>
        </w:rPr>
        <w:t xml:space="preserve">; f) </w:t>
      </w:r>
      <w:proofErr w:type="spellStart"/>
      <w:r w:rsidR="00EE7169" w:rsidRPr="00A52A6B">
        <w:rPr>
          <w:rFonts w:ascii="Palatino Linotype" w:hAnsi="Palatino Linotype"/>
          <w:i/>
        </w:rPr>
        <w:t>población</w:t>
      </w:r>
      <w:proofErr w:type="spellEnd"/>
      <w:r w:rsidR="00EE7169" w:rsidRPr="00A52A6B">
        <w:rPr>
          <w:rFonts w:ascii="Palatino Linotype" w:hAnsi="Palatino Linotype"/>
          <w:i/>
        </w:rPr>
        <w:t xml:space="preserve"> beneficiada estimada; g) monto aprobado, modificado y ejercido, </w:t>
      </w:r>
      <w:proofErr w:type="spellStart"/>
      <w:r w:rsidR="00EE7169" w:rsidRPr="00A52A6B">
        <w:rPr>
          <w:rFonts w:ascii="Palatino Linotype" w:hAnsi="Palatino Linotype"/>
          <w:i/>
        </w:rPr>
        <w:t>asi</w:t>
      </w:r>
      <w:proofErr w:type="spellEnd"/>
      <w:r w:rsidR="00EE7169" w:rsidRPr="00A52A6B">
        <w:rPr>
          <w:rFonts w:ascii="Palatino Linotype" w:hAnsi="Palatino Linotype"/>
          <w:i/>
        </w:rPr>
        <w:t xml:space="preserve">́ como los calendarios de su </w:t>
      </w:r>
      <w:proofErr w:type="spellStart"/>
      <w:r w:rsidR="00EE7169" w:rsidRPr="00A52A6B">
        <w:rPr>
          <w:rFonts w:ascii="Palatino Linotype" w:hAnsi="Palatino Linotype"/>
          <w:i/>
        </w:rPr>
        <w:t>programación</w:t>
      </w:r>
      <w:proofErr w:type="spellEnd"/>
      <w:r w:rsidR="00EE7169" w:rsidRPr="00A52A6B">
        <w:rPr>
          <w:rFonts w:ascii="Palatino Linotype" w:hAnsi="Palatino Linotype"/>
          <w:i/>
        </w:rPr>
        <w:t xml:space="preserve"> presupuestal; h) requisitos y procedimientos de acceso; i) procedimiento de queja o inconformidad ciudadana; j) mecanismos de exigibilidad; k) mecanismos e informes de </w:t>
      </w:r>
      <w:proofErr w:type="spellStart"/>
      <w:r w:rsidR="00EE7169" w:rsidRPr="00A52A6B">
        <w:rPr>
          <w:rFonts w:ascii="Palatino Linotype" w:hAnsi="Palatino Linotype"/>
          <w:i/>
        </w:rPr>
        <w:t>evaluación</w:t>
      </w:r>
      <w:proofErr w:type="spellEnd"/>
      <w:r w:rsidR="00EE7169" w:rsidRPr="00A52A6B">
        <w:rPr>
          <w:rFonts w:ascii="Palatino Linotype" w:hAnsi="Palatino Linotype"/>
          <w:i/>
        </w:rPr>
        <w:t xml:space="preserve"> y seguimiento de recomendaciones; l) indicadores con nombre, </w:t>
      </w:r>
      <w:proofErr w:type="spellStart"/>
      <w:r w:rsidR="00EE7169" w:rsidRPr="00A52A6B">
        <w:rPr>
          <w:rFonts w:ascii="Palatino Linotype" w:hAnsi="Palatino Linotype"/>
          <w:i/>
        </w:rPr>
        <w:t>definición</w:t>
      </w:r>
      <w:proofErr w:type="spellEnd"/>
      <w:r w:rsidR="00EE7169" w:rsidRPr="00A52A6B">
        <w:rPr>
          <w:rFonts w:ascii="Palatino Linotype" w:hAnsi="Palatino Linotype"/>
          <w:i/>
        </w:rPr>
        <w:t xml:space="preserve">, método de </w:t>
      </w:r>
      <w:proofErr w:type="spellStart"/>
      <w:r w:rsidR="00EE7169" w:rsidRPr="00A52A6B">
        <w:rPr>
          <w:rFonts w:ascii="Palatino Linotype" w:hAnsi="Palatino Linotype"/>
          <w:i/>
        </w:rPr>
        <w:t>cálculo</w:t>
      </w:r>
      <w:proofErr w:type="spellEnd"/>
      <w:r w:rsidR="00EE7169" w:rsidRPr="00A52A6B">
        <w:rPr>
          <w:rFonts w:ascii="Palatino Linotype" w:hAnsi="Palatino Linotype"/>
          <w:i/>
        </w:rPr>
        <w:t xml:space="preserve">, unidad de medida; </w:t>
      </w:r>
      <w:proofErr w:type="spellStart"/>
      <w:r w:rsidR="00EE7169" w:rsidRPr="00A52A6B">
        <w:rPr>
          <w:rFonts w:ascii="Palatino Linotype" w:hAnsi="Palatino Linotype"/>
          <w:i/>
        </w:rPr>
        <w:t>dimensión</w:t>
      </w:r>
      <w:proofErr w:type="spellEnd"/>
      <w:r w:rsidR="00EE7169" w:rsidRPr="00A52A6B">
        <w:rPr>
          <w:rFonts w:ascii="Palatino Linotype" w:hAnsi="Palatino Linotype"/>
          <w:i/>
        </w:rPr>
        <w:t xml:space="preserve">, frecuencia de </w:t>
      </w:r>
      <w:proofErr w:type="spellStart"/>
      <w:r w:rsidR="00EE7169" w:rsidRPr="00A52A6B">
        <w:rPr>
          <w:rFonts w:ascii="Palatino Linotype" w:hAnsi="Palatino Linotype"/>
          <w:i/>
        </w:rPr>
        <w:t>medición</w:t>
      </w:r>
      <w:proofErr w:type="spellEnd"/>
      <w:r w:rsidR="00EE7169" w:rsidRPr="00A52A6B">
        <w:rPr>
          <w:rFonts w:ascii="Palatino Linotype" w:hAnsi="Palatino Linotype"/>
          <w:i/>
        </w:rPr>
        <w:t xml:space="preserve">, nombre de las bases de </w:t>
      </w:r>
      <w:r w:rsidR="00EE7169" w:rsidRPr="00A52A6B">
        <w:rPr>
          <w:rFonts w:ascii="Palatino Linotype" w:hAnsi="Palatino Linotype"/>
          <w:i/>
        </w:rPr>
        <w:lastRenderedPageBreak/>
        <w:t xml:space="preserve">datos utilizadas para su </w:t>
      </w:r>
      <w:proofErr w:type="spellStart"/>
      <w:r w:rsidR="00EE7169" w:rsidRPr="00A52A6B">
        <w:rPr>
          <w:rFonts w:ascii="Palatino Linotype" w:hAnsi="Palatino Linotype"/>
          <w:i/>
        </w:rPr>
        <w:t>cálculo</w:t>
      </w:r>
      <w:proofErr w:type="spellEnd"/>
      <w:r w:rsidR="00EE7169" w:rsidRPr="00A52A6B">
        <w:rPr>
          <w:rFonts w:ascii="Palatino Linotype" w:hAnsi="Palatino Linotype"/>
          <w:i/>
        </w:rPr>
        <w:t xml:space="preserve">; m)formas de </w:t>
      </w:r>
      <w:proofErr w:type="spellStart"/>
      <w:r w:rsidR="00EE7169" w:rsidRPr="00A52A6B">
        <w:rPr>
          <w:rFonts w:ascii="Palatino Linotype" w:hAnsi="Palatino Linotype"/>
          <w:i/>
        </w:rPr>
        <w:t>participación</w:t>
      </w:r>
      <w:proofErr w:type="spellEnd"/>
      <w:r w:rsidR="00EE7169" w:rsidRPr="00A52A6B">
        <w:rPr>
          <w:rFonts w:ascii="Palatino Linotype" w:hAnsi="Palatino Linotype"/>
          <w:i/>
        </w:rPr>
        <w:t xml:space="preserve"> social; n) </w:t>
      </w:r>
      <w:proofErr w:type="spellStart"/>
      <w:r w:rsidR="00EE7169" w:rsidRPr="00A52A6B">
        <w:rPr>
          <w:rFonts w:ascii="Palatino Linotype" w:hAnsi="Palatino Linotype"/>
          <w:i/>
        </w:rPr>
        <w:t>articulación</w:t>
      </w:r>
      <w:proofErr w:type="spellEnd"/>
      <w:r w:rsidR="00EE7169" w:rsidRPr="00A52A6B">
        <w:rPr>
          <w:rFonts w:ascii="Palatino Linotype" w:hAnsi="Palatino Linotype"/>
          <w:i/>
        </w:rPr>
        <w:t xml:space="preserve"> con otros programas sociales; ñ) </w:t>
      </w:r>
      <w:proofErr w:type="spellStart"/>
      <w:r w:rsidR="00EE7169" w:rsidRPr="00A52A6B">
        <w:rPr>
          <w:rFonts w:ascii="Palatino Linotype" w:hAnsi="Palatino Linotype"/>
          <w:i/>
        </w:rPr>
        <w:t>vínculo</w:t>
      </w:r>
      <w:proofErr w:type="spellEnd"/>
      <w:r w:rsidR="00EE7169" w:rsidRPr="00A52A6B">
        <w:rPr>
          <w:rFonts w:ascii="Palatino Linotype" w:hAnsi="Palatino Linotype"/>
          <w:i/>
        </w:rPr>
        <w:t xml:space="preserve"> a las reglas de </w:t>
      </w:r>
      <w:proofErr w:type="spellStart"/>
      <w:r w:rsidR="00EE7169" w:rsidRPr="00A52A6B">
        <w:rPr>
          <w:rFonts w:ascii="Palatino Linotype" w:hAnsi="Palatino Linotype"/>
          <w:i/>
        </w:rPr>
        <w:t>operación</w:t>
      </w:r>
      <w:proofErr w:type="spellEnd"/>
      <w:r w:rsidR="00EE7169" w:rsidRPr="00A52A6B">
        <w:rPr>
          <w:rFonts w:ascii="Palatino Linotype" w:hAnsi="Palatino Linotype"/>
          <w:i/>
        </w:rPr>
        <w:t xml:space="preserve"> o documento equivalente; o) informes </w:t>
      </w:r>
      <w:proofErr w:type="spellStart"/>
      <w:r w:rsidR="00EE7169" w:rsidRPr="00A52A6B">
        <w:rPr>
          <w:rFonts w:ascii="Palatino Linotype" w:hAnsi="Palatino Linotype"/>
          <w:i/>
        </w:rPr>
        <w:t>periódicos</w:t>
      </w:r>
      <w:proofErr w:type="spellEnd"/>
      <w:r w:rsidR="00EE7169" w:rsidRPr="00A52A6B">
        <w:rPr>
          <w:rFonts w:ascii="Palatino Linotype" w:hAnsi="Palatino Linotype"/>
          <w:i/>
        </w:rPr>
        <w:t xml:space="preserve"> sobre la </w:t>
      </w:r>
      <w:proofErr w:type="spellStart"/>
      <w:r w:rsidR="00EE7169" w:rsidRPr="00A52A6B">
        <w:rPr>
          <w:rFonts w:ascii="Palatino Linotype" w:hAnsi="Palatino Linotype"/>
          <w:i/>
        </w:rPr>
        <w:t>ejecución</w:t>
      </w:r>
      <w:proofErr w:type="spellEnd"/>
      <w:r w:rsidR="00EE7169" w:rsidRPr="00A52A6B">
        <w:rPr>
          <w:rFonts w:ascii="Palatino Linotype" w:hAnsi="Palatino Linotype"/>
          <w:i/>
        </w:rPr>
        <w:t xml:space="preserve"> y los resultados de las evaluaciones realizadas; y p) </w:t>
      </w:r>
      <w:proofErr w:type="spellStart"/>
      <w:r w:rsidR="00EE7169" w:rsidRPr="00A52A6B">
        <w:rPr>
          <w:rFonts w:ascii="Palatino Linotype" w:hAnsi="Palatino Linotype"/>
          <w:i/>
        </w:rPr>
        <w:t>padrón</w:t>
      </w:r>
      <w:proofErr w:type="spellEnd"/>
      <w:r w:rsidR="00EE7169" w:rsidRPr="00A52A6B">
        <w:rPr>
          <w:rFonts w:ascii="Palatino Linotype" w:hAnsi="Palatino Linotype"/>
          <w:i/>
        </w:rPr>
        <w:t xml:space="preserve"> de beneficiarios mismo que </w:t>
      </w:r>
      <w:proofErr w:type="spellStart"/>
      <w:r w:rsidR="00EE7169" w:rsidRPr="00A52A6B">
        <w:rPr>
          <w:rFonts w:ascii="Palatino Linotype" w:hAnsi="Palatino Linotype"/>
          <w:i/>
        </w:rPr>
        <w:t>debera</w:t>
      </w:r>
      <w:proofErr w:type="spellEnd"/>
      <w:r w:rsidR="00EE7169" w:rsidRPr="00A52A6B">
        <w:rPr>
          <w:rFonts w:ascii="Palatino Linotype" w:hAnsi="Palatino Linotype"/>
          <w:i/>
        </w:rPr>
        <w:t xml:space="preserve">́ contener los siguientes datos: nombre de la persona </w:t>
      </w:r>
      <w:proofErr w:type="spellStart"/>
      <w:r w:rsidR="00EE7169" w:rsidRPr="00A52A6B">
        <w:rPr>
          <w:rFonts w:ascii="Palatino Linotype" w:hAnsi="Palatino Linotype"/>
          <w:i/>
        </w:rPr>
        <w:t>física</w:t>
      </w:r>
      <w:proofErr w:type="spellEnd"/>
      <w:r w:rsidR="00EE7169" w:rsidRPr="00A52A6B">
        <w:rPr>
          <w:rFonts w:ascii="Palatino Linotype" w:hAnsi="Palatino Linotype"/>
          <w:i/>
        </w:rPr>
        <w:t xml:space="preserve"> o </w:t>
      </w:r>
      <w:proofErr w:type="spellStart"/>
      <w:r w:rsidR="00EE7169" w:rsidRPr="00A52A6B">
        <w:rPr>
          <w:rFonts w:ascii="Palatino Linotype" w:hAnsi="Palatino Linotype"/>
          <w:i/>
        </w:rPr>
        <w:t>denominación</w:t>
      </w:r>
      <w:proofErr w:type="spellEnd"/>
      <w:r w:rsidR="00EE7169" w:rsidRPr="00A52A6B">
        <w:rPr>
          <w:rFonts w:ascii="Palatino Linotype" w:hAnsi="Palatino Linotype"/>
          <w:i/>
        </w:rPr>
        <w:t xml:space="preserve"> social de las personas </w:t>
      </w:r>
      <w:proofErr w:type="spellStart"/>
      <w:r w:rsidR="00EE7169" w:rsidRPr="00A52A6B">
        <w:rPr>
          <w:rFonts w:ascii="Palatino Linotype" w:hAnsi="Palatino Linotype"/>
          <w:i/>
        </w:rPr>
        <w:t>jurídicas</w:t>
      </w:r>
      <w:proofErr w:type="spellEnd"/>
      <w:r w:rsidR="00EE7169" w:rsidRPr="00A52A6B">
        <w:rPr>
          <w:rFonts w:ascii="Palatino Linotype" w:hAnsi="Palatino Linotype"/>
          <w:i/>
        </w:rPr>
        <w:t xml:space="preserve"> colectivas beneficiadas, el monto, recurso, beneficio o apoyo otorgado para cada una de ellas, unidad territorial, en su caso, edad y sexo, constituye información pública de oficio conforme al artículo 92, fracción XIV de la Ley de Transparencia y Acceso a la Información Pública del Estado de México y Municipios</w:t>
      </w:r>
      <w:r w:rsidR="00EE7169" w:rsidRPr="00A52A6B">
        <w:rPr>
          <w:rFonts w:ascii="Palatino Linotype" w:hAnsi="Palatino Linotype"/>
          <w:b/>
          <w:i/>
        </w:rPr>
        <w:t>; 2.</w:t>
      </w:r>
      <w:r w:rsidR="00EE7169" w:rsidRPr="00A52A6B">
        <w:rPr>
          <w:rFonts w:ascii="Palatino Linotype" w:hAnsi="Palatino Linotype"/>
          <w:i/>
        </w:rPr>
        <w:t xml:space="preserve"> La </w:t>
      </w:r>
      <w:proofErr w:type="spellStart"/>
      <w:r w:rsidR="00EE7169" w:rsidRPr="00A52A6B">
        <w:rPr>
          <w:rFonts w:ascii="Palatino Linotype" w:hAnsi="Palatino Linotype"/>
          <w:i/>
        </w:rPr>
        <w:t>información</w:t>
      </w:r>
      <w:proofErr w:type="spellEnd"/>
      <w:r w:rsidR="00EE7169" w:rsidRPr="00A52A6B">
        <w:rPr>
          <w:rFonts w:ascii="Palatino Linotype" w:hAnsi="Palatino Linotype"/>
          <w:i/>
        </w:rPr>
        <w:t xml:space="preserve"> de los programas de subsidios, </w:t>
      </w:r>
      <w:proofErr w:type="spellStart"/>
      <w:r w:rsidR="00EE7169" w:rsidRPr="00A52A6B">
        <w:rPr>
          <w:rFonts w:ascii="Palatino Linotype" w:hAnsi="Palatino Linotype"/>
          <w:i/>
        </w:rPr>
        <w:t>estímulos</w:t>
      </w:r>
      <w:proofErr w:type="spellEnd"/>
      <w:r w:rsidR="00EE7169" w:rsidRPr="00A52A6B">
        <w:rPr>
          <w:rFonts w:ascii="Palatino Linotype" w:hAnsi="Palatino Linotype"/>
          <w:i/>
        </w:rPr>
        <w:t xml:space="preserve"> y apoyos otorgados por el ayuntamiento a través de cualquiera de sus </w:t>
      </w:r>
      <w:proofErr w:type="spellStart"/>
      <w:r w:rsidR="00EE7169" w:rsidRPr="00A52A6B">
        <w:rPr>
          <w:rFonts w:ascii="Palatino Linotype" w:hAnsi="Palatino Linotype"/>
          <w:i/>
        </w:rPr>
        <w:t>áreas</w:t>
      </w:r>
      <w:proofErr w:type="spellEnd"/>
      <w:r w:rsidR="00EE7169" w:rsidRPr="00A52A6B">
        <w:rPr>
          <w:rFonts w:ascii="Palatino Linotype" w:hAnsi="Palatino Linotype"/>
          <w:i/>
        </w:rPr>
        <w:t xml:space="preserve"> y/o el sistema municipal DIF, vinculados con los acuerdos de cabildo aprobados para transferir al DIF recursos municipales para otorgar apoyos diversos con motivo de la pandemia por </w:t>
      </w:r>
      <w:proofErr w:type="spellStart"/>
      <w:r w:rsidR="00EE7169" w:rsidRPr="00A52A6B">
        <w:rPr>
          <w:rFonts w:ascii="Palatino Linotype" w:hAnsi="Palatino Linotype"/>
          <w:i/>
        </w:rPr>
        <w:t>Covid</w:t>
      </w:r>
      <w:proofErr w:type="spellEnd"/>
      <w:r w:rsidR="00EE7169" w:rsidRPr="00A52A6B">
        <w:rPr>
          <w:rFonts w:ascii="Palatino Linotype" w:hAnsi="Palatino Linotype"/>
          <w:i/>
        </w:rPr>
        <w:t xml:space="preserve"> 19, en el que se </w:t>
      </w:r>
      <w:proofErr w:type="spellStart"/>
      <w:r w:rsidR="00EE7169" w:rsidRPr="00A52A6B">
        <w:rPr>
          <w:rFonts w:ascii="Palatino Linotype" w:hAnsi="Palatino Linotype"/>
          <w:i/>
        </w:rPr>
        <w:t>debera</w:t>
      </w:r>
      <w:proofErr w:type="spellEnd"/>
      <w:r w:rsidR="00EE7169" w:rsidRPr="00A52A6B">
        <w:rPr>
          <w:rFonts w:ascii="Palatino Linotype" w:hAnsi="Palatino Linotype"/>
          <w:i/>
        </w:rPr>
        <w:t xml:space="preserve">́ informar respecto de los programas de transferencia, de servicios, de infraestructura social y de subsidio, en los que se </w:t>
      </w:r>
      <w:proofErr w:type="spellStart"/>
      <w:r w:rsidR="00EE7169" w:rsidRPr="00A52A6B">
        <w:rPr>
          <w:rFonts w:ascii="Palatino Linotype" w:hAnsi="Palatino Linotype"/>
          <w:i/>
        </w:rPr>
        <w:t>debera</w:t>
      </w:r>
      <w:proofErr w:type="spellEnd"/>
      <w:r w:rsidR="00EE7169" w:rsidRPr="00A52A6B">
        <w:rPr>
          <w:rFonts w:ascii="Palatino Linotype" w:hAnsi="Palatino Linotype"/>
          <w:i/>
        </w:rPr>
        <w:t xml:space="preserve">́ contener el a) </w:t>
      </w:r>
      <w:proofErr w:type="spellStart"/>
      <w:r w:rsidR="00EE7169" w:rsidRPr="00A52A6B">
        <w:rPr>
          <w:rFonts w:ascii="Palatino Linotype" w:hAnsi="Palatino Linotype"/>
          <w:i/>
        </w:rPr>
        <w:t>área</w:t>
      </w:r>
      <w:proofErr w:type="spellEnd"/>
      <w:r w:rsidR="00EE7169" w:rsidRPr="00A52A6B">
        <w:rPr>
          <w:rFonts w:ascii="Palatino Linotype" w:hAnsi="Palatino Linotype"/>
          <w:i/>
        </w:rPr>
        <w:t xml:space="preserve">; b) </w:t>
      </w:r>
      <w:proofErr w:type="spellStart"/>
      <w:r w:rsidR="00EE7169" w:rsidRPr="00A52A6B">
        <w:rPr>
          <w:rFonts w:ascii="Palatino Linotype" w:hAnsi="Palatino Linotype"/>
          <w:i/>
        </w:rPr>
        <w:t>denominación</w:t>
      </w:r>
      <w:proofErr w:type="spellEnd"/>
      <w:r w:rsidR="00EE7169" w:rsidRPr="00A52A6B">
        <w:rPr>
          <w:rFonts w:ascii="Palatino Linotype" w:hAnsi="Palatino Linotype"/>
          <w:i/>
        </w:rPr>
        <w:t xml:space="preserve"> del programa; c) periodo de vigencia; d) </w:t>
      </w:r>
      <w:proofErr w:type="spellStart"/>
      <w:r w:rsidR="00EE7169" w:rsidRPr="00A52A6B">
        <w:rPr>
          <w:rFonts w:ascii="Palatino Linotype" w:hAnsi="Palatino Linotype"/>
          <w:i/>
        </w:rPr>
        <w:t>diseño</w:t>
      </w:r>
      <w:proofErr w:type="spellEnd"/>
      <w:r w:rsidR="00EE7169" w:rsidRPr="00A52A6B">
        <w:rPr>
          <w:rFonts w:ascii="Palatino Linotype" w:hAnsi="Palatino Linotype"/>
          <w:i/>
        </w:rPr>
        <w:t xml:space="preserve">, objetivos y alcances; e) metas </w:t>
      </w:r>
      <w:proofErr w:type="spellStart"/>
      <w:r w:rsidR="00EE7169" w:rsidRPr="00A52A6B">
        <w:rPr>
          <w:rFonts w:ascii="Palatino Linotype" w:hAnsi="Palatino Linotype"/>
          <w:i/>
        </w:rPr>
        <w:t>físicas</w:t>
      </w:r>
      <w:proofErr w:type="spellEnd"/>
      <w:r w:rsidR="00EE7169" w:rsidRPr="00A52A6B">
        <w:rPr>
          <w:rFonts w:ascii="Palatino Linotype" w:hAnsi="Palatino Linotype"/>
          <w:i/>
        </w:rPr>
        <w:t xml:space="preserve">; f) </w:t>
      </w:r>
      <w:proofErr w:type="spellStart"/>
      <w:r w:rsidR="00EE7169" w:rsidRPr="00A52A6B">
        <w:rPr>
          <w:rFonts w:ascii="Palatino Linotype" w:hAnsi="Palatino Linotype"/>
          <w:i/>
        </w:rPr>
        <w:t>población</w:t>
      </w:r>
      <w:proofErr w:type="spellEnd"/>
      <w:r w:rsidR="00EE7169" w:rsidRPr="00A52A6B">
        <w:rPr>
          <w:rFonts w:ascii="Palatino Linotype" w:hAnsi="Palatino Linotype"/>
          <w:i/>
        </w:rPr>
        <w:t xml:space="preserve"> beneficiada estimada; g) monto aprobado, modificado y ejercido, </w:t>
      </w:r>
      <w:proofErr w:type="spellStart"/>
      <w:r w:rsidR="00EE7169" w:rsidRPr="00A52A6B">
        <w:rPr>
          <w:rFonts w:ascii="Palatino Linotype" w:hAnsi="Palatino Linotype"/>
          <w:i/>
        </w:rPr>
        <w:t>asi</w:t>
      </w:r>
      <w:proofErr w:type="spellEnd"/>
      <w:r w:rsidR="00EE7169" w:rsidRPr="00A52A6B">
        <w:rPr>
          <w:rFonts w:ascii="Palatino Linotype" w:hAnsi="Palatino Linotype"/>
          <w:i/>
        </w:rPr>
        <w:t xml:space="preserve">́ como los calendarios de su </w:t>
      </w:r>
      <w:proofErr w:type="spellStart"/>
      <w:r w:rsidR="00EE7169" w:rsidRPr="00A52A6B">
        <w:rPr>
          <w:rFonts w:ascii="Palatino Linotype" w:hAnsi="Palatino Linotype"/>
          <w:i/>
        </w:rPr>
        <w:t>programación</w:t>
      </w:r>
      <w:proofErr w:type="spellEnd"/>
      <w:r w:rsidR="00EE7169" w:rsidRPr="00A52A6B">
        <w:rPr>
          <w:rFonts w:ascii="Palatino Linotype" w:hAnsi="Palatino Linotype"/>
          <w:i/>
        </w:rPr>
        <w:t xml:space="preserve"> presupuestal; h) requisitos y procedimientos de acceso; i) procedimiento de queja o inconformidad ciudadana; j) mecanismos de exigibilidad; k) mecanismos e informes de </w:t>
      </w:r>
      <w:proofErr w:type="spellStart"/>
      <w:r w:rsidR="00EE7169" w:rsidRPr="00A52A6B">
        <w:rPr>
          <w:rFonts w:ascii="Palatino Linotype" w:hAnsi="Palatino Linotype"/>
          <w:i/>
        </w:rPr>
        <w:t>evaluación</w:t>
      </w:r>
      <w:proofErr w:type="spellEnd"/>
      <w:r w:rsidR="00EE7169" w:rsidRPr="00A52A6B">
        <w:rPr>
          <w:rFonts w:ascii="Palatino Linotype" w:hAnsi="Palatino Linotype"/>
          <w:i/>
        </w:rPr>
        <w:t xml:space="preserve"> y seguimiento de recomendaciones; l) indicadores con nombre, </w:t>
      </w:r>
      <w:proofErr w:type="spellStart"/>
      <w:r w:rsidR="00EE7169" w:rsidRPr="00A52A6B">
        <w:rPr>
          <w:rFonts w:ascii="Palatino Linotype" w:hAnsi="Palatino Linotype"/>
          <w:i/>
        </w:rPr>
        <w:t>definición</w:t>
      </w:r>
      <w:proofErr w:type="spellEnd"/>
      <w:r w:rsidR="00EE7169" w:rsidRPr="00A52A6B">
        <w:rPr>
          <w:rFonts w:ascii="Palatino Linotype" w:hAnsi="Palatino Linotype"/>
          <w:i/>
        </w:rPr>
        <w:t xml:space="preserve">, método de </w:t>
      </w:r>
      <w:proofErr w:type="spellStart"/>
      <w:r w:rsidR="00EE7169" w:rsidRPr="00A52A6B">
        <w:rPr>
          <w:rFonts w:ascii="Palatino Linotype" w:hAnsi="Palatino Linotype"/>
          <w:i/>
        </w:rPr>
        <w:t>cálculo</w:t>
      </w:r>
      <w:proofErr w:type="spellEnd"/>
      <w:r w:rsidR="00EE7169" w:rsidRPr="00A52A6B">
        <w:rPr>
          <w:rFonts w:ascii="Palatino Linotype" w:hAnsi="Palatino Linotype"/>
          <w:i/>
        </w:rPr>
        <w:t xml:space="preserve">, unidad de medida; </w:t>
      </w:r>
      <w:proofErr w:type="spellStart"/>
      <w:r w:rsidR="00EE7169" w:rsidRPr="00A52A6B">
        <w:rPr>
          <w:rFonts w:ascii="Palatino Linotype" w:hAnsi="Palatino Linotype"/>
          <w:i/>
        </w:rPr>
        <w:t>dimensión</w:t>
      </w:r>
      <w:proofErr w:type="spellEnd"/>
      <w:r w:rsidR="00EE7169" w:rsidRPr="00A52A6B">
        <w:rPr>
          <w:rFonts w:ascii="Palatino Linotype" w:hAnsi="Palatino Linotype"/>
          <w:i/>
        </w:rPr>
        <w:t xml:space="preserve">, frecuencia de </w:t>
      </w:r>
      <w:proofErr w:type="spellStart"/>
      <w:r w:rsidR="00EE7169" w:rsidRPr="00A52A6B">
        <w:rPr>
          <w:rFonts w:ascii="Palatino Linotype" w:hAnsi="Palatino Linotype"/>
          <w:i/>
        </w:rPr>
        <w:t>medición</w:t>
      </w:r>
      <w:proofErr w:type="spellEnd"/>
      <w:r w:rsidR="00EE7169" w:rsidRPr="00A52A6B">
        <w:rPr>
          <w:rFonts w:ascii="Palatino Linotype" w:hAnsi="Palatino Linotype"/>
          <w:i/>
        </w:rPr>
        <w:t xml:space="preserve">, nombre de las bases de datos utilizadas para su </w:t>
      </w:r>
      <w:proofErr w:type="spellStart"/>
      <w:r w:rsidR="00EE7169" w:rsidRPr="00A52A6B">
        <w:rPr>
          <w:rFonts w:ascii="Palatino Linotype" w:hAnsi="Palatino Linotype"/>
          <w:i/>
        </w:rPr>
        <w:t>cálculo</w:t>
      </w:r>
      <w:proofErr w:type="spellEnd"/>
      <w:r w:rsidR="00EE7169" w:rsidRPr="00A52A6B">
        <w:rPr>
          <w:rFonts w:ascii="Palatino Linotype" w:hAnsi="Palatino Linotype"/>
          <w:i/>
        </w:rPr>
        <w:t xml:space="preserve">; m) formas de </w:t>
      </w:r>
      <w:proofErr w:type="spellStart"/>
      <w:r w:rsidR="00EE7169" w:rsidRPr="00A52A6B">
        <w:rPr>
          <w:rFonts w:ascii="Palatino Linotype" w:hAnsi="Palatino Linotype"/>
          <w:i/>
        </w:rPr>
        <w:t>participación</w:t>
      </w:r>
      <w:proofErr w:type="spellEnd"/>
      <w:r w:rsidR="00EE7169" w:rsidRPr="00A52A6B">
        <w:rPr>
          <w:rFonts w:ascii="Palatino Linotype" w:hAnsi="Palatino Linotype"/>
          <w:i/>
        </w:rPr>
        <w:t xml:space="preserve"> social; n) </w:t>
      </w:r>
      <w:proofErr w:type="spellStart"/>
      <w:r w:rsidR="00EE7169" w:rsidRPr="00A52A6B">
        <w:rPr>
          <w:rFonts w:ascii="Palatino Linotype" w:hAnsi="Palatino Linotype"/>
          <w:i/>
        </w:rPr>
        <w:t>articulación</w:t>
      </w:r>
      <w:proofErr w:type="spellEnd"/>
      <w:r w:rsidR="00EE7169" w:rsidRPr="00A52A6B">
        <w:rPr>
          <w:rFonts w:ascii="Palatino Linotype" w:hAnsi="Palatino Linotype"/>
          <w:i/>
        </w:rPr>
        <w:t xml:space="preserve"> con otros programas sociales; ñ) </w:t>
      </w:r>
      <w:proofErr w:type="spellStart"/>
      <w:r w:rsidR="00EE7169" w:rsidRPr="00A52A6B">
        <w:rPr>
          <w:rFonts w:ascii="Palatino Linotype" w:hAnsi="Palatino Linotype"/>
          <w:i/>
        </w:rPr>
        <w:t>vínculo</w:t>
      </w:r>
      <w:proofErr w:type="spellEnd"/>
      <w:r w:rsidR="00EE7169" w:rsidRPr="00A52A6B">
        <w:rPr>
          <w:rFonts w:ascii="Palatino Linotype" w:hAnsi="Palatino Linotype"/>
          <w:i/>
        </w:rPr>
        <w:t xml:space="preserve"> a las reglas de </w:t>
      </w:r>
      <w:proofErr w:type="spellStart"/>
      <w:r w:rsidR="00EE7169" w:rsidRPr="00A52A6B">
        <w:rPr>
          <w:rFonts w:ascii="Palatino Linotype" w:hAnsi="Palatino Linotype"/>
          <w:i/>
        </w:rPr>
        <w:t>operación</w:t>
      </w:r>
      <w:proofErr w:type="spellEnd"/>
      <w:r w:rsidR="00EE7169" w:rsidRPr="00A52A6B">
        <w:rPr>
          <w:rFonts w:ascii="Palatino Linotype" w:hAnsi="Palatino Linotype"/>
          <w:i/>
        </w:rPr>
        <w:t xml:space="preserve"> o documento equivalente; o) informes </w:t>
      </w:r>
      <w:proofErr w:type="spellStart"/>
      <w:r w:rsidR="00EE7169" w:rsidRPr="00A52A6B">
        <w:rPr>
          <w:rFonts w:ascii="Palatino Linotype" w:hAnsi="Palatino Linotype"/>
          <w:i/>
        </w:rPr>
        <w:t>periódicos</w:t>
      </w:r>
      <w:proofErr w:type="spellEnd"/>
      <w:r w:rsidR="00EE7169" w:rsidRPr="00A52A6B">
        <w:rPr>
          <w:rFonts w:ascii="Palatino Linotype" w:hAnsi="Palatino Linotype"/>
          <w:i/>
        </w:rPr>
        <w:t xml:space="preserve"> </w:t>
      </w:r>
      <w:r w:rsidR="00EE7169" w:rsidRPr="00A52A6B">
        <w:rPr>
          <w:rFonts w:ascii="Palatino Linotype" w:hAnsi="Palatino Linotype"/>
          <w:i/>
        </w:rPr>
        <w:lastRenderedPageBreak/>
        <w:t xml:space="preserve">sobre la </w:t>
      </w:r>
      <w:proofErr w:type="spellStart"/>
      <w:r w:rsidR="00EE7169" w:rsidRPr="00A52A6B">
        <w:rPr>
          <w:rFonts w:ascii="Palatino Linotype" w:hAnsi="Palatino Linotype"/>
          <w:i/>
        </w:rPr>
        <w:t>ejecución</w:t>
      </w:r>
      <w:proofErr w:type="spellEnd"/>
      <w:r w:rsidR="00EE7169" w:rsidRPr="00A52A6B">
        <w:rPr>
          <w:rFonts w:ascii="Palatino Linotype" w:hAnsi="Palatino Linotype"/>
          <w:i/>
        </w:rPr>
        <w:t xml:space="preserve"> y los resultados de las evaluaciones realizadas; y p) </w:t>
      </w:r>
      <w:proofErr w:type="spellStart"/>
      <w:r w:rsidR="00EE7169" w:rsidRPr="00A52A6B">
        <w:rPr>
          <w:rFonts w:ascii="Palatino Linotype" w:hAnsi="Palatino Linotype"/>
          <w:i/>
        </w:rPr>
        <w:t>padrón</w:t>
      </w:r>
      <w:proofErr w:type="spellEnd"/>
      <w:r w:rsidR="00EE7169" w:rsidRPr="00A52A6B">
        <w:rPr>
          <w:rFonts w:ascii="Palatino Linotype" w:hAnsi="Palatino Linotype"/>
          <w:i/>
        </w:rPr>
        <w:t xml:space="preserve"> de beneficiarios mismo que </w:t>
      </w:r>
      <w:proofErr w:type="spellStart"/>
      <w:r w:rsidR="00EE7169" w:rsidRPr="00A52A6B">
        <w:rPr>
          <w:rFonts w:ascii="Palatino Linotype" w:hAnsi="Palatino Linotype"/>
          <w:i/>
        </w:rPr>
        <w:t>debera</w:t>
      </w:r>
      <w:proofErr w:type="spellEnd"/>
      <w:r w:rsidR="00EE7169" w:rsidRPr="00A52A6B">
        <w:rPr>
          <w:rFonts w:ascii="Palatino Linotype" w:hAnsi="Palatino Linotype"/>
          <w:i/>
        </w:rPr>
        <w:t xml:space="preserve">́ contener los siguientes datos: nombre de la persona </w:t>
      </w:r>
      <w:proofErr w:type="spellStart"/>
      <w:r w:rsidR="00EE7169" w:rsidRPr="00A52A6B">
        <w:rPr>
          <w:rFonts w:ascii="Palatino Linotype" w:hAnsi="Palatino Linotype"/>
          <w:i/>
        </w:rPr>
        <w:t>física</w:t>
      </w:r>
      <w:proofErr w:type="spellEnd"/>
      <w:r w:rsidR="00EE7169" w:rsidRPr="00A52A6B">
        <w:rPr>
          <w:rFonts w:ascii="Palatino Linotype" w:hAnsi="Palatino Linotype"/>
          <w:i/>
        </w:rPr>
        <w:t xml:space="preserve"> o </w:t>
      </w:r>
      <w:proofErr w:type="spellStart"/>
      <w:r w:rsidR="00EE7169" w:rsidRPr="00A52A6B">
        <w:rPr>
          <w:rFonts w:ascii="Palatino Linotype" w:hAnsi="Palatino Linotype"/>
          <w:i/>
        </w:rPr>
        <w:t>denominación</w:t>
      </w:r>
      <w:proofErr w:type="spellEnd"/>
      <w:r w:rsidR="00EE7169" w:rsidRPr="00A52A6B">
        <w:rPr>
          <w:rFonts w:ascii="Palatino Linotype" w:hAnsi="Palatino Linotype"/>
          <w:i/>
        </w:rPr>
        <w:t xml:space="preserve"> social de las personas </w:t>
      </w:r>
      <w:proofErr w:type="spellStart"/>
      <w:r w:rsidR="00EE7169" w:rsidRPr="00A52A6B">
        <w:rPr>
          <w:rFonts w:ascii="Palatino Linotype" w:hAnsi="Palatino Linotype"/>
          <w:i/>
        </w:rPr>
        <w:t>jurídicas</w:t>
      </w:r>
      <w:proofErr w:type="spellEnd"/>
      <w:r w:rsidR="00EE7169" w:rsidRPr="00A52A6B">
        <w:rPr>
          <w:rFonts w:ascii="Palatino Linotype" w:hAnsi="Palatino Linotype"/>
          <w:i/>
        </w:rPr>
        <w:t xml:space="preserve"> colectivas beneficiadas, el monto, recurso, beneficio o apoyo otorgado para cada una de ellas, unidad territorial, en su caso, edad y sexo, que constituye información pública de oficio conforme al artículo 92, fracción XIV de la Ley de Transparencia y Acceso a la Información Pública del Estado de México y Municipios; </w:t>
      </w:r>
      <w:r w:rsidR="00EE7169" w:rsidRPr="00A52A6B">
        <w:rPr>
          <w:rFonts w:ascii="Palatino Linotype" w:hAnsi="Palatino Linotype"/>
          <w:b/>
          <w:i/>
        </w:rPr>
        <w:t>3.</w:t>
      </w:r>
      <w:r w:rsidR="00EE7169" w:rsidRPr="00A52A6B">
        <w:rPr>
          <w:rFonts w:ascii="Palatino Linotype" w:hAnsi="Palatino Linotype"/>
          <w:i/>
        </w:rPr>
        <w:t xml:space="preserve"> La </w:t>
      </w:r>
      <w:proofErr w:type="spellStart"/>
      <w:r w:rsidR="00EE7169" w:rsidRPr="00A52A6B">
        <w:rPr>
          <w:rFonts w:ascii="Palatino Linotype" w:hAnsi="Palatino Linotype"/>
          <w:i/>
        </w:rPr>
        <w:t>relación</w:t>
      </w:r>
      <w:proofErr w:type="spellEnd"/>
      <w:r w:rsidR="00EE7169" w:rsidRPr="00A52A6B">
        <w:rPr>
          <w:rFonts w:ascii="Palatino Linotype" w:hAnsi="Palatino Linotype"/>
          <w:i/>
        </w:rPr>
        <w:t xml:space="preserve"> de contratistas beneficiados con la </w:t>
      </w:r>
      <w:proofErr w:type="spellStart"/>
      <w:r w:rsidR="00EE7169" w:rsidRPr="00A52A6B">
        <w:rPr>
          <w:rFonts w:ascii="Palatino Linotype" w:hAnsi="Palatino Linotype"/>
          <w:i/>
        </w:rPr>
        <w:t>adjudicación</w:t>
      </w:r>
      <w:proofErr w:type="spellEnd"/>
      <w:r w:rsidR="00EE7169" w:rsidRPr="00A52A6B">
        <w:rPr>
          <w:rFonts w:ascii="Palatino Linotype" w:hAnsi="Palatino Linotype"/>
          <w:i/>
        </w:rPr>
        <w:t xml:space="preserve"> de alguna obra durante el ejercicio dos mil diecinueve, incluyendo su nombre, </w:t>
      </w:r>
      <w:proofErr w:type="spellStart"/>
      <w:r w:rsidR="00EE7169" w:rsidRPr="00A52A6B">
        <w:rPr>
          <w:rFonts w:ascii="Palatino Linotype" w:hAnsi="Palatino Linotype"/>
          <w:i/>
        </w:rPr>
        <w:t>ubicación</w:t>
      </w:r>
      <w:proofErr w:type="spellEnd"/>
      <w:r w:rsidR="00EE7169" w:rsidRPr="00A52A6B">
        <w:rPr>
          <w:rFonts w:ascii="Palatino Linotype" w:hAnsi="Palatino Linotype"/>
          <w:i/>
        </w:rPr>
        <w:t xml:space="preserve"> y costo, que constituye información pública de oficio conforme al artículo 92, fracción XIV de la Ley de Transparencia y Acceso a la Información Pública del Estado de México y Municipios, que constituye información pública de oficio conforme al artículo 92, fracciones XXIX, inciso b, XXXI, XXXII y XXXVI de la Ley de Transparencia y Acceso a la Información Pública del Estado de México y Municipios; </w:t>
      </w:r>
      <w:r w:rsidR="00EE7169" w:rsidRPr="00A52A6B">
        <w:rPr>
          <w:rFonts w:ascii="Palatino Linotype" w:hAnsi="Palatino Linotype"/>
          <w:b/>
          <w:i/>
        </w:rPr>
        <w:t>4.</w:t>
      </w:r>
      <w:r w:rsidR="00EE7169" w:rsidRPr="00A52A6B">
        <w:rPr>
          <w:rFonts w:ascii="Palatino Linotype" w:hAnsi="Palatino Linotype"/>
          <w:i/>
        </w:rPr>
        <w:t xml:space="preserve"> La </w:t>
      </w:r>
      <w:proofErr w:type="spellStart"/>
      <w:r w:rsidR="00EE7169" w:rsidRPr="00A52A6B">
        <w:rPr>
          <w:rFonts w:ascii="Palatino Linotype" w:hAnsi="Palatino Linotype"/>
          <w:i/>
        </w:rPr>
        <w:t>relación</w:t>
      </w:r>
      <w:proofErr w:type="spellEnd"/>
      <w:r w:rsidR="00EE7169" w:rsidRPr="00A52A6B">
        <w:rPr>
          <w:rFonts w:ascii="Palatino Linotype" w:hAnsi="Palatino Linotype"/>
          <w:i/>
        </w:rPr>
        <w:t xml:space="preserve"> de todos los proveedores beneficiados, con la </w:t>
      </w:r>
      <w:proofErr w:type="spellStart"/>
      <w:r w:rsidR="00EE7169" w:rsidRPr="00A52A6B">
        <w:rPr>
          <w:rFonts w:ascii="Palatino Linotype" w:hAnsi="Palatino Linotype"/>
          <w:i/>
        </w:rPr>
        <w:t>adjudicación</w:t>
      </w:r>
      <w:proofErr w:type="spellEnd"/>
      <w:r w:rsidR="00EE7169" w:rsidRPr="00A52A6B">
        <w:rPr>
          <w:rFonts w:ascii="Palatino Linotype" w:hAnsi="Palatino Linotype"/>
          <w:i/>
        </w:rPr>
        <w:t xml:space="preserve"> de </w:t>
      </w:r>
      <w:proofErr w:type="spellStart"/>
      <w:r w:rsidR="00EE7169" w:rsidRPr="00A52A6B">
        <w:rPr>
          <w:rFonts w:ascii="Palatino Linotype" w:hAnsi="Palatino Linotype"/>
          <w:i/>
        </w:rPr>
        <w:t>algún</w:t>
      </w:r>
      <w:proofErr w:type="spellEnd"/>
      <w:r w:rsidR="00EE7169" w:rsidRPr="00A52A6B">
        <w:rPr>
          <w:rFonts w:ascii="Palatino Linotype" w:hAnsi="Palatino Linotype"/>
          <w:i/>
        </w:rPr>
        <w:t xml:space="preserve"> contrato de adquisiciones y/o servicios durante el ejercicio dos mil diecinueve, incluyendo su nombre, </w:t>
      </w:r>
      <w:proofErr w:type="spellStart"/>
      <w:r w:rsidR="00EE7169" w:rsidRPr="00A52A6B">
        <w:rPr>
          <w:rFonts w:ascii="Palatino Linotype" w:hAnsi="Palatino Linotype"/>
          <w:i/>
        </w:rPr>
        <w:t>ubicación</w:t>
      </w:r>
      <w:proofErr w:type="spellEnd"/>
      <w:r w:rsidR="00EE7169" w:rsidRPr="00A52A6B">
        <w:rPr>
          <w:rFonts w:ascii="Palatino Linotype" w:hAnsi="Palatino Linotype"/>
          <w:i/>
        </w:rPr>
        <w:t xml:space="preserve"> y costo, que constituye información pública de oficio conforme al artículo 92, fracciones XXIX, inciso b, XXXI, XXXII y XXXVI de la Ley de Transparencia y Acceso a la Información Pública del Estado de México y Municipios.” “ En la modalidad elegida por la persona recurrente de manera inicial, es decir, medio electrónico gratuito, tales como habilitar una liga electrónica que deberá proporcionarle para que descargue los archivos -en caso de estar en posibilidad-; enviar la información a su cuenta de correo electrónico; concederle el acceso en disco compacto, con la posibilidad de envío mediante correo certificado, previo pago del costo del disco compacto y del envío, y darle la posibilidad de obtenerla de </w:t>
      </w:r>
      <w:r w:rsidR="00EE7169" w:rsidRPr="00A52A6B">
        <w:rPr>
          <w:rFonts w:ascii="Palatino Linotype" w:hAnsi="Palatino Linotype"/>
          <w:i/>
        </w:rPr>
        <w:lastRenderedPageBreak/>
        <w:t>manera gratuita si la parte solicitante misma aporta el disco compacto o la memoria USB en la que se le proporcionarán los archivos electrónicos.</w:t>
      </w:r>
      <w:r w:rsidRPr="00A52A6B">
        <w:rPr>
          <w:rFonts w:ascii="Palatino Linotype" w:hAnsi="Palatino Linotype"/>
          <w:i/>
          <w:sz w:val="28"/>
          <w:lang w:val="es-ES_tradnl"/>
        </w:rPr>
        <w:t>”</w:t>
      </w:r>
    </w:p>
    <w:p w14:paraId="0830DF05"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z w:val="28"/>
          <w:shd w:val="clear" w:color="auto" w:fill="FFFFFF"/>
          <w:lang w:val="es-ES_tradnl"/>
        </w:rPr>
      </w:pPr>
    </w:p>
    <w:p w14:paraId="55E87DEF" w14:textId="77777777" w:rsidR="007A12FF" w:rsidRPr="00A52A6B" w:rsidRDefault="00892544" w:rsidP="007A12FF">
      <w:pPr>
        <w:pStyle w:val="Prrafodelista"/>
        <w:numPr>
          <w:ilvl w:val="0"/>
          <w:numId w:val="1"/>
        </w:numPr>
        <w:spacing w:before="240" w:after="240" w:line="360" w:lineRule="auto"/>
        <w:ind w:left="0" w:firstLine="0"/>
        <w:jc w:val="both"/>
        <w:rPr>
          <w:rFonts w:ascii="Palatino Linotype" w:hAnsi="Palatino Linotype"/>
          <w:lang w:val="es-ES_tradnl"/>
        </w:rPr>
      </w:pPr>
      <w:r w:rsidRPr="00A52A6B">
        <w:rPr>
          <w:rFonts w:ascii="Palatino Linotype" w:hAnsi="Palatino Linotype"/>
          <w:lang w:val="es-ES_tradnl"/>
        </w:rPr>
        <w:t xml:space="preserve">Por lo que en cumplimiento a la resolución emitida en el Recurso de Inconformidad </w:t>
      </w:r>
      <w:r w:rsidR="007A12FF" w:rsidRPr="00A52A6B">
        <w:rPr>
          <w:rFonts w:ascii="Palatino Linotype" w:hAnsi="Palatino Linotype"/>
          <w:lang w:val="es-ES_tradnl"/>
        </w:rPr>
        <w:t>RIA 00148</w:t>
      </w:r>
      <w:r w:rsidRPr="00A52A6B">
        <w:rPr>
          <w:rFonts w:ascii="Palatino Linotype" w:hAnsi="Palatino Linotype"/>
          <w:lang w:val="es-ES_tradnl"/>
        </w:rPr>
        <w:t xml:space="preserve">/20, por el Pleno del Instituto Nacional de Transparencia, Acceso a la Información y Protección de Datos Personales, este Instituto resuelve ordenar al Sujeto Obligado, Ayuntamiento de Ixtapan de la Sal, </w:t>
      </w:r>
      <w:r w:rsidRPr="00A52A6B">
        <w:rPr>
          <w:rFonts w:ascii="Palatino Linotype" w:hAnsi="Palatino Linotype"/>
          <w:b/>
          <w:lang w:val="es-ES_tradnl"/>
        </w:rPr>
        <w:t xml:space="preserve">a realizar la entrega </w:t>
      </w:r>
      <w:r w:rsidR="007A12FF" w:rsidRPr="00A52A6B">
        <w:rPr>
          <w:rFonts w:ascii="Palatino Linotype" w:hAnsi="Palatino Linotype"/>
          <w:b/>
          <w:lang w:val="es-ES_tradnl"/>
        </w:rPr>
        <w:t xml:space="preserve">de: </w:t>
      </w:r>
      <w:bookmarkStart w:id="18" w:name="_Toc22130360"/>
      <w:bookmarkStart w:id="19" w:name="_Toc33809646"/>
      <w:bookmarkStart w:id="20" w:name="_Toc58504404"/>
      <w:r w:rsidR="007A12FF" w:rsidRPr="00A52A6B">
        <w:rPr>
          <w:rFonts w:ascii="Palatino Linotype" w:hAnsi="Palatino Linotype"/>
          <w:b/>
          <w:lang w:val="es-ES_tradnl"/>
        </w:rPr>
        <w:t>1.</w:t>
      </w:r>
      <w:r w:rsidR="007A12FF" w:rsidRPr="00A52A6B">
        <w:rPr>
          <w:rFonts w:ascii="Palatino Linotype" w:hAnsi="Palatino Linotype"/>
          <w:lang w:val="es-ES_tradnl"/>
        </w:rPr>
        <w:t xml:space="preserve"> </w:t>
      </w:r>
      <w:r w:rsidR="007A12FF" w:rsidRPr="00A52A6B">
        <w:rPr>
          <w:rFonts w:ascii="Palatino Linotype" w:hAnsi="Palatino Linotype"/>
        </w:rPr>
        <w:t xml:space="preserve">La </w:t>
      </w:r>
      <w:proofErr w:type="spellStart"/>
      <w:r w:rsidR="007A12FF" w:rsidRPr="00A52A6B">
        <w:rPr>
          <w:rFonts w:ascii="Palatino Linotype" w:hAnsi="Palatino Linotype"/>
        </w:rPr>
        <w:t>información</w:t>
      </w:r>
      <w:proofErr w:type="spellEnd"/>
      <w:r w:rsidR="007A12FF" w:rsidRPr="00A52A6B">
        <w:rPr>
          <w:rFonts w:ascii="Palatino Linotype" w:hAnsi="Palatino Linotype"/>
        </w:rPr>
        <w:t xml:space="preserve"> de los programas de subsidios, </w:t>
      </w:r>
      <w:proofErr w:type="spellStart"/>
      <w:r w:rsidR="007A12FF" w:rsidRPr="00A52A6B">
        <w:rPr>
          <w:rFonts w:ascii="Palatino Linotype" w:hAnsi="Palatino Linotype"/>
        </w:rPr>
        <w:t>estímulos</w:t>
      </w:r>
      <w:proofErr w:type="spellEnd"/>
      <w:r w:rsidR="007A12FF" w:rsidRPr="00A52A6B">
        <w:rPr>
          <w:rFonts w:ascii="Palatino Linotype" w:hAnsi="Palatino Linotype"/>
        </w:rPr>
        <w:t xml:space="preserve"> y apoyos del ayuntamiento otorgados por la </w:t>
      </w:r>
      <w:proofErr w:type="spellStart"/>
      <w:r w:rsidR="007A12FF" w:rsidRPr="00A52A6B">
        <w:rPr>
          <w:rFonts w:ascii="Palatino Linotype" w:hAnsi="Palatino Linotype"/>
        </w:rPr>
        <w:t>Dirección</w:t>
      </w:r>
      <w:proofErr w:type="spellEnd"/>
      <w:r w:rsidR="007A12FF" w:rsidRPr="00A52A6B">
        <w:rPr>
          <w:rFonts w:ascii="Palatino Linotype" w:hAnsi="Palatino Linotype"/>
        </w:rPr>
        <w:t xml:space="preserve"> de Desarrollo Social y/o por cualquier dependencia del sector ayuntamiento, así como la </w:t>
      </w:r>
      <w:proofErr w:type="spellStart"/>
      <w:r w:rsidR="007A12FF" w:rsidRPr="00A52A6B">
        <w:rPr>
          <w:rFonts w:ascii="Palatino Linotype" w:hAnsi="Palatino Linotype"/>
        </w:rPr>
        <w:t>información</w:t>
      </w:r>
      <w:proofErr w:type="spellEnd"/>
      <w:r w:rsidR="007A12FF" w:rsidRPr="00A52A6B">
        <w:rPr>
          <w:rFonts w:ascii="Palatino Linotype" w:hAnsi="Palatino Linotype"/>
        </w:rPr>
        <w:t xml:space="preserve"> de los programas de subsidios, </w:t>
      </w:r>
      <w:proofErr w:type="spellStart"/>
      <w:r w:rsidR="007A12FF" w:rsidRPr="00A52A6B">
        <w:rPr>
          <w:rFonts w:ascii="Palatino Linotype" w:hAnsi="Palatino Linotype"/>
        </w:rPr>
        <w:t>estímulos</w:t>
      </w:r>
      <w:proofErr w:type="spellEnd"/>
      <w:r w:rsidR="007A12FF" w:rsidRPr="00A52A6B">
        <w:rPr>
          <w:rFonts w:ascii="Palatino Linotype" w:hAnsi="Palatino Linotype"/>
        </w:rPr>
        <w:t xml:space="preserve"> y apoyos del sistema municipal DIF, durante el </w:t>
      </w:r>
      <w:proofErr w:type="spellStart"/>
      <w:r w:rsidR="007A12FF" w:rsidRPr="00A52A6B">
        <w:rPr>
          <w:rFonts w:ascii="Palatino Linotype" w:hAnsi="Palatino Linotype"/>
        </w:rPr>
        <w:t>año</w:t>
      </w:r>
      <w:proofErr w:type="spellEnd"/>
      <w:r w:rsidR="007A12FF" w:rsidRPr="00A52A6B">
        <w:rPr>
          <w:rFonts w:ascii="Palatino Linotype" w:hAnsi="Palatino Linotype"/>
        </w:rPr>
        <w:t xml:space="preserve"> dos mil diecinueve, en el que se </w:t>
      </w:r>
      <w:proofErr w:type="spellStart"/>
      <w:r w:rsidR="007A12FF" w:rsidRPr="00A52A6B">
        <w:rPr>
          <w:rFonts w:ascii="Palatino Linotype" w:hAnsi="Palatino Linotype"/>
        </w:rPr>
        <w:t>debera</w:t>
      </w:r>
      <w:proofErr w:type="spellEnd"/>
      <w:r w:rsidR="007A12FF" w:rsidRPr="00A52A6B">
        <w:rPr>
          <w:rFonts w:ascii="Palatino Linotype" w:hAnsi="Palatino Linotype"/>
        </w:rPr>
        <w:t xml:space="preserve">́ informar respecto de los programas de transferencia, de servicios, de infraestructura social y de subsidio, en los que se </w:t>
      </w:r>
      <w:proofErr w:type="spellStart"/>
      <w:r w:rsidR="007A12FF" w:rsidRPr="00A52A6B">
        <w:rPr>
          <w:rFonts w:ascii="Palatino Linotype" w:hAnsi="Palatino Linotype"/>
        </w:rPr>
        <w:t>debera</w:t>
      </w:r>
      <w:proofErr w:type="spellEnd"/>
      <w:r w:rsidR="007A12FF" w:rsidRPr="00A52A6B">
        <w:rPr>
          <w:rFonts w:ascii="Palatino Linotype" w:hAnsi="Palatino Linotype"/>
        </w:rPr>
        <w:t xml:space="preserve">́ contener el a) </w:t>
      </w:r>
      <w:proofErr w:type="spellStart"/>
      <w:r w:rsidR="007A12FF" w:rsidRPr="00A52A6B">
        <w:rPr>
          <w:rFonts w:ascii="Palatino Linotype" w:hAnsi="Palatino Linotype"/>
        </w:rPr>
        <w:t>área</w:t>
      </w:r>
      <w:proofErr w:type="spellEnd"/>
      <w:r w:rsidR="007A12FF" w:rsidRPr="00A52A6B">
        <w:rPr>
          <w:rFonts w:ascii="Palatino Linotype" w:hAnsi="Palatino Linotype"/>
        </w:rPr>
        <w:t xml:space="preserve">; b) </w:t>
      </w:r>
      <w:proofErr w:type="spellStart"/>
      <w:r w:rsidR="007A12FF" w:rsidRPr="00A52A6B">
        <w:rPr>
          <w:rFonts w:ascii="Palatino Linotype" w:hAnsi="Palatino Linotype"/>
        </w:rPr>
        <w:t>denominación</w:t>
      </w:r>
      <w:proofErr w:type="spellEnd"/>
      <w:r w:rsidR="007A12FF" w:rsidRPr="00A52A6B">
        <w:rPr>
          <w:rFonts w:ascii="Palatino Linotype" w:hAnsi="Palatino Linotype"/>
        </w:rPr>
        <w:t xml:space="preserve"> del programa; c) periodo de vigencia; d) </w:t>
      </w:r>
      <w:proofErr w:type="spellStart"/>
      <w:r w:rsidR="007A12FF" w:rsidRPr="00A52A6B">
        <w:rPr>
          <w:rFonts w:ascii="Palatino Linotype" w:hAnsi="Palatino Linotype"/>
        </w:rPr>
        <w:t>diseño</w:t>
      </w:r>
      <w:proofErr w:type="spellEnd"/>
      <w:r w:rsidR="007A12FF" w:rsidRPr="00A52A6B">
        <w:rPr>
          <w:rFonts w:ascii="Palatino Linotype" w:hAnsi="Palatino Linotype"/>
        </w:rPr>
        <w:t xml:space="preserve">, objetivos y alcances; e) metas </w:t>
      </w:r>
      <w:proofErr w:type="spellStart"/>
      <w:r w:rsidR="007A12FF" w:rsidRPr="00A52A6B">
        <w:rPr>
          <w:rFonts w:ascii="Palatino Linotype" w:hAnsi="Palatino Linotype"/>
        </w:rPr>
        <w:t>físicas</w:t>
      </w:r>
      <w:proofErr w:type="spellEnd"/>
      <w:r w:rsidR="007A12FF" w:rsidRPr="00A52A6B">
        <w:rPr>
          <w:rFonts w:ascii="Palatino Linotype" w:hAnsi="Palatino Linotype"/>
        </w:rPr>
        <w:t xml:space="preserve">; f) </w:t>
      </w:r>
      <w:proofErr w:type="spellStart"/>
      <w:r w:rsidR="007A12FF" w:rsidRPr="00A52A6B">
        <w:rPr>
          <w:rFonts w:ascii="Palatino Linotype" w:hAnsi="Palatino Linotype"/>
        </w:rPr>
        <w:t>población</w:t>
      </w:r>
      <w:proofErr w:type="spellEnd"/>
      <w:r w:rsidR="007A12FF" w:rsidRPr="00A52A6B">
        <w:rPr>
          <w:rFonts w:ascii="Palatino Linotype" w:hAnsi="Palatino Linotype"/>
        </w:rPr>
        <w:t xml:space="preserve"> beneficiada estimada; g) monto aprobado, modificado y ejercido, </w:t>
      </w:r>
      <w:proofErr w:type="spellStart"/>
      <w:r w:rsidR="007A12FF" w:rsidRPr="00A52A6B">
        <w:rPr>
          <w:rFonts w:ascii="Palatino Linotype" w:hAnsi="Palatino Linotype"/>
        </w:rPr>
        <w:t>asi</w:t>
      </w:r>
      <w:proofErr w:type="spellEnd"/>
      <w:r w:rsidR="007A12FF" w:rsidRPr="00A52A6B">
        <w:rPr>
          <w:rFonts w:ascii="Palatino Linotype" w:hAnsi="Palatino Linotype"/>
        </w:rPr>
        <w:t xml:space="preserve">́ como los calendarios de su </w:t>
      </w:r>
      <w:proofErr w:type="spellStart"/>
      <w:r w:rsidR="007A12FF" w:rsidRPr="00A52A6B">
        <w:rPr>
          <w:rFonts w:ascii="Palatino Linotype" w:hAnsi="Palatino Linotype"/>
        </w:rPr>
        <w:t>programación</w:t>
      </w:r>
      <w:proofErr w:type="spellEnd"/>
      <w:r w:rsidR="007A12FF" w:rsidRPr="00A52A6B">
        <w:rPr>
          <w:rFonts w:ascii="Palatino Linotype" w:hAnsi="Palatino Linotype"/>
        </w:rPr>
        <w:t xml:space="preserve"> presupuestal; h) requisitos y procedimientos de acceso; i) procedimiento de queja o inconformidad ciudadana; j) mecanismos de exigibilidad; k) mecanismos e informes de </w:t>
      </w:r>
      <w:proofErr w:type="spellStart"/>
      <w:r w:rsidR="007A12FF" w:rsidRPr="00A52A6B">
        <w:rPr>
          <w:rFonts w:ascii="Palatino Linotype" w:hAnsi="Palatino Linotype"/>
        </w:rPr>
        <w:t>evaluación</w:t>
      </w:r>
      <w:proofErr w:type="spellEnd"/>
      <w:r w:rsidR="007A12FF" w:rsidRPr="00A52A6B">
        <w:rPr>
          <w:rFonts w:ascii="Palatino Linotype" w:hAnsi="Palatino Linotype"/>
        </w:rPr>
        <w:t xml:space="preserve"> y seguimiento de recomendaciones; l) indicadores con nombre, </w:t>
      </w:r>
      <w:proofErr w:type="spellStart"/>
      <w:r w:rsidR="007A12FF" w:rsidRPr="00A52A6B">
        <w:rPr>
          <w:rFonts w:ascii="Palatino Linotype" w:hAnsi="Palatino Linotype"/>
        </w:rPr>
        <w:t>definición</w:t>
      </w:r>
      <w:proofErr w:type="spellEnd"/>
      <w:r w:rsidR="007A12FF" w:rsidRPr="00A52A6B">
        <w:rPr>
          <w:rFonts w:ascii="Palatino Linotype" w:hAnsi="Palatino Linotype"/>
        </w:rPr>
        <w:t xml:space="preserve">, método de </w:t>
      </w:r>
      <w:proofErr w:type="spellStart"/>
      <w:r w:rsidR="007A12FF" w:rsidRPr="00A52A6B">
        <w:rPr>
          <w:rFonts w:ascii="Palatino Linotype" w:hAnsi="Palatino Linotype"/>
        </w:rPr>
        <w:t>cálculo</w:t>
      </w:r>
      <w:proofErr w:type="spellEnd"/>
      <w:r w:rsidR="007A12FF" w:rsidRPr="00A52A6B">
        <w:rPr>
          <w:rFonts w:ascii="Palatino Linotype" w:hAnsi="Palatino Linotype"/>
        </w:rPr>
        <w:t xml:space="preserve">, unidad de medida; </w:t>
      </w:r>
      <w:proofErr w:type="spellStart"/>
      <w:r w:rsidR="007A12FF" w:rsidRPr="00A52A6B">
        <w:rPr>
          <w:rFonts w:ascii="Palatino Linotype" w:hAnsi="Palatino Linotype"/>
        </w:rPr>
        <w:t>dimensión</w:t>
      </w:r>
      <w:proofErr w:type="spellEnd"/>
      <w:r w:rsidR="007A12FF" w:rsidRPr="00A52A6B">
        <w:rPr>
          <w:rFonts w:ascii="Palatino Linotype" w:hAnsi="Palatino Linotype"/>
        </w:rPr>
        <w:t xml:space="preserve">, frecuencia de </w:t>
      </w:r>
      <w:proofErr w:type="spellStart"/>
      <w:r w:rsidR="007A12FF" w:rsidRPr="00A52A6B">
        <w:rPr>
          <w:rFonts w:ascii="Palatino Linotype" w:hAnsi="Palatino Linotype"/>
        </w:rPr>
        <w:t>medición</w:t>
      </w:r>
      <w:proofErr w:type="spellEnd"/>
      <w:r w:rsidR="007A12FF" w:rsidRPr="00A52A6B">
        <w:rPr>
          <w:rFonts w:ascii="Palatino Linotype" w:hAnsi="Palatino Linotype"/>
        </w:rPr>
        <w:t xml:space="preserve">, nombre de las bases de datos utilizadas para su </w:t>
      </w:r>
      <w:proofErr w:type="spellStart"/>
      <w:r w:rsidR="007A12FF" w:rsidRPr="00A52A6B">
        <w:rPr>
          <w:rFonts w:ascii="Palatino Linotype" w:hAnsi="Palatino Linotype"/>
        </w:rPr>
        <w:t>cálculo</w:t>
      </w:r>
      <w:proofErr w:type="spellEnd"/>
      <w:r w:rsidR="007A12FF" w:rsidRPr="00A52A6B">
        <w:rPr>
          <w:rFonts w:ascii="Palatino Linotype" w:hAnsi="Palatino Linotype"/>
        </w:rPr>
        <w:t xml:space="preserve">; m)formas de </w:t>
      </w:r>
      <w:proofErr w:type="spellStart"/>
      <w:r w:rsidR="007A12FF" w:rsidRPr="00A52A6B">
        <w:rPr>
          <w:rFonts w:ascii="Palatino Linotype" w:hAnsi="Palatino Linotype"/>
        </w:rPr>
        <w:t>participación</w:t>
      </w:r>
      <w:proofErr w:type="spellEnd"/>
      <w:r w:rsidR="007A12FF" w:rsidRPr="00A52A6B">
        <w:rPr>
          <w:rFonts w:ascii="Palatino Linotype" w:hAnsi="Palatino Linotype"/>
        </w:rPr>
        <w:t xml:space="preserve"> social; n) </w:t>
      </w:r>
      <w:proofErr w:type="spellStart"/>
      <w:r w:rsidR="007A12FF" w:rsidRPr="00A52A6B">
        <w:rPr>
          <w:rFonts w:ascii="Palatino Linotype" w:hAnsi="Palatino Linotype"/>
        </w:rPr>
        <w:t>articulación</w:t>
      </w:r>
      <w:proofErr w:type="spellEnd"/>
      <w:r w:rsidR="007A12FF" w:rsidRPr="00A52A6B">
        <w:rPr>
          <w:rFonts w:ascii="Palatino Linotype" w:hAnsi="Palatino Linotype"/>
        </w:rPr>
        <w:t xml:space="preserve"> con otros programas sociales; ñ) </w:t>
      </w:r>
      <w:proofErr w:type="spellStart"/>
      <w:r w:rsidR="007A12FF" w:rsidRPr="00A52A6B">
        <w:rPr>
          <w:rFonts w:ascii="Palatino Linotype" w:hAnsi="Palatino Linotype"/>
        </w:rPr>
        <w:t>vínculo</w:t>
      </w:r>
      <w:proofErr w:type="spellEnd"/>
      <w:r w:rsidR="007A12FF" w:rsidRPr="00A52A6B">
        <w:rPr>
          <w:rFonts w:ascii="Palatino Linotype" w:hAnsi="Palatino Linotype"/>
        </w:rPr>
        <w:t xml:space="preserve"> a las reglas de </w:t>
      </w:r>
      <w:proofErr w:type="spellStart"/>
      <w:r w:rsidR="007A12FF" w:rsidRPr="00A52A6B">
        <w:rPr>
          <w:rFonts w:ascii="Palatino Linotype" w:hAnsi="Palatino Linotype"/>
        </w:rPr>
        <w:t>operación</w:t>
      </w:r>
      <w:proofErr w:type="spellEnd"/>
      <w:r w:rsidR="007A12FF" w:rsidRPr="00A52A6B">
        <w:rPr>
          <w:rFonts w:ascii="Palatino Linotype" w:hAnsi="Palatino Linotype"/>
        </w:rPr>
        <w:t xml:space="preserve"> o </w:t>
      </w:r>
      <w:r w:rsidR="007A12FF" w:rsidRPr="00A52A6B">
        <w:rPr>
          <w:rFonts w:ascii="Palatino Linotype" w:hAnsi="Palatino Linotype"/>
        </w:rPr>
        <w:lastRenderedPageBreak/>
        <w:t xml:space="preserve">documento equivalente; o) informes </w:t>
      </w:r>
      <w:proofErr w:type="spellStart"/>
      <w:r w:rsidR="007A12FF" w:rsidRPr="00A52A6B">
        <w:rPr>
          <w:rFonts w:ascii="Palatino Linotype" w:hAnsi="Palatino Linotype"/>
        </w:rPr>
        <w:t>periódicos</w:t>
      </w:r>
      <w:proofErr w:type="spellEnd"/>
      <w:r w:rsidR="007A12FF" w:rsidRPr="00A52A6B">
        <w:rPr>
          <w:rFonts w:ascii="Palatino Linotype" w:hAnsi="Palatino Linotype"/>
        </w:rPr>
        <w:t xml:space="preserve"> sobre la </w:t>
      </w:r>
      <w:proofErr w:type="spellStart"/>
      <w:r w:rsidR="007A12FF" w:rsidRPr="00A52A6B">
        <w:rPr>
          <w:rFonts w:ascii="Palatino Linotype" w:hAnsi="Palatino Linotype"/>
        </w:rPr>
        <w:t>ejecución</w:t>
      </w:r>
      <w:proofErr w:type="spellEnd"/>
      <w:r w:rsidR="007A12FF" w:rsidRPr="00A52A6B">
        <w:rPr>
          <w:rFonts w:ascii="Palatino Linotype" w:hAnsi="Palatino Linotype"/>
        </w:rPr>
        <w:t xml:space="preserve"> y los resultados de las evaluaciones realizadas; y p) </w:t>
      </w:r>
      <w:proofErr w:type="spellStart"/>
      <w:r w:rsidR="007A12FF" w:rsidRPr="00A52A6B">
        <w:rPr>
          <w:rFonts w:ascii="Palatino Linotype" w:hAnsi="Palatino Linotype"/>
        </w:rPr>
        <w:t>padrón</w:t>
      </w:r>
      <w:proofErr w:type="spellEnd"/>
      <w:r w:rsidR="007A12FF" w:rsidRPr="00A52A6B">
        <w:rPr>
          <w:rFonts w:ascii="Palatino Linotype" w:hAnsi="Palatino Linotype"/>
        </w:rPr>
        <w:t xml:space="preserve"> de beneficiarios mismo que </w:t>
      </w:r>
      <w:proofErr w:type="spellStart"/>
      <w:r w:rsidR="007A12FF" w:rsidRPr="00A52A6B">
        <w:rPr>
          <w:rFonts w:ascii="Palatino Linotype" w:hAnsi="Palatino Linotype"/>
        </w:rPr>
        <w:t>debera</w:t>
      </w:r>
      <w:proofErr w:type="spellEnd"/>
      <w:r w:rsidR="007A12FF" w:rsidRPr="00A52A6B">
        <w:rPr>
          <w:rFonts w:ascii="Palatino Linotype" w:hAnsi="Palatino Linotype"/>
        </w:rPr>
        <w:t xml:space="preserve">́ contener los siguientes datos: nombre de la persona </w:t>
      </w:r>
      <w:proofErr w:type="spellStart"/>
      <w:r w:rsidR="007A12FF" w:rsidRPr="00A52A6B">
        <w:rPr>
          <w:rFonts w:ascii="Palatino Linotype" w:hAnsi="Palatino Linotype"/>
        </w:rPr>
        <w:t>física</w:t>
      </w:r>
      <w:proofErr w:type="spellEnd"/>
      <w:r w:rsidR="007A12FF" w:rsidRPr="00A52A6B">
        <w:rPr>
          <w:rFonts w:ascii="Palatino Linotype" w:hAnsi="Palatino Linotype"/>
        </w:rPr>
        <w:t xml:space="preserve"> o </w:t>
      </w:r>
      <w:proofErr w:type="spellStart"/>
      <w:r w:rsidR="007A12FF" w:rsidRPr="00A52A6B">
        <w:rPr>
          <w:rFonts w:ascii="Palatino Linotype" w:hAnsi="Palatino Linotype"/>
        </w:rPr>
        <w:t>denominación</w:t>
      </w:r>
      <w:proofErr w:type="spellEnd"/>
      <w:r w:rsidR="007A12FF" w:rsidRPr="00A52A6B">
        <w:rPr>
          <w:rFonts w:ascii="Palatino Linotype" w:hAnsi="Palatino Linotype"/>
        </w:rPr>
        <w:t xml:space="preserve"> social de las personas </w:t>
      </w:r>
      <w:proofErr w:type="spellStart"/>
      <w:r w:rsidR="007A12FF" w:rsidRPr="00A52A6B">
        <w:rPr>
          <w:rFonts w:ascii="Palatino Linotype" w:hAnsi="Palatino Linotype"/>
        </w:rPr>
        <w:t>jurídicas</w:t>
      </w:r>
      <w:proofErr w:type="spellEnd"/>
      <w:r w:rsidR="007A12FF" w:rsidRPr="00A52A6B">
        <w:rPr>
          <w:rFonts w:ascii="Palatino Linotype" w:hAnsi="Palatino Linotype"/>
        </w:rPr>
        <w:t xml:space="preserve"> colectivas beneficiadas, el monto, recurso, beneficio o apoyo otorgado para cada una de ellas, unidad territorial, en su caso, edad y sexo, constituye información pública de oficio conforme al artículo 92, fracción XIV de la Ley de Transparencia y Acceso a la Información Pública del Estado de México y Municipios</w:t>
      </w:r>
      <w:r w:rsidR="007A12FF" w:rsidRPr="00A52A6B">
        <w:rPr>
          <w:rFonts w:ascii="Palatino Linotype" w:hAnsi="Palatino Linotype"/>
          <w:b/>
        </w:rPr>
        <w:t>; 2.</w:t>
      </w:r>
      <w:r w:rsidR="007A12FF" w:rsidRPr="00A52A6B">
        <w:rPr>
          <w:rFonts w:ascii="Palatino Linotype" w:hAnsi="Palatino Linotype"/>
        </w:rPr>
        <w:t xml:space="preserve"> La </w:t>
      </w:r>
      <w:proofErr w:type="spellStart"/>
      <w:r w:rsidR="007A12FF" w:rsidRPr="00A52A6B">
        <w:rPr>
          <w:rFonts w:ascii="Palatino Linotype" w:hAnsi="Palatino Linotype"/>
        </w:rPr>
        <w:t>información</w:t>
      </w:r>
      <w:proofErr w:type="spellEnd"/>
      <w:r w:rsidR="007A12FF" w:rsidRPr="00A52A6B">
        <w:rPr>
          <w:rFonts w:ascii="Palatino Linotype" w:hAnsi="Palatino Linotype"/>
        </w:rPr>
        <w:t xml:space="preserve"> de los programas de subsidios, </w:t>
      </w:r>
      <w:proofErr w:type="spellStart"/>
      <w:r w:rsidR="007A12FF" w:rsidRPr="00A52A6B">
        <w:rPr>
          <w:rFonts w:ascii="Palatino Linotype" w:hAnsi="Palatino Linotype"/>
        </w:rPr>
        <w:t>estímulos</w:t>
      </w:r>
      <w:proofErr w:type="spellEnd"/>
      <w:r w:rsidR="007A12FF" w:rsidRPr="00A52A6B">
        <w:rPr>
          <w:rFonts w:ascii="Palatino Linotype" w:hAnsi="Palatino Linotype"/>
        </w:rPr>
        <w:t xml:space="preserve"> y apoyos otorgados por el ayuntamiento a través de cualquiera de sus </w:t>
      </w:r>
      <w:proofErr w:type="spellStart"/>
      <w:r w:rsidR="007A12FF" w:rsidRPr="00A52A6B">
        <w:rPr>
          <w:rFonts w:ascii="Palatino Linotype" w:hAnsi="Palatino Linotype"/>
        </w:rPr>
        <w:t>áreas</w:t>
      </w:r>
      <w:proofErr w:type="spellEnd"/>
      <w:r w:rsidR="007A12FF" w:rsidRPr="00A52A6B">
        <w:rPr>
          <w:rFonts w:ascii="Palatino Linotype" w:hAnsi="Palatino Linotype"/>
        </w:rPr>
        <w:t xml:space="preserve"> y/o el sistema municipal DIF, vinculados con los acuerdos de cabildo aprobados para transferir al DIF recursos municipales para otorgar apoyos diversos con motivo de la pandemia por </w:t>
      </w:r>
      <w:proofErr w:type="spellStart"/>
      <w:r w:rsidR="007A12FF" w:rsidRPr="00A52A6B">
        <w:rPr>
          <w:rFonts w:ascii="Palatino Linotype" w:hAnsi="Palatino Linotype"/>
        </w:rPr>
        <w:t>Covid</w:t>
      </w:r>
      <w:proofErr w:type="spellEnd"/>
      <w:r w:rsidR="007A12FF" w:rsidRPr="00A52A6B">
        <w:rPr>
          <w:rFonts w:ascii="Palatino Linotype" w:hAnsi="Palatino Linotype"/>
        </w:rPr>
        <w:t xml:space="preserve"> 19, en el que se </w:t>
      </w:r>
      <w:proofErr w:type="spellStart"/>
      <w:r w:rsidR="007A12FF" w:rsidRPr="00A52A6B">
        <w:rPr>
          <w:rFonts w:ascii="Palatino Linotype" w:hAnsi="Palatino Linotype"/>
        </w:rPr>
        <w:t>debera</w:t>
      </w:r>
      <w:proofErr w:type="spellEnd"/>
      <w:r w:rsidR="007A12FF" w:rsidRPr="00A52A6B">
        <w:rPr>
          <w:rFonts w:ascii="Palatino Linotype" w:hAnsi="Palatino Linotype"/>
        </w:rPr>
        <w:t xml:space="preserve">́ informar respecto de los programas de transferencia, de servicios, de infraestructura social y de subsidio, en los que se </w:t>
      </w:r>
      <w:proofErr w:type="spellStart"/>
      <w:r w:rsidR="007A12FF" w:rsidRPr="00A52A6B">
        <w:rPr>
          <w:rFonts w:ascii="Palatino Linotype" w:hAnsi="Palatino Linotype"/>
        </w:rPr>
        <w:t>debera</w:t>
      </w:r>
      <w:proofErr w:type="spellEnd"/>
      <w:r w:rsidR="007A12FF" w:rsidRPr="00A52A6B">
        <w:rPr>
          <w:rFonts w:ascii="Palatino Linotype" w:hAnsi="Palatino Linotype"/>
        </w:rPr>
        <w:t xml:space="preserve">́ contener el a) </w:t>
      </w:r>
      <w:proofErr w:type="spellStart"/>
      <w:r w:rsidR="007A12FF" w:rsidRPr="00A52A6B">
        <w:rPr>
          <w:rFonts w:ascii="Palatino Linotype" w:hAnsi="Palatino Linotype"/>
        </w:rPr>
        <w:t>área</w:t>
      </w:r>
      <w:proofErr w:type="spellEnd"/>
      <w:r w:rsidR="007A12FF" w:rsidRPr="00A52A6B">
        <w:rPr>
          <w:rFonts w:ascii="Palatino Linotype" w:hAnsi="Palatino Linotype"/>
        </w:rPr>
        <w:t xml:space="preserve">; b) </w:t>
      </w:r>
      <w:proofErr w:type="spellStart"/>
      <w:r w:rsidR="007A12FF" w:rsidRPr="00A52A6B">
        <w:rPr>
          <w:rFonts w:ascii="Palatino Linotype" w:hAnsi="Palatino Linotype"/>
        </w:rPr>
        <w:t>denominación</w:t>
      </w:r>
      <w:proofErr w:type="spellEnd"/>
      <w:r w:rsidR="007A12FF" w:rsidRPr="00A52A6B">
        <w:rPr>
          <w:rFonts w:ascii="Palatino Linotype" w:hAnsi="Palatino Linotype"/>
        </w:rPr>
        <w:t xml:space="preserve"> del programa; c) periodo de vigencia; d) </w:t>
      </w:r>
      <w:proofErr w:type="spellStart"/>
      <w:r w:rsidR="007A12FF" w:rsidRPr="00A52A6B">
        <w:rPr>
          <w:rFonts w:ascii="Palatino Linotype" w:hAnsi="Palatino Linotype"/>
        </w:rPr>
        <w:t>diseño</w:t>
      </w:r>
      <w:proofErr w:type="spellEnd"/>
      <w:r w:rsidR="007A12FF" w:rsidRPr="00A52A6B">
        <w:rPr>
          <w:rFonts w:ascii="Palatino Linotype" w:hAnsi="Palatino Linotype"/>
        </w:rPr>
        <w:t xml:space="preserve">, objetivos y alcances; e) metas </w:t>
      </w:r>
      <w:proofErr w:type="spellStart"/>
      <w:r w:rsidR="007A12FF" w:rsidRPr="00A52A6B">
        <w:rPr>
          <w:rFonts w:ascii="Palatino Linotype" w:hAnsi="Palatino Linotype"/>
        </w:rPr>
        <w:t>físicas</w:t>
      </w:r>
      <w:proofErr w:type="spellEnd"/>
      <w:r w:rsidR="007A12FF" w:rsidRPr="00A52A6B">
        <w:rPr>
          <w:rFonts w:ascii="Palatino Linotype" w:hAnsi="Palatino Linotype"/>
        </w:rPr>
        <w:t xml:space="preserve">; f) </w:t>
      </w:r>
      <w:proofErr w:type="spellStart"/>
      <w:r w:rsidR="007A12FF" w:rsidRPr="00A52A6B">
        <w:rPr>
          <w:rFonts w:ascii="Palatino Linotype" w:hAnsi="Palatino Linotype"/>
        </w:rPr>
        <w:t>población</w:t>
      </w:r>
      <w:proofErr w:type="spellEnd"/>
      <w:r w:rsidR="007A12FF" w:rsidRPr="00A52A6B">
        <w:rPr>
          <w:rFonts w:ascii="Palatino Linotype" w:hAnsi="Palatino Linotype"/>
        </w:rPr>
        <w:t xml:space="preserve"> beneficiada estimada; g) monto aprobado, modificado y ejercido, </w:t>
      </w:r>
      <w:proofErr w:type="spellStart"/>
      <w:r w:rsidR="007A12FF" w:rsidRPr="00A52A6B">
        <w:rPr>
          <w:rFonts w:ascii="Palatino Linotype" w:hAnsi="Palatino Linotype"/>
        </w:rPr>
        <w:t>asi</w:t>
      </w:r>
      <w:proofErr w:type="spellEnd"/>
      <w:r w:rsidR="007A12FF" w:rsidRPr="00A52A6B">
        <w:rPr>
          <w:rFonts w:ascii="Palatino Linotype" w:hAnsi="Palatino Linotype"/>
        </w:rPr>
        <w:t xml:space="preserve">́ como los calendarios de su </w:t>
      </w:r>
      <w:proofErr w:type="spellStart"/>
      <w:r w:rsidR="007A12FF" w:rsidRPr="00A52A6B">
        <w:rPr>
          <w:rFonts w:ascii="Palatino Linotype" w:hAnsi="Palatino Linotype"/>
        </w:rPr>
        <w:t>programación</w:t>
      </w:r>
      <w:proofErr w:type="spellEnd"/>
      <w:r w:rsidR="007A12FF" w:rsidRPr="00A52A6B">
        <w:rPr>
          <w:rFonts w:ascii="Palatino Linotype" w:hAnsi="Palatino Linotype"/>
        </w:rPr>
        <w:t xml:space="preserve"> presupuestal; h) requisitos y procedimientos de acceso; i) procedimiento de queja o inconformidad ciudadana; j) mecanismos de exigibilidad; k) mecanismos e informes de </w:t>
      </w:r>
      <w:proofErr w:type="spellStart"/>
      <w:r w:rsidR="007A12FF" w:rsidRPr="00A52A6B">
        <w:rPr>
          <w:rFonts w:ascii="Palatino Linotype" w:hAnsi="Palatino Linotype"/>
        </w:rPr>
        <w:t>evaluación</w:t>
      </w:r>
      <w:proofErr w:type="spellEnd"/>
      <w:r w:rsidR="007A12FF" w:rsidRPr="00A52A6B">
        <w:rPr>
          <w:rFonts w:ascii="Palatino Linotype" w:hAnsi="Palatino Linotype"/>
        </w:rPr>
        <w:t xml:space="preserve"> y seguimiento de recomendaciones; l) indicadores con nombre, </w:t>
      </w:r>
      <w:proofErr w:type="spellStart"/>
      <w:r w:rsidR="007A12FF" w:rsidRPr="00A52A6B">
        <w:rPr>
          <w:rFonts w:ascii="Palatino Linotype" w:hAnsi="Palatino Linotype"/>
        </w:rPr>
        <w:t>definición</w:t>
      </w:r>
      <w:proofErr w:type="spellEnd"/>
      <w:r w:rsidR="007A12FF" w:rsidRPr="00A52A6B">
        <w:rPr>
          <w:rFonts w:ascii="Palatino Linotype" w:hAnsi="Palatino Linotype"/>
        </w:rPr>
        <w:t xml:space="preserve">, método de </w:t>
      </w:r>
      <w:proofErr w:type="spellStart"/>
      <w:r w:rsidR="007A12FF" w:rsidRPr="00A52A6B">
        <w:rPr>
          <w:rFonts w:ascii="Palatino Linotype" w:hAnsi="Palatino Linotype"/>
        </w:rPr>
        <w:t>cálculo</w:t>
      </w:r>
      <w:proofErr w:type="spellEnd"/>
      <w:r w:rsidR="007A12FF" w:rsidRPr="00A52A6B">
        <w:rPr>
          <w:rFonts w:ascii="Palatino Linotype" w:hAnsi="Palatino Linotype"/>
        </w:rPr>
        <w:t xml:space="preserve">, unidad de medida; </w:t>
      </w:r>
      <w:proofErr w:type="spellStart"/>
      <w:r w:rsidR="007A12FF" w:rsidRPr="00A52A6B">
        <w:rPr>
          <w:rFonts w:ascii="Palatino Linotype" w:hAnsi="Palatino Linotype"/>
        </w:rPr>
        <w:t>dimensión</w:t>
      </w:r>
      <w:proofErr w:type="spellEnd"/>
      <w:r w:rsidR="007A12FF" w:rsidRPr="00A52A6B">
        <w:rPr>
          <w:rFonts w:ascii="Palatino Linotype" w:hAnsi="Palatino Linotype"/>
        </w:rPr>
        <w:t xml:space="preserve">, frecuencia de </w:t>
      </w:r>
      <w:proofErr w:type="spellStart"/>
      <w:r w:rsidR="007A12FF" w:rsidRPr="00A52A6B">
        <w:rPr>
          <w:rFonts w:ascii="Palatino Linotype" w:hAnsi="Palatino Linotype"/>
        </w:rPr>
        <w:t>medición</w:t>
      </w:r>
      <w:proofErr w:type="spellEnd"/>
      <w:r w:rsidR="007A12FF" w:rsidRPr="00A52A6B">
        <w:rPr>
          <w:rFonts w:ascii="Palatino Linotype" w:hAnsi="Palatino Linotype"/>
        </w:rPr>
        <w:t xml:space="preserve">, nombre de las bases de datos utilizadas para su </w:t>
      </w:r>
      <w:proofErr w:type="spellStart"/>
      <w:r w:rsidR="007A12FF" w:rsidRPr="00A52A6B">
        <w:rPr>
          <w:rFonts w:ascii="Palatino Linotype" w:hAnsi="Palatino Linotype"/>
        </w:rPr>
        <w:t>cálculo</w:t>
      </w:r>
      <w:proofErr w:type="spellEnd"/>
      <w:r w:rsidR="007A12FF" w:rsidRPr="00A52A6B">
        <w:rPr>
          <w:rFonts w:ascii="Palatino Linotype" w:hAnsi="Palatino Linotype"/>
        </w:rPr>
        <w:t xml:space="preserve">; m) formas de </w:t>
      </w:r>
      <w:proofErr w:type="spellStart"/>
      <w:r w:rsidR="007A12FF" w:rsidRPr="00A52A6B">
        <w:rPr>
          <w:rFonts w:ascii="Palatino Linotype" w:hAnsi="Palatino Linotype"/>
        </w:rPr>
        <w:t>participación</w:t>
      </w:r>
      <w:proofErr w:type="spellEnd"/>
      <w:r w:rsidR="007A12FF" w:rsidRPr="00A52A6B">
        <w:rPr>
          <w:rFonts w:ascii="Palatino Linotype" w:hAnsi="Palatino Linotype"/>
        </w:rPr>
        <w:t xml:space="preserve"> social; n) </w:t>
      </w:r>
      <w:proofErr w:type="spellStart"/>
      <w:r w:rsidR="007A12FF" w:rsidRPr="00A52A6B">
        <w:rPr>
          <w:rFonts w:ascii="Palatino Linotype" w:hAnsi="Palatino Linotype"/>
        </w:rPr>
        <w:t>articulación</w:t>
      </w:r>
      <w:proofErr w:type="spellEnd"/>
      <w:r w:rsidR="007A12FF" w:rsidRPr="00A52A6B">
        <w:rPr>
          <w:rFonts w:ascii="Palatino Linotype" w:hAnsi="Palatino Linotype"/>
        </w:rPr>
        <w:t xml:space="preserve"> con otros programas </w:t>
      </w:r>
      <w:r w:rsidR="007A12FF" w:rsidRPr="00A52A6B">
        <w:rPr>
          <w:rFonts w:ascii="Palatino Linotype" w:hAnsi="Palatino Linotype"/>
        </w:rPr>
        <w:lastRenderedPageBreak/>
        <w:t xml:space="preserve">sociales; ñ) </w:t>
      </w:r>
      <w:proofErr w:type="spellStart"/>
      <w:r w:rsidR="007A12FF" w:rsidRPr="00A52A6B">
        <w:rPr>
          <w:rFonts w:ascii="Palatino Linotype" w:hAnsi="Palatino Linotype"/>
        </w:rPr>
        <w:t>vínculo</w:t>
      </w:r>
      <w:proofErr w:type="spellEnd"/>
      <w:r w:rsidR="007A12FF" w:rsidRPr="00A52A6B">
        <w:rPr>
          <w:rFonts w:ascii="Palatino Linotype" w:hAnsi="Palatino Linotype"/>
        </w:rPr>
        <w:t xml:space="preserve"> a las reglas de </w:t>
      </w:r>
      <w:proofErr w:type="spellStart"/>
      <w:r w:rsidR="007A12FF" w:rsidRPr="00A52A6B">
        <w:rPr>
          <w:rFonts w:ascii="Palatino Linotype" w:hAnsi="Palatino Linotype"/>
        </w:rPr>
        <w:t>operación</w:t>
      </w:r>
      <w:proofErr w:type="spellEnd"/>
      <w:r w:rsidR="007A12FF" w:rsidRPr="00A52A6B">
        <w:rPr>
          <w:rFonts w:ascii="Palatino Linotype" w:hAnsi="Palatino Linotype"/>
        </w:rPr>
        <w:t xml:space="preserve"> o documento equivalente; o) informes </w:t>
      </w:r>
      <w:proofErr w:type="spellStart"/>
      <w:r w:rsidR="007A12FF" w:rsidRPr="00A52A6B">
        <w:rPr>
          <w:rFonts w:ascii="Palatino Linotype" w:hAnsi="Palatino Linotype"/>
        </w:rPr>
        <w:t>periódicos</w:t>
      </w:r>
      <w:proofErr w:type="spellEnd"/>
      <w:r w:rsidR="007A12FF" w:rsidRPr="00A52A6B">
        <w:rPr>
          <w:rFonts w:ascii="Palatino Linotype" w:hAnsi="Palatino Linotype"/>
        </w:rPr>
        <w:t xml:space="preserve"> sobre la </w:t>
      </w:r>
      <w:proofErr w:type="spellStart"/>
      <w:r w:rsidR="007A12FF" w:rsidRPr="00A52A6B">
        <w:rPr>
          <w:rFonts w:ascii="Palatino Linotype" w:hAnsi="Palatino Linotype"/>
        </w:rPr>
        <w:t>ejecución</w:t>
      </w:r>
      <w:proofErr w:type="spellEnd"/>
      <w:r w:rsidR="007A12FF" w:rsidRPr="00A52A6B">
        <w:rPr>
          <w:rFonts w:ascii="Palatino Linotype" w:hAnsi="Palatino Linotype"/>
        </w:rPr>
        <w:t xml:space="preserve"> y los resultados de las evaluaciones realizadas; y p) </w:t>
      </w:r>
      <w:proofErr w:type="spellStart"/>
      <w:r w:rsidR="007A12FF" w:rsidRPr="00A52A6B">
        <w:rPr>
          <w:rFonts w:ascii="Palatino Linotype" w:hAnsi="Palatino Linotype"/>
        </w:rPr>
        <w:t>padrón</w:t>
      </w:r>
      <w:proofErr w:type="spellEnd"/>
      <w:r w:rsidR="007A12FF" w:rsidRPr="00A52A6B">
        <w:rPr>
          <w:rFonts w:ascii="Palatino Linotype" w:hAnsi="Palatino Linotype"/>
        </w:rPr>
        <w:t xml:space="preserve"> de beneficiarios mismo que </w:t>
      </w:r>
      <w:proofErr w:type="spellStart"/>
      <w:r w:rsidR="007A12FF" w:rsidRPr="00A52A6B">
        <w:rPr>
          <w:rFonts w:ascii="Palatino Linotype" w:hAnsi="Palatino Linotype"/>
        </w:rPr>
        <w:t>debera</w:t>
      </w:r>
      <w:proofErr w:type="spellEnd"/>
      <w:r w:rsidR="007A12FF" w:rsidRPr="00A52A6B">
        <w:rPr>
          <w:rFonts w:ascii="Palatino Linotype" w:hAnsi="Palatino Linotype"/>
        </w:rPr>
        <w:t xml:space="preserve">́ contener los siguientes datos: nombre de la persona </w:t>
      </w:r>
      <w:proofErr w:type="spellStart"/>
      <w:r w:rsidR="007A12FF" w:rsidRPr="00A52A6B">
        <w:rPr>
          <w:rFonts w:ascii="Palatino Linotype" w:hAnsi="Palatino Linotype"/>
        </w:rPr>
        <w:t>física</w:t>
      </w:r>
      <w:proofErr w:type="spellEnd"/>
      <w:r w:rsidR="007A12FF" w:rsidRPr="00A52A6B">
        <w:rPr>
          <w:rFonts w:ascii="Palatino Linotype" w:hAnsi="Palatino Linotype"/>
        </w:rPr>
        <w:t xml:space="preserve"> o </w:t>
      </w:r>
      <w:proofErr w:type="spellStart"/>
      <w:r w:rsidR="007A12FF" w:rsidRPr="00A52A6B">
        <w:rPr>
          <w:rFonts w:ascii="Palatino Linotype" w:hAnsi="Palatino Linotype"/>
        </w:rPr>
        <w:t>denominación</w:t>
      </w:r>
      <w:proofErr w:type="spellEnd"/>
      <w:r w:rsidR="007A12FF" w:rsidRPr="00A52A6B">
        <w:rPr>
          <w:rFonts w:ascii="Palatino Linotype" w:hAnsi="Palatino Linotype"/>
        </w:rPr>
        <w:t xml:space="preserve"> social de las personas </w:t>
      </w:r>
      <w:proofErr w:type="spellStart"/>
      <w:r w:rsidR="007A12FF" w:rsidRPr="00A52A6B">
        <w:rPr>
          <w:rFonts w:ascii="Palatino Linotype" w:hAnsi="Palatino Linotype"/>
        </w:rPr>
        <w:t>jurídicas</w:t>
      </w:r>
      <w:proofErr w:type="spellEnd"/>
      <w:r w:rsidR="007A12FF" w:rsidRPr="00A52A6B">
        <w:rPr>
          <w:rFonts w:ascii="Palatino Linotype" w:hAnsi="Palatino Linotype"/>
        </w:rPr>
        <w:t xml:space="preserve"> colectivas beneficiadas, el monto, recurso, beneficio o apoyo otorgado para cada una de ellas, unidad territorial, en su caso, edad y sexo, que constituye información pública de oficio conforme al artículo 92, fracción XIV de la Ley de Transparencia y Acceso a la Información Pública del Estado de México y Municipios; </w:t>
      </w:r>
      <w:r w:rsidR="007A12FF" w:rsidRPr="00A52A6B">
        <w:rPr>
          <w:rFonts w:ascii="Palatino Linotype" w:hAnsi="Palatino Linotype"/>
          <w:b/>
        </w:rPr>
        <w:t>3.</w:t>
      </w:r>
      <w:r w:rsidR="007A12FF" w:rsidRPr="00A52A6B">
        <w:rPr>
          <w:rFonts w:ascii="Palatino Linotype" w:hAnsi="Palatino Linotype"/>
        </w:rPr>
        <w:t xml:space="preserve"> La </w:t>
      </w:r>
      <w:proofErr w:type="spellStart"/>
      <w:r w:rsidR="007A12FF" w:rsidRPr="00A52A6B">
        <w:rPr>
          <w:rFonts w:ascii="Palatino Linotype" w:hAnsi="Palatino Linotype"/>
        </w:rPr>
        <w:t>relación</w:t>
      </w:r>
      <w:proofErr w:type="spellEnd"/>
      <w:r w:rsidR="007A12FF" w:rsidRPr="00A52A6B">
        <w:rPr>
          <w:rFonts w:ascii="Palatino Linotype" w:hAnsi="Palatino Linotype"/>
        </w:rPr>
        <w:t xml:space="preserve"> de contratistas beneficiados con la </w:t>
      </w:r>
      <w:proofErr w:type="spellStart"/>
      <w:r w:rsidR="007A12FF" w:rsidRPr="00A52A6B">
        <w:rPr>
          <w:rFonts w:ascii="Palatino Linotype" w:hAnsi="Palatino Linotype"/>
        </w:rPr>
        <w:t>adjudicación</w:t>
      </w:r>
      <w:proofErr w:type="spellEnd"/>
      <w:r w:rsidR="007A12FF" w:rsidRPr="00A52A6B">
        <w:rPr>
          <w:rFonts w:ascii="Palatino Linotype" w:hAnsi="Palatino Linotype"/>
        </w:rPr>
        <w:t xml:space="preserve"> de alguna obra durante el ejercicio dos mil diecinueve, incluyendo su nombre, </w:t>
      </w:r>
      <w:proofErr w:type="spellStart"/>
      <w:r w:rsidR="007A12FF" w:rsidRPr="00A52A6B">
        <w:rPr>
          <w:rFonts w:ascii="Palatino Linotype" w:hAnsi="Palatino Linotype"/>
        </w:rPr>
        <w:t>ubicación</w:t>
      </w:r>
      <w:proofErr w:type="spellEnd"/>
      <w:r w:rsidR="007A12FF" w:rsidRPr="00A52A6B">
        <w:rPr>
          <w:rFonts w:ascii="Palatino Linotype" w:hAnsi="Palatino Linotype"/>
        </w:rPr>
        <w:t xml:space="preserve"> y costo, que constituye información pública de oficio conforme al artículo 92, fracción XIV de la Ley de Transparencia y Acceso a la Información Pública del Estado de México y Municipios, que constituye información pública de oficio conforme al artículo 92, fracciones XXIX, inciso b, XXXI, XXXII y XXXVI de la Ley de Transparencia y Acceso a la Información Pública del Estado de México y Municipios; </w:t>
      </w:r>
      <w:r w:rsidR="007A12FF" w:rsidRPr="00A52A6B">
        <w:rPr>
          <w:rFonts w:ascii="Palatino Linotype" w:hAnsi="Palatino Linotype"/>
          <w:b/>
        </w:rPr>
        <w:t>4.</w:t>
      </w:r>
      <w:r w:rsidR="007A12FF" w:rsidRPr="00A52A6B">
        <w:rPr>
          <w:rFonts w:ascii="Palatino Linotype" w:hAnsi="Palatino Linotype"/>
        </w:rPr>
        <w:t xml:space="preserve"> La </w:t>
      </w:r>
      <w:proofErr w:type="spellStart"/>
      <w:r w:rsidR="007A12FF" w:rsidRPr="00A52A6B">
        <w:rPr>
          <w:rFonts w:ascii="Palatino Linotype" w:hAnsi="Palatino Linotype"/>
        </w:rPr>
        <w:t>relación</w:t>
      </w:r>
      <w:proofErr w:type="spellEnd"/>
      <w:r w:rsidR="007A12FF" w:rsidRPr="00A52A6B">
        <w:rPr>
          <w:rFonts w:ascii="Palatino Linotype" w:hAnsi="Palatino Linotype"/>
        </w:rPr>
        <w:t xml:space="preserve"> de todos los proveedores beneficiados, con la </w:t>
      </w:r>
      <w:proofErr w:type="spellStart"/>
      <w:r w:rsidR="007A12FF" w:rsidRPr="00A52A6B">
        <w:rPr>
          <w:rFonts w:ascii="Palatino Linotype" w:hAnsi="Palatino Linotype"/>
        </w:rPr>
        <w:t>adjudicación</w:t>
      </w:r>
      <w:proofErr w:type="spellEnd"/>
      <w:r w:rsidR="007A12FF" w:rsidRPr="00A52A6B">
        <w:rPr>
          <w:rFonts w:ascii="Palatino Linotype" w:hAnsi="Palatino Linotype"/>
        </w:rPr>
        <w:t xml:space="preserve"> de </w:t>
      </w:r>
      <w:proofErr w:type="spellStart"/>
      <w:r w:rsidR="007A12FF" w:rsidRPr="00A52A6B">
        <w:rPr>
          <w:rFonts w:ascii="Palatino Linotype" w:hAnsi="Palatino Linotype"/>
        </w:rPr>
        <w:t>algún</w:t>
      </w:r>
      <w:proofErr w:type="spellEnd"/>
      <w:r w:rsidR="007A12FF" w:rsidRPr="00A52A6B">
        <w:rPr>
          <w:rFonts w:ascii="Palatino Linotype" w:hAnsi="Palatino Linotype"/>
        </w:rPr>
        <w:t xml:space="preserve"> contrato de adquisiciones y/o servicios durante el ejercicio dos mil diecinueve, incluyendo su nombre, </w:t>
      </w:r>
      <w:proofErr w:type="spellStart"/>
      <w:r w:rsidR="007A12FF" w:rsidRPr="00A52A6B">
        <w:rPr>
          <w:rFonts w:ascii="Palatino Linotype" w:hAnsi="Palatino Linotype"/>
        </w:rPr>
        <w:t>ubicación</w:t>
      </w:r>
      <w:proofErr w:type="spellEnd"/>
      <w:r w:rsidR="007A12FF" w:rsidRPr="00A52A6B">
        <w:rPr>
          <w:rFonts w:ascii="Palatino Linotype" w:hAnsi="Palatino Linotype"/>
        </w:rPr>
        <w:t xml:space="preserve"> y costo, que constituye información pública de oficio conforme al artículo 92, fracciones XXIX, inciso b, XXXI, XXXII y XXXVI de la Ley de Transparencia y Acceso a la Información Pública del Estado de México y Municipios.</w:t>
      </w:r>
      <w:r w:rsidR="007A12FF" w:rsidRPr="00A52A6B">
        <w:rPr>
          <w:rFonts w:ascii="Palatino Linotype" w:hAnsi="Palatino Linotype"/>
          <w:i/>
        </w:rPr>
        <w:t xml:space="preserve"> </w:t>
      </w:r>
      <w:r w:rsidR="007A12FF" w:rsidRPr="00A52A6B">
        <w:rPr>
          <w:rFonts w:ascii="Palatino Linotype" w:hAnsi="Palatino Linotype"/>
        </w:rPr>
        <w:t xml:space="preserve">En la modalidad elegida por la persona recurrente de manera inicial, es decir, medio electrónico gratuito, tales como habilitar una liga electrónica que deberá </w:t>
      </w:r>
      <w:r w:rsidR="007A12FF" w:rsidRPr="00A52A6B">
        <w:rPr>
          <w:rFonts w:ascii="Palatino Linotype" w:hAnsi="Palatino Linotype"/>
        </w:rPr>
        <w:lastRenderedPageBreak/>
        <w:t>proporcionarle para que descargue los archivos -en caso de estar en posibilidad-; enviar la información a su cuenta de correo electrónico; concederle el acceso en disco compacto, con la posibilidad de envío mediante correo certificado, previo pago del costo del disco compacto y del envío, y darle la posibilidad de obtenerla de manera gratuita si la parte solicitante misma aporta el disco compacto o la memoria USB en la que se le proporcionarán los archivos electrónicos.</w:t>
      </w:r>
    </w:p>
    <w:p w14:paraId="53341FBA" w14:textId="77777777" w:rsidR="007A12FF" w:rsidRPr="00A52A6B" w:rsidRDefault="007A12FF" w:rsidP="007A12FF">
      <w:pPr>
        <w:pStyle w:val="Prrafodelista"/>
        <w:spacing w:before="240" w:after="240" w:line="360" w:lineRule="auto"/>
        <w:ind w:left="0"/>
        <w:jc w:val="both"/>
        <w:rPr>
          <w:rFonts w:ascii="Palatino Linotype" w:hAnsi="Palatino Linotype"/>
          <w:sz w:val="22"/>
          <w:lang w:val="es-ES_tradnl"/>
        </w:rPr>
      </w:pPr>
    </w:p>
    <w:p w14:paraId="11B1FD9D" w14:textId="77777777" w:rsidR="00892544" w:rsidRPr="00A52A6B" w:rsidRDefault="00892544" w:rsidP="007A12FF">
      <w:pPr>
        <w:pStyle w:val="Prrafodelista"/>
        <w:numPr>
          <w:ilvl w:val="0"/>
          <w:numId w:val="1"/>
        </w:numPr>
        <w:shd w:val="clear" w:color="auto" w:fill="FFFFFF"/>
        <w:tabs>
          <w:tab w:val="left" w:pos="0"/>
        </w:tabs>
        <w:spacing w:before="240" w:after="150" w:line="360" w:lineRule="auto"/>
        <w:ind w:left="0" w:right="49" w:firstLine="0"/>
        <w:jc w:val="both"/>
        <w:rPr>
          <w:rFonts w:ascii="Palatino Linotype" w:hAnsi="Palatino Linotype"/>
          <w:b/>
          <w:color w:val="000000" w:themeColor="text1"/>
        </w:rPr>
      </w:pPr>
      <w:r w:rsidRPr="00A52A6B">
        <w:rPr>
          <w:rFonts w:ascii="Palatino Linotype" w:hAnsi="Palatino Linotype"/>
          <w:b/>
          <w:color w:val="000000" w:themeColor="text1"/>
        </w:rPr>
        <w:t>QUINTO. De la versión pública.</w:t>
      </w:r>
      <w:bookmarkEnd w:id="18"/>
      <w:bookmarkEnd w:id="19"/>
      <w:bookmarkEnd w:id="20"/>
    </w:p>
    <w:p w14:paraId="745B17BF" w14:textId="77777777" w:rsidR="00892544" w:rsidRPr="00A52A6B" w:rsidRDefault="00892544" w:rsidP="00892544">
      <w:pPr>
        <w:pStyle w:val="Prrafodelista"/>
        <w:tabs>
          <w:tab w:val="left" w:pos="0"/>
        </w:tabs>
        <w:spacing w:line="360" w:lineRule="auto"/>
        <w:ind w:left="0" w:right="49"/>
        <w:jc w:val="both"/>
        <w:rPr>
          <w:rFonts w:ascii="Palatino Linotype" w:hAnsi="Palatino Linotype" w:cs="Arial"/>
          <w:color w:val="000000" w:themeColor="text1"/>
        </w:rPr>
      </w:pPr>
    </w:p>
    <w:p w14:paraId="65AADE90"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rPr>
        <w:t xml:space="preserve">Debe destacarse que debido a la naturaleza de </w:t>
      </w:r>
      <w:r w:rsidRPr="00A52A6B">
        <w:rPr>
          <w:rFonts w:ascii="Palatino Linotype" w:hAnsi="Palatino Linotype"/>
          <w:color w:val="000000" w:themeColor="text1"/>
        </w:rPr>
        <w:t xml:space="preserve">la información que se ordena entregar, </w:t>
      </w:r>
      <w:r w:rsidRPr="00A52A6B">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w:t>
      </w:r>
      <w:proofErr w:type="gramStart"/>
      <w:r w:rsidRPr="00A52A6B">
        <w:rPr>
          <w:rFonts w:ascii="Palatino Linotype" w:hAnsi="Palatino Linotype" w:cs="Arial"/>
          <w:color w:val="000000" w:themeColor="text1"/>
        </w:rPr>
        <w:t>tanto</w:t>
      </w:r>
      <w:proofErr w:type="gramEnd"/>
      <w:r w:rsidRPr="00A52A6B">
        <w:rPr>
          <w:rFonts w:ascii="Palatino Linotype" w:hAnsi="Palatino Linotype" w:cs="Arial"/>
          <w:color w:val="000000" w:themeColor="text1"/>
        </w:rPr>
        <w:t xml:space="preserve"> </w:t>
      </w:r>
      <w:r w:rsidRPr="00A52A6B">
        <w:rPr>
          <w:rFonts w:ascii="Palatino Linotype" w:hAnsi="Palatino Linotype"/>
          <w:color w:val="000000" w:themeColor="text1"/>
          <w:lang w:val="es-ES"/>
        </w:rPr>
        <w:t>la información solicitada se deberá entregar en versión pública.</w:t>
      </w:r>
    </w:p>
    <w:p w14:paraId="672934F8" w14:textId="77777777" w:rsidR="00892544" w:rsidRPr="00A52A6B" w:rsidRDefault="00892544" w:rsidP="00892544">
      <w:pPr>
        <w:pStyle w:val="Prrafodelista"/>
        <w:tabs>
          <w:tab w:val="left" w:pos="0"/>
        </w:tabs>
        <w:spacing w:line="360" w:lineRule="auto"/>
        <w:ind w:left="0" w:right="49"/>
        <w:jc w:val="both"/>
        <w:rPr>
          <w:rFonts w:ascii="Palatino Linotype" w:hAnsi="Palatino Linotype" w:cs="Arial"/>
          <w:color w:val="000000" w:themeColor="text1"/>
        </w:rPr>
      </w:pPr>
    </w:p>
    <w:p w14:paraId="32E1F532"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A52A6B">
        <w:rPr>
          <w:rFonts w:ascii="Palatino Linotype" w:hAnsi="Palatino Linotype" w:cs="Arial"/>
          <w:b/>
          <w:color w:val="000000" w:themeColor="text1"/>
        </w:rPr>
        <w:t xml:space="preserve">SUJETOS OBLIGADOS </w:t>
      </w:r>
      <w:r w:rsidRPr="00A52A6B">
        <w:rPr>
          <w:rFonts w:ascii="Palatino Linotype" w:hAnsi="Palatino Linotype" w:cs="Arial"/>
          <w:color w:val="000000" w:themeColor="text1"/>
        </w:rPr>
        <w:t>deberá de realizar el proceso de clasificación de información de acuerdo a las bases, principios y disposiciones que ley les señale.</w:t>
      </w:r>
    </w:p>
    <w:p w14:paraId="2188569C" w14:textId="77777777" w:rsidR="00892544" w:rsidRPr="00A52A6B" w:rsidRDefault="00892544" w:rsidP="00892544">
      <w:pPr>
        <w:pStyle w:val="Prrafodelista"/>
        <w:rPr>
          <w:rFonts w:ascii="Palatino Linotype" w:hAnsi="Palatino Linotype" w:cs="Arial"/>
          <w:color w:val="000000" w:themeColor="text1"/>
        </w:rPr>
      </w:pPr>
    </w:p>
    <w:p w14:paraId="066F512D"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rPr>
        <w:lastRenderedPageBreak/>
        <w:t>Así mismo los artículos 143 y 116 de la Ley Estatal y de la Ley General, respectivamente, señalan los supuestos para que la información pueda ser clasificada como confidencial:</w:t>
      </w:r>
    </w:p>
    <w:p w14:paraId="7789EF28" w14:textId="77777777" w:rsidR="00892544" w:rsidRPr="00A52A6B" w:rsidRDefault="00892544" w:rsidP="00892544">
      <w:pPr>
        <w:pStyle w:val="Prrafodelista"/>
        <w:rPr>
          <w:rFonts w:ascii="Palatino Linotype" w:hAnsi="Palatino Linotype" w:cs="Arial"/>
          <w:color w:val="000000" w:themeColor="text1"/>
        </w:rPr>
      </w:pPr>
    </w:p>
    <w:p w14:paraId="01A8BA23" w14:textId="77777777" w:rsidR="00892544" w:rsidRPr="00A52A6B" w:rsidRDefault="00892544" w:rsidP="00892544">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52A6B">
        <w:rPr>
          <w:rFonts w:ascii="Palatino Linotype" w:hAnsi="Palatino Linotype" w:cs="Bookman Old Style"/>
          <w:bCs/>
          <w:color w:val="000000" w:themeColor="text1"/>
        </w:rPr>
        <w:t xml:space="preserve">I. </w:t>
      </w:r>
      <w:r w:rsidRPr="00A52A6B">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40F973B5" w14:textId="77777777" w:rsidR="00892544" w:rsidRPr="00A52A6B" w:rsidRDefault="00892544" w:rsidP="00892544">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52A6B">
        <w:rPr>
          <w:rFonts w:ascii="Palatino Linotype" w:hAnsi="Palatino Linotype" w:cs="Bookman Old Style"/>
          <w:bCs/>
          <w:color w:val="000000" w:themeColor="text1"/>
        </w:rPr>
        <w:t xml:space="preserve">II. </w:t>
      </w:r>
      <w:r w:rsidRPr="00A52A6B">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CD8B9ED" w14:textId="77777777" w:rsidR="00892544" w:rsidRPr="00A52A6B" w:rsidRDefault="00892544" w:rsidP="00892544">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52A6B">
        <w:rPr>
          <w:rFonts w:ascii="Palatino Linotype" w:hAnsi="Palatino Linotype" w:cs="Bookman Old Style"/>
          <w:bCs/>
          <w:color w:val="000000" w:themeColor="text1"/>
        </w:rPr>
        <w:t xml:space="preserve">III. </w:t>
      </w:r>
      <w:r w:rsidRPr="00A52A6B">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61618FDD" w14:textId="77777777" w:rsidR="00892544" w:rsidRPr="00A52A6B" w:rsidRDefault="00892544" w:rsidP="00892544">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52A6B">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76D8F829" w14:textId="77777777" w:rsidR="00892544" w:rsidRPr="00A52A6B" w:rsidRDefault="00892544" w:rsidP="00892544">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52A6B">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7CB525CA" w14:textId="77777777" w:rsidR="00892544" w:rsidRPr="00A52A6B" w:rsidRDefault="00892544" w:rsidP="00892544">
      <w:pPr>
        <w:pStyle w:val="Prrafodelista"/>
        <w:rPr>
          <w:rFonts w:ascii="Palatino Linotype" w:hAnsi="Palatino Linotype" w:cs="Arial"/>
          <w:color w:val="000000" w:themeColor="text1"/>
        </w:rPr>
      </w:pPr>
    </w:p>
    <w:p w14:paraId="4C77C1F9"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A52A6B">
        <w:rPr>
          <w:rFonts w:ascii="Palatino Linotype" w:hAnsi="Palatino Linotype" w:cs="Arial"/>
          <w:color w:val="000000" w:themeColor="text1"/>
        </w:rPr>
        <w:lastRenderedPageBreak/>
        <w:t>condición y no se pueden ampliar las excepciones o supuestos de clasificación aduciendo analogía o mayoría de razón.</w:t>
      </w:r>
    </w:p>
    <w:p w14:paraId="29595695" w14:textId="77777777" w:rsidR="00892544" w:rsidRPr="00A52A6B" w:rsidRDefault="00892544" w:rsidP="00892544">
      <w:pPr>
        <w:pStyle w:val="Prrafodelista"/>
        <w:tabs>
          <w:tab w:val="left" w:pos="0"/>
        </w:tabs>
        <w:spacing w:line="360" w:lineRule="auto"/>
        <w:ind w:left="0" w:right="49"/>
        <w:jc w:val="both"/>
        <w:rPr>
          <w:rFonts w:ascii="Palatino Linotype" w:hAnsi="Palatino Linotype" w:cs="Arial"/>
          <w:color w:val="000000" w:themeColor="text1"/>
        </w:rPr>
      </w:pPr>
    </w:p>
    <w:p w14:paraId="635B65E6"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rPr>
        <w:t xml:space="preserve">Como consecuencia de lo anterior, el </w:t>
      </w:r>
      <w:r w:rsidRPr="00A52A6B">
        <w:rPr>
          <w:rFonts w:ascii="Palatino Linotype" w:hAnsi="Palatino Linotype" w:cs="Arial"/>
          <w:b/>
          <w:color w:val="000000" w:themeColor="text1"/>
        </w:rPr>
        <w:t>SUJETO OBLIGADO</w:t>
      </w:r>
      <w:r w:rsidRPr="00A52A6B">
        <w:rPr>
          <w:rFonts w:ascii="Palatino Linotype" w:hAnsi="Palatino Linotype" w:cs="Arial"/>
          <w:color w:val="000000" w:themeColor="text1"/>
        </w:rPr>
        <w:t xml:space="preserve"> debe identificar claramente el tipo de información y hacer un juicio de subsunción o encaje</w:t>
      </w:r>
      <w:r w:rsidRPr="00A52A6B">
        <w:rPr>
          <w:rStyle w:val="Refdenotaalpie"/>
          <w:rFonts w:ascii="Palatino Linotype" w:hAnsi="Palatino Linotype" w:cs="Arial"/>
          <w:color w:val="000000" w:themeColor="text1"/>
        </w:rPr>
        <w:footnoteReference w:id="13"/>
      </w:r>
      <w:r w:rsidRPr="00A52A6B">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461053E" w14:textId="77777777" w:rsidR="00892544" w:rsidRPr="00A52A6B" w:rsidRDefault="00892544" w:rsidP="00892544">
      <w:pPr>
        <w:pStyle w:val="Prrafodelista"/>
        <w:rPr>
          <w:rFonts w:ascii="Palatino Linotype" w:hAnsi="Palatino Linotype" w:cs="Arial"/>
          <w:color w:val="000000" w:themeColor="text1"/>
        </w:rPr>
      </w:pPr>
    </w:p>
    <w:p w14:paraId="5912E973"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4592B705" w14:textId="77777777" w:rsidR="00892544" w:rsidRPr="00A52A6B" w:rsidRDefault="00892544" w:rsidP="00892544">
      <w:pPr>
        <w:pStyle w:val="Prrafodelista"/>
        <w:tabs>
          <w:tab w:val="left" w:pos="0"/>
        </w:tabs>
        <w:spacing w:line="360" w:lineRule="auto"/>
        <w:ind w:left="0" w:right="49"/>
        <w:jc w:val="both"/>
        <w:rPr>
          <w:rFonts w:ascii="Palatino Linotype" w:hAnsi="Palatino Linotype" w:cs="Arial"/>
          <w:color w:val="000000" w:themeColor="text1"/>
        </w:rPr>
      </w:pPr>
    </w:p>
    <w:p w14:paraId="28841748" w14:textId="77777777" w:rsidR="00892544" w:rsidRPr="00A52A6B" w:rsidRDefault="00892544" w:rsidP="00892544">
      <w:pPr>
        <w:pStyle w:val="Ttulo2"/>
        <w:numPr>
          <w:ilvl w:val="0"/>
          <w:numId w:val="33"/>
        </w:numPr>
        <w:pBdr>
          <w:top w:val="nil"/>
          <w:left w:val="nil"/>
          <w:bottom w:val="nil"/>
          <w:right w:val="nil"/>
          <w:between w:val="nil"/>
          <w:bar w:val="nil"/>
        </w:pBdr>
        <w:spacing w:before="0" w:line="240" w:lineRule="auto"/>
        <w:ind w:left="0" w:firstLine="0"/>
        <w:rPr>
          <w:rFonts w:ascii="Palatino Linotype" w:hAnsi="Palatino Linotype"/>
          <w:b/>
          <w:color w:val="000000" w:themeColor="text1"/>
          <w:sz w:val="24"/>
          <w:szCs w:val="24"/>
        </w:rPr>
      </w:pPr>
      <w:bookmarkStart w:id="21" w:name="_Toc485733666"/>
      <w:bookmarkStart w:id="22" w:name="_Toc487139037"/>
      <w:bookmarkStart w:id="23" w:name="_Toc490060412"/>
      <w:bookmarkStart w:id="24" w:name="_Toc492468081"/>
      <w:bookmarkStart w:id="25" w:name="_Toc2878596"/>
      <w:bookmarkStart w:id="26" w:name="_Toc10711864"/>
      <w:bookmarkStart w:id="27" w:name="_Toc18609014"/>
      <w:bookmarkStart w:id="28" w:name="_Toc22130361"/>
      <w:bookmarkStart w:id="29" w:name="_Toc33809647"/>
      <w:bookmarkStart w:id="30" w:name="_Toc58504405"/>
      <w:bookmarkStart w:id="31" w:name="_Toc66304369"/>
      <w:r w:rsidRPr="00A52A6B">
        <w:rPr>
          <w:rFonts w:ascii="Palatino Linotype" w:hAnsi="Palatino Linotype"/>
          <w:b/>
          <w:color w:val="000000" w:themeColor="text1"/>
          <w:sz w:val="24"/>
          <w:szCs w:val="24"/>
        </w:rPr>
        <w:t>Requisitos de fondo del acuerdo de clasificación.</w:t>
      </w:r>
      <w:bookmarkEnd w:id="21"/>
      <w:bookmarkEnd w:id="22"/>
      <w:bookmarkEnd w:id="23"/>
      <w:bookmarkEnd w:id="24"/>
      <w:bookmarkEnd w:id="25"/>
      <w:bookmarkEnd w:id="26"/>
      <w:bookmarkEnd w:id="27"/>
      <w:bookmarkEnd w:id="28"/>
      <w:bookmarkEnd w:id="29"/>
      <w:bookmarkEnd w:id="30"/>
      <w:bookmarkEnd w:id="31"/>
    </w:p>
    <w:p w14:paraId="6E7DDE2D" w14:textId="77777777" w:rsidR="00892544" w:rsidRPr="00A52A6B" w:rsidRDefault="00892544" w:rsidP="00892544">
      <w:pPr>
        <w:pStyle w:val="Prrafodelista"/>
        <w:rPr>
          <w:rFonts w:ascii="Palatino Linotype" w:hAnsi="Palatino Linotype" w:cs="Arial"/>
          <w:color w:val="000000" w:themeColor="text1"/>
          <w:lang w:val="es-MX"/>
        </w:rPr>
      </w:pPr>
    </w:p>
    <w:p w14:paraId="6DC146F3"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ACBD9FB" w14:textId="77777777" w:rsidR="00892544" w:rsidRPr="00A52A6B" w:rsidRDefault="00892544" w:rsidP="00892544">
      <w:pPr>
        <w:pStyle w:val="Prrafodelista"/>
        <w:tabs>
          <w:tab w:val="left" w:pos="0"/>
        </w:tabs>
        <w:spacing w:line="360" w:lineRule="auto"/>
        <w:ind w:left="0" w:right="49"/>
        <w:jc w:val="both"/>
        <w:rPr>
          <w:rFonts w:ascii="Palatino Linotype" w:hAnsi="Palatino Linotype" w:cs="Arial"/>
          <w:color w:val="000000" w:themeColor="text1"/>
        </w:rPr>
      </w:pPr>
    </w:p>
    <w:p w14:paraId="697635D7"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olor w:val="000000" w:themeColor="text1"/>
        </w:rPr>
        <w:t xml:space="preserve">De lo anterior, se desprende </w:t>
      </w:r>
      <w:proofErr w:type="gramStart"/>
      <w:r w:rsidRPr="00A52A6B">
        <w:rPr>
          <w:rFonts w:ascii="Palatino Linotype" w:hAnsi="Palatino Linotype"/>
          <w:color w:val="000000" w:themeColor="text1"/>
        </w:rPr>
        <w:t>que</w:t>
      </w:r>
      <w:proofErr w:type="gramEnd"/>
      <w:r w:rsidRPr="00A52A6B">
        <w:rPr>
          <w:rFonts w:ascii="Palatino Linotype" w:hAnsi="Palatino Linotype"/>
          <w:color w:val="000000" w:themeColor="text1"/>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6FC7A21" w14:textId="77777777" w:rsidR="00892544" w:rsidRPr="00A52A6B" w:rsidRDefault="00892544" w:rsidP="00892544">
      <w:pPr>
        <w:pStyle w:val="Prrafodelista"/>
        <w:rPr>
          <w:rFonts w:ascii="Palatino Linotype" w:hAnsi="Palatino Linotype" w:cs="Arial"/>
          <w:color w:val="000000" w:themeColor="text1"/>
          <w:lang w:eastAsia="es-MX"/>
        </w:rPr>
      </w:pPr>
    </w:p>
    <w:p w14:paraId="4EE63BF3"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w:t>
      </w:r>
      <w:r w:rsidRPr="00A52A6B">
        <w:rPr>
          <w:rFonts w:ascii="Palatino Linotype" w:hAnsi="Palatino Linotype" w:cs="Arial"/>
          <w:color w:val="000000" w:themeColor="text1"/>
          <w:lang w:eastAsia="es-MX"/>
        </w:rPr>
        <w:lastRenderedPageBreak/>
        <w:t xml:space="preserve">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A52A6B">
        <w:rPr>
          <w:rFonts w:ascii="Palatino Linotype" w:hAnsi="Palatino Linotype" w:cs="Arial"/>
          <w:color w:val="000000" w:themeColor="text1"/>
          <w:lang w:eastAsia="es-MX"/>
        </w:rPr>
        <w:t>hecho....</w:t>
      </w:r>
      <w:proofErr w:type="gramEnd"/>
      <w:r w:rsidRPr="00A52A6B">
        <w:rPr>
          <w:rFonts w:ascii="Palatino Linotype" w:hAnsi="Palatino Linotype" w:cs="Arial"/>
          <w:color w:val="000000" w:themeColor="text1"/>
          <w:lang w:eastAsia="es-MX"/>
        </w:rPr>
        <w:t>”.</w:t>
      </w:r>
      <w:r w:rsidRPr="00A52A6B">
        <w:rPr>
          <w:rStyle w:val="Refdenotaalpie"/>
          <w:rFonts w:ascii="Palatino Linotype" w:hAnsi="Palatino Linotype" w:cs="Arial"/>
          <w:color w:val="000000" w:themeColor="text1"/>
          <w:lang w:eastAsia="es-MX"/>
        </w:rPr>
        <w:footnoteReference w:id="14"/>
      </w:r>
    </w:p>
    <w:p w14:paraId="7196ABC5" w14:textId="77777777" w:rsidR="00892544" w:rsidRPr="00A52A6B" w:rsidRDefault="00892544" w:rsidP="00892544">
      <w:pPr>
        <w:pStyle w:val="Prrafodelista"/>
        <w:rPr>
          <w:rFonts w:ascii="Palatino Linotype" w:hAnsi="Palatino Linotype" w:cs="Arial"/>
          <w:color w:val="000000" w:themeColor="text1"/>
          <w:lang w:eastAsia="es-MX"/>
        </w:rPr>
      </w:pPr>
    </w:p>
    <w:p w14:paraId="3C48A43F"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49D1CC25" w14:textId="77777777" w:rsidR="00892544" w:rsidRPr="00A52A6B" w:rsidRDefault="00892544" w:rsidP="00892544">
      <w:pPr>
        <w:spacing w:line="360" w:lineRule="auto"/>
        <w:ind w:right="618"/>
        <w:contextualSpacing/>
        <w:jc w:val="both"/>
        <w:rPr>
          <w:rFonts w:ascii="Palatino Linotype" w:hAnsi="Palatino Linotype" w:cs="Arial"/>
          <w:color w:val="000000" w:themeColor="text1"/>
        </w:rPr>
      </w:pPr>
    </w:p>
    <w:p w14:paraId="10917751" w14:textId="77777777" w:rsidR="00892544" w:rsidRPr="00A52A6B" w:rsidRDefault="00892544" w:rsidP="00892544">
      <w:pPr>
        <w:spacing w:line="360" w:lineRule="auto"/>
        <w:ind w:left="567" w:right="618"/>
        <w:contextualSpacing/>
        <w:jc w:val="both"/>
        <w:rPr>
          <w:rFonts w:ascii="Palatino Linotype" w:hAnsi="Palatino Linotype" w:cs="Arial"/>
          <w:i/>
          <w:color w:val="000000" w:themeColor="text1"/>
        </w:rPr>
      </w:pPr>
      <w:r w:rsidRPr="00A52A6B">
        <w:rPr>
          <w:rFonts w:ascii="Palatino Linotype" w:hAnsi="Palatino Linotype" w:cs="Arial"/>
          <w:b/>
          <w:i/>
          <w:color w:val="000000" w:themeColor="text1"/>
        </w:rPr>
        <w:t>FUNDAMENTACIÓN Y MOTIVACIÓN.</w:t>
      </w:r>
      <w:r w:rsidRPr="00A52A6B">
        <w:rPr>
          <w:rFonts w:ascii="Palatino Linotype" w:hAnsi="Palatino Linotype" w:cs="Arial"/>
          <w:i/>
          <w:color w:val="000000" w:themeColor="text1"/>
        </w:rPr>
        <w:t xml:space="preserve"> La </w:t>
      </w:r>
      <w:r w:rsidRPr="00A52A6B">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52A6B">
        <w:rPr>
          <w:rFonts w:ascii="Palatino Linotype" w:hAnsi="Palatino Linotype" w:cs="Arial"/>
          <w:i/>
          <w:color w:val="000000" w:themeColor="text1"/>
        </w:rPr>
        <w:t>.</w:t>
      </w:r>
    </w:p>
    <w:p w14:paraId="379B2A07" w14:textId="77777777" w:rsidR="00892544" w:rsidRPr="00A52A6B" w:rsidRDefault="00892544" w:rsidP="00892544">
      <w:pPr>
        <w:spacing w:line="360" w:lineRule="auto"/>
        <w:ind w:left="567" w:right="618"/>
        <w:contextualSpacing/>
        <w:jc w:val="both"/>
        <w:rPr>
          <w:rFonts w:ascii="Palatino Linotype" w:hAnsi="Palatino Linotype" w:cs="Arial"/>
          <w:i/>
          <w:color w:val="000000" w:themeColor="text1"/>
        </w:rPr>
      </w:pPr>
      <w:r w:rsidRPr="00A52A6B">
        <w:rPr>
          <w:rFonts w:ascii="Palatino Linotype" w:hAnsi="Palatino Linotype" w:cs="Arial"/>
          <w:i/>
          <w:color w:val="000000" w:themeColor="text1"/>
        </w:rPr>
        <w:t>SEGUNDO TRIBUNAL COLEGIADO DEL SEXTO CIRCUITO.</w:t>
      </w:r>
    </w:p>
    <w:p w14:paraId="56A832F2" w14:textId="77777777" w:rsidR="00892544" w:rsidRPr="00A52A6B" w:rsidRDefault="00892544" w:rsidP="00892544">
      <w:pPr>
        <w:spacing w:line="360" w:lineRule="auto"/>
        <w:ind w:left="567" w:right="618"/>
        <w:contextualSpacing/>
        <w:jc w:val="both"/>
        <w:rPr>
          <w:rFonts w:ascii="Palatino Linotype" w:hAnsi="Palatino Linotype" w:cs="Arial"/>
          <w:i/>
          <w:color w:val="000000" w:themeColor="text1"/>
        </w:rPr>
      </w:pPr>
      <w:r w:rsidRPr="00A52A6B">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0DB7570B" w14:textId="77777777" w:rsidR="00892544" w:rsidRPr="00A52A6B" w:rsidRDefault="00892544" w:rsidP="00892544">
      <w:pPr>
        <w:spacing w:line="360" w:lineRule="auto"/>
        <w:ind w:left="567" w:right="618"/>
        <w:contextualSpacing/>
        <w:jc w:val="both"/>
        <w:rPr>
          <w:rFonts w:ascii="Palatino Linotype" w:hAnsi="Palatino Linotype" w:cs="Arial"/>
          <w:i/>
          <w:color w:val="000000" w:themeColor="text1"/>
        </w:rPr>
      </w:pPr>
      <w:r w:rsidRPr="00A52A6B">
        <w:rPr>
          <w:rFonts w:ascii="Palatino Linotype" w:hAnsi="Palatino Linotype" w:cs="Arial"/>
          <w:i/>
          <w:color w:val="000000" w:themeColor="text1"/>
        </w:rPr>
        <w:lastRenderedPageBreak/>
        <w:t>Revisión fiscal 103/88. Instituto Mexicano del Seguro Social. 18 de octubre de 1988. Unanimidad de votos. Ponente: Arnoldo Nájera Virgen. Secretario: Alejandro Esponda Rincón.</w:t>
      </w:r>
    </w:p>
    <w:p w14:paraId="4D92EE67" w14:textId="77777777" w:rsidR="00892544" w:rsidRPr="00A52A6B" w:rsidRDefault="00892544" w:rsidP="00892544">
      <w:pPr>
        <w:spacing w:line="360" w:lineRule="auto"/>
        <w:ind w:left="567" w:right="618"/>
        <w:contextualSpacing/>
        <w:jc w:val="both"/>
        <w:rPr>
          <w:rFonts w:ascii="Palatino Linotype" w:hAnsi="Palatino Linotype" w:cs="Arial"/>
          <w:i/>
          <w:color w:val="000000" w:themeColor="text1"/>
        </w:rPr>
      </w:pPr>
      <w:r w:rsidRPr="00A52A6B">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14:paraId="18D0C21B" w14:textId="77777777" w:rsidR="00892544" w:rsidRPr="00A52A6B" w:rsidRDefault="00892544" w:rsidP="00892544">
      <w:pPr>
        <w:spacing w:line="360" w:lineRule="auto"/>
        <w:ind w:left="567" w:right="618"/>
        <w:contextualSpacing/>
        <w:jc w:val="both"/>
        <w:rPr>
          <w:rFonts w:ascii="Palatino Linotype" w:hAnsi="Palatino Linotype" w:cs="Arial"/>
          <w:i/>
          <w:color w:val="000000" w:themeColor="text1"/>
        </w:rPr>
      </w:pPr>
      <w:r w:rsidRPr="00A52A6B">
        <w:rPr>
          <w:rFonts w:ascii="Palatino Linotype" w:hAnsi="Palatino Linotype" w:cs="Arial"/>
          <w:i/>
          <w:color w:val="000000" w:themeColor="text1"/>
        </w:rPr>
        <w:t>Amparo en revisión 597/95. Emilio Maurer Bretón. 15 de noviembre de 1995. Unanimidad de votos. Ponente: Clementina Ramírez Moguel Goyzueta. Secretario: Gonzalo Carrera Molina.</w:t>
      </w:r>
    </w:p>
    <w:p w14:paraId="1BB353BD" w14:textId="77777777" w:rsidR="00892544" w:rsidRPr="00A52A6B" w:rsidRDefault="00892544" w:rsidP="00892544">
      <w:pPr>
        <w:spacing w:line="360" w:lineRule="auto"/>
        <w:ind w:left="567" w:right="618"/>
        <w:contextualSpacing/>
        <w:jc w:val="both"/>
        <w:rPr>
          <w:rFonts w:ascii="Palatino Linotype" w:hAnsi="Palatino Linotype" w:cs="Arial"/>
          <w:i/>
          <w:color w:val="000000" w:themeColor="text1"/>
        </w:rPr>
      </w:pPr>
      <w:r w:rsidRPr="00A52A6B">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A52A6B">
        <w:rPr>
          <w:rFonts w:ascii="Palatino Linotype" w:hAnsi="Palatino Linotype" w:cs="Arial"/>
          <w:i/>
          <w:color w:val="000000" w:themeColor="text1"/>
        </w:rPr>
        <w:t>Baigts</w:t>
      </w:r>
      <w:proofErr w:type="spellEnd"/>
      <w:r w:rsidRPr="00A52A6B">
        <w:rPr>
          <w:rFonts w:ascii="Palatino Linotype" w:hAnsi="Palatino Linotype" w:cs="Arial"/>
          <w:i/>
          <w:color w:val="000000" w:themeColor="text1"/>
        </w:rPr>
        <w:t xml:space="preserve"> Muñoz.</w:t>
      </w:r>
      <w:r w:rsidRPr="00A52A6B">
        <w:rPr>
          <w:rStyle w:val="Refdenotaalpie"/>
          <w:rFonts w:ascii="Palatino Linotype" w:hAnsi="Palatino Linotype" w:cs="Arial"/>
          <w:i/>
          <w:color w:val="000000" w:themeColor="text1"/>
        </w:rPr>
        <w:footnoteReference w:id="15"/>
      </w:r>
    </w:p>
    <w:p w14:paraId="49A0298A" w14:textId="77777777" w:rsidR="00892544" w:rsidRPr="00A52A6B" w:rsidRDefault="00892544" w:rsidP="00892544">
      <w:pPr>
        <w:pStyle w:val="Prrafodelista"/>
        <w:rPr>
          <w:rFonts w:ascii="Palatino Linotype" w:hAnsi="Palatino Linotype" w:cs="Arial"/>
          <w:color w:val="000000" w:themeColor="text1"/>
          <w:lang w:eastAsia="es-MX"/>
        </w:rPr>
      </w:pPr>
    </w:p>
    <w:p w14:paraId="20666F99"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4D3F99B" w14:textId="77777777" w:rsidR="00892544" w:rsidRPr="00A52A6B" w:rsidRDefault="00892544" w:rsidP="00892544">
      <w:pPr>
        <w:pStyle w:val="Prrafodelista"/>
        <w:tabs>
          <w:tab w:val="left" w:pos="0"/>
        </w:tabs>
        <w:spacing w:line="360" w:lineRule="auto"/>
        <w:ind w:left="0" w:right="49"/>
        <w:jc w:val="both"/>
        <w:rPr>
          <w:rFonts w:ascii="Palatino Linotype" w:hAnsi="Palatino Linotype" w:cs="Arial"/>
          <w:color w:val="000000" w:themeColor="text1"/>
        </w:rPr>
      </w:pPr>
    </w:p>
    <w:p w14:paraId="231B6B8E"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A52A6B">
        <w:rPr>
          <w:rFonts w:ascii="Palatino Linotype" w:hAnsi="Palatino Linotype" w:cs="Arial"/>
          <w:color w:val="000000" w:themeColor="text1"/>
          <w:lang w:eastAsia="es-MX"/>
        </w:rPr>
        <w:lastRenderedPageBreak/>
        <w:t>modo, la persona que se sienta afectada pueda impugnar la decisión, permitiéndole una real y auténtica defensa.</w:t>
      </w:r>
    </w:p>
    <w:p w14:paraId="6DF9DB8F" w14:textId="77777777" w:rsidR="00892544" w:rsidRPr="00A52A6B" w:rsidRDefault="00892544" w:rsidP="00892544">
      <w:pPr>
        <w:pStyle w:val="Prrafodelista"/>
        <w:rPr>
          <w:rFonts w:ascii="Palatino Linotype" w:hAnsi="Palatino Linotype" w:cs="Arial"/>
          <w:color w:val="000000" w:themeColor="text1"/>
          <w:lang w:eastAsia="es-MX"/>
        </w:rPr>
      </w:pPr>
    </w:p>
    <w:p w14:paraId="2568E6E6"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446ED966"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A52A6B">
        <w:rPr>
          <w:rFonts w:ascii="Palatino Linotype" w:hAnsi="Palatino Linotype"/>
          <w:color w:val="000000" w:themeColor="text1"/>
        </w:rPr>
        <w:t xml:space="preserve"> </w:t>
      </w:r>
      <w:r w:rsidRPr="00A52A6B">
        <w:rPr>
          <w:rFonts w:ascii="Palatino Linotype" w:hAnsi="Palatino Linotype" w:cs="Arial"/>
          <w:color w:val="000000" w:themeColor="text1"/>
          <w:lang w:eastAsia="es-MX"/>
        </w:rPr>
        <w:t>datos personales</w:t>
      </w:r>
      <w:r w:rsidRPr="00A52A6B">
        <w:rPr>
          <w:rStyle w:val="Refdenotaalpie"/>
          <w:rFonts w:ascii="Palatino Linotype" w:hAnsi="Palatino Linotype" w:cs="Arial"/>
          <w:color w:val="000000" w:themeColor="text1"/>
          <w:lang w:eastAsia="es-MX"/>
        </w:rPr>
        <w:footnoteReference w:id="16"/>
      </w:r>
      <w:r w:rsidRPr="00A52A6B">
        <w:rPr>
          <w:rFonts w:ascii="Palatino Linotype" w:hAnsi="Palatino Linotype" w:cs="Arial"/>
          <w:color w:val="000000" w:themeColor="text1"/>
          <w:lang w:eastAsia="es-MX"/>
        </w:rPr>
        <w:t xml:space="preserve">, </w:t>
      </w:r>
      <w:r w:rsidRPr="00A52A6B">
        <w:rPr>
          <w:rFonts w:ascii="Palatino Linotype" w:eastAsia="Calibri" w:hAnsi="Palatino Linotype" w:cs="Arial"/>
          <w:color w:val="000000" w:themeColor="text1"/>
          <w:lang w:eastAsia="es-MX"/>
        </w:rPr>
        <w:t>p</w:t>
      </w:r>
      <w:proofErr w:type="spellStart"/>
      <w:r w:rsidRPr="00A52A6B">
        <w:rPr>
          <w:rFonts w:ascii="Palatino Linotype" w:eastAsia="Calibri" w:hAnsi="Palatino Linotype" w:cs="Arial"/>
          <w:color w:val="000000" w:themeColor="text1"/>
          <w:lang w:val="es-ES" w:eastAsia="es-MX"/>
        </w:rPr>
        <w:t>or</w:t>
      </w:r>
      <w:proofErr w:type="spellEnd"/>
      <w:r w:rsidRPr="00A52A6B">
        <w:rPr>
          <w:rFonts w:ascii="Palatino Linotype" w:eastAsia="Calibri" w:hAnsi="Palatino Linotype" w:cs="Arial"/>
          <w:color w:val="000000" w:themeColor="text1"/>
          <w:lang w:val="es-ES" w:eastAsia="es-MX"/>
        </w:rPr>
        <w:t xml:space="preserve">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6B9701B5" w14:textId="77777777" w:rsidR="00892544" w:rsidRPr="00A52A6B" w:rsidRDefault="00892544" w:rsidP="00892544">
      <w:pPr>
        <w:pStyle w:val="Prrafodelista"/>
        <w:rPr>
          <w:rFonts w:ascii="Palatino Linotype" w:eastAsia="Calibri" w:hAnsi="Palatino Linotype" w:cs="Arial"/>
          <w:color w:val="000000" w:themeColor="text1"/>
          <w:lang w:val="es-ES" w:eastAsia="es-MX"/>
        </w:rPr>
      </w:pPr>
    </w:p>
    <w:p w14:paraId="1B296CED"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eastAsia="Calibri" w:hAnsi="Palatino Linotype" w:cs="Arial"/>
          <w:color w:val="000000" w:themeColor="text1"/>
          <w:lang w:val="es-ES" w:eastAsia="es-MX"/>
        </w:rPr>
        <w:t xml:space="preserve">Es de señalar, que por lo que hace a las versiones públicas, el </w:t>
      </w:r>
      <w:r w:rsidRPr="00A52A6B">
        <w:rPr>
          <w:rFonts w:ascii="Palatino Linotype" w:eastAsia="Calibri" w:hAnsi="Palatino Linotype" w:cs="Arial"/>
          <w:b/>
          <w:color w:val="000000" w:themeColor="text1"/>
          <w:lang w:val="es-ES" w:eastAsia="es-MX"/>
        </w:rPr>
        <w:t>SUJETO OBLIGADO</w:t>
      </w:r>
      <w:r w:rsidRPr="00A52A6B">
        <w:rPr>
          <w:rFonts w:ascii="Palatino Linotype" w:eastAsia="Calibri" w:hAnsi="Palatino Linotype" w:cs="Arial"/>
          <w:color w:val="000000" w:themeColor="text1"/>
          <w:lang w:val="es-ES" w:eastAsia="es-MX"/>
        </w:rPr>
        <w:t xml:space="preserve"> debe cumplir con las formalidades exigidas en la Ley, por lo que </w:t>
      </w:r>
      <w:r w:rsidRPr="00A52A6B">
        <w:rPr>
          <w:rFonts w:ascii="Palatino Linotype" w:hAnsi="Palatino Linotype" w:cs="Arial"/>
          <w:color w:val="000000" w:themeColor="text1"/>
          <w:lang w:eastAsia="es-MX"/>
        </w:rPr>
        <w:t xml:space="preserve">para tal efecto emitirá el </w:t>
      </w:r>
      <w:r w:rsidRPr="00A52A6B">
        <w:rPr>
          <w:rFonts w:ascii="Palatino Linotype" w:eastAsia="Calibri" w:hAnsi="Palatino Linotype" w:cs="Arial"/>
          <w:color w:val="000000" w:themeColor="text1"/>
          <w:lang w:val="es-ES" w:eastAsia="es-MX"/>
        </w:rPr>
        <w:t xml:space="preserve">Acuerdo del Comité de Transparencia en términos de los </w:t>
      </w:r>
      <w:r w:rsidRPr="00A52A6B">
        <w:rPr>
          <w:rFonts w:ascii="Palatino Linotype" w:eastAsia="Calibri" w:hAnsi="Palatino Linotype" w:cs="Arial"/>
          <w:color w:val="000000" w:themeColor="text1"/>
          <w:lang w:val="es-ES" w:eastAsia="es-MX"/>
        </w:rPr>
        <w:lastRenderedPageBreak/>
        <w:t>artículos 49 fracción</w:t>
      </w:r>
      <w:r w:rsidRPr="00A52A6B">
        <w:rPr>
          <w:rFonts w:ascii="Palatino Linotype" w:eastAsia="Calibri" w:hAnsi="Palatino Linotype" w:cs="Arial"/>
          <w:bCs/>
          <w:color w:val="000000" w:themeColor="text1"/>
        </w:rPr>
        <w:t xml:space="preserve"> VIII,</w:t>
      </w:r>
      <w:r w:rsidRPr="00A52A6B">
        <w:rPr>
          <w:rFonts w:ascii="Palatino Linotype" w:eastAsia="Calibri" w:hAnsi="Palatino Linotype" w:cs="Arial"/>
          <w:color w:val="000000" w:themeColor="text1"/>
          <w:lang w:val="es-ES" w:eastAsia="es-MX"/>
        </w:rPr>
        <w:t xml:space="preserve"> 122</w:t>
      </w:r>
      <w:r w:rsidRPr="00A52A6B">
        <w:rPr>
          <w:rFonts w:ascii="Palatino Linotype" w:hAnsi="Palatino Linotype"/>
          <w:color w:val="000000" w:themeColor="text1"/>
          <w:vertAlign w:val="superscript"/>
          <w:lang w:val="es-ES" w:eastAsia="es-MX"/>
        </w:rPr>
        <w:footnoteReference w:id="17"/>
      </w:r>
      <w:r w:rsidRPr="00A52A6B">
        <w:rPr>
          <w:rFonts w:ascii="Palatino Linotype" w:eastAsia="Calibri" w:hAnsi="Palatino Linotype" w:cs="Arial"/>
          <w:color w:val="000000" w:themeColor="text1"/>
          <w:lang w:val="es-ES" w:eastAsia="es-MX"/>
        </w:rPr>
        <w:t>, 135</w:t>
      </w:r>
      <w:r w:rsidRPr="00A52A6B">
        <w:rPr>
          <w:rFonts w:ascii="Palatino Linotype" w:hAnsi="Palatino Linotype"/>
          <w:color w:val="000000" w:themeColor="text1"/>
          <w:vertAlign w:val="superscript"/>
          <w:lang w:val="es-ES" w:eastAsia="es-MX"/>
        </w:rPr>
        <w:footnoteReference w:id="18"/>
      </w:r>
      <w:r w:rsidRPr="00A52A6B">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w:t>
      </w:r>
      <w:proofErr w:type="gramStart"/>
      <w:r w:rsidRPr="00A52A6B">
        <w:rPr>
          <w:rFonts w:ascii="Palatino Linotype" w:eastAsia="Calibri" w:hAnsi="Palatino Linotype" w:cs="Arial"/>
          <w:color w:val="000000" w:themeColor="text1"/>
          <w:lang w:val="es-ES" w:eastAsia="es-MX"/>
        </w:rPr>
        <w:t>sustentara</w:t>
      </w:r>
      <w:proofErr w:type="gramEnd"/>
      <w:r w:rsidRPr="00A52A6B">
        <w:rPr>
          <w:rFonts w:ascii="Palatino Linotype" w:eastAsia="Calibri" w:hAnsi="Palatino Linotype" w:cs="Arial"/>
          <w:color w:val="000000" w:themeColor="text1"/>
          <w:lang w:val="es-ES" w:eastAsia="es-MX"/>
        </w:rPr>
        <w:t xml:space="preserve"> la clasificación de datos y con ello la "versión pública" de los documentos materia de la solicitud.</w:t>
      </w:r>
    </w:p>
    <w:p w14:paraId="1F44706E" w14:textId="77777777" w:rsidR="00892544" w:rsidRPr="00A52A6B" w:rsidRDefault="00892544" w:rsidP="00892544">
      <w:pPr>
        <w:pStyle w:val="Prrafodelista"/>
        <w:rPr>
          <w:rFonts w:ascii="Palatino Linotype" w:eastAsia="Calibri" w:hAnsi="Palatino Linotype" w:cs="Arial"/>
          <w:color w:val="000000" w:themeColor="text1"/>
          <w:lang w:val="es-ES" w:eastAsia="es-CO"/>
        </w:rPr>
      </w:pPr>
    </w:p>
    <w:p w14:paraId="1F99E582"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A52A6B">
        <w:rPr>
          <w:rFonts w:ascii="Palatino Linotype" w:eastAsia="Calibri" w:hAnsi="Palatino Linotype" w:cs="Arial"/>
          <w:b/>
          <w:color w:val="000000" w:themeColor="text1"/>
          <w:lang w:val="es-ES" w:eastAsia="es-CO"/>
        </w:rPr>
        <w:t>SUJETO OBLIGADO</w:t>
      </w:r>
      <w:r w:rsidRPr="00A52A6B">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E0672E2" w14:textId="77777777" w:rsidR="00892544" w:rsidRPr="00A52A6B" w:rsidRDefault="00892544" w:rsidP="00892544">
      <w:pPr>
        <w:pStyle w:val="Prrafodelista"/>
        <w:rPr>
          <w:rFonts w:ascii="Palatino Linotype" w:hAnsi="Palatino Linotype" w:cs="Arial"/>
          <w:color w:val="000000" w:themeColor="text1"/>
          <w:lang w:eastAsia="es-MX"/>
        </w:rPr>
      </w:pPr>
    </w:p>
    <w:p w14:paraId="08722CF5"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lang w:eastAsia="es-MX"/>
        </w:rPr>
        <w:t xml:space="preserve">Siendo así que, </w:t>
      </w:r>
      <w:r w:rsidRPr="00A52A6B">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A52A6B">
        <w:rPr>
          <w:rFonts w:ascii="Palatino Linotype" w:hAnsi="Palatino Linotype"/>
          <w:b/>
          <w:color w:val="000000" w:themeColor="text1"/>
        </w:rPr>
        <w:t>SUJETO OBLIGADO</w:t>
      </w:r>
      <w:r w:rsidRPr="00A52A6B">
        <w:rPr>
          <w:rFonts w:ascii="Palatino Linotype" w:hAnsi="Palatino Linotype"/>
          <w:color w:val="000000" w:themeColor="text1"/>
        </w:rPr>
        <w:t xml:space="preserve">. Dicho acuerdo deberá de contener los </w:t>
      </w:r>
      <w:r w:rsidRPr="00A52A6B">
        <w:rPr>
          <w:rFonts w:ascii="Palatino Linotype" w:hAnsi="Palatino Linotype"/>
          <w:b/>
          <w:color w:val="000000" w:themeColor="text1"/>
        </w:rPr>
        <w:t>razonamientos lógicos</w:t>
      </w:r>
      <w:r w:rsidRPr="00A52A6B">
        <w:rPr>
          <w:rFonts w:ascii="Palatino Linotype" w:hAnsi="Palatino Linotype"/>
          <w:color w:val="000000" w:themeColor="text1"/>
        </w:rPr>
        <w:t xml:space="preserve"> mediante los cuales se </w:t>
      </w:r>
      <w:r w:rsidRPr="00A52A6B">
        <w:rPr>
          <w:rFonts w:ascii="Palatino Linotype" w:hAnsi="Palatino Linotype"/>
          <w:b/>
          <w:color w:val="000000" w:themeColor="text1"/>
        </w:rPr>
        <w:t xml:space="preserve">demuestre </w:t>
      </w:r>
      <w:r w:rsidRPr="00A52A6B">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1F33795D" w14:textId="77777777" w:rsidR="00892544" w:rsidRPr="00A52A6B" w:rsidRDefault="00892544" w:rsidP="00892544">
      <w:pPr>
        <w:pStyle w:val="Prrafodelista"/>
        <w:rPr>
          <w:rFonts w:ascii="Palatino Linotype" w:hAnsi="Palatino Linotype" w:cs="Arial"/>
          <w:color w:val="000000" w:themeColor="text1"/>
          <w:lang w:eastAsia="es-MX"/>
        </w:rPr>
      </w:pPr>
    </w:p>
    <w:p w14:paraId="14C3ADC5"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1EE0EE5" w14:textId="77777777" w:rsidR="00892544" w:rsidRPr="00A52A6B" w:rsidRDefault="00892544" w:rsidP="00892544">
      <w:pPr>
        <w:pStyle w:val="Prrafodelista"/>
        <w:rPr>
          <w:rFonts w:ascii="Palatino Linotype" w:hAnsi="Palatino Linotype" w:cs="Arial"/>
          <w:color w:val="000000" w:themeColor="text1"/>
        </w:rPr>
      </w:pPr>
    </w:p>
    <w:p w14:paraId="14BE471A"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rPr>
        <w:t xml:space="preserve">Si el servidor público incumple con estas formalidades y entrega la información sin proteger los datos personales incumple con lo que estipula las </w:t>
      </w:r>
      <w:r w:rsidRPr="00A52A6B">
        <w:rPr>
          <w:rFonts w:ascii="Palatino Linotype" w:hAnsi="Palatino Linotype" w:cs="Arial"/>
          <w:color w:val="000000" w:themeColor="text1"/>
        </w:rPr>
        <w:lastRenderedPageBreak/>
        <w:t>disposiciones legales establecidas, asimismo que si entrega un documento testado sin el debido acuerdo de clasificación.</w:t>
      </w:r>
    </w:p>
    <w:p w14:paraId="62BA771A" w14:textId="77777777" w:rsidR="00892544" w:rsidRPr="00A52A6B" w:rsidRDefault="00892544" w:rsidP="00892544">
      <w:pPr>
        <w:pStyle w:val="Prrafodelista"/>
        <w:rPr>
          <w:rFonts w:ascii="Palatino Linotype" w:hAnsi="Palatino Linotype" w:cs="Arial"/>
          <w:color w:val="000000" w:themeColor="text1"/>
          <w:lang w:val="es-ES"/>
        </w:rPr>
      </w:pPr>
    </w:p>
    <w:p w14:paraId="2678054D" w14:textId="77777777" w:rsidR="00892544" w:rsidRPr="00A52A6B" w:rsidRDefault="00892544" w:rsidP="0089254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2A6B">
        <w:rPr>
          <w:rFonts w:ascii="Palatino Linotype" w:hAnsi="Palatino Linotype" w:cs="Arial"/>
          <w:color w:val="000000" w:themeColor="text1"/>
          <w:lang w:val="es-ES"/>
        </w:rPr>
        <w:t xml:space="preserve">Es </w:t>
      </w:r>
      <w:proofErr w:type="gramStart"/>
      <w:r w:rsidRPr="00A52A6B">
        <w:rPr>
          <w:rFonts w:ascii="Palatino Linotype" w:hAnsi="Palatino Linotype" w:cs="Arial"/>
          <w:color w:val="000000" w:themeColor="text1"/>
          <w:lang w:val="es-ES"/>
        </w:rPr>
        <w:t>decir</w:t>
      </w:r>
      <w:proofErr w:type="gramEnd"/>
      <w:r w:rsidRPr="00A52A6B">
        <w:rPr>
          <w:rFonts w:ascii="Palatino Linotype" w:hAnsi="Palatino Linotype" w:cs="Arial"/>
          <w:color w:val="000000" w:themeColor="text1"/>
          <w:lang w:val="es-ES"/>
        </w:rPr>
        <w:t xml:space="preserve"> un documento público testado que no se acompañe del respectivo acuerdo de clasificación no es una versión pública sino un documento alterado.</w:t>
      </w:r>
    </w:p>
    <w:p w14:paraId="6570212E" w14:textId="77777777" w:rsidR="00892544" w:rsidRPr="00A52A6B" w:rsidRDefault="00892544" w:rsidP="00892544">
      <w:pPr>
        <w:pStyle w:val="Prrafodelista"/>
        <w:tabs>
          <w:tab w:val="left" w:pos="0"/>
        </w:tabs>
        <w:spacing w:line="360" w:lineRule="auto"/>
        <w:ind w:left="0" w:right="49"/>
        <w:jc w:val="both"/>
        <w:rPr>
          <w:rFonts w:ascii="Palatino Linotype" w:hAnsi="Palatino Linotype" w:cs="Arial"/>
          <w:color w:val="000000" w:themeColor="text1"/>
          <w:sz w:val="28"/>
        </w:rPr>
      </w:pPr>
    </w:p>
    <w:p w14:paraId="19B5C31F" w14:textId="77777777" w:rsidR="00892544" w:rsidRPr="00A52A6B" w:rsidRDefault="00892544" w:rsidP="00892544">
      <w:pPr>
        <w:numPr>
          <w:ilvl w:val="0"/>
          <w:numId w:val="1"/>
        </w:numPr>
        <w:spacing w:after="120" w:line="360" w:lineRule="auto"/>
        <w:ind w:left="0" w:firstLine="0"/>
        <w:jc w:val="both"/>
        <w:rPr>
          <w:rFonts w:ascii="Palatino Linotype" w:eastAsia="MS Mincho" w:hAnsi="Palatino Linotype" w:cstheme="majorBidi"/>
          <w:sz w:val="24"/>
          <w:lang w:val="es-ES_tradnl" w:eastAsia="es-ES"/>
        </w:rPr>
      </w:pPr>
      <w:r w:rsidRPr="00A52A6B">
        <w:rPr>
          <w:rFonts w:ascii="Palatino Linotype" w:eastAsia="MS Mincho" w:hAnsi="Palatino Linotype" w:cstheme="majorBidi"/>
          <w:sz w:val="24"/>
          <w:lang w:val="es-ES_tradnl" w:eastAsia="es-ES"/>
        </w:rPr>
        <w:t xml:space="preserve">Por lo anteriormente expuesto y fundado este </w:t>
      </w:r>
      <w:r w:rsidRPr="00A52A6B">
        <w:rPr>
          <w:rFonts w:ascii="Palatino Linotype" w:eastAsia="MS Mincho" w:hAnsi="Palatino Linotype" w:cstheme="majorBidi"/>
          <w:b/>
          <w:sz w:val="24"/>
          <w:lang w:val="es-ES_tradnl" w:eastAsia="es-ES"/>
        </w:rPr>
        <w:t>ÓRGANO GARANTE</w:t>
      </w:r>
      <w:r w:rsidRPr="00A52A6B">
        <w:rPr>
          <w:rFonts w:ascii="Palatino Linotype" w:eastAsia="MS Mincho" w:hAnsi="Palatino Linotype" w:cstheme="majorBidi"/>
          <w:sz w:val="24"/>
          <w:lang w:val="es-ES_tradnl" w:eastAsia="es-ES"/>
        </w:rPr>
        <w:t xml:space="preserve"> emite los siguientes.</w:t>
      </w:r>
    </w:p>
    <w:p w14:paraId="6D0B34D5" w14:textId="77777777" w:rsidR="00892544" w:rsidRPr="00A52A6B" w:rsidRDefault="00892544" w:rsidP="00892544">
      <w:pPr>
        <w:pStyle w:val="Prrafodelista"/>
        <w:shd w:val="clear" w:color="auto" w:fill="FFFFFF"/>
        <w:tabs>
          <w:tab w:val="left" w:pos="0"/>
        </w:tabs>
        <w:spacing w:before="240" w:after="150" w:line="360" w:lineRule="auto"/>
        <w:ind w:left="0" w:right="49"/>
        <w:jc w:val="both"/>
        <w:rPr>
          <w:rFonts w:ascii="Palatino Linotype" w:hAnsi="Palatino Linotype"/>
          <w:sz w:val="28"/>
          <w:shd w:val="clear" w:color="auto" w:fill="FFFFFF"/>
          <w:lang w:val="es-ES_tradnl"/>
        </w:rPr>
      </w:pPr>
    </w:p>
    <w:p w14:paraId="61F6AE89" w14:textId="77777777" w:rsidR="00892544" w:rsidRPr="00A52A6B" w:rsidRDefault="00892544" w:rsidP="00892544">
      <w:pPr>
        <w:pStyle w:val="Ttulo1"/>
        <w:spacing w:line="360" w:lineRule="auto"/>
        <w:jc w:val="center"/>
        <w:rPr>
          <w:rFonts w:ascii="Palatino Linotype" w:eastAsia="Calibri" w:hAnsi="Palatino Linotype"/>
          <w:b/>
          <w:color w:val="auto"/>
          <w:sz w:val="28"/>
          <w:szCs w:val="24"/>
          <w:lang w:val="es-ES_tradnl" w:eastAsia="es-ES"/>
        </w:rPr>
      </w:pPr>
      <w:bookmarkStart w:id="32" w:name="_Toc66304370"/>
      <w:r w:rsidRPr="00A52A6B">
        <w:rPr>
          <w:rFonts w:ascii="Palatino Linotype" w:eastAsia="Calibri" w:hAnsi="Palatino Linotype"/>
          <w:b/>
          <w:color w:val="auto"/>
          <w:sz w:val="28"/>
          <w:szCs w:val="24"/>
          <w:lang w:val="es-ES_tradnl" w:eastAsia="es-ES"/>
        </w:rPr>
        <w:t>R E S O L U T I V O S</w:t>
      </w:r>
      <w:bookmarkEnd w:id="32"/>
    </w:p>
    <w:p w14:paraId="4F92B1FC" w14:textId="77777777" w:rsidR="00892544" w:rsidRPr="00A52A6B" w:rsidRDefault="00892544" w:rsidP="00892544">
      <w:pPr>
        <w:spacing w:before="240" w:line="360" w:lineRule="auto"/>
        <w:jc w:val="both"/>
        <w:rPr>
          <w:rFonts w:ascii="Palatino Linotype" w:hAnsi="Palatino Linotype" w:cs="Arial"/>
          <w:sz w:val="24"/>
          <w:lang w:val="es-ES_tradnl"/>
        </w:rPr>
      </w:pPr>
      <w:r w:rsidRPr="00A52A6B">
        <w:rPr>
          <w:rFonts w:ascii="Palatino Linotype" w:hAnsi="Palatino Linotype" w:cs="Arial"/>
          <w:b/>
          <w:sz w:val="24"/>
          <w:lang w:val="es-ES_tradnl"/>
        </w:rPr>
        <w:t>PRIMERO.</w:t>
      </w:r>
      <w:r w:rsidRPr="00A52A6B">
        <w:rPr>
          <w:rFonts w:ascii="Palatino Linotype" w:hAnsi="Palatino Linotype" w:cs="Arial"/>
          <w:sz w:val="24"/>
          <w:lang w:val="es-ES_tradnl"/>
        </w:rPr>
        <w:t xml:space="preserve"> Se </w:t>
      </w:r>
      <w:r w:rsidRPr="00A52A6B">
        <w:rPr>
          <w:rFonts w:ascii="Palatino Linotype" w:hAnsi="Palatino Linotype" w:cs="Arial"/>
          <w:b/>
          <w:sz w:val="24"/>
          <w:lang w:val="es-ES_tradnl"/>
        </w:rPr>
        <w:t>REVOCAN</w:t>
      </w:r>
      <w:r w:rsidRPr="00A52A6B">
        <w:rPr>
          <w:rFonts w:ascii="Palatino Linotype" w:hAnsi="Palatino Linotype" w:cs="Arial"/>
          <w:sz w:val="24"/>
          <w:lang w:val="es-ES_tradnl"/>
        </w:rPr>
        <w:t xml:space="preserve"> </w:t>
      </w:r>
      <w:r w:rsidRPr="00A52A6B">
        <w:rPr>
          <w:rFonts w:ascii="Palatino Linotype" w:eastAsia="Arial Unicode MS" w:hAnsi="Palatino Linotype" w:cs="Arial"/>
          <w:sz w:val="24"/>
          <w:lang w:val="es-ES_tradnl"/>
        </w:rPr>
        <w:t xml:space="preserve">las respuestas entregadas por el Ayuntamiento de Ixtapan de la Sal, a las solicitudes de información número </w:t>
      </w:r>
      <w:r w:rsidR="007A12FF" w:rsidRPr="00A52A6B">
        <w:rPr>
          <w:rFonts w:ascii="Palatino Linotype" w:hAnsi="Palatino Linotype"/>
          <w:b/>
          <w:bCs/>
          <w:sz w:val="24"/>
        </w:rPr>
        <w:t>00933/IXTASAL/IP/2020, 00932/IXTASAL/IP/2020, 00852/IXTASAL/IP/2020, 00851/IXTASAL/IP/2020 y 00850/IXTASAL/IP/2020</w:t>
      </w:r>
      <w:r w:rsidRPr="00A52A6B">
        <w:rPr>
          <w:rFonts w:ascii="Palatino Linotype" w:eastAsia="Arial Unicode MS" w:hAnsi="Palatino Linotype" w:cs="Arial"/>
          <w:sz w:val="24"/>
          <w:lang w:val="es-ES_tradnl"/>
        </w:rPr>
        <w:t xml:space="preserve">, por resultar fundados los motivos de inconformidad que arguye la </w:t>
      </w:r>
      <w:r w:rsidRPr="00A52A6B">
        <w:rPr>
          <w:rFonts w:ascii="Palatino Linotype" w:eastAsia="Arial Unicode MS" w:hAnsi="Palatino Linotype" w:cs="Arial"/>
          <w:b/>
          <w:sz w:val="24"/>
          <w:lang w:val="es-ES_tradnl"/>
        </w:rPr>
        <w:t>RECURRENTE</w:t>
      </w:r>
      <w:r w:rsidRPr="00A52A6B">
        <w:rPr>
          <w:rFonts w:ascii="Palatino Linotype" w:eastAsia="Arial Unicode MS" w:hAnsi="Palatino Linotype" w:cs="Arial"/>
          <w:sz w:val="24"/>
          <w:lang w:val="es-ES_tradnl"/>
        </w:rPr>
        <w:t xml:space="preserve">, en términos del </w:t>
      </w:r>
      <w:r w:rsidRPr="00A52A6B">
        <w:rPr>
          <w:rFonts w:ascii="Palatino Linotype" w:hAnsi="Palatino Linotype" w:cs="Arial"/>
          <w:b/>
          <w:sz w:val="24"/>
          <w:lang w:val="es-ES_tradnl"/>
        </w:rPr>
        <w:t xml:space="preserve">Considerando CUARTO y </w:t>
      </w:r>
      <w:proofErr w:type="gramStart"/>
      <w:r w:rsidRPr="00A52A6B">
        <w:rPr>
          <w:rFonts w:ascii="Palatino Linotype" w:hAnsi="Palatino Linotype" w:cs="Arial"/>
          <w:b/>
          <w:sz w:val="24"/>
          <w:lang w:val="es-ES_tradnl"/>
        </w:rPr>
        <w:t xml:space="preserve">QUINTO </w:t>
      </w:r>
      <w:r w:rsidRPr="00A52A6B">
        <w:rPr>
          <w:rFonts w:ascii="Palatino Linotype" w:hAnsi="Palatino Linotype" w:cs="Arial"/>
          <w:sz w:val="24"/>
          <w:lang w:val="es-ES_tradnl"/>
        </w:rPr>
        <w:t xml:space="preserve"> de</w:t>
      </w:r>
      <w:proofErr w:type="gramEnd"/>
      <w:r w:rsidRPr="00A52A6B">
        <w:rPr>
          <w:rFonts w:ascii="Palatino Linotype" w:hAnsi="Palatino Linotype" w:cs="Arial"/>
          <w:sz w:val="24"/>
          <w:lang w:val="es-ES_tradnl"/>
        </w:rPr>
        <w:t xml:space="preserve"> la presente resolución.</w:t>
      </w:r>
    </w:p>
    <w:p w14:paraId="49C2DFD2" w14:textId="77777777" w:rsidR="00892544" w:rsidRPr="00A52A6B" w:rsidRDefault="00892544" w:rsidP="00892544">
      <w:pPr>
        <w:autoSpaceDE w:val="0"/>
        <w:autoSpaceDN w:val="0"/>
        <w:adjustRightInd w:val="0"/>
        <w:spacing w:before="240" w:line="360" w:lineRule="auto"/>
        <w:ind w:right="49"/>
        <w:jc w:val="both"/>
        <w:rPr>
          <w:rFonts w:ascii="Palatino Linotype" w:hAnsi="Palatino Linotype" w:cs="Arial"/>
          <w:sz w:val="24"/>
          <w:lang w:val="es-ES_tradnl"/>
        </w:rPr>
      </w:pPr>
      <w:r w:rsidRPr="00A52A6B">
        <w:rPr>
          <w:rFonts w:ascii="Palatino Linotype" w:hAnsi="Palatino Linotype" w:cs="Arial"/>
          <w:b/>
          <w:sz w:val="24"/>
          <w:lang w:val="es-ES_tradnl"/>
        </w:rPr>
        <w:t>SEGUNDO.</w:t>
      </w:r>
      <w:r w:rsidRPr="00A52A6B">
        <w:rPr>
          <w:rFonts w:ascii="Palatino Linotype" w:hAnsi="Palatino Linotype" w:cs="Arial"/>
          <w:sz w:val="24"/>
          <w:lang w:val="es-ES_tradnl"/>
        </w:rPr>
        <w:t xml:space="preserve"> Se ordena al </w:t>
      </w:r>
      <w:r w:rsidRPr="00A52A6B">
        <w:rPr>
          <w:rFonts w:ascii="Palatino Linotype" w:hAnsi="Palatino Linotype" w:cs="Arial"/>
          <w:b/>
          <w:sz w:val="24"/>
          <w:lang w:val="es-ES_tradnl"/>
        </w:rPr>
        <w:t>Ayuntamiento de Ixtapan de la Sal</w:t>
      </w:r>
      <w:r w:rsidRPr="00A52A6B">
        <w:rPr>
          <w:rFonts w:ascii="Palatino Linotype" w:hAnsi="Palatino Linotype" w:cs="Arial"/>
          <w:sz w:val="24"/>
          <w:lang w:val="es-ES_tradnl"/>
        </w:rPr>
        <w:t xml:space="preserve"> haga entrega a la </w:t>
      </w:r>
      <w:r w:rsidRPr="00A52A6B">
        <w:rPr>
          <w:rFonts w:ascii="Palatino Linotype" w:hAnsi="Palatino Linotype" w:cs="Arial"/>
          <w:b/>
          <w:sz w:val="24"/>
          <w:lang w:val="es-ES_tradnl"/>
        </w:rPr>
        <w:t>Recurrente</w:t>
      </w:r>
      <w:r w:rsidRPr="00A52A6B">
        <w:rPr>
          <w:rFonts w:ascii="Palatino Linotype" w:hAnsi="Palatino Linotype" w:cs="Arial"/>
          <w:sz w:val="24"/>
          <w:lang w:val="es-ES_tradnl"/>
        </w:rPr>
        <w:t xml:space="preserve"> </w:t>
      </w:r>
      <w:r w:rsidRPr="00A52A6B">
        <w:rPr>
          <w:rFonts w:ascii="Palatino Linotype" w:eastAsia="Calibri" w:hAnsi="Palatino Linotype" w:cs="Arial"/>
          <w:sz w:val="24"/>
          <w:lang w:val="es-ES_tradnl"/>
        </w:rPr>
        <w:t xml:space="preserve">vía Sistema de Acceso a la Información Mexiquense </w:t>
      </w:r>
      <w:r w:rsidRPr="00A52A6B">
        <w:rPr>
          <w:rFonts w:ascii="Palatino Linotype" w:eastAsia="Calibri" w:hAnsi="Palatino Linotype" w:cs="Arial"/>
          <w:b/>
          <w:sz w:val="24"/>
          <w:lang w:val="es-ES_tradnl"/>
        </w:rPr>
        <w:t>(SAIMEX)</w:t>
      </w:r>
      <w:r w:rsidRPr="00A52A6B">
        <w:rPr>
          <w:rFonts w:ascii="Palatino Linotype" w:hAnsi="Palatino Linotype" w:cs="Arial"/>
          <w:sz w:val="24"/>
          <w:lang w:val="es-ES_tradnl"/>
        </w:rPr>
        <w:t xml:space="preserve">, de ser el caso, en </w:t>
      </w:r>
      <w:r w:rsidRPr="00A52A6B">
        <w:rPr>
          <w:rFonts w:ascii="Palatino Linotype" w:hAnsi="Palatino Linotype" w:cs="Arial"/>
          <w:b/>
          <w:sz w:val="24"/>
          <w:lang w:val="es-ES_tradnl"/>
        </w:rPr>
        <w:t>versión pública</w:t>
      </w:r>
      <w:r w:rsidRPr="00A52A6B">
        <w:rPr>
          <w:rFonts w:ascii="Palatino Linotype" w:hAnsi="Palatino Linotype" w:cs="Arial"/>
          <w:sz w:val="24"/>
          <w:lang w:val="es-ES_tradnl"/>
        </w:rPr>
        <w:t>, la siguiente información:</w:t>
      </w:r>
    </w:p>
    <w:p w14:paraId="54115BDF" w14:textId="77777777" w:rsidR="007A12FF" w:rsidRPr="00A52A6B" w:rsidRDefault="007A12FF" w:rsidP="00B60DB6">
      <w:pPr>
        <w:pStyle w:val="Prrafodelista"/>
        <w:autoSpaceDE w:val="0"/>
        <w:autoSpaceDN w:val="0"/>
        <w:adjustRightInd w:val="0"/>
        <w:spacing w:before="240" w:line="360" w:lineRule="auto"/>
        <w:ind w:left="450" w:right="616"/>
        <w:jc w:val="both"/>
        <w:rPr>
          <w:rFonts w:ascii="Palatino Linotype" w:hAnsi="Palatino Linotype"/>
          <w:b/>
          <w:i/>
        </w:rPr>
      </w:pPr>
      <w:r w:rsidRPr="00A52A6B">
        <w:rPr>
          <w:rFonts w:ascii="Palatino Linotype" w:hAnsi="Palatino Linotype"/>
          <w:b/>
          <w:i/>
          <w:lang w:val="es-ES_tradnl"/>
        </w:rPr>
        <w:lastRenderedPageBreak/>
        <w:t xml:space="preserve">1. </w:t>
      </w:r>
      <w:r w:rsidRPr="00A52A6B">
        <w:rPr>
          <w:rFonts w:ascii="Palatino Linotype" w:hAnsi="Palatino Linotype"/>
          <w:b/>
          <w:i/>
        </w:rPr>
        <w:t xml:space="preserve">La </w:t>
      </w:r>
      <w:proofErr w:type="spellStart"/>
      <w:r w:rsidRPr="00A52A6B">
        <w:rPr>
          <w:rFonts w:ascii="Palatino Linotype" w:hAnsi="Palatino Linotype"/>
          <w:b/>
          <w:i/>
        </w:rPr>
        <w:t>información</w:t>
      </w:r>
      <w:proofErr w:type="spellEnd"/>
      <w:r w:rsidRPr="00A52A6B">
        <w:rPr>
          <w:rFonts w:ascii="Palatino Linotype" w:hAnsi="Palatino Linotype"/>
          <w:b/>
          <w:i/>
        </w:rPr>
        <w:t xml:space="preserve"> de los programas de subsidios, </w:t>
      </w:r>
      <w:proofErr w:type="spellStart"/>
      <w:r w:rsidRPr="00A52A6B">
        <w:rPr>
          <w:rFonts w:ascii="Palatino Linotype" w:hAnsi="Palatino Linotype"/>
          <w:b/>
          <w:i/>
        </w:rPr>
        <w:t>estímulos</w:t>
      </w:r>
      <w:proofErr w:type="spellEnd"/>
      <w:r w:rsidRPr="00A52A6B">
        <w:rPr>
          <w:rFonts w:ascii="Palatino Linotype" w:hAnsi="Palatino Linotype"/>
          <w:b/>
          <w:i/>
        </w:rPr>
        <w:t xml:space="preserve"> y apoyos del ayuntamiento otorgados por la </w:t>
      </w:r>
      <w:proofErr w:type="spellStart"/>
      <w:r w:rsidRPr="00A52A6B">
        <w:rPr>
          <w:rFonts w:ascii="Palatino Linotype" w:hAnsi="Palatino Linotype"/>
          <w:b/>
          <w:i/>
        </w:rPr>
        <w:t>Dirección</w:t>
      </w:r>
      <w:proofErr w:type="spellEnd"/>
      <w:r w:rsidRPr="00A52A6B">
        <w:rPr>
          <w:rFonts w:ascii="Palatino Linotype" w:hAnsi="Palatino Linotype"/>
          <w:b/>
          <w:i/>
        </w:rPr>
        <w:t xml:space="preserve"> de Desarrollo Social y/o por cualquier dependencia del sector ayuntamiento, así como la </w:t>
      </w:r>
      <w:proofErr w:type="spellStart"/>
      <w:r w:rsidRPr="00A52A6B">
        <w:rPr>
          <w:rFonts w:ascii="Palatino Linotype" w:hAnsi="Palatino Linotype"/>
          <w:b/>
          <w:i/>
        </w:rPr>
        <w:t>información</w:t>
      </w:r>
      <w:proofErr w:type="spellEnd"/>
      <w:r w:rsidRPr="00A52A6B">
        <w:rPr>
          <w:rFonts w:ascii="Palatino Linotype" w:hAnsi="Palatino Linotype"/>
          <w:b/>
          <w:i/>
        </w:rPr>
        <w:t xml:space="preserve"> de los programas de subsidios, </w:t>
      </w:r>
      <w:proofErr w:type="spellStart"/>
      <w:r w:rsidRPr="00A52A6B">
        <w:rPr>
          <w:rFonts w:ascii="Palatino Linotype" w:hAnsi="Palatino Linotype"/>
          <w:b/>
          <w:i/>
        </w:rPr>
        <w:t>estímulos</w:t>
      </w:r>
      <w:proofErr w:type="spellEnd"/>
      <w:r w:rsidRPr="00A52A6B">
        <w:rPr>
          <w:rFonts w:ascii="Palatino Linotype" w:hAnsi="Palatino Linotype"/>
          <w:b/>
          <w:i/>
        </w:rPr>
        <w:t xml:space="preserve"> y apoyos del sistema municipal DIF, durante el </w:t>
      </w:r>
      <w:proofErr w:type="spellStart"/>
      <w:r w:rsidRPr="00A52A6B">
        <w:rPr>
          <w:rFonts w:ascii="Palatino Linotype" w:hAnsi="Palatino Linotype"/>
          <w:b/>
          <w:i/>
        </w:rPr>
        <w:t>año</w:t>
      </w:r>
      <w:proofErr w:type="spellEnd"/>
      <w:r w:rsidRPr="00A52A6B">
        <w:rPr>
          <w:rFonts w:ascii="Palatino Linotype" w:hAnsi="Palatino Linotype"/>
          <w:b/>
          <w:i/>
        </w:rPr>
        <w:t xml:space="preserve"> dos mil diecinueve, en el que se </w:t>
      </w:r>
      <w:proofErr w:type="spellStart"/>
      <w:r w:rsidRPr="00A52A6B">
        <w:rPr>
          <w:rFonts w:ascii="Palatino Linotype" w:hAnsi="Palatino Linotype"/>
          <w:b/>
          <w:i/>
        </w:rPr>
        <w:t>debera</w:t>
      </w:r>
      <w:proofErr w:type="spellEnd"/>
      <w:r w:rsidRPr="00A52A6B">
        <w:rPr>
          <w:rFonts w:ascii="Palatino Linotype" w:hAnsi="Palatino Linotype"/>
          <w:b/>
          <w:i/>
        </w:rPr>
        <w:t xml:space="preserve">́ informar respecto de los programas de transferencia, de servicios, de infraestructura social y de subsidio, en los que se </w:t>
      </w:r>
      <w:proofErr w:type="spellStart"/>
      <w:r w:rsidRPr="00A52A6B">
        <w:rPr>
          <w:rFonts w:ascii="Palatino Linotype" w:hAnsi="Palatino Linotype"/>
          <w:b/>
          <w:i/>
        </w:rPr>
        <w:t>debera</w:t>
      </w:r>
      <w:proofErr w:type="spellEnd"/>
      <w:r w:rsidRPr="00A52A6B">
        <w:rPr>
          <w:rFonts w:ascii="Palatino Linotype" w:hAnsi="Palatino Linotype"/>
          <w:b/>
          <w:i/>
        </w:rPr>
        <w:t xml:space="preserve">́ contener el a) </w:t>
      </w:r>
      <w:proofErr w:type="spellStart"/>
      <w:r w:rsidRPr="00A52A6B">
        <w:rPr>
          <w:rFonts w:ascii="Palatino Linotype" w:hAnsi="Palatino Linotype"/>
          <w:b/>
          <w:i/>
        </w:rPr>
        <w:t>área</w:t>
      </w:r>
      <w:proofErr w:type="spellEnd"/>
      <w:r w:rsidRPr="00A52A6B">
        <w:rPr>
          <w:rFonts w:ascii="Palatino Linotype" w:hAnsi="Palatino Linotype"/>
          <w:b/>
          <w:i/>
        </w:rPr>
        <w:t xml:space="preserve">; b) </w:t>
      </w:r>
      <w:proofErr w:type="spellStart"/>
      <w:r w:rsidRPr="00A52A6B">
        <w:rPr>
          <w:rFonts w:ascii="Palatino Linotype" w:hAnsi="Palatino Linotype"/>
          <w:b/>
          <w:i/>
        </w:rPr>
        <w:t>denominación</w:t>
      </w:r>
      <w:proofErr w:type="spellEnd"/>
      <w:r w:rsidRPr="00A52A6B">
        <w:rPr>
          <w:rFonts w:ascii="Palatino Linotype" w:hAnsi="Palatino Linotype"/>
          <w:b/>
          <w:i/>
        </w:rPr>
        <w:t xml:space="preserve"> del programa; c) periodo de vigencia; d) </w:t>
      </w:r>
      <w:proofErr w:type="spellStart"/>
      <w:r w:rsidRPr="00A52A6B">
        <w:rPr>
          <w:rFonts w:ascii="Palatino Linotype" w:hAnsi="Palatino Linotype"/>
          <w:b/>
          <w:i/>
        </w:rPr>
        <w:t>diseño</w:t>
      </w:r>
      <w:proofErr w:type="spellEnd"/>
      <w:r w:rsidRPr="00A52A6B">
        <w:rPr>
          <w:rFonts w:ascii="Palatino Linotype" w:hAnsi="Palatino Linotype"/>
          <w:b/>
          <w:i/>
        </w:rPr>
        <w:t xml:space="preserve">, objetivos y alcances; e) metas </w:t>
      </w:r>
      <w:proofErr w:type="spellStart"/>
      <w:r w:rsidRPr="00A52A6B">
        <w:rPr>
          <w:rFonts w:ascii="Palatino Linotype" w:hAnsi="Palatino Linotype"/>
          <w:b/>
          <w:i/>
        </w:rPr>
        <w:t>físicas</w:t>
      </w:r>
      <w:proofErr w:type="spellEnd"/>
      <w:r w:rsidRPr="00A52A6B">
        <w:rPr>
          <w:rFonts w:ascii="Palatino Linotype" w:hAnsi="Palatino Linotype"/>
          <w:b/>
          <w:i/>
        </w:rPr>
        <w:t xml:space="preserve">; f) </w:t>
      </w:r>
      <w:proofErr w:type="spellStart"/>
      <w:r w:rsidRPr="00A52A6B">
        <w:rPr>
          <w:rFonts w:ascii="Palatino Linotype" w:hAnsi="Palatino Linotype"/>
          <w:b/>
          <w:i/>
        </w:rPr>
        <w:t>población</w:t>
      </w:r>
      <w:proofErr w:type="spellEnd"/>
      <w:r w:rsidRPr="00A52A6B">
        <w:rPr>
          <w:rFonts w:ascii="Palatino Linotype" w:hAnsi="Palatino Linotype"/>
          <w:b/>
          <w:i/>
        </w:rPr>
        <w:t xml:space="preserve"> beneficiada estimada; g) monto aprobado, modificado y ejercido, </w:t>
      </w:r>
      <w:proofErr w:type="spellStart"/>
      <w:r w:rsidRPr="00A52A6B">
        <w:rPr>
          <w:rFonts w:ascii="Palatino Linotype" w:hAnsi="Palatino Linotype"/>
          <w:b/>
          <w:i/>
        </w:rPr>
        <w:t>asi</w:t>
      </w:r>
      <w:proofErr w:type="spellEnd"/>
      <w:r w:rsidRPr="00A52A6B">
        <w:rPr>
          <w:rFonts w:ascii="Palatino Linotype" w:hAnsi="Palatino Linotype"/>
          <w:b/>
          <w:i/>
        </w:rPr>
        <w:t xml:space="preserve">́ como los calendarios de su </w:t>
      </w:r>
      <w:proofErr w:type="spellStart"/>
      <w:r w:rsidRPr="00A52A6B">
        <w:rPr>
          <w:rFonts w:ascii="Palatino Linotype" w:hAnsi="Palatino Linotype"/>
          <w:b/>
          <w:i/>
        </w:rPr>
        <w:t>programación</w:t>
      </w:r>
      <w:proofErr w:type="spellEnd"/>
      <w:r w:rsidRPr="00A52A6B">
        <w:rPr>
          <w:rFonts w:ascii="Palatino Linotype" w:hAnsi="Palatino Linotype"/>
          <w:b/>
          <w:i/>
        </w:rPr>
        <w:t xml:space="preserve"> presupuestal; h) requisitos y procedimientos de acceso; i) procedimiento de queja o inconformidad ciudadana; j) mecanismos de exigibilidad; k) mecanismos e informes de </w:t>
      </w:r>
      <w:proofErr w:type="spellStart"/>
      <w:r w:rsidRPr="00A52A6B">
        <w:rPr>
          <w:rFonts w:ascii="Palatino Linotype" w:hAnsi="Palatino Linotype"/>
          <w:b/>
          <w:i/>
        </w:rPr>
        <w:t>evaluación</w:t>
      </w:r>
      <w:proofErr w:type="spellEnd"/>
      <w:r w:rsidRPr="00A52A6B">
        <w:rPr>
          <w:rFonts w:ascii="Palatino Linotype" w:hAnsi="Palatino Linotype"/>
          <w:b/>
          <w:i/>
        </w:rPr>
        <w:t xml:space="preserve"> y seguimiento de recomendaciones; l) indicadores con nombre, </w:t>
      </w:r>
      <w:proofErr w:type="spellStart"/>
      <w:r w:rsidRPr="00A52A6B">
        <w:rPr>
          <w:rFonts w:ascii="Palatino Linotype" w:hAnsi="Palatino Linotype"/>
          <w:b/>
          <w:i/>
        </w:rPr>
        <w:t>definición</w:t>
      </w:r>
      <w:proofErr w:type="spellEnd"/>
      <w:r w:rsidRPr="00A52A6B">
        <w:rPr>
          <w:rFonts w:ascii="Palatino Linotype" w:hAnsi="Palatino Linotype"/>
          <w:b/>
          <w:i/>
        </w:rPr>
        <w:t xml:space="preserve">, método de </w:t>
      </w:r>
      <w:proofErr w:type="spellStart"/>
      <w:r w:rsidRPr="00A52A6B">
        <w:rPr>
          <w:rFonts w:ascii="Palatino Linotype" w:hAnsi="Palatino Linotype"/>
          <w:b/>
          <w:i/>
        </w:rPr>
        <w:t>cálculo</w:t>
      </w:r>
      <w:proofErr w:type="spellEnd"/>
      <w:r w:rsidRPr="00A52A6B">
        <w:rPr>
          <w:rFonts w:ascii="Palatino Linotype" w:hAnsi="Palatino Linotype"/>
          <w:b/>
          <w:i/>
        </w:rPr>
        <w:t xml:space="preserve">, unidad de medida; </w:t>
      </w:r>
      <w:proofErr w:type="spellStart"/>
      <w:r w:rsidRPr="00A52A6B">
        <w:rPr>
          <w:rFonts w:ascii="Palatino Linotype" w:hAnsi="Palatino Linotype"/>
          <w:b/>
          <w:i/>
        </w:rPr>
        <w:t>dimensión</w:t>
      </w:r>
      <w:proofErr w:type="spellEnd"/>
      <w:r w:rsidRPr="00A52A6B">
        <w:rPr>
          <w:rFonts w:ascii="Palatino Linotype" w:hAnsi="Palatino Linotype"/>
          <w:b/>
          <w:i/>
        </w:rPr>
        <w:t xml:space="preserve">, frecuencia de </w:t>
      </w:r>
      <w:proofErr w:type="spellStart"/>
      <w:r w:rsidRPr="00A52A6B">
        <w:rPr>
          <w:rFonts w:ascii="Palatino Linotype" w:hAnsi="Palatino Linotype"/>
          <w:b/>
          <w:i/>
        </w:rPr>
        <w:t>medición</w:t>
      </w:r>
      <w:proofErr w:type="spellEnd"/>
      <w:r w:rsidRPr="00A52A6B">
        <w:rPr>
          <w:rFonts w:ascii="Palatino Linotype" w:hAnsi="Palatino Linotype"/>
          <w:b/>
          <w:i/>
        </w:rPr>
        <w:t xml:space="preserve">, nombre de las bases de datos utilizadas para su </w:t>
      </w:r>
      <w:proofErr w:type="spellStart"/>
      <w:r w:rsidRPr="00A52A6B">
        <w:rPr>
          <w:rFonts w:ascii="Palatino Linotype" w:hAnsi="Palatino Linotype"/>
          <w:b/>
          <w:i/>
        </w:rPr>
        <w:t>cálculo</w:t>
      </w:r>
      <w:proofErr w:type="spellEnd"/>
      <w:r w:rsidRPr="00A52A6B">
        <w:rPr>
          <w:rFonts w:ascii="Palatino Linotype" w:hAnsi="Palatino Linotype"/>
          <w:b/>
          <w:i/>
        </w:rPr>
        <w:t xml:space="preserve">; m)formas de </w:t>
      </w:r>
      <w:proofErr w:type="spellStart"/>
      <w:r w:rsidRPr="00A52A6B">
        <w:rPr>
          <w:rFonts w:ascii="Palatino Linotype" w:hAnsi="Palatino Linotype"/>
          <w:b/>
          <w:i/>
        </w:rPr>
        <w:t>participación</w:t>
      </w:r>
      <w:proofErr w:type="spellEnd"/>
      <w:r w:rsidRPr="00A52A6B">
        <w:rPr>
          <w:rFonts w:ascii="Palatino Linotype" w:hAnsi="Palatino Linotype"/>
          <w:b/>
          <w:i/>
        </w:rPr>
        <w:t xml:space="preserve"> social; n) </w:t>
      </w:r>
      <w:proofErr w:type="spellStart"/>
      <w:r w:rsidRPr="00A52A6B">
        <w:rPr>
          <w:rFonts w:ascii="Palatino Linotype" w:hAnsi="Palatino Linotype"/>
          <w:b/>
          <w:i/>
        </w:rPr>
        <w:t>articulación</w:t>
      </w:r>
      <w:proofErr w:type="spellEnd"/>
      <w:r w:rsidRPr="00A52A6B">
        <w:rPr>
          <w:rFonts w:ascii="Palatino Linotype" w:hAnsi="Palatino Linotype"/>
          <w:b/>
          <w:i/>
        </w:rPr>
        <w:t xml:space="preserve"> con otros programas sociales; ñ) </w:t>
      </w:r>
      <w:proofErr w:type="spellStart"/>
      <w:r w:rsidRPr="00A52A6B">
        <w:rPr>
          <w:rFonts w:ascii="Palatino Linotype" w:hAnsi="Palatino Linotype"/>
          <w:b/>
          <w:i/>
        </w:rPr>
        <w:t>vínculo</w:t>
      </w:r>
      <w:proofErr w:type="spellEnd"/>
      <w:r w:rsidRPr="00A52A6B">
        <w:rPr>
          <w:rFonts w:ascii="Palatino Linotype" w:hAnsi="Palatino Linotype"/>
          <w:b/>
          <w:i/>
        </w:rPr>
        <w:t xml:space="preserve"> a las reglas de </w:t>
      </w:r>
      <w:proofErr w:type="spellStart"/>
      <w:r w:rsidRPr="00A52A6B">
        <w:rPr>
          <w:rFonts w:ascii="Palatino Linotype" w:hAnsi="Palatino Linotype"/>
          <w:b/>
          <w:i/>
        </w:rPr>
        <w:t>operación</w:t>
      </w:r>
      <w:proofErr w:type="spellEnd"/>
      <w:r w:rsidRPr="00A52A6B">
        <w:rPr>
          <w:rFonts w:ascii="Palatino Linotype" w:hAnsi="Palatino Linotype"/>
          <w:b/>
          <w:i/>
        </w:rPr>
        <w:t xml:space="preserve"> o documento equivalente; o) informes </w:t>
      </w:r>
      <w:proofErr w:type="spellStart"/>
      <w:r w:rsidRPr="00A52A6B">
        <w:rPr>
          <w:rFonts w:ascii="Palatino Linotype" w:hAnsi="Palatino Linotype"/>
          <w:b/>
          <w:i/>
        </w:rPr>
        <w:t>periódicos</w:t>
      </w:r>
      <w:proofErr w:type="spellEnd"/>
      <w:r w:rsidRPr="00A52A6B">
        <w:rPr>
          <w:rFonts w:ascii="Palatino Linotype" w:hAnsi="Palatino Linotype"/>
          <w:b/>
          <w:i/>
        </w:rPr>
        <w:t xml:space="preserve"> sobre la </w:t>
      </w:r>
      <w:proofErr w:type="spellStart"/>
      <w:r w:rsidRPr="00A52A6B">
        <w:rPr>
          <w:rFonts w:ascii="Palatino Linotype" w:hAnsi="Palatino Linotype"/>
          <w:b/>
          <w:i/>
        </w:rPr>
        <w:t>ejecución</w:t>
      </w:r>
      <w:proofErr w:type="spellEnd"/>
      <w:r w:rsidRPr="00A52A6B">
        <w:rPr>
          <w:rFonts w:ascii="Palatino Linotype" w:hAnsi="Palatino Linotype"/>
          <w:b/>
          <w:i/>
        </w:rPr>
        <w:t xml:space="preserve"> y los resultados de las evaluaciones realizadas; y p) </w:t>
      </w:r>
      <w:proofErr w:type="spellStart"/>
      <w:r w:rsidRPr="00A52A6B">
        <w:rPr>
          <w:rFonts w:ascii="Palatino Linotype" w:hAnsi="Palatino Linotype"/>
          <w:b/>
          <w:i/>
        </w:rPr>
        <w:t>padrón</w:t>
      </w:r>
      <w:proofErr w:type="spellEnd"/>
      <w:r w:rsidRPr="00A52A6B">
        <w:rPr>
          <w:rFonts w:ascii="Palatino Linotype" w:hAnsi="Palatino Linotype"/>
          <w:b/>
          <w:i/>
        </w:rPr>
        <w:t xml:space="preserve"> de beneficiarios mismo que </w:t>
      </w:r>
      <w:proofErr w:type="spellStart"/>
      <w:r w:rsidRPr="00A52A6B">
        <w:rPr>
          <w:rFonts w:ascii="Palatino Linotype" w:hAnsi="Palatino Linotype"/>
          <w:b/>
          <w:i/>
        </w:rPr>
        <w:t>debera</w:t>
      </w:r>
      <w:proofErr w:type="spellEnd"/>
      <w:r w:rsidRPr="00A52A6B">
        <w:rPr>
          <w:rFonts w:ascii="Palatino Linotype" w:hAnsi="Palatino Linotype"/>
          <w:b/>
          <w:i/>
        </w:rPr>
        <w:t xml:space="preserve">́ contener los siguientes datos: nombre de la persona </w:t>
      </w:r>
      <w:proofErr w:type="spellStart"/>
      <w:r w:rsidRPr="00A52A6B">
        <w:rPr>
          <w:rFonts w:ascii="Palatino Linotype" w:hAnsi="Palatino Linotype"/>
          <w:b/>
          <w:i/>
        </w:rPr>
        <w:t>física</w:t>
      </w:r>
      <w:proofErr w:type="spellEnd"/>
      <w:r w:rsidRPr="00A52A6B">
        <w:rPr>
          <w:rFonts w:ascii="Palatino Linotype" w:hAnsi="Palatino Linotype"/>
          <w:b/>
          <w:i/>
        </w:rPr>
        <w:t xml:space="preserve"> o </w:t>
      </w:r>
      <w:proofErr w:type="spellStart"/>
      <w:r w:rsidRPr="00A52A6B">
        <w:rPr>
          <w:rFonts w:ascii="Palatino Linotype" w:hAnsi="Palatino Linotype"/>
          <w:b/>
          <w:i/>
        </w:rPr>
        <w:t>denominación</w:t>
      </w:r>
      <w:proofErr w:type="spellEnd"/>
      <w:r w:rsidRPr="00A52A6B">
        <w:rPr>
          <w:rFonts w:ascii="Palatino Linotype" w:hAnsi="Palatino Linotype"/>
          <w:b/>
          <w:i/>
        </w:rPr>
        <w:t xml:space="preserve"> social de las personas </w:t>
      </w:r>
      <w:proofErr w:type="spellStart"/>
      <w:r w:rsidRPr="00A52A6B">
        <w:rPr>
          <w:rFonts w:ascii="Palatino Linotype" w:hAnsi="Palatino Linotype"/>
          <w:b/>
          <w:i/>
        </w:rPr>
        <w:t>jurídicas</w:t>
      </w:r>
      <w:proofErr w:type="spellEnd"/>
      <w:r w:rsidRPr="00A52A6B">
        <w:rPr>
          <w:rFonts w:ascii="Palatino Linotype" w:hAnsi="Palatino Linotype"/>
          <w:b/>
          <w:i/>
        </w:rPr>
        <w:t xml:space="preserve"> colectivas beneficiadas, el monto, recurso, beneficio o apoyo otorgado </w:t>
      </w:r>
      <w:r w:rsidRPr="00A52A6B">
        <w:rPr>
          <w:rFonts w:ascii="Palatino Linotype" w:hAnsi="Palatino Linotype"/>
          <w:b/>
          <w:i/>
        </w:rPr>
        <w:lastRenderedPageBreak/>
        <w:t>para cada una de ellas, unidad territorial, en su caso, edad y sexo, constituye información pública de oficio conforme al artículo 92, fracción XIV de la Ley de Transparencia y Acceso a la Información Pública del Estado de México y Municipios.</w:t>
      </w:r>
    </w:p>
    <w:p w14:paraId="38FE5906" w14:textId="77777777" w:rsidR="007A12FF" w:rsidRPr="00A52A6B" w:rsidRDefault="007A12FF" w:rsidP="00B60DB6">
      <w:pPr>
        <w:pStyle w:val="Prrafodelista"/>
        <w:autoSpaceDE w:val="0"/>
        <w:autoSpaceDN w:val="0"/>
        <w:adjustRightInd w:val="0"/>
        <w:spacing w:before="240" w:line="360" w:lineRule="auto"/>
        <w:ind w:left="450" w:right="616"/>
        <w:jc w:val="both"/>
        <w:rPr>
          <w:rFonts w:ascii="Palatino Linotype" w:hAnsi="Palatino Linotype"/>
          <w:b/>
          <w:i/>
        </w:rPr>
      </w:pPr>
      <w:r w:rsidRPr="00A52A6B">
        <w:rPr>
          <w:rFonts w:ascii="Palatino Linotype" w:hAnsi="Palatino Linotype"/>
          <w:b/>
          <w:i/>
        </w:rPr>
        <w:t xml:space="preserve">2. La </w:t>
      </w:r>
      <w:proofErr w:type="spellStart"/>
      <w:r w:rsidRPr="00A52A6B">
        <w:rPr>
          <w:rFonts w:ascii="Palatino Linotype" w:hAnsi="Palatino Linotype"/>
          <w:b/>
          <w:i/>
        </w:rPr>
        <w:t>información</w:t>
      </w:r>
      <w:proofErr w:type="spellEnd"/>
      <w:r w:rsidRPr="00A52A6B">
        <w:rPr>
          <w:rFonts w:ascii="Palatino Linotype" w:hAnsi="Palatino Linotype"/>
          <w:b/>
          <w:i/>
        </w:rPr>
        <w:t xml:space="preserve"> de los programas de subsidios, </w:t>
      </w:r>
      <w:proofErr w:type="spellStart"/>
      <w:r w:rsidRPr="00A52A6B">
        <w:rPr>
          <w:rFonts w:ascii="Palatino Linotype" w:hAnsi="Palatino Linotype"/>
          <w:b/>
          <w:i/>
        </w:rPr>
        <w:t>estímulos</w:t>
      </w:r>
      <w:proofErr w:type="spellEnd"/>
      <w:r w:rsidRPr="00A52A6B">
        <w:rPr>
          <w:rFonts w:ascii="Palatino Linotype" w:hAnsi="Palatino Linotype"/>
          <w:b/>
          <w:i/>
        </w:rPr>
        <w:t xml:space="preserve"> y apoyos otorgados por el ayuntamiento a través de cualquiera de sus </w:t>
      </w:r>
      <w:proofErr w:type="spellStart"/>
      <w:r w:rsidRPr="00A52A6B">
        <w:rPr>
          <w:rFonts w:ascii="Palatino Linotype" w:hAnsi="Palatino Linotype"/>
          <w:b/>
          <w:i/>
        </w:rPr>
        <w:t>áreas</w:t>
      </w:r>
      <w:proofErr w:type="spellEnd"/>
      <w:r w:rsidRPr="00A52A6B">
        <w:rPr>
          <w:rFonts w:ascii="Palatino Linotype" w:hAnsi="Palatino Linotype"/>
          <w:b/>
          <w:i/>
        </w:rPr>
        <w:t xml:space="preserve"> y/o el sistema municipal DIF, vinculados con los acuerdos de cabildo aprobados para transferir al DIF recursos municipales para otorgar apoyos diversos con motivo de la pandemia por </w:t>
      </w:r>
      <w:proofErr w:type="spellStart"/>
      <w:r w:rsidRPr="00A52A6B">
        <w:rPr>
          <w:rFonts w:ascii="Palatino Linotype" w:hAnsi="Palatino Linotype"/>
          <w:b/>
          <w:i/>
        </w:rPr>
        <w:t>Covid</w:t>
      </w:r>
      <w:proofErr w:type="spellEnd"/>
      <w:r w:rsidRPr="00A52A6B">
        <w:rPr>
          <w:rFonts w:ascii="Palatino Linotype" w:hAnsi="Palatino Linotype"/>
          <w:b/>
          <w:i/>
        </w:rPr>
        <w:t xml:space="preserve"> 19, en el que se </w:t>
      </w:r>
      <w:proofErr w:type="spellStart"/>
      <w:r w:rsidRPr="00A52A6B">
        <w:rPr>
          <w:rFonts w:ascii="Palatino Linotype" w:hAnsi="Palatino Linotype"/>
          <w:b/>
          <w:i/>
        </w:rPr>
        <w:t>debera</w:t>
      </w:r>
      <w:proofErr w:type="spellEnd"/>
      <w:r w:rsidRPr="00A52A6B">
        <w:rPr>
          <w:rFonts w:ascii="Palatino Linotype" w:hAnsi="Palatino Linotype"/>
          <w:b/>
          <w:i/>
        </w:rPr>
        <w:t xml:space="preserve">́ informar respecto de los programas de transferencia, de servicios, de infraestructura social y de subsidio, en los que se </w:t>
      </w:r>
      <w:proofErr w:type="spellStart"/>
      <w:r w:rsidRPr="00A52A6B">
        <w:rPr>
          <w:rFonts w:ascii="Palatino Linotype" w:hAnsi="Palatino Linotype"/>
          <w:b/>
          <w:i/>
        </w:rPr>
        <w:t>debera</w:t>
      </w:r>
      <w:proofErr w:type="spellEnd"/>
      <w:r w:rsidRPr="00A52A6B">
        <w:rPr>
          <w:rFonts w:ascii="Palatino Linotype" w:hAnsi="Palatino Linotype"/>
          <w:b/>
          <w:i/>
        </w:rPr>
        <w:t xml:space="preserve">́ contener el a) </w:t>
      </w:r>
      <w:proofErr w:type="spellStart"/>
      <w:r w:rsidRPr="00A52A6B">
        <w:rPr>
          <w:rFonts w:ascii="Palatino Linotype" w:hAnsi="Palatino Linotype"/>
          <w:b/>
          <w:i/>
        </w:rPr>
        <w:t>área</w:t>
      </w:r>
      <w:proofErr w:type="spellEnd"/>
      <w:r w:rsidRPr="00A52A6B">
        <w:rPr>
          <w:rFonts w:ascii="Palatino Linotype" w:hAnsi="Palatino Linotype"/>
          <w:b/>
          <w:i/>
        </w:rPr>
        <w:t xml:space="preserve">; b) </w:t>
      </w:r>
      <w:proofErr w:type="spellStart"/>
      <w:r w:rsidRPr="00A52A6B">
        <w:rPr>
          <w:rFonts w:ascii="Palatino Linotype" w:hAnsi="Palatino Linotype"/>
          <w:b/>
          <w:i/>
        </w:rPr>
        <w:t>denominación</w:t>
      </w:r>
      <w:proofErr w:type="spellEnd"/>
      <w:r w:rsidRPr="00A52A6B">
        <w:rPr>
          <w:rFonts w:ascii="Palatino Linotype" w:hAnsi="Palatino Linotype"/>
          <w:b/>
          <w:i/>
        </w:rPr>
        <w:t xml:space="preserve"> del programa; c) periodo de vigencia; d) </w:t>
      </w:r>
      <w:proofErr w:type="spellStart"/>
      <w:r w:rsidRPr="00A52A6B">
        <w:rPr>
          <w:rFonts w:ascii="Palatino Linotype" w:hAnsi="Palatino Linotype"/>
          <w:b/>
          <w:i/>
        </w:rPr>
        <w:t>diseño</w:t>
      </w:r>
      <w:proofErr w:type="spellEnd"/>
      <w:r w:rsidRPr="00A52A6B">
        <w:rPr>
          <w:rFonts w:ascii="Palatino Linotype" w:hAnsi="Palatino Linotype"/>
          <w:b/>
          <w:i/>
        </w:rPr>
        <w:t xml:space="preserve">, objetivos y alcances; e) metas </w:t>
      </w:r>
      <w:proofErr w:type="spellStart"/>
      <w:r w:rsidRPr="00A52A6B">
        <w:rPr>
          <w:rFonts w:ascii="Palatino Linotype" w:hAnsi="Palatino Linotype"/>
          <w:b/>
          <w:i/>
        </w:rPr>
        <w:t>físicas</w:t>
      </w:r>
      <w:proofErr w:type="spellEnd"/>
      <w:r w:rsidRPr="00A52A6B">
        <w:rPr>
          <w:rFonts w:ascii="Palatino Linotype" w:hAnsi="Palatino Linotype"/>
          <w:b/>
          <w:i/>
        </w:rPr>
        <w:t xml:space="preserve">; f) </w:t>
      </w:r>
      <w:proofErr w:type="spellStart"/>
      <w:r w:rsidRPr="00A52A6B">
        <w:rPr>
          <w:rFonts w:ascii="Palatino Linotype" w:hAnsi="Palatino Linotype"/>
          <w:b/>
          <w:i/>
        </w:rPr>
        <w:t>población</w:t>
      </w:r>
      <w:proofErr w:type="spellEnd"/>
      <w:r w:rsidRPr="00A52A6B">
        <w:rPr>
          <w:rFonts w:ascii="Palatino Linotype" w:hAnsi="Palatino Linotype"/>
          <w:b/>
          <w:i/>
        </w:rPr>
        <w:t xml:space="preserve"> beneficiada estimada; g) monto aprobado, modificado y ejercido, </w:t>
      </w:r>
      <w:proofErr w:type="spellStart"/>
      <w:r w:rsidRPr="00A52A6B">
        <w:rPr>
          <w:rFonts w:ascii="Palatino Linotype" w:hAnsi="Palatino Linotype"/>
          <w:b/>
          <w:i/>
        </w:rPr>
        <w:t>asi</w:t>
      </w:r>
      <w:proofErr w:type="spellEnd"/>
      <w:r w:rsidRPr="00A52A6B">
        <w:rPr>
          <w:rFonts w:ascii="Palatino Linotype" w:hAnsi="Palatino Linotype"/>
          <w:b/>
          <w:i/>
        </w:rPr>
        <w:t xml:space="preserve">́ como los calendarios de su </w:t>
      </w:r>
      <w:proofErr w:type="spellStart"/>
      <w:r w:rsidRPr="00A52A6B">
        <w:rPr>
          <w:rFonts w:ascii="Palatino Linotype" w:hAnsi="Palatino Linotype"/>
          <w:b/>
          <w:i/>
        </w:rPr>
        <w:t>programación</w:t>
      </w:r>
      <w:proofErr w:type="spellEnd"/>
      <w:r w:rsidRPr="00A52A6B">
        <w:rPr>
          <w:rFonts w:ascii="Palatino Linotype" w:hAnsi="Palatino Linotype"/>
          <w:b/>
          <w:i/>
        </w:rPr>
        <w:t xml:space="preserve"> presupuestal; h) requisitos y procedimientos de acceso; i) procedimiento de queja o inconformidad ciudadana; j) mecanismos de exigibilidad; k) mecanismos e informes de </w:t>
      </w:r>
      <w:proofErr w:type="spellStart"/>
      <w:r w:rsidRPr="00A52A6B">
        <w:rPr>
          <w:rFonts w:ascii="Palatino Linotype" w:hAnsi="Palatino Linotype"/>
          <w:b/>
          <w:i/>
        </w:rPr>
        <w:t>evaluación</w:t>
      </w:r>
      <w:proofErr w:type="spellEnd"/>
      <w:r w:rsidRPr="00A52A6B">
        <w:rPr>
          <w:rFonts w:ascii="Palatino Linotype" w:hAnsi="Palatino Linotype"/>
          <w:b/>
          <w:i/>
        </w:rPr>
        <w:t xml:space="preserve"> y seguimiento de recomendaciones; l) indicadores con nombre, </w:t>
      </w:r>
      <w:proofErr w:type="spellStart"/>
      <w:r w:rsidRPr="00A52A6B">
        <w:rPr>
          <w:rFonts w:ascii="Palatino Linotype" w:hAnsi="Palatino Linotype"/>
          <w:b/>
          <w:i/>
        </w:rPr>
        <w:t>definición</w:t>
      </w:r>
      <w:proofErr w:type="spellEnd"/>
      <w:r w:rsidRPr="00A52A6B">
        <w:rPr>
          <w:rFonts w:ascii="Palatino Linotype" w:hAnsi="Palatino Linotype"/>
          <w:b/>
          <w:i/>
        </w:rPr>
        <w:t xml:space="preserve">, método de </w:t>
      </w:r>
      <w:proofErr w:type="spellStart"/>
      <w:r w:rsidRPr="00A52A6B">
        <w:rPr>
          <w:rFonts w:ascii="Palatino Linotype" w:hAnsi="Palatino Linotype"/>
          <w:b/>
          <w:i/>
        </w:rPr>
        <w:t>cálculo</w:t>
      </w:r>
      <w:proofErr w:type="spellEnd"/>
      <w:r w:rsidRPr="00A52A6B">
        <w:rPr>
          <w:rFonts w:ascii="Palatino Linotype" w:hAnsi="Palatino Linotype"/>
          <w:b/>
          <w:i/>
        </w:rPr>
        <w:t xml:space="preserve">, unidad de medida; </w:t>
      </w:r>
      <w:proofErr w:type="spellStart"/>
      <w:r w:rsidRPr="00A52A6B">
        <w:rPr>
          <w:rFonts w:ascii="Palatino Linotype" w:hAnsi="Palatino Linotype"/>
          <w:b/>
          <w:i/>
        </w:rPr>
        <w:t>dimensión</w:t>
      </w:r>
      <w:proofErr w:type="spellEnd"/>
      <w:r w:rsidRPr="00A52A6B">
        <w:rPr>
          <w:rFonts w:ascii="Palatino Linotype" w:hAnsi="Palatino Linotype"/>
          <w:b/>
          <w:i/>
        </w:rPr>
        <w:t xml:space="preserve">, frecuencia de </w:t>
      </w:r>
      <w:proofErr w:type="spellStart"/>
      <w:r w:rsidRPr="00A52A6B">
        <w:rPr>
          <w:rFonts w:ascii="Palatino Linotype" w:hAnsi="Palatino Linotype"/>
          <w:b/>
          <w:i/>
        </w:rPr>
        <w:t>medición</w:t>
      </w:r>
      <w:proofErr w:type="spellEnd"/>
      <w:r w:rsidRPr="00A52A6B">
        <w:rPr>
          <w:rFonts w:ascii="Palatino Linotype" w:hAnsi="Palatino Linotype"/>
          <w:b/>
          <w:i/>
        </w:rPr>
        <w:t xml:space="preserve">, nombre de las bases de datos utilizadas para su </w:t>
      </w:r>
      <w:proofErr w:type="spellStart"/>
      <w:r w:rsidRPr="00A52A6B">
        <w:rPr>
          <w:rFonts w:ascii="Palatino Linotype" w:hAnsi="Palatino Linotype"/>
          <w:b/>
          <w:i/>
        </w:rPr>
        <w:t>cálculo</w:t>
      </w:r>
      <w:proofErr w:type="spellEnd"/>
      <w:r w:rsidRPr="00A52A6B">
        <w:rPr>
          <w:rFonts w:ascii="Palatino Linotype" w:hAnsi="Palatino Linotype"/>
          <w:b/>
          <w:i/>
        </w:rPr>
        <w:t xml:space="preserve">; m) formas de </w:t>
      </w:r>
      <w:proofErr w:type="spellStart"/>
      <w:r w:rsidRPr="00A52A6B">
        <w:rPr>
          <w:rFonts w:ascii="Palatino Linotype" w:hAnsi="Palatino Linotype"/>
          <w:b/>
          <w:i/>
        </w:rPr>
        <w:t>participación</w:t>
      </w:r>
      <w:proofErr w:type="spellEnd"/>
      <w:r w:rsidRPr="00A52A6B">
        <w:rPr>
          <w:rFonts w:ascii="Palatino Linotype" w:hAnsi="Palatino Linotype"/>
          <w:b/>
          <w:i/>
        </w:rPr>
        <w:t xml:space="preserve"> social; n) </w:t>
      </w:r>
      <w:proofErr w:type="spellStart"/>
      <w:r w:rsidRPr="00A52A6B">
        <w:rPr>
          <w:rFonts w:ascii="Palatino Linotype" w:hAnsi="Palatino Linotype"/>
          <w:b/>
          <w:i/>
        </w:rPr>
        <w:t>articulación</w:t>
      </w:r>
      <w:proofErr w:type="spellEnd"/>
      <w:r w:rsidRPr="00A52A6B">
        <w:rPr>
          <w:rFonts w:ascii="Palatino Linotype" w:hAnsi="Palatino Linotype"/>
          <w:b/>
          <w:i/>
        </w:rPr>
        <w:t xml:space="preserve"> con otros programas sociales; ñ) </w:t>
      </w:r>
      <w:proofErr w:type="spellStart"/>
      <w:r w:rsidRPr="00A52A6B">
        <w:rPr>
          <w:rFonts w:ascii="Palatino Linotype" w:hAnsi="Palatino Linotype"/>
          <w:b/>
          <w:i/>
        </w:rPr>
        <w:t>vínculo</w:t>
      </w:r>
      <w:proofErr w:type="spellEnd"/>
      <w:r w:rsidRPr="00A52A6B">
        <w:rPr>
          <w:rFonts w:ascii="Palatino Linotype" w:hAnsi="Palatino Linotype"/>
          <w:b/>
          <w:i/>
        </w:rPr>
        <w:t xml:space="preserve"> a las reglas de </w:t>
      </w:r>
      <w:proofErr w:type="spellStart"/>
      <w:r w:rsidRPr="00A52A6B">
        <w:rPr>
          <w:rFonts w:ascii="Palatino Linotype" w:hAnsi="Palatino Linotype"/>
          <w:b/>
          <w:i/>
        </w:rPr>
        <w:t>operación</w:t>
      </w:r>
      <w:proofErr w:type="spellEnd"/>
      <w:r w:rsidRPr="00A52A6B">
        <w:rPr>
          <w:rFonts w:ascii="Palatino Linotype" w:hAnsi="Palatino Linotype"/>
          <w:b/>
          <w:i/>
        </w:rPr>
        <w:t xml:space="preserve"> o documento equivalente; o) informes </w:t>
      </w:r>
      <w:proofErr w:type="spellStart"/>
      <w:r w:rsidRPr="00A52A6B">
        <w:rPr>
          <w:rFonts w:ascii="Palatino Linotype" w:hAnsi="Palatino Linotype"/>
          <w:b/>
          <w:i/>
        </w:rPr>
        <w:t>periódicos</w:t>
      </w:r>
      <w:proofErr w:type="spellEnd"/>
      <w:r w:rsidRPr="00A52A6B">
        <w:rPr>
          <w:rFonts w:ascii="Palatino Linotype" w:hAnsi="Palatino Linotype"/>
          <w:b/>
          <w:i/>
        </w:rPr>
        <w:t xml:space="preserve"> sobre </w:t>
      </w:r>
      <w:r w:rsidRPr="00A52A6B">
        <w:rPr>
          <w:rFonts w:ascii="Palatino Linotype" w:hAnsi="Palatino Linotype"/>
          <w:b/>
          <w:i/>
        </w:rPr>
        <w:lastRenderedPageBreak/>
        <w:t xml:space="preserve">la </w:t>
      </w:r>
      <w:proofErr w:type="spellStart"/>
      <w:r w:rsidRPr="00A52A6B">
        <w:rPr>
          <w:rFonts w:ascii="Palatino Linotype" w:hAnsi="Palatino Linotype"/>
          <w:b/>
          <w:i/>
        </w:rPr>
        <w:t>ejecución</w:t>
      </w:r>
      <w:proofErr w:type="spellEnd"/>
      <w:r w:rsidRPr="00A52A6B">
        <w:rPr>
          <w:rFonts w:ascii="Palatino Linotype" w:hAnsi="Palatino Linotype"/>
          <w:b/>
          <w:i/>
        </w:rPr>
        <w:t xml:space="preserve"> y los resultados de las evaluaciones realizadas; y p) </w:t>
      </w:r>
      <w:proofErr w:type="spellStart"/>
      <w:r w:rsidRPr="00A52A6B">
        <w:rPr>
          <w:rFonts w:ascii="Palatino Linotype" w:hAnsi="Palatino Linotype"/>
          <w:b/>
          <w:i/>
        </w:rPr>
        <w:t>padrón</w:t>
      </w:r>
      <w:proofErr w:type="spellEnd"/>
      <w:r w:rsidRPr="00A52A6B">
        <w:rPr>
          <w:rFonts w:ascii="Palatino Linotype" w:hAnsi="Palatino Linotype"/>
          <w:b/>
          <w:i/>
        </w:rPr>
        <w:t xml:space="preserve"> de beneficiarios mismo que </w:t>
      </w:r>
      <w:proofErr w:type="spellStart"/>
      <w:r w:rsidRPr="00A52A6B">
        <w:rPr>
          <w:rFonts w:ascii="Palatino Linotype" w:hAnsi="Palatino Linotype"/>
          <w:b/>
          <w:i/>
        </w:rPr>
        <w:t>debera</w:t>
      </w:r>
      <w:proofErr w:type="spellEnd"/>
      <w:r w:rsidRPr="00A52A6B">
        <w:rPr>
          <w:rFonts w:ascii="Palatino Linotype" w:hAnsi="Palatino Linotype"/>
          <w:b/>
          <w:i/>
        </w:rPr>
        <w:t xml:space="preserve">́ contener los siguientes datos: nombre de la persona </w:t>
      </w:r>
      <w:proofErr w:type="spellStart"/>
      <w:r w:rsidRPr="00A52A6B">
        <w:rPr>
          <w:rFonts w:ascii="Palatino Linotype" w:hAnsi="Palatino Linotype"/>
          <w:b/>
          <w:i/>
        </w:rPr>
        <w:t>física</w:t>
      </w:r>
      <w:proofErr w:type="spellEnd"/>
      <w:r w:rsidRPr="00A52A6B">
        <w:rPr>
          <w:rFonts w:ascii="Palatino Linotype" w:hAnsi="Palatino Linotype"/>
          <w:b/>
          <w:i/>
        </w:rPr>
        <w:t xml:space="preserve"> o </w:t>
      </w:r>
      <w:proofErr w:type="spellStart"/>
      <w:r w:rsidRPr="00A52A6B">
        <w:rPr>
          <w:rFonts w:ascii="Palatino Linotype" w:hAnsi="Palatino Linotype"/>
          <w:b/>
          <w:i/>
        </w:rPr>
        <w:t>denominación</w:t>
      </w:r>
      <w:proofErr w:type="spellEnd"/>
      <w:r w:rsidRPr="00A52A6B">
        <w:rPr>
          <w:rFonts w:ascii="Palatino Linotype" w:hAnsi="Palatino Linotype"/>
          <w:b/>
          <w:i/>
        </w:rPr>
        <w:t xml:space="preserve"> social de las personas </w:t>
      </w:r>
      <w:proofErr w:type="spellStart"/>
      <w:r w:rsidRPr="00A52A6B">
        <w:rPr>
          <w:rFonts w:ascii="Palatino Linotype" w:hAnsi="Palatino Linotype"/>
          <w:b/>
          <w:i/>
        </w:rPr>
        <w:t>jurídicas</w:t>
      </w:r>
      <w:proofErr w:type="spellEnd"/>
      <w:r w:rsidRPr="00A52A6B">
        <w:rPr>
          <w:rFonts w:ascii="Palatino Linotype" w:hAnsi="Palatino Linotype"/>
          <w:b/>
          <w:i/>
        </w:rPr>
        <w:t xml:space="preserve"> colectivas beneficiadas, el monto, recurso, beneficio o apoyo otorgado para cada una de ellas, unidad territorial, en su caso, edad y sexo, que constituye información pública de oficio conforme al artículo 92, fracción XIV de la Ley de Transparencia y Acceso a la Información Pública del Estado de México y Municipios.</w:t>
      </w:r>
    </w:p>
    <w:p w14:paraId="10A9FAF2" w14:textId="77777777" w:rsidR="007A12FF" w:rsidRPr="00A52A6B" w:rsidRDefault="007A12FF" w:rsidP="00B60DB6">
      <w:pPr>
        <w:pStyle w:val="Prrafodelista"/>
        <w:autoSpaceDE w:val="0"/>
        <w:autoSpaceDN w:val="0"/>
        <w:adjustRightInd w:val="0"/>
        <w:spacing w:before="240" w:line="360" w:lineRule="auto"/>
        <w:ind w:left="450" w:right="616"/>
        <w:jc w:val="both"/>
        <w:rPr>
          <w:rFonts w:ascii="Palatino Linotype" w:hAnsi="Palatino Linotype"/>
          <w:b/>
          <w:i/>
        </w:rPr>
      </w:pPr>
      <w:r w:rsidRPr="00A52A6B">
        <w:rPr>
          <w:rFonts w:ascii="Palatino Linotype" w:hAnsi="Palatino Linotype"/>
          <w:b/>
          <w:i/>
        </w:rPr>
        <w:t xml:space="preserve">3. La </w:t>
      </w:r>
      <w:proofErr w:type="spellStart"/>
      <w:r w:rsidRPr="00A52A6B">
        <w:rPr>
          <w:rFonts w:ascii="Palatino Linotype" w:hAnsi="Palatino Linotype"/>
          <w:b/>
          <w:i/>
        </w:rPr>
        <w:t>relación</w:t>
      </w:r>
      <w:proofErr w:type="spellEnd"/>
      <w:r w:rsidRPr="00A52A6B">
        <w:rPr>
          <w:rFonts w:ascii="Palatino Linotype" w:hAnsi="Palatino Linotype"/>
          <w:b/>
          <w:i/>
        </w:rPr>
        <w:t xml:space="preserve"> de contratistas beneficiados con la </w:t>
      </w:r>
      <w:proofErr w:type="spellStart"/>
      <w:r w:rsidRPr="00A52A6B">
        <w:rPr>
          <w:rFonts w:ascii="Palatino Linotype" w:hAnsi="Palatino Linotype"/>
          <w:b/>
          <w:i/>
        </w:rPr>
        <w:t>adjudicación</w:t>
      </w:r>
      <w:proofErr w:type="spellEnd"/>
      <w:r w:rsidRPr="00A52A6B">
        <w:rPr>
          <w:rFonts w:ascii="Palatino Linotype" w:hAnsi="Palatino Linotype"/>
          <w:b/>
          <w:i/>
        </w:rPr>
        <w:t xml:space="preserve"> de alguna obra durante el ejercicio dos mil diecinueve, incluyendo su nombre, </w:t>
      </w:r>
      <w:proofErr w:type="spellStart"/>
      <w:r w:rsidRPr="00A52A6B">
        <w:rPr>
          <w:rFonts w:ascii="Palatino Linotype" w:hAnsi="Palatino Linotype"/>
          <w:b/>
          <w:i/>
        </w:rPr>
        <w:t>ubicación</w:t>
      </w:r>
      <w:proofErr w:type="spellEnd"/>
      <w:r w:rsidRPr="00A52A6B">
        <w:rPr>
          <w:rFonts w:ascii="Palatino Linotype" w:hAnsi="Palatino Linotype"/>
          <w:b/>
          <w:i/>
        </w:rPr>
        <w:t xml:space="preserve"> y costo, que constituye información pública de oficio conforme al artículo 92, fracción XIV de la Ley de Transparencia y Acceso a la Información Pública del Estado de México y Municipios, que constituye información pública de oficio conforme al artículo 92, fracciones XXIX, inciso b, XXXI, XXXII y XXXVI de la Ley de Transparencia y Acceso a la Información Pública del Estado de México y Municipios.</w:t>
      </w:r>
    </w:p>
    <w:p w14:paraId="640CDF7E" w14:textId="77777777" w:rsidR="00892544" w:rsidRPr="00A52A6B" w:rsidRDefault="007A12FF" w:rsidP="00B60DB6">
      <w:pPr>
        <w:pStyle w:val="Prrafodelista"/>
        <w:autoSpaceDE w:val="0"/>
        <w:autoSpaceDN w:val="0"/>
        <w:adjustRightInd w:val="0"/>
        <w:spacing w:before="240" w:line="360" w:lineRule="auto"/>
        <w:ind w:left="450" w:right="616"/>
        <w:jc w:val="both"/>
        <w:rPr>
          <w:rFonts w:ascii="Palatino Linotype" w:hAnsi="Palatino Linotype"/>
          <w:b/>
          <w:i/>
          <w:sz w:val="28"/>
          <w:lang w:val="es-MX"/>
        </w:rPr>
      </w:pPr>
      <w:r w:rsidRPr="00A52A6B">
        <w:rPr>
          <w:rFonts w:ascii="Palatino Linotype" w:hAnsi="Palatino Linotype"/>
          <w:b/>
          <w:i/>
        </w:rPr>
        <w:t xml:space="preserve">4. La </w:t>
      </w:r>
      <w:proofErr w:type="spellStart"/>
      <w:r w:rsidRPr="00A52A6B">
        <w:rPr>
          <w:rFonts w:ascii="Palatino Linotype" w:hAnsi="Palatino Linotype"/>
          <w:b/>
          <w:i/>
        </w:rPr>
        <w:t>relación</w:t>
      </w:r>
      <w:proofErr w:type="spellEnd"/>
      <w:r w:rsidRPr="00A52A6B">
        <w:rPr>
          <w:rFonts w:ascii="Palatino Linotype" w:hAnsi="Palatino Linotype"/>
          <w:b/>
          <w:i/>
        </w:rPr>
        <w:t xml:space="preserve"> de todos los proveedores beneficiados, con la </w:t>
      </w:r>
      <w:proofErr w:type="spellStart"/>
      <w:r w:rsidRPr="00A52A6B">
        <w:rPr>
          <w:rFonts w:ascii="Palatino Linotype" w:hAnsi="Palatino Linotype"/>
          <w:b/>
          <w:i/>
        </w:rPr>
        <w:t>adjudicación</w:t>
      </w:r>
      <w:proofErr w:type="spellEnd"/>
      <w:r w:rsidRPr="00A52A6B">
        <w:rPr>
          <w:rFonts w:ascii="Palatino Linotype" w:hAnsi="Palatino Linotype"/>
          <w:b/>
          <w:i/>
        </w:rPr>
        <w:t xml:space="preserve"> de </w:t>
      </w:r>
      <w:proofErr w:type="spellStart"/>
      <w:r w:rsidRPr="00A52A6B">
        <w:rPr>
          <w:rFonts w:ascii="Palatino Linotype" w:hAnsi="Palatino Linotype"/>
          <w:b/>
          <w:i/>
        </w:rPr>
        <w:t>algún</w:t>
      </w:r>
      <w:proofErr w:type="spellEnd"/>
      <w:r w:rsidRPr="00A52A6B">
        <w:rPr>
          <w:rFonts w:ascii="Palatino Linotype" w:hAnsi="Palatino Linotype"/>
          <w:b/>
          <w:i/>
        </w:rPr>
        <w:t xml:space="preserve"> contrato de adquisiciones y/o servicios durante el ejercicio dos mil diecinueve, incluyendo su nombre, </w:t>
      </w:r>
      <w:proofErr w:type="spellStart"/>
      <w:r w:rsidRPr="00A52A6B">
        <w:rPr>
          <w:rFonts w:ascii="Palatino Linotype" w:hAnsi="Palatino Linotype"/>
          <w:b/>
          <w:i/>
        </w:rPr>
        <w:t>ubicación</w:t>
      </w:r>
      <w:proofErr w:type="spellEnd"/>
      <w:r w:rsidRPr="00A52A6B">
        <w:rPr>
          <w:rFonts w:ascii="Palatino Linotype" w:hAnsi="Palatino Linotype"/>
          <w:b/>
          <w:i/>
        </w:rPr>
        <w:t xml:space="preserve"> y costo, que constituye información pública de oficio conforme al artículo 92, fracciones XXIX, inciso b, XXXI, XXXII y XXXVI de la Ley de Transparencia y Acceso a la Información Pública del Estado de México y Municipios.</w:t>
      </w:r>
    </w:p>
    <w:p w14:paraId="5CE6CCD9" w14:textId="77777777" w:rsidR="00892544" w:rsidRPr="00A52A6B" w:rsidRDefault="00892544" w:rsidP="00892544">
      <w:pPr>
        <w:pStyle w:val="Prrafodelista"/>
        <w:autoSpaceDE w:val="0"/>
        <w:autoSpaceDN w:val="0"/>
        <w:adjustRightInd w:val="0"/>
        <w:spacing w:before="240" w:line="360" w:lineRule="auto"/>
        <w:ind w:left="450" w:right="49"/>
        <w:jc w:val="both"/>
        <w:rPr>
          <w:rFonts w:ascii="Palatino Linotype" w:hAnsi="Palatino Linotype" w:cs="Arial"/>
          <w:i/>
          <w:sz w:val="28"/>
          <w:lang w:val="es-ES_tradnl"/>
        </w:rPr>
      </w:pPr>
    </w:p>
    <w:p w14:paraId="1D4D8623" w14:textId="77777777" w:rsidR="00892544" w:rsidRPr="00A52A6B" w:rsidRDefault="00B60DB6" w:rsidP="00B60DB6">
      <w:pPr>
        <w:pStyle w:val="Prrafodelista"/>
        <w:autoSpaceDE w:val="0"/>
        <w:autoSpaceDN w:val="0"/>
        <w:adjustRightInd w:val="0"/>
        <w:spacing w:before="240" w:line="360" w:lineRule="auto"/>
        <w:ind w:left="450" w:right="616"/>
        <w:jc w:val="both"/>
        <w:rPr>
          <w:rFonts w:ascii="Palatino Linotype" w:hAnsi="Palatino Linotype"/>
          <w:i/>
        </w:rPr>
      </w:pPr>
      <w:r w:rsidRPr="00A52A6B">
        <w:rPr>
          <w:rFonts w:ascii="Palatino Linotype" w:hAnsi="Palatino Linotype"/>
          <w:i/>
        </w:rPr>
        <w:t>Para efectos de la entrega de la información esta deberá ser en la modalidad elegida por la persona recurrente de manera inicial, es decir, medio electrónico gratuito, tales como habilitar una liga electrónica que deberá proporcionarle para que descargue los archivos -en caso de estar en posibilidad-; enviar la información a su cuenta de correo electrónico; concederle el acceso en disco compacto, con la posibilidad de envío mediante correo certificado, previo pago del costo del disco compacto y del envío, y darle la posibilidad de obtenerla de manera gratuita si la parte solicitante misma aporta el disco compacto o la memoria USB en la que se le proporcionarán los archivos electrónicos.</w:t>
      </w:r>
    </w:p>
    <w:p w14:paraId="421FB65F" w14:textId="77777777" w:rsidR="00B60DB6" w:rsidRPr="00A52A6B" w:rsidRDefault="00B60DB6" w:rsidP="00892544">
      <w:pPr>
        <w:pStyle w:val="Prrafodelista"/>
        <w:autoSpaceDE w:val="0"/>
        <w:autoSpaceDN w:val="0"/>
        <w:adjustRightInd w:val="0"/>
        <w:spacing w:before="240" w:line="360" w:lineRule="auto"/>
        <w:ind w:left="450" w:right="49"/>
        <w:jc w:val="both"/>
        <w:rPr>
          <w:rFonts w:ascii="Palatino Linotype" w:hAnsi="Palatino Linotype"/>
          <w:sz w:val="28"/>
          <w:lang w:val="es-ES_tradnl"/>
        </w:rPr>
      </w:pPr>
    </w:p>
    <w:p w14:paraId="55A42331" w14:textId="77777777" w:rsidR="00892544" w:rsidRPr="00A52A6B" w:rsidRDefault="00892544" w:rsidP="00892544">
      <w:pPr>
        <w:spacing w:line="360" w:lineRule="auto"/>
        <w:ind w:left="450" w:right="567"/>
        <w:jc w:val="both"/>
        <w:rPr>
          <w:rFonts w:ascii="Palatino Linotype" w:eastAsia="Calibri" w:hAnsi="Palatino Linotype" w:cs="Arial"/>
          <w:sz w:val="24"/>
          <w:lang w:val="es-ES"/>
        </w:rPr>
      </w:pPr>
      <w:r w:rsidRPr="00A52A6B">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14E6EFFC" w14:textId="77777777" w:rsidR="00892544" w:rsidRPr="00A52A6B" w:rsidRDefault="00892544" w:rsidP="00892544">
      <w:pPr>
        <w:pStyle w:val="Prrafodelista"/>
        <w:autoSpaceDE w:val="0"/>
        <w:autoSpaceDN w:val="0"/>
        <w:adjustRightInd w:val="0"/>
        <w:spacing w:before="240" w:line="360" w:lineRule="auto"/>
        <w:ind w:left="450" w:right="49"/>
        <w:jc w:val="both"/>
        <w:rPr>
          <w:rFonts w:ascii="Palatino Linotype" w:hAnsi="Palatino Linotype" w:cs="Arial"/>
          <w:i/>
          <w:sz w:val="28"/>
          <w:lang w:val="es-ES"/>
        </w:rPr>
      </w:pPr>
    </w:p>
    <w:p w14:paraId="7A916093" w14:textId="77777777" w:rsidR="00892544" w:rsidRPr="00A52A6B" w:rsidRDefault="00892544" w:rsidP="00892544">
      <w:pPr>
        <w:autoSpaceDE w:val="0"/>
        <w:autoSpaceDN w:val="0"/>
        <w:adjustRightInd w:val="0"/>
        <w:spacing w:before="240" w:line="360" w:lineRule="auto"/>
        <w:jc w:val="both"/>
        <w:rPr>
          <w:rFonts w:ascii="Palatino Linotype" w:hAnsi="Palatino Linotype" w:cs="Arial"/>
          <w:sz w:val="24"/>
          <w:lang w:val="es-ES_tradnl"/>
        </w:rPr>
      </w:pPr>
      <w:r w:rsidRPr="00A52A6B">
        <w:rPr>
          <w:rFonts w:ascii="Palatino Linotype" w:hAnsi="Palatino Linotype" w:cs="Arial"/>
          <w:b/>
          <w:sz w:val="24"/>
          <w:lang w:val="es-ES_tradnl"/>
        </w:rPr>
        <w:t>TERCERO. Notifíquese</w:t>
      </w:r>
      <w:r w:rsidRPr="00A52A6B">
        <w:rPr>
          <w:rFonts w:ascii="Palatino Linotype" w:hAnsi="Palatino Linotype" w:cs="Arial"/>
          <w:b/>
          <w:i/>
          <w:sz w:val="24"/>
          <w:lang w:val="es-ES_tradnl"/>
        </w:rPr>
        <w:t xml:space="preserve"> </w:t>
      </w:r>
      <w:r w:rsidRPr="00A52A6B">
        <w:rPr>
          <w:rFonts w:ascii="Palatino Linotype" w:hAnsi="Palatino Linotype" w:cs="Arial"/>
          <w:sz w:val="24"/>
          <w:lang w:val="es-ES_tradnl"/>
        </w:rPr>
        <w:t>al Titular de la Unidad de Transparencia del</w:t>
      </w:r>
      <w:r w:rsidRPr="00A52A6B">
        <w:rPr>
          <w:rFonts w:ascii="Palatino Linotype" w:hAnsi="Palatino Linotype" w:cs="Arial"/>
          <w:b/>
          <w:sz w:val="24"/>
          <w:lang w:val="es-ES_tradnl"/>
        </w:rPr>
        <w:t xml:space="preserve"> SUJETO OBLIGADO</w:t>
      </w:r>
      <w:r w:rsidRPr="00A52A6B">
        <w:rPr>
          <w:rFonts w:ascii="Palatino Linotype" w:hAnsi="Palatino Linotype" w:cs="Arial"/>
          <w:sz w:val="24"/>
          <w:lang w:val="es-ES_tradnl"/>
        </w:rPr>
        <w:t xml:space="preserve">, para que conforme al artículo 186 último párrafo, 189 segundo párrafo y 194 de la Ley de Transparencia y Acceso a la Información Pública del Estado de </w:t>
      </w:r>
      <w:r w:rsidRPr="00A52A6B">
        <w:rPr>
          <w:rFonts w:ascii="Palatino Linotype" w:hAnsi="Palatino Linotype" w:cs="Arial"/>
          <w:sz w:val="24"/>
          <w:lang w:val="es-ES_tradnl"/>
        </w:rPr>
        <w:lastRenderedPageBreak/>
        <w:t>México y Municipios; dé cumplimiento a lo ordenado dentro del plazo de diez días hábiles, debiendo informar a este Instituto en un plazo de tres días hábiles siguientes sobre el cumplimiento dado a la presente resolución.</w:t>
      </w:r>
    </w:p>
    <w:p w14:paraId="3632D2ED" w14:textId="77777777" w:rsidR="00B60DB6" w:rsidRPr="00A52A6B" w:rsidRDefault="00B60DB6" w:rsidP="00892544">
      <w:pPr>
        <w:autoSpaceDE w:val="0"/>
        <w:autoSpaceDN w:val="0"/>
        <w:adjustRightInd w:val="0"/>
        <w:spacing w:before="240" w:line="360" w:lineRule="auto"/>
        <w:jc w:val="both"/>
        <w:rPr>
          <w:rFonts w:ascii="Palatino Linotype" w:hAnsi="Palatino Linotype" w:cs="Arial"/>
          <w:sz w:val="24"/>
          <w:lang w:val="es-ES_tradnl"/>
        </w:rPr>
      </w:pPr>
    </w:p>
    <w:p w14:paraId="56D29AC0" w14:textId="77777777" w:rsidR="00892544" w:rsidRPr="00A52A6B" w:rsidRDefault="00892544" w:rsidP="00892544">
      <w:pPr>
        <w:autoSpaceDE w:val="0"/>
        <w:autoSpaceDN w:val="0"/>
        <w:adjustRightInd w:val="0"/>
        <w:spacing w:before="240" w:line="360" w:lineRule="auto"/>
        <w:jc w:val="both"/>
        <w:rPr>
          <w:rFonts w:ascii="Palatino Linotype" w:hAnsi="Palatino Linotype" w:cs="Arial"/>
          <w:sz w:val="24"/>
          <w:lang w:val="es-ES_tradnl"/>
        </w:rPr>
      </w:pPr>
      <w:r w:rsidRPr="00A52A6B">
        <w:rPr>
          <w:rFonts w:ascii="Palatino Linotype" w:hAnsi="Palatino Linotype" w:cs="Arial"/>
          <w:b/>
          <w:sz w:val="24"/>
          <w:lang w:val="es-ES_tradnl"/>
        </w:rPr>
        <w:t>CUARTO</w:t>
      </w:r>
      <w:r w:rsidRPr="00A52A6B">
        <w:rPr>
          <w:rFonts w:ascii="Palatino Linotype" w:hAnsi="Palatino Linotype" w:cs="Arial"/>
          <w:sz w:val="24"/>
          <w:lang w:val="es-ES_tradnl"/>
        </w:rPr>
        <w:t xml:space="preserve">. </w:t>
      </w:r>
      <w:r w:rsidRPr="00A52A6B">
        <w:rPr>
          <w:rFonts w:ascii="Palatino Linotype" w:hAnsi="Palatino Linotype" w:cs="Arial"/>
          <w:b/>
          <w:bCs/>
          <w:sz w:val="24"/>
          <w:shd w:val="clear" w:color="auto" w:fill="FFFFFF"/>
          <w:lang w:val="es-ES_tradnl"/>
        </w:rPr>
        <w:t>Notifíquese</w:t>
      </w:r>
      <w:r w:rsidRPr="00A52A6B">
        <w:rPr>
          <w:rFonts w:ascii="Palatino Linotype" w:hAnsi="Palatino Linotype" w:cs="Arial"/>
          <w:sz w:val="24"/>
          <w:lang w:val="es-ES_tradnl"/>
        </w:rPr>
        <w:t xml:space="preserve"> a la recurrente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68878A9E" w14:textId="77777777" w:rsidR="00B60DB6" w:rsidRPr="00A52A6B" w:rsidRDefault="00B60DB6" w:rsidP="00892544">
      <w:pPr>
        <w:autoSpaceDE w:val="0"/>
        <w:autoSpaceDN w:val="0"/>
        <w:adjustRightInd w:val="0"/>
        <w:spacing w:before="240" w:line="360" w:lineRule="auto"/>
        <w:jc w:val="both"/>
        <w:rPr>
          <w:rFonts w:ascii="Palatino Linotype" w:hAnsi="Palatino Linotype" w:cs="Arial"/>
          <w:sz w:val="24"/>
          <w:lang w:val="es-ES_tradnl"/>
        </w:rPr>
      </w:pPr>
    </w:p>
    <w:p w14:paraId="32DDCB8E" w14:textId="77777777" w:rsidR="00892544" w:rsidRPr="00A52A6B" w:rsidRDefault="00892544" w:rsidP="00892544">
      <w:pPr>
        <w:spacing w:line="360" w:lineRule="auto"/>
        <w:ind w:right="49"/>
        <w:jc w:val="both"/>
        <w:rPr>
          <w:rFonts w:ascii="Palatino Linotype" w:hAnsi="Palatino Linotype"/>
          <w:color w:val="000000" w:themeColor="text1"/>
          <w:sz w:val="24"/>
          <w:lang w:val="es-ES_tradnl"/>
        </w:rPr>
      </w:pPr>
      <w:r w:rsidRPr="00A52A6B">
        <w:rPr>
          <w:rFonts w:ascii="Palatino Linotype" w:hAnsi="Palatino Linotype"/>
          <w:b/>
          <w:color w:val="000000" w:themeColor="text1"/>
          <w:sz w:val="24"/>
          <w:lang w:val="es-ES_tradnl"/>
        </w:rPr>
        <w:t xml:space="preserve">QUINTO. </w:t>
      </w:r>
      <w:r w:rsidRPr="00A52A6B">
        <w:rPr>
          <w:rFonts w:ascii="Palatino Linotype" w:hAnsi="Palatino Linotype"/>
          <w:color w:val="000000" w:themeColor="text1"/>
          <w:sz w:val="24"/>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1D6DF9B" w14:textId="77777777" w:rsidR="00892544" w:rsidRPr="00A52A6B" w:rsidRDefault="00892544" w:rsidP="00892544">
      <w:pPr>
        <w:spacing w:line="360" w:lineRule="auto"/>
        <w:ind w:right="49"/>
        <w:jc w:val="both"/>
        <w:rPr>
          <w:rFonts w:ascii="Palatino Linotype" w:hAnsi="Palatino Linotype"/>
          <w:color w:val="000000" w:themeColor="text1"/>
          <w:sz w:val="24"/>
          <w:lang w:val="es-ES_tradnl"/>
        </w:rPr>
      </w:pPr>
    </w:p>
    <w:p w14:paraId="2B4CE8B2" w14:textId="77777777" w:rsidR="00892544" w:rsidRPr="00A52A6B" w:rsidRDefault="00892544" w:rsidP="00892544">
      <w:pPr>
        <w:spacing w:line="360" w:lineRule="auto"/>
        <w:ind w:right="49"/>
        <w:jc w:val="both"/>
        <w:rPr>
          <w:rFonts w:ascii="Palatino Linotype" w:hAnsi="Palatino Linotype"/>
          <w:color w:val="222222"/>
          <w:sz w:val="24"/>
          <w:lang w:val="es-ES_tradnl"/>
        </w:rPr>
      </w:pPr>
      <w:r w:rsidRPr="00A52A6B">
        <w:rPr>
          <w:rFonts w:ascii="Palatino Linotype" w:hAnsi="Palatino Linotype"/>
          <w:b/>
          <w:color w:val="222222"/>
          <w:sz w:val="24"/>
          <w:lang w:val="es-ES_tradnl"/>
        </w:rPr>
        <w:t>SEXTO. Notifíquese</w:t>
      </w:r>
      <w:r w:rsidRPr="00A52A6B">
        <w:rPr>
          <w:rFonts w:ascii="Palatino Linotype" w:hAnsi="Palatino Linotype"/>
          <w:color w:val="222222"/>
          <w:sz w:val="24"/>
          <w:lang w:val="es-ES_tradnl"/>
        </w:rPr>
        <w:t xml:space="preserve"> al Instituto Nacional de Transparencia, Acceso a la Información y Protección de Datos Personales la presente resolución en cumplimiento a la resolución del recurso de inconformidad </w:t>
      </w:r>
      <w:r w:rsidR="00B60DB6" w:rsidRPr="00A52A6B">
        <w:rPr>
          <w:rFonts w:ascii="Palatino Linotype" w:hAnsi="Palatino Linotype"/>
          <w:b/>
          <w:color w:val="222222"/>
          <w:sz w:val="24"/>
          <w:lang w:val="es-ES_tradnl"/>
        </w:rPr>
        <w:t>00148</w:t>
      </w:r>
      <w:r w:rsidRPr="00A52A6B">
        <w:rPr>
          <w:rFonts w:ascii="Palatino Linotype" w:hAnsi="Palatino Linotype"/>
          <w:b/>
          <w:color w:val="222222"/>
          <w:sz w:val="24"/>
          <w:lang w:val="es-ES_tradnl"/>
        </w:rPr>
        <w:t>/20</w:t>
      </w:r>
      <w:r w:rsidRPr="00A52A6B">
        <w:rPr>
          <w:rFonts w:ascii="Palatino Linotype" w:hAnsi="Palatino Linotype"/>
          <w:color w:val="222222"/>
          <w:sz w:val="24"/>
          <w:lang w:val="es-ES_tradnl"/>
        </w:rPr>
        <w:t>, en términos del artículo 173 de la Ley General de Transparencia y Acceso a la Información Pública.</w:t>
      </w:r>
    </w:p>
    <w:p w14:paraId="4087AEA9" w14:textId="77777777" w:rsidR="00892544" w:rsidRPr="00A52A6B" w:rsidRDefault="00892544" w:rsidP="00892544">
      <w:pPr>
        <w:pStyle w:val="Sinespaciado"/>
        <w:spacing w:line="360" w:lineRule="auto"/>
        <w:jc w:val="both"/>
        <w:rPr>
          <w:rFonts w:ascii="Palatino Linotype" w:hAnsi="Palatino Linotype" w:cs="Arial"/>
          <w:sz w:val="28"/>
        </w:rPr>
      </w:pPr>
    </w:p>
    <w:p w14:paraId="30446A81" w14:textId="2BCF39EE" w:rsidR="00892544" w:rsidRPr="00A52A6B" w:rsidRDefault="00892544" w:rsidP="00892544">
      <w:pPr>
        <w:shd w:val="clear" w:color="auto" w:fill="FFFFFF"/>
        <w:spacing w:before="240" w:after="360" w:line="360" w:lineRule="auto"/>
        <w:jc w:val="both"/>
        <w:rPr>
          <w:rFonts w:ascii="Palatino Linotype" w:hAnsi="Palatino Linotype" w:cs="Arial"/>
          <w:sz w:val="24"/>
          <w:lang w:val="es-ES_tradnl"/>
        </w:rPr>
      </w:pPr>
      <w:r w:rsidRPr="00A52A6B">
        <w:rPr>
          <w:rFonts w:ascii="Palatino Linotype" w:hAnsi="Palatino Linotype"/>
          <w:sz w:val="24"/>
          <w:lang w:val="es-ES_tradnl"/>
        </w:rPr>
        <w:t xml:space="preserve">ASÍ LO RESUELVE, POR UNANIMIDAD DE </w:t>
      </w:r>
      <w:bookmarkStart w:id="33" w:name="_GoBack"/>
      <w:r w:rsidRPr="00A52A6B">
        <w:rPr>
          <w:rFonts w:ascii="Palatino Linotype" w:hAnsi="Palatino Linotype"/>
          <w:sz w:val="24"/>
          <w:lang w:val="es-ES_tradnl"/>
        </w:rPr>
        <w:t>VOTOS</w:t>
      </w:r>
      <w:bookmarkEnd w:id="33"/>
      <w:r w:rsidR="00812F4A">
        <w:rPr>
          <w:rFonts w:ascii="Palatino Linotype" w:hAnsi="Palatino Linotype"/>
          <w:sz w:val="24"/>
          <w:lang w:val="es-ES_tradnl"/>
        </w:rPr>
        <w:t xml:space="preserve"> DE LOS COMISIONADOS PRESENTES DE LOS COMISIONADOS PRESENTES</w:t>
      </w:r>
      <w:r w:rsidRPr="00A52A6B">
        <w:rPr>
          <w:rFonts w:ascii="Palatino Linotype" w:hAnsi="Palatino Linotype"/>
          <w:sz w:val="24"/>
          <w:lang w:val="es-ES_tradnl"/>
        </w:rPr>
        <w:t>,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00812F4A">
        <w:rPr>
          <w:rFonts w:ascii="Palatino Linotype" w:hAnsi="Palatino Linotype"/>
          <w:sz w:val="24"/>
          <w:lang w:val="es-ES_tradnl"/>
        </w:rPr>
        <w:t xml:space="preserve"> AUSENTE EN LA VOTACIÓN </w:t>
      </w:r>
      <w:r w:rsidRPr="00A52A6B">
        <w:rPr>
          <w:rFonts w:ascii="Palatino Linotype" w:hAnsi="Palatino Linotype"/>
          <w:sz w:val="24"/>
          <w:lang w:val="es-ES_tradnl"/>
        </w:rPr>
        <w:t xml:space="preserve">EN LA </w:t>
      </w:r>
      <w:r w:rsidR="00B60DB6" w:rsidRPr="00A52A6B">
        <w:rPr>
          <w:rFonts w:ascii="Palatino Linotype" w:hAnsi="Palatino Linotype"/>
          <w:sz w:val="24"/>
          <w:lang w:val="es-ES_tradnl"/>
        </w:rPr>
        <w:t>NOVENA</w:t>
      </w:r>
      <w:r w:rsidRPr="00A52A6B">
        <w:rPr>
          <w:rFonts w:ascii="Palatino Linotype" w:hAnsi="Palatino Linotype"/>
          <w:sz w:val="24"/>
          <w:lang w:val="es-ES_tradnl"/>
        </w:rPr>
        <w:t xml:space="preserve"> SESIÓN ORDINARIA CELEB</w:t>
      </w:r>
      <w:r w:rsidR="00B60DB6" w:rsidRPr="00A52A6B">
        <w:rPr>
          <w:rFonts w:ascii="Palatino Linotype" w:hAnsi="Palatino Linotype"/>
          <w:sz w:val="24"/>
          <w:lang w:val="es-ES_tradnl"/>
        </w:rPr>
        <w:t xml:space="preserve">RADA EL DÍA DIECIOCHO (18) DE MARZO </w:t>
      </w:r>
      <w:r w:rsidRPr="00A52A6B">
        <w:rPr>
          <w:rFonts w:ascii="Palatino Linotype" w:hAnsi="Palatino Linotype"/>
          <w:sz w:val="24"/>
          <w:lang w:val="es-ES_tradnl"/>
        </w:rPr>
        <w:t xml:space="preserve"> DE DOS MIL VEINTIUNO, ANTE EL SECRETARIO TÉCNICO DEL PLENO ALEXIS TAPIA RAMÍREZ.</w:t>
      </w:r>
      <w:r w:rsidRPr="00A52A6B">
        <w:rPr>
          <w:rFonts w:ascii="Palatino Linotype" w:hAnsi="Palatino Linotype" w:cs="Arial"/>
          <w:sz w:val="24"/>
          <w:lang w:val="es-ES_tradnl"/>
        </w:rPr>
        <w:t xml:space="preserve">  </w:t>
      </w:r>
    </w:p>
    <w:p w14:paraId="4BB699EC" w14:textId="77777777" w:rsidR="00A52A6B" w:rsidRDefault="00A52A6B" w:rsidP="00892544">
      <w:pPr>
        <w:rPr>
          <w:rFonts w:ascii="Palatino Linotype" w:hAnsi="Palatino Linotype"/>
          <w:sz w:val="24"/>
        </w:rPr>
      </w:pPr>
      <w:r>
        <w:rPr>
          <w:rFonts w:ascii="Palatino Linotype" w:hAnsi="Palatino Linotype"/>
          <w:noProof/>
          <w:sz w:val="24"/>
          <w:lang w:eastAsia="es-MX"/>
        </w:rPr>
        <mc:AlternateContent>
          <mc:Choice Requires="wps">
            <w:drawing>
              <wp:anchor distT="0" distB="0" distL="114300" distR="114300" simplePos="0" relativeHeight="251670528" behindDoc="0" locked="0" layoutInCell="1" allowOverlap="1" wp14:anchorId="02E76FF3" wp14:editId="03BE824A">
                <wp:simplePos x="0" y="0"/>
                <wp:positionH relativeFrom="column">
                  <wp:posOffset>43814</wp:posOffset>
                </wp:positionH>
                <wp:positionV relativeFrom="paragraph">
                  <wp:posOffset>29845</wp:posOffset>
                </wp:positionV>
                <wp:extent cx="5514975" cy="411480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514975" cy="411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CA85F" id="Conector recto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45pt,2.35pt" to="437.7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" strokecolor="#5b9bd5 [3204]" strokeweight=".5pt">
                <v:stroke joinstyle="miter"/>
              </v:line>
            </w:pict>
          </mc:Fallback>
        </mc:AlternateContent>
      </w:r>
    </w:p>
    <w:p w14:paraId="373BE261" w14:textId="77777777" w:rsidR="00A52A6B" w:rsidRDefault="00A52A6B">
      <w:pPr>
        <w:rPr>
          <w:rFonts w:ascii="Palatino Linotype" w:hAnsi="Palatino Linotype"/>
          <w:sz w:val="24"/>
        </w:rPr>
      </w:pPr>
      <w:r>
        <w:rPr>
          <w:rFonts w:ascii="Palatino Linotype" w:hAnsi="Palatino Linotype"/>
          <w:sz w:val="24"/>
        </w:rPr>
        <w:br w:type="page"/>
      </w:r>
    </w:p>
    <w:p w14:paraId="0F686F72" w14:textId="77777777" w:rsidR="00892544" w:rsidRPr="00042E80" w:rsidRDefault="00892544" w:rsidP="00892544">
      <w:pPr>
        <w:rPr>
          <w:rFonts w:ascii="Palatino Linotype" w:hAnsi="Palatino Linotype"/>
          <w:sz w:val="24"/>
        </w:rPr>
      </w:pPr>
    </w:p>
    <w:p w14:paraId="3488117A" w14:textId="77777777" w:rsidR="00892544" w:rsidRPr="00042E80" w:rsidRDefault="00892544" w:rsidP="00892544">
      <w:pPr>
        <w:rPr>
          <w:rFonts w:ascii="Palatino Linotype" w:hAnsi="Palatino Linotype"/>
          <w:sz w:val="24"/>
        </w:rPr>
      </w:pPr>
    </w:p>
    <w:p w14:paraId="63133D79" w14:textId="77777777" w:rsidR="00854048" w:rsidRPr="00042E80" w:rsidRDefault="00854048">
      <w:pPr>
        <w:rPr>
          <w:rFonts w:ascii="Palatino Linotype" w:hAnsi="Palatino Linotype"/>
          <w:sz w:val="24"/>
        </w:rPr>
      </w:pPr>
    </w:p>
    <w:sectPr w:rsidR="00854048" w:rsidRPr="00042E80" w:rsidSect="00892544">
      <w:headerReference w:type="even" r:id="rId14"/>
      <w:headerReference w:type="default" r:id="rId15"/>
      <w:footerReference w:type="default" r:id="rId16"/>
      <w:headerReference w:type="first" r:id="rId17"/>
      <w:footerReference w:type="first" r:id="rId18"/>
      <w:pgSz w:w="12240" w:h="15840"/>
      <w:pgMar w:top="2410" w:right="1701"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F27D3" w14:textId="77777777" w:rsidR="000F62C2" w:rsidRDefault="000F62C2" w:rsidP="00892544">
      <w:pPr>
        <w:spacing w:after="0" w:line="240" w:lineRule="auto"/>
      </w:pPr>
      <w:r>
        <w:separator/>
      </w:r>
    </w:p>
  </w:endnote>
  <w:endnote w:type="continuationSeparator" w:id="0">
    <w:p w14:paraId="46618D38" w14:textId="77777777" w:rsidR="000F62C2" w:rsidRDefault="000F62C2" w:rsidP="00892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811947741"/>
      <w:docPartObj>
        <w:docPartGallery w:val="Page Numbers (Bottom of Page)"/>
        <w:docPartUnique/>
      </w:docPartObj>
    </w:sdtPr>
    <w:sdtEndPr/>
    <w:sdtContent>
      <w:sdt>
        <w:sdtPr>
          <w:rPr>
            <w:rFonts w:ascii="Palatino Linotype" w:hAnsi="Palatino Linotype"/>
            <w:sz w:val="28"/>
          </w:rPr>
          <w:id w:val="136468069"/>
          <w:docPartObj>
            <w:docPartGallery w:val="Page Numbers (Top of Page)"/>
            <w:docPartUnique/>
          </w:docPartObj>
        </w:sdtPr>
        <w:sdtEndPr/>
        <w:sdtContent>
          <w:p w14:paraId="0B426F98" w14:textId="77777777" w:rsidR="00892544" w:rsidRPr="00883450" w:rsidRDefault="0089254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12F4A">
              <w:rPr>
                <w:rFonts w:ascii="Palatino Linotype" w:hAnsi="Palatino Linotype"/>
                <w:b/>
                <w:bCs/>
                <w:noProof/>
                <w:sz w:val="22"/>
                <w:szCs w:val="20"/>
              </w:rPr>
              <w:t>98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12F4A">
              <w:rPr>
                <w:rFonts w:ascii="Palatino Linotype" w:hAnsi="Palatino Linotype"/>
                <w:b/>
                <w:bCs/>
                <w:noProof/>
                <w:sz w:val="22"/>
                <w:szCs w:val="20"/>
              </w:rPr>
              <w:t>100</w:t>
            </w:r>
            <w:r w:rsidRPr="00883450">
              <w:rPr>
                <w:rFonts w:ascii="Palatino Linotype" w:hAnsi="Palatino Linotype"/>
                <w:b/>
                <w:bCs/>
                <w:sz w:val="22"/>
                <w:szCs w:val="20"/>
              </w:rPr>
              <w:fldChar w:fldCharType="end"/>
            </w:r>
          </w:p>
        </w:sdtContent>
      </w:sdt>
    </w:sdtContent>
  </w:sdt>
  <w:p w14:paraId="0EBFC049" w14:textId="77777777" w:rsidR="00892544" w:rsidRDefault="008925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7BC21" w14:textId="77777777" w:rsidR="00892544" w:rsidRPr="00883450" w:rsidRDefault="00892544" w:rsidP="00892544">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12F4A" w:rsidRPr="00812F4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12F4A" w:rsidRPr="00812F4A">
      <w:rPr>
        <w:rFonts w:ascii="Palatino Linotype" w:hAnsi="Palatino Linotype"/>
        <w:noProof/>
        <w:sz w:val="22"/>
        <w:szCs w:val="22"/>
        <w:lang w:val="es-ES"/>
      </w:rPr>
      <w:t>100</w:t>
    </w:r>
    <w:r w:rsidRPr="00883450">
      <w:rPr>
        <w:rFonts w:ascii="Palatino Linotype" w:hAnsi="Palatino Linotype"/>
        <w:sz w:val="22"/>
        <w:szCs w:val="22"/>
      </w:rPr>
      <w:fldChar w:fldCharType="end"/>
    </w:r>
  </w:p>
  <w:p w14:paraId="37D9235E" w14:textId="77777777" w:rsidR="00892544" w:rsidRPr="00883450" w:rsidRDefault="00892544">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27545" w14:textId="77777777" w:rsidR="000F62C2" w:rsidRDefault="000F62C2" w:rsidP="00892544">
      <w:pPr>
        <w:spacing w:after="0" w:line="240" w:lineRule="auto"/>
      </w:pPr>
      <w:r>
        <w:separator/>
      </w:r>
    </w:p>
  </w:footnote>
  <w:footnote w:type="continuationSeparator" w:id="0">
    <w:p w14:paraId="500F3C5C" w14:textId="77777777" w:rsidR="000F62C2" w:rsidRDefault="000F62C2" w:rsidP="00892544">
      <w:pPr>
        <w:spacing w:after="0" w:line="240" w:lineRule="auto"/>
      </w:pPr>
      <w:r>
        <w:continuationSeparator/>
      </w:r>
    </w:p>
  </w:footnote>
  <w:footnote w:id="1">
    <w:p w14:paraId="5F0233BC" w14:textId="77777777" w:rsidR="00892544" w:rsidRPr="00321071" w:rsidRDefault="00892544" w:rsidP="00892544">
      <w:pPr>
        <w:pStyle w:val="Textonotapie"/>
      </w:pPr>
      <w:r>
        <w:rPr>
          <w:rStyle w:val="Refdenotaalpie"/>
        </w:rPr>
        <w:footnoteRef/>
      </w:r>
      <w:r>
        <w:t xml:space="preserve"> </w:t>
      </w:r>
      <w:r>
        <w:rPr>
          <w:color w:val="1E1916"/>
          <w:spacing w:val="4"/>
          <w:sz w:val="18"/>
        </w:rPr>
        <w:t xml:space="preserve">Ferrajoli, Luigi, </w:t>
      </w:r>
      <w:r>
        <w:rPr>
          <w:i/>
          <w:color w:val="1E1916"/>
          <w:spacing w:val="4"/>
          <w:sz w:val="18"/>
        </w:rPr>
        <w:t xml:space="preserve">Derecho </w:t>
      </w:r>
      <w:r>
        <w:rPr>
          <w:i/>
          <w:color w:val="1E1916"/>
          <w:sz w:val="18"/>
        </w:rPr>
        <w:t xml:space="preserve">y </w:t>
      </w:r>
      <w:r>
        <w:rPr>
          <w:i/>
          <w:color w:val="1E1916"/>
          <w:spacing w:val="3"/>
          <w:sz w:val="18"/>
        </w:rPr>
        <w:t>razón</w:t>
      </w:r>
      <w:r>
        <w:rPr>
          <w:color w:val="1E1916"/>
          <w:spacing w:val="3"/>
          <w:sz w:val="18"/>
        </w:rPr>
        <w:t xml:space="preserve">, 5a. ed., </w:t>
      </w:r>
      <w:r>
        <w:rPr>
          <w:color w:val="1E1916"/>
          <w:spacing w:val="4"/>
          <w:sz w:val="18"/>
        </w:rPr>
        <w:t xml:space="preserve">Madrid, Trotta, 2000, </w:t>
      </w:r>
      <w:r>
        <w:rPr>
          <w:color w:val="1E1916"/>
          <w:spacing w:val="2"/>
          <w:sz w:val="18"/>
        </w:rPr>
        <w:t xml:space="preserve">p. </w:t>
      </w:r>
      <w:r>
        <w:rPr>
          <w:color w:val="1E1916"/>
          <w:spacing w:val="3"/>
          <w:sz w:val="18"/>
        </w:rPr>
        <w:t xml:space="preserve">857; del </w:t>
      </w:r>
      <w:r>
        <w:rPr>
          <w:color w:val="1E1916"/>
          <w:spacing w:val="5"/>
          <w:sz w:val="18"/>
        </w:rPr>
        <w:t xml:space="preserve">mismo </w:t>
      </w:r>
      <w:r>
        <w:rPr>
          <w:color w:val="1E1916"/>
          <w:spacing w:val="4"/>
          <w:sz w:val="18"/>
        </w:rPr>
        <w:t xml:space="preserve">autor, </w:t>
      </w:r>
      <w:r>
        <w:rPr>
          <w:color w:val="1E1916"/>
          <w:spacing w:val="3"/>
          <w:sz w:val="18"/>
        </w:rPr>
        <w:t xml:space="preserve">sobre </w:t>
      </w:r>
      <w:r>
        <w:rPr>
          <w:color w:val="1E1916"/>
          <w:spacing w:val="2"/>
          <w:sz w:val="18"/>
        </w:rPr>
        <w:t xml:space="preserve">el </w:t>
      </w:r>
      <w:r>
        <w:rPr>
          <w:color w:val="1E1916"/>
          <w:spacing w:val="3"/>
          <w:sz w:val="18"/>
        </w:rPr>
        <w:t xml:space="preserve">tema, </w:t>
      </w:r>
      <w:r>
        <w:rPr>
          <w:color w:val="1E1916"/>
          <w:spacing w:val="4"/>
          <w:sz w:val="18"/>
        </w:rPr>
        <w:t xml:space="preserve">“Pasado </w:t>
      </w:r>
      <w:r>
        <w:rPr>
          <w:color w:val="1E1916"/>
          <w:sz w:val="18"/>
        </w:rPr>
        <w:t xml:space="preserve">y </w:t>
      </w:r>
      <w:r>
        <w:rPr>
          <w:color w:val="1E1916"/>
          <w:spacing w:val="4"/>
          <w:sz w:val="18"/>
        </w:rPr>
        <w:t xml:space="preserve">futuro </w:t>
      </w:r>
      <w:r>
        <w:rPr>
          <w:color w:val="1E1916"/>
          <w:spacing w:val="3"/>
          <w:sz w:val="18"/>
        </w:rPr>
        <w:t xml:space="preserve">del </w:t>
      </w:r>
      <w:r>
        <w:rPr>
          <w:color w:val="1E1916"/>
          <w:spacing w:val="4"/>
          <w:sz w:val="18"/>
        </w:rPr>
        <w:t xml:space="preserve">Estado </w:t>
      </w:r>
      <w:r>
        <w:rPr>
          <w:color w:val="1E1916"/>
          <w:spacing w:val="2"/>
          <w:sz w:val="18"/>
        </w:rPr>
        <w:t xml:space="preserve">de </w:t>
      </w:r>
      <w:r>
        <w:rPr>
          <w:color w:val="1E1916"/>
          <w:spacing w:val="4"/>
          <w:sz w:val="18"/>
        </w:rPr>
        <w:t xml:space="preserve">derecho”, </w:t>
      </w:r>
      <w:r>
        <w:rPr>
          <w:color w:val="1E1916"/>
          <w:spacing w:val="2"/>
          <w:sz w:val="18"/>
        </w:rPr>
        <w:t xml:space="preserve">en </w:t>
      </w:r>
      <w:r>
        <w:rPr>
          <w:color w:val="1E1916"/>
          <w:spacing w:val="4"/>
          <w:sz w:val="18"/>
        </w:rPr>
        <w:t xml:space="preserve">Carbonell, Miguel </w:t>
      </w:r>
      <w:r>
        <w:rPr>
          <w:color w:val="1E1916"/>
          <w:spacing w:val="5"/>
          <w:sz w:val="18"/>
        </w:rPr>
        <w:t xml:space="preserve">(ed.), </w:t>
      </w:r>
      <w:r>
        <w:rPr>
          <w:i/>
          <w:color w:val="1E1916"/>
          <w:spacing w:val="4"/>
          <w:sz w:val="18"/>
        </w:rPr>
        <w:t>Neoconstitucionalismo(s)</w:t>
      </w:r>
      <w:r>
        <w:rPr>
          <w:color w:val="1E1916"/>
          <w:spacing w:val="4"/>
          <w:sz w:val="18"/>
        </w:rPr>
        <w:t>, Madrid, Trotta,</w:t>
      </w:r>
      <w:r>
        <w:rPr>
          <w:color w:val="1E1916"/>
          <w:spacing w:val="14"/>
          <w:sz w:val="18"/>
        </w:rPr>
        <w:t xml:space="preserve"> </w:t>
      </w:r>
      <w:r>
        <w:rPr>
          <w:color w:val="1E1916"/>
          <w:spacing w:val="5"/>
          <w:sz w:val="18"/>
        </w:rPr>
        <w:t>2003</w:t>
      </w:r>
    </w:p>
  </w:footnote>
  <w:footnote w:id="2">
    <w:p w14:paraId="728793F4" w14:textId="77777777" w:rsidR="00892544" w:rsidRPr="008A6281" w:rsidRDefault="00892544" w:rsidP="00892544">
      <w:pPr>
        <w:pStyle w:val="Textonotapie"/>
        <w:jc w:val="both"/>
        <w:rPr>
          <w:rFonts w:ascii="Palatino Linotype" w:hAnsi="Palatino Linotype"/>
          <w:sz w:val="18"/>
          <w:szCs w:val="18"/>
        </w:rPr>
      </w:pPr>
      <w:r w:rsidRPr="008A6281">
        <w:rPr>
          <w:rStyle w:val="Refdenotaalpie"/>
          <w:rFonts w:ascii="Palatino Linotype" w:hAnsi="Palatino Linotype"/>
          <w:sz w:val="18"/>
          <w:szCs w:val="18"/>
        </w:rPr>
        <w:footnoteRef/>
      </w:r>
      <w:r w:rsidRPr="008A6281">
        <w:rPr>
          <w:rFonts w:ascii="Palatino Linotype" w:hAnsi="Palatino Linotype"/>
          <w:sz w:val="18"/>
          <w:szCs w:val="18"/>
        </w:rPr>
        <w:t xml:space="preserve"> Jurisprudencia de la Segunda Sala, Séptima Época, publicada en el Semanario Judicial de la Federación Volumen 97-102, Tercera Parte, página 143.</w:t>
      </w:r>
    </w:p>
  </w:footnote>
  <w:footnote w:id="3">
    <w:p w14:paraId="5643DD9E" w14:textId="77777777" w:rsidR="00892544" w:rsidRPr="00E4540D" w:rsidRDefault="00892544" w:rsidP="00892544">
      <w:pPr>
        <w:pStyle w:val="Textonotapie"/>
        <w:rPr>
          <w:rFonts w:ascii="Palatino Linotype" w:hAnsi="Palatino Linotype"/>
        </w:rPr>
      </w:pPr>
      <w:r w:rsidRPr="00E4540D">
        <w:rPr>
          <w:rStyle w:val="Refdenotaalpie"/>
          <w:rFonts w:ascii="Palatino Linotype" w:hAnsi="Palatino Linotype"/>
        </w:rPr>
        <w:footnoteRef/>
      </w:r>
      <w:r w:rsidRPr="00E4540D">
        <w:rPr>
          <w:rFonts w:ascii="Palatino Linotype" w:hAnsi="Palatino Linotype"/>
        </w:rPr>
        <w:t xml:space="preserve"> Visible en: https://dle.rae.es/confirmar%20?m=form</w:t>
      </w:r>
    </w:p>
  </w:footnote>
  <w:footnote w:id="4">
    <w:p w14:paraId="0499D87C" w14:textId="77777777" w:rsidR="00892544" w:rsidRPr="00E4540D" w:rsidRDefault="00892544" w:rsidP="00892544">
      <w:pPr>
        <w:pStyle w:val="Textonotapie"/>
        <w:rPr>
          <w:rFonts w:ascii="Palatino Linotype" w:hAnsi="Palatino Linotype"/>
        </w:rPr>
      </w:pPr>
      <w:r w:rsidRPr="00E4540D">
        <w:rPr>
          <w:rStyle w:val="Refdenotaalpie"/>
          <w:rFonts w:ascii="Palatino Linotype" w:hAnsi="Palatino Linotype"/>
        </w:rPr>
        <w:footnoteRef/>
      </w:r>
      <w:r w:rsidRPr="00E4540D">
        <w:rPr>
          <w:rFonts w:ascii="Palatino Linotype" w:hAnsi="Palatino Linotype"/>
        </w:rPr>
        <w:t xml:space="preserve"> Visible en: https://dle.rae.es/modificar?m=form</w:t>
      </w:r>
    </w:p>
  </w:footnote>
  <w:footnote w:id="5">
    <w:p w14:paraId="1D12B79C" w14:textId="77777777" w:rsidR="00892544" w:rsidRPr="00E4540D" w:rsidRDefault="00892544" w:rsidP="00892544">
      <w:pPr>
        <w:pStyle w:val="Textonotapie"/>
        <w:rPr>
          <w:rFonts w:ascii="Palatino Linotype" w:hAnsi="Palatino Linotype"/>
        </w:rPr>
      </w:pPr>
      <w:r w:rsidRPr="00E4540D">
        <w:rPr>
          <w:rStyle w:val="Refdenotaalpie"/>
          <w:rFonts w:ascii="Palatino Linotype" w:hAnsi="Palatino Linotype"/>
        </w:rPr>
        <w:footnoteRef/>
      </w:r>
      <w:r w:rsidRPr="00E4540D">
        <w:rPr>
          <w:rFonts w:ascii="Palatino Linotype" w:hAnsi="Palatino Linotype"/>
        </w:rPr>
        <w:t xml:space="preserve"> Visible en: https://dle.rae.es/negar?m=form</w:t>
      </w:r>
    </w:p>
  </w:footnote>
  <w:footnote w:id="6">
    <w:p w14:paraId="721A95BD" w14:textId="77777777" w:rsidR="00892544" w:rsidRPr="00E4540D" w:rsidRDefault="00892544" w:rsidP="00892544">
      <w:pPr>
        <w:pStyle w:val="Textonotapie"/>
        <w:jc w:val="both"/>
        <w:rPr>
          <w:rFonts w:ascii="Palatino Linotype" w:hAnsi="Palatino Linotype"/>
          <w:sz w:val="18"/>
          <w:szCs w:val="18"/>
        </w:rPr>
      </w:pPr>
      <w:r w:rsidRPr="00E4540D">
        <w:rPr>
          <w:rStyle w:val="Refdenotaalpie"/>
          <w:rFonts w:ascii="Palatino Linotype" w:hAnsi="Palatino Linotype"/>
          <w:sz w:val="18"/>
          <w:szCs w:val="18"/>
        </w:rPr>
        <w:footnoteRef/>
      </w:r>
      <w:r w:rsidRPr="00E4540D">
        <w:rPr>
          <w:rFonts w:ascii="Palatino Linotype" w:hAnsi="Palatino Linotype"/>
          <w:sz w:val="18"/>
          <w:szCs w:val="18"/>
        </w:rPr>
        <w:t xml:space="preserve"> </w:t>
      </w:r>
      <w:r w:rsidRPr="00E4540D">
        <w:rPr>
          <w:rFonts w:ascii="Palatino Linotype" w:hAnsi="Palatino Linotype"/>
          <w:sz w:val="18"/>
          <w:szCs w:val="18"/>
          <w:lang w:val="es-ES"/>
        </w:rPr>
        <w:t xml:space="preserve">Comentario al artículo 163 de la Ley General de Transparencia Comentada, página 472, publicada por el INAI, </w:t>
      </w:r>
      <w:r w:rsidRPr="00E4540D">
        <w:rPr>
          <w:rFonts w:ascii="Palatino Linotype" w:hAnsi="Palatino Linotype"/>
          <w:sz w:val="18"/>
          <w:szCs w:val="18"/>
        </w:rPr>
        <w:t xml:space="preserve">visible en </w:t>
      </w:r>
      <w:hyperlink r:id="rId1" w:history="1">
        <w:r w:rsidRPr="00E4540D">
          <w:rPr>
            <w:rStyle w:val="Hipervnculo"/>
            <w:rFonts w:ascii="Palatino Linotype" w:hAnsi="Palatino Linotype"/>
            <w:sz w:val="18"/>
            <w:szCs w:val="18"/>
          </w:rPr>
          <w:t>https://inai.janium.net/janium/Documentos/CT5.pdf</w:t>
        </w:r>
      </w:hyperlink>
    </w:p>
  </w:footnote>
  <w:footnote w:id="7">
    <w:p w14:paraId="00EF6B1A" w14:textId="77777777" w:rsidR="00892544" w:rsidRPr="00E4540D" w:rsidRDefault="00892544" w:rsidP="00892544">
      <w:pPr>
        <w:pStyle w:val="Textonotapie"/>
        <w:jc w:val="both"/>
        <w:rPr>
          <w:rFonts w:ascii="Palatino Linotype" w:hAnsi="Palatino Linotype"/>
          <w:sz w:val="21"/>
          <w:szCs w:val="21"/>
          <w:lang w:val="es-ES"/>
        </w:rPr>
      </w:pPr>
      <w:r w:rsidRPr="00E945A5">
        <w:rPr>
          <w:rStyle w:val="Refdenotaalpie"/>
          <w:rFonts w:ascii="Palatino Linotype" w:hAnsi="Palatino Linotype"/>
          <w:sz w:val="21"/>
          <w:szCs w:val="21"/>
        </w:rPr>
        <w:footnoteRef/>
      </w:r>
      <w:r w:rsidRPr="00E945A5">
        <w:rPr>
          <w:rFonts w:ascii="Palatino Linotype" w:hAnsi="Palatino Linotype"/>
          <w:sz w:val="21"/>
          <w:szCs w:val="21"/>
        </w:rPr>
        <w:t xml:space="preserve"> Cita textual del cometario al art´ciulo 178 de la Ley General de Transparencia Cometada, página 503,</w:t>
      </w:r>
      <w:r w:rsidRPr="00E4540D">
        <w:rPr>
          <w:rFonts w:ascii="Palatino Linotype" w:hAnsi="Palatino Linotype"/>
          <w:sz w:val="21"/>
          <w:szCs w:val="21"/>
        </w:rPr>
        <w:t xml:space="preserve"> publiada por el Inai, visible en </w:t>
      </w:r>
      <w:hyperlink r:id="rId2" w:history="1">
        <w:r w:rsidRPr="00E4540D">
          <w:rPr>
            <w:rStyle w:val="Hipervnculo"/>
            <w:rFonts w:ascii="Palatino Linotype" w:hAnsi="Palatino Linotype"/>
            <w:sz w:val="21"/>
            <w:szCs w:val="21"/>
          </w:rPr>
          <w:t>https://inai.janium.net/janium/Documentos/CT5.pdf</w:t>
        </w:r>
      </w:hyperlink>
    </w:p>
  </w:footnote>
  <w:footnote w:id="8">
    <w:p w14:paraId="7BEC663C" w14:textId="77777777" w:rsidR="00892544" w:rsidRPr="00E4540D" w:rsidRDefault="00892544" w:rsidP="00892544">
      <w:pPr>
        <w:pStyle w:val="Textonotapie"/>
        <w:jc w:val="both"/>
        <w:rPr>
          <w:rFonts w:ascii="Palatino Linotype" w:hAnsi="Palatino Linotype"/>
          <w:lang w:val="es-ES"/>
        </w:rPr>
      </w:pPr>
      <w:r w:rsidRPr="00E4540D">
        <w:rPr>
          <w:rStyle w:val="Refdenotaalpie"/>
          <w:rFonts w:ascii="Palatino Linotype" w:hAnsi="Palatino Linotype"/>
        </w:rPr>
        <w:footnoteRef/>
      </w:r>
      <w:r w:rsidRPr="00E4540D">
        <w:rPr>
          <w:rFonts w:ascii="Palatino Linotype" w:hAnsi="Palatino Linotype"/>
        </w:rPr>
        <w:t xml:space="preserve"> </w:t>
      </w:r>
      <w:r w:rsidRPr="00E4540D">
        <w:rPr>
          <w:rFonts w:ascii="Palatino Linotype" w:hAnsi="Palatino Linotype"/>
          <w:lang w:val="es-ES"/>
        </w:rPr>
        <w:t>Burgoa, Ignacio, Diccionario de Derecho Constitucional, Garantías y Amparo, México, Porrúa, 2003, p. 226-229</w:t>
      </w:r>
    </w:p>
  </w:footnote>
  <w:footnote w:id="9">
    <w:p w14:paraId="371B08EE" w14:textId="77777777" w:rsidR="00892544" w:rsidRPr="00E4540D" w:rsidRDefault="00892544" w:rsidP="00892544">
      <w:pPr>
        <w:pStyle w:val="Textonotapie"/>
        <w:jc w:val="both"/>
        <w:rPr>
          <w:rFonts w:ascii="Palatino Linotype" w:hAnsi="Palatino Linotype"/>
          <w:lang w:val="es-ES"/>
        </w:rPr>
      </w:pPr>
      <w:r w:rsidRPr="00E4540D">
        <w:rPr>
          <w:rStyle w:val="Refdenotaalpie"/>
          <w:rFonts w:ascii="Palatino Linotype" w:hAnsi="Palatino Linotype"/>
        </w:rPr>
        <w:footnoteRef/>
      </w:r>
      <w:r w:rsidRPr="00E4540D">
        <w:rPr>
          <w:rFonts w:ascii="Palatino Linotype" w:hAnsi="Palatino Linotype"/>
        </w:rPr>
        <w:t xml:space="preserve"> </w:t>
      </w:r>
      <w:r w:rsidRPr="00E4540D">
        <w:rPr>
          <w:rFonts w:ascii="Palatino Linotype" w:hAnsi="Palatino Linotype"/>
          <w:lang w:val="es-ES"/>
        </w:rPr>
        <w:t xml:space="preserve">Lucero Espinosa, Manuel, Teoría y Práctica del Contencioso Administrativo Federal, México, Porrúa, 2015, p. 79 </w:t>
      </w:r>
    </w:p>
  </w:footnote>
  <w:footnote w:id="10">
    <w:p w14:paraId="23325E84" w14:textId="77777777" w:rsidR="00892544" w:rsidRPr="008A6281" w:rsidRDefault="00892544" w:rsidP="00892544">
      <w:pPr>
        <w:pStyle w:val="Textonotapie"/>
        <w:ind w:left="360"/>
        <w:rPr>
          <w:rFonts w:ascii="Palatino Linotype" w:hAnsi="Palatino Linotype"/>
          <w:sz w:val="18"/>
          <w:szCs w:val="18"/>
        </w:rPr>
      </w:pPr>
      <w:r w:rsidRPr="008A6281">
        <w:rPr>
          <w:rStyle w:val="Refdenotaalpie"/>
          <w:rFonts w:ascii="Palatino Linotype" w:hAnsi="Palatino Linotype"/>
          <w:sz w:val="18"/>
          <w:szCs w:val="18"/>
        </w:rPr>
        <w:footnoteRef/>
      </w:r>
      <w:r w:rsidRPr="008A6281">
        <w:rPr>
          <w:rFonts w:ascii="Palatino Linotype" w:hAnsi="Palatino Linotype"/>
          <w:sz w:val="18"/>
          <w:szCs w:val="18"/>
        </w:rPr>
        <w:t xml:space="preserve"> Jurisprudencia de la Segunda Sala, Séptima Época, publicada en el Semanario Judicial de la Federación Volumen 97-102, Tercera Parte, página 143.</w:t>
      </w:r>
    </w:p>
  </w:footnote>
  <w:footnote w:id="11">
    <w:p w14:paraId="5E60AF70" w14:textId="77777777" w:rsidR="00892544" w:rsidRPr="008A6281" w:rsidRDefault="00892544" w:rsidP="00892544">
      <w:pPr>
        <w:spacing w:line="276" w:lineRule="auto"/>
        <w:jc w:val="both"/>
        <w:rPr>
          <w:rFonts w:ascii="Palatino Linotype" w:hAnsi="Palatino Linotype"/>
          <w:sz w:val="18"/>
          <w:szCs w:val="18"/>
        </w:rPr>
      </w:pPr>
      <w:r w:rsidRPr="008A6281">
        <w:rPr>
          <w:rStyle w:val="Refdenotaalpie"/>
          <w:rFonts w:ascii="Palatino Linotype" w:hAnsi="Palatino Linotype"/>
          <w:sz w:val="18"/>
          <w:szCs w:val="18"/>
        </w:rPr>
        <w:footnoteRef/>
      </w:r>
      <w:r w:rsidRPr="008A6281">
        <w:rPr>
          <w:rFonts w:ascii="Palatino Linotype" w:hAnsi="Palatino Linotype"/>
          <w:sz w:val="18"/>
          <w:szCs w:val="18"/>
        </w:rPr>
        <w:t xml:space="preserve"> Jurisprudencia de la Primera Sala 1a. X/2000, Novena Época, publicada en el Semanario Judicial de la Federación, Tomo XII, Agosto de 2000, Página 191.</w:t>
      </w:r>
    </w:p>
    <w:p w14:paraId="3E375273" w14:textId="77777777" w:rsidR="00892544" w:rsidRPr="006B380E" w:rsidRDefault="00892544" w:rsidP="00892544">
      <w:pPr>
        <w:pStyle w:val="Textonotapie"/>
      </w:pPr>
    </w:p>
  </w:footnote>
  <w:footnote w:id="12">
    <w:p w14:paraId="6B62DBCB" w14:textId="77777777" w:rsidR="00892544" w:rsidRPr="008A6281" w:rsidRDefault="00892544" w:rsidP="00892544">
      <w:pPr>
        <w:pStyle w:val="Textonotapie"/>
        <w:ind w:right="-252"/>
        <w:rPr>
          <w:rFonts w:ascii="Palatino Linotype" w:hAnsi="Palatino Linotype"/>
          <w:sz w:val="18"/>
          <w:szCs w:val="18"/>
          <w:lang w:val="es-ES"/>
        </w:rPr>
      </w:pPr>
      <w:r w:rsidRPr="008A6281">
        <w:rPr>
          <w:rStyle w:val="Refdenotaalpie"/>
          <w:rFonts w:ascii="Palatino Linotype" w:hAnsi="Palatino Linotype"/>
          <w:sz w:val="18"/>
          <w:szCs w:val="18"/>
        </w:rPr>
        <w:footnoteRef/>
      </w:r>
      <w:r w:rsidRPr="008A6281">
        <w:rPr>
          <w:rFonts w:ascii="Palatino Linotype" w:hAnsi="Palatino Linotype"/>
          <w:sz w:val="18"/>
          <w:szCs w:val="18"/>
        </w:rPr>
        <w:t xml:space="preserve"> </w:t>
      </w:r>
      <w:r w:rsidRPr="008A6281">
        <w:rPr>
          <w:rFonts w:ascii="Palatino Linotype" w:hAnsi="Palatino Linotype"/>
          <w:sz w:val="18"/>
          <w:szCs w:val="18"/>
          <w:lang w:val="es-ES"/>
        </w:rPr>
        <w:t xml:space="preserve">Estadística del ejercicio 2020 realizada por el Infoem, visible en </w:t>
      </w:r>
      <w:hyperlink r:id="rId3" w:history="1">
        <w:r w:rsidRPr="008A6281">
          <w:rPr>
            <w:rStyle w:val="Hipervnculo"/>
            <w:rFonts w:ascii="Palatino Linotype" w:hAnsi="Palatino Linotype"/>
            <w:sz w:val="18"/>
            <w:szCs w:val="18"/>
            <w:lang w:val="es-ES"/>
          </w:rPr>
          <w:t>https://www.infoem.org.mx/est_/index.php</w:t>
        </w:r>
      </w:hyperlink>
    </w:p>
  </w:footnote>
  <w:footnote w:id="13">
    <w:p w14:paraId="4A96E8AA" w14:textId="77777777" w:rsidR="00892544" w:rsidRPr="009020DD" w:rsidRDefault="00892544" w:rsidP="00892544">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A68AD95" w14:textId="77777777" w:rsidR="00892544" w:rsidRPr="009020DD" w:rsidRDefault="00892544" w:rsidP="00892544">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CD7EF37" w14:textId="77777777" w:rsidR="00892544" w:rsidRPr="009020DD" w:rsidRDefault="00892544" w:rsidP="00892544">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4">
    <w:p w14:paraId="4300F2C3" w14:textId="77777777" w:rsidR="00892544" w:rsidRPr="007F43A5" w:rsidRDefault="00892544" w:rsidP="00892544">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5">
    <w:p w14:paraId="166DFE41" w14:textId="77777777" w:rsidR="00892544" w:rsidRPr="0037004E" w:rsidRDefault="00892544" w:rsidP="00892544">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14BFCE2B" w14:textId="77777777" w:rsidR="00892544" w:rsidRDefault="00892544" w:rsidP="00892544">
      <w:pPr>
        <w:pStyle w:val="Textonotapie"/>
      </w:pPr>
    </w:p>
  </w:footnote>
  <w:footnote w:id="16">
    <w:p w14:paraId="1D551733" w14:textId="77777777" w:rsidR="00892544" w:rsidRDefault="00892544" w:rsidP="00892544">
      <w:pPr>
        <w:pStyle w:val="Textonotapie"/>
        <w:jc w:val="both"/>
      </w:pPr>
      <w:r>
        <w:rPr>
          <w:rStyle w:val="Refdenotaalpie"/>
        </w:rPr>
        <w:footnoteRef/>
      </w:r>
      <w:r>
        <w:t xml:space="preserve"> Artículo 3. Para los efectos de la presente Ley se entenderá por:</w:t>
      </w:r>
    </w:p>
    <w:p w14:paraId="6467AF41" w14:textId="77777777" w:rsidR="00892544" w:rsidRDefault="00892544" w:rsidP="00892544">
      <w:pPr>
        <w:pStyle w:val="Textonotapie"/>
        <w:jc w:val="both"/>
      </w:pPr>
      <w:r>
        <w:t xml:space="preserve"> (…)</w:t>
      </w:r>
    </w:p>
    <w:p w14:paraId="78BB4580" w14:textId="77777777" w:rsidR="00892544" w:rsidRDefault="00892544" w:rsidP="00892544">
      <w:pPr>
        <w:pStyle w:val="Textonotapie"/>
        <w:jc w:val="both"/>
      </w:pPr>
      <w:r>
        <w:t>IX. Datos personales: La información concerniente a una persona, identificada o identificable según lo dispuesto por la Ley de Protección de Datos Personales del Estado de México;</w:t>
      </w:r>
    </w:p>
  </w:footnote>
  <w:footnote w:id="17">
    <w:p w14:paraId="43662720" w14:textId="77777777" w:rsidR="00892544" w:rsidRDefault="00892544" w:rsidP="00892544">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40F7D88E" w14:textId="77777777" w:rsidR="00892544" w:rsidRDefault="00892544" w:rsidP="00892544">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7F3BA8EE" w14:textId="77777777" w:rsidR="00892544" w:rsidRDefault="00892544" w:rsidP="00892544">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2ECCC180" w14:textId="77777777" w:rsidR="00892544" w:rsidRDefault="00892544" w:rsidP="00892544">
      <w:pPr>
        <w:autoSpaceDE w:val="0"/>
        <w:autoSpaceDN w:val="0"/>
        <w:adjustRightInd w:val="0"/>
        <w:jc w:val="both"/>
      </w:pPr>
    </w:p>
  </w:footnote>
  <w:footnote w:id="18">
    <w:p w14:paraId="00281BE7" w14:textId="77777777" w:rsidR="00892544" w:rsidRDefault="00892544" w:rsidP="00892544">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927A1" w14:textId="77777777" w:rsidR="00A52A6B" w:rsidRDefault="000F62C2">
    <w:pPr>
      <w:pStyle w:val="Encabezado"/>
    </w:pPr>
    <w:r>
      <w:rPr>
        <w:noProof/>
        <w:lang w:val="es-MX" w:eastAsia="es-MX"/>
      </w:rPr>
      <w:pict w14:anchorId="17AC9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44361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92544" w:rsidRPr="00EF13C1" w14:paraId="34C8F054" w14:textId="77777777" w:rsidTr="00892544">
      <w:trPr>
        <w:trHeight w:val="138"/>
        <w:jc w:val="right"/>
      </w:trPr>
      <w:tc>
        <w:tcPr>
          <w:tcW w:w="2552" w:type="dxa"/>
          <w:vAlign w:val="center"/>
        </w:tcPr>
        <w:p w14:paraId="74FBB2D9" w14:textId="77777777" w:rsidR="00892544" w:rsidRPr="00EF13C1" w:rsidRDefault="00892544" w:rsidP="00892544">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77092477" w14:textId="77777777" w:rsidR="00892544" w:rsidRPr="003516BD" w:rsidRDefault="00E36B68" w:rsidP="00892544">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02758</w:t>
          </w:r>
          <w:r w:rsidR="00892544" w:rsidRPr="007F4FAB">
            <w:rPr>
              <w:rFonts w:ascii="Palatino Linotype" w:hAnsi="Palatino Linotype" w:cs="Arial"/>
              <w:b/>
              <w:bCs/>
              <w:sz w:val="22"/>
              <w:szCs w:val="22"/>
              <w:lang w:eastAsia="es-MX"/>
            </w:rPr>
            <w:t>/INFOEM/IP/RR/20</w:t>
          </w:r>
          <w:r w:rsidR="00892544">
            <w:rPr>
              <w:rFonts w:ascii="Palatino Linotype" w:hAnsi="Palatino Linotype" w:cs="Arial"/>
              <w:b/>
              <w:bCs/>
              <w:sz w:val="22"/>
              <w:szCs w:val="22"/>
              <w:lang w:eastAsia="es-MX"/>
            </w:rPr>
            <w:t>20 y Acumulado</w:t>
          </w:r>
          <w:r>
            <w:rPr>
              <w:rFonts w:ascii="Palatino Linotype" w:hAnsi="Palatino Linotype" w:cs="Arial"/>
              <w:b/>
              <w:bCs/>
              <w:sz w:val="22"/>
              <w:szCs w:val="22"/>
              <w:lang w:eastAsia="es-MX"/>
            </w:rPr>
            <w:t>s</w:t>
          </w:r>
        </w:p>
      </w:tc>
    </w:tr>
    <w:tr w:rsidR="00892544" w:rsidRPr="00EF13C1" w14:paraId="0CA8BF51" w14:textId="77777777" w:rsidTr="00892544">
      <w:trPr>
        <w:trHeight w:val="321"/>
        <w:jc w:val="right"/>
      </w:trPr>
      <w:tc>
        <w:tcPr>
          <w:tcW w:w="2552" w:type="dxa"/>
          <w:vAlign w:val="center"/>
        </w:tcPr>
        <w:p w14:paraId="1BB88D2D" w14:textId="77777777" w:rsidR="00892544" w:rsidRPr="00EF13C1" w:rsidRDefault="00892544" w:rsidP="00892544">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120CB5D7" w14:textId="77777777" w:rsidR="00892544" w:rsidRPr="00EF13C1" w:rsidRDefault="00892544" w:rsidP="00892544">
          <w:pPr>
            <w:pStyle w:val="Encabezado"/>
            <w:jc w:val="both"/>
            <w:rPr>
              <w:rFonts w:ascii="Palatino Linotype" w:hAnsi="Palatino Linotype"/>
              <w:b/>
              <w:sz w:val="22"/>
              <w:szCs w:val="22"/>
            </w:rPr>
          </w:pPr>
          <w:r>
            <w:rPr>
              <w:rFonts w:ascii="Palatino Linotype" w:hAnsi="Palatino Linotype"/>
              <w:b/>
              <w:bCs/>
              <w:sz w:val="22"/>
              <w:szCs w:val="22"/>
            </w:rPr>
            <w:t xml:space="preserve">Ayuntamiento de Ixtapan de la Sal </w:t>
          </w:r>
        </w:p>
      </w:tc>
    </w:tr>
    <w:tr w:rsidR="00892544" w:rsidRPr="00EF13C1" w14:paraId="4FA25534" w14:textId="77777777" w:rsidTr="00892544">
      <w:trPr>
        <w:trHeight w:val="321"/>
        <w:jc w:val="right"/>
      </w:trPr>
      <w:tc>
        <w:tcPr>
          <w:tcW w:w="2552" w:type="dxa"/>
          <w:vAlign w:val="center"/>
        </w:tcPr>
        <w:p w14:paraId="40C04178" w14:textId="77777777" w:rsidR="00892544" w:rsidRPr="00EF13C1" w:rsidRDefault="00892544" w:rsidP="00892544">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2A9C7788" w14:textId="77777777" w:rsidR="00892544" w:rsidRPr="00EF13C1" w:rsidRDefault="00892544" w:rsidP="00892544">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21AB7998" w14:textId="77777777" w:rsidR="00892544" w:rsidRDefault="000F62C2">
    <w:pPr>
      <w:pStyle w:val="Encabezado"/>
    </w:pPr>
    <w:r>
      <w:rPr>
        <w:noProof/>
        <w:lang w:val="es-MX" w:eastAsia="es-MX"/>
      </w:rPr>
      <w:pict w14:anchorId="52689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443611"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B6D34" w14:textId="77777777" w:rsidR="00892544" w:rsidRDefault="000F62C2" w:rsidP="00892544">
    <w:pPr>
      <w:pStyle w:val="Encabezado"/>
      <w:tabs>
        <w:tab w:val="clear" w:pos="4252"/>
        <w:tab w:val="clear" w:pos="8504"/>
        <w:tab w:val="left" w:pos="3103"/>
      </w:tabs>
    </w:pPr>
    <w:r>
      <w:rPr>
        <w:noProof/>
        <w:lang w:val="es-MX" w:eastAsia="es-MX"/>
      </w:rPr>
      <w:pict w14:anchorId="1272F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443609"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892544">
      <w:tab/>
    </w:r>
    <w:r w:rsidR="00892544">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92544" w:rsidRPr="00EF13C1" w14:paraId="1E042653" w14:textId="77777777" w:rsidTr="00892544">
      <w:trPr>
        <w:trHeight w:val="138"/>
        <w:jc w:val="right"/>
      </w:trPr>
      <w:tc>
        <w:tcPr>
          <w:tcW w:w="2552" w:type="dxa"/>
          <w:vAlign w:val="center"/>
        </w:tcPr>
        <w:p w14:paraId="0BF93BEF" w14:textId="77777777" w:rsidR="00892544" w:rsidRPr="00EF13C1" w:rsidRDefault="00892544" w:rsidP="00892544">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737D03B5" w14:textId="77777777" w:rsidR="00892544" w:rsidRPr="003516BD" w:rsidRDefault="00892544" w:rsidP="00892544">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02758</w:t>
          </w:r>
          <w:r w:rsidRPr="005B2875">
            <w:rPr>
              <w:rFonts w:ascii="Palatino Linotype" w:hAnsi="Palatino Linotype" w:cs="Arial"/>
              <w:b/>
              <w:bCs/>
              <w:sz w:val="22"/>
              <w:szCs w:val="22"/>
              <w:lang w:eastAsia="es-MX"/>
            </w:rPr>
            <w:t>/INFOEM/IP/RR/20</w:t>
          </w:r>
          <w:r>
            <w:rPr>
              <w:rFonts w:ascii="Palatino Linotype" w:hAnsi="Palatino Linotype" w:cs="Arial"/>
              <w:b/>
              <w:bCs/>
              <w:sz w:val="22"/>
              <w:szCs w:val="22"/>
              <w:lang w:eastAsia="es-MX"/>
            </w:rPr>
            <w:t>20 y Acumulados</w:t>
          </w:r>
        </w:p>
      </w:tc>
    </w:tr>
    <w:tr w:rsidR="00892544" w:rsidRPr="00EF13C1" w14:paraId="11399344" w14:textId="77777777" w:rsidTr="00892544">
      <w:trPr>
        <w:trHeight w:val="233"/>
        <w:jc w:val="right"/>
      </w:trPr>
      <w:tc>
        <w:tcPr>
          <w:tcW w:w="2552" w:type="dxa"/>
          <w:vAlign w:val="center"/>
        </w:tcPr>
        <w:p w14:paraId="203F0377" w14:textId="77777777" w:rsidR="00892544" w:rsidRPr="00EF13C1" w:rsidRDefault="00892544" w:rsidP="00892544">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2C74A062" w14:textId="5293C229" w:rsidR="00892544" w:rsidRPr="00EF13C1" w:rsidRDefault="007348F8" w:rsidP="00892544">
          <w:pPr>
            <w:pStyle w:val="Encabezado"/>
            <w:rPr>
              <w:rFonts w:ascii="Palatino Linotype" w:hAnsi="Palatino Linotype"/>
              <w:b/>
              <w:sz w:val="22"/>
              <w:szCs w:val="22"/>
            </w:rPr>
          </w:pPr>
          <w:r w:rsidRPr="007348F8">
            <w:rPr>
              <w:rFonts w:ascii="Palatino Linotype" w:hAnsi="Palatino Linotype"/>
              <w:b/>
              <w:sz w:val="22"/>
              <w:szCs w:val="22"/>
              <w:highlight w:val="black"/>
            </w:rPr>
            <w:t>------------------------------------</w:t>
          </w:r>
        </w:p>
      </w:tc>
    </w:tr>
    <w:tr w:rsidR="00892544" w:rsidRPr="00EF13C1" w14:paraId="5C9416C9" w14:textId="77777777" w:rsidTr="00892544">
      <w:trPr>
        <w:trHeight w:val="321"/>
        <w:jc w:val="right"/>
      </w:trPr>
      <w:tc>
        <w:tcPr>
          <w:tcW w:w="2552" w:type="dxa"/>
          <w:vAlign w:val="center"/>
        </w:tcPr>
        <w:p w14:paraId="68D34C00" w14:textId="77777777" w:rsidR="00892544" w:rsidRPr="00EF13C1" w:rsidRDefault="00892544" w:rsidP="00892544">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D1793F7" w14:textId="77777777" w:rsidR="00892544" w:rsidRPr="00EF13C1" w:rsidRDefault="00892544" w:rsidP="00892544">
          <w:pPr>
            <w:pStyle w:val="Encabezado"/>
            <w:jc w:val="both"/>
            <w:rPr>
              <w:rFonts w:ascii="Palatino Linotype" w:hAnsi="Palatino Linotype"/>
              <w:b/>
              <w:sz w:val="22"/>
              <w:szCs w:val="22"/>
            </w:rPr>
          </w:pPr>
          <w:r>
            <w:rPr>
              <w:rFonts w:ascii="Palatino Linotype" w:hAnsi="Palatino Linotype"/>
              <w:b/>
              <w:bCs/>
              <w:sz w:val="22"/>
              <w:szCs w:val="22"/>
            </w:rPr>
            <w:t>Ayuntamiento de Ixtapan de la Sal</w:t>
          </w:r>
        </w:p>
      </w:tc>
    </w:tr>
    <w:tr w:rsidR="00892544" w:rsidRPr="00EF13C1" w14:paraId="77D7368F" w14:textId="77777777" w:rsidTr="00892544">
      <w:trPr>
        <w:trHeight w:val="321"/>
        <w:jc w:val="right"/>
      </w:trPr>
      <w:tc>
        <w:tcPr>
          <w:tcW w:w="2552" w:type="dxa"/>
          <w:vAlign w:val="center"/>
        </w:tcPr>
        <w:p w14:paraId="383B15BB" w14:textId="77777777" w:rsidR="00892544" w:rsidRPr="00EF13C1" w:rsidRDefault="00892544" w:rsidP="00892544">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DBD7250" w14:textId="77777777" w:rsidR="00892544" w:rsidRPr="00EF13C1" w:rsidRDefault="00892544" w:rsidP="00892544">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6550171" w14:textId="77777777" w:rsidR="00892544" w:rsidRDefault="00892544" w:rsidP="00892544">
    <w:pPr>
      <w:pStyle w:val="Encabezado"/>
      <w:tabs>
        <w:tab w:val="clear" w:pos="4252"/>
        <w:tab w:val="clear" w:pos="8504"/>
        <w:tab w:val="left" w:pos="38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37B49"/>
    <w:multiLevelType w:val="hybridMultilevel"/>
    <w:tmpl w:val="C26E66F0"/>
    <w:lvl w:ilvl="0" w:tplc="085C20EE">
      <w:start w:val="3"/>
      <w:numFmt w:val="upperRoman"/>
      <w:lvlText w:val="%1."/>
      <w:lvlJc w:val="left"/>
      <w:pPr>
        <w:ind w:left="1170" w:hanging="720"/>
      </w:pPr>
      <w:rPr>
        <w:rFonts w:hint="default"/>
      </w:rPr>
    </w:lvl>
    <w:lvl w:ilvl="1" w:tplc="040A0019">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abstractNum w:abstractNumId="1" w15:restartNumberingAfterBreak="0">
    <w:nsid w:val="03103584"/>
    <w:multiLevelType w:val="hybridMultilevel"/>
    <w:tmpl w:val="B3728F2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5D32E62"/>
    <w:multiLevelType w:val="multilevel"/>
    <w:tmpl w:val="FDAEAB0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6E71D3"/>
    <w:multiLevelType w:val="hybridMultilevel"/>
    <w:tmpl w:val="CF544FE6"/>
    <w:lvl w:ilvl="0" w:tplc="BA748846">
      <w:start w:val="1"/>
      <w:numFmt w:val="decimal"/>
      <w:lvlText w:val="%1."/>
      <w:lvlJc w:val="left"/>
      <w:pPr>
        <w:ind w:left="502"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AC06F572">
      <w:start w:val="1"/>
      <w:numFmt w:val="bullet"/>
      <w:lvlText w:val="-"/>
      <w:lvlJc w:val="left"/>
      <w:pPr>
        <w:ind w:left="3600" w:hanging="360"/>
      </w:pPr>
      <w:rPr>
        <w:rFonts w:ascii="Palatino Linotype" w:eastAsiaTheme="minorEastAsia" w:hAnsi="Palatino Linotype" w:cstheme="minorBidi"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6F2CE2"/>
    <w:multiLevelType w:val="hybridMultilevel"/>
    <w:tmpl w:val="25A822BA"/>
    <w:lvl w:ilvl="0" w:tplc="7FA8DBB0">
      <w:start w:val="1"/>
      <w:numFmt w:val="lowerLetter"/>
      <w:lvlText w:val="%1)"/>
      <w:lvlJc w:val="left"/>
      <w:pPr>
        <w:ind w:left="1268" w:hanging="360"/>
      </w:pPr>
      <w:rPr>
        <w:rFonts w:ascii="Verdana" w:eastAsia="Verdana" w:hAnsi="Verdana" w:cs="Verdana" w:hint="default"/>
        <w:b/>
        <w:bCs/>
        <w:w w:val="100"/>
        <w:sz w:val="24"/>
        <w:szCs w:val="24"/>
        <w:lang w:val="es-ES" w:eastAsia="es-ES" w:bidi="es-ES"/>
      </w:rPr>
    </w:lvl>
    <w:lvl w:ilvl="1" w:tplc="AF420D44">
      <w:numFmt w:val="bullet"/>
      <w:lvlText w:val="•"/>
      <w:lvlJc w:val="left"/>
      <w:pPr>
        <w:ind w:left="2074" w:hanging="360"/>
      </w:pPr>
      <w:rPr>
        <w:rFonts w:hint="default"/>
        <w:lang w:val="es-ES" w:eastAsia="es-ES" w:bidi="es-ES"/>
      </w:rPr>
    </w:lvl>
    <w:lvl w:ilvl="2" w:tplc="3DBCEA26">
      <w:numFmt w:val="bullet"/>
      <w:lvlText w:val="•"/>
      <w:lvlJc w:val="left"/>
      <w:pPr>
        <w:ind w:left="2889" w:hanging="360"/>
      </w:pPr>
      <w:rPr>
        <w:rFonts w:hint="default"/>
        <w:lang w:val="es-ES" w:eastAsia="es-ES" w:bidi="es-ES"/>
      </w:rPr>
    </w:lvl>
    <w:lvl w:ilvl="3" w:tplc="62385D80">
      <w:numFmt w:val="bullet"/>
      <w:lvlText w:val="•"/>
      <w:lvlJc w:val="left"/>
      <w:pPr>
        <w:ind w:left="3704" w:hanging="360"/>
      </w:pPr>
      <w:rPr>
        <w:rFonts w:hint="default"/>
        <w:lang w:val="es-ES" w:eastAsia="es-ES" w:bidi="es-ES"/>
      </w:rPr>
    </w:lvl>
    <w:lvl w:ilvl="4" w:tplc="52F610A4">
      <w:numFmt w:val="bullet"/>
      <w:lvlText w:val="•"/>
      <w:lvlJc w:val="left"/>
      <w:pPr>
        <w:ind w:left="4518" w:hanging="360"/>
      </w:pPr>
      <w:rPr>
        <w:rFonts w:hint="default"/>
        <w:lang w:val="es-ES" w:eastAsia="es-ES" w:bidi="es-ES"/>
      </w:rPr>
    </w:lvl>
    <w:lvl w:ilvl="5" w:tplc="B69AD6BC">
      <w:numFmt w:val="bullet"/>
      <w:lvlText w:val="•"/>
      <w:lvlJc w:val="left"/>
      <w:pPr>
        <w:ind w:left="5333" w:hanging="360"/>
      </w:pPr>
      <w:rPr>
        <w:rFonts w:hint="default"/>
        <w:lang w:val="es-ES" w:eastAsia="es-ES" w:bidi="es-ES"/>
      </w:rPr>
    </w:lvl>
    <w:lvl w:ilvl="6" w:tplc="629EB4DA">
      <w:numFmt w:val="bullet"/>
      <w:lvlText w:val="•"/>
      <w:lvlJc w:val="left"/>
      <w:pPr>
        <w:ind w:left="6148" w:hanging="360"/>
      </w:pPr>
      <w:rPr>
        <w:rFonts w:hint="default"/>
        <w:lang w:val="es-ES" w:eastAsia="es-ES" w:bidi="es-ES"/>
      </w:rPr>
    </w:lvl>
    <w:lvl w:ilvl="7" w:tplc="8EB4280C">
      <w:numFmt w:val="bullet"/>
      <w:lvlText w:val="•"/>
      <w:lvlJc w:val="left"/>
      <w:pPr>
        <w:ind w:left="6963" w:hanging="360"/>
      </w:pPr>
      <w:rPr>
        <w:rFonts w:hint="default"/>
        <w:lang w:val="es-ES" w:eastAsia="es-ES" w:bidi="es-ES"/>
      </w:rPr>
    </w:lvl>
    <w:lvl w:ilvl="8" w:tplc="B61835BA">
      <w:numFmt w:val="bullet"/>
      <w:lvlText w:val="•"/>
      <w:lvlJc w:val="left"/>
      <w:pPr>
        <w:ind w:left="7777" w:hanging="360"/>
      </w:pPr>
      <w:rPr>
        <w:rFonts w:hint="default"/>
        <w:lang w:val="es-ES" w:eastAsia="es-ES" w:bidi="es-ES"/>
      </w:rPr>
    </w:lvl>
  </w:abstractNum>
  <w:abstractNum w:abstractNumId="6" w15:restartNumberingAfterBreak="0">
    <w:nsid w:val="109C68AA"/>
    <w:multiLevelType w:val="hybridMultilevel"/>
    <w:tmpl w:val="CF544FE6"/>
    <w:lvl w:ilvl="0" w:tplc="BA748846">
      <w:start w:val="1"/>
      <w:numFmt w:val="decimal"/>
      <w:lvlText w:val="%1."/>
      <w:lvlJc w:val="left"/>
      <w:pPr>
        <w:ind w:left="502"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AC06F572">
      <w:start w:val="1"/>
      <w:numFmt w:val="bullet"/>
      <w:lvlText w:val="-"/>
      <w:lvlJc w:val="left"/>
      <w:pPr>
        <w:ind w:left="3600" w:hanging="360"/>
      </w:pPr>
      <w:rPr>
        <w:rFonts w:ascii="Palatino Linotype" w:eastAsiaTheme="minorEastAsia" w:hAnsi="Palatino Linotype" w:cstheme="minorBidi"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951750"/>
    <w:multiLevelType w:val="hybridMultilevel"/>
    <w:tmpl w:val="1C32326C"/>
    <w:lvl w:ilvl="0" w:tplc="9FC02C50">
      <w:numFmt w:val="bullet"/>
      <w:lvlText w:val=""/>
      <w:lvlJc w:val="left"/>
      <w:pPr>
        <w:ind w:left="1446" w:hanging="284"/>
      </w:pPr>
      <w:rPr>
        <w:rFonts w:ascii="Symbol" w:eastAsia="Symbol" w:hAnsi="Symbol" w:cs="Symbol" w:hint="default"/>
        <w:w w:val="100"/>
        <w:sz w:val="24"/>
        <w:szCs w:val="24"/>
        <w:lang w:val="es-ES" w:eastAsia="es-ES" w:bidi="es-ES"/>
      </w:rPr>
    </w:lvl>
    <w:lvl w:ilvl="1" w:tplc="3F38BD36">
      <w:numFmt w:val="bullet"/>
      <w:lvlText w:val="•"/>
      <w:lvlJc w:val="left"/>
      <w:pPr>
        <w:ind w:left="2356" w:hanging="284"/>
      </w:pPr>
      <w:rPr>
        <w:rFonts w:hint="default"/>
        <w:lang w:val="es-ES" w:eastAsia="es-ES" w:bidi="es-ES"/>
      </w:rPr>
    </w:lvl>
    <w:lvl w:ilvl="2" w:tplc="60D086E4">
      <w:numFmt w:val="bullet"/>
      <w:lvlText w:val="•"/>
      <w:lvlJc w:val="left"/>
      <w:pPr>
        <w:ind w:left="3272" w:hanging="284"/>
      </w:pPr>
      <w:rPr>
        <w:rFonts w:hint="default"/>
        <w:lang w:val="es-ES" w:eastAsia="es-ES" w:bidi="es-ES"/>
      </w:rPr>
    </w:lvl>
    <w:lvl w:ilvl="3" w:tplc="550E7C32">
      <w:numFmt w:val="bullet"/>
      <w:lvlText w:val="•"/>
      <w:lvlJc w:val="left"/>
      <w:pPr>
        <w:ind w:left="4188" w:hanging="284"/>
      </w:pPr>
      <w:rPr>
        <w:rFonts w:hint="default"/>
        <w:lang w:val="es-ES" w:eastAsia="es-ES" w:bidi="es-ES"/>
      </w:rPr>
    </w:lvl>
    <w:lvl w:ilvl="4" w:tplc="0C86C874">
      <w:numFmt w:val="bullet"/>
      <w:lvlText w:val="•"/>
      <w:lvlJc w:val="left"/>
      <w:pPr>
        <w:ind w:left="5104" w:hanging="284"/>
      </w:pPr>
      <w:rPr>
        <w:rFonts w:hint="default"/>
        <w:lang w:val="es-ES" w:eastAsia="es-ES" w:bidi="es-ES"/>
      </w:rPr>
    </w:lvl>
    <w:lvl w:ilvl="5" w:tplc="7CDA23BC">
      <w:numFmt w:val="bullet"/>
      <w:lvlText w:val="•"/>
      <w:lvlJc w:val="left"/>
      <w:pPr>
        <w:ind w:left="6020" w:hanging="284"/>
      </w:pPr>
      <w:rPr>
        <w:rFonts w:hint="default"/>
        <w:lang w:val="es-ES" w:eastAsia="es-ES" w:bidi="es-ES"/>
      </w:rPr>
    </w:lvl>
    <w:lvl w:ilvl="6" w:tplc="2BEEB612">
      <w:numFmt w:val="bullet"/>
      <w:lvlText w:val="•"/>
      <w:lvlJc w:val="left"/>
      <w:pPr>
        <w:ind w:left="6936" w:hanging="284"/>
      </w:pPr>
      <w:rPr>
        <w:rFonts w:hint="default"/>
        <w:lang w:val="es-ES" w:eastAsia="es-ES" w:bidi="es-ES"/>
      </w:rPr>
    </w:lvl>
    <w:lvl w:ilvl="7" w:tplc="62C0F762">
      <w:numFmt w:val="bullet"/>
      <w:lvlText w:val="•"/>
      <w:lvlJc w:val="left"/>
      <w:pPr>
        <w:ind w:left="7852" w:hanging="284"/>
      </w:pPr>
      <w:rPr>
        <w:rFonts w:hint="default"/>
        <w:lang w:val="es-ES" w:eastAsia="es-ES" w:bidi="es-ES"/>
      </w:rPr>
    </w:lvl>
    <w:lvl w:ilvl="8" w:tplc="184EB90A">
      <w:numFmt w:val="bullet"/>
      <w:lvlText w:val="•"/>
      <w:lvlJc w:val="left"/>
      <w:pPr>
        <w:ind w:left="8768" w:hanging="284"/>
      </w:pPr>
      <w:rPr>
        <w:rFonts w:hint="default"/>
        <w:lang w:val="es-ES" w:eastAsia="es-ES" w:bidi="es-ES"/>
      </w:rPr>
    </w:lvl>
  </w:abstractNum>
  <w:abstractNum w:abstractNumId="8" w15:restartNumberingAfterBreak="0">
    <w:nsid w:val="13DD3B19"/>
    <w:multiLevelType w:val="hybridMultilevel"/>
    <w:tmpl w:val="785AB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FBC1C14"/>
    <w:multiLevelType w:val="hybridMultilevel"/>
    <w:tmpl w:val="B4F25D9C"/>
    <w:lvl w:ilvl="0" w:tplc="84BA490A">
      <w:start w:val="1"/>
      <w:numFmt w:val="lowerLetter"/>
      <w:lvlText w:val="%1)"/>
      <w:lvlJc w:val="left"/>
      <w:pPr>
        <w:ind w:left="1681" w:hanging="236"/>
      </w:pPr>
      <w:rPr>
        <w:rFonts w:ascii="Arial" w:eastAsia="Arial" w:hAnsi="Arial" w:cs="Arial" w:hint="default"/>
        <w:i/>
        <w:spacing w:val="-2"/>
        <w:w w:val="100"/>
        <w:sz w:val="20"/>
        <w:szCs w:val="20"/>
        <w:lang w:val="es-ES" w:eastAsia="es-ES" w:bidi="es-ES"/>
      </w:rPr>
    </w:lvl>
    <w:lvl w:ilvl="1" w:tplc="7C487314">
      <w:start w:val="1"/>
      <w:numFmt w:val="decimal"/>
      <w:lvlText w:val="%2."/>
      <w:lvlJc w:val="left"/>
      <w:pPr>
        <w:ind w:left="1729" w:hanging="235"/>
      </w:pPr>
      <w:rPr>
        <w:rFonts w:ascii="Arial" w:eastAsia="Arial" w:hAnsi="Arial" w:cs="Arial" w:hint="default"/>
        <w:i/>
        <w:spacing w:val="-2"/>
        <w:w w:val="100"/>
        <w:sz w:val="20"/>
        <w:szCs w:val="20"/>
        <w:lang w:val="es-ES" w:eastAsia="es-ES" w:bidi="es-ES"/>
      </w:rPr>
    </w:lvl>
    <w:lvl w:ilvl="2" w:tplc="286AB770">
      <w:numFmt w:val="bullet"/>
      <w:lvlText w:val="•"/>
      <w:lvlJc w:val="left"/>
      <w:pPr>
        <w:ind w:left="2706" w:hanging="235"/>
      </w:pPr>
      <w:rPr>
        <w:rFonts w:hint="default"/>
        <w:lang w:val="es-ES" w:eastAsia="es-ES" w:bidi="es-ES"/>
      </w:rPr>
    </w:lvl>
    <w:lvl w:ilvl="3" w:tplc="CB4E259C">
      <w:numFmt w:val="bullet"/>
      <w:lvlText w:val="•"/>
      <w:lvlJc w:val="left"/>
      <w:pPr>
        <w:ind w:left="3693" w:hanging="235"/>
      </w:pPr>
      <w:rPr>
        <w:rFonts w:hint="default"/>
        <w:lang w:val="es-ES" w:eastAsia="es-ES" w:bidi="es-ES"/>
      </w:rPr>
    </w:lvl>
    <w:lvl w:ilvl="4" w:tplc="33746834">
      <w:numFmt w:val="bullet"/>
      <w:lvlText w:val="•"/>
      <w:lvlJc w:val="left"/>
      <w:pPr>
        <w:ind w:left="4680" w:hanging="235"/>
      </w:pPr>
      <w:rPr>
        <w:rFonts w:hint="default"/>
        <w:lang w:val="es-ES" w:eastAsia="es-ES" w:bidi="es-ES"/>
      </w:rPr>
    </w:lvl>
    <w:lvl w:ilvl="5" w:tplc="F3B28FF0">
      <w:numFmt w:val="bullet"/>
      <w:lvlText w:val="•"/>
      <w:lvlJc w:val="left"/>
      <w:pPr>
        <w:ind w:left="5666" w:hanging="235"/>
      </w:pPr>
      <w:rPr>
        <w:rFonts w:hint="default"/>
        <w:lang w:val="es-ES" w:eastAsia="es-ES" w:bidi="es-ES"/>
      </w:rPr>
    </w:lvl>
    <w:lvl w:ilvl="6" w:tplc="8B9C6CA0">
      <w:numFmt w:val="bullet"/>
      <w:lvlText w:val="•"/>
      <w:lvlJc w:val="left"/>
      <w:pPr>
        <w:ind w:left="6653" w:hanging="235"/>
      </w:pPr>
      <w:rPr>
        <w:rFonts w:hint="default"/>
        <w:lang w:val="es-ES" w:eastAsia="es-ES" w:bidi="es-ES"/>
      </w:rPr>
    </w:lvl>
    <w:lvl w:ilvl="7" w:tplc="9EF6D606">
      <w:numFmt w:val="bullet"/>
      <w:lvlText w:val="•"/>
      <w:lvlJc w:val="left"/>
      <w:pPr>
        <w:ind w:left="7640" w:hanging="235"/>
      </w:pPr>
      <w:rPr>
        <w:rFonts w:hint="default"/>
        <w:lang w:val="es-ES" w:eastAsia="es-ES" w:bidi="es-ES"/>
      </w:rPr>
    </w:lvl>
    <w:lvl w:ilvl="8" w:tplc="5A2CDF8A">
      <w:numFmt w:val="bullet"/>
      <w:lvlText w:val="•"/>
      <w:lvlJc w:val="left"/>
      <w:pPr>
        <w:ind w:left="8626" w:hanging="235"/>
      </w:pPr>
      <w:rPr>
        <w:rFonts w:hint="default"/>
        <w:lang w:val="es-ES" w:eastAsia="es-ES" w:bidi="es-ES"/>
      </w:rPr>
    </w:lvl>
  </w:abstractNum>
  <w:abstractNum w:abstractNumId="11" w15:restartNumberingAfterBreak="0">
    <w:nsid w:val="20A9342C"/>
    <w:multiLevelType w:val="hybridMultilevel"/>
    <w:tmpl w:val="C26E66F0"/>
    <w:lvl w:ilvl="0" w:tplc="085C20EE">
      <w:start w:val="3"/>
      <w:numFmt w:val="upperRoman"/>
      <w:lvlText w:val="%1."/>
      <w:lvlJc w:val="left"/>
      <w:pPr>
        <w:ind w:left="1170" w:hanging="720"/>
      </w:pPr>
      <w:rPr>
        <w:rFonts w:hint="default"/>
      </w:rPr>
    </w:lvl>
    <w:lvl w:ilvl="1" w:tplc="040A0019">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abstractNum w:abstractNumId="12" w15:restartNumberingAfterBreak="0">
    <w:nsid w:val="246875FA"/>
    <w:multiLevelType w:val="hybridMultilevel"/>
    <w:tmpl w:val="CF544FE6"/>
    <w:lvl w:ilvl="0" w:tplc="BA748846">
      <w:start w:val="1"/>
      <w:numFmt w:val="decimal"/>
      <w:lvlText w:val="%1."/>
      <w:lvlJc w:val="left"/>
      <w:pPr>
        <w:ind w:left="502"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AC06F572">
      <w:start w:val="1"/>
      <w:numFmt w:val="bullet"/>
      <w:lvlText w:val="-"/>
      <w:lvlJc w:val="left"/>
      <w:pPr>
        <w:ind w:left="3600" w:hanging="360"/>
      </w:pPr>
      <w:rPr>
        <w:rFonts w:ascii="Palatino Linotype" w:eastAsiaTheme="minorEastAsia" w:hAnsi="Palatino Linotype" w:cstheme="minorBidi"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FB2D6E"/>
    <w:multiLevelType w:val="hybridMultilevel"/>
    <w:tmpl w:val="C26E66F0"/>
    <w:lvl w:ilvl="0" w:tplc="085C20EE">
      <w:start w:val="3"/>
      <w:numFmt w:val="upperRoman"/>
      <w:lvlText w:val="%1."/>
      <w:lvlJc w:val="left"/>
      <w:pPr>
        <w:ind w:left="1170" w:hanging="720"/>
      </w:pPr>
      <w:rPr>
        <w:rFonts w:hint="default"/>
      </w:rPr>
    </w:lvl>
    <w:lvl w:ilvl="1" w:tplc="040A0019">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abstractNum w:abstractNumId="14" w15:restartNumberingAfterBreak="0">
    <w:nsid w:val="2E332847"/>
    <w:multiLevelType w:val="hybridMultilevel"/>
    <w:tmpl w:val="CCB6E512"/>
    <w:lvl w:ilvl="0" w:tplc="61F6A7F2">
      <w:start w:val="1"/>
      <w:numFmt w:val="lowerLetter"/>
      <w:lvlText w:val="%1)"/>
      <w:lvlJc w:val="left"/>
      <w:pPr>
        <w:ind w:left="2340" w:hanging="360"/>
      </w:pPr>
      <w:rPr>
        <w:rFonts w:asciiTheme="minorHAnsi" w:hAnsiTheme="minorHAnsi" w:cstheme="minorBidi"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4317490"/>
    <w:multiLevelType w:val="hybridMultilevel"/>
    <w:tmpl w:val="CF544FE6"/>
    <w:lvl w:ilvl="0" w:tplc="BA748846">
      <w:start w:val="1"/>
      <w:numFmt w:val="decimal"/>
      <w:lvlText w:val="%1."/>
      <w:lvlJc w:val="left"/>
      <w:pPr>
        <w:ind w:left="502"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AC06F572">
      <w:start w:val="1"/>
      <w:numFmt w:val="bullet"/>
      <w:lvlText w:val="-"/>
      <w:lvlJc w:val="left"/>
      <w:pPr>
        <w:ind w:left="3600" w:hanging="360"/>
      </w:pPr>
      <w:rPr>
        <w:rFonts w:ascii="Palatino Linotype" w:eastAsiaTheme="minorEastAsia" w:hAnsi="Palatino Linotype" w:cstheme="minorBidi"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CB7FDF"/>
    <w:multiLevelType w:val="hybridMultilevel"/>
    <w:tmpl w:val="493023F6"/>
    <w:lvl w:ilvl="0" w:tplc="4B2C5F44">
      <w:start w:val="1"/>
      <w:numFmt w:val="upperLetter"/>
      <w:lvlText w:val="%1)"/>
      <w:lvlJc w:val="left"/>
      <w:pPr>
        <w:ind w:left="780" w:hanging="420"/>
      </w:pPr>
      <w:rPr>
        <w:rFonts w:eastAsiaTheme="minorEastAsia" w:cstheme="minorBid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AC95E5F"/>
    <w:multiLevelType w:val="hybridMultilevel"/>
    <w:tmpl w:val="39EEE5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4D5053"/>
    <w:multiLevelType w:val="hybridMultilevel"/>
    <w:tmpl w:val="3A148062"/>
    <w:lvl w:ilvl="0" w:tplc="9E78DF6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F75166"/>
    <w:multiLevelType w:val="hybridMultilevel"/>
    <w:tmpl w:val="FAD21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0360EC"/>
    <w:multiLevelType w:val="hybridMultilevel"/>
    <w:tmpl w:val="10D05026"/>
    <w:lvl w:ilvl="0" w:tplc="49DA7E22">
      <w:numFmt w:val="bullet"/>
      <w:lvlText w:val="●"/>
      <w:lvlJc w:val="left"/>
      <w:pPr>
        <w:ind w:left="1446" w:hanging="284"/>
      </w:pPr>
      <w:rPr>
        <w:rFonts w:ascii="Calibri" w:eastAsia="Calibri" w:hAnsi="Calibri" w:cs="Calibri" w:hint="default"/>
        <w:b/>
        <w:bCs/>
        <w:w w:val="100"/>
        <w:sz w:val="22"/>
        <w:szCs w:val="22"/>
        <w:lang w:val="es-ES" w:eastAsia="es-ES" w:bidi="es-ES"/>
      </w:rPr>
    </w:lvl>
    <w:lvl w:ilvl="1" w:tplc="43627022">
      <w:numFmt w:val="bullet"/>
      <w:lvlText w:val="•"/>
      <w:lvlJc w:val="left"/>
      <w:pPr>
        <w:ind w:left="2356" w:hanging="284"/>
      </w:pPr>
      <w:rPr>
        <w:rFonts w:hint="default"/>
        <w:lang w:val="es-ES" w:eastAsia="es-ES" w:bidi="es-ES"/>
      </w:rPr>
    </w:lvl>
    <w:lvl w:ilvl="2" w:tplc="3078F8CC">
      <w:numFmt w:val="bullet"/>
      <w:lvlText w:val="•"/>
      <w:lvlJc w:val="left"/>
      <w:pPr>
        <w:ind w:left="3272" w:hanging="284"/>
      </w:pPr>
      <w:rPr>
        <w:rFonts w:hint="default"/>
        <w:lang w:val="es-ES" w:eastAsia="es-ES" w:bidi="es-ES"/>
      </w:rPr>
    </w:lvl>
    <w:lvl w:ilvl="3" w:tplc="6CB4B4CC">
      <w:numFmt w:val="bullet"/>
      <w:lvlText w:val="•"/>
      <w:lvlJc w:val="left"/>
      <w:pPr>
        <w:ind w:left="4188" w:hanging="284"/>
      </w:pPr>
      <w:rPr>
        <w:rFonts w:hint="default"/>
        <w:lang w:val="es-ES" w:eastAsia="es-ES" w:bidi="es-ES"/>
      </w:rPr>
    </w:lvl>
    <w:lvl w:ilvl="4" w:tplc="83B0709E">
      <w:numFmt w:val="bullet"/>
      <w:lvlText w:val="•"/>
      <w:lvlJc w:val="left"/>
      <w:pPr>
        <w:ind w:left="5104" w:hanging="284"/>
      </w:pPr>
      <w:rPr>
        <w:rFonts w:hint="default"/>
        <w:lang w:val="es-ES" w:eastAsia="es-ES" w:bidi="es-ES"/>
      </w:rPr>
    </w:lvl>
    <w:lvl w:ilvl="5" w:tplc="E0104B02">
      <w:numFmt w:val="bullet"/>
      <w:lvlText w:val="•"/>
      <w:lvlJc w:val="left"/>
      <w:pPr>
        <w:ind w:left="6020" w:hanging="284"/>
      </w:pPr>
      <w:rPr>
        <w:rFonts w:hint="default"/>
        <w:lang w:val="es-ES" w:eastAsia="es-ES" w:bidi="es-ES"/>
      </w:rPr>
    </w:lvl>
    <w:lvl w:ilvl="6" w:tplc="F7DE8F92">
      <w:numFmt w:val="bullet"/>
      <w:lvlText w:val="•"/>
      <w:lvlJc w:val="left"/>
      <w:pPr>
        <w:ind w:left="6936" w:hanging="284"/>
      </w:pPr>
      <w:rPr>
        <w:rFonts w:hint="default"/>
        <w:lang w:val="es-ES" w:eastAsia="es-ES" w:bidi="es-ES"/>
      </w:rPr>
    </w:lvl>
    <w:lvl w:ilvl="7" w:tplc="6108E0B0">
      <w:numFmt w:val="bullet"/>
      <w:lvlText w:val="•"/>
      <w:lvlJc w:val="left"/>
      <w:pPr>
        <w:ind w:left="7852" w:hanging="284"/>
      </w:pPr>
      <w:rPr>
        <w:rFonts w:hint="default"/>
        <w:lang w:val="es-ES" w:eastAsia="es-ES" w:bidi="es-ES"/>
      </w:rPr>
    </w:lvl>
    <w:lvl w:ilvl="8" w:tplc="7E0AD9E8">
      <w:numFmt w:val="bullet"/>
      <w:lvlText w:val="•"/>
      <w:lvlJc w:val="left"/>
      <w:pPr>
        <w:ind w:left="8768" w:hanging="284"/>
      </w:pPr>
      <w:rPr>
        <w:rFonts w:hint="default"/>
        <w:lang w:val="es-ES" w:eastAsia="es-ES" w:bidi="es-ES"/>
      </w:rPr>
    </w:lvl>
  </w:abstractNum>
  <w:abstractNum w:abstractNumId="21"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557D5E0E"/>
    <w:multiLevelType w:val="hybridMultilevel"/>
    <w:tmpl w:val="C26E66F0"/>
    <w:lvl w:ilvl="0" w:tplc="085C20EE">
      <w:start w:val="3"/>
      <w:numFmt w:val="upperRoman"/>
      <w:lvlText w:val="%1."/>
      <w:lvlJc w:val="left"/>
      <w:pPr>
        <w:ind w:left="1170" w:hanging="720"/>
      </w:pPr>
      <w:rPr>
        <w:rFonts w:hint="default"/>
      </w:rPr>
    </w:lvl>
    <w:lvl w:ilvl="1" w:tplc="040A0019">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abstractNum w:abstractNumId="23" w15:restartNumberingAfterBreak="0">
    <w:nsid w:val="565E1368"/>
    <w:multiLevelType w:val="hybridMultilevel"/>
    <w:tmpl w:val="2ABCD918"/>
    <w:lvl w:ilvl="0" w:tplc="ED80D348">
      <w:start w:val="1"/>
      <w:numFmt w:val="upperRoman"/>
      <w:lvlText w:val="%1."/>
      <w:lvlJc w:val="left"/>
      <w:pPr>
        <w:ind w:left="1287" w:hanging="720"/>
      </w:pPr>
      <w:rPr>
        <w:rFonts w:hint="default"/>
        <w:color w:val="auto"/>
        <w:sz w:val="24"/>
        <w:u w:val="none"/>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4" w15:restartNumberingAfterBreak="0">
    <w:nsid w:val="56F53EAA"/>
    <w:multiLevelType w:val="hybridMultilevel"/>
    <w:tmpl w:val="C26E66F0"/>
    <w:lvl w:ilvl="0" w:tplc="085C20EE">
      <w:start w:val="3"/>
      <w:numFmt w:val="upperRoman"/>
      <w:lvlText w:val="%1."/>
      <w:lvlJc w:val="left"/>
      <w:pPr>
        <w:ind w:left="1170" w:hanging="720"/>
      </w:pPr>
      <w:rPr>
        <w:rFonts w:hint="default"/>
      </w:rPr>
    </w:lvl>
    <w:lvl w:ilvl="1" w:tplc="040A0019">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abstractNum w:abstractNumId="25" w15:restartNumberingAfterBreak="0">
    <w:nsid w:val="61A25ECF"/>
    <w:multiLevelType w:val="hybridMultilevel"/>
    <w:tmpl w:val="CF544FE6"/>
    <w:lvl w:ilvl="0" w:tplc="BA748846">
      <w:start w:val="1"/>
      <w:numFmt w:val="decimal"/>
      <w:lvlText w:val="%1."/>
      <w:lvlJc w:val="left"/>
      <w:pPr>
        <w:ind w:left="502"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AC06F572">
      <w:start w:val="1"/>
      <w:numFmt w:val="bullet"/>
      <w:lvlText w:val="-"/>
      <w:lvlJc w:val="left"/>
      <w:pPr>
        <w:ind w:left="3600" w:hanging="360"/>
      </w:pPr>
      <w:rPr>
        <w:rFonts w:ascii="Palatino Linotype" w:eastAsiaTheme="minorEastAsia" w:hAnsi="Palatino Linotype" w:cstheme="minorBidi"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BA33BD"/>
    <w:multiLevelType w:val="hybridMultilevel"/>
    <w:tmpl w:val="0FCC8B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B3304D"/>
    <w:multiLevelType w:val="hybridMultilevel"/>
    <w:tmpl w:val="C26E66F0"/>
    <w:lvl w:ilvl="0" w:tplc="085C20EE">
      <w:start w:val="3"/>
      <w:numFmt w:val="upperRoman"/>
      <w:lvlText w:val="%1."/>
      <w:lvlJc w:val="left"/>
      <w:pPr>
        <w:ind w:left="1170" w:hanging="720"/>
      </w:pPr>
      <w:rPr>
        <w:rFonts w:hint="default"/>
      </w:rPr>
    </w:lvl>
    <w:lvl w:ilvl="1" w:tplc="040A0019">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abstractNum w:abstractNumId="29" w15:restartNumberingAfterBreak="0">
    <w:nsid w:val="6CD62785"/>
    <w:multiLevelType w:val="hybridMultilevel"/>
    <w:tmpl w:val="87984B96"/>
    <w:lvl w:ilvl="0" w:tplc="8C66AB28">
      <w:start w:val="1"/>
      <w:numFmt w:val="lowerLetter"/>
      <w:lvlText w:val="%1)"/>
      <w:lvlJc w:val="left"/>
      <w:pPr>
        <w:ind w:left="720" w:hanging="360"/>
      </w:pPr>
      <w:rPr>
        <w:rFonts w:cstheme="minorBidi"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D76265B"/>
    <w:multiLevelType w:val="hybridMultilevel"/>
    <w:tmpl w:val="5FF24352"/>
    <w:lvl w:ilvl="0" w:tplc="0A28180C">
      <w:start w:val="1"/>
      <w:numFmt w:val="decimal"/>
      <w:lvlText w:val="%1."/>
      <w:lvlJc w:val="left"/>
      <w:pPr>
        <w:ind w:left="1268" w:hanging="360"/>
      </w:pPr>
      <w:rPr>
        <w:rFonts w:ascii="Verdana" w:eastAsia="Verdana" w:hAnsi="Verdana" w:cs="Verdana" w:hint="default"/>
        <w:b/>
        <w:bCs/>
        <w:spacing w:val="-1"/>
        <w:w w:val="100"/>
        <w:sz w:val="24"/>
        <w:szCs w:val="24"/>
        <w:lang w:val="es-ES" w:eastAsia="es-ES" w:bidi="es-ES"/>
      </w:rPr>
    </w:lvl>
    <w:lvl w:ilvl="1" w:tplc="0046E60C">
      <w:numFmt w:val="bullet"/>
      <w:lvlText w:val="•"/>
      <w:lvlJc w:val="left"/>
      <w:pPr>
        <w:ind w:left="2074" w:hanging="360"/>
      </w:pPr>
      <w:rPr>
        <w:rFonts w:hint="default"/>
        <w:lang w:val="es-ES" w:eastAsia="es-ES" w:bidi="es-ES"/>
      </w:rPr>
    </w:lvl>
    <w:lvl w:ilvl="2" w:tplc="022CCCAC">
      <w:numFmt w:val="bullet"/>
      <w:lvlText w:val="•"/>
      <w:lvlJc w:val="left"/>
      <w:pPr>
        <w:ind w:left="2889" w:hanging="360"/>
      </w:pPr>
      <w:rPr>
        <w:rFonts w:hint="default"/>
        <w:lang w:val="es-ES" w:eastAsia="es-ES" w:bidi="es-ES"/>
      </w:rPr>
    </w:lvl>
    <w:lvl w:ilvl="3" w:tplc="8CC61CDE">
      <w:numFmt w:val="bullet"/>
      <w:lvlText w:val="•"/>
      <w:lvlJc w:val="left"/>
      <w:pPr>
        <w:ind w:left="3704" w:hanging="360"/>
      </w:pPr>
      <w:rPr>
        <w:rFonts w:hint="default"/>
        <w:lang w:val="es-ES" w:eastAsia="es-ES" w:bidi="es-ES"/>
      </w:rPr>
    </w:lvl>
    <w:lvl w:ilvl="4" w:tplc="EB8C0968">
      <w:numFmt w:val="bullet"/>
      <w:lvlText w:val="•"/>
      <w:lvlJc w:val="left"/>
      <w:pPr>
        <w:ind w:left="4518" w:hanging="360"/>
      </w:pPr>
      <w:rPr>
        <w:rFonts w:hint="default"/>
        <w:lang w:val="es-ES" w:eastAsia="es-ES" w:bidi="es-ES"/>
      </w:rPr>
    </w:lvl>
    <w:lvl w:ilvl="5" w:tplc="254C3F08">
      <w:numFmt w:val="bullet"/>
      <w:lvlText w:val="•"/>
      <w:lvlJc w:val="left"/>
      <w:pPr>
        <w:ind w:left="5333" w:hanging="360"/>
      </w:pPr>
      <w:rPr>
        <w:rFonts w:hint="default"/>
        <w:lang w:val="es-ES" w:eastAsia="es-ES" w:bidi="es-ES"/>
      </w:rPr>
    </w:lvl>
    <w:lvl w:ilvl="6" w:tplc="6B783A14">
      <w:numFmt w:val="bullet"/>
      <w:lvlText w:val="•"/>
      <w:lvlJc w:val="left"/>
      <w:pPr>
        <w:ind w:left="6148" w:hanging="360"/>
      </w:pPr>
      <w:rPr>
        <w:rFonts w:hint="default"/>
        <w:lang w:val="es-ES" w:eastAsia="es-ES" w:bidi="es-ES"/>
      </w:rPr>
    </w:lvl>
    <w:lvl w:ilvl="7" w:tplc="887A2D74">
      <w:numFmt w:val="bullet"/>
      <w:lvlText w:val="•"/>
      <w:lvlJc w:val="left"/>
      <w:pPr>
        <w:ind w:left="6963" w:hanging="360"/>
      </w:pPr>
      <w:rPr>
        <w:rFonts w:hint="default"/>
        <w:lang w:val="es-ES" w:eastAsia="es-ES" w:bidi="es-ES"/>
      </w:rPr>
    </w:lvl>
    <w:lvl w:ilvl="8" w:tplc="43522E80">
      <w:numFmt w:val="bullet"/>
      <w:lvlText w:val="•"/>
      <w:lvlJc w:val="left"/>
      <w:pPr>
        <w:ind w:left="7777" w:hanging="360"/>
      </w:pPr>
      <w:rPr>
        <w:rFonts w:hint="default"/>
        <w:lang w:val="es-ES" w:eastAsia="es-ES" w:bidi="es-ES"/>
      </w:rPr>
    </w:lvl>
  </w:abstractNum>
  <w:abstractNum w:abstractNumId="31" w15:restartNumberingAfterBreak="0">
    <w:nsid w:val="6F5E3A32"/>
    <w:multiLevelType w:val="hybridMultilevel"/>
    <w:tmpl w:val="ACD04624"/>
    <w:lvl w:ilvl="0" w:tplc="61F6A7F2">
      <w:start w:val="1"/>
      <w:numFmt w:val="lowerLetter"/>
      <w:lvlText w:val="%1)"/>
      <w:lvlJc w:val="left"/>
      <w:pPr>
        <w:ind w:left="2340" w:hanging="360"/>
      </w:pPr>
      <w:rPr>
        <w:rFonts w:asciiTheme="minorHAnsi" w:hAnsiTheme="minorHAnsi" w:cstheme="minorBidi"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02A5AAA"/>
    <w:multiLevelType w:val="hybridMultilevel"/>
    <w:tmpl w:val="080294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7AC11642"/>
    <w:multiLevelType w:val="hybridMultilevel"/>
    <w:tmpl w:val="B74A2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122999"/>
    <w:multiLevelType w:val="hybridMultilevel"/>
    <w:tmpl w:val="F5881C8E"/>
    <w:lvl w:ilvl="0" w:tplc="EA984C74">
      <w:numFmt w:val="bullet"/>
      <w:lvlText w:val="●"/>
      <w:lvlJc w:val="left"/>
      <w:pPr>
        <w:ind w:left="1446" w:hanging="284"/>
      </w:pPr>
      <w:rPr>
        <w:rFonts w:ascii="Calibri" w:eastAsia="Calibri" w:hAnsi="Calibri" w:cs="Calibri" w:hint="default"/>
        <w:b/>
        <w:bCs/>
        <w:spacing w:val="-25"/>
        <w:w w:val="99"/>
        <w:sz w:val="24"/>
        <w:szCs w:val="24"/>
        <w:lang w:val="es-ES" w:eastAsia="es-ES" w:bidi="es-ES"/>
      </w:rPr>
    </w:lvl>
    <w:lvl w:ilvl="1" w:tplc="72464AE2">
      <w:numFmt w:val="bullet"/>
      <w:lvlText w:val="•"/>
      <w:lvlJc w:val="left"/>
      <w:pPr>
        <w:ind w:left="2356" w:hanging="284"/>
      </w:pPr>
      <w:rPr>
        <w:rFonts w:hint="default"/>
        <w:lang w:val="es-ES" w:eastAsia="es-ES" w:bidi="es-ES"/>
      </w:rPr>
    </w:lvl>
    <w:lvl w:ilvl="2" w:tplc="517A2766">
      <w:numFmt w:val="bullet"/>
      <w:lvlText w:val="•"/>
      <w:lvlJc w:val="left"/>
      <w:pPr>
        <w:ind w:left="3272" w:hanging="284"/>
      </w:pPr>
      <w:rPr>
        <w:rFonts w:hint="default"/>
        <w:lang w:val="es-ES" w:eastAsia="es-ES" w:bidi="es-ES"/>
      </w:rPr>
    </w:lvl>
    <w:lvl w:ilvl="3" w:tplc="BA4A37E2">
      <w:numFmt w:val="bullet"/>
      <w:lvlText w:val="•"/>
      <w:lvlJc w:val="left"/>
      <w:pPr>
        <w:ind w:left="4188" w:hanging="284"/>
      </w:pPr>
      <w:rPr>
        <w:rFonts w:hint="default"/>
        <w:lang w:val="es-ES" w:eastAsia="es-ES" w:bidi="es-ES"/>
      </w:rPr>
    </w:lvl>
    <w:lvl w:ilvl="4" w:tplc="56C088AE">
      <w:numFmt w:val="bullet"/>
      <w:lvlText w:val="•"/>
      <w:lvlJc w:val="left"/>
      <w:pPr>
        <w:ind w:left="5104" w:hanging="284"/>
      </w:pPr>
      <w:rPr>
        <w:rFonts w:hint="default"/>
        <w:lang w:val="es-ES" w:eastAsia="es-ES" w:bidi="es-ES"/>
      </w:rPr>
    </w:lvl>
    <w:lvl w:ilvl="5" w:tplc="1E96CF20">
      <w:numFmt w:val="bullet"/>
      <w:lvlText w:val="•"/>
      <w:lvlJc w:val="left"/>
      <w:pPr>
        <w:ind w:left="6020" w:hanging="284"/>
      </w:pPr>
      <w:rPr>
        <w:rFonts w:hint="default"/>
        <w:lang w:val="es-ES" w:eastAsia="es-ES" w:bidi="es-ES"/>
      </w:rPr>
    </w:lvl>
    <w:lvl w:ilvl="6" w:tplc="7586F074">
      <w:numFmt w:val="bullet"/>
      <w:lvlText w:val="•"/>
      <w:lvlJc w:val="left"/>
      <w:pPr>
        <w:ind w:left="6936" w:hanging="284"/>
      </w:pPr>
      <w:rPr>
        <w:rFonts w:hint="default"/>
        <w:lang w:val="es-ES" w:eastAsia="es-ES" w:bidi="es-ES"/>
      </w:rPr>
    </w:lvl>
    <w:lvl w:ilvl="7" w:tplc="1F24EE5C">
      <w:numFmt w:val="bullet"/>
      <w:lvlText w:val="•"/>
      <w:lvlJc w:val="left"/>
      <w:pPr>
        <w:ind w:left="7852" w:hanging="284"/>
      </w:pPr>
      <w:rPr>
        <w:rFonts w:hint="default"/>
        <w:lang w:val="es-ES" w:eastAsia="es-ES" w:bidi="es-ES"/>
      </w:rPr>
    </w:lvl>
    <w:lvl w:ilvl="8" w:tplc="E8D60192">
      <w:numFmt w:val="bullet"/>
      <w:lvlText w:val="•"/>
      <w:lvlJc w:val="left"/>
      <w:pPr>
        <w:ind w:left="8768" w:hanging="284"/>
      </w:pPr>
      <w:rPr>
        <w:rFonts w:hint="default"/>
        <w:lang w:val="es-ES" w:eastAsia="es-ES" w:bidi="es-ES"/>
      </w:rPr>
    </w:lvl>
  </w:abstractNum>
  <w:num w:numId="1">
    <w:abstractNumId w:val="15"/>
  </w:num>
  <w:num w:numId="2">
    <w:abstractNumId w:val="9"/>
  </w:num>
  <w:num w:numId="3">
    <w:abstractNumId w:val="4"/>
  </w:num>
  <w:num w:numId="4">
    <w:abstractNumId w:val="16"/>
  </w:num>
  <w:num w:numId="5">
    <w:abstractNumId w:val="19"/>
  </w:num>
  <w:num w:numId="6">
    <w:abstractNumId w:val="17"/>
  </w:num>
  <w:num w:numId="7">
    <w:abstractNumId w:val="18"/>
  </w:num>
  <w:num w:numId="8">
    <w:abstractNumId w:val="2"/>
  </w:num>
  <w:num w:numId="9">
    <w:abstractNumId w:val="1"/>
  </w:num>
  <w:num w:numId="10">
    <w:abstractNumId w:val="21"/>
  </w:num>
  <w:num w:numId="11">
    <w:abstractNumId w:val="7"/>
  </w:num>
  <w:num w:numId="12">
    <w:abstractNumId w:val="30"/>
  </w:num>
  <w:num w:numId="13">
    <w:abstractNumId w:val="5"/>
  </w:num>
  <w:num w:numId="14">
    <w:abstractNumId w:val="34"/>
  </w:num>
  <w:num w:numId="15">
    <w:abstractNumId w:val="20"/>
  </w:num>
  <w:num w:numId="16">
    <w:abstractNumId w:val="10"/>
  </w:num>
  <w:num w:numId="17">
    <w:abstractNumId w:val="29"/>
  </w:num>
  <w:num w:numId="18">
    <w:abstractNumId w:val="6"/>
  </w:num>
  <w:num w:numId="19">
    <w:abstractNumId w:val="24"/>
  </w:num>
  <w:num w:numId="20">
    <w:abstractNumId w:val="14"/>
  </w:num>
  <w:num w:numId="21">
    <w:abstractNumId w:val="31"/>
  </w:num>
  <w:num w:numId="22">
    <w:abstractNumId w:val="26"/>
  </w:num>
  <w:num w:numId="23">
    <w:abstractNumId w:val="25"/>
  </w:num>
  <w:num w:numId="24">
    <w:abstractNumId w:val="32"/>
  </w:num>
  <w:num w:numId="25">
    <w:abstractNumId w:val="12"/>
  </w:num>
  <w:num w:numId="26">
    <w:abstractNumId w:val="23"/>
  </w:num>
  <w:num w:numId="27">
    <w:abstractNumId w:val="3"/>
  </w:num>
  <w:num w:numId="28">
    <w:abstractNumId w:val="13"/>
  </w:num>
  <w:num w:numId="29">
    <w:abstractNumId w:val="11"/>
  </w:num>
  <w:num w:numId="30">
    <w:abstractNumId w:val="0"/>
  </w:num>
  <w:num w:numId="31">
    <w:abstractNumId w:val="22"/>
  </w:num>
  <w:num w:numId="32">
    <w:abstractNumId w:val="28"/>
  </w:num>
  <w:num w:numId="33">
    <w:abstractNumId w:val="27"/>
  </w:num>
  <w:num w:numId="34">
    <w:abstractNumId w:val="33"/>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544"/>
    <w:rsid w:val="00042E80"/>
    <w:rsid w:val="000F62C2"/>
    <w:rsid w:val="00122FE7"/>
    <w:rsid w:val="00185B10"/>
    <w:rsid w:val="001C7697"/>
    <w:rsid w:val="004A55D3"/>
    <w:rsid w:val="004E0947"/>
    <w:rsid w:val="006121DA"/>
    <w:rsid w:val="00616500"/>
    <w:rsid w:val="006261BA"/>
    <w:rsid w:val="007110CF"/>
    <w:rsid w:val="007348F8"/>
    <w:rsid w:val="00756BD4"/>
    <w:rsid w:val="007A12FF"/>
    <w:rsid w:val="00812F4A"/>
    <w:rsid w:val="00854048"/>
    <w:rsid w:val="00892544"/>
    <w:rsid w:val="009B196B"/>
    <w:rsid w:val="00A52A6B"/>
    <w:rsid w:val="00A94988"/>
    <w:rsid w:val="00AA089D"/>
    <w:rsid w:val="00AB0C6D"/>
    <w:rsid w:val="00B60DB6"/>
    <w:rsid w:val="00C44003"/>
    <w:rsid w:val="00D12099"/>
    <w:rsid w:val="00E36B68"/>
    <w:rsid w:val="00E4774A"/>
    <w:rsid w:val="00EC41DD"/>
    <w:rsid w:val="00EE71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50D114"/>
  <w15:chartTrackingRefBased/>
  <w15:docId w15:val="{B790DB5A-9D43-49A5-8BA4-3C473386B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7169"/>
  </w:style>
  <w:style w:type="paragraph" w:styleId="Ttulo1">
    <w:name w:val="heading 1"/>
    <w:basedOn w:val="Normal"/>
    <w:next w:val="Normal"/>
    <w:link w:val="Ttulo1Car"/>
    <w:uiPriority w:val="9"/>
    <w:qFormat/>
    <w:rsid w:val="008925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925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925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9254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89254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92544"/>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892544"/>
    <w:pPr>
      <w:tabs>
        <w:tab w:val="center" w:pos="4252"/>
        <w:tab w:val="right" w:pos="8504"/>
      </w:tabs>
      <w:spacing w:after="0" w:line="240" w:lineRule="auto"/>
    </w:pPr>
    <w:rPr>
      <w:rFonts w:ascii="Times New Roman" w:eastAsia="Times New Roman" w:hAnsi="Times New Roman" w:cs="Times New Roman"/>
      <w:sz w:val="24"/>
      <w:szCs w:val="24"/>
      <w:lang w:val="es-US" w:eastAsia="es-ES_tradnl"/>
    </w:rPr>
  </w:style>
  <w:style w:type="character" w:customStyle="1" w:styleId="EncabezadoCar">
    <w:name w:val="Encabezado Car"/>
    <w:basedOn w:val="Fuentedeprrafopredeter"/>
    <w:link w:val="Encabezado"/>
    <w:uiPriority w:val="99"/>
    <w:rsid w:val="00892544"/>
    <w:rPr>
      <w:rFonts w:ascii="Times New Roman" w:eastAsia="Times New Roman" w:hAnsi="Times New Roman" w:cs="Times New Roman"/>
      <w:sz w:val="24"/>
      <w:szCs w:val="24"/>
      <w:lang w:val="es-US" w:eastAsia="es-ES_tradnl"/>
    </w:rPr>
  </w:style>
  <w:style w:type="paragraph" w:styleId="Piedepgina">
    <w:name w:val="footer"/>
    <w:basedOn w:val="Normal"/>
    <w:link w:val="PiedepginaCar"/>
    <w:uiPriority w:val="99"/>
    <w:unhideWhenUsed/>
    <w:rsid w:val="00892544"/>
    <w:pPr>
      <w:tabs>
        <w:tab w:val="center" w:pos="4252"/>
        <w:tab w:val="right" w:pos="8504"/>
      </w:tabs>
      <w:spacing w:after="0" w:line="240" w:lineRule="auto"/>
    </w:pPr>
    <w:rPr>
      <w:rFonts w:ascii="Times New Roman" w:eastAsia="Times New Roman" w:hAnsi="Times New Roman" w:cs="Times New Roman"/>
      <w:sz w:val="24"/>
      <w:szCs w:val="24"/>
      <w:lang w:val="es-US" w:eastAsia="es-ES_tradnl"/>
    </w:rPr>
  </w:style>
  <w:style w:type="character" w:customStyle="1" w:styleId="PiedepginaCar">
    <w:name w:val="Pie de página Car"/>
    <w:basedOn w:val="Fuentedeprrafopredeter"/>
    <w:link w:val="Piedepgina"/>
    <w:uiPriority w:val="99"/>
    <w:rsid w:val="00892544"/>
    <w:rPr>
      <w:rFonts w:ascii="Times New Roman" w:eastAsia="Times New Roman" w:hAnsi="Times New Roman" w:cs="Times New Roman"/>
      <w:sz w:val="24"/>
      <w:szCs w:val="24"/>
      <w:lang w:val="es-US" w:eastAsia="es-ES_tradnl"/>
    </w:rPr>
  </w:style>
  <w:style w:type="table" w:styleId="Tablaconcuadrcula">
    <w:name w:val="Table Grid"/>
    <w:basedOn w:val="Tablanormal"/>
    <w:uiPriority w:val="39"/>
    <w:rsid w:val="0089254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92544"/>
    <w:pPr>
      <w:spacing w:after="0" w:line="240" w:lineRule="auto"/>
    </w:pPr>
    <w:rPr>
      <w:rFonts w:ascii="Lucida Grande" w:eastAsia="Times New Roman" w:hAnsi="Lucida Grande" w:cs="Lucida Grande"/>
      <w:sz w:val="18"/>
      <w:szCs w:val="18"/>
      <w:lang w:val="es-US" w:eastAsia="es-ES_tradnl"/>
    </w:rPr>
  </w:style>
  <w:style w:type="character" w:customStyle="1" w:styleId="TextodegloboCar">
    <w:name w:val="Texto de globo Car"/>
    <w:basedOn w:val="Fuentedeprrafopredeter"/>
    <w:link w:val="Textodeglobo"/>
    <w:uiPriority w:val="99"/>
    <w:semiHidden/>
    <w:rsid w:val="00892544"/>
    <w:rPr>
      <w:rFonts w:ascii="Lucida Grande" w:eastAsia="Times New Roman" w:hAnsi="Lucida Grande" w:cs="Lucida Grande"/>
      <w:sz w:val="18"/>
      <w:szCs w:val="18"/>
      <w:lang w:val="es-US" w:eastAsia="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92544"/>
    <w:pPr>
      <w:spacing w:after="0" w:line="240" w:lineRule="auto"/>
      <w:ind w:left="720"/>
      <w:contextualSpacing/>
    </w:pPr>
    <w:rPr>
      <w:rFonts w:ascii="Times New Roman" w:eastAsia="Times New Roman" w:hAnsi="Times New Roman" w:cs="Times New Roman"/>
      <w:sz w:val="24"/>
      <w:szCs w:val="24"/>
      <w:lang w:val="es-US" w:eastAsia="es-ES_tradnl"/>
    </w:rPr>
  </w:style>
  <w:style w:type="paragraph" w:styleId="Sinespaciado">
    <w:name w:val="No Spacing"/>
    <w:aliases w:val="Francesa"/>
    <w:link w:val="SinespaciadoCar"/>
    <w:uiPriority w:val="1"/>
    <w:qFormat/>
    <w:rsid w:val="00892544"/>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92544"/>
    <w:rPr>
      <w:rFonts w:ascii="Times New Roman" w:eastAsia="Times New Roman" w:hAnsi="Times New Roman" w:cs="Times New Roman"/>
      <w:sz w:val="24"/>
      <w:szCs w:val="24"/>
      <w:lang w:val="es-US" w:eastAsia="es-ES_tradnl"/>
    </w:rPr>
  </w:style>
  <w:style w:type="character" w:styleId="Hipervnculo">
    <w:name w:val="Hyperlink"/>
    <w:basedOn w:val="Fuentedeprrafopredeter"/>
    <w:uiPriority w:val="99"/>
    <w:unhideWhenUsed/>
    <w:rsid w:val="00892544"/>
    <w:rPr>
      <w:color w:val="0563C1" w:themeColor="hyperlink"/>
      <w:u w:val="single"/>
    </w:rPr>
  </w:style>
  <w:style w:type="paragraph" w:styleId="TDC1">
    <w:name w:val="toc 1"/>
    <w:basedOn w:val="Normal"/>
    <w:next w:val="Normal"/>
    <w:autoRedefine/>
    <w:uiPriority w:val="39"/>
    <w:unhideWhenUsed/>
    <w:rsid w:val="00892544"/>
    <w:pPr>
      <w:tabs>
        <w:tab w:val="right" w:leader="dot" w:pos="8828"/>
      </w:tabs>
      <w:spacing w:after="100" w:line="360" w:lineRule="auto"/>
      <w:ind w:left="567"/>
      <w:jc w:val="both"/>
    </w:pPr>
    <w:rPr>
      <w:rFonts w:ascii="Times New Roman" w:eastAsia="Times New Roman" w:hAnsi="Times New Roman" w:cs="Times New Roman"/>
      <w:sz w:val="24"/>
      <w:szCs w:val="24"/>
      <w:lang w:val="es-US" w:eastAsia="es-ES_tradnl"/>
    </w:rPr>
  </w:style>
  <w:style w:type="paragraph" w:styleId="TDC2">
    <w:name w:val="toc 2"/>
    <w:basedOn w:val="Normal"/>
    <w:next w:val="Normal"/>
    <w:autoRedefine/>
    <w:uiPriority w:val="39"/>
    <w:unhideWhenUsed/>
    <w:rsid w:val="00892544"/>
    <w:pPr>
      <w:tabs>
        <w:tab w:val="right" w:leader="dot" w:pos="8779"/>
      </w:tabs>
      <w:spacing w:after="100" w:line="480" w:lineRule="auto"/>
      <w:ind w:left="567"/>
      <w:jc w:val="both"/>
    </w:pPr>
    <w:rPr>
      <w:rFonts w:ascii="Times New Roman" w:eastAsia="Times New Roman" w:hAnsi="Times New Roman" w:cs="Times New Roman"/>
      <w:sz w:val="24"/>
      <w:szCs w:val="24"/>
      <w:lang w:val="es-US" w:eastAsia="es-ES_tradnl"/>
    </w:rPr>
  </w:style>
  <w:style w:type="character" w:styleId="Refdecomentario">
    <w:name w:val="annotation reference"/>
    <w:basedOn w:val="Fuentedeprrafopredeter"/>
    <w:uiPriority w:val="99"/>
    <w:semiHidden/>
    <w:unhideWhenUsed/>
    <w:rsid w:val="00892544"/>
    <w:rPr>
      <w:sz w:val="16"/>
      <w:szCs w:val="16"/>
    </w:rPr>
  </w:style>
  <w:style w:type="paragraph" w:styleId="Textocomentario">
    <w:name w:val="annotation text"/>
    <w:basedOn w:val="Normal"/>
    <w:link w:val="TextocomentarioCar"/>
    <w:uiPriority w:val="99"/>
    <w:semiHidden/>
    <w:unhideWhenUsed/>
    <w:rsid w:val="00892544"/>
    <w:pPr>
      <w:spacing w:after="0" w:line="240" w:lineRule="auto"/>
    </w:pPr>
    <w:rPr>
      <w:rFonts w:ascii="Times New Roman" w:eastAsia="Times New Roman" w:hAnsi="Times New Roman" w:cs="Times New Roman"/>
      <w:sz w:val="20"/>
      <w:szCs w:val="20"/>
      <w:lang w:val="es-US" w:eastAsia="es-ES_tradnl"/>
    </w:rPr>
  </w:style>
  <w:style w:type="character" w:customStyle="1" w:styleId="TextocomentarioCar">
    <w:name w:val="Texto comentario Car"/>
    <w:basedOn w:val="Fuentedeprrafopredeter"/>
    <w:link w:val="Textocomentario"/>
    <w:uiPriority w:val="99"/>
    <w:semiHidden/>
    <w:rsid w:val="00892544"/>
    <w:rPr>
      <w:rFonts w:ascii="Times New Roman" w:eastAsia="Times New Roman" w:hAnsi="Times New Roman" w:cs="Times New Roman"/>
      <w:sz w:val="20"/>
      <w:szCs w:val="20"/>
      <w:lang w:val="es-US" w:eastAsia="es-ES_tradnl"/>
    </w:rPr>
  </w:style>
  <w:style w:type="paragraph" w:styleId="Asuntodelcomentario">
    <w:name w:val="annotation subject"/>
    <w:basedOn w:val="Textocomentario"/>
    <w:next w:val="Textocomentario"/>
    <w:link w:val="AsuntodelcomentarioCar"/>
    <w:uiPriority w:val="99"/>
    <w:semiHidden/>
    <w:unhideWhenUsed/>
    <w:rsid w:val="00892544"/>
    <w:rPr>
      <w:b/>
      <w:bCs/>
    </w:rPr>
  </w:style>
  <w:style w:type="character" w:customStyle="1" w:styleId="AsuntodelcomentarioCar">
    <w:name w:val="Asunto del comentario Car"/>
    <w:basedOn w:val="TextocomentarioCar"/>
    <w:link w:val="Asuntodelcomentario"/>
    <w:uiPriority w:val="99"/>
    <w:semiHidden/>
    <w:rsid w:val="00892544"/>
    <w:rPr>
      <w:rFonts w:ascii="Times New Roman" w:eastAsia="Times New Roman" w:hAnsi="Times New Roman" w:cs="Times New Roman"/>
      <w:b/>
      <w:bCs/>
      <w:sz w:val="20"/>
      <w:szCs w:val="20"/>
      <w:lang w:val="es-US" w:eastAsia="es-ES_tradnl"/>
    </w:rPr>
  </w:style>
  <w:style w:type="character" w:customStyle="1" w:styleId="apple-converted-space">
    <w:name w:val="apple-converted-space"/>
    <w:basedOn w:val="Fuentedeprrafopredeter"/>
    <w:rsid w:val="00892544"/>
  </w:style>
  <w:style w:type="paragraph" w:styleId="Textoindependiente">
    <w:name w:val="Body Text"/>
    <w:basedOn w:val="Normal"/>
    <w:link w:val="TextoindependienteCar"/>
    <w:uiPriority w:val="1"/>
    <w:qFormat/>
    <w:rsid w:val="00892544"/>
    <w:pPr>
      <w:spacing w:after="0" w:line="240" w:lineRule="auto"/>
      <w:jc w:val="both"/>
    </w:pPr>
    <w:rPr>
      <w:rFonts w:ascii="Arial" w:eastAsia="Times New Roman" w:hAnsi="Arial" w:cs="Times New Roman"/>
      <w:sz w:val="24"/>
      <w:szCs w:val="20"/>
      <w:lang w:val="es-US" w:eastAsia="es-ES_tradnl"/>
    </w:rPr>
  </w:style>
  <w:style w:type="character" w:customStyle="1" w:styleId="TextoindependienteCar">
    <w:name w:val="Texto independiente Car"/>
    <w:basedOn w:val="Fuentedeprrafopredeter"/>
    <w:link w:val="Textoindependiente"/>
    <w:uiPriority w:val="1"/>
    <w:rsid w:val="00892544"/>
    <w:rPr>
      <w:rFonts w:ascii="Arial" w:eastAsia="Times New Roman" w:hAnsi="Arial" w:cs="Times New Roman"/>
      <w:sz w:val="24"/>
      <w:szCs w:val="20"/>
      <w:lang w:val="es-US" w:eastAsia="es-ES_tradnl"/>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92544"/>
    <w:pPr>
      <w:spacing w:after="0" w:line="240" w:lineRule="auto"/>
    </w:pPr>
    <w:rPr>
      <w:rFonts w:ascii="Times New Roman" w:hAnsi="Times New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92544"/>
    <w:rPr>
      <w:rFonts w:ascii="Times New Roman" w:hAnsi="Times New Roman" w:cs="Times New Roman"/>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92544"/>
    <w:rPr>
      <w:vertAlign w:val="superscript"/>
    </w:rPr>
  </w:style>
  <w:style w:type="paragraph" w:customStyle="1" w:styleId="p">
    <w:name w:val="p"/>
    <w:basedOn w:val="Normal"/>
    <w:rsid w:val="0089254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
    <w:name w:val="f"/>
    <w:basedOn w:val="Fuentedeprrafopredeter"/>
    <w:rsid w:val="00892544"/>
  </w:style>
  <w:style w:type="character" w:customStyle="1" w:styleId="a">
    <w:name w:val="a"/>
    <w:basedOn w:val="Fuentedeprrafopredeter"/>
    <w:rsid w:val="00892544"/>
  </w:style>
  <w:style w:type="character" w:customStyle="1" w:styleId="d">
    <w:name w:val="d"/>
    <w:basedOn w:val="Fuentedeprrafopredeter"/>
    <w:rsid w:val="00892544"/>
  </w:style>
  <w:style w:type="character" w:customStyle="1" w:styleId="b">
    <w:name w:val="b"/>
    <w:basedOn w:val="Fuentedeprrafopredeter"/>
    <w:rsid w:val="00892544"/>
  </w:style>
  <w:style w:type="character" w:customStyle="1" w:styleId="g">
    <w:name w:val="g"/>
    <w:basedOn w:val="Fuentedeprrafopredeter"/>
    <w:rsid w:val="00892544"/>
  </w:style>
  <w:style w:type="table" w:customStyle="1" w:styleId="Tablaconcuadrcula1">
    <w:name w:val="Tabla con cuadrícula1"/>
    <w:basedOn w:val="Tablanormal"/>
    <w:next w:val="Tablaconcuadrcula"/>
    <w:uiPriority w:val="59"/>
    <w:rsid w:val="0089254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892544"/>
    <w:pPr>
      <w:outlineLvl w:val="9"/>
    </w:pPr>
    <w:rPr>
      <w:lang w:eastAsia="es-MX"/>
    </w:rPr>
  </w:style>
  <w:style w:type="character" w:styleId="Hipervnculovisitado">
    <w:name w:val="FollowedHyperlink"/>
    <w:basedOn w:val="Fuentedeprrafopredeter"/>
    <w:uiPriority w:val="99"/>
    <w:semiHidden/>
    <w:unhideWhenUsed/>
    <w:rsid w:val="00892544"/>
    <w:rPr>
      <w:color w:val="954F72" w:themeColor="followedHyperlink"/>
      <w:u w:val="single"/>
    </w:rPr>
  </w:style>
  <w:style w:type="paragraph" w:customStyle="1" w:styleId="Default">
    <w:name w:val="Default"/>
    <w:rsid w:val="00892544"/>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normaltextrun">
    <w:name w:val="normaltextrun"/>
    <w:basedOn w:val="Fuentedeprrafopredeter"/>
    <w:rsid w:val="00892544"/>
  </w:style>
  <w:style w:type="paragraph" w:styleId="Textoindependiente2">
    <w:name w:val="Body Text 2"/>
    <w:basedOn w:val="Normal"/>
    <w:link w:val="Textoindependiente2Car"/>
    <w:uiPriority w:val="99"/>
    <w:semiHidden/>
    <w:unhideWhenUsed/>
    <w:rsid w:val="00892544"/>
    <w:pPr>
      <w:spacing w:after="120" w:line="480" w:lineRule="auto"/>
    </w:pPr>
    <w:rPr>
      <w:rFonts w:ascii="Times New Roman" w:eastAsia="Times New Roman" w:hAnsi="Times New Roman" w:cs="Times New Roman"/>
      <w:sz w:val="24"/>
      <w:szCs w:val="24"/>
      <w:lang w:val="es-US" w:eastAsia="es-ES_tradnl"/>
    </w:rPr>
  </w:style>
  <w:style w:type="character" w:customStyle="1" w:styleId="Textoindependiente2Car">
    <w:name w:val="Texto independiente 2 Car"/>
    <w:basedOn w:val="Fuentedeprrafopredeter"/>
    <w:link w:val="Textoindependiente2"/>
    <w:uiPriority w:val="99"/>
    <w:semiHidden/>
    <w:rsid w:val="00892544"/>
    <w:rPr>
      <w:rFonts w:ascii="Times New Roman" w:eastAsia="Times New Roman" w:hAnsi="Times New Roman" w:cs="Times New Roman"/>
      <w:sz w:val="24"/>
      <w:szCs w:val="24"/>
      <w:lang w:val="es-US" w:eastAsia="es-ES_tradnl"/>
    </w:rPr>
  </w:style>
  <w:style w:type="paragraph" w:styleId="NormalWeb">
    <w:name w:val="Normal (Web)"/>
    <w:basedOn w:val="Normal"/>
    <w:uiPriority w:val="99"/>
    <w:unhideWhenUsed/>
    <w:rsid w:val="00892544"/>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Estiloimportado1">
    <w:name w:val="Estilo importado 1"/>
    <w:rsid w:val="00892544"/>
    <w:pPr>
      <w:numPr>
        <w:numId w:val="2"/>
      </w:numPr>
    </w:pPr>
  </w:style>
  <w:style w:type="paragraph" w:customStyle="1" w:styleId="Cuerpo">
    <w:name w:val="Cuerpo"/>
    <w:rsid w:val="00892544"/>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892544"/>
    <w:rPr>
      <w:lang w:val="es-ES_tradnl"/>
    </w:rPr>
  </w:style>
  <w:style w:type="paragraph" w:customStyle="1" w:styleId="j">
    <w:name w:val="j"/>
    <w:basedOn w:val="Normal"/>
    <w:rsid w:val="00892544"/>
    <w:pPr>
      <w:spacing w:before="100" w:beforeAutospacing="1" w:after="100" w:afterAutospacing="1" w:line="240" w:lineRule="auto"/>
    </w:pPr>
    <w:rPr>
      <w:rFonts w:ascii="Times New Roman" w:hAnsi="Times New Roman" w:cs="Times New Roman"/>
      <w:sz w:val="24"/>
      <w:szCs w:val="24"/>
      <w:lang w:val="es-US" w:eastAsia="es-ES_tradnl"/>
    </w:rPr>
  </w:style>
  <w:style w:type="table" w:styleId="Tablanormal1">
    <w:name w:val="Plain Table 1"/>
    <w:basedOn w:val="Tablanormal"/>
    <w:uiPriority w:val="41"/>
    <w:rsid w:val="008925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892544"/>
    <w:pPr>
      <w:spacing w:after="100" w:line="240" w:lineRule="auto"/>
      <w:ind w:left="480"/>
    </w:pPr>
    <w:rPr>
      <w:rFonts w:ascii="Times New Roman" w:eastAsia="Times New Roman" w:hAnsi="Times New Roman" w:cs="Times New Roman"/>
      <w:sz w:val="24"/>
      <w:szCs w:val="24"/>
      <w:lang w:val="es-US" w:eastAsia="es-ES_tradnl"/>
    </w:rPr>
  </w:style>
  <w:style w:type="paragraph" w:customStyle="1" w:styleId="m4397069627087658506m3875924900656606131gmail-m3522841387156623642gmail-msolistparagraph">
    <w:name w:val="m_4397069627087658506m_3875924900656606131gmail-m_3522841387156623642gmail-msolistparagraph"/>
    <w:basedOn w:val="Normal"/>
    <w:rsid w:val="00892544"/>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character" w:customStyle="1" w:styleId="m4397069627087658506m3875924900656606131gmail-il">
    <w:name w:val="m_4397069627087658506m_3875924900656606131gmail-il"/>
    <w:basedOn w:val="Fuentedeprrafopredeter"/>
    <w:rsid w:val="00892544"/>
  </w:style>
  <w:style w:type="paragraph" w:customStyle="1" w:styleId="m2140982489578957003gmail-msolistparagraph">
    <w:name w:val="m_2140982489578957003gmail-msolistparagraph"/>
    <w:basedOn w:val="Normal"/>
    <w:rsid w:val="00892544"/>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character" w:customStyle="1" w:styleId="m2140982489578957003gmail-ttulo2car">
    <w:name w:val="m_2140982489578957003gmail-ttulo2car"/>
    <w:basedOn w:val="Fuentedeprrafopredeter"/>
    <w:rsid w:val="00892544"/>
  </w:style>
  <w:style w:type="character" w:customStyle="1" w:styleId="dp6">
    <w:name w:val="dp6"/>
    <w:basedOn w:val="Fuentedeprrafopredeter"/>
    <w:rsid w:val="00892544"/>
  </w:style>
  <w:style w:type="paragraph" w:customStyle="1" w:styleId="Texto">
    <w:name w:val="Texto"/>
    <w:basedOn w:val="Normal"/>
    <w:link w:val="TextoCar"/>
    <w:rsid w:val="00892544"/>
    <w:pPr>
      <w:spacing w:after="101" w:line="216" w:lineRule="exact"/>
      <w:ind w:firstLine="288"/>
      <w:jc w:val="both"/>
    </w:pPr>
    <w:rPr>
      <w:rFonts w:ascii="Arial" w:eastAsia="Times New Roman" w:hAnsi="Arial" w:cs="Arial"/>
      <w:sz w:val="18"/>
      <w:szCs w:val="18"/>
      <w:lang w:eastAsia="es-ES_tradnl"/>
    </w:rPr>
  </w:style>
  <w:style w:type="paragraph" w:customStyle="1" w:styleId="m1609377113336227858gmail-msonormal">
    <w:name w:val="m_1609377113336227858gmail-msonormal"/>
    <w:basedOn w:val="Normal"/>
    <w:rsid w:val="00892544"/>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character" w:customStyle="1" w:styleId="SinespaciadoCar">
    <w:name w:val="Sin espaciado Car"/>
    <w:aliases w:val="Francesa Car"/>
    <w:link w:val="Sinespaciado"/>
    <w:uiPriority w:val="1"/>
    <w:locked/>
    <w:rsid w:val="00892544"/>
    <w:rPr>
      <w:rFonts w:eastAsiaTheme="minorEastAsia"/>
      <w:sz w:val="24"/>
      <w:szCs w:val="24"/>
      <w:lang w:val="es-ES_tradnl" w:eastAsia="es-ES"/>
    </w:rPr>
  </w:style>
  <w:style w:type="character" w:customStyle="1" w:styleId="Mencinsinresolver1">
    <w:name w:val="Mención sin resolver1"/>
    <w:basedOn w:val="Fuentedeprrafopredeter"/>
    <w:uiPriority w:val="99"/>
    <w:semiHidden/>
    <w:unhideWhenUsed/>
    <w:rsid w:val="00892544"/>
    <w:rPr>
      <w:color w:val="605E5C"/>
      <w:shd w:val="clear" w:color="auto" w:fill="E1DFDD"/>
    </w:rPr>
  </w:style>
  <w:style w:type="character" w:styleId="Textoennegrita">
    <w:name w:val="Strong"/>
    <w:basedOn w:val="Fuentedeprrafopredeter"/>
    <w:uiPriority w:val="22"/>
    <w:qFormat/>
    <w:rsid w:val="00892544"/>
    <w:rPr>
      <w:b/>
      <w:bCs/>
    </w:rPr>
  </w:style>
  <w:style w:type="character" w:styleId="nfasis">
    <w:name w:val="Emphasis"/>
    <w:basedOn w:val="Fuentedeprrafopredeter"/>
    <w:uiPriority w:val="20"/>
    <w:qFormat/>
    <w:rsid w:val="00892544"/>
    <w:rPr>
      <w:i/>
      <w:iCs/>
    </w:rPr>
  </w:style>
  <w:style w:type="character" w:customStyle="1" w:styleId="TextoCar">
    <w:name w:val="Texto Car"/>
    <w:link w:val="Texto"/>
    <w:locked/>
    <w:rsid w:val="00892544"/>
    <w:rPr>
      <w:rFonts w:ascii="Arial" w:eastAsia="Times New Roman" w:hAnsi="Arial" w:cs="Arial"/>
      <w:sz w:val="18"/>
      <w:szCs w:val="18"/>
      <w:lang w:eastAsia="es-ES_tradnl"/>
    </w:rPr>
  </w:style>
  <w:style w:type="paragraph" w:customStyle="1" w:styleId="n2">
    <w:name w:val="n2"/>
    <w:basedOn w:val="Normal"/>
    <w:rsid w:val="00892544"/>
    <w:pPr>
      <w:spacing w:before="100" w:beforeAutospacing="1" w:after="100" w:afterAutospacing="1" w:line="240" w:lineRule="auto"/>
    </w:pPr>
    <w:rPr>
      <w:rFonts w:ascii="Times New Roman" w:eastAsia="Times New Roman" w:hAnsi="Times New Roman" w:cs="Times New Roman"/>
      <w:sz w:val="24"/>
      <w:szCs w:val="24"/>
      <w:lang w:val="es-US" w:eastAsia="es-ES_tradnl"/>
    </w:rPr>
  </w:style>
  <w:style w:type="character" w:customStyle="1" w:styleId="nacep">
    <w:name w:val="n_acep"/>
    <w:basedOn w:val="Fuentedeprrafopredeter"/>
    <w:rsid w:val="00892544"/>
  </w:style>
  <w:style w:type="character" w:customStyle="1" w:styleId="h">
    <w:name w:val="h"/>
    <w:basedOn w:val="Fuentedeprrafopredeter"/>
    <w:rsid w:val="00892544"/>
  </w:style>
  <w:style w:type="character" w:customStyle="1" w:styleId="i5">
    <w:name w:val="i5"/>
    <w:basedOn w:val="Fuentedeprrafopredeter"/>
    <w:rsid w:val="00892544"/>
  </w:style>
  <w:style w:type="paragraph" w:customStyle="1" w:styleId="j1">
    <w:name w:val="j1"/>
    <w:basedOn w:val="Normal"/>
    <w:rsid w:val="00892544"/>
    <w:pPr>
      <w:spacing w:before="100" w:beforeAutospacing="1" w:after="100" w:afterAutospacing="1" w:line="240" w:lineRule="auto"/>
    </w:pPr>
    <w:rPr>
      <w:rFonts w:ascii="Times New Roman" w:eastAsia="Times New Roman" w:hAnsi="Times New Roman" w:cs="Times New Roman"/>
      <w:sz w:val="24"/>
      <w:szCs w:val="24"/>
      <w:lang w:val="es-US" w:eastAsia="es-ES_tradnl"/>
    </w:rPr>
  </w:style>
  <w:style w:type="paragraph" w:customStyle="1" w:styleId="n5">
    <w:name w:val="n5"/>
    <w:basedOn w:val="Normal"/>
    <w:rsid w:val="00892544"/>
    <w:pPr>
      <w:spacing w:before="100" w:beforeAutospacing="1" w:after="100" w:afterAutospacing="1" w:line="240" w:lineRule="auto"/>
    </w:pPr>
    <w:rPr>
      <w:rFonts w:ascii="Times New Roman" w:eastAsia="Times New Roman" w:hAnsi="Times New Roman" w:cs="Times New Roman"/>
      <w:sz w:val="24"/>
      <w:szCs w:val="24"/>
      <w:lang w:val="es-US" w:eastAsia="es-ES_tradnl"/>
    </w:rPr>
  </w:style>
  <w:style w:type="paragraph" w:customStyle="1" w:styleId="j2">
    <w:name w:val="j2"/>
    <w:basedOn w:val="Normal"/>
    <w:rsid w:val="00892544"/>
    <w:pPr>
      <w:spacing w:before="100" w:beforeAutospacing="1" w:after="100" w:afterAutospacing="1" w:line="240" w:lineRule="auto"/>
    </w:pPr>
    <w:rPr>
      <w:rFonts w:ascii="Times New Roman" w:eastAsia="Times New Roman" w:hAnsi="Times New Roman" w:cs="Times New Roman"/>
      <w:sz w:val="24"/>
      <w:szCs w:val="24"/>
      <w:lang w:val="es-U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lcontribuyente.mx/2018/05/que-ocurre-si-el-fisco-no-te-responde-una-peticion/"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aimex.org.mx/saimex/solicitud/downloadAttach/932311.page"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infoem.org.mx/est_/index.php" TargetMode="External"/><Relationship Id="rId2" Type="http://schemas.openxmlformats.org/officeDocument/2006/relationships/hyperlink" Target="https://inai.janium.net/janium/Documentos/CT5.pdf" TargetMode="External"/><Relationship Id="rId1" Type="http://schemas.openxmlformats.org/officeDocument/2006/relationships/hyperlink" Target="https://inai.janium.net/janium/Documentos/CT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100</Pages>
  <Words>22415</Words>
  <Characters>123284</Characters>
  <Application>Microsoft Office Word</Application>
  <DocSecurity>0</DocSecurity>
  <Lines>1027</Lines>
  <Paragraphs>290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2</cp:revision>
  <dcterms:created xsi:type="dcterms:W3CDTF">2021-05-05T04:52:00Z</dcterms:created>
  <dcterms:modified xsi:type="dcterms:W3CDTF">2021-05-05T04:52:00Z</dcterms:modified>
</cp:coreProperties>
</file>