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466C8" w14:textId="3D92249F"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230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F64A9">
        <w:rPr>
          <w:rFonts w:ascii="Palatino Linotype" w:eastAsia="Times New Roman" w:hAnsi="Palatino Linotype" w:cs="Arial"/>
          <w:color w:val="000000"/>
          <w:sz w:val="24"/>
          <w:szCs w:val="24"/>
          <w:lang w:eastAsia="es-MX"/>
        </w:rPr>
        <w:t>doce de a</w:t>
      </w:r>
      <w:bookmarkStart w:id="0" w:name="_GoBack"/>
      <w:bookmarkEnd w:id="0"/>
      <w:r w:rsidR="000F64A9">
        <w:rPr>
          <w:rFonts w:ascii="Palatino Linotype" w:eastAsia="Times New Roman" w:hAnsi="Palatino Linotype" w:cs="Arial"/>
          <w:color w:val="000000"/>
          <w:sz w:val="24"/>
          <w:szCs w:val="24"/>
          <w:lang w:eastAsia="es-MX"/>
        </w:rPr>
        <w:t>gosto</w:t>
      </w:r>
      <w:r w:rsidR="000F13C3" w:rsidRPr="00230EC8">
        <w:rPr>
          <w:rFonts w:ascii="Palatino Linotype" w:eastAsia="Times New Roman" w:hAnsi="Palatino Linotype" w:cs="Arial"/>
          <w:color w:val="000000"/>
          <w:sz w:val="24"/>
          <w:szCs w:val="24"/>
          <w:lang w:eastAsia="es-MX"/>
        </w:rPr>
        <w:t xml:space="preserve"> de dos mil veinte.</w:t>
      </w:r>
      <w:r w:rsidR="000F13C3">
        <w:rPr>
          <w:rFonts w:ascii="Palatino Linotype" w:eastAsia="Times New Roman" w:hAnsi="Palatino Linotype" w:cs="Arial"/>
          <w:color w:val="000000"/>
          <w:sz w:val="24"/>
          <w:szCs w:val="24"/>
          <w:lang w:eastAsia="es-MX"/>
        </w:rPr>
        <w:t xml:space="preserve"> </w:t>
      </w:r>
      <w:r w:rsidR="008112F7">
        <w:rPr>
          <w:rFonts w:ascii="Palatino Linotype" w:eastAsia="Times New Roman" w:hAnsi="Palatino Linotype" w:cs="Arial"/>
          <w:color w:val="000000"/>
          <w:sz w:val="24"/>
          <w:szCs w:val="24"/>
          <w:lang w:eastAsia="es-MX"/>
        </w:rPr>
        <w:t xml:space="preserve"> </w:t>
      </w:r>
      <w:r w:rsidR="008D34AC">
        <w:rPr>
          <w:rFonts w:ascii="Palatino Linotype" w:eastAsia="Times New Roman" w:hAnsi="Palatino Linotype" w:cs="Arial"/>
          <w:color w:val="000000"/>
          <w:sz w:val="24"/>
          <w:szCs w:val="24"/>
          <w:lang w:eastAsia="es-MX"/>
        </w:rPr>
        <w:t xml:space="preserve"> </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C39B9E7" w14:textId="3A465C4A" w:rsidR="000F13C3" w:rsidRPr="008112F7" w:rsidRDefault="002E076A" w:rsidP="000F13C3">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8112F7">
        <w:rPr>
          <w:rFonts w:ascii="Palatino Linotype" w:hAnsi="Palatino Linotype" w:cs="Arial"/>
          <w:b/>
          <w:bCs/>
          <w:sz w:val="24"/>
          <w:lang w:eastAsia="es-MX"/>
        </w:rPr>
        <w:t>0</w:t>
      </w:r>
      <w:r w:rsidR="000F13C3">
        <w:rPr>
          <w:rFonts w:ascii="Palatino Linotype" w:hAnsi="Palatino Linotype" w:cs="Arial"/>
          <w:b/>
          <w:bCs/>
          <w:sz w:val="24"/>
          <w:lang w:eastAsia="es-MX"/>
        </w:rPr>
        <w:t>1055</w:t>
      </w:r>
      <w:r w:rsidR="008112F7">
        <w:rPr>
          <w:rFonts w:ascii="Palatino Linotype" w:hAnsi="Palatino Linotype" w:cs="Arial"/>
          <w:b/>
          <w:bCs/>
          <w:sz w:val="24"/>
          <w:lang w:eastAsia="es-MX"/>
        </w:rPr>
        <w:t>/INFOEM/IP/RR/2020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0F13C3">
        <w:rPr>
          <w:rFonts w:ascii="Palatino Linotype" w:hAnsi="Palatino Linotype" w:cs="Arial"/>
          <w:sz w:val="24"/>
          <w:szCs w:val="24"/>
        </w:rPr>
        <w:t xml:space="preserve">el </w:t>
      </w:r>
      <w:r w:rsidR="000F13C3">
        <w:rPr>
          <w:rFonts w:ascii="Palatino Linotype" w:hAnsi="Palatino Linotype" w:cs="Arial"/>
          <w:b/>
          <w:bCs/>
          <w:sz w:val="24"/>
          <w:szCs w:val="24"/>
        </w:rPr>
        <w:t xml:space="preserve">C. </w:t>
      </w:r>
      <w:r w:rsidR="008773EB">
        <w:rPr>
          <w:rFonts w:ascii="Palatino Linotype" w:hAnsi="Palatino Linotype" w:cs="Arial"/>
          <w:b/>
          <w:bCs/>
          <w:sz w:val="24"/>
          <w:szCs w:val="24"/>
        </w:rPr>
        <w:t>XXXXXXXXXXXXXXXXXXX</w:t>
      </w:r>
      <w:r w:rsidR="000F13C3">
        <w:rPr>
          <w:rFonts w:ascii="Palatino Linotype" w:hAnsi="Palatino Linotype" w:cs="Arial"/>
          <w:b/>
          <w:bCs/>
          <w:sz w:val="24"/>
          <w:szCs w:val="24"/>
        </w:rPr>
        <w:t xml:space="preserve"> </w:t>
      </w:r>
      <w:r w:rsidR="008773EB">
        <w:rPr>
          <w:rFonts w:ascii="Palatino Linotype" w:hAnsi="Palatino Linotype" w:cs="Arial"/>
          <w:b/>
          <w:bCs/>
          <w:sz w:val="24"/>
          <w:szCs w:val="24"/>
        </w:rPr>
        <w:t>XXXXXXXXXX</w:t>
      </w:r>
      <w:r w:rsidR="000F13C3">
        <w:rPr>
          <w:rFonts w:ascii="Palatino Linotype" w:hAnsi="Palatino Linotype" w:cs="Arial"/>
          <w:b/>
          <w:bCs/>
          <w:sz w:val="24"/>
          <w:szCs w:val="24"/>
        </w:rPr>
        <w:t xml:space="preserve">, </w:t>
      </w:r>
      <w:r w:rsidR="000F13C3">
        <w:rPr>
          <w:rFonts w:ascii="Palatino Linotype" w:hAnsi="Palatino Linotype" w:cs="Arial"/>
          <w:sz w:val="24"/>
          <w:szCs w:val="24"/>
        </w:rPr>
        <w:t xml:space="preserve">en lo subsecuente </w:t>
      </w:r>
      <w:r w:rsidR="000F13C3">
        <w:rPr>
          <w:rFonts w:ascii="Palatino Linotype" w:hAnsi="Palatino Linotype" w:cs="Arial"/>
          <w:b/>
          <w:bCs/>
          <w:sz w:val="24"/>
          <w:szCs w:val="24"/>
        </w:rPr>
        <w:t xml:space="preserve">El </w:t>
      </w:r>
      <w:r w:rsidR="00650CFA">
        <w:rPr>
          <w:rFonts w:ascii="Palatino Linotype" w:hAnsi="Palatino Linotype" w:cs="Arial"/>
          <w:b/>
          <w:bCs/>
          <w:sz w:val="24"/>
          <w:szCs w:val="24"/>
        </w:rPr>
        <w:t xml:space="preserve">Recurrente, </w:t>
      </w:r>
      <w:r w:rsidR="00650CFA" w:rsidRPr="00650CFA">
        <w:rPr>
          <w:rFonts w:ascii="Palatino Linotype" w:hAnsi="Palatino Linotype" w:cs="Arial"/>
          <w:sz w:val="24"/>
          <w:szCs w:val="24"/>
        </w:rPr>
        <w:t>en</w:t>
      </w:r>
      <w:r w:rsidR="000F13C3">
        <w:rPr>
          <w:rFonts w:ascii="Palatino Linotype" w:hAnsi="Palatino Linotype" w:cs="Arial"/>
          <w:sz w:val="24"/>
          <w:szCs w:val="24"/>
        </w:rPr>
        <w:t xml:space="preserve"> contra de la respuesta del </w:t>
      </w:r>
      <w:r w:rsidR="000F13C3">
        <w:rPr>
          <w:rFonts w:ascii="Palatino Linotype" w:hAnsi="Palatino Linotype" w:cs="Arial"/>
          <w:b/>
          <w:bCs/>
          <w:sz w:val="24"/>
          <w:szCs w:val="24"/>
        </w:rPr>
        <w:t xml:space="preserve">Ayuntamiento de Atizapán de Zaragoza, </w:t>
      </w:r>
      <w:r w:rsidR="000F13C3">
        <w:rPr>
          <w:rFonts w:ascii="Palatino Linotype" w:hAnsi="Palatino Linotype" w:cs="Arial"/>
          <w:sz w:val="24"/>
          <w:szCs w:val="24"/>
        </w:rPr>
        <w:t xml:space="preserve">en lo subsecuente </w:t>
      </w:r>
      <w:r w:rsidR="000F13C3">
        <w:rPr>
          <w:rFonts w:ascii="Palatino Linotype" w:hAnsi="Palatino Linotype" w:cs="Arial"/>
          <w:b/>
          <w:sz w:val="24"/>
          <w:szCs w:val="24"/>
        </w:rPr>
        <w:t xml:space="preserve">El Sujeto Obligado, </w:t>
      </w:r>
      <w:r w:rsidR="000F13C3">
        <w:rPr>
          <w:rFonts w:ascii="Palatino Linotype" w:hAnsi="Palatino Linotype" w:cs="Arial"/>
          <w:sz w:val="24"/>
          <w:szCs w:val="24"/>
        </w:rPr>
        <w:t xml:space="preserve">se procede a dictar la presente resolución. </w:t>
      </w:r>
    </w:p>
    <w:p w14:paraId="0B3BBD6F" w14:textId="77777777" w:rsidR="008112F7" w:rsidRDefault="008112F7" w:rsidP="00C20A86">
      <w:pPr>
        <w:tabs>
          <w:tab w:val="left" w:pos="1701"/>
        </w:tabs>
        <w:spacing w:before="240" w:line="360" w:lineRule="auto"/>
        <w:jc w:val="both"/>
        <w:rPr>
          <w:rFonts w:ascii="Palatino Linotype" w:hAnsi="Palatino Linotype" w:cs="Arial"/>
          <w:sz w:val="24"/>
          <w:szCs w:val="24"/>
        </w:rPr>
      </w:pPr>
    </w:p>
    <w:p w14:paraId="0DDEFEA7"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EDC1067"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92296C8" w14:textId="1052E68D" w:rsidR="000F13C3" w:rsidRPr="00406203"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F13C3">
        <w:rPr>
          <w:rFonts w:ascii="Palatino Linotype" w:hAnsi="Palatino Linotype" w:cs="Arial"/>
          <w:sz w:val="24"/>
        </w:rPr>
        <w:t xml:space="preserve">veintiuno de enero de dos mil veinte, </w:t>
      </w:r>
      <w:r w:rsidR="000F13C3">
        <w:rPr>
          <w:rFonts w:ascii="Palatino Linotype" w:hAnsi="Palatino Linotype" w:cs="Arial"/>
          <w:b/>
          <w:bCs/>
          <w:sz w:val="24"/>
        </w:rPr>
        <w:t xml:space="preserve">El Recurrente, </w:t>
      </w:r>
      <w:r w:rsidR="00406203">
        <w:rPr>
          <w:rFonts w:ascii="Palatino Linotype" w:hAnsi="Palatino Linotype" w:cs="Arial"/>
          <w:sz w:val="24"/>
        </w:rPr>
        <w:t>presentó a través del Sistema de Acceso a la Información Mexiquense (</w:t>
      </w:r>
      <w:r w:rsidR="00406203">
        <w:rPr>
          <w:rFonts w:ascii="Palatino Linotype" w:hAnsi="Palatino Linotype" w:cs="Arial"/>
          <w:b/>
          <w:sz w:val="24"/>
        </w:rPr>
        <w:t>SAIMEX)</w:t>
      </w:r>
      <w:r w:rsidR="00406203">
        <w:rPr>
          <w:rFonts w:ascii="Palatino Linotype" w:hAnsi="Palatino Linotype" w:cs="Arial"/>
          <w:sz w:val="24"/>
        </w:rPr>
        <w:t xml:space="preserve"> ante </w:t>
      </w:r>
      <w:r w:rsidR="00406203">
        <w:rPr>
          <w:rFonts w:ascii="Palatino Linotype" w:hAnsi="Palatino Linotype" w:cs="Arial"/>
          <w:b/>
          <w:sz w:val="24"/>
        </w:rPr>
        <w:t>El Sujeto Obligado</w:t>
      </w:r>
      <w:r w:rsidR="00406203">
        <w:rPr>
          <w:rFonts w:ascii="Palatino Linotype" w:hAnsi="Palatino Linotype" w:cs="Arial"/>
          <w:sz w:val="24"/>
        </w:rPr>
        <w:t xml:space="preserve">, solicitud de acceso a la información pública, registrada bajo el número de expediente </w:t>
      </w:r>
      <w:r w:rsidR="00406203">
        <w:rPr>
          <w:rFonts w:ascii="Palatino Linotype" w:hAnsi="Palatino Linotype" w:cs="Arial"/>
          <w:b/>
          <w:bCs/>
          <w:sz w:val="24"/>
        </w:rPr>
        <w:t xml:space="preserve">00043/ATIZARA/IP/2020, </w:t>
      </w:r>
      <w:r w:rsidR="00406203">
        <w:rPr>
          <w:rFonts w:ascii="Palatino Linotype" w:hAnsi="Palatino Linotype" w:cs="Arial"/>
          <w:sz w:val="24"/>
        </w:rPr>
        <w:t xml:space="preserve">mediante la cual solicitó información en el tenor siguiente: </w:t>
      </w:r>
    </w:p>
    <w:p w14:paraId="317B43EF" w14:textId="6706A1D9" w:rsidR="000F13C3" w:rsidRPr="00406203" w:rsidRDefault="00406203" w:rsidP="00406203">
      <w:pPr>
        <w:spacing w:before="240" w:line="360" w:lineRule="auto"/>
        <w:ind w:left="851" w:right="851"/>
        <w:jc w:val="both"/>
        <w:rPr>
          <w:rFonts w:ascii="Palatino Linotype" w:hAnsi="Palatino Linotype" w:cs="Arial"/>
          <w:b/>
          <w:bCs/>
          <w:i/>
          <w:iCs/>
        </w:rPr>
      </w:pPr>
      <w:r w:rsidRPr="00406203">
        <w:rPr>
          <w:rFonts w:ascii="Palatino Linotype" w:hAnsi="Palatino Linotype"/>
          <w:i/>
          <w:iCs/>
        </w:rPr>
        <w:t xml:space="preserve">“Requiero copia electrónica Vía SAIMEX de los documentos que contengan la información de la construcción del puente vehicular que se construye a partir del mes de noviembre de 2019 entre las calles Avenida de la hacienda calzada san mateo Boulevard lomas de la hacienda respecto a: -Bases de la licitación o adjudicación </w:t>
      </w:r>
      <w:r w:rsidRPr="00406203">
        <w:rPr>
          <w:rFonts w:ascii="Palatino Linotype" w:hAnsi="Palatino Linotype"/>
          <w:i/>
          <w:iCs/>
        </w:rPr>
        <w:lastRenderedPageBreak/>
        <w:t xml:space="preserve">directa COMPLETO -Contrato de la construcción con los responsables de ella COMPLETO -Convenio de colaboración de los sindicatos para la construcción del puente COMPLETO -Estudio de impacto ambiental o mención de la dependencia que lo resguarda de manera COMPLETA -Resolutivo del impacto ambiental -Acuerdo 0141/CTATIZARA/2019-2021 COMPLETO” </w:t>
      </w:r>
      <w:r w:rsidRPr="00406203">
        <w:rPr>
          <w:rFonts w:ascii="Palatino Linotype" w:hAnsi="Palatino Linotype"/>
          <w:b/>
          <w:bCs/>
          <w:i/>
          <w:iCs/>
        </w:rPr>
        <w:t>[Sic]</w:t>
      </w:r>
    </w:p>
    <w:p w14:paraId="7BFAD9D3"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61836744" w14:textId="77777777" w:rsidR="006300AF" w:rsidRDefault="006300AF" w:rsidP="00B433C9">
      <w:pPr>
        <w:spacing w:before="240" w:line="360" w:lineRule="auto"/>
        <w:jc w:val="both"/>
        <w:rPr>
          <w:rFonts w:ascii="Palatino Linotype" w:hAnsi="Palatino Linotype" w:cs="Arial"/>
          <w:sz w:val="24"/>
        </w:rPr>
      </w:pPr>
    </w:p>
    <w:p w14:paraId="091D8009" w14:textId="77777777" w:rsidR="00B433C9" w:rsidRDefault="008112F7" w:rsidP="00B433C9">
      <w:pPr>
        <w:spacing w:before="240" w:line="360" w:lineRule="auto"/>
        <w:jc w:val="both"/>
        <w:rPr>
          <w:rFonts w:ascii="Palatino Linotype" w:hAnsi="Palatino Linotype" w:cs="Arial"/>
          <w:b/>
          <w:sz w:val="28"/>
        </w:rPr>
      </w:pPr>
      <w:r>
        <w:rPr>
          <w:rFonts w:ascii="Palatino Linotype" w:hAnsi="Palatino Linotype" w:cs="Arial"/>
          <w:b/>
          <w:sz w:val="28"/>
        </w:rPr>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38BAF5CA" w14:textId="77777777" w:rsidR="00406203" w:rsidRDefault="00B433C9" w:rsidP="004062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32985">
        <w:rPr>
          <w:rFonts w:ascii="Palatino Linotype" w:hAnsi="Palatino Linotype" w:cs="Arial"/>
          <w:sz w:val="24"/>
          <w:szCs w:val="24"/>
        </w:rPr>
        <w:t xml:space="preserve"> </w:t>
      </w:r>
      <w:r w:rsidR="00406203">
        <w:rPr>
          <w:rFonts w:ascii="Palatino Linotype" w:hAnsi="Palatino Linotype" w:cs="Arial"/>
          <w:sz w:val="24"/>
          <w:szCs w:val="24"/>
        </w:rPr>
        <w:t xml:space="preserve">doce de febrero de dos mil veinte, </w:t>
      </w:r>
      <w:r w:rsidR="00406203">
        <w:rPr>
          <w:rFonts w:ascii="Palatino Linotype" w:hAnsi="Palatino Linotype" w:cs="Arial"/>
          <w:b/>
          <w:bCs/>
          <w:sz w:val="24"/>
          <w:szCs w:val="24"/>
        </w:rPr>
        <w:t xml:space="preserve">El Sujeto Obligado </w:t>
      </w:r>
      <w:r w:rsidR="00406203">
        <w:rPr>
          <w:rFonts w:ascii="Palatino Linotype" w:hAnsi="Palatino Linotype" w:cs="Arial"/>
          <w:sz w:val="24"/>
          <w:szCs w:val="24"/>
        </w:rPr>
        <w:t xml:space="preserve">dio respuesta a la solicitud de información en los siguientes términos: </w:t>
      </w:r>
    </w:p>
    <w:p w14:paraId="111FCC5A" w14:textId="23D56600" w:rsidR="00406203" w:rsidRPr="00406203" w:rsidRDefault="00406203" w:rsidP="00406203">
      <w:pPr>
        <w:spacing w:before="240" w:line="360" w:lineRule="auto"/>
        <w:ind w:left="851" w:right="851"/>
        <w:jc w:val="both"/>
        <w:rPr>
          <w:rFonts w:ascii="Palatino Linotype" w:eastAsia="Times New Roman" w:hAnsi="Palatino Linotype" w:cs="Times New Roman"/>
          <w:i/>
          <w:iCs/>
        </w:rPr>
      </w:pPr>
      <w:r w:rsidRPr="00406203">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018793" w14:textId="4DBCABCC" w:rsidR="00406203" w:rsidRPr="00406203" w:rsidRDefault="00406203" w:rsidP="00406203">
      <w:pPr>
        <w:spacing w:before="240" w:line="360" w:lineRule="auto"/>
        <w:ind w:left="851" w:right="851"/>
        <w:jc w:val="both"/>
        <w:rPr>
          <w:rFonts w:ascii="Palatino Linotype" w:hAnsi="Palatino Linotype" w:cs="Arial"/>
          <w:b/>
          <w:bCs/>
          <w:i/>
          <w:iCs/>
        </w:rPr>
      </w:pPr>
      <w:r w:rsidRPr="00406203">
        <w:rPr>
          <w:rFonts w:ascii="Palatino Linotype" w:eastAsia="Times New Roman" w:hAnsi="Palatino Linotype" w:cs="Times New Roman"/>
          <w:i/>
          <w:iCs/>
        </w:rPr>
        <w:t xml:space="preserve">En atención a la solicitud de información, se informa lo siguiente: (se anexa respuesta)” </w:t>
      </w:r>
      <w:r w:rsidRPr="00406203">
        <w:rPr>
          <w:rFonts w:ascii="Palatino Linotype" w:eastAsia="Times New Roman" w:hAnsi="Palatino Linotype" w:cs="Times New Roman"/>
          <w:b/>
          <w:bCs/>
          <w:i/>
          <w:iCs/>
        </w:rPr>
        <w:t xml:space="preserve">[Sic] </w:t>
      </w:r>
    </w:p>
    <w:p w14:paraId="77E7F308" w14:textId="51F42761" w:rsidR="00406203" w:rsidRDefault="00406203" w:rsidP="00B433C9">
      <w:pPr>
        <w:spacing w:before="240" w:line="360" w:lineRule="auto"/>
        <w:jc w:val="both"/>
        <w:rPr>
          <w:rFonts w:ascii="Palatino Linotype" w:hAnsi="Palatino Linotype" w:cs="Arial"/>
          <w:sz w:val="24"/>
          <w:szCs w:val="24"/>
        </w:rPr>
      </w:pPr>
    </w:p>
    <w:p w14:paraId="1E97889C" w14:textId="1738A732" w:rsidR="00406203" w:rsidRPr="00406203" w:rsidRDefault="00406203"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bCs/>
          <w:sz w:val="24"/>
          <w:szCs w:val="24"/>
        </w:rPr>
        <w:t xml:space="preserve">“Respuesta 043.pdf”, </w:t>
      </w:r>
      <w:r>
        <w:rPr>
          <w:rFonts w:ascii="Palatino Linotype" w:hAnsi="Palatino Linotype" w:cs="Arial"/>
          <w:sz w:val="24"/>
          <w:szCs w:val="24"/>
        </w:rPr>
        <w:t xml:space="preserve">mismo que se tiene por reproducido en virtud de que será materia de análisis en el considerando respectivo. </w:t>
      </w:r>
    </w:p>
    <w:p w14:paraId="23C48872" w14:textId="77777777" w:rsidR="008112F7" w:rsidRDefault="008112F7" w:rsidP="008112F7">
      <w:pPr>
        <w:spacing w:before="240" w:line="360" w:lineRule="auto"/>
        <w:jc w:val="both"/>
        <w:rPr>
          <w:rFonts w:ascii="Palatino Linotype" w:hAnsi="Palatino Linotype" w:cs="Arial"/>
          <w:b/>
          <w:sz w:val="24"/>
          <w:szCs w:val="24"/>
        </w:rPr>
      </w:pPr>
    </w:p>
    <w:p w14:paraId="45B3480B" w14:textId="77777777" w:rsidR="00B433C9" w:rsidRDefault="008112F7"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76D9DED" w14:textId="655B32A7" w:rsidR="00406203" w:rsidRPr="00406203"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406203">
        <w:rPr>
          <w:rFonts w:ascii="Palatino Linotype" w:hAnsi="Palatino Linotype" w:cs="Arial"/>
          <w:sz w:val="24"/>
          <w:szCs w:val="24"/>
        </w:rPr>
        <w:t xml:space="preserve">diecisiete de febrero del presente, el cual fue registrado en el sistema electrónico con el expediente número </w:t>
      </w:r>
      <w:r w:rsidR="00406203">
        <w:rPr>
          <w:rFonts w:ascii="Palatino Linotype" w:hAnsi="Palatino Linotype" w:cs="Arial"/>
          <w:b/>
          <w:bCs/>
          <w:sz w:val="24"/>
          <w:szCs w:val="24"/>
        </w:rPr>
        <w:t xml:space="preserve">01055/INFOEM/IP/RR/2020, </w:t>
      </w:r>
      <w:r w:rsidR="00406203">
        <w:rPr>
          <w:rFonts w:ascii="Palatino Linotype" w:hAnsi="Palatino Linotype" w:cs="Arial"/>
          <w:sz w:val="24"/>
          <w:szCs w:val="24"/>
        </w:rPr>
        <w:t xml:space="preserve">en el cual arguye las siguientes manifestaciones: </w:t>
      </w:r>
    </w:p>
    <w:p w14:paraId="63B8141A" w14:textId="77777777" w:rsidR="0053191B" w:rsidRPr="0053191B" w:rsidRDefault="0053191B" w:rsidP="00C20A86">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27E81EB6" w14:textId="1F52C92C" w:rsidR="0053191B" w:rsidRPr="00406203" w:rsidRDefault="001E14F4" w:rsidP="0053191B">
      <w:pPr>
        <w:spacing w:before="240" w:line="360" w:lineRule="auto"/>
        <w:ind w:left="851" w:right="851"/>
        <w:jc w:val="both"/>
        <w:rPr>
          <w:rFonts w:ascii="Palatino Linotype" w:hAnsi="Palatino Linotype"/>
          <w:b/>
          <w:i/>
          <w:color w:val="000000"/>
        </w:rPr>
      </w:pPr>
      <w:r w:rsidRPr="00406203">
        <w:rPr>
          <w:rFonts w:ascii="Palatino Linotype" w:hAnsi="Palatino Linotype"/>
          <w:i/>
          <w:color w:val="000000"/>
        </w:rPr>
        <w:t>“</w:t>
      </w:r>
      <w:r w:rsidR="00406203" w:rsidRPr="00406203">
        <w:rPr>
          <w:rFonts w:ascii="Palatino Linotype" w:hAnsi="Palatino Linotype"/>
          <w:i/>
        </w:rPr>
        <w:t>Requiero copia electrónica Vía SAIMEX de los documentos que contengan la información de la construcción del puente vehicular que se construye a partir del mes de noviembre de 2019 entre las calles Avenida de la hacienda calzada san mateo Boulevard lomas de la hacienda respecto a: -Bases de la licitación o adjudicación directa COMPLETO -Contrato de la construcción con los responsables de ella COMPLETO -Convenio de colaboración de los sindicatos para la construcción del puente COMPLETO -Estudio de impacto ambiental o mención de la dependencia que lo resguarda de manera COMPLETA -Resolutivo del impacto ambiental -Acuerdo 0141/CTATIZARA/2019-2021 COMPLETO</w:t>
      </w:r>
      <w:r w:rsidR="0053191B" w:rsidRPr="00406203">
        <w:rPr>
          <w:rFonts w:ascii="Palatino Linotype" w:hAnsi="Palatino Linotype"/>
          <w:i/>
          <w:color w:val="000000"/>
        </w:rPr>
        <w:t xml:space="preserve">” </w:t>
      </w:r>
      <w:r w:rsidR="0053191B" w:rsidRPr="00406203">
        <w:rPr>
          <w:rFonts w:ascii="Palatino Linotype" w:hAnsi="Palatino Linotype"/>
          <w:b/>
          <w:i/>
          <w:color w:val="000000"/>
        </w:rPr>
        <w:t>[Sic]</w:t>
      </w:r>
    </w:p>
    <w:p w14:paraId="0EEEE9DD" w14:textId="77777777" w:rsidR="005A760E" w:rsidRPr="001E14F4" w:rsidRDefault="005A760E" w:rsidP="0053191B">
      <w:pPr>
        <w:spacing w:before="240" w:line="360" w:lineRule="auto"/>
        <w:ind w:left="851" w:right="851"/>
        <w:jc w:val="both"/>
        <w:rPr>
          <w:rFonts w:ascii="Palatino Linotype" w:hAnsi="Palatino Linotype" w:cs="Arial"/>
          <w:b/>
          <w:i/>
        </w:rPr>
      </w:pPr>
    </w:p>
    <w:p w14:paraId="7E8E6A2B"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8BFE3D" w14:textId="207349C0" w:rsidR="00B433C9" w:rsidRPr="00406203" w:rsidRDefault="00B433C9" w:rsidP="001E14F4">
      <w:pPr>
        <w:spacing w:before="240" w:line="360" w:lineRule="auto"/>
        <w:ind w:left="851" w:right="851"/>
        <w:jc w:val="both"/>
        <w:rPr>
          <w:rFonts w:ascii="Palatino Linotype" w:hAnsi="Palatino Linotype" w:cs="Arial"/>
          <w:i/>
        </w:rPr>
      </w:pPr>
      <w:r w:rsidRPr="00406203">
        <w:rPr>
          <w:rFonts w:ascii="Palatino Linotype" w:hAnsi="Palatino Linotype" w:cs="Arial"/>
          <w:i/>
        </w:rPr>
        <w:lastRenderedPageBreak/>
        <w:t>“</w:t>
      </w:r>
      <w:r w:rsidR="00406203" w:rsidRPr="00406203">
        <w:rPr>
          <w:rFonts w:ascii="Palatino Linotype" w:hAnsi="Palatino Linotype"/>
          <w:i/>
        </w:rPr>
        <w:t>La información en copia electrónica "vía SAIMEX" no fue enviada conforme fue solicitada: 1) NO se recibió el archivo digital de: -Bases de la licitación o adjudicación directa COMPLETO; -Contrato de la construcción con los responsables de ella COMPLETO -Convenio de colaboración de los sindicatos para la construcción del puente COMPLETO Por considerarse temas de seguridad nacional (SIC) 2) NO se recibió el archivo digital del Acuerdo 0141/CTATIZARA/2019-2021 "COMPLETO" 3) NO se recibió el archivo digital del Resolutivo del impacto ambiental ya que SOLICITAN que se presente en el municipio a recogerlo y no por la vía solicitada 4) NO se dio respuesta a la dependencia encargada de resguarda de manera COMPLETA "Estudio de impacto ambiental"</w:t>
      </w:r>
      <w:r w:rsidRPr="00406203">
        <w:rPr>
          <w:rFonts w:ascii="Palatino Linotype" w:hAnsi="Palatino Linotype" w:cs="Arial"/>
          <w:i/>
        </w:rPr>
        <w:t xml:space="preserve">” </w:t>
      </w:r>
      <w:r w:rsidRPr="00406203">
        <w:rPr>
          <w:rFonts w:ascii="Palatino Linotype" w:hAnsi="Palatino Linotype" w:cs="Arial"/>
          <w:b/>
          <w:i/>
        </w:rPr>
        <w:t>[Sic]</w:t>
      </w:r>
    </w:p>
    <w:p w14:paraId="6DA5457F" w14:textId="77777777" w:rsidR="001E14F4" w:rsidRDefault="001E14F4" w:rsidP="001E14F4">
      <w:pPr>
        <w:spacing w:before="240" w:line="360" w:lineRule="auto"/>
        <w:ind w:right="851"/>
        <w:jc w:val="both"/>
        <w:rPr>
          <w:rFonts w:ascii="Palatino Linotype" w:hAnsi="Palatino Linotype" w:cs="Arial"/>
          <w:i/>
        </w:rPr>
      </w:pPr>
    </w:p>
    <w:p w14:paraId="65839378" w14:textId="77777777" w:rsidR="00B433C9" w:rsidRDefault="001E14F4"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03BD59BC" w14:textId="2D364B61"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8251C">
        <w:rPr>
          <w:rFonts w:ascii="Palatino Linotype" w:hAnsi="Palatino Linotype" w:cs="Arial"/>
          <w:sz w:val="24"/>
          <w:szCs w:val="24"/>
        </w:rPr>
        <w:t>veintiuno de febrero</w:t>
      </w:r>
      <w:r w:rsidR="001E14F4">
        <w:rPr>
          <w:rFonts w:ascii="Palatino Linotype" w:hAnsi="Palatino Linotype" w:cs="Arial"/>
          <w:sz w:val="24"/>
          <w:szCs w:val="24"/>
        </w:rPr>
        <w:t xml:space="preserve"> del presente</w:t>
      </w:r>
      <w:r w:rsidR="00712E3A">
        <w:rPr>
          <w:rFonts w:ascii="Palatino Linotype" w:hAnsi="Palatino Linotype" w:cs="Arial"/>
          <w:sz w:val="24"/>
          <w:szCs w:val="24"/>
        </w:rPr>
        <w:t>, determinándose en él, un plazo de siete días para que las partes manifestaran lo que a su derecho corresponda en términos del numeral ya citado.</w:t>
      </w:r>
    </w:p>
    <w:p w14:paraId="12282D6F" w14:textId="77777777" w:rsidR="00CE6269" w:rsidRDefault="00CE6269" w:rsidP="00712E3A">
      <w:pPr>
        <w:spacing w:before="240" w:line="360" w:lineRule="auto"/>
        <w:jc w:val="both"/>
        <w:rPr>
          <w:rFonts w:ascii="Palatino Linotype" w:hAnsi="Palatino Linotype" w:cs="Arial"/>
          <w:sz w:val="24"/>
          <w:szCs w:val="24"/>
        </w:rPr>
      </w:pPr>
    </w:p>
    <w:p w14:paraId="2A63AE47" w14:textId="77777777" w:rsidR="00B433C9" w:rsidRDefault="001E14F4"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5F39E394" w14:textId="5CBAFF7E" w:rsidR="0088251C" w:rsidRPr="0088251C" w:rsidRDefault="0053191B" w:rsidP="0053191B">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el </w:t>
      </w:r>
      <w:r w:rsidR="0088251C">
        <w:rPr>
          <w:rFonts w:ascii="Palatino Linotype" w:hAnsi="Palatino Linotype" w:cs="Arial"/>
          <w:sz w:val="24"/>
          <w:szCs w:val="24"/>
        </w:rPr>
        <w:t>veintiséis de febrero</w:t>
      </w:r>
      <w:r w:rsidR="001E14F4">
        <w:rPr>
          <w:rFonts w:ascii="Palatino Linotype" w:hAnsi="Palatino Linotype" w:cs="Arial"/>
          <w:sz w:val="24"/>
          <w:szCs w:val="24"/>
        </w:rPr>
        <w:t xml:space="preserve"> del presente, mismo que fue puesto a la vista de</w:t>
      </w:r>
      <w:r w:rsidR="0088251C">
        <w:rPr>
          <w:rFonts w:ascii="Palatino Linotype" w:hAnsi="Palatino Linotype" w:cs="Arial"/>
          <w:sz w:val="24"/>
          <w:szCs w:val="24"/>
        </w:rPr>
        <w:t>l</w:t>
      </w:r>
      <w:r w:rsidR="001E14F4">
        <w:rPr>
          <w:rFonts w:ascii="Palatino Linotype" w:hAnsi="Palatino Linotype" w:cs="Arial"/>
          <w:b/>
          <w:sz w:val="24"/>
          <w:szCs w:val="24"/>
        </w:rPr>
        <w:t xml:space="preserve"> Recurrente </w:t>
      </w:r>
      <w:r w:rsidR="001E14F4">
        <w:rPr>
          <w:rFonts w:ascii="Palatino Linotype" w:hAnsi="Palatino Linotype" w:cs="Arial"/>
          <w:sz w:val="24"/>
          <w:szCs w:val="24"/>
        </w:rPr>
        <w:t xml:space="preserve">en fecha </w:t>
      </w:r>
      <w:r w:rsidR="0088251C">
        <w:rPr>
          <w:rFonts w:ascii="Palatino Linotype" w:hAnsi="Palatino Linotype" w:cs="Arial"/>
          <w:sz w:val="24"/>
          <w:szCs w:val="24"/>
        </w:rPr>
        <w:t xml:space="preserve">cinco de marzo del año en curso. Por su parte, </w:t>
      </w:r>
      <w:r w:rsidR="0088251C">
        <w:rPr>
          <w:rFonts w:ascii="Palatino Linotype" w:hAnsi="Palatino Linotype" w:cs="Arial"/>
          <w:b/>
          <w:bCs/>
          <w:sz w:val="24"/>
          <w:szCs w:val="24"/>
        </w:rPr>
        <w:t xml:space="preserve">El Recurrente </w:t>
      </w:r>
      <w:r w:rsidR="0088251C">
        <w:rPr>
          <w:rFonts w:ascii="Palatino Linotype" w:hAnsi="Palatino Linotype" w:cs="Arial"/>
          <w:sz w:val="24"/>
          <w:szCs w:val="24"/>
        </w:rPr>
        <w:t xml:space="preserve">rindió las manifestaciones estimadas pertinentes en fecha cinco de marzo del dos mil veinte. </w:t>
      </w:r>
    </w:p>
    <w:p w14:paraId="1E2C3F99" w14:textId="33031320" w:rsidR="0053191B" w:rsidRDefault="0053191B" w:rsidP="0053191B">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88251C">
        <w:rPr>
          <w:rFonts w:ascii="Palatino Linotype" w:hAnsi="Palatino Linotype" w:cs="Arial"/>
          <w:b/>
          <w:sz w:val="24"/>
          <w:szCs w:val="24"/>
        </w:rPr>
        <w:t xml:space="preserve">diecisiete de marzo </w:t>
      </w:r>
      <w:r w:rsidRPr="003D0B57">
        <w:rPr>
          <w:rFonts w:ascii="Palatino Linotype" w:hAnsi="Palatino Linotype" w:cs="Arial"/>
          <w:b/>
          <w:sz w:val="24"/>
          <w:szCs w:val="24"/>
        </w:rPr>
        <w:t>de los corrientes,</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20C49B7B" w14:textId="77777777" w:rsidR="00712E3A" w:rsidRDefault="00712E3A" w:rsidP="003A6975">
      <w:pPr>
        <w:spacing w:before="240" w:line="360" w:lineRule="auto"/>
        <w:jc w:val="both"/>
        <w:rPr>
          <w:rFonts w:ascii="Palatino Linotype" w:hAnsi="Palatino Linotype" w:cs="Arial"/>
          <w:sz w:val="24"/>
          <w:szCs w:val="24"/>
        </w:rPr>
      </w:pPr>
    </w:p>
    <w:p w14:paraId="318D8072" w14:textId="77777777" w:rsidR="006168E4" w:rsidRDefault="00FC16E9"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1C856930"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5210CC3" w14:textId="37D7B9B9" w:rsidR="000020BC" w:rsidRPr="008F797B" w:rsidRDefault="000020BC" w:rsidP="000020B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1E14F4">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A0553E">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1FF362C4" w14:textId="77777777" w:rsidR="003D53AD" w:rsidRPr="008F797B" w:rsidRDefault="003D53AD" w:rsidP="00D51B89">
      <w:pPr>
        <w:spacing w:before="240" w:line="360" w:lineRule="auto"/>
        <w:jc w:val="both"/>
        <w:rPr>
          <w:rFonts w:ascii="Palatino Linotype" w:hAnsi="Palatino Linotype" w:cs="Arial"/>
          <w:sz w:val="24"/>
          <w:szCs w:val="24"/>
        </w:rPr>
      </w:pPr>
    </w:p>
    <w:p w14:paraId="5720CF72"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20C324E1"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96A84C1"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673E916"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27C1A5F8" w14:textId="77777777" w:rsidR="001E14F4" w:rsidRPr="00514E66" w:rsidRDefault="001E14F4" w:rsidP="001E14F4">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B08DEAE" w14:textId="77777777" w:rsidR="001E14F4" w:rsidRDefault="001E14F4" w:rsidP="001E14F4">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2E538CE8" w14:textId="77777777" w:rsidR="00CE6269" w:rsidRDefault="00CE6269" w:rsidP="001E14F4">
      <w:pPr>
        <w:pStyle w:val="Prrafodelista"/>
        <w:autoSpaceDE w:val="0"/>
        <w:autoSpaceDN w:val="0"/>
        <w:adjustRightInd w:val="0"/>
        <w:spacing w:line="360" w:lineRule="auto"/>
        <w:ind w:left="0"/>
        <w:jc w:val="both"/>
        <w:rPr>
          <w:rFonts w:ascii="Palatino Linotype" w:hAnsi="Palatino Linotype" w:cs="Arial"/>
        </w:rPr>
      </w:pPr>
    </w:p>
    <w:p w14:paraId="56517600"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lastRenderedPageBreak/>
        <w:t xml:space="preserve">CUARTO. Estudio y resolución del asunto </w:t>
      </w:r>
    </w:p>
    <w:p w14:paraId="0E28B00D"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9F6923A"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549B0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CD35B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6E9267D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01A6DCC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9709C53"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02A1AC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24EF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2ACFBC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143E02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3FB105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AF6B3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11B210DA"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73D412D"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03FA4E37"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49758FE"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D3DC6EA" w14:textId="77777777" w:rsidR="001E14F4" w:rsidRDefault="001E14F4" w:rsidP="0062497C">
      <w:pPr>
        <w:spacing w:before="240" w:line="360" w:lineRule="auto"/>
        <w:ind w:left="851" w:right="851"/>
        <w:jc w:val="both"/>
        <w:rPr>
          <w:rFonts w:ascii="Palatino Linotype" w:eastAsia="Times New Roman" w:hAnsi="Palatino Linotype" w:cs="Arial"/>
          <w:b/>
          <w:i/>
          <w:lang w:eastAsia="es-ES"/>
        </w:rPr>
      </w:pPr>
    </w:p>
    <w:p w14:paraId="03493C3F" w14:textId="6813328A" w:rsidR="00A0553E" w:rsidRDefault="005A51F9" w:rsidP="005A51F9">
      <w:pPr>
        <w:pStyle w:val="Sinespaciado"/>
        <w:spacing w:line="360" w:lineRule="auto"/>
        <w:jc w:val="both"/>
        <w:rPr>
          <w:rFonts w:ascii="Palatino Linotype" w:hAnsi="Palatino Linotype"/>
          <w:bCs/>
        </w:rPr>
      </w:pPr>
      <w:r>
        <w:rPr>
          <w:rFonts w:ascii="Palatino Linotype" w:hAnsi="Palatino Linotype"/>
        </w:rPr>
        <w:t xml:space="preserve">Una vez sentado lo anterior, en una aproximación inicial, es procedente mencionar que la solicitud de información </w:t>
      </w:r>
      <w:r w:rsidR="00A0553E">
        <w:rPr>
          <w:rFonts w:ascii="Palatino Linotype" w:hAnsi="Palatino Linotype"/>
          <w:b/>
        </w:rPr>
        <w:t xml:space="preserve">00043/ATIZARA/IP/2020 </w:t>
      </w:r>
      <w:r w:rsidR="00A0553E">
        <w:rPr>
          <w:rFonts w:ascii="Palatino Linotype" w:hAnsi="Palatino Linotype"/>
          <w:bCs/>
        </w:rPr>
        <w:t xml:space="preserve">se nutre de </w:t>
      </w:r>
      <w:r w:rsidR="00EE7822" w:rsidRPr="00EE7822">
        <w:rPr>
          <w:rFonts w:ascii="Palatino Linotype" w:hAnsi="Palatino Linotype"/>
          <w:bCs/>
        </w:rPr>
        <w:t>múltiples</w:t>
      </w:r>
      <w:r w:rsidR="00A0553E">
        <w:rPr>
          <w:rFonts w:ascii="Palatino Linotype" w:hAnsi="Palatino Linotype"/>
          <w:b/>
        </w:rPr>
        <w:t xml:space="preserve"> </w:t>
      </w:r>
      <w:r w:rsidR="00A0553E">
        <w:rPr>
          <w:rFonts w:ascii="Palatino Linotype" w:hAnsi="Palatino Linotype"/>
          <w:bCs/>
        </w:rPr>
        <w:t xml:space="preserve">requerimientos, adicionalmente el particular fue omiso en señalar elemento temporal. Consecuentemente, de una interpretación gramatical el elemento temporal debe de ser concebido al veintiuno de enero de dos mil veinte, al corresponder a la fecha en que se ejerció el derecho de acceso a la información pública. </w:t>
      </w:r>
    </w:p>
    <w:p w14:paraId="767C6C56" w14:textId="0E821F14" w:rsidR="00A0553E" w:rsidRPr="00A0553E" w:rsidRDefault="00A0553E" w:rsidP="005A51F9">
      <w:pPr>
        <w:pStyle w:val="Sinespaciado"/>
        <w:spacing w:line="360" w:lineRule="auto"/>
        <w:jc w:val="both"/>
        <w:rPr>
          <w:rFonts w:ascii="Palatino Linotype" w:hAnsi="Palatino Linotype"/>
          <w:bCs/>
        </w:rPr>
      </w:pPr>
    </w:p>
    <w:p w14:paraId="1DBA9491" w14:textId="01CB82F0" w:rsidR="001A6AAB" w:rsidRDefault="00A0553E" w:rsidP="001A6AA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Dicha precisión</w:t>
      </w:r>
      <w:r w:rsidR="001A6AAB">
        <w:rPr>
          <w:rFonts w:ascii="Palatino Linotype" w:eastAsia="Times New Roman" w:hAnsi="Palatino Linotype" w:cs="Times New Roman"/>
          <w:sz w:val="24"/>
          <w:szCs w:val="24"/>
          <w:lang w:eastAsia="es-ES"/>
        </w:rPr>
        <w:t xml:space="preserve"> con fundamento en los artículos 13 y 181 cuarto párrafo de la Ley en materia, normatividad cuyo contenido literal es el siguiente: </w:t>
      </w:r>
    </w:p>
    <w:p w14:paraId="19E23081" w14:textId="77777777" w:rsidR="001A6AAB" w:rsidRPr="00BC704A" w:rsidRDefault="001A6AAB" w:rsidP="001A6AAB">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156B96B0" w14:textId="77777777" w:rsidR="001A6AAB" w:rsidRPr="00BC704A" w:rsidRDefault="001A6AAB" w:rsidP="001A6AAB">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5B809EE6" w14:textId="77777777" w:rsidR="001A6AAB" w:rsidRPr="00BC704A" w:rsidRDefault="001A6AAB" w:rsidP="001A6AAB">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705CC9E6" w14:textId="77777777" w:rsidR="001A6AAB" w:rsidRDefault="001A6AAB" w:rsidP="005A51F9">
      <w:pPr>
        <w:pStyle w:val="Sinespaciado"/>
        <w:spacing w:line="360" w:lineRule="auto"/>
        <w:jc w:val="both"/>
        <w:rPr>
          <w:rFonts w:ascii="Palatino Linotype" w:hAnsi="Palatino Linotype"/>
        </w:rPr>
      </w:pPr>
    </w:p>
    <w:p w14:paraId="32BA6F6C" w14:textId="77777777" w:rsidR="00B46B3D" w:rsidRDefault="001A6AAB" w:rsidP="005A51F9">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w:t>
      </w:r>
      <w:r w:rsidR="00B46B3D">
        <w:rPr>
          <w:rFonts w:ascii="Palatino Linotype" w:hAnsi="Palatino Linotype"/>
        </w:rPr>
        <w:t xml:space="preserve">los requerimientos de la ahora </w:t>
      </w:r>
      <w:r w:rsidR="00B46B3D">
        <w:rPr>
          <w:rFonts w:ascii="Palatino Linotype" w:hAnsi="Palatino Linotype"/>
          <w:b/>
        </w:rPr>
        <w:t xml:space="preserve">Recurrente, </w:t>
      </w:r>
      <w:r w:rsidR="00B46B3D">
        <w:rPr>
          <w:rFonts w:ascii="Palatino Linotype" w:hAnsi="Palatino Linotype"/>
        </w:rPr>
        <w:t xml:space="preserve">de manera objetiva se precisa que versa en conocer la siguiente información: </w:t>
      </w:r>
    </w:p>
    <w:p w14:paraId="78D91031" w14:textId="37C0499C" w:rsidR="00753A43" w:rsidRPr="00753A43" w:rsidRDefault="00753A43" w:rsidP="00753A43">
      <w:pPr>
        <w:autoSpaceDE w:val="0"/>
        <w:autoSpaceDN w:val="0"/>
        <w:adjustRightInd w:val="0"/>
        <w:spacing w:before="240" w:line="360" w:lineRule="auto"/>
        <w:ind w:right="49"/>
        <w:jc w:val="both"/>
        <w:rPr>
          <w:rFonts w:ascii="Palatino Linotype" w:hAnsi="Palatino Linotype" w:cs="Arial"/>
          <w:b/>
          <w:bCs/>
        </w:rPr>
      </w:pPr>
      <w:r w:rsidRPr="00753A43">
        <w:rPr>
          <w:rFonts w:ascii="Palatino Linotype" w:hAnsi="Palatino Linotype" w:cs="Arial"/>
          <w:b/>
          <w:bCs/>
        </w:rPr>
        <w:t>De la obra referida mediante la solicitud de información 00043/ATIZARA/IP/2020</w:t>
      </w:r>
    </w:p>
    <w:p w14:paraId="1465E131" w14:textId="095C454A" w:rsidR="001A6AAB" w:rsidRPr="00753A43" w:rsidRDefault="00EE7822" w:rsidP="00EE7822">
      <w:pPr>
        <w:pStyle w:val="Sinespaciado"/>
        <w:numPr>
          <w:ilvl w:val="0"/>
          <w:numId w:val="20"/>
        </w:numPr>
        <w:spacing w:line="360" w:lineRule="auto"/>
        <w:jc w:val="both"/>
        <w:rPr>
          <w:rFonts w:ascii="Palatino Linotype" w:hAnsi="Palatino Linotype"/>
        </w:rPr>
      </w:pPr>
      <w:r w:rsidRPr="00753A43">
        <w:rPr>
          <w:rFonts w:ascii="Palatino Linotype" w:hAnsi="Palatino Linotype"/>
        </w:rPr>
        <w:t>Bases de la licitación pública o adjudicación directa</w:t>
      </w:r>
      <w:r w:rsidR="006F5C01" w:rsidRPr="00753A43">
        <w:rPr>
          <w:rFonts w:ascii="Palatino Linotype" w:hAnsi="Palatino Linotype"/>
        </w:rPr>
        <w:t xml:space="preserve">, vigente al veintiuno de enero de dos mil veinte. </w:t>
      </w:r>
    </w:p>
    <w:p w14:paraId="378F3F77" w14:textId="77777777" w:rsidR="006611C1" w:rsidRPr="00753A43" w:rsidRDefault="00EE7822" w:rsidP="006611C1">
      <w:pPr>
        <w:pStyle w:val="Sinespaciado"/>
        <w:numPr>
          <w:ilvl w:val="0"/>
          <w:numId w:val="20"/>
        </w:numPr>
        <w:spacing w:line="360" w:lineRule="auto"/>
        <w:jc w:val="both"/>
        <w:rPr>
          <w:rFonts w:ascii="Palatino Linotype" w:hAnsi="Palatino Linotype"/>
        </w:rPr>
      </w:pPr>
      <w:r w:rsidRPr="00753A43">
        <w:rPr>
          <w:rFonts w:ascii="Palatino Linotype" w:hAnsi="Palatino Linotype"/>
        </w:rPr>
        <w:t>Contrato de construcción celebrado con los responsables de la obra</w:t>
      </w:r>
      <w:r w:rsidR="006611C1" w:rsidRPr="00753A43">
        <w:rPr>
          <w:rFonts w:ascii="Palatino Linotype" w:hAnsi="Palatino Linotype"/>
        </w:rPr>
        <w:t xml:space="preserve">, vigente al veintiuno de enero de dos mil veinte. </w:t>
      </w:r>
    </w:p>
    <w:p w14:paraId="1A9116AE" w14:textId="77777777" w:rsidR="006611C1" w:rsidRPr="00753A43" w:rsidRDefault="00EE7822" w:rsidP="006611C1">
      <w:pPr>
        <w:pStyle w:val="Sinespaciado"/>
        <w:numPr>
          <w:ilvl w:val="0"/>
          <w:numId w:val="20"/>
        </w:numPr>
        <w:spacing w:line="360" w:lineRule="auto"/>
        <w:jc w:val="both"/>
        <w:rPr>
          <w:rFonts w:ascii="Palatino Linotype" w:hAnsi="Palatino Linotype"/>
        </w:rPr>
      </w:pPr>
      <w:r w:rsidRPr="00753A43">
        <w:rPr>
          <w:rFonts w:ascii="Palatino Linotype" w:hAnsi="Palatino Linotype"/>
        </w:rPr>
        <w:t>Convenio de colaboración de los sindicatos</w:t>
      </w:r>
      <w:r w:rsidR="006611C1" w:rsidRPr="00753A43">
        <w:rPr>
          <w:rFonts w:ascii="Palatino Linotype" w:hAnsi="Palatino Linotype"/>
        </w:rPr>
        <w:t xml:space="preserve">, vigente al veintiuno de enero de dos mil veinte. </w:t>
      </w:r>
    </w:p>
    <w:p w14:paraId="2EC91895" w14:textId="46C2551D" w:rsidR="006611C1" w:rsidRPr="00753A43" w:rsidRDefault="00EE7822" w:rsidP="006611C1">
      <w:pPr>
        <w:pStyle w:val="Sinespaciado"/>
        <w:numPr>
          <w:ilvl w:val="0"/>
          <w:numId w:val="20"/>
        </w:numPr>
        <w:spacing w:line="360" w:lineRule="auto"/>
        <w:jc w:val="both"/>
        <w:rPr>
          <w:rFonts w:ascii="Palatino Linotype" w:hAnsi="Palatino Linotype"/>
        </w:rPr>
      </w:pPr>
      <w:r w:rsidRPr="00753A43">
        <w:rPr>
          <w:rFonts w:ascii="Palatino Linotype" w:hAnsi="Palatino Linotype"/>
        </w:rPr>
        <w:lastRenderedPageBreak/>
        <w:t xml:space="preserve">Estudio de impacto ambiental, así como resolutivo de impacto ambiental acuerdo </w:t>
      </w:r>
      <w:r w:rsidRPr="00753A43">
        <w:rPr>
          <w:rFonts w:ascii="Palatino Linotype" w:hAnsi="Palatino Linotype"/>
          <w:b/>
          <w:bCs/>
        </w:rPr>
        <w:t>0141/CTATIZARA/2019-2021</w:t>
      </w:r>
      <w:r w:rsidR="006611C1" w:rsidRPr="00753A43">
        <w:rPr>
          <w:rFonts w:ascii="Palatino Linotype" w:hAnsi="Palatino Linotype"/>
          <w:b/>
          <w:bCs/>
        </w:rPr>
        <w:t xml:space="preserve">, </w:t>
      </w:r>
      <w:r w:rsidR="006611C1" w:rsidRPr="00753A43">
        <w:rPr>
          <w:rFonts w:ascii="Palatino Linotype" w:hAnsi="Palatino Linotype"/>
        </w:rPr>
        <w:t xml:space="preserve">vigentes al veintiuno de enero de dos mil veinte. </w:t>
      </w:r>
    </w:p>
    <w:p w14:paraId="769F2893" w14:textId="73C0CE96" w:rsidR="001A6AAB" w:rsidRPr="000417AA" w:rsidRDefault="001A6AAB" w:rsidP="006611C1">
      <w:pPr>
        <w:pStyle w:val="Sinespaciado"/>
        <w:spacing w:line="360" w:lineRule="auto"/>
        <w:ind w:left="720"/>
        <w:jc w:val="both"/>
        <w:rPr>
          <w:rFonts w:ascii="Palatino Linotype" w:hAnsi="Palatino Linotype"/>
        </w:rPr>
      </w:pPr>
    </w:p>
    <w:p w14:paraId="5A36E6B8" w14:textId="179B31B0" w:rsidR="000417AA" w:rsidRPr="002C07E7" w:rsidRDefault="00813FE7" w:rsidP="00DD7C82">
      <w:pPr>
        <w:spacing w:after="0" w:line="360" w:lineRule="auto"/>
        <w:jc w:val="both"/>
        <w:rPr>
          <w:rFonts w:ascii="Palatino Linotype" w:hAnsi="Palatino Linotype" w:cs="Arial"/>
          <w:b/>
          <w:bCs/>
          <w:sz w:val="24"/>
          <w:szCs w:val="24"/>
        </w:rPr>
      </w:pPr>
      <w:r w:rsidRPr="002C07E7">
        <w:rPr>
          <w:rFonts w:ascii="Palatino Linotype" w:hAnsi="Palatino Linotype" w:cs="Arial"/>
          <w:sz w:val="24"/>
          <w:szCs w:val="24"/>
        </w:rPr>
        <w:t xml:space="preserve">Una vez sentado lo anterior, resulta oportuno traer a </w:t>
      </w:r>
      <w:r w:rsidR="00DD7C82" w:rsidRPr="002C07E7">
        <w:rPr>
          <w:rFonts w:ascii="Palatino Linotype" w:hAnsi="Palatino Linotype" w:cs="Arial"/>
          <w:sz w:val="24"/>
          <w:szCs w:val="24"/>
        </w:rPr>
        <w:t xml:space="preserve">colación </w:t>
      </w:r>
      <w:r w:rsidR="000A7ED7" w:rsidRPr="002C07E7">
        <w:rPr>
          <w:rFonts w:ascii="Palatino Linotype" w:hAnsi="Palatino Linotype" w:cs="Arial"/>
          <w:sz w:val="24"/>
          <w:szCs w:val="24"/>
        </w:rPr>
        <w:t>el artículo 96 Bis, fracci</w:t>
      </w:r>
      <w:r w:rsidR="000417AA" w:rsidRPr="002C07E7">
        <w:rPr>
          <w:rFonts w:ascii="Palatino Linotype" w:hAnsi="Palatino Linotype" w:cs="Arial"/>
          <w:sz w:val="24"/>
          <w:szCs w:val="24"/>
        </w:rPr>
        <w:t xml:space="preserve">ones </w:t>
      </w:r>
      <w:r w:rsidR="000417AA" w:rsidRPr="006611C1">
        <w:rPr>
          <w:rFonts w:ascii="Palatino Linotype" w:hAnsi="Palatino Linotype" w:cs="Arial"/>
          <w:sz w:val="24"/>
          <w:szCs w:val="24"/>
        </w:rPr>
        <w:t>I, II, III, IV y XXV</w:t>
      </w:r>
      <w:r w:rsidR="000417AA" w:rsidRPr="002C07E7">
        <w:rPr>
          <w:rFonts w:ascii="Palatino Linotype" w:hAnsi="Palatino Linotype" w:cs="Arial"/>
          <w:b/>
          <w:bCs/>
          <w:sz w:val="24"/>
          <w:szCs w:val="24"/>
        </w:rPr>
        <w:t xml:space="preserve"> </w:t>
      </w:r>
      <w:r w:rsidR="000417AA" w:rsidRPr="002C07E7">
        <w:rPr>
          <w:rFonts w:ascii="Palatino Linotype" w:hAnsi="Palatino Linotype" w:cs="Arial"/>
          <w:sz w:val="24"/>
          <w:szCs w:val="24"/>
        </w:rPr>
        <w:t xml:space="preserve">de la Ley Orgánica Municipal del Estado de </w:t>
      </w:r>
      <w:r w:rsidR="002C07E7" w:rsidRPr="002C07E7">
        <w:rPr>
          <w:rFonts w:ascii="Palatino Linotype" w:hAnsi="Palatino Linotype" w:cs="Arial"/>
          <w:sz w:val="24"/>
          <w:szCs w:val="24"/>
        </w:rPr>
        <w:t>México;</w:t>
      </w:r>
      <w:r w:rsidR="00973EAE" w:rsidRPr="002C07E7">
        <w:rPr>
          <w:rFonts w:ascii="Palatino Linotype" w:hAnsi="Palatino Linotype" w:cs="Arial"/>
          <w:sz w:val="24"/>
          <w:szCs w:val="24"/>
        </w:rPr>
        <w:t xml:space="preserve"> los numerales 26 y 27 de la Ley de Contratación Pública del Estado de México; los </w:t>
      </w:r>
      <w:r w:rsidR="002C07E7" w:rsidRPr="002C07E7">
        <w:rPr>
          <w:rFonts w:ascii="Palatino Linotype" w:hAnsi="Palatino Linotype" w:cs="Arial"/>
          <w:sz w:val="24"/>
          <w:szCs w:val="24"/>
        </w:rPr>
        <w:t xml:space="preserve">artículos </w:t>
      </w:r>
      <w:r w:rsidR="00973EAE" w:rsidRPr="002C07E7">
        <w:rPr>
          <w:rFonts w:ascii="Palatino Linotype" w:hAnsi="Palatino Linotype" w:cs="Arial"/>
          <w:sz w:val="24"/>
          <w:szCs w:val="24"/>
        </w:rPr>
        <w:t>43</w:t>
      </w:r>
      <w:r w:rsidR="00D67311" w:rsidRPr="002C07E7">
        <w:rPr>
          <w:rFonts w:ascii="Palatino Linotype" w:hAnsi="Palatino Linotype" w:cs="Arial"/>
          <w:sz w:val="24"/>
          <w:szCs w:val="24"/>
        </w:rPr>
        <w:t xml:space="preserve">, </w:t>
      </w:r>
      <w:r w:rsidR="00973EAE" w:rsidRPr="002C07E7">
        <w:rPr>
          <w:rFonts w:ascii="Palatino Linotype" w:hAnsi="Palatino Linotype" w:cs="Arial"/>
          <w:sz w:val="24"/>
          <w:szCs w:val="24"/>
        </w:rPr>
        <w:t>44</w:t>
      </w:r>
      <w:r w:rsidR="00D67311" w:rsidRPr="002C07E7">
        <w:rPr>
          <w:rFonts w:ascii="Palatino Linotype" w:hAnsi="Palatino Linotype" w:cs="Arial"/>
          <w:sz w:val="24"/>
          <w:szCs w:val="24"/>
        </w:rPr>
        <w:t xml:space="preserve"> y 120</w:t>
      </w:r>
      <w:r w:rsidR="00973EAE" w:rsidRPr="002C07E7">
        <w:rPr>
          <w:rFonts w:ascii="Palatino Linotype" w:hAnsi="Palatino Linotype" w:cs="Arial"/>
          <w:sz w:val="24"/>
          <w:szCs w:val="24"/>
        </w:rPr>
        <w:t xml:space="preserve"> del Reglamento de la Ley de Contratación Pública del Estado de México; así como </w:t>
      </w:r>
      <w:r w:rsidR="002C07E7" w:rsidRPr="002C07E7">
        <w:rPr>
          <w:rFonts w:ascii="Palatino Linotype" w:hAnsi="Palatino Linotype" w:cs="Arial"/>
          <w:sz w:val="24"/>
          <w:szCs w:val="24"/>
        </w:rPr>
        <w:t xml:space="preserve">el artículo 29 del Bando Municipal de Atizapán de Zaragoza, porciones normativas que disponen a la literalidad lo siguiente: </w:t>
      </w:r>
      <w:r w:rsidR="00973EAE" w:rsidRPr="002C07E7">
        <w:rPr>
          <w:rFonts w:ascii="Palatino Linotype" w:hAnsi="Palatino Linotype" w:cs="Arial"/>
          <w:sz w:val="24"/>
          <w:szCs w:val="24"/>
        </w:rPr>
        <w:t xml:space="preserve"> </w:t>
      </w:r>
    </w:p>
    <w:p w14:paraId="667B4D31" w14:textId="77777777" w:rsidR="000A7ED7" w:rsidRPr="002C07E7" w:rsidRDefault="000A7ED7" w:rsidP="000A7ED7">
      <w:pPr>
        <w:pStyle w:val="Prrafodelista"/>
        <w:spacing w:before="240" w:after="160" w:line="360" w:lineRule="auto"/>
        <w:ind w:left="851" w:right="851"/>
        <w:jc w:val="center"/>
        <w:rPr>
          <w:rFonts w:ascii="Palatino Linotype" w:hAnsi="Palatino Linotype"/>
          <w:b/>
          <w:i/>
          <w:sz w:val="22"/>
          <w:szCs w:val="22"/>
        </w:rPr>
      </w:pPr>
      <w:r w:rsidRPr="002C07E7">
        <w:rPr>
          <w:rFonts w:ascii="Palatino Linotype" w:hAnsi="Palatino Linotype"/>
          <w:b/>
          <w:i/>
          <w:sz w:val="22"/>
          <w:szCs w:val="22"/>
        </w:rPr>
        <w:t>Ley Orgánica Municipal del Estado de México</w:t>
      </w:r>
    </w:p>
    <w:p w14:paraId="234D4564" w14:textId="77777777" w:rsidR="000A7ED7" w:rsidRPr="002C07E7" w:rsidRDefault="000A7ED7" w:rsidP="000A7ED7">
      <w:pPr>
        <w:pStyle w:val="Prrafodelista"/>
        <w:spacing w:before="240" w:after="160" w:line="360" w:lineRule="auto"/>
        <w:ind w:left="851" w:right="851"/>
        <w:jc w:val="both"/>
        <w:rPr>
          <w:rFonts w:ascii="Palatino Linotype" w:hAnsi="Palatino Linotype"/>
          <w:i/>
          <w:sz w:val="22"/>
          <w:szCs w:val="22"/>
        </w:rPr>
      </w:pPr>
      <w:r w:rsidRPr="002C07E7">
        <w:rPr>
          <w:rFonts w:ascii="Palatino Linotype" w:hAnsi="Palatino Linotype"/>
          <w:i/>
          <w:sz w:val="22"/>
          <w:szCs w:val="22"/>
        </w:rPr>
        <w:t>“Artículo 96 Bis.- El Director de Obras Públicas o el Titular de la Unidad Administrativa equivalente, tiene las siguientes atribuciones:</w:t>
      </w:r>
    </w:p>
    <w:p w14:paraId="666BD914" w14:textId="175ACDB4" w:rsidR="000A7ED7" w:rsidRPr="0078778A" w:rsidRDefault="000417AA" w:rsidP="000A7ED7">
      <w:pPr>
        <w:pStyle w:val="Prrafodelista"/>
        <w:spacing w:before="240" w:after="160" w:line="360" w:lineRule="auto"/>
        <w:ind w:left="851" w:right="851"/>
        <w:jc w:val="both"/>
        <w:rPr>
          <w:rFonts w:ascii="Palatino Linotype" w:hAnsi="Palatino Linotype"/>
          <w:i/>
          <w:sz w:val="22"/>
          <w:szCs w:val="22"/>
        </w:rPr>
      </w:pPr>
      <w:r w:rsidRPr="000417AA">
        <w:rPr>
          <w:rFonts w:ascii="Palatino Linotype" w:hAnsi="Palatino Linotype"/>
          <w:i/>
          <w:sz w:val="22"/>
          <w:szCs w:val="22"/>
        </w:rPr>
        <w:t>I. Realizar la programación y ejecución de las obras públicas y servicios relacionados, que por orden expresa del Ayuntamiento requieran prioridad;</w:t>
      </w:r>
    </w:p>
    <w:p w14:paraId="5273C69B" w14:textId="11923022" w:rsidR="000A7ED7" w:rsidRPr="00973EAE" w:rsidRDefault="000A7ED7" w:rsidP="000A7ED7">
      <w:pPr>
        <w:pStyle w:val="Prrafodelista"/>
        <w:spacing w:before="240" w:after="160" w:line="360" w:lineRule="auto"/>
        <w:ind w:left="851" w:right="851"/>
        <w:jc w:val="both"/>
        <w:rPr>
          <w:rFonts w:ascii="Palatino Linotype" w:hAnsi="Palatino Linotype"/>
          <w:b/>
          <w:i/>
          <w:sz w:val="22"/>
          <w:szCs w:val="22"/>
          <w:u w:val="single"/>
        </w:rPr>
      </w:pPr>
      <w:r w:rsidRPr="00973EAE">
        <w:rPr>
          <w:rFonts w:ascii="Palatino Linotype" w:hAnsi="Palatino Linotype"/>
          <w:b/>
          <w:i/>
          <w:sz w:val="22"/>
          <w:szCs w:val="22"/>
          <w:u w:val="single"/>
        </w:rPr>
        <w:t>II. Planear y coordinar los proyectos de obras públicas y servicios relacionados con las mismas que autorice el Ayuntamiento , una vez que se cumplan los requisitos de licitación y otros que determine la ley de la materia;</w:t>
      </w:r>
    </w:p>
    <w:p w14:paraId="144DF017" w14:textId="77777777" w:rsidR="000417AA" w:rsidRPr="000417AA" w:rsidRDefault="000417AA" w:rsidP="000417AA">
      <w:pPr>
        <w:pStyle w:val="Prrafodelista"/>
        <w:spacing w:before="240" w:line="360" w:lineRule="auto"/>
        <w:ind w:left="851" w:right="851"/>
        <w:jc w:val="both"/>
        <w:rPr>
          <w:rFonts w:ascii="Palatino Linotype" w:hAnsi="Palatino Linotype"/>
          <w:bCs/>
          <w:i/>
          <w:sz w:val="22"/>
          <w:szCs w:val="22"/>
        </w:rPr>
      </w:pPr>
      <w:r w:rsidRPr="000417AA">
        <w:rPr>
          <w:rFonts w:ascii="Palatino Linotype" w:hAnsi="Palatino Linotype"/>
          <w:bCs/>
          <w:i/>
          <w:sz w:val="22"/>
          <w:szCs w:val="22"/>
        </w:rPr>
        <w:t xml:space="preserve">III. Proyectar las obras públicas y servicios relacionados, que realice el Municipio, incluyendo la conservación y mantenimiento de edificios, monumentos, calles, parques y jardines; </w:t>
      </w:r>
    </w:p>
    <w:p w14:paraId="0D005516" w14:textId="41923132" w:rsidR="000417AA" w:rsidRPr="000417AA" w:rsidRDefault="000417AA" w:rsidP="000417AA">
      <w:pPr>
        <w:pStyle w:val="Prrafodelista"/>
        <w:spacing w:before="240" w:line="360" w:lineRule="auto"/>
        <w:ind w:left="851" w:right="851"/>
        <w:jc w:val="both"/>
        <w:rPr>
          <w:rFonts w:ascii="Palatino Linotype" w:hAnsi="Palatino Linotype"/>
          <w:bCs/>
          <w:i/>
          <w:sz w:val="22"/>
          <w:szCs w:val="22"/>
        </w:rPr>
      </w:pPr>
      <w:r w:rsidRPr="000417AA">
        <w:rPr>
          <w:rFonts w:ascii="Palatino Linotype" w:hAnsi="Palatino Linotype"/>
          <w:bCs/>
          <w:i/>
          <w:sz w:val="22"/>
          <w:szCs w:val="22"/>
        </w:rPr>
        <w:lastRenderedPageBreak/>
        <w:t xml:space="preserve"> </w:t>
      </w:r>
      <w:r w:rsidR="006611C1">
        <w:rPr>
          <w:rFonts w:ascii="Palatino Linotype" w:hAnsi="Palatino Linotype"/>
          <w:bCs/>
          <w:i/>
          <w:sz w:val="22"/>
          <w:szCs w:val="22"/>
        </w:rPr>
        <w:t>(…)</w:t>
      </w:r>
    </w:p>
    <w:p w14:paraId="304D559B" w14:textId="60CCDF58" w:rsidR="000417AA" w:rsidRPr="000417AA" w:rsidRDefault="000417AA" w:rsidP="000417AA">
      <w:pPr>
        <w:pStyle w:val="Prrafodelista"/>
        <w:spacing w:before="240" w:after="160" w:line="360" w:lineRule="auto"/>
        <w:ind w:left="851" w:right="851"/>
        <w:jc w:val="both"/>
        <w:rPr>
          <w:rFonts w:ascii="Palatino Linotype" w:hAnsi="Palatino Linotype"/>
          <w:bCs/>
          <w:i/>
          <w:sz w:val="22"/>
          <w:szCs w:val="22"/>
        </w:rPr>
      </w:pPr>
      <w:r w:rsidRPr="000417AA">
        <w:rPr>
          <w:rFonts w:ascii="Palatino Linotype" w:hAnsi="Palatino Linotype"/>
          <w:bCs/>
          <w:i/>
          <w:sz w:val="22"/>
          <w:szCs w:val="22"/>
        </w:rPr>
        <w:t>IV. Construir y ejecutar todas aquellas obras públicas y servicios relacionados, que aumenten y mantengan la infraestructura municipal y que estén consideradas en el programa respectivo</w:t>
      </w:r>
    </w:p>
    <w:p w14:paraId="73D12EBB" w14:textId="77777777" w:rsidR="000417AA" w:rsidRDefault="000A7ED7" w:rsidP="000A7ED7">
      <w:pPr>
        <w:pStyle w:val="Prrafodelista"/>
        <w:spacing w:before="240" w:after="160" w:line="360" w:lineRule="auto"/>
        <w:ind w:left="851" w:right="851"/>
        <w:jc w:val="both"/>
        <w:rPr>
          <w:rFonts w:ascii="Palatino Linotype" w:hAnsi="Palatino Linotype"/>
          <w:i/>
          <w:sz w:val="22"/>
          <w:szCs w:val="22"/>
        </w:rPr>
      </w:pPr>
      <w:r w:rsidRPr="0078778A">
        <w:rPr>
          <w:rFonts w:ascii="Palatino Linotype" w:hAnsi="Palatino Linotype"/>
          <w:i/>
          <w:sz w:val="22"/>
          <w:szCs w:val="22"/>
        </w:rPr>
        <w:t>(…)</w:t>
      </w:r>
    </w:p>
    <w:p w14:paraId="5730904B" w14:textId="77777777" w:rsidR="000417AA" w:rsidRPr="00973EAE" w:rsidRDefault="000417AA" w:rsidP="000A7ED7">
      <w:pPr>
        <w:pStyle w:val="Prrafodelista"/>
        <w:spacing w:before="240" w:after="160" w:line="360" w:lineRule="auto"/>
        <w:ind w:left="851" w:right="851"/>
        <w:jc w:val="both"/>
        <w:rPr>
          <w:rFonts w:ascii="Palatino Linotype" w:hAnsi="Palatino Linotype"/>
          <w:b/>
          <w:bCs/>
          <w:i/>
          <w:sz w:val="22"/>
          <w:szCs w:val="22"/>
          <w:u w:val="single"/>
        </w:rPr>
      </w:pPr>
      <w:r w:rsidRPr="00973EAE">
        <w:rPr>
          <w:rFonts w:ascii="Palatino Linotype" w:hAnsi="Palatino Linotype"/>
          <w:b/>
          <w:bCs/>
          <w:i/>
          <w:sz w:val="22"/>
          <w:szCs w:val="22"/>
          <w:u w:val="single"/>
        </w:rPr>
        <w:t>XXV. Formular las bases y expedir la convocatoria a los concursos para la realización de las obras públicas municipales, de acuerdo con los requisitos que para dichos actos señale la legislación y normatividad respectiva, vigilando su correcta ejecución; y</w:t>
      </w:r>
    </w:p>
    <w:p w14:paraId="3E970931" w14:textId="54EAFC4C" w:rsidR="000A7ED7" w:rsidRDefault="000417AA" w:rsidP="000A7ED7">
      <w:pPr>
        <w:pStyle w:val="Prrafodelista"/>
        <w:spacing w:before="240" w:after="160" w:line="360" w:lineRule="auto"/>
        <w:ind w:left="851" w:right="851"/>
        <w:jc w:val="both"/>
        <w:rPr>
          <w:rFonts w:ascii="Palatino Linotype" w:hAnsi="Palatino Linotype"/>
          <w:b/>
          <w:i/>
          <w:sz w:val="22"/>
          <w:szCs w:val="22"/>
        </w:rPr>
      </w:pPr>
      <w:r>
        <w:rPr>
          <w:rFonts w:ascii="Palatino Linotype" w:hAnsi="Palatino Linotype"/>
          <w:i/>
          <w:sz w:val="22"/>
          <w:szCs w:val="22"/>
        </w:rPr>
        <w:t>(…)</w:t>
      </w:r>
      <w:r w:rsidR="000A7ED7" w:rsidRPr="0078778A">
        <w:rPr>
          <w:rFonts w:ascii="Palatino Linotype" w:hAnsi="Palatino Linotype"/>
          <w:i/>
          <w:sz w:val="22"/>
          <w:szCs w:val="22"/>
        </w:rPr>
        <w:t xml:space="preserve">” </w:t>
      </w:r>
      <w:r w:rsidR="000A7ED7" w:rsidRPr="0078778A">
        <w:rPr>
          <w:rFonts w:ascii="Palatino Linotype" w:hAnsi="Palatino Linotype"/>
          <w:b/>
          <w:i/>
          <w:sz w:val="22"/>
          <w:szCs w:val="22"/>
        </w:rPr>
        <w:t>[Sic]</w:t>
      </w:r>
    </w:p>
    <w:p w14:paraId="43487152" w14:textId="77777777" w:rsidR="000A7ED7" w:rsidRPr="0078778A" w:rsidRDefault="000A7ED7" w:rsidP="000A7ED7">
      <w:pPr>
        <w:pStyle w:val="Prrafodelista"/>
        <w:spacing w:before="240" w:after="160" w:line="360" w:lineRule="auto"/>
        <w:ind w:left="851" w:right="851"/>
        <w:jc w:val="both"/>
        <w:rPr>
          <w:rFonts w:ascii="Palatino Linotype" w:hAnsi="Palatino Linotype" w:cs="Arial"/>
          <w:b/>
          <w:i/>
          <w:color w:val="000000"/>
          <w:sz w:val="22"/>
          <w:szCs w:val="22"/>
          <w:lang w:val="es-ES_tradnl"/>
        </w:rPr>
      </w:pPr>
    </w:p>
    <w:p w14:paraId="4D302C6E" w14:textId="77777777" w:rsidR="000A7ED7" w:rsidRPr="00AA7EDD" w:rsidRDefault="000A7ED7" w:rsidP="000A7ED7">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4C256967" w14:textId="77777777" w:rsidR="000A7ED7" w:rsidRPr="002D0587" w:rsidRDefault="000A7ED7" w:rsidP="000A7ED7">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52496E68" w14:textId="77777777" w:rsidR="000A7ED7" w:rsidRPr="002D0587" w:rsidRDefault="000A7ED7" w:rsidP="000A7ED7">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661D6B63" w14:textId="77777777" w:rsidR="000A7ED7" w:rsidRPr="002D0587" w:rsidRDefault="000A7ED7" w:rsidP="000A7ED7">
      <w:pPr>
        <w:pStyle w:val="Prrafodelista"/>
        <w:numPr>
          <w:ilvl w:val="0"/>
          <w:numId w:val="31"/>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11ADAC7B" w14:textId="77777777" w:rsidR="000A7ED7" w:rsidRPr="002D0587" w:rsidRDefault="000A7ED7" w:rsidP="000A7ED7">
      <w:pPr>
        <w:pStyle w:val="Prrafodelista"/>
        <w:numPr>
          <w:ilvl w:val="0"/>
          <w:numId w:val="31"/>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00258F53" w14:textId="77777777" w:rsidR="00AA7EDD" w:rsidRPr="00AA7EDD" w:rsidRDefault="00AA7EDD" w:rsidP="000A7ED7">
      <w:pPr>
        <w:spacing w:before="240" w:line="360" w:lineRule="auto"/>
        <w:ind w:left="851" w:right="851"/>
        <w:jc w:val="center"/>
        <w:rPr>
          <w:rFonts w:ascii="Palatino Linotype" w:hAnsi="Palatino Linotype"/>
          <w:b/>
          <w:i/>
        </w:rPr>
      </w:pPr>
      <w:r w:rsidRPr="00AA7EDD">
        <w:rPr>
          <w:rFonts w:ascii="Palatino Linotype" w:hAnsi="Palatino Linotype"/>
          <w:b/>
          <w:i/>
        </w:rPr>
        <w:lastRenderedPageBreak/>
        <w:t>Reglamento de la Ley de Contratación Pública del Estado de México y Municipios</w:t>
      </w:r>
    </w:p>
    <w:p w14:paraId="3BF805EB" w14:textId="77777777" w:rsidR="00AA7EDD" w:rsidRDefault="00AA7EDD" w:rsidP="00AA7EDD">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3507ED01" w14:textId="77777777" w:rsidR="00AA7EDD" w:rsidRPr="00AA7EDD" w:rsidRDefault="00AA7EDD" w:rsidP="00AA7EDD">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0C1BFF0E" w14:textId="77777777" w:rsidR="00AA7EDD" w:rsidRPr="00E07D1E" w:rsidRDefault="00AA7EDD" w:rsidP="00AA7EDD">
      <w:pPr>
        <w:pStyle w:val="Prrafodelista"/>
        <w:numPr>
          <w:ilvl w:val="0"/>
          <w:numId w:val="32"/>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29147EB3" w14:textId="77777777" w:rsidR="00AA7EDD" w:rsidRPr="00AA7EDD" w:rsidRDefault="00AA7EDD" w:rsidP="00AA7EDD">
      <w:pPr>
        <w:pStyle w:val="Prrafodelista"/>
        <w:numPr>
          <w:ilvl w:val="0"/>
          <w:numId w:val="32"/>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124D5EDD" w14:textId="77777777" w:rsidR="00AA7EDD" w:rsidRPr="00AA7EDD" w:rsidRDefault="00AA7EDD" w:rsidP="00AA7EDD">
      <w:pPr>
        <w:pStyle w:val="Prrafodelista"/>
        <w:numPr>
          <w:ilvl w:val="0"/>
          <w:numId w:val="32"/>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3D3D02DA" w14:textId="77777777" w:rsidR="00AA7EDD" w:rsidRPr="00AA7EDD" w:rsidRDefault="00AA7EDD" w:rsidP="00AA7EDD">
      <w:pPr>
        <w:pStyle w:val="Prrafodelista"/>
        <w:numPr>
          <w:ilvl w:val="0"/>
          <w:numId w:val="32"/>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68A3325F" w14:textId="77777777" w:rsidR="00AA7EDD" w:rsidRPr="00AA7EDD" w:rsidRDefault="00AA7EDD" w:rsidP="00AA7EDD">
      <w:pPr>
        <w:pStyle w:val="Prrafodelista"/>
        <w:numPr>
          <w:ilvl w:val="0"/>
          <w:numId w:val="32"/>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57D043CC" w14:textId="77777777" w:rsidR="00AA7EDD" w:rsidRPr="00AA7EDD" w:rsidRDefault="00AA7EDD" w:rsidP="00AA7EDD">
      <w:pPr>
        <w:pStyle w:val="Prrafodelista"/>
        <w:numPr>
          <w:ilvl w:val="0"/>
          <w:numId w:val="32"/>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6BC5C86A" w14:textId="77777777" w:rsidR="00AA7EDD" w:rsidRPr="00AA7EDD" w:rsidRDefault="00AA7EDD" w:rsidP="00AA7ED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lastRenderedPageBreak/>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1DA68C83" w14:textId="77777777" w:rsidR="00AA7EDD" w:rsidRPr="00AA7EDD" w:rsidRDefault="00AA7EDD" w:rsidP="00AA7ED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196936C3" w14:textId="77777777" w:rsidR="00AA7EDD" w:rsidRPr="00AA7EDD" w:rsidRDefault="00AA7EDD" w:rsidP="00AA7ED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7466A104" w14:textId="77777777" w:rsidR="00AA7EDD" w:rsidRPr="00AA7EDD" w:rsidRDefault="00AA7EDD" w:rsidP="00AA7ED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21954A7B" w14:textId="77777777" w:rsidR="006C0F69" w:rsidRDefault="00AA7EDD" w:rsidP="00AA7EDD">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Los cargos de los integrantes del comité serán honoríficos.</w:t>
      </w:r>
    </w:p>
    <w:p w14:paraId="4F1AFAB7" w14:textId="77777777" w:rsidR="006C0F69" w:rsidRPr="002C07E7" w:rsidRDefault="006C0F69" w:rsidP="00AA7EDD">
      <w:pPr>
        <w:pStyle w:val="Prrafodelista"/>
        <w:spacing w:before="240" w:after="160" w:line="360" w:lineRule="auto"/>
        <w:ind w:left="851" w:right="851"/>
        <w:jc w:val="both"/>
        <w:rPr>
          <w:rFonts w:ascii="Palatino Linotype" w:hAnsi="Palatino Linotype"/>
          <w:b/>
          <w:bCs/>
          <w:i/>
          <w:iCs/>
          <w:sz w:val="22"/>
          <w:szCs w:val="22"/>
          <w:u w:val="single"/>
        </w:rPr>
      </w:pPr>
      <w:r w:rsidRPr="002C07E7">
        <w:rPr>
          <w:rFonts w:ascii="Palatino Linotype" w:hAnsi="Palatino Linotype"/>
          <w:b/>
          <w:bCs/>
          <w:i/>
          <w:iCs/>
          <w:sz w:val="22"/>
          <w:szCs w:val="22"/>
          <w:u w:val="single"/>
        </w:rPr>
        <w:t>Artículo 120.-Los contratos relacionados con las materias reguladas por la Ley referirán, como mínimo, lo siguiente:</w:t>
      </w:r>
    </w:p>
    <w:p w14:paraId="203C0FEA" w14:textId="4958C00D" w:rsidR="00AA7EDD" w:rsidRPr="00AA7EDD" w:rsidRDefault="006C0F69" w:rsidP="00AA7EDD">
      <w:pPr>
        <w:pStyle w:val="Prrafodelista"/>
        <w:spacing w:before="240" w:after="160" w:line="360" w:lineRule="auto"/>
        <w:ind w:left="851" w:right="851"/>
        <w:jc w:val="both"/>
        <w:rPr>
          <w:rFonts w:ascii="Palatino Linotype" w:hAnsi="Palatino Linotype" w:cs="Arial"/>
          <w:b/>
          <w:i/>
          <w:sz w:val="22"/>
          <w:szCs w:val="22"/>
        </w:rPr>
      </w:pPr>
      <w:r w:rsidRPr="0050572A">
        <w:t>(…)</w:t>
      </w:r>
      <w:r w:rsidR="00AA7EDD" w:rsidRPr="0050572A">
        <w:rPr>
          <w:rFonts w:ascii="Palatino Linotype" w:hAnsi="Palatino Linotype"/>
          <w:i/>
          <w:sz w:val="22"/>
          <w:szCs w:val="22"/>
        </w:rPr>
        <w:t xml:space="preserve">” </w:t>
      </w:r>
      <w:r w:rsidR="00AA7EDD" w:rsidRPr="0050572A">
        <w:rPr>
          <w:rFonts w:ascii="Palatino Linotype" w:hAnsi="Palatino Linotype"/>
          <w:b/>
          <w:i/>
          <w:sz w:val="22"/>
          <w:szCs w:val="22"/>
        </w:rPr>
        <w:t>[Sic]</w:t>
      </w:r>
    </w:p>
    <w:p w14:paraId="3B3B486B" w14:textId="7EEFC1E5" w:rsidR="00AA7EDD" w:rsidRDefault="00AA7EDD" w:rsidP="000A7ED7">
      <w:pPr>
        <w:spacing w:before="240" w:line="360" w:lineRule="auto"/>
        <w:ind w:left="851" w:right="851"/>
        <w:jc w:val="center"/>
        <w:rPr>
          <w:rFonts w:ascii="Palatino Linotype" w:hAnsi="Palatino Linotype" w:cs="Arial"/>
          <w:b/>
          <w:i/>
        </w:rPr>
      </w:pPr>
    </w:p>
    <w:p w14:paraId="4EEE5E82" w14:textId="25DDDEFD" w:rsidR="0050572A" w:rsidRPr="00AA7EDD" w:rsidRDefault="0050572A" w:rsidP="000A7ED7">
      <w:pPr>
        <w:spacing w:before="240" w:line="360" w:lineRule="auto"/>
        <w:ind w:left="851" w:right="851"/>
        <w:jc w:val="center"/>
        <w:rPr>
          <w:rFonts w:ascii="Palatino Linotype" w:hAnsi="Palatino Linotype" w:cs="Arial"/>
          <w:b/>
          <w:i/>
        </w:rPr>
      </w:pPr>
      <w:r>
        <w:rPr>
          <w:rFonts w:ascii="Palatino Linotype" w:hAnsi="Palatino Linotype" w:cs="Arial"/>
          <w:b/>
          <w:i/>
        </w:rPr>
        <w:t>Bando Municipal de Atizapán de Zaragoza</w:t>
      </w:r>
    </w:p>
    <w:p w14:paraId="16AE9961" w14:textId="3E61EDC5" w:rsidR="0050572A" w:rsidRPr="0050572A" w:rsidRDefault="006611C1" w:rsidP="0050572A">
      <w:pPr>
        <w:spacing w:before="240" w:line="360" w:lineRule="auto"/>
        <w:ind w:left="851" w:right="851"/>
        <w:jc w:val="both"/>
        <w:rPr>
          <w:rFonts w:ascii="Palatino Linotype" w:hAnsi="Palatino Linotype" w:cs="Arial"/>
          <w:i/>
          <w:iCs/>
        </w:rPr>
      </w:pPr>
      <w:r>
        <w:rPr>
          <w:rFonts w:ascii="Palatino Linotype" w:hAnsi="Palatino Linotype" w:cs="Arial"/>
          <w:i/>
          <w:iCs/>
        </w:rPr>
        <w:t>“</w:t>
      </w:r>
      <w:r w:rsidR="00973EAE" w:rsidRPr="0050572A">
        <w:rPr>
          <w:rFonts w:ascii="Palatino Linotype" w:hAnsi="Palatino Linotype" w:cs="Arial"/>
          <w:i/>
          <w:iCs/>
        </w:rPr>
        <w:t xml:space="preserve">ARTÍCULO 29.- La Administración Pública Municipal está constituida por una estructura orgánica que actúa para el cumplimiento de los objetivos del H. </w:t>
      </w:r>
      <w:r w:rsidR="00973EAE" w:rsidRPr="0050572A">
        <w:rPr>
          <w:rFonts w:ascii="Palatino Linotype" w:hAnsi="Palatino Linotype" w:cs="Arial"/>
          <w:i/>
          <w:iCs/>
        </w:rPr>
        <w:lastRenderedPageBreak/>
        <w:t>Ayuntamiento, de manera programada, con base en las políticas establecidas en el Plan de Desarrollo Municipal y las que dicte el Ejecutivo Municipal.</w:t>
      </w:r>
      <w:r w:rsidR="0050572A" w:rsidRPr="0050572A">
        <w:rPr>
          <w:rFonts w:ascii="Palatino Linotype" w:hAnsi="Palatino Linotype" w:cs="Arial"/>
          <w:i/>
          <w:iCs/>
        </w:rPr>
        <w:t xml:space="preserve"> </w:t>
      </w:r>
    </w:p>
    <w:p w14:paraId="5B4DF32B" w14:textId="77777777" w:rsidR="0050572A" w:rsidRPr="0050572A" w:rsidRDefault="00973EAE" w:rsidP="0050572A">
      <w:pPr>
        <w:spacing w:before="240" w:line="360" w:lineRule="auto"/>
        <w:ind w:left="851" w:right="851"/>
        <w:jc w:val="both"/>
        <w:rPr>
          <w:rFonts w:ascii="Palatino Linotype" w:hAnsi="Palatino Linotype" w:cs="Arial"/>
          <w:i/>
          <w:iCs/>
        </w:rPr>
      </w:pPr>
      <w:r w:rsidRPr="0050572A">
        <w:rPr>
          <w:rFonts w:ascii="Palatino Linotype" w:hAnsi="Palatino Linotype" w:cs="Arial"/>
          <w:i/>
          <w:iCs/>
        </w:rPr>
        <w:t>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Municipal y demás ordenamientos legales que apruebe el H. Ayuntamiento o que sean aplicables.</w:t>
      </w:r>
    </w:p>
    <w:p w14:paraId="220B3625" w14:textId="77777777" w:rsidR="0050572A" w:rsidRPr="0050572A" w:rsidRDefault="00973EAE" w:rsidP="0050572A">
      <w:pPr>
        <w:spacing w:before="240" w:line="360" w:lineRule="auto"/>
        <w:ind w:left="851" w:right="851"/>
        <w:jc w:val="both"/>
        <w:rPr>
          <w:rFonts w:ascii="Palatino Linotype" w:hAnsi="Palatino Linotype" w:cs="Arial"/>
          <w:i/>
          <w:iCs/>
        </w:rPr>
      </w:pPr>
      <w:r w:rsidRPr="0050572A">
        <w:rPr>
          <w:rFonts w:ascii="Palatino Linotype" w:hAnsi="Palatino Linotype" w:cs="Arial"/>
          <w:b/>
          <w:bCs/>
          <w:i/>
          <w:iCs/>
        </w:rPr>
        <w:t>DE LAS DEPENDENCIAS MUNICIPALES CENTRALIZADAS</w:t>
      </w:r>
      <w:r w:rsidRPr="0050572A">
        <w:rPr>
          <w:rFonts w:ascii="Palatino Linotype" w:hAnsi="Palatino Linotype" w:cs="Arial"/>
          <w:i/>
          <w:iCs/>
        </w:rPr>
        <w:t>:</w:t>
      </w:r>
    </w:p>
    <w:p w14:paraId="7519CDBA" w14:textId="79F63F25"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Oficina de la Presidencia</w:t>
      </w:r>
    </w:p>
    <w:p w14:paraId="17F8B189" w14:textId="1813FD6F"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Secretaría del Ayuntamiento</w:t>
      </w:r>
    </w:p>
    <w:p w14:paraId="620E3CB8" w14:textId="772FD6B8"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Tesorería Municipal</w:t>
      </w:r>
    </w:p>
    <w:p w14:paraId="3F2EA287" w14:textId="517CC654"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Contraloría Municipal</w:t>
      </w:r>
    </w:p>
    <w:p w14:paraId="454B5251" w14:textId="458D9848"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Dirección Jurídica y Consultiva</w:t>
      </w:r>
    </w:p>
    <w:p w14:paraId="5CC1F237" w14:textId="1F65FEBC"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Dirección de Administración y Desarrollo de Personal</w:t>
      </w:r>
    </w:p>
    <w:p w14:paraId="27A90A83" w14:textId="6AA99400"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Dirección de Comunicación Institucional y Relaciones públicas.</w:t>
      </w:r>
    </w:p>
    <w:p w14:paraId="2A924150" w14:textId="7B87A092"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Dirección de Seguridad Pública y Tránsito Municipal</w:t>
      </w:r>
    </w:p>
    <w:p w14:paraId="058F5BD7" w14:textId="3E561862"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b/>
          <w:bCs/>
          <w:i/>
          <w:iCs/>
          <w:sz w:val="22"/>
          <w:szCs w:val="22"/>
          <w:u w:val="single"/>
        </w:rPr>
      </w:pPr>
      <w:r w:rsidRPr="0050572A">
        <w:rPr>
          <w:rFonts w:ascii="Palatino Linotype" w:hAnsi="Palatino Linotype" w:cs="Arial"/>
          <w:b/>
          <w:bCs/>
          <w:i/>
          <w:iCs/>
          <w:sz w:val="22"/>
          <w:szCs w:val="22"/>
          <w:u w:val="single"/>
        </w:rPr>
        <w:t>Dirección de Desarrollo Territorial</w:t>
      </w:r>
    </w:p>
    <w:p w14:paraId="3DA6BCB7" w14:textId="3C7096ED"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Dirección de Protección Civil y Bomberos</w:t>
      </w:r>
    </w:p>
    <w:p w14:paraId="383BA0CE" w14:textId="2DE6A61C"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lastRenderedPageBreak/>
        <w:t>Dirección de Servicios Públicos</w:t>
      </w:r>
    </w:p>
    <w:p w14:paraId="03FB6E81" w14:textId="545A07A1"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Dirección de Bienestar</w:t>
      </w:r>
    </w:p>
    <w:p w14:paraId="0B6F0B8E" w14:textId="1135E9EF"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 xml:space="preserve">Dirección de Desarrollo Económico </w:t>
      </w:r>
    </w:p>
    <w:p w14:paraId="2BA1CD5E" w14:textId="0DEBE5FB" w:rsidR="0050572A" w:rsidRPr="0050572A" w:rsidRDefault="00973EAE" w:rsidP="0050572A">
      <w:pPr>
        <w:pStyle w:val="Prrafodelista"/>
        <w:numPr>
          <w:ilvl w:val="0"/>
          <w:numId w:val="39"/>
        </w:numPr>
        <w:spacing w:before="240" w:after="160" w:line="360" w:lineRule="auto"/>
        <w:ind w:left="851" w:right="851" w:hanging="41"/>
        <w:jc w:val="both"/>
        <w:rPr>
          <w:rFonts w:ascii="Palatino Linotype" w:hAnsi="Palatino Linotype" w:cs="Arial"/>
          <w:i/>
          <w:iCs/>
          <w:sz w:val="22"/>
          <w:szCs w:val="22"/>
        </w:rPr>
      </w:pPr>
      <w:r w:rsidRPr="0050572A">
        <w:rPr>
          <w:rFonts w:ascii="Palatino Linotype" w:hAnsi="Palatino Linotype" w:cs="Arial"/>
          <w:i/>
          <w:iCs/>
          <w:sz w:val="22"/>
          <w:szCs w:val="22"/>
        </w:rPr>
        <w:t>Dirección de Medio Ambiente</w:t>
      </w:r>
    </w:p>
    <w:p w14:paraId="184F37D5" w14:textId="1C572698" w:rsidR="0050572A" w:rsidRDefault="00973EAE" w:rsidP="0050572A">
      <w:pPr>
        <w:pStyle w:val="Prrafodelista"/>
        <w:numPr>
          <w:ilvl w:val="0"/>
          <w:numId w:val="39"/>
        </w:numPr>
        <w:spacing w:before="240" w:after="160" w:line="360" w:lineRule="auto"/>
        <w:ind w:left="851" w:right="851" w:hanging="41"/>
        <w:jc w:val="both"/>
        <w:rPr>
          <w:rFonts w:ascii="Arial" w:hAnsi="Arial" w:cs="Arial"/>
          <w:sz w:val="25"/>
          <w:szCs w:val="25"/>
        </w:rPr>
      </w:pPr>
      <w:r w:rsidRPr="0050572A">
        <w:rPr>
          <w:rFonts w:ascii="Palatino Linotype" w:hAnsi="Palatino Linotype" w:cs="Arial"/>
          <w:i/>
          <w:iCs/>
          <w:sz w:val="22"/>
          <w:szCs w:val="22"/>
        </w:rPr>
        <w:t>Dirección del Instituto</w:t>
      </w:r>
      <w:r w:rsidRPr="0050572A">
        <w:rPr>
          <w:rFonts w:ascii="Arial" w:hAnsi="Arial" w:cs="Arial"/>
          <w:sz w:val="25"/>
          <w:szCs w:val="25"/>
        </w:rPr>
        <w:t xml:space="preserve"> </w:t>
      </w:r>
      <w:r w:rsidRPr="0050572A">
        <w:rPr>
          <w:rFonts w:ascii="Palatino Linotype" w:hAnsi="Palatino Linotype" w:cs="Arial"/>
          <w:i/>
          <w:iCs/>
          <w:sz w:val="22"/>
          <w:szCs w:val="22"/>
        </w:rPr>
        <w:t>de la Mujer</w:t>
      </w:r>
    </w:p>
    <w:p w14:paraId="38B4D46F" w14:textId="149A8D53" w:rsidR="00973EAE" w:rsidRDefault="00973EAE" w:rsidP="0050572A">
      <w:pPr>
        <w:pStyle w:val="Prrafodelista"/>
        <w:spacing w:before="240" w:after="160" w:line="360" w:lineRule="auto"/>
        <w:ind w:left="851" w:right="851"/>
        <w:jc w:val="both"/>
        <w:rPr>
          <w:rFonts w:ascii="Palatino Linotype" w:hAnsi="Palatino Linotype" w:cs="Arial"/>
          <w:b/>
          <w:bCs/>
          <w:i/>
          <w:iCs/>
          <w:sz w:val="22"/>
          <w:szCs w:val="22"/>
        </w:rPr>
      </w:pPr>
      <w:r w:rsidRPr="0050572A">
        <w:rPr>
          <w:rFonts w:ascii="Palatino Linotype" w:hAnsi="Palatino Linotype" w:cs="Arial"/>
          <w:b/>
          <w:bCs/>
          <w:i/>
          <w:iCs/>
          <w:sz w:val="22"/>
          <w:szCs w:val="22"/>
        </w:rPr>
        <w:t>DE LOS ORGANISMOS PÚBLICOS MUNICIPALES DESCENTRALIZADOS</w:t>
      </w:r>
    </w:p>
    <w:p w14:paraId="082C52BE" w14:textId="6A7BECEA" w:rsidR="0050572A" w:rsidRPr="0050572A" w:rsidRDefault="0050572A" w:rsidP="0050572A">
      <w:pPr>
        <w:pStyle w:val="Prrafodelista"/>
        <w:spacing w:before="240" w:after="160" w:line="360" w:lineRule="auto"/>
        <w:ind w:left="851" w:right="851"/>
        <w:jc w:val="both"/>
        <w:rPr>
          <w:rFonts w:ascii="Palatino Linotype" w:hAnsi="Palatino Linotype" w:cs="Arial"/>
          <w:b/>
          <w:bCs/>
          <w:i/>
          <w:iCs/>
          <w:sz w:val="22"/>
          <w:szCs w:val="22"/>
        </w:rPr>
      </w:pPr>
      <w:r>
        <w:rPr>
          <w:rFonts w:ascii="Palatino Linotype" w:hAnsi="Palatino Linotype" w:cs="Arial"/>
          <w:b/>
          <w:bCs/>
          <w:i/>
          <w:iCs/>
          <w:sz w:val="22"/>
          <w:szCs w:val="22"/>
        </w:rPr>
        <w:t>(…)</w:t>
      </w:r>
    </w:p>
    <w:p w14:paraId="45CD2CA8" w14:textId="6948BAA5" w:rsidR="00973EAE" w:rsidRPr="0050572A" w:rsidRDefault="00973EAE" w:rsidP="0050572A">
      <w:pPr>
        <w:spacing w:before="240" w:line="360" w:lineRule="auto"/>
        <w:ind w:left="851" w:right="851"/>
        <w:jc w:val="both"/>
        <w:rPr>
          <w:rFonts w:ascii="Palatino Linotype" w:hAnsi="Palatino Linotype" w:cs="Arial"/>
          <w:b/>
          <w:bCs/>
          <w:i/>
          <w:iCs/>
        </w:rPr>
      </w:pPr>
      <w:r w:rsidRPr="00CD061B">
        <w:rPr>
          <w:rFonts w:ascii="Palatino Linotype" w:hAnsi="Palatino Linotype" w:cs="Arial"/>
          <w:b/>
          <w:bCs/>
          <w:i/>
          <w:iCs/>
          <w:u w:val="single"/>
        </w:rPr>
        <w:t>ARTÍCULO 48.- La Dirección de Desarrollo Territorial tendrá como objetivo planear, programar, presupuestar, adjudicar, contratar, ejecutar, vigilar, supervisar, controlar, recepcionar, suspender, reanudar, conservar y mantener la construcción de obras de urbanización, infraestructura y equipamiento urbano, así como las obras públicas municipales, así como la facultad de convenir, finiquitar e iniciar el procedimiento técnico administrativo para dar paso a la rescisión de los contratos que de ellas emanen</w:t>
      </w:r>
      <w:r w:rsidR="0050572A" w:rsidRPr="00CD061B">
        <w:rPr>
          <w:rFonts w:ascii="Palatino Linotype" w:hAnsi="Palatino Linotype" w:cs="Arial"/>
          <w:b/>
          <w:bCs/>
          <w:i/>
          <w:iCs/>
          <w:u w:val="single"/>
        </w:rPr>
        <w:t>.”</w:t>
      </w:r>
      <w:r w:rsidR="0050572A" w:rsidRPr="0050572A">
        <w:rPr>
          <w:rFonts w:ascii="Palatino Linotype" w:hAnsi="Palatino Linotype" w:cs="Arial"/>
          <w:i/>
          <w:iCs/>
        </w:rPr>
        <w:t xml:space="preserve"> </w:t>
      </w:r>
      <w:r w:rsidR="0050572A" w:rsidRPr="0050572A">
        <w:rPr>
          <w:rFonts w:ascii="Palatino Linotype" w:hAnsi="Palatino Linotype" w:cs="Arial"/>
          <w:b/>
          <w:bCs/>
          <w:i/>
          <w:iCs/>
        </w:rPr>
        <w:t>[Sic]</w:t>
      </w:r>
    </w:p>
    <w:p w14:paraId="079E5DB6" w14:textId="617DB481" w:rsidR="00973EAE" w:rsidRDefault="00973EAE" w:rsidP="00DD7C82">
      <w:pPr>
        <w:spacing w:after="0" w:line="360" w:lineRule="auto"/>
        <w:jc w:val="both"/>
        <w:rPr>
          <w:rFonts w:ascii="Palatino Linotype" w:hAnsi="Palatino Linotype" w:cs="Arial"/>
          <w:sz w:val="24"/>
          <w:szCs w:val="24"/>
        </w:rPr>
      </w:pPr>
    </w:p>
    <w:p w14:paraId="2E82AB35" w14:textId="65EECAC5" w:rsidR="00973EAE" w:rsidRDefault="00973EAE" w:rsidP="00DD7C82">
      <w:pPr>
        <w:spacing w:after="0" w:line="360" w:lineRule="auto"/>
        <w:jc w:val="both"/>
        <w:rPr>
          <w:rFonts w:ascii="Palatino Linotype" w:hAnsi="Palatino Linotype" w:cs="Arial"/>
          <w:sz w:val="24"/>
          <w:szCs w:val="24"/>
        </w:rPr>
      </w:pPr>
    </w:p>
    <w:p w14:paraId="56F110CA" w14:textId="5FDDB530" w:rsidR="00CD061B" w:rsidRDefault="00AA7EDD" w:rsidP="005A51F9">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En efecto, de la normatividad previamente plasmada se desprende que la esfera competencial del </w:t>
      </w:r>
      <w:r>
        <w:rPr>
          <w:rFonts w:ascii="Palatino Linotype" w:hAnsi="Palatino Linotype" w:cs="Arial"/>
          <w:b/>
          <w:color w:val="000000"/>
          <w:lang w:val="es-ES_tradnl"/>
        </w:rPr>
        <w:t xml:space="preserve">Sujeto Obligado </w:t>
      </w:r>
      <w:r>
        <w:rPr>
          <w:rFonts w:ascii="Palatino Linotype" w:hAnsi="Palatino Linotype" w:cs="Arial"/>
          <w:color w:val="000000"/>
          <w:lang w:val="es-ES_tradnl"/>
        </w:rPr>
        <w:t xml:space="preserve">le permite planear, ejecutar, supervisar y mantener obras públicas, previo cumplimiento a los requisitos previstos en la Ley de </w:t>
      </w:r>
      <w:r>
        <w:rPr>
          <w:rFonts w:ascii="Palatino Linotype" w:hAnsi="Palatino Linotype" w:cs="Arial"/>
          <w:color w:val="000000"/>
          <w:lang w:val="es-ES_tradnl"/>
        </w:rPr>
        <w:lastRenderedPageBreak/>
        <w:t>Contratación Pública. De manera complementaria se precisa que la adjudicación de adquisiciones, arrendamientos o servicios se subordina a</w:t>
      </w:r>
      <w:r w:rsidR="006611C1">
        <w:rPr>
          <w:rFonts w:ascii="Palatino Linotype" w:hAnsi="Palatino Linotype" w:cs="Arial"/>
          <w:color w:val="000000"/>
          <w:lang w:val="es-ES_tradnl"/>
        </w:rPr>
        <w:t>l</w:t>
      </w:r>
      <w:r>
        <w:rPr>
          <w:rFonts w:ascii="Palatino Linotype" w:hAnsi="Palatino Linotype" w:cs="Arial"/>
          <w:color w:val="000000"/>
          <w:lang w:val="es-ES_tradnl"/>
        </w:rPr>
        <w:t xml:space="preserve"> principio de licitación pública y excepcionalmente a la invitación restringida, así como a la adjudicación directa</w:t>
      </w:r>
      <w:r w:rsidR="00CD061B">
        <w:rPr>
          <w:rFonts w:ascii="Palatino Linotype" w:hAnsi="Palatino Linotype" w:cs="Arial"/>
          <w:color w:val="000000"/>
          <w:lang w:val="es-ES_tradnl"/>
        </w:rPr>
        <w:t xml:space="preserve">, mismos que se encuentran invariablemente supeditados a la celebración de un contrato. </w:t>
      </w:r>
    </w:p>
    <w:p w14:paraId="0E189C3E" w14:textId="77777777" w:rsidR="00CD061B" w:rsidRDefault="00CD061B" w:rsidP="005A51F9">
      <w:pPr>
        <w:pStyle w:val="Sinespaciado"/>
        <w:spacing w:line="360" w:lineRule="auto"/>
        <w:jc w:val="both"/>
        <w:rPr>
          <w:rFonts w:ascii="Palatino Linotype" w:hAnsi="Palatino Linotype" w:cs="Arial"/>
          <w:color w:val="000000"/>
          <w:lang w:val="es-ES_tradnl"/>
        </w:rPr>
      </w:pPr>
    </w:p>
    <w:p w14:paraId="4E5FC69A" w14:textId="07F3AA4B" w:rsidR="001A6AAB" w:rsidRDefault="00CD061B" w:rsidP="005A51F9">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De manera complementaria, es menester señalar que</w:t>
      </w:r>
      <w:r w:rsidR="00AA7EDD">
        <w:rPr>
          <w:rFonts w:ascii="Palatino Linotype" w:hAnsi="Palatino Linotype" w:cs="Arial"/>
          <w:color w:val="000000"/>
          <w:lang w:val="es-ES_tradnl"/>
        </w:rPr>
        <w:t xml:space="preserve"> en dicho proceso, participará un Comité de Adquisiciones y Servicios, el cual se nutre por representantes de múltiples unidades administrativas, en términos del Reglamento de la Ley de Contratación Pública del Estado de México y Municipios. </w:t>
      </w:r>
    </w:p>
    <w:p w14:paraId="4B52E633" w14:textId="77777777" w:rsidR="00AA7EDD" w:rsidRDefault="00AA7EDD" w:rsidP="005A51F9">
      <w:pPr>
        <w:pStyle w:val="Sinespaciado"/>
        <w:spacing w:line="360" w:lineRule="auto"/>
        <w:jc w:val="both"/>
        <w:rPr>
          <w:rFonts w:ascii="Palatino Linotype" w:hAnsi="Palatino Linotype" w:cs="Arial"/>
          <w:color w:val="000000"/>
          <w:lang w:val="es-ES_tradnl"/>
        </w:rPr>
      </w:pPr>
    </w:p>
    <w:p w14:paraId="46560DB7" w14:textId="6B2F1F77" w:rsidR="00AA7EDD" w:rsidRPr="00AA7EDD" w:rsidRDefault="00AA7EDD" w:rsidP="005A51F9">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dentro de las fronteras conceptuales del interés general y el alcance público, robustece lo anterior los artículos 24, fracción XII y 92, fracción XXIX de la Ley de Transparencia y Acceso a la Información Pública del Estado de México y Municipios, normatividad invocada cuyo contenido literal es el siguiente: </w:t>
      </w:r>
    </w:p>
    <w:p w14:paraId="6E59017D"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679B1AB5" w14:textId="77777777" w:rsidR="009719BF" w:rsidRPr="00E66BD3" w:rsidRDefault="009719BF" w:rsidP="009719B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XII. Publicar y mantener actualizada la información relativa a las obligaciones generales de transparencia previstas en la presente Ley o </w:t>
      </w:r>
      <w:r w:rsidRPr="00E66BD3">
        <w:rPr>
          <w:rFonts w:ascii="Palatino Linotype" w:hAnsi="Palatino Linotype"/>
          <w:b/>
          <w:i/>
          <w:u w:val="single"/>
        </w:rPr>
        <w:lastRenderedPageBreak/>
        <w:t>determinadas así por el Instituto, y en general aquella que sea de interés público;</w:t>
      </w:r>
    </w:p>
    <w:p w14:paraId="445C8D29"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A03DF4" w14:textId="77777777" w:rsidR="009719BF" w:rsidRPr="00E66BD3" w:rsidRDefault="009719BF" w:rsidP="009719B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7758E3B" w14:textId="77777777" w:rsidR="009719BF" w:rsidRPr="00E66BD3" w:rsidRDefault="009719BF" w:rsidP="009719B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73DE7068" w14:textId="77777777" w:rsidR="009719BF" w:rsidRPr="006C63A0" w:rsidRDefault="009719BF" w:rsidP="009719BF">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1) La convocatoria o invitación emitida, así como los fundamentos legales aplicados para llevarla a cabo; </w:t>
      </w:r>
    </w:p>
    <w:p w14:paraId="378B331A"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723446E2"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5A902F28"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686DF077"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5CAEE463"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3C7C9E08" w14:textId="77777777" w:rsidR="009719BF" w:rsidRPr="006C63A0" w:rsidRDefault="009719BF" w:rsidP="009719BF">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7) El contrato y, en su caso, sus anexos; </w:t>
      </w:r>
    </w:p>
    <w:p w14:paraId="13C75A3F"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8) Los mecanismos de vigilancia y supervisión, incluyendo en su caso, los estudios de impacto urbano y ambiental, según corresponda; </w:t>
      </w:r>
    </w:p>
    <w:p w14:paraId="61DDE559"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18B46598"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5BAA3F06"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2D40BBF9"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2777FD6D"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4141FA64" w14:textId="77777777" w:rsidR="009719BF" w:rsidRPr="00E66BD3" w:rsidRDefault="009719BF" w:rsidP="009719BF">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1B2FA639"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0E088EA9"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7955947A"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632DF72B"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7570075B"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65D72CFC"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0AE5B45D" w14:textId="77777777" w:rsidR="009719BF" w:rsidRPr="006C63A0" w:rsidRDefault="009719BF" w:rsidP="009719BF">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lastRenderedPageBreak/>
        <w:t xml:space="preserve">7) El número, fecha, el monto del contrato y el plazo de entrega o de ejecución de los servicios u obra; </w:t>
      </w:r>
    </w:p>
    <w:p w14:paraId="29450E15"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5939FB3E"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20685B88" w14:textId="77777777" w:rsidR="009719BF" w:rsidRPr="00E66BD3" w:rsidRDefault="009719BF" w:rsidP="009719BF">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5E8C3A5C" w14:textId="77777777" w:rsidR="009719BF" w:rsidRPr="00E66BD3" w:rsidRDefault="009719BF" w:rsidP="009719BF">
      <w:pPr>
        <w:spacing w:before="240" w:line="360" w:lineRule="auto"/>
        <w:ind w:left="851" w:right="851"/>
        <w:jc w:val="both"/>
        <w:rPr>
          <w:rFonts w:ascii="Palatino Linotype" w:hAnsi="Palatino Linotype" w:cs="Arial"/>
          <w:i/>
          <w:sz w:val="24"/>
        </w:rPr>
      </w:pPr>
      <w:r w:rsidRPr="00E66BD3">
        <w:rPr>
          <w:rFonts w:ascii="Palatino Linotype" w:hAnsi="Palatino Linotype"/>
          <w:i/>
        </w:rPr>
        <w:t>11) El finiquito.”</w:t>
      </w:r>
    </w:p>
    <w:p w14:paraId="44A7BFFA" w14:textId="77777777" w:rsidR="009719BF" w:rsidRDefault="009719BF" w:rsidP="009719BF">
      <w:pPr>
        <w:spacing w:before="240" w:line="360" w:lineRule="auto"/>
        <w:jc w:val="both"/>
        <w:rPr>
          <w:rFonts w:ascii="Palatino Linotype" w:hAnsi="Palatino Linotype"/>
          <w:b/>
          <w:i/>
          <w:u w:val="single"/>
        </w:rPr>
      </w:pPr>
    </w:p>
    <w:p w14:paraId="727CAA84" w14:textId="2D787ED4" w:rsidR="009719BF" w:rsidRDefault="009719BF" w:rsidP="009719BF">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misma que puede ser consultada en la siguiente dirección electrónica:</w:t>
      </w:r>
    </w:p>
    <w:p w14:paraId="02A663CF" w14:textId="07342B62" w:rsidR="00262460" w:rsidRDefault="008773EB" w:rsidP="009719BF">
      <w:pPr>
        <w:pStyle w:val="Prrafodelista"/>
        <w:spacing w:line="360" w:lineRule="auto"/>
        <w:ind w:left="0" w:right="34"/>
        <w:contextualSpacing/>
        <w:jc w:val="both"/>
        <w:rPr>
          <w:rFonts w:ascii="Palatino Linotype" w:hAnsi="Palatino Linotype"/>
        </w:rPr>
      </w:pPr>
      <w:hyperlink r:id="rId8" w:history="1">
        <w:r w:rsidR="00262460" w:rsidRPr="00247998">
          <w:rPr>
            <w:rStyle w:val="Hipervnculo"/>
            <w:rFonts w:ascii="Palatino Linotype" w:hAnsi="Palatino Linotype"/>
          </w:rPr>
          <w:t>https://www.ipomex.org.mx/ipo3/lgt/indice/ATIZAPANDEZARAGOZA/art_93_i/1.web</w:t>
        </w:r>
      </w:hyperlink>
      <w:r w:rsidR="00262460">
        <w:rPr>
          <w:rFonts w:ascii="Palatino Linotype" w:hAnsi="Palatino Linotype"/>
        </w:rPr>
        <w:t xml:space="preserve"> </w:t>
      </w:r>
    </w:p>
    <w:p w14:paraId="77710A2B" w14:textId="40AE84B8" w:rsidR="00262460" w:rsidRDefault="00262460" w:rsidP="009719BF">
      <w:pPr>
        <w:pStyle w:val="Prrafodelista"/>
        <w:spacing w:line="360" w:lineRule="auto"/>
        <w:ind w:left="0" w:right="34"/>
        <w:contextualSpacing/>
        <w:jc w:val="both"/>
        <w:rPr>
          <w:rFonts w:ascii="Palatino Linotype" w:hAnsi="Palatino Linotype"/>
        </w:rPr>
      </w:pPr>
      <w:r>
        <w:rPr>
          <w:rFonts w:ascii="Palatino Linotype" w:hAnsi="Palatino Linotype"/>
        </w:rPr>
        <w:t xml:space="preserve">Resultan de nuestro interés las siguientes imágenes ilustrativas: </w:t>
      </w:r>
    </w:p>
    <w:p w14:paraId="69A143CD" w14:textId="1C0D8948" w:rsidR="00262460" w:rsidRDefault="00753A43" w:rsidP="005A51F9">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709440" behindDoc="0" locked="0" layoutInCell="1" allowOverlap="1" wp14:anchorId="4E585EBB" wp14:editId="240D5E68">
                <wp:simplePos x="0" y="0"/>
                <wp:positionH relativeFrom="column">
                  <wp:posOffset>-303959</wp:posOffset>
                </wp:positionH>
                <wp:positionV relativeFrom="paragraph">
                  <wp:posOffset>211867</wp:posOffset>
                </wp:positionV>
                <wp:extent cx="6453963" cy="2147777"/>
                <wp:effectExtent l="0" t="0" r="23495" b="24130"/>
                <wp:wrapNone/>
                <wp:docPr id="1" name="Conector recto 1"/>
                <wp:cNvGraphicFramePr/>
                <a:graphic xmlns:a="http://schemas.openxmlformats.org/drawingml/2006/main">
                  <a:graphicData uri="http://schemas.microsoft.com/office/word/2010/wordprocessingShape">
                    <wps:wsp>
                      <wps:cNvCnPr/>
                      <wps:spPr>
                        <a:xfrm>
                          <a:off x="0" y="0"/>
                          <a:ext cx="6453963" cy="21477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125F9C" id="Conector recto 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3.95pt,16.7pt" to="484.25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" strokecolor="#5b9bd5 [3204]" strokeweight=".5pt">
                <v:stroke joinstyle="miter"/>
              </v:line>
            </w:pict>
          </mc:Fallback>
        </mc:AlternateContent>
      </w:r>
    </w:p>
    <w:p w14:paraId="6E767F2B" w14:textId="77777777" w:rsidR="00262460" w:rsidRDefault="00262460" w:rsidP="005A51F9">
      <w:pPr>
        <w:pStyle w:val="Sinespaciado"/>
        <w:spacing w:line="360" w:lineRule="auto"/>
        <w:jc w:val="both"/>
        <w:rPr>
          <w:rFonts w:ascii="Palatino Linotype" w:hAnsi="Palatino Linotype"/>
        </w:rPr>
      </w:pPr>
    </w:p>
    <w:p w14:paraId="4B481A67" w14:textId="2C78B7ED" w:rsidR="00262460" w:rsidRDefault="00262460" w:rsidP="005A51F9">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98176" behindDoc="0" locked="0" layoutInCell="1" allowOverlap="1" wp14:anchorId="003713EB" wp14:editId="2E34C3BC">
            <wp:simplePos x="0" y="0"/>
            <wp:positionH relativeFrom="page">
              <wp:align>center</wp:align>
            </wp:positionH>
            <wp:positionV relativeFrom="paragraph">
              <wp:posOffset>109395</wp:posOffset>
            </wp:positionV>
            <wp:extent cx="5621425" cy="6886246"/>
            <wp:effectExtent l="19050" t="19050" r="17780" b="10160"/>
            <wp:wrapThrough wrapText="bothSides">
              <wp:wrapPolygon edited="0">
                <wp:start x="-73" y="-60"/>
                <wp:lineTo x="-73" y="21572"/>
                <wp:lineTo x="21595" y="21572"/>
                <wp:lineTo x="21595" y="-60"/>
                <wp:lineTo x="-73" y="-6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1425" cy="688624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4384230" w14:textId="1A8FAAA4" w:rsidR="00262460" w:rsidRDefault="00262460" w:rsidP="005A51F9">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64379" behindDoc="0" locked="0" layoutInCell="1" allowOverlap="1" wp14:anchorId="00AC4AE2" wp14:editId="149211C0">
            <wp:simplePos x="0" y="0"/>
            <wp:positionH relativeFrom="margin">
              <wp:posOffset>73660</wp:posOffset>
            </wp:positionH>
            <wp:positionV relativeFrom="paragraph">
              <wp:posOffset>43815</wp:posOffset>
            </wp:positionV>
            <wp:extent cx="5591810" cy="6901815"/>
            <wp:effectExtent l="19050" t="19050" r="27940" b="13335"/>
            <wp:wrapThrough wrapText="bothSides">
              <wp:wrapPolygon edited="0">
                <wp:start x="-74" y="-60"/>
                <wp:lineTo x="-74" y="21582"/>
                <wp:lineTo x="21634" y="21582"/>
                <wp:lineTo x="21634" y="-60"/>
                <wp:lineTo x="-74" y="-6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810" cy="69018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75967BD" w14:textId="1B3D06EF" w:rsidR="00262460" w:rsidRPr="006B59AF" w:rsidRDefault="006C63A0" w:rsidP="005A51F9">
      <w:pPr>
        <w:pStyle w:val="Sinespaciado"/>
        <w:spacing w:line="360" w:lineRule="auto"/>
        <w:jc w:val="both"/>
        <w:rPr>
          <w:rFonts w:ascii="Palatino Linotype" w:hAnsi="Palatino Linotype"/>
        </w:rPr>
      </w:pPr>
      <w:r w:rsidRPr="006B59AF">
        <w:rPr>
          <w:rFonts w:ascii="Palatino Linotype" w:hAnsi="Palatino Linotype"/>
        </w:rPr>
        <w:lastRenderedPageBreak/>
        <w:t xml:space="preserve">Aunado a lo anterior, como se mencionó en el antecedente segundo, en fecha doce de febrero de dos mil veinte, </w:t>
      </w:r>
      <w:r w:rsidRPr="006B59AF">
        <w:rPr>
          <w:rFonts w:ascii="Palatino Linotype" w:hAnsi="Palatino Linotype"/>
          <w:b/>
          <w:bCs/>
        </w:rPr>
        <w:t xml:space="preserve">El Sujeto Obligado </w:t>
      </w:r>
      <w:r w:rsidRPr="006B59AF">
        <w:rPr>
          <w:rFonts w:ascii="Palatino Linotype" w:hAnsi="Palatino Linotype"/>
        </w:rPr>
        <w:t xml:space="preserve">rindió su respuesta a la solicitud de información formulada por el particular, adjuntando para tal efecto lo siguiente: </w:t>
      </w:r>
    </w:p>
    <w:p w14:paraId="0F3FB321" w14:textId="47B0563B" w:rsidR="006C63A0" w:rsidRPr="00F874C4" w:rsidRDefault="006C63A0" w:rsidP="006C63A0">
      <w:pPr>
        <w:pStyle w:val="Sinespaciado"/>
        <w:numPr>
          <w:ilvl w:val="0"/>
          <w:numId w:val="40"/>
        </w:numPr>
        <w:spacing w:line="360" w:lineRule="auto"/>
        <w:jc w:val="both"/>
        <w:rPr>
          <w:rFonts w:ascii="Palatino Linotype" w:hAnsi="Palatino Linotype"/>
          <w:b/>
          <w:bCs/>
        </w:rPr>
      </w:pPr>
      <w:r w:rsidRPr="006B59AF">
        <w:rPr>
          <w:rFonts w:ascii="Palatino Linotype" w:hAnsi="Palatino Linotype"/>
          <w:b/>
          <w:bCs/>
        </w:rPr>
        <w:t>“</w:t>
      </w:r>
      <w:r w:rsidR="006B59AF" w:rsidRPr="006B59AF">
        <w:rPr>
          <w:rFonts w:ascii="Palatino Linotype" w:hAnsi="Palatino Linotype"/>
          <w:b/>
          <w:bCs/>
        </w:rPr>
        <w:t xml:space="preserve">Respuesta 043.pdf”: </w:t>
      </w:r>
      <w:r w:rsidR="006B59AF" w:rsidRPr="006B59AF">
        <w:rPr>
          <w:rFonts w:ascii="Palatino Linotype" w:hAnsi="Palatino Linotype"/>
        </w:rPr>
        <w:t xml:space="preserve">Oficio </w:t>
      </w:r>
      <w:r w:rsidR="006B59AF" w:rsidRPr="006B59AF">
        <w:rPr>
          <w:rFonts w:ascii="Palatino Linotype" w:hAnsi="Palatino Linotype"/>
          <w:b/>
          <w:bCs/>
        </w:rPr>
        <w:t xml:space="preserve">DGDT/CT/SCN/715/2020 </w:t>
      </w:r>
      <w:r w:rsidR="006B59AF" w:rsidRPr="006B59AF">
        <w:rPr>
          <w:rFonts w:ascii="Palatino Linotype" w:hAnsi="Palatino Linotype"/>
        </w:rPr>
        <w:t>signado por la Directora General de Desarrollo Territorial y dirigido a la Titular de la Unidad de Transparencia y Acceso a la Información, de fecha treinta de enero de dos mil veinte. En lo medular resulta de nuestro interés el siguiente extracto:</w:t>
      </w:r>
    </w:p>
    <w:p w14:paraId="52E8E648" w14:textId="77777777" w:rsidR="00F874C4" w:rsidRPr="006B59AF" w:rsidRDefault="00F874C4" w:rsidP="00F874C4">
      <w:pPr>
        <w:pStyle w:val="Sinespaciado"/>
        <w:spacing w:line="360" w:lineRule="auto"/>
        <w:ind w:left="720"/>
        <w:jc w:val="both"/>
        <w:rPr>
          <w:rFonts w:ascii="Palatino Linotype" w:hAnsi="Palatino Linotype"/>
          <w:b/>
          <w:bCs/>
        </w:rPr>
      </w:pPr>
    </w:p>
    <w:p w14:paraId="1A457750" w14:textId="15BE6A93" w:rsidR="006B59AF" w:rsidRDefault="006B59AF" w:rsidP="006B59AF">
      <w:pPr>
        <w:pStyle w:val="Sinespaciado"/>
        <w:spacing w:line="360" w:lineRule="auto"/>
        <w:ind w:left="720"/>
        <w:jc w:val="both"/>
        <w:rPr>
          <w:rFonts w:ascii="Palatino Linotype" w:hAnsi="Palatino Linotype"/>
          <w:i/>
          <w:iCs/>
        </w:rPr>
      </w:pPr>
      <w:r w:rsidRPr="006B59AF">
        <w:rPr>
          <w:rFonts w:ascii="Palatino Linotype" w:hAnsi="Palatino Linotype"/>
          <w:i/>
          <w:iCs/>
        </w:rPr>
        <w:t xml:space="preserve">“Toda vez que mediante </w:t>
      </w:r>
      <w:r>
        <w:rPr>
          <w:rFonts w:ascii="Palatino Linotype" w:hAnsi="Palatino Linotype"/>
          <w:i/>
          <w:iCs/>
        </w:rPr>
        <w:t xml:space="preserve">Acuerdo número </w:t>
      </w:r>
      <w:r>
        <w:rPr>
          <w:rFonts w:ascii="Palatino Linotype" w:hAnsi="Palatino Linotype"/>
          <w:b/>
          <w:bCs/>
          <w:i/>
          <w:iCs/>
        </w:rPr>
        <w:t xml:space="preserve">ACUERDO 0004/CTATIZARA/2019-2021, </w:t>
      </w:r>
      <w:r>
        <w:rPr>
          <w:rFonts w:ascii="Palatino Linotype" w:hAnsi="Palatino Linotype"/>
          <w:i/>
          <w:iCs/>
        </w:rPr>
        <w:t xml:space="preserve">de fecha 29 de enero del presente año, emitido por el </w:t>
      </w:r>
      <w:r>
        <w:rPr>
          <w:rFonts w:ascii="Palatino Linotype" w:hAnsi="Palatino Linotype"/>
          <w:b/>
          <w:bCs/>
          <w:i/>
          <w:iCs/>
        </w:rPr>
        <w:t xml:space="preserve">COMITÉ DE TRANSPARENCIA DE ATIZAPÁN DE ZARAGOZA, ESTADO DE MÉXICO, </w:t>
      </w:r>
      <w:r>
        <w:rPr>
          <w:rFonts w:ascii="Palatino Linotype" w:hAnsi="Palatino Linotype"/>
          <w:i/>
          <w:iCs/>
        </w:rPr>
        <w:t xml:space="preserve">se </w:t>
      </w:r>
      <w:r>
        <w:rPr>
          <w:rFonts w:ascii="Palatino Linotype" w:hAnsi="Palatino Linotype"/>
          <w:b/>
          <w:bCs/>
          <w:i/>
          <w:iCs/>
        </w:rPr>
        <w:t xml:space="preserve">CONFIRMÓ </w:t>
      </w:r>
      <w:r>
        <w:rPr>
          <w:rFonts w:ascii="Palatino Linotype" w:hAnsi="Palatino Linotype"/>
          <w:i/>
          <w:iCs/>
        </w:rPr>
        <w:t xml:space="preserve">la Clasificación, como </w:t>
      </w:r>
      <w:r>
        <w:rPr>
          <w:rFonts w:ascii="Palatino Linotype" w:hAnsi="Palatino Linotype"/>
          <w:b/>
          <w:bCs/>
          <w:i/>
          <w:iCs/>
          <w:u w:val="single"/>
        </w:rPr>
        <w:t xml:space="preserve">RESERVADA, </w:t>
      </w:r>
      <w:r>
        <w:rPr>
          <w:rFonts w:ascii="Palatino Linotype" w:hAnsi="Palatino Linotype"/>
          <w:i/>
          <w:iCs/>
        </w:rPr>
        <w:t>de la información solicitada por el Ciudadano interesado</w:t>
      </w:r>
      <w:r w:rsidR="00F874C4">
        <w:rPr>
          <w:rFonts w:ascii="Palatino Linotype" w:hAnsi="Palatino Linotype"/>
          <w:i/>
          <w:iCs/>
        </w:rPr>
        <w:t xml:space="preserve">, por los motivos y consideraciones expuestos en el mismo Acuerdo Administrativo; con fundamento en los artículos 3 fracción XLIV, 11, 53 fracciones II y VI, 132 fracción I y 168 fracciones I y III de la Ley de Transparencia y Acceso a la Información Pública del Estado de México y Municipios, atentamente solicito que, por conducto de la Unidad a su digno cargo, se notifique al particular del contenido del mismo, así como de las determinaciones que se tomen en torno a la petición en comento. De igual manera informe, sobre el </w:t>
      </w:r>
      <w:r w:rsidR="00F874C4">
        <w:rPr>
          <w:rFonts w:ascii="Palatino Linotype" w:hAnsi="Palatino Linotype"/>
          <w:b/>
          <w:bCs/>
          <w:i/>
          <w:iCs/>
        </w:rPr>
        <w:t xml:space="preserve">Acuerdo 0141/CTATIZARA/2019-2021, </w:t>
      </w:r>
      <w:r w:rsidR="00F874C4">
        <w:rPr>
          <w:rFonts w:ascii="Palatino Linotype" w:hAnsi="Palatino Linotype"/>
          <w:i/>
          <w:iCs/>
        </w:rPr>
        <w:t xml:space="preserve">que refiere dicha solicitud. </w:t>
      </w:r>
    </w:p>
    <w:p w14:paraId="450B37DC" w14:textId="0951E573" w:rsidR="00F874C4" w:rsidRPr="00F874C4" w:rsidRDefault="00F874C4" w:rsidP="006B59AF">
      <w:pPr>
        <w:pStyle w:val="Sinespaciado"/>
        <w:spacing w:line="360" w:lineRule="auto"/>
        <w:ind w:left="720"/>
        <w:jc w:val="both"/>
        <w:rPr>
          <w:rFonts w:ascii="Palatino Linotype" w:hAnsi="Palatino Linotype"/>
          <w:i/>
          <w:iCs/>
        </w:rPr>
      </w:pPr>
      <w:r>
        <w:rPr>
          <w:rFonts w:ascii="Palatino Linotype" w:hAnsi="Palatino Linotype"/>
          <w:i/>
          <w:iCs/>
        </w:rPr>
        <w:t xml:space="preserve">Por último se informa que, en lo que refiere al “Convenio de colaboración de los sindicatos para la construcción del puente” </w:t>
      </w:r>
      <w:r>
        <w:rPr>
          <w:rFonts w:ascii="Palatino Linotype" w:hAnsi="Palatino Linotype"/>
          <w:b/>
          <w:bCs/>
          <w:i/>
          <w:iCs/>
          <w:u w:val="single"/>
        </w:rPr>
        <w:t xml:space="preserve">no existe Convenio </w:t>
      </w:r>
      <w:r>
        <w:rPr>
          <w:rFonts w:ascii="Palatino Linotype" w:hAnsi="Palatino Linotype"/>
          <w:i/>
          <w:iCs/>
        </w:rPr>
        <w:t xml:space="preserve">alguno con sindicatos para la construcción de la obra que refiere el peticionario; máxime que, de la lectura </w:t>
      </w:r>
      <w:r>
        <w:rPr>
          <w:rFonts w:ascii="Palatino Linotype" w:hAnsi="Palatino Linotype"/>
          <w:i/>
          <w:iCs/>
        </w:rPr>
        <w:lastRenderedPageBreak/>
        <w:t xml:space="preserve">integral e interpretación de las normas aplicables en materia de Obra Pública, no se advierte consigna alguna para los efectos que advierte el interesado”. </w:t>
      </w:r>
    </w:p>
    <w:p w14:paraId="70E2240D" w14:textId="77777777" w:rsidR="00262460" w:rsidRDefault="00262460" w:rsidP="005A51F9">
      <w:pPr>
        <w:pStyle w:val="Sinespaciado"/>
        <w:spacing w:line="360" w:lineRule="auto"/>
        <w:jc w:val="both"/>
        <w:rPr>
          <w:rFonts w:ascii="Palatino Linotype" w:hAnsi="Palatino Linotype"/>
        </w:rPr>
      </w:pPr>
    </w:p>
    <w:p w14:paraId="64474FCD" w14:textId="43D7344A" w:rsidR="00ED1F7E" w:rsidRDefault="003501D5" w:rsidP="00ED1F7E">
      <w:pPr>
        <w:pStyle w:val="Sinespaciado"/>
        <w:spacing w:line="360" w:lineRule="auto"/>
        <w:jc w:val="both"/>
        <w:rPr>
          <w:rFonts w:ascii="Palatino Linotype" w:hAnsi="Palatino Linotype"/>
        </w:rPr>
      </w:pPr>
      <w:r w:rsidRPr="003501D5">
        <w:rPr>
          <w:rFonts w:ascii="Palatino Linotype" w:hAnsi="Palatino Linotype"/>
        </w:rPr>
        <w:t xml:space="preserve">De lo referido previamente, resulta necesario señalar que mediante respuesta </w:t>
      </w:r>
      <w:r w:rsidRPr="003501D5">
        <w:rPr>
          <w:rFonts w:ascii="Palatino Linotype" w:hAnsi="Palatino Linotype"/>
          <w:b/>
          <w:bCs/>
        </w:rPr>
        <w:t xml:space="preserve">El Sujeto Obligado </w:t>
      </w:r>
      <w:r w:rsidRPr="003501D5">
        <w:rPr>
          <w:rFonts w:ascii="Palatino Linotype" w:hAnsi="Palatino Linotype"/>
        </w:rPr>
        <w:t xml:space="preserve">hizo del conocimiento del </w:t>
      </w:r>
      <w:r w:rsidRPr="003501D5">
        <w:rPr>
          <w:rFonts w:ascii="Palatino Linotype" w:hAnsi="Palatino Linotype"/>
          <w:b/>
          <w:bCs/>
        </w:rPr>
        <w:t xml:space="preserve">Recurrente </w:t>
      </w:r>
      <w:r w:rsidRPr="003501D5">
        <w:rPr>
          <w:rFonts w:ascii="Palatino Linotype" w:hAnsi="Palatino Linotype"/>
        </w:rPr>
        <w:t xml:space="preserve">que no cuenta con el soporte documental identificado mediante el numeral </w:t>
      </w:r>
      <w:r w:rsidRPr="003501D5">
        <w:rPr>
          <w:rFonts w:ascii="Palatino Linotype" w:hAnsi="Palatino Linotype"/>
          <w:b/>
          <w:bCs/>
        </w:rPr>
        <w:t xml:space="preserve">3 -tres-; </w:t>
      </w:r>
      <w:r w:rsidR="00ED1F7E">
        <w:rPr>
          <w:rFonts w:ascii="Palatino Linotype" w:hAnsi="Palatino Linotype"/>
        </w:rPr>
        <w:t xml:space="preserve">en este sentido, si bien es cierto que el Pleno de este Organismo Garante ha sostenido que los hechos negativos no son susceptibles de demostración, lo cierto también es que </w:t>
      </w:r>
      <w:r w:rsidR="00ED1F7E">
        <w:rPr>
          <w:rFonts w:ascii="Palatino Linotype" w:hAnsi="Palatino Linotype"/>
          <w:b/>
          <w:bCs/>
        </w:rPr>
        <w:t xml:space="preserve">El Sujeto Obligado </w:t>
      </w:r>
      <w:r w:rsidR="00ED1F7E">
        <w:rPr>
          <w:rFonts w:ascii="Palatino Linotype" w:hAnsi="Palatino Linotype"/>
        </w:rPr>
        <w:t xml:space="preserve">inobservó el contenido del artículo 162 de la Ley de Transparencia y Acceso a la Información Pública del Estado de México y Municipios. Aunado a lo anterior, en alusión a los requerimientos identificados con los numerales </w:t>
      </w:r>
      <w:r w:rsidR="00ED1F7E">
        <w:rPr>
          <w:rFonts w:ascii="Palatino Linotype" w:hAnsi="Palatino Linotype"/>
          <w:b/>
          <w:bCs/>
        </w:rPr>
        <w:t xml:space="preserve">1, 2 </w:t>
      </w:r>
      <w:r w:rsidR="00ED1F7E">
        <w:rPr>
          <w:rFonts w:ascii="Palatino Linotype" w:hAnsi="Palatino Linotype"/>
        </w:rPr>
        <w:t xml:space="preserve">y </w:t>
      </w:r>
      <w:r w:rsidR="00ED1F7E">
        <w:rPr>
          <w:rFonts w:ascii="Palatino Linotype" w:hAnsi="Palatino Linotype"/>
          <w:b/>
          <w:bCs/>
        </w:rPr>
        <w:t xml:space="preserve">4, </w:t>
      </w:r>
      <w:r w:rsidR="00ED1F7E">
        <w:rPr>
          <w:rFonts w:ascii="Palatino Linotype" w:hAnsi="Palatino Linotype"/>
        </w:rPr>
        <w:t>resulta aplicable el contenido del artículo 179, fracción II del ordenamiento legal en cita, porciones normativas que disponen a la literalidad lo siguiente:</w:t>
      </w:r>
    </w:p>
    <w:p w14:paraId="6F0A9C22" w14:textId="42A150C7" w:rsidR="00ED1F7E" w:rsidRPr="00ED1F7E" w:rsidRDefault="00ED1F7E" w:rsidP="00ED1F7E">
      <w:pPr>
        <w:tabs>
          <w:tab w:val="left" w:pos="709"/>
        </w:tabs>
        <w:spacing w:before="240" w:line="360" w:lineRule="auto"/>
        <w:ind w:left="851" w:right="851"/>
        <w:jc w:val="both"/>
        <w:rPr>
          <w:rFonts w:ascii="Palatino Linotype" w:hAnsi="Palatino Linotype"/>
          <w:b/>
          <w:bCs/>
          <w:i/>
          <w:iCs/>
        </w:rPr>
      </w:pPr>
      <w:r w:rsidRPr="00ED1F7E">
        <w:rPr>
          <w:rFonts w:ascii="Palatino Linotype" w:hAnsi="Palatino Linotype"/>
          <w:i/>
          <w:iCs/>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22DFE50" w14:textId="41A4C174" w:rsidR="003501D5" w:rsidRPr="003501D5" w:rsidRDefault="00ED1F7E" w:rsidP="003501D5">
      <w:pPr>
        <w:pStyle w:val="Sinespaciado"/>
        <w:spacing w:before="240" w:after="160" w:line="360" w:lineRule="auto"/>
        <w:ind w:left="851" w:right="851"/>
        <w:jc w:val="both"/>
        <w:rPr>
          <w:rFonts w:ascii="Palatino Linotype" w:hAnsi="Palatino Linotype" w:cs="Arial"/>
          <w:i/>
          <w:iCs/>
          <w:sz w:val="22"/>
          <w:szCs w:val="22"/>
        </w:rPr>
      </w:pPr>
      <w:r w:rsidRPr="003501D5">
        <w:rPr>
          <w:rFonts w:ascii="Palatino Linotype" w:hAnsi="Palatino Linotype" w:cs="Arial"/>
          <w:i/>
          <w:iCs/>
          <w:sz w:val="22"/>
          <w:szCs w:val="22"/>
        </w:rPr>
        <w:t xml:space="preserve"> </w:t>
      </w:r>
      <w:r w:rsidR="003501D5" w:rsidRPr="003501D5">
        <w:rPr>
          <w:rFonts w:ascii="Palatino Linotype" w:hAnsi="Palatino Linotype" w:cs="Arial"/>
          <w:i/>
          <w:iCs/>
          <w:sz w:val="22"/>
          <w:szCs w:val="22"/>
        </w:rPr>
        <w:t>Artículo 179. El recurso de revisión es un medio de protección que la Ley otorga a los particulares, para hacer valer su derecho de acceso a la información pública, y procederá en contra de las siguientes causas:</w:t>
      </w:r>
    </w:p>
    <w:p w14:paraId="6C799FAB" w14:textId="0A1EEDED" w:rsidR="003501D5" w:rsidRPr="003501D5" w:rsidRDefault="003501D5" w:rsidP="003501D5">
      <w:pPr>
        <w:pStyle w:val="Sinespaciado"/>
        <w:spacing w:before="240" w:after="160" w:line="360" w:lineRule="auto"/>
        <w:ind w:left="851" w:right="851"/>
        <w:jc w:val="both"/>
        <w:rPr>
          <w:rFonts w:ascii="Palatino Linotype" w:hAnsi="Palatino Linotype" w:cs="Arial"/>
          <w:i/>
          <w:iCs/>
          <w:sz w:val="22"/>
          <w:szCs w:val="22"/>
        </w:rPr>
      </w:pPr>
      <w:r w:rsidRPr="003501D5">
        <w:rPr>
          <w:rFonts w:ascii="Palatino Linotype" w:hAnsi="Palatino Linotype" w:cs="Arial"/>
          <w:i/>
          <w:iCs/>
          <w:sz w:val="22"/>
          <w:szCs w:val="22"/>
        </w:rPr>
        <w:t>(…)</w:t>
      </w:r>
    </w:p>
    <w:p w14:paraId="1BBF28BA" w14:textId="630ED185" w:rsidR="003501D5" w:rsidRPr="003501D5" w:rsidRDefault="003501D5" w:rsidP="003501D5">
      <w:pPr>
        <w:pStyle w:val="Sinespaciado"/>
        <w:spacing w:before="240" w:after="160" w:line="360" w:lineRule="auto"/>
        <w:ind w:left="851" w:right="851"/>
        <w:jc w:val="both"/>
        <w:rPr>
          <w:rFonts w:ascii="Palatino Linotype" w:hAnsi="Palatino Linotype" w:cs="Arial"/>
          <w:b/>
          <w:bCs/>
          <w:i/>
          <w:iCs/>
          <w:sz w:val="22"/>
          <w:szCs w:val="22"/>
          <w:u w:val="single"/>
        </w:rPr>
      </w:pPr>
      <w:r w:rsidRPr="003501D5">
        <w:rPr>
          <w:rFonts w:ascii="Palatino Linotype" w:hAnsi="Palatino Linotype" w:cs="Arial"/>
          <w:b/>
          <w:bCs/>
          <w:i/>
          <w:iCs/>
          <w:sz w:val="22"/>
          <w:szCs w:val="22"/>
          <w:u w:val="single"/>
        </w:rPr>
        <w:t>II.</w:t>
      </w:r>
      <w:r>
        <w:rPr>
          <w:rFonts w:ascii="Palatino Linotype" w:hAnsi="Palatino Linotype" w:cs="Arial"/>
          <w:b/>
          <w:bCs/>
          <w:i/>
          <w:iCs/>
          <w:sz w:val="22"/>
          <w:szCs w:val="22"/>
          <w:u w:val="single"/>
        </w:rPr>
        <w:t xml:space="preserve"> </w:t>
      </w:r>
      <w:r w:rsidRPr="003501D5">
        <w:rPr>
          <w:rFonts w:ascii="Palatino Linotype" w:hAnsi="Palatino Linotype" w:cs="Arial"/>
          <w:b/>
          <w:bCs/>
          <w:i/>
          <w:iCs/>
          <w:sz w:val="22"/>
          <w:szCs w:val="22"/>
          <w:u w:val="single"/>
        </w:rPr>
        <w:t>La clasificación de la información;</w:t>
      </w:r>
    </w:p>
    <w:p w14:paraId="122DEDB3" w14:textId="27300900" w:rsidR="003501D5" w:rsidRPr="003501D5" w:rsidRDefault="003501D5" w:rsidP="003501D5">
      <w:pPr>
        <w:pStyle w:val="Sinespaciado"/>
        <w:spacing w:before="240" w:after="160" w:line="360" w:lineRule="auto"/>
        <w:ind w:left="851" w:right="851"/>
        <w:jc w:val="both"/>
        <w:rPr>
          <w:rFonts w:ascii="Palatino Linotype" w:hAnsi="Palatino Linotype"/>
          <w:b/>
          <w:bCs/>
          <w:i/>
          <w:iCs/>
          <w:sz w:val="22"/>
          <w:szCs w:val="22"/>
        </w:rPr>
      </w:pPr>
      <w:r w:rsidRPr="003501D5">
        <w:rPr>
          <w:rFonts w:ascii="Palatino Linotype" w:hAnsi="Palatino Linotype" w:cs="Arial"/>
          <w:i/>
          <w:iCs/>
          <w:sz w:val="22"/>
          <w:szCs w:val="22"/>
        </w:rPr>
        <w:lastRenderedPageBreak/>
        <w:t xml:space="preserve">(…)” </w:t>
      </w:r>
      <w:r w:rsidRPr="003501D5">
        <w:rPr>
          <w:rFonts w:ascii="Palatino Linotype" w:hAnsi="Palatino Linotype" w:cs="Arial"/>
          <w:b/>
          <w:bCs/>
          <w:i/>
          <w:iCs/>
          <w:sz w:val="22"/>
          <w:szCs w:val="22"/>
        </w:rPr>
        <w:t>[Sic]</w:t>
      </w:r>
    </w:p>
    <w:p w14:paraId="2B64F403" w14:textId="77777777" w:rsidR="00262460" w:rsidRDefault="00262460" w:rsidP="005A51F9">
      <w:pPr>
        <w:pStyle w:val="Sinespaciado"/>
        <w:spacing w:line="360" w:lineRule="auto"/>
        <w:jc w:val="both"/>
        <w:rPr>
          <w:rFonts w:ascii="Palatino Linotype" w:hAnsi="Palatino Linotype"/>
        </w:rPr>
      </w:pPr>
    </w:p>
    <w:p w14:paraId="0A33FFFF" w14:textId="63D71152" w:rsidR="00262460" w:rsidRDefault="007815E7" w:rsidP="005A51F9">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bCs/>
        </w:rPr>
        <w:t xml:space="preserve">Sujeto Obligado, El Recurrente </w:t>
      </w:r>
      <w:r>
        <w:rPr>
          <w:rFonts w:ascii="Palatino Linotype" w:hAnsi="Palatino Linotype"/>
        </w:rPr>
        <w:t xml:space="preserve">interpuso recurso de revisión en fecha dieciséis de febrero, admitiéndose el veintiuno de febrero, ambos del año dos mil veinte. Señalando como razones o motivos de inconformidad: </w:t>
      </w:r>
    </w:p>
    <w:p w14:paraId="638FB6A9" w14:textId="77777777" w:rsidR="00ED1F7E" w:rsidRPr="00406203" w:rsidRDefault="00ED1F7E" w:rsidP="00ED1F7E">
      <w:pPr>
        <w:spacing w:before="240" w:line="360" w:lineRule="auto"/>
        <w:ind w:left="851" w:right="851"/>
        <w:jc w:val="both"/>
        <w:rPr>
          <w:rFonts w:ascii="Palatino Linotype" w:hAnsi="Palatino Linotype" w:cs="Arial"/>
          <w:i/>
        </w:rPr>
      </w:pPr>
      <w:r w:rsidRPr="00406203">
        <w:rPr>
          <w:rFonts w:ascii="Palatino Linotype" w:hAnsi="Palatino Linotype" w:cs="Arial"/>
          <w:i/>
        </w:rPr>
        <w:t>“</w:t>
      </w:r>
      <w:r w:rsidRPr="00406203">
        <w:rPr>
          <w:rFonts w:ascii="Palatino Linotype" w:hAnsi="Palatino Linotype"/>
          <w:i/>
        </w:rPr>
        <w:t>La información en copia electrónica "vía SAIMEX" no fue enviada conforme fue solicitada: 1) NO se recibió el archivo digital de: -Bases de la licitación o adjudicación directa COMPLETO; -Contrato de la construcción con los responsables de ella COMPLETO -Convenio de colaboración de los sindicatos para la construcción del puente COMPLETO Por considerarse temas de seguridad nacional (SIC) 2) NO se recibió el archivo digital del Acuerdo 0141/CTATIZARA/2019-2021 "COMPLETO" 3) NO se recibió el archivo digital del Resolutivo del impacto ambiental ya que SOLICITAN que se presente en el municipio a recogerlo y no por la vía solicitada 4) NO se dio respuesta a la dependencia encargada de resguarda de manera COMPLETA "Estudio de impacto ambiental"</w:t>
      </w:r>
      <w:r w:rsidRPr="00406203">
        <w:rPr>
          <w:rFonts w:ascii="Palatino Linotype" w:hAnsi="Palatino Linotype" w:cs="Arial"/>
          <w:i/>
        </w:rPr>
        <w:t xml:space="preserve">” </w:t>
      </w:r>
      <w:r w:rsidRPr="00406203">
        <w:rPr>
          <w:rFonts w:ascii="Palatino Linotype" w:hAnsi="Palatino Linotype" w:cs="Arial"/>
          <w:b/>
          <w:i/>
        </w:rPr>
        <w:t>[Sic]</w:t>
      </w:r>
    </w:p>
    <w:p w14:paraId="14E9EAE8" w14:textId="55392FF9" w:rsidR="00AA7EDD" w:rsidRDefault="00AA7EDD" w:rsidP="005A51F9">
      <w:pPr>
        <w:pStyle w:val="Sinespaciado"/>
        <w:spacing w:line="360" w:lineRule="auto"/>
        <w:jc w:val="both"/>
        <w:rPr>
          <w:rFonts w:ascii="Palatino Linotype" w:hAnsi="Palatino Linotype"/>
        </w:rPr>
      </w:pPr>
    </w:p>
    <w:p w14:paraId="03FF1520" w14:textId="44DC0CFB" w:rsidR="00ED1F7E" w:rsidRDefault="00E308FC" w:rsidP="00E308FC">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t xml:space="preserve">Por otra parte, como fue referido en el antecedente </w:t>
      </w:r>
      <w:r w:rsidR="00ED1F7E">
        <w:rPr>
          <w:rFonts w:ascii="Palatino Linotype" w:hAnsi="Palatino Linotype"/>
          <w:color w:val="000000"/>
        </w:rPr>
        <w:t>quinto</w:t>
      </w:r>
      <w:r>
        <w:rPr>
          <w:rFonts w:ascii="Palatino Linotype" w:hAnsi="Palatino Linotype"/>
          <w:color w:val="000000"/>
        </w:rPr>
        <w:t xml:space="preserve">, </w:t>
      </w:r>
      <w:r w:rsidR="00ED1F7E">
        <w:rPr>
          <w:rFonts w:ascii="Palatino Linotype" w:hAnsi="Palatino Linotype"/>
          <w:b/>
          <w:bCs/>
          <w:color w:val="000000"/>
        </w:rPr>
        <w:t xml:space="preserve">El Sujeto Obligado </w:t>
      </w:r>
      <w:r w:rsidR="00ED1F7E">
        <w:rPr>
          <w:rFonts w:ascii="Palatino Linotype" w:hAnsi="Palatino Linotype"/>
          <w:color w:val="000000"/>
        </w:rPr>
        <w:t>rindió su informe justificado, adjuntando para tal efecto lo siguiente:</w:t>
      </w:r>
    </w:p>
    <w:p w14:paraId="48EACF93" w14:textId="65D66282" w:rsidR="00ED1F7E" w:rsidRPr="00ED1F7E" w:rsidRDefault="00ED1F7E" w:rsidP="00ED1F7E">
      <w:pPr>
        <w:pStyle w:val="Prrafodelista"/>
        <w:numPr>
          <w:ilvl w:val="0"/>
          <w:numId w:val="41"/>
        </w:numPr>
        <w:spacing w:line="360" w:lineRule="auto"/>
        <w:ind w:right="34"/>
        <w:contextualSpacing/>
        <w:jc w:val="both"/>
        <w:rPr>
          <w:rFonts w:ascii="Palatino Linotype" w:hAnsi="Palatino Linotype"/>
          <w:b/>
          <w:bCs/>
          <w:color w:val="000000"/>
        </w:rPr>
      </w:pPr>
      <w:r>
        <w:rPr>
          <w:rFonts w:ascii="Palatino Linotype" w:hAnsi="Palatino Linotype"/>
          <w:b/>
          <w:bCs/>
          <w:color w:val="000000"/>
        </w:rPr>
        <w:t>“</w:t>
      </w:r>
      <w:r w:rsidR="00240082">
        <w:rPr>
          <w:rFonts w:ascii="Palatino Linotype" w:hAnsi="Palatino Linotype"/>
          <w:b/>
          <w:bCs/>
          <w:color w:val="000000"/>
        </w:rPr>
        <w:t xml:space="preserve">R.R. 1055.pdf”: </w:t>
      </w:r>
      <w:r w:rsidR="003B6193">
        <w:rPr>
          <w:rFonts w:ascii="Palatino Linotype" w:hAnsi="Palatino Linotype"/>
          <w:color w:val="000000"/>
        </w:rPr>
        <w:t xml:space="preserve">Oficio </w:t>
      </w:r>
      <w:r w:rsidR="003B6193">
        <w:rPr>
          <w:rFonts w:ascii="Palatino Linotype" w:hAnsi="Palatino Linotype"/>
          <w:b/>
          <w:bCs/>
          <w:color w:val="000000"/>
        </w:rPr>
        <w:t xml:space="preserve">DGDT/1224/2020 </w:t>
      </w:r>
      <w:r w:rsidR="003B6193">
        <w:rPr>
          <w:rFonts w:ascii="Palatino Linotype" w:hAnsi="Palatino Linotype"/>
          <w:color w:val="000000"/>
        </w:rPr>
        <w:t xml:space="preserve">signado por la Directora General de Desarrollo Territorial y dirigido a la Titular de la Unidad de Transparencia y Acceso a la Información, de fecha diecinueve de febrero de dos mil veinte. Resultan de nuestro interés las siguientes imágenes ilustrativas: </w:t>
      </w:r>
    </w:p>
    <w:p w14:paraId="2A39752E" w14:textId="77777777" w:rsidR="00ED1F7E" w:rsidRDefault="00ED1F7E" w:rsidP="00E308FC">
      <w:pPr>
        <w:pStyle w:val="Prrafodelista"/>
        <w:spacing w:line="360" w:lineRule="auto"/>
        <w:ind w:left="0" w:right="34"/>
        <w:contextualSpacing/>
        <w:jc w:val="both"/>
        <w:rPr>
          <w:rFonts w:ascii="Palatino Linotype" w:hAnsi="Palatino Linotype"/>
          <w:color w:val="000000"/>
        </w:rPr>
      </w:pPr>
    </w:p>
    <w:p w14:paraId="396DBF05" w14:textId="628E2663" w:rsidR="00ED1F7E" w:rsidRDefault="005878BC" w:rsidP="00E308FC">
      <w:pPr>
        <w:pStyle w:val="Prrafodelista"/>
        <w:spacing w:line="360" w:lineRule="auto"/>
        <w:ind w:left="0" w:right="34"/>
        <w:contextualSpacing/>
        <w:jc w:val="both"/>
        <w:rPr>
          <w:rFonts w:ascii="Palatino Linotype" w:hAnsi="Palatino Linotype"/>
          <w:color w:val="000000"/>
        </w:rPr>
      </w:pPr>
      <w:r>
        <w:rPr>
          <w:rFonts w:ascii="Palatino Linotype" w:hAnsi="Palatino Linotype"/>
          <w:noProof/>
          <w:color w:val="000000"/>
          <w:lang w:val="es-MX" w:eastAsia="es-MX"/>
        </w:rPr>
        <w:lastRenderedPageBreak/>
        <w:drawing>
          <wp:anchor distT="0" distB="0" distL="114300" distR="114300" simplePos="0" relativeHeight="251662329" behindDoc="0" locked="0" layoutInCell="1" allowOverlap="1" wp14:anchorId="2CBDF635" wp14:editId="02638C92">
            <wp:simplePos x="0" y="0"/>
            <wp:positionH relativeFrom="margin">
              <wp:align>right</wp:align>
            </wp:positionH>
            <wp:positionV relativeFrom="paragraph">
              <wp:posOffset>75149</wp:posOffset>
            </wp:positionV>
            <wp:extent cx="5593080" cy="6854190"/>
            <wp:effectExtent l="19050" t="19050" r="26670" b="22860"/>
            <wp:wrapThrough wrapText="bothSides">
              <wp:wrapPolygon edited="0">
                <wp:start x="-74" y="-60"/>
                <wp:lineTo x="-74" y="21612"/>
                <wp:lineTo x="21629" y="21612"/>
                <wp:lineTo x="21629" y="-60"/>
                <wp:lineTo x="-74" y="-6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3080" cy="68541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D35C40C" w14:textId="79743159" w:rsidR="003B6193" w:rsidRDefault="005878BC" w:rsidP="00E308FC">
      <w:pPr>
        <w:pStyle w:val="Prrafodelista"/>
        <w:spacing w:line="360" w:lineRule="auto"/>
        <w:ind w:left="0" w:right="34"/>
        <w:contextualSpacing/>
        <w:jc w:val="both"/>
        <w:rPr>
          <w:rFonts w:ascii="Palatino Linotype" w:hAnsi="Palatino Linotype"/>
          <w:color w:val="000000"/>
        </w:rPr>
      </w:pPr>
      <w:r>
        <w:rPr>
          <w:rFonts w:ascii="Palatino Linotype" w:hAnsi="Palatino Linotype"/>
          <w:noProof/>
          <w:color w:val="000000"/>
          <w:lang w:val="es-MX" w:eastAsia="es-MX"/>
        </w:rPr>
        <w:lastRenderedPageBreak/>
        <w:drawing>
          <wp:anchor distT="0" distB="0" distL="114300" distR="114300" simplePos="0" relativeHeight="251699200" behindDoc="0" locked="0" layoutInCell="1" allowOverlap="1" wp14:anchorId="26540DF9" wp14:editId="79962A46">
            <wp:simplePos x="0" y="0"/>
            <wp:positionH relativeFrom="margin">
              <wp:align>left</wp:align>
            </wp:positionH>
            <wp:positionV relativeFrom="paragraph">
              <wp:posOffset>90805</wp:posOffset>
            </wp:positionV>
            <wp:extent cx="5608955" cy="6932930"/>
            <wp:effectExtent l="19050" t="19050" r="10795" b="20320"/>
            <wp:wrapThrough wrapText="bothSides">
              <wp:wrapPolygon edited="0">
                <wp:start x="-73" y="-59"/>
                <wp:lineTo x="-73" y="21604"/>
                <wp:lineTo x="21568" y="21604"/>
                <wp:lineTo x="21568" y="-59"/>
                <wp:lineTo x="-73" y="-59"/>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955" cy="69329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C7A2044" w14:textId="2C5B1BC2" w:rsidR="003B6193" w:rsidRPr="003B6193" w:rsidRDefault="003B6193" w:rsidP="005878BC">
      <w:pPr>
        <w:pStyle w:val="Prrafodelista"/>
        <w:spacing w:line="360" w:lineRule="auto"/>
        <w:ind w:left="0" w:right="34"/>
        <w:contextualSpacing/>
        <w:jc w:val="both"/>
        <w:rPr>
          <w:rFonts w:ascii="Palatino Linotype" w:hAnsi="Palatino Linotype"/>
          <w:b/>
          <w:bCs/>
          <w:color w:val="000000"/>
        </w:rPr>
      </w:pPr>
      <w:r>
        <w:rPr>
          <w:rFonts w:ascii="Palatino Linotype" w:hAnsi="Palatino Linotype"/>
          <w:color w:val="000000"/>
        </w:rPr>
        <w:lastRenderedPageBreak/>
        <w:t xml:space="preserve">Ahora bien, como fue mencionado con anterioridad, </w:t>
      </w:r>
      <w:r>
        <w:rPr>
          <w:rFonts w:ascii="Palatino Linotype" w:hAnsi="Palatino Linotype"/>
          <w:b/>
          <w:bCs/>
          <w:color w:val="000000"/>
        </w:rPr>
        <w:t xml:space="preserve">El Recurrente </w:t>
      </w:r>
      <w:r>
        <w:rPr>
          <w:rFonts w:ascii="Palatino Linotype" w:hAnsi="Palatino Linotype"/>
          <w:color w:val="000000"/>
        </w:rPr>
        <w:t>rindió las manifestaciones estimadas pertinentes</w:t>
      </w:r>
      <w:r w:rsidR="005878BC">
        <w:rPr>
          <w:rFonts w:ascii="Palatino Linotype" w:hAnsi="Palatino Linotype"/>
          <w:color w:val="000000"/>
        </w:rPr>
        <w:t xml:space="preserve">, sirve de sustento la siguiente imagen ilustrativa: </w:t>
      </w:r>
    </w:p>
    <w:p w14:paraId="381F2DD6" w14:textId="6BFB9431" w:rsidR="003B6193" w:rsidRPr="003B6193" w:rsidRDefault="005878BC" w:rsidP="00E308FC">
      <w:pPr>
        <w:pStyle w:val="Prrafodelista"/>
        <w:spacing w:line="360" w:lineRule="auto"/>
        <w:ind w:left="0" w:right="34"/>
        <w:contextualSpacing/>
        <w:jc w:val="both"/>
        <w:rPr>
          <w:rFonts w:ascii="Palatino Linotype" w:hAnsi="Palatino Linotype"/>
          <w:color w:val="000000"/>
        </w:rPr>
      </w:pPr>
      <w:r>
        <w:rPr>
          <w:rFonts w:ascii="Palatino Linotype" w:hAnsi="Palatino Linotype"/>
          <w:noProof/>
          <w:color w:val="000000"/>
          <w:lang w:val="es-MX" w:eastAsia="es-MX"/>
        </w:rPr>
        <w:drawing>
          <wp:anchor distT="0" distB="0" distL="114300" distR="114300" simplePos="0" relativeHeight="251700224" behindDoc="0" locked="0" layoutInCell="1" allowOverlap="1" wp14:anchorId="3C67A2D9" wp14:editId="3D87002C">
            <wp:simplePos x="0" y="0"/>
            <wp:positionH relativeFrom="page">
              <wp:align>center</wp:align>
            </wp:positionH>
            <wp:positionV relativeFrom="paragraph">
              <wp:posOffset>521642</wp:posOffset>
            </wp:positionV>
            <wp:extent cx="5703570" cy="3449320"/>
            <wp:effectExtent l="0" t="0" r="0" b="0"/>
            <wp:wrapThrough wrapText="bothSides">
              <wp:wrapPolygon edited="0">
                <wp:start x="0" y="0"/>
                <wp:lineTo x="0" y="21473"/>
                <wp:lineTo x="21499" y="21473"/>
                <wp:lineTo x="21499"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3570" cy="3449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697E" w14:textId="230B9CB7" w:rsidR="003B6193" w:rsidRDefault="003B6193" w:rsidP="00E308FC">
      <w:pPr>
        <w:pStyle w:val="Prrafodelista"/>
        <w:spacing w:line="360" w:lineRule="auto"/>
        <w:ind w:left="0" w:right="34"/>
        <w:contextualSpacing/>
        <w:jc w:val="both"/>
        <w:rPr>
          <w:rFonts w:ascii="Palatino Linotype" w:hAnsi="Palatino Linotype"/>
          <w:color w:val="000000"/>
        </w:rPr>
      </w:pPr>
    </w:p>
    <w:p w14:paraId="618147E0" w14:textId="280BE922" w:rsidR="003B6193" w:rsidRDefault="003B6193" w:rsidP="00E308FC">
      <w:pPr>
        <w:pStyle w:val="Prrafodelista"/>
        <w:spacing w:line="360" w:lineRule="auto"/>
        <w:ind w:left="0" w:right="34"/>
        <w:contextualSpacing/>
        <w:jc w:val="both"/>
        <w:rPr>
          <w:rFonts w:ascii="Palatino Linotype" w:hAnsi="Palatino Linotype"/>
          <w:color w:val="000000"/>
        </w:rPr>
      </w:pPr>
    </w:p>
    <w:p w14:paraId="5CA21565" w14:textId="2C2889B2" w:rsidR="003B6193" w:rsidRDefault="003B6193" w:rsidP="00E308FC">
      <w:pPr>
        <w:pStyle w:val="Prrafodelista"/>
        <w:spacing w:line="360" w:lineRule="auto"/>
        <w:ind w:left="0" w:right="34"/>
        <w:contextualSpacing/>
        <w:jc w:val="both"/>
        <w:rPr>
          <w:rFonts w:ascii="Palatino Linotype" w:hAnsi="Palatino Linotype"/>
          <w:color w:val="000000"/>
        </w:rPr>
      </w:pPr>
    </w:p>
    <w:p w14:paraId="2CF58AE1" w14:textId="3CE3338A" w:rsidR="003B6193" w:rsidRDefault="005878BC" w:rsidP="00E308FC">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t>De manera complementaria</w:t>
      </w:r>
      <w:r w:rsidR="006F64CF">
        <w:rPr>
          <w:rFonts w:ascii="Palatino Linotype" w:hAnsi="Palatino Linotype"/>
          <w:color w:val="000000"/>
        </w:rPr>
        <w:t>, esta Ponencia Resolutora se allegó de lo siguiente:</w:t>
      </w:r>
    </w:p>
    <w:p w14:paraId="733D0D0F" w14:textId="1CCBEEBA" w:rsidR="006F64CF" w:rsidRPr="006F64CF" w:rsidRDefault="006F64CF" w:rsidP="006F64CF">
      <w:pPr>
        <w:pStyle w:val="Prrafodelista"/>
        <w:numPr>
          <w:ilvl w:val="0"/>
          <w:numId w:val="43"/>
        </w:numPr>
        <w:spacing w:line="360" w:lineRule="auto"/>
        <w:ind w:right="34"/>
        <w:contextualSpacing/>
        <w:jc w:val="both"/>
        <w:rPr>
          <w:rFonts w:ascii="Palatino Linotype" w:hAnsi="Palatino Linotype"/>
          <w:b/>
          <w:bCs/>
          <w:color w:val="000000"/>
        </w:rPr>
      </w:pPr>
      <w:r>
        <w:rPr>
          <w:rFonts w:ascii="Palatino Linotype" w:hAnsi="Palatino Linotype"/>
          <w:b/>
          <w:bCs/>
          <w:color w:val="000000"/>
        </w:rPr>
        <w:t xml:space="preserve">“CONTESTACIÓN A PETICIÓN NÚM 00932 ATIZARA IP 2019(1).pdf”: </w:t>
      </w:r>
      <w:r>
        <w:rPr>
          <w:rFonts w:ascii="Palatino Linotype" w:hAnsi="Palatino Linotype"/>
          <w:color w:val="000000"/>
        </w:rPr>
        <w:t xml:space="preserve">Oficio </w:t>
      </w:r>
      <w:r>
        <w:rPr>
          <w:rFonts w:ascii="Palatino Linotype" w:hAnsi="Palatino Linotype"/>
          <w:b/>
          <w:bCs/>
          <w:color w:val="000000"/>
        </w:rPr>
        <w:t xml:space="preserve">DMA/EJ/EMRyT/1584/2019 </w:t>
      </w:r>
      <w:r>
        <w:rPr>
          <w:rFonts w:ascii="Palatino Linotype" w:hAnsi="Palatino Linotype"/>
          <w:color w:val="000000"/>
        </w:rPr>
        <w:t>signado por el Director de Medio Ambiente y dirigido a la Coordinadora de la Unidad de Transparencia, de fecha cuatro de diciembre de dos mil diecinueve, sirve de sustento la siguiente imagen:</w:t>
      </w:r>
    </w:p>
    <w:p w14:paraId="56922511" w14:textId="21EAB240" w:rsidR="006F64CF" w:rsidRPr="006F64CF" w:rsidRDefault="007C1D20" w:rsidP="006F64CF">
      <w:pPr>
        <w:spacing w:line="360" w:lineRule="auto"/>
        <w:ind w:left="360" w:right="34"/>
        <w:contextualSpacing/>
        <w:jc w:val="both"/>
        <w:rPr>
          <w:rFonts w:ascii="Palatino Linotype" w:hAnsi="Palatino Linotype"/>
          <w:b/>
          <w:bCs/>
          <w:color w:val="000000"/>
        </w:rPr>
      </w:pPr>
      <w:r>
        <w:rPr>
          <w:rFonts w:ascii="Palatino Linotype" w:hAnsi="Palatino Linotype"/>
          <w:b/>
          <w:bCs/>
          <w:noProof/>
          <w:color w:val="000000"/>
          <w:lang w:eastAsia="es-MX"/>
        </w:rPr>
        <w:lastRenderedPageBreak/>
        <w:drawing>
          <wp:anchor distT="0" distB="0" distL="114300" distR="114300" simplePos="0" relativeHeight="251661304" behindDoc="0" locked="0" layoutInCell="1" allowOverlap="1" wp14:anchorId="4310A5AB" wp14:editId="6E268A4F">
            <wp:simplePos x="0" y="0"/>
            <wp:positionH relativeFrom="margin">
              <wp:align>left</wp:align>
            </wp:positionH>
            <wp:positionV relativeFrom="paragraph">
              <wp:posOffset>122256</wp:posOffset>
            </wp:positionV>
            <wp:extent cx="5538470" cy="6792595"/>
            <wp:effectExtent l="19050" t="19050" r="24130" b="27305"/>
            <wp:wrapThrough wrapText="bothSides">
              <wp:wrapPolygon edited="0">
                <wp:start x="-74" y="-61"/>
                <wp:lineTo x="-74" y="21626"/>
                <wp:lineTo x="21620" y="21626"/>
                <wp:lineTo x="21620" y="-61"/>
                <wp:lineTo x="-74" y="-61"/>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8470" cy="67925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E6E4AF4" w14:textId="636E2AFD" w:rsidR="007C1D20" w:rsidRPr="007C1D20" w:rsidRDefault="0048279E" w:rsidP="00601D64">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lastRenderedPageBreak/>
        <w:t xml:space="preserve">Con base en lo anteriormente expuesto, este Órgano Garante arriba a la conclusión de que </w:t>
      </w:r>
      <w:r>
        <w:rPr>
          <w:rFonts w:ascii="Palatino Linotype" w:hAnsi="Palatino Linotype"/>
          <w:b/>
          <w:color w:val="000000"/>
        </w:rPr>
        <w:t xml:space="preserve">El Sujeto Obligado </w:t>
      </w:r>
      <w:r w:rsidR="002968B6">
        <w:rPr>
          <w:rFonts w:ascii="Palatino Linotype" w:hAnsi="Palatino Linotype"/>
          <w:color w:val="000000"/>
        </w:rPr>
        <w:t>no colmó ni total ni parcialmente</w:t>
      </w:r>
      <w:r>
        <w:rPr>
          <w:rFonts w:ascii="Palatino Linotype" w:hAnsi="Palatino Linotype"/>
          <w:color w:val="000000"/>
        </w:rPr>
        <w:t xml:space="preserve"> el derecho de </w:t>
      </w:r>
      <w:r w:rsidR="002968B6">
        <w:rPr>
          <w:rFonts w:ascii="Palatino Linotype" w:hAnsi="Palatino Linotype"/>
          <w:color w:val="000000"/>
        </w:rPr>
        <w:t>acceso a la información pública, lo anterior bajo la</w:t>
      </w:r>
      <w:r w:rsidR="007C1D20">
        <w:rPr>
          <w:rFonts w:ascii="Palatino Linotype" w:hAnsi="Palatino Linotype"/>
          <w:color w:val="000000"/>
        </w:rPr>
        <w:t xml:space="preserve"> premisa de que fue omiso en turnar la solicitud de acceso a la información pública a todas las áreas estimadas competentes, en términos del artículo 162 de la Ley de Transparencia. Por otra parte, si bien es cierto que la información requerida estriba dentro de las fronteras conceptuales de la información pública y el interés general, mediante respuesta e informe justificado </w:t>
      </w:r>
      <w:r w:rsidR="007C1D20">
        <w:rPr>
          <w:rFonts w:ascii="Palatino Linotype" w:hAnsi="Palatino Linotype"/>
          <w:b/>
          <w:bCs/>
          <w:color w:val="000000"/>
        </w:rPr>
        <w:t xml:space="preserve">El Sujeto Obligado </w:t>
      </w:r>
      <w:r w:rsidR="007C1D20">
        <w:rPr>
          <w:rFonts w:ascii="Palatino Linotype" w:hAnsi="Palatino Linotype"/>
          <w:color w:val="000000"/>
        </w:rPr>
        <w:t>manifestó que está había sido clasificada como reservada, siendo omiso en remitir el acuerdo de clasificación correspondiente</w:t>
      </w:r>
      <w:r w:rsidR="006611C1">
        <w:rPr>
          <w:rFonts w:ascii="Palatino Linotype" w:hAnsi="Palatino Linotype"/>
          <w:color w:val="000000"/>
        </w:rPr>
        <w:t xml:space="preserve">, por otra parte, es menester precisar que la información requerida no actualiza ninguna de las hipótesis del artículo 140, causales de reserva. </w:t>
      </w:r>
    </w:p>
    <w:p w14:paraId="559F03AB" w14:textId="77777777" w:rsidR="007C1D20" w:rsidRDefault="007C1D20" w:rsidP="00601D64">
      <w:pPr>
        <w:pStyle w:val="Prrafodelista"/>
        <w:spacing w:line="360" w:lineRule="auto"/>
        <w:ind w:left="0" w:right="34"/>
        <w:contextualSpacing/>
        <w:jc w:val="both"/>
        <w:rPr>
          <w:rFonts w:ascii="Palatino Linotype" w:hAnsi="Palatino Linotype"/>
          <w:color w:val="000000"/>
        </w:rPr>
      </w:pPr>
    </w:p>
    <w:p w14:paraId="22982834" w14:textId="77777777" w:rsidR="00E308FC" w:rsidRDefault="0048279E" w:rsidP="00601D64">
      <w:pPr>
        <w:pStyle w:val="Prrafodelista"/>
        <w:spacing w:line="360" w:lineRule="auto"/>
        <w:ind w:left="0" w:right="34"/>
        <w:contextualSpacing/>
        <w:jc w:val="both"/>
        <w:rPr>
          <w:rFonts w:ascii="Palatino Linotype" w:hAnsi="Palatino Linotype"/>
          <w:color w:val="000000"/>
        </w:rPr>
      </w:pPr>
      <w:r>
        <w:rPr>
          <w:rFonts w:ascii="Palatino Linotype" w:hAnsi="Palatino Linotype"/>
          <w:color w:val="000000"/>
        </w:rPr>
        <w:t xml:space="preserve"> Consecuentemente, resulta procedente ordenar la entrega, previa búsqueda exha</w:t>
      </w:r>
      <w:r w:rsidR="002968B6">
        <w:rPr>
          <w:rFonts w:ascii="Palatino Linotype" w:hAnsi="Palatino Linotype"/>
          <w:color w:val="000000"/>
        </w:rPr>
        <w:t xml:space="preserve">ustiva y razonable, en versión pública de ser procedente, </w:t>
      </w:r>
      <w:r>
        <w:rPr>
          <w:rFonts w:ascii="Palatino Linotype" w:hAnsi="Palatino Linotype"/>
          <w:color w:val="000000"/>
        </w:rPr>
        <w:t xml:space="preserve">de la siguiente información: </w:t>
      </w:r>
    </w:p>
    <w:p w14:paraId="4EBBA77D" w14:textId="7CF70FA0" w:rsidR="00EF6C52" w:rsidRPr="00EF6C52" w:rsidRDefault="00EF6C52" w:rsidP="00EF6C52">
      <w:pPr>
        <w:autoSpaceDE w:val="0"/>
        <w:autoSpaceDN w:val="0"/>
        <w:adjustRightInd w:val="0"/>
        <w:spacing w:before="240" w:line="360" w:lineRule="auto"/>
        <w:ind w:right="49"/>
        <w:jc w:val="both"/>
        <w:rPr>
          <w:rFonts w:ascii="Palatino Linotype" w:hAnsi="Palatino Linotype" w:cs="Arial"/>
          <w:b/>
          <w:bCs/>
          <w:sz w:val="24"/>
          <w:szCs w:val="24"/>
        </w:rPr>
      </w:pPr>
      <w:r w:rsidRPr="00EF6C52">
        <w:rPr>
          <w:rFonts w:ascii="Palatino Linotype" w:hAnsi="Palatino Linotype" w:cs="Arial"/>
          <w:b/>
          <w:bCs/>
          <w:sz w:val="24"/>
          <w:szCs w:val="24"/>
        </w:rPr>
        <w:t>De la obra referida mediante la solicitud de información 00043/ATIZARA/IP/2020</w:t>
      </w:r>
    </w:p>
    <w:p w14:paraId="5B969F16" w14:textId="319AD51A" w:rsidR="007C1D20" w:rsidRDefault="007C1D20" w:rsidP="007C1D20">
      <w:pPr>
        <w:pStyle w:val="Sinespaciado"/>
        <w:numPr>
          <w:ilvl w:val="0"/>
          <w:numId w:val="44"/>
        </w:numPr>
        <w:spacing w:line="360" w:lineRule="auto"/>
        <w:jc w:val="both"/>
        <w:rPr>
          <w:rFonts w:ascii="Palatino Linotype" w:hAnsi="Palatino Linotype"/>
        </w:rPr>
      </w:pPr>
      <w:r>
        <w:rPr>
          <w:rFonts w:ascii="Palatino Linotype" w:hAnsi="Palatino Linotype"/>
        </w:rPr>
        <w:t>Bases de la licitación pública o adjudicación directa</w:t>
      </w:r>
      <w:r w:rsidR="006611C1">
        <w:rPr>
          <w:rFonts w:ascii="Palatino Linotype" w:hAnsi="Palatino Linotype"/>
        </w:rPr>
        <w:t xml:space="preserve">, vigente al veintiuno de enero de dos mil veinte. </w:t>
      </w:r>
    </w:p>
    <w:p w14:paraId="3C61F7D1" w14:textId="2323AEE1" w:rsidR="007C1D20" w:rsidRDefault="007C1D20" w:rsidP="007C1D20">
      <w:pPr>
        <w:pStyle w:val="Sinespaciado"/>
        <w:numPr>
          <w:ilvl w:val="0"/>
          <w:numId w:val="44"/>
        </w:numPr>
        <w:spacing w:line="360" w:lineRule="auto"/>
        <w:jc w:val="both"/>
        <w:rPr>
          <w:rFonts w:ascii="Palatino Linotype" w:hAnsi="Palatino Linotype"/>
        </w:rPr>
      </w:pPr>
      <w:r>
        <w:rPr>
          <w:rFonts w:ascii="Palatino Linotype" w:hAnsi="Palatino Linotype"/>
        </w:rPr>
        <w:t>Contrato de construcción celebrado con los responsables de la obra</w:t>
      </w:r>
      <w:r w:rsidR="006611C1">
        <w:rPr>
          <w:rFonts w:ascii="Palatino Linotype" w:hAnsi="Palatino Linotype"/>
        </w:rPr>
        <w:t xml:space="preserve">, vigente al veintiuno de enero de dos mil veinte. </w:t>
      </w:r>
    </w:p>
    <w:p w14:paraId="156CEB30" w14:textId="49BEA7AE" w:rsidR="007C1D20" w:rsidRDefault="007C1D20" w:rsidP="007C1D20">
      <w:pPr>
        <w:pStyle w:val="Sinespaciado"/>
        <w:numPr>
          <w:ilvl w:val="0"/>
          <w:numId w:val="44"/>
        </w:numPr>
        <w:spacing w:line="360" w:lineRule="auto"/>
        <w:jc w:val="both"/>
        <w:rPr>
          <w:rFonts w:ascii="Palatino Linotype" w:hAnsi="Palatino Linotype"/>
        </w:rPr>
      </w:pPr>
      <w:r>
        <w:rPr>
          <w:rFonts w:ascii="Palatino Linotype" w:hAnsi="Palatino Linotype"/>
        </w:rPr>
        <w:t>Convenio de colaboración de los sindicatos</w:t>
      </w:r>
      <w:r w:rsidR="006611C1">
        <w:rPr>
          <w:rFonts w:ascii="Palatino Linotype" w:hAnsi="Palatino Linotype"/>
        </w:rPr>
        <w:t xml:space="preserve">, vigente al veintiuno de enero de dos mil veinte. </w:t>
      </w:r>
    </w:p>
    <w:p w14:paraId="0E875740" w14:textId="20616407" w:rsidR="007C1D20" w:rsidRPr="000417AA" w:rsidRDefault="007C1D20" w:rsidP="007C1D20">
      <w:pPr>
        <w:pStyle w:val="Sinespaciado"/>
        <w:numPr>
          <w:ilvl w:val="0"/>
          <w:numId w:val="44"/>
        </w:numPr>
        <w:spacing w:line="360" w:lineRule="auto"/>
        <w:jc w:val="both"/>
        <w:rPr>
          <w:rFonts w:ascii="Palatino Linotype" w:hAnsi="Palatino Linotype"/>
        </w:rPr>
      </w:pPr>
      <w:r w:rsidRPr="00EE7822">
        <w:rPr>
          <w:rFonts w:ascii="Palatino Linotype" w:hAnsi="Palatino Linotype"/>
        </w:rPr>
        <w:lastRenderedPageBreak/>
        <w:t xml:space="preserve">Estudio de impacto ambiental, así como </w:t>
      </w:r>
      <w:r>
        <w:rPr>
          <w:rFonts w:ascii="Palatino Linotype" w:hAnsi="Palatino Linotype"/>
        </w:rPr>
        <w:t>r</w:t>
      </w:r>
      <w:r w:rsidRPr="00EE7822">
        <w:rPr>
          <w:rFonts w:ascii="Palatino Linotype" w:hAnsi="Palatino Linotype"/>
        </w:rPr>
        <w:t xml:space="preserve">esolutivo de impacto ambiental acuerdo </w:t>
      </w:r>
      <w:r w:rsidRPr="00EE7822">
        <w:rPr>
          <w:rFonts w:ascii="Palatino Linotype" w:hAnsi="Palatino Linotype"/>
          <w:b/>
          <w:bCs/>
        </w:rPr>
        <w:t>0141/CTATIZARA/2019-2021</w:t>
      </w:r>
      <w:r w:rsidR="006611C1">
        <w:rPr>
          <w:rFonts w:ascii="Palatino Linotype" w:hAnsi="Palatino Linotype"/>
          <w:b/>
          <w:bCs/>
        </w:rPr>
        <w:t xml:space="preserve">, </w:t>
      </w:r>
      <w:r w:rsidR="006611C1">
        <w:rPr>
          <w:rFonts w:ascii="Palatino Linotype" w:hAnsi="Palatino Linotype"/>
        </w:rPr>
        <w:t xml:space="preserve">vigente al veintiuno de enero de dos mil veinte. </w:t>
      </w:r>
    </w:p>
    <w:p w14:paraId="58398AEA" w14:textId="77777777" w:rsidR="00E308FC" w:rsidRPr="007C1D20" w:rsidRDefault="00E308FC" w:rsidP="00601D64">
      <w:pPr>
        <w:pStyle w:val="Prrafodelista"/>
        <w:spacing w:line="360" w:lineRule="auto"/>
        <w:ind w:left="0" w:right="34"/>
        <w:contextualSpacing/>
        <w:jc w:val="both"/>
        <w:rPr>
          <w:rFonts w:ascii="Palatino Linotype" w:hAnsi="Palatino Linotype"/>
          <w:color w:val="000000"/>
          <w:lang w:val="es-MX"/>
        </w:rPr>
      </w:pPr>
    </w:p>
    <w:p w14:paraId="0E0CCDC0" w14:textId="74C0AAAF" w:rsidR="000D6A1F" w:rsidRDefault="00EF6C52" w:rsidP="007C1D20">
      <w:pPr>
        <w:pStyle w:val="Sinespaciado"/>
        <w:spacing w:line="360" w:lineRule="auto"/>
        <w:jc w:val="both"/>
        <w:rPr>
          <w:rFonts w:ascii="Palatino Linotype" w:hAnsi="Palatino Linotype"/>
          <w:bCs/>
        </w:rPr>
      </w:pPr>
      <w:r>
        <w:rPr>
          <w:rFonts w:ascii="Palatino Linotype" w:hAnsi="Palatino Linotype"/>
          <w:bCs/>
        </w:rPr>
        <w:t xml:space="preserve">Finalmente, en alusión al numeral </w:t>
      </w:r>
      <w:r w:rsidRPr="008F1393">
        <w:rPr>
          <w:rFonts w:ascii="Palatino Linotype" w:hAnsi="Palatino Linotype"/>
          <w:b/>
        </w:rPr>
        <w:t>3</w:t>
      </w:r>
      <w:r>
        <w:rPr>
          <w:rFonts w:ascii="Palatino Linotype" w:hAnsi="Palatino Linotype"/>
          <w:bCs/>
        </w:rPr>
        <w:t xml:space="preserve">, </w:t>
      </w:r>
      <w:r w:rsidR="008F1393" w:rsidRPr="008F1393">
        <w:rPr>
          <w:rFonts w:ascii="Palatino Linotype" w:hAnsi="Palatino Linotype" w:cs="Arial"/>
          <w:iCs/>
        </w:rPr>
        <w:t xml:space="preserve">de no haberse generado, poseído o administrado la información requerida bastará con que así lo manifieste </w:t>
      </w:r>
      <w:r w:rsidR="008F1393" w:rsidRPr="008F1393">
        <w:rPr>
          <w:rFonts w:ascii="Palatino Linotype" w:hAnsi="Palatino Linotype" w:cs="Arial"/>
          <w:b/>
          <w:bCs/>
          <w:iCs/>
        </w:rPr>
        <w:t>El Sujeto Obligado.</w:t>
      </w:r>
    </w:p>
    <w:p w14:paraId="2812DB8B" w14:textId="767D1FA9" w:rsidR="00EF6C52" w:rsidRDefault="00EF6C52" w:rsidP="007C1D20">
      <w:pPr>
        <w:pStyle w:val="Sinespaciado"/>
        <w:spacing w:line="360" w:lineRule="auto"/>
        <w:jc w:val="both"/>
        <w:rPr>
          <w:rFonts w:ascii="Palatino Linotype" w:hAnsi="Palatino Linotype"/>
          <w:bCs/>
        </w:rPr>
      </w:pPr>
    </w:p>
    <w:p w14:paraId="39349121" w14:textId="77777777" w:rsidR="00EF6C52" w:rsidRPr="007C1D20" w:rsidRDefault="00EF6C52" w:rsidP="007C1D20">
      <w:pPr>
        <w:pStyle w:val="Sinespaciado"/>
        <w:spacing w:line="360" w:lineRule="auto"/>
        <w:jc w:val="both"/>
        <w:rPr>
          <w:rFonts w:ascii="Palatino Linotype" w:hAnsi="Palatino Linotype"/>
          <w:bCs/>
        </w:rPr>
      </w:pPr>
    </w:p>
    <w:p w14:paraId="4FF60045" w14:textId="77777777" w:rsidR="002E72C2" w:rsidRDefault="002E72C2" w:rsidP="002E72C2">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2B752AD6" w14:textId="77777777" w:rsidR="002E72C2" w:rsidRPr="001571EB" w:rsidRDefault="002E72C2" w:rsidP="002E72C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8F9306E" w14:textId="77777777" w:rsidR="002E72C2" w:rsidRPr="00E60DEF" w:rsidRDefault="002E72C2" w:rsidP="002E72C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AC3B9E4" w14:textId="77777777" w:rsidR="002E72C2" w:rsidRPr="00E60DEF" w:rsidRDefault="002E72C2" w:rsidP="002E72C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1BF0FB5"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9CA6F36"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619705D"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8F88276" w14:textId="77777777" w:rsidR="002E72C2" w:rsidRPr="001571EB" w:rsidRDefault="002E72C2" w:rsidP="002E72C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0B1F189"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58BFA98"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61993BB"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E451FCF" w14:textId="77777777" w:rsidR="002E72C2" w:rsidRPr="00E60DEF" w:rsidRDefault="002E72C2" w:rsidP="002E72C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CE22ED9"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3C2C3557" w14:textId="77777777" w:rsidR="002E72C2" w:rsidRPr="00E60DEF"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70723D9" w14:textId="77777777" w:rsidR="002E72C2" w:rsidRPr="001571EB" w:rsidRDefault="002E72C2" w:rsidP="002E72C2">
      <w:pPr>
        <w:spacing w:line="240" w:lineRule="auto"/>
        <w:ind w:left="851" w:right="851"/>
        <w:jc w:val="both"/>
        <w:rPr>
          <w:rFonts w:ascii="Palatino Linotype" w:hAnsi="Palatino Linotype" w:cs="Arial"/>
          <w:b/>
          <w:i/>
          <w:u w:val="single"/>
        </w:rPr>
      </w:pPr>
    </w:p>
    <w:p w14:paraId="37F6FC1F" w14:textId="77777777" w:rsidR="002E72C2" w:rsidRPr="001571EB" w:rsidRDefault="002E72C2" w:rsidP="002E72C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9330542" w14:textId="77777777" w:rsidR="002E72C2" w:rsidRPr="001571EB" w:rsidRDefault="002E72C2" w:rsidP="002E72C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55D8034" w14:textId="77777777" w:rsidR="002E72C2" w:rsidRPr="001571EB"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F0C32D0" w14:textId="77777777" w:rsidR="002E72C2"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206534C"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7B6364C"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444DB11D"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3908584"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A5F0CF2"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B805A48"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614691B" w14:textId="77777777" w:rsidR="002E72C2" w:rsidRPr="001571EB" w:rsidRDefault="002E72C2" w:rsidP="002E72C2">
      <w:pPr>
        <w:autoSpaceDE w:val="0"/>
        <w:autoSpaceDN w:val="0"/>
        <w:adjustRightInd w:val="0"/>
        <w:spacing w:before="120" w:after="120"/>
        <w:ind w:left="567" w:right="850"/>
        <w:jc w:val="both"/>
        <w:rPr>
          <w:rFonts w:ascii="Palatino Linotype" w:eastAsia="Times New Roman" w:hAnsi="Palatino Linotype" w:cs="Arial"/>
          <w:i/>
        </w:rPr>
      </w:pPr>
    </w:p>
    <w:p w14:paraId="5810E87B" w14:textId="77777777" w:rsidR="002E72C2" w:rsidRPr="001571EB" w:rsidRDefault="002E72C2" w:rsidP="002E72C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1BB38EF4" w14:textId="77777777" w:rsidR="002E72C2" w:rsidRPr="001571EB" w:rsidRDefault="002E72C2" w:rsidP="002E72C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27FD911" w14:textId="1438EB6B" w:rsidR="002E72C2" w:rsidRDefault="002E72C2" w:rsidP="002E72C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DB74462"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AC729F5"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5A18B59"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16BAC06"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0AB34217"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B3304"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4E0DEF1" w14:textId="77777777" w:rsidR="002E72C2" w:rsidRPr="001571EB" w:rsidRDefault="002E72C2" w:rsidP="002E72C2">
      <w:pPr>
        <w:spacing w:after="0" w:line="360" w:lineRule="auto"/>
        <w:jc w:val="both"/>
        <w:rPr>
          <w:rFonts w:ascii="Palatino Linotype" w:hAnsi="Palatino Linotype" w:cs="Arial"/>
        </w:rPr>
      </w:pPr>
    </w:p>
    <w:p w14:paraId="51D5B01F" w14:textId="77777777" w:rsidR="002E72C2" w:rsidRDefault="002E72C2" w:rsidP="002E72C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DD276AC" w14:textId="3CB52F54" w:rsidR="002968B6" w:rsidRPr="009A7912" w:rsidRDefault="002968B6" w:rsidP="002968B6">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7C1D20">
        <w:rPr>
          <w:rFonts w:ascii="Palatino Linotype" w:hAnsi="Palatino Linotype"/>
          <w:b/>
        </w:rPr>
        <w:t>00043/ATIZARA/IP/2020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5E1F5D0E" w14:textId="339EF087" w:rsidR="002968B6" w:rsidRDefault="002968B6" w:rsidP="002968B6">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007C1D20">
        <w:rPr>
          <w:rFonts w:ascii="Palatino Linotype" w:hAnsi="Palatino Linotype"/>
        </w:rPr>
        <w:t>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7441C13E" w14:textId="1DF7A30D" w:rsidR="002968B6" w:rsidRDefault="008F1393" w:rsidP="002968B6">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10464" behindDoc="0" locked="0" layoutInCell="1" allowOverlap="1" wp14:anchorId="4036E477" wp14:editId="2AF00521">
                <wp:simplePos x="0" y="0"/>
                <wp:positionH relativeFrom="column">
                  <wp:posOffset>-335857</wp:posOffset>
                </wp:positionH>
                <wp:positionV relativeFrom="paragraph">
                  <wp:posOffset>338204</wp:posOffset>
                </wp:positionV>
                <wp:extent cx="6719777" cy="1648046"/>
                <wp:effectExtent l="0" t="0" r="24130" b="28575"/>
                <wp:wrapNone/>
                <wp:docPr id="2" name="Conector recto 2"/>
                <wp:cNvGraphicFramePr/>
                <a:graphic xmlns:a="http://schemas.openxmlformats.org/drawingml/2006/main">
                  <a:graphicData uri="http://schemas.microsoft.com/office/word/2010/wordprocessingShape">
                    <wps:wsp>
                      <wps:cNvCnPr/>
                      <wps:spPr>
                        <a:xfrm>
                          <a:off x="0" y="0"/>
                          <a:ext cx="6719777" cy="164804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73A21F" id="Conector recto 2"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6.45pt,26.65pt" to="502.65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" strokecolor="#5b9bd5 [3204]" strokeweight=".5pt">
                <v:stroke joinstyle="miter"/>
              </v:line>
            </w:pict>
          </mc:Fallback>
        </mc:AlternateContent>
      </w:r>
      <w:r w:rsidR="002968B6">
        <w:rPr>
          <w:rFonts w:ascii="Palatino Linotype" w:hAnsi="Palatino Linotype"/>
        </w:rPr>
        <w:t>Por lo antes expuesto y fundado es de resolverse y;</w:t>
      </w:r>
    </w:p>
    <w:p w14:paraId="199F5B97" w14:textId="7EFAB0F2" w:rsidR="001010B8" w:rsidRDefault="001010B8" w:rsidP="00B34DDC">
      <w:pPr>
        <w:pStyle w:val="Prrafodelista"/>
        <w:spacing w:before="240" w:after="240" w:line="360" w:lineRule="auto"/>
        <w:ind w:left="0"/>
        <w:jc w:val="both"/>
        <w:rPr>
          <w:rFonts w:ascii="Palatino Linotype" w:hAnsi="Palatino Linotype"/>
        </w:rPr>
      </w:pPr>
    </w:p>
    <w:p w14:paraId="726330D1" w14:textId="6254BA55" w:rsidR="008F1393" w:rsidRDefault="008F1393" w:rsidP="00B34DDC">
      <w:pPr>
        <w:pStyle w:val="Prrafodelista"/>
        <w:spacing w:before="240" w:after="240" w:line="360" w:lineRule="auto"/>
        <w:ind w:left="0"/>
        <w:jc w:val="both"/>
        <w:rPr>
          <w:rFonts w:ascii="Palatino Linotype" w:hAnsi="Palatino Linotype"/>
        </w:rPr>
      </w:pPr>
    </w:p>
    <w:p w14:paraId="677D4B2F" w14:textId="77777777" w:rsidR="008F1393" w:rsidRDefault="008F1393" w:rsidP="00B34DDC">
      <w:pPr>
        <w:pStyle w:val="Prrafodelista"/>
        <w:spacing w:before="240" w:after="240" w:line="360" w:lineRule="auto"/>
        <w:ind w:left="0"/>
        <w:jc w:val="both"/>
        <w:rPr>
          <w:rFonts w:ascii="Palatino Linotype" w:hAnsi="Palatino Linotype"/>
        </w:rPr>
      </w:pPr>
    </w:p>
    <w:p w14:paraId="11897145" w14:textId="77777777" w:rsidR="00B34DDC" w:rsidRPr="00413327" w:rsidRDefault="00B34DDC" w:rsidP="00B34DDC">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lastRenderedPageBreak/>
        <w:t>S E RESUELVE</w:t>
      </w:r>
    </w:p>
    <w:p w14:paraId="60CB2D7F" w14:textId="682E0BD2" w:rsidR="002968B6" w:rsidRDefault="002968B6" w:rsidP="002968B6">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0D6A1F">
        <w:rPr>
          <w:rFonts w:ascii="Palatino Linotype" w:hAnsi="Palatino Linotype" w:cs="Arial"/>
          <w:b/>
          <w:sz w:val="24"/>
          <w:szCs w:val="24"/>
        </w:rPr>
        <w:t>00043/ATIZARA/IP/2020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0D6A1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D9D3B46" w14:textId="77777777" w:rsidR="00425AED" w:rsidRDefault="00425AED" w:rsidP="00425AED">
      <w:pPr>
        <w:spacing w:before="240" w:line="360" w:lineRule="auto"/>
        <w:jc w:val="both"/>
        <w:rPr>
          <w:rFonts w:ascii="Palatino Linotype" w:hAnsi="Palatino Linotype" w:cs="Arial"/>
          <w:sz w:val="24"/>
          <w:szCs w:val="24"/>
        </w:rPr>
      </w:pPr>
    </w:p>
    <w:p w14:paraId="43F7D9FA" w14:textId="154CA667" w:rsidR="00425AED" w:rsidRDefault="00425AED" w:rsidP="00425AED">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w:t>
      </w:r>
      <w:r w:rsidR="000A3DFD">
        <w:rPr>
          <w:rFonts w:ascii="Palatino Linotype" w:hAnsi="Palatino Linotype" w:cs="Arial"/>
          <w:sz w:val="24"/>
          <w:szCs w:val="24"/>
        </w:rPr>
        <w:t>ntregar a</w:t>
      </w:r>
      <w:r w:rsidR="000D6A1F">
        <w:rPr>
          <w:rFonts w:ascii="Palatino Linotype" w:hAnsi="Palatino Linotype" w:cs="Arial"/>
          <w:sz w:val="24"/>
          <w:szCs w:val="24"/>
        </w:rPr>
        <w:t>l</w:t>
      </w:r>
      <w:r>
        <w:rPr>
          <w:rFonts w:ascii="Palatino Linotype" w:hAnsi="Palatino Linotype" w:cs="Arial"/>
          <w:b/>
          <w:sz w:val="24"/>
          <w:szCs w:val="24"/>
        </w:rPr>
        <w:t xml:space="preserve"> RECURRENTE, </w:t>
      </w:r>
      <w:r w:rsidRPr="002100EB">
        <w:rPr>
          <w:rFonts w:ascii="Palatino Linotype" w:hAnsi="Palatino Linotype" w:cs="Arial"/>
          <w:sz w:val="24"/>
          <w:szCs w:val="24"/>
        </w:rPr>
        <w:t xml:space="preserve">vía </w:t>
      </w:r>
      <w:r w:rsidR="00D178CD" w:rsidRPr="00D178CD">
        <w:rPr>
          <w:rFonts w:ascii="Palatino Linotype" w:hAnsi="Palatino Linotype" w:cs="Arial"/>
          <w:b/>
          <w:sz w:val="24"/>
          <w:szCs w:val="24"/>
        </w:rPr>
        <w:t>SAIMEX</w:t>
      </w:r>
      <w:r w:rsidRPr="00D178C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en versión pública de ser procedente, de lo siguiente: </w:t>
      </w:r>
    </w:p>
    <w:p w14:paraId="38986E6C" w14:textId="02F825C0" w:rsidR="000D6A1F" w:rsidRPr="000D6A1F" w:rsidRDefault="000D6A1F" w:rsidP="00425AED">
      <w:pPr>
        <w:autoSpaceDE w:val="0"/>
        <w:autoSpaceDN w:val="0"/>
        <w:adjustRightInd w:val="0"/>
        <w:spacing w:before="240" w:line="360" w:lineRule="auto"/>
        <w:ind w:right="49"/>
        <w:jc w:val="both"/>
        <w:rPr>
          <w:rFonts w:ascii="Palatino Linotype" w:hAnsi="Palatino Linotype" w:cs="Arial"/>
          <w:b/>
          <w:bCs/>
          <w:sz w:val="24"/>
          <w:szCs w:val="24"/>
        </w:rPr>
      </w:pPr>
      <w:r>
        <w:rPr>
          <w:rFonts w:ascii="Palatino Linotype" w:hAnsi="Palatino Linotype" w:cs="Arial"/>
          <w:b/>
          <w:bCs/>
          <w:sz w:val="24"/>
          <w:szCs w:val="24"/>
        </w:rPr>
        <w:t>De la obra referida mediante la solicitud de información 00043/ATIZARA/IP/2020</w:t>
      </w:r>
    </w:p>
    <w:p w14:paraId="383DF426" w14:textId="7172F4F5" w:rsidR="000D6A1F" w:rsidRDefault="000D6A1F" w:rsidP="000D6A1F">
      <w:pPr>
        <w:pStyle w:val="Sinespaciado"/>
        <w:numPr>
          <w:ilvl w:val="0"/>
          <w:numId w:val="45"/>
        </w:numPr>
        <w:spacing w:line="360" w:lineRule="auto"/>
        <w:jc w:val="both"/>
        <w:rPr>
          <w:rFonts w:ascii="Palatino Linotype" w:hAnsi="Palatino Linotype"/>
        </w:rPr>
      </w:pPr>
      <w:r>
        <w:rPr>
          <w:rFonts w:ascii="Palatino Linotype" w:hAnsi="Palatino Linotype"/>
        </w:rPr>
        <w:t xml:space="preserve">Bases de la licitación pública o adjudicación directa, vigente al veintiuno de enero de dos mil veinte. </w:t>
      </w:r>
    </w:p>
    <w:p w14:paraId="3BCC17F8" w14:textId="19A41482" w:rsidR="000D6A1F" w:rsidRDefault="000D6A1F" w:rsidP="000D6A1F">
      <w:pPr>
        <w:pStyle w:val="Sinespaciado"/>
        <w:numPr>
          <w:ilvl w:val="0"/>
          <w:numId w:val="45"/>
        </w:numPr>
        <w:spacing w:line="360" w:lineRule="auto"/>
        <w:jc w:val="both"/>
        <w:rPr>
          <w:rFonts w:ascii="Palatino Linotype" w:hAnsi="Palatino Linotype"/>
        </w:rPr>
      </w:pPr>
      <w:r>
        <w:rPr>
          <w:rFonts w:ascii="Palatino Linotype" w:hAnsi="Palatino Linotype"/>
        </w:rPr>
        <w:t xml:space="preserve">Contrato de construcción celebrado con los responsables de la obra, vigente al veintiuno de enero de dos mil veinte. </w:t>
      </w:r>
    </w:p>
    <w:p w14:paraId="1FC0477C" w14:textId="16B9BDD0" w:rsidR="000D6A1F" w:rsidRDefault="000D6A1F" w:rsidP="000D6A1F">
      <w:pPr>
        <w:pStyle w:val="Sinespaciado"/>
        <w:numPr>
          <w:ilvl w:val="0"/>
          <w:numId w:val="45"/>
        </w:numPr>
        <w:spacing w:line="360" w:lineRule="auto"/>
        <w:jc w:val="both"/>
        <w:rPr>
          <w:rFonts w:ascii="Palatino Linotype" w:hAnsi="Palatino Linotype"/>
        </w:rPr>
      </w:pPr>
      <w:r>
        <w:rPr>
          <w:rFonts w:ascii="Palatino Linotype" w:hAnsi="Palatino Linotype"/>
        </w:rPr>
        <w:t xml:space="preserve">Convenio de colaboración de los sindicatos, vigente al veintiuno de enero de dos mil veinte. </w:t>
      </w:r>
    </w:p>
    <w:p w14:paraId="2E8310FA" w14:textId="504CD917" w:rsidR="000D6A1F" w:rsidRPr="000417AA" w:rsidRDefault="000D6A1F" w:rsidP="000D6A1F">
      <w:pPr>
        <w:pStyle w:val="Sinespaciado"/>
        <w:numPr>
          <w:ilvl w:val="0"/>
          <w:numId w:val="45"/>
        </w:numPr>
        <w:spacing w:line="360" w:lineRule="auto"/>
        <w:jc w:val="both"/>
        <w:rPr>
          <w:rFonts w:ascii="Palatino Linotype" w:hAnsi="Palatino Linotype"/>
        </w:rPr>
      </w:pPr>
      <w:r w:rsidRPr="00EE7822">
        <w:rPr>
          <w:rFonts w:ascii="Palatino Linotype" w:hAnsi="Palatino Linotype"/>
        </w:rPr>
        <w:t xml:space="preserve">Estudio de impacto ambiental, así como </w:t>
      </w:r>
      <w:r>
        <w:rPr>
          <w:rFonts w:ascii="Palatino Linotype" w:hAnsi="Palatino Linotype"/>
        </w:rPr>
        <w:t>r</w:t>
      </w:r>
      <w:r w:rsidRPr="00EE7822">
        <w:rPr>
          <w:rFonts w:ascii="Palatino Linotype" w:hAnsi="Palatino Linotype"/>
        </w:rPr>
        <w:t xml:space="preserve">esolutivo de impacto ambiental acuerdo </w:t>
      </w:r>
      <w:r w:rsidRPr="00EE7822">
        <w:rPr>
          <w:rFonts w:ascii="Palatino Linotype" w:hAnsi="Palatino Linotype"/>
          <w:b/>
          <w:bCs/>
        </w:rPr>
        <w:t>0141/CTATIZARA/2019-2021</w:t>
      </w:r>
      <w:r>
        <w:rPr>
          <w:rFonts w:ascii="Palatino Linotype" w:hAnsi="Palatino Linotype"/>
          <w:b/>
          <w:bCs/>
        </w:rPr>
        <w:t xml:space="preserve">, </w:t>
      </w:r>
      <w:r>
        <w:rPr>
          <w:rFonts w:ascii="Palatino Linotype" w:hAnsi="Palatino Linotype"/>
        </w:rPr>
        <w:t xml:space="preserve">vigentes al veintiuno de enero de dos mil veinte. </w:t>
      </w:r>
    </w:p>
    <w:p w14:paraId="0B8B4490" w14:textId="55018B25" w:rsidR="000D6A1F" w:rsidRDefault="002968B6" w:rsidP="00425AE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w:t>
      </w:r>
      <w:r w:rsidR="00425AED">
        <w:rPr>
          <w:rFonts w:ascii="Palatino Linotype" w:hAnsi="Palatino Linotype" w:cs="Arial"/>
          <w:i/>
        </w:rPr>
        <w:t xml:space="preserve"> la entrega en versión pública deberá emitir el Acuerdo del Comité de Transparencia en términos de los artículos 49, fracción VIII y 132 fracción II de la Ley </w:t>
      </w:r>
      <w:r w:rsidR="00425AED">
        <w:rPr>
          <w:rFonts w:ascii="Palatino Linotype" w:hAnsi="Palatino Linotype" w:cs="Arial"/>
          <w:i/>
        </w:rPr>
        <w:lastRenderedPageBreak/>
        <w:t>de Transparencia y Acceso a la Información Pública del Estado de México y Municipios, en el que funde y motive las razones sobre los datos que se supriman o eliminen y se ponga a disposición del recurrente.</w:t>
      </w:r>
    </w:p>
    <w:p w14:paraId="3743E136" w14:textId="7C06EC6E" w:rsidR="008F1393" w:rsidRDefault="008F1393" w:rsidP="00425AED">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En alusión al numeral 3, de no haberse generado, poseído o administrado la información requerida bastará con que así lo manifieste </w:t>
      </w:r>
      <w:r>
        <w:rPr>
          <w:rFonts w:ascii="Palatino Linotype" w:hAnsi="Palatino Linotype" w:cs="Arial"/>
          <w:b/>
          <w:bCs/>
          <w:i/>
        </w:rPr>
        <w:t>El Sujeto Obligado.</w:t>
      </w:r>
    </w:p>
    <w:p w14:paraId="3703157A" w14:textId="77777777" w:rsidR="006611C1" w:rsidRDefault="006611C1" w:rsidP="00425AED">
      <w:pPr>
        <w:pStyle w:val="Prrafodelista"/>
        <w:spacing w:before="240" w:line="360" w:lineRule="auto"/>
        <w:ind w:left="720"/>
        <w:jc w:val="both"/>
        <w:rPr>
          <w:rFonts w:ascii="Palatino Linotype" w:hAnsi="Palatino Linotype" w:cs="Arial"/>
          <w:i/>
        </w:rPr>
      </w:pPr>
    </w:p>
    <w:p w14:paraId="0758D27C" w14:textId="79F673FB" w:rsidR="00425AED" w:rsidRDefault="00425AED" w:rsidP="00425AE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w:t>
      </w:r>
      <w:r w:rsidR="00D83F41">
        <w:rPr>
          <w:rFonts w:ascii="Palatino Linotype" w:hAnsi="Palatino Linotype" w:cs="Arial"/>
          <w:sz w:val="24"/>
          <w:szCs w:val="24"/>
        </w:rPr>
        <w:t>diez</w:t>
      </w:r>
      <w:r w:rsidR="008F1393">
        <w:rPr>
          <w:rFonts w:ascii="Palatino Linotype" w:hAnsi="Palatino Linotype" w:cs="Arial"/>
          <w:sz w:val="24"/>
          <w:szCs w:val="24"/>
        </w:rPr>
        <w:t xml:space="preserve"> </w:t>
      </w:r>
      <w:r w:rsidRPr="00D05C83">
        <w:rPr>
          <w:rFonts w:ascii="Palatino Linotype" w:hAnsi="Palatino Linotype" w:cs="Arial"/>
          <w:sz w:val="24"/>
          <w:szCs w:val="24"/>
        </w:rPr>
        <w:t>días hábiles, debiendo informar a este Instituto en un plazo de tres días hábiles siguientes sobre el cumplimiento dado a la presente resolución.</w:t>
      </w:r>
    </w:p>
    <w:p w14:paraId="758F9A03" w14:textId="77777777" w:rsidR="00425AED" w:rsidRDefault="00425AED" w:rsidP="00425AED">
      <w:pPr>
        <w:autoSpaceDE w:val="0"/>
        <w:autoSpaceDN w:val="0"/>
        <w:adjustRightInd w:val="0"/>
        <w:spacing w:before="240" w:line="360" w:lineRule="auto"/>
        <w:jc w:val="both"/>
        <w:rPr>
          <w:rFonts w:ascii="Palatino Linotype" w:hAnsi="Palatino Linotype" w:cs="Arial"/>
          <w:sz w:val="24"/>
          <w:szCs w:val="24"/>
        </w:rPr>
      </w:pPr>
    </w:p>
    <w:p w14:paraId="2114636C" w14:textId="6F1690E4" w:rsidR="00827063" w:rsidRPr="00827063" w:rsidRDefault="00425AED" w:rsidP="00425AED">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CUARTO</w:t>
      </w:r>
      <w:r w:rsidRPr="00475990">
        <w:rPr>
          <w:rFonts w:ascii="Palatino Linotype" w:hAnsi="Palatino Linotype" w:cs="Arial"/>
          <w:sz w:val="24"/>
          <w:szCs w:val="24"/>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sidR="000A3DFD">
        <w:rPr>
          <w:rFonts w:ascii="Palatino Linotype" w:hAnsi="Palatino Linotype" w:cs="Arial"/>
          <w:sz w:val="24"/>
          <w:szCs w:val="24"/>
        </w:rPr>
        <w:t xml:space="preserve"> la presente resolución a</w:t>
      </w:r>
      <w:r w:rsidR="000D6A1F">
        <w:rPr>
          <w:rFonts w:ascii="Palatino Linotype" w:hAnsi="Palatino Linotype" w:cs="Arial"/>
          <w:sz w:val="24"/>
          <w:szCs w:val="24"/>
        </w:rPr>
        <w:t>l</w:t>
      </w:r>
      <w:r>
        <w:rPr>
          <w:rFonts w:ascii="Palatino Linotype" w:hAnsi="Palatino Linotype" w:cs="Arial"/>
          <w:b/>
          <w:sz w:val="24"/>
          <w:szCs w:val="24"/>
        </w:rPr>
        <w:t xml:space="preserve"> </w:t>
      </w:r>
      <w:r w:rsidR="0006349C" w:rsidRPr="00AF6553">
        <w:rPr>
          <w:rFonts w:ascii="Palatino Linotype" w:hAnsi="Palatino Linotype" w:cs="Arial"/>
          <w:b/>
          <w:sz w:val="24"/>
          <w:szCs w:val="24"/>
        </w:rPr>
        <w:t>RECURRENTE</w:t>
      </w:r>
      <w:r w:rsidR="0006349C">
        <w:rPr>
          <w:rFonts w:ascii="Palatino Linotype" w:hAnsi="Palatino Linotype" w:cs="Arial"/>
          <w:b/>
          <w:sz w:val="24"/>
          <w:szCs w:val="24"/>
        </w:rPr>
        <w:t xml:space="preserve"> </w:t>
      </w:r>
      <w:r w:rsidR="0006349C" w:rsidRPr="00AF6553">
        <w:rPr>
          <w:rFonts w:ascii="Palatino Linotype" w:hAnsi="Palatino Linotype" w:cs="Arial"/>
          <w:b/>
          <w:sz w:val="24"/>
          <w:szCs w:val="24"/>
        </w:rPr>
        <w:t>a</w:t>
      </w:r>
      <w:r w:rsidR="00827063" w:rsidRPr="00AF6553">
        <w:rPr>
          <w:rFonts w:ascii="Palatino Linotype" w:hAnsi="Palatino Linotype" w:cs="Arial"/>
          <w:sz w:val="24"/>
          <w:szCs w:val="24"/>
        </w:rPr>
        <w:t xml:space="preserve"> través del Sistema de Acceso a la Información Mexiquense </w:t>
      </w:r>
      <w:r w:rsidR="00827063">
        <w:rPr>
          <w:rFonts w:ascii="Palatino Linotype" w:hAnsi="Palatino Linotype" w:cs="Arial"/>
          <w:b/>
          <w:sz w:val="24"/>
          <w:szCs w:val="24"/>
        </w:rPr>
        <w:t>(SAIMEX</w:t>
      </w:r>
      <w:r w:rsidR="0006349C">
        <w:rPr>
          <w:rFonts w:ascii="Palatino Linotype" w:hAnsi="Palatino Linotype" w:cs="Arial"/>
          <w:b/>
          <w:sz w:val="24"/>
          <w:szCs w:val="24"/>
        </w:rPr>
        <w:t xml:space="preserve">). </w:t>
      </w:r>
      <w:r w:rsidR="00827063">
        <w:rPr>
          <w:rFonts w:ascii="Palatino Linotype" w:hAnsi="Palatino Linotype" w:cs="Arial"/>
          <w:sz w:val="24"/>
          <w:szCs w:val="24"/>
        </w:rPr>
        <w:t xml:space="preserve"> </w:t>
      </w:r>
    </w:p>
    <w:p w14:paraId="2636E34E" w14:textId="77777777" w:rsidR="00827063" w:rsidRDefault="00827063" w:rsidP="00425AED">
      <w:pPr>
        <w:autoSpaceDE w:val="0"/>
        <w:autoSpaceDN w:val="0"/>
        <w:adjustRightInd w:val="0"/>
        <w:spacing w:before="240" w:line="360" w:lineRule="auto"/>
        <w:jc w:val="both"/>
        <w:rPr>
          <w:rFonts w:ascii="Palatino Linotype" w:hAnsi="Palatino Linotype" w:cs="Arial"/>
          <w:b/>
          <w:sz w:val="24"/>
          <w:szCs w:val="24"/>
        </w:rPr>
      </w:pPr>
    </w:p>
    <w:p w14:paraId="22BADC3D" w14:textId="72B490A0" w:rsidR="00425AED" w:rsidRDefault="00425AED" w:rsidP="00425AED">
      <w:pPr>
        <w:autoSpaceDE w:val="0"/>
        <w:autoSpaceDN w:val="0"/>
        <w:adjustRightInd w:val="0"/>
        <w:spacing w:before="240" w:line="360" w:lineRule="auto"/>
        <w:jc w:val="both"/>
        <w:rPr>
          <w:rFonts w:ascii="Palatino Linotype" w:hAnsi="Palatino Linotype" w:cs="Arial"/>
          <w:sz w:val="24"/>
          <w:szCs w:val="24"/>
        </w:rPr>
      </w:pPr>
      <w:r w:rsidRPr="00475990">
        <w:rPr>
          <w:rFonts w:ascii="Palatino Linotype" w:hAnsi="Palatino Linotype" w:cs="Arial"/>
          <w:b/>
          <w:sz w:val="24"/>
          <w:szCs w:val="24"/>
        </w:rPr>
        <w:t>QUINTO.</w:t>
      </w:r>
      <w:r>
        <w:rPr>
          <w:rFonts w:ascii="Palatino Linotype" w:hAnsi="Palatino Linotype" w:cs="Arial"/>
          <w:b/>
          <w:sz w:val="28"/>
          <w:szCs w:val="28"/>
        </w:rPr>
        <w:t xml:space="preserve"> </w:t>
      </w:r>
      <w:r w:rsidR="000A3DFD">
        <w:rPr>
          <w:rFonts w:ascii="Palatino Linotype" w:hAnsi="Palatino Linotype" w:cs="Arial"/>
          <w:sz w:val="24"/>
          <w:szCs w:val="24"/>
        </w:rPr>
        <w:t>Se hace del conocimiento de</w:t>
      </w:r>
      <w:r w:rsidR="000D6A1F">
        <w:rPr>
          <w:rFonts w:ascii="Palatino Linotype" w:hAnsi="Palatino Linotype" w:cs="Arial"/>
          <w:sz w:val="24"/>
          <w:szCs w:val="24"/>
        </w:rPr>
        <w:t>l</w:t>
      </w:r>
      <w:r w:rsidR="000A3DFD">
        <w:rPr>
          <w:rFonts w:ascii="Palatino Linotype" w:hAnsi="Palatino Linotype" w:cs="Arial"/>
          <w:b/>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w:t>
      </w:r>
      <w:r>
        <w:rPr>
          <w:rFonts w:ascii="Palatino Linotype" w:hAnsi="Palatino Linotype" w:cs="Arial"/>
          <w:sz w:val="24"/>
          <w:szCs w:val="24"/>
        </w:rPr>
        <w:lastRenderedPageBreak/>
        <w:t xml:space="preserve">le cause algún perjuicio podrá impugnarla vía juicio de amparo en los términos de las leyes aplicables. </w:t>
      </w:r>
    </w:p>
    <w:p w14:paraId="759FCCC6" w14:textId="6D3EA136" w:rsidR="00827063" w:rsidRDefault="00827063" w:rsidP="00425AED">
      <w:pPr>
        <w:autoSpaceDE w:val="0"/>
        <w:autoSpaceDN w:val="0"/>
        <w:adjustRightInd w:val="0"/>
        <w:spacing w:before="240" w:line="360" w:lineRule="auto"/>
        <w:jc w:val="both"/>
        <w:rPr>
          <w:rFonts w:ascii="Palatino Linotype" w:hAnsi="Palatino Linotype" w:cs="Arial"/>
          <w:sz w:val="24"/>
          <w:szCs w:val="24"/>
        </w:rPr>
      </w:pPr>
    </w:p>
    <w:p w14:paraId="1AD6F004" w14:textId="69060240" w:rsidR="000D6A1F" w:rsidRDefault="00B972DE" w:rsidP="000D6A1F">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4B8A1720" wp14:editId="1A2206D9">
                <wp:simplePos x="0" y="0"/>
                <wp:positionH relativeFrom="margin">
                  <wp:posOffset>-432435</wp:posOffset>
                </wp:positionH>
                <wp:positionV relativeFrom="paragraph">
                  <wp:posOffset>2922905</wp:posOffset>
                </wp:positionV>
                <wp:extent cx="6315075" cy="3429000"/>
                <wp:effectExtent l="0" t="0" r="28575" b="19050"/>
                <wp:wrapNone/>
                <wp:docPr id="19" name="Conector recto 19"/>
                <wp:cNvGraphicFramePr/>
                <a:graphic xmlns:a="http://schemas.openxmlformats.org/drawingml/2006/main">
                  <a:graphicData uri="http://schemas.microsoft.com/office/word/2010/wordprocessingShape">
                    <wps:wsp>
                      <wps:cNvCnPr/>
                      <wps:spPr>
                        <a:xfrm>
                          <a:off x="0" y="0"/>
                          <a:ext cx="6315075" cy="342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F463F" id="Conector recto 19"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05pt,230.15pt" to="463.2pt,5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" strokecolor="#5b9bd5 [3204]" strokeweight=".5pt">
                <v:stroke joinstyle="miter"/>
                <w10:wrap anchorx="margin"/>
              </v:line>
            </w:pict>
          </mc:Fallback>
        </mc:AlternateContent>
      </w:r>
      <w:r w:rsidR="000D6A1F" w:rsidRPr="00C91103">
        <w:rPr>
          <w:rFonts w:ascii="Palatino Linotype" w:hAnsi="Palatino Linotype" w:cs="Arial"/>
          <w:sz w:val="24"/>
          <w:szCs w:val="24"/>
        </w:rPr>
        <w:t xml:space="preserve">ASÍ LO RESUELVE, POR UNANIMIDAD DE </w:t>
      </w:r>
      <w:r w:rsidR="000D6A1F">
        <w:rPr>
          <w:rFonts w:ascii="Palatino Linotype" w:hAnsi="Palatino Linotype" w:cs="Arial"/>
          <w:sz w:val="24"/>
          <w:szCs w:val="24"/>
        </w:rPr>
        <w:t>VOTOS,</w:t>
      </w:r>
      <w:r w:rsidR="000D6A1F" w:rsidRPr="00C91103">
        <w:rPr>
          <w:rFonts w:ascii="Palatino Linotype" w:hAnsi="Palatino Linotype" w:cs="Arial"/>
          <w:sz w:val="24"/>
          <w:szCs w:val="24"/>
        </w:rPr>
        <w:t xml:space="preserve"> EL PLENO DEL</w:t>
      </w:r>
      <w:r w:rsidR="000D6A1F"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0D6A1F" w:rsidRPr="00C91103">
        <w:rPr>
          <w:rFonts w:ascii="Palatino Linotype" w:hAnsi="Palatino Linotype" w:cs="Arial"/>
          <w:sz w:val="24"/>
          <w:szCs w:val="24"/>
        </w:rPr>
        <w:t xml:space="preserve">, CONFORMADO POR LOS COMISIONADOS ZULEMA MARTÍNEZ </w:t>
      </w:r>
      <w:r w:rsidR="000D6A1F" w:rsidRPr="000F64A9">
        <w:rPr>
          <w:rFonts w:ascii="Palatino Linotype" w:hAnsi="Palatino Linotype" w:cs="Arial"/>
          <w:sz w:val="24"/>
          <w:szCs w:val="24"/>
        </w:rPr>
        <w:t>SÁNCHEZ, EVA ABAID YAPUR, JOSÉ GUADALUPE LUNA HERNÁNDEZ</w:t>
      </w:r>
      <w:r>
        <w:rPr>
          <w:rFonts w:ascii="Palatino Linotype" w:hAnsi="Palatino Linotype" w:cs="Arial"/>
          <w:sz w:val="24"/>
          <w:szCs w:val="24"/>
        </w:rPr>
        <w:t xml:space="preserve"> (VOTO PARTICULAR)</w:t>
      </w:r>
      <w:r w:rsidR="000D6A1F" w:rsidRPr="000F64A9">
        <w:rPr>
          <w:rFonts w:ascii="Palatino Linotype" w:hAnsi="Palatino Linotype" w:cs="Arial"/>
          <w:sz w:val="24"/>
          <w:szCs w:val="24"/>
        </w:rPr>
        <w:t xml:space="preserve">, JAVIER MARTÍNEZ CRUZ Y LUIS GUSTAVO PARRA NORIEGA </w:t>
      </w:r>
      <w:r w:rsidR="001951F3">
        <w:rPr>
          <w:rFonts w:ascii="Palatino Linotype" w:hAnsi="Palatino Linotype" w:cs="Arial"/>
          <w:sz w:val="24"/>
          <w:szCs w:val="24"/>
        </w:rPr>
        <w:t xml:space="preserve">(VOTO PARTICULAR) </w:t>
      </w:r>
      <w:r w:rsidR="000D6A1F" w:rsidRPr="000F64A9">
        <w:rPr>
          <w:rFonts w:ascii="Palatino Linotype" w:hAnsi="Palatino Linotype" w:cs="Arial"/>
          <w:sz w:val="24"/>
          <w:szCs w:val="24"/>
        </w:rPr>
        <w:t xml:space="preserve">EN LA DÉCIMA </w:t>
      </w:r>
      <w:r w:rsidR="000F64A9" w:rsidRPr="000F64A9">
        <w:rPr>
          <w:rFonts w:ascii="Palatino Linotype" w:hAnsi="Palatino Linotype" w:cs="Arial"/>
          <w:sz w:val="24"/>
          <w:szCs w:val="24"/>
        </w:rPr>
        <w:t>TERCERA</w:t>
      </w:r>
      <w:r w:rsidR="000D6A1F" w:rsidRPr="000F64A9">
        <w:rPr>
          <w:rFonts w:ascii="Palatino Linotype" w:hAnsi="Palatino Linotype" w:cs="Arial"/>
          <w:sz w:val="24"/>
          <w:szCs w:val="24"/>
        </w:rPr>
        <w:t xml:space="preserve"> SESIÓN ORDINARIA CELEBRADA EL </w:t>
      </w:r>
      <w:r w:rsidR="000F64A9" w:rsidRPr="000F64A9">
        <w:rPr>
          <w:rFonts w:ascii="Palatino Linotype" w:hAnsi="Palatino Linotype" w:cs="Arial"/>
          <w:sz w:val="24"/>
          <w:szCs w:val="24"/>
        </w:rPr>
        <w:t>DOCE DE AGOSTO</w:t>
      </w:r>
      <w:r w:rsidR="000D6A1F" w:rsidRPr="000F64A9">
        <w:rPr>
          <w:rFonts w:ascii="Palatino Linotype" w:hAnsi="Palatino Linotype" w:cs="Arial"/>
          <w:sz w:val="24"/>
          <w:szCs w:val="24"/>
        </w:rPr>
        <w:t xml:space="preserve"> DE DOS</w:t>
      </w:r>
      <w:r w:rsidR="000D6A1F">
        <w:rPr>
          <w:rFonts w:ascii="Palatino Linotype" w:hAnsi="Palatino Linotype" w:cs="Arial"/>
          <w:sz w:val="24"/>
          <w:szCs w:val="24"/>
        </w:rPr>
        <w:t xml:space="preserve"> MIL VEINTE, ANTE EL </w:t>
      </w:r>
      <w:r w:rsidR="000D6A1F" w:rsidRPr="006C6A05">
        <w:rPr>
          <w:rFonts w:ascii="Palatino Linotype" w:hAnsi="Palatino Linotype" w:cs="Arial"/>
          <w:sz w:val="24"/>
          <w:szCs w:val="24"/>
        </w:rPr>
        <w:t>SECRETARIO TÉCNICO DEL PLENO, ALEXIS TAPIA RAMÍREZ.</w:t>
      </w:r>
      <w:r w:rsidR="000D6A1F">
        <w:rPr>
          <w:rFonts w:ascii="Palatino Linotype" w:hAnsi="Palatino Linotype" w:cs="Arial"/>
          <w:sz w:val="24"/>
          <w:szCs w:val="24"/>
        </w:rPr>
        <w:t xml:space="preserve">  </w:t>
      </w:r>
    </w:p>
    <w:p w14:paraId="42C29222" w14:textId="532DC28D" w:rsidR="000D6A1F" w:rsidRDefault="000D6A1F" w:rsidP="000D6A1F">
      <w:pPr>
        <w:spacing w:before="240" w:line="360" w:lineRule="auto"/>
        <w:jc w:val="both"/>
        <w:rPr>
          <w:rFonts w:ascii="Palatino Linotype" w:hAnsi="Palatino Linotype" w:cs="Arial"/>
          <w:sz w:val="24"/>
          <w:szCs w:val="24"/>
        </w:rPr>
      </w:pPr>
    </w:p>
    <w:p w14:paraId="3D6D0389" w14:textId="77777777" w:rsidR="000D6A1F" w:rsidRDefault="000D6A1F" w:rsidP="000D6A1F">
      <w:pPr>
        <w:spacing w:before="240" w:line="360" w:lineRule="auto"/>
        <w:jc w:val="both"/>
        <w:rPr>
          <w:rFonts w:ascii="Palatino Linotype" w:hAnsi="Palatino Linotype" w:cs="Arial"/>
          <w:sz w:val="24"/>
          <w:szCs w:val="24"/>
        </w:rPr>
      </w:pPr>
    </w:p>
    <w:p w14:paraId="1A2D68CD" w14:textId="77777777" w:rsidR="000D6A1F" w:rsidRDefault="000D6A1F" w:rsidP="000D6A1F">
      <w:pPr>
        <w:spacing w:before="240" w:line="360" w:lineRule="auto"/>
        <w:jc w:val="both"/>
        <w:rPr>
          <w:rFonts w:ascii="Palatino Linotype" w:hAnsi="Palatino Linotype" w:cs="Arial"/>
          <w:sz w:val="24"/>
          <w:szCs w:val="24"/>
        </w:rPr>
      </w:pPr>
    </w:p>
    <w:p w14:paraId="5B1A45A1" w14:textId="77777777" w:rsidR="000D6A1F" w:rsidRDefault="000D6A1F" w:rsidP="000D6A1F">
      <w:pPr>
        <w:spacing w:before="240" w:line="360" w:lineRule="auto"/>
        <w:jc w:val="both"/>
        <w:rPr>
          <w:rFonts w:ascii="Palatino Linotype" w:hAnsi="Palatino Linotype" w:cs="Arial"/>
          <w:sz w:val="24"/>
          <w:szCs w:val="24"/>
        </w:rPr>
      </w:pPr>
    </w:p>
    <w:p w14:paraId="19EE246E" w14:textId="77777777" w:rsidR="000D6A1F" w:rsidRDefault="000D6A1F" w:rsidP="000D6A1F">
      <w:pPr>
        <w:spacing w:before="240" w:line="360" w:lineRule="auto"/>
        <w:jc w:val="both"/>
        <w:rPr>
          <w:rFonts w:ascii="Palatino Linotype" w:hAnsi="Palatino Linotype" w:cs="Arial"/>
          <w:sz w:val="24"/>
          <w:szCs w:val="24"/>
        </w:rPr>
      </w:pPr>
    </w:p>
    <w:p w14:paraId="5FF85BDD" w14:textId="77777777" w:rsidR="000D6A1F" w:rsidRDefault="000D6A1F" w:rsidP="000D6A1F">
      <w:pPr>
        <w:spacing w:before="240" w:line="360" w:lineRule="auto"/>
        <w:jc w:val="both"/>
        <w:rPr>
          <w:rFonts w:ascii="Palatino Linotype" w:hAnsi="Palatino Linotype" w:cs="Arial"/>
          <w:sz w:val="24"/>
          <w:szCs w:val="24"/>
        </w:rPr>
      </w:pPr>
    </w:p>
    <w:p w14:paraId="55E90733" w14:textId="77777777" w:rsidR="000D6A1F" w:rsidRDefault="000D6A1F" w:rsidP="000D6A1F">
      <w:pPr>
        <w:spacing w:before="240" w:line="360" w:lineRule="auto"/>
        <w:jc w:val="both"/>
        <w:rPr>
          <w:rFonts w:ascii="Palatino Linotype" w:hAnsi="Palatino Linotype" w:cs="Arial"/>
          <w:sz w:val="24"/>
          <w:szCs w:val="24"/>
        </w:rPr>
      </w:pPr>
    </w:p>
    <w:p w14:paraId="1B56F1E4" w14:textId="77777777" w:rsidR="000D6A1F" w:rsidRDefault="000D6A1F" w:rsidP="000D6A1F">
      <w:pPr>
        <w:spacing w:before="240" w:line="360" w:lineRule="auto"/>
        <w:jc w:val="both"/>
        <w:rPr>
          <w:rFonts w:ascii="Palatino Linotype" w:hAnsi="Palatino Linotype" w:cs="Arial"/>
          <w:sz w:val="24"/>
          <w:szCs w:val="24"/>
        </w:rPr>
      </w:pPr>
    </w:p>
    <w:p w14:paraId="4A505D97" w14:textId="77777777" w:rsidR="000D6A1F" w:rsidRPr="00D05C83" w:rsidRDefault="000D6A1F" w:rsidP="000D6A1F">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2272" behindDoc="0" locked="0" layoutInCell="1" allowOverlap="1" wp14:anchorId="78B1FAD1" wp14:editId="5EF01225">
                <wp:simplePos x="0" y="0"/>
                <wp:positionH relativeFrom="page">
                  <wp:posOffset>2600325</wp:posOffset>
                </wp:positionH>
                <wp:positionV relativeFrom="paragraph">
                  <wp:posOffset>178435</wp:posOffset>
                </wp:positionV>
                <wp:extent cx="2551430" cy="971550"/>
                <wp:effectExtent l="0" t="0" r="20320" b="19050"/>
                <wp:wrapNone/>
                <wp:docPr id="28" name="Cuadro de texto 28"/>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832687" w14:textId="77777777" w:rsidR="000D6A1F" w:rsidRPr="00EF2FC0" w:rsidRDefault="000D6A1F" w:rsidP="000D6A1F">
                            <w:pPr>
                              <w:jc w:val="center"/>
                              <w:rPr>
                                <w:rFonts w:ascii="Palatino Linotype" w:hAnsi="Palatino Linotype"/>
                              </w:rPr>
                            </w:pPr>
                            <w:r w:rsidRPr="00EF2FC0">
                              <w:rPr>
                                <w:rFonts w:ascii="Palatino Linotype" w:hAnsi="Palatino Linotype"/>
                                <w:b/>
                              </w:rPr>
                              <w:t>Zulema Martínez Sánchez</w:t>
                            </w:r>
                          </w:p>
                          <w:p w14:paraId="1D69BBD9" w14:textId="77777777" w:rsidR="000D6A1F" w:rsidRDefault="000D6A1F" w:rsidP="000D6A1F">
                            <w:pPr>
                              <w:jc w:val="center"/>
                              <w:rPr>
                                <w:rFonts w:ascii="Palatino Linotype" w:hAnsi="Palatino Linotype"/>
                              </w:rPr>
                            </w:pPr>
                            <w:r>
                              <w:rPr>
                                <w:rFonts w:ascii="Palatino Linotype" w:hAnsi="Palatino Linotype"/>
                              </w:rPr>
                              <w:t>Comisionada Presidenta</w:t>
                            </w:r>
                          </w:p>
                          <w:p w14:paraId="7C582D26" w14:textId="77777777" w:rsidR="000D6A1F" w:rsidRDefault="000D6A1F" w:rsidP="000D6A1F">
                            <w:pPr>
                              <w:jc w:val="center"/>
                              <w:rPr>
                                <w:rFonts w:ascii="Palatino Linotype" w:hAnsi="Palatino Linotype"/>
                                <w:b/>
                              </w:rPr>
                            </w:pPr>
                            <w:r>
                              <w:rPr>
                                <w:rFonts w:ascii="Palatino Linotype" w:hAnsi="Palatino Linotype"/>
                                <w:b/>
                              </w:rPr>
                              <w:t>(Rúbrica).</w:t>
                            </w:r>
                          </w:p>
                          <w:p w14:paraId="5DC90948" w14:textId="77777777" w:rsidR="000D6A1F" w:rsidRPr="00016AF3" w:rsidRDefault="000D6A1F" w:rsidP="000D6A1F">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B1FAD1" id="_x0000_t202" coordsize="21600,21600" o:spt="202" path="m,l,21600r21600,l21600,xe">
                <v:stroke joinstyle="miter"/>
                <v:path gradientshapeok="t" o:connecttype="rect"/>
              </v:shapetype>
              <v:shape id="Cuadro de texto 28" o:spid="_x0000_s1026" type="#_x0000_t202" style="position:absolute;left:0;text-align:left;margin-left:204.75pt;margin-top:14.05pt;width:200.9pt;height:7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sJ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&#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Z8iLCZICAAC7BQAADgAAAAAAAAAAAAAAAAAuAgAAZHJzL2Uyb0RvYy54bWxQ&#10;SwECLQAUAAYACAAAACEAXjOe0N4AAAAKAQAADwAAAAAAAAAAAAAAAADsBAAAZHJzL2Rvd25yZXYu&#10;eG1sUEsFBgAAAAAEAAQA8wAAAPcFAAAAAA==&#10;" fillcolor="white [3201]" strokecolor="white [3212]" strokeweight=".5pt">
                <v:textbox>
                  <w:txbxContent>
                    <w:p w14:paraId="17832687" w14:textId="77777777" w:rsidR="000D6A1F" w:rsidRPr="00EF2FC0" w:rsidRDefault="000D6A1F" w:rsidP="000D6A1F">
                      <w:pPr>
                        <w:jc w:val="center"/>
                        <w:rPr>
                          <w:rFonts w:ascii="Palatino Linotype" w:hAnsi="Palatino Linotype"/>
                        </w:rPr>
                      </w:pPr>
                      <w:r w:rsidRPr="00EF2FC0">
                        <w:rPr>
                          <w:rFonts w:ascii="Palatino Linotype" w:hAnsi="Palatino Linotype"/>
                          <w:b/>
                        </w:rPr>
                        <w:t>Zulema Martínez Sánchez</w:t>
                      </w:r>
                    </w:p>
                    <w:p w14:paraId="1D69BBD9" w14:textId="77777777" w:rsidR="000D6A1F" w:rsidRDefault="000D6A1F" w:rsidP="000D6A1F">
                      <w:pPr>
                        <w:jc w:val="center"/>
                        <w:rPr>
                          <w:rFonts w:ascii="Palatino Linotype" w:hAnsi="Palatino Linotype"/>
                        </w:rPr>
                      </w:pPr>
                      <w:r>
                        <w:rPr>
                          <w:rFonts w:ascii="Palatino Linotype" w:hAnsi="Palatino Linotype"/>
                        </w:rPr>
                        <w:t>Comisionada Presidenta</w:t>
                      </w:r>
                    </w:p>
                    <w:p w14:paraId="7C582D26" w14:textId="77777777" w:rsidR="000D6A1F" w:rsidRDefault="000D6A1F" w:rsidP="000D6A1F">
                      <w:pPr>
                        <w:jc w:val="center"/>
                        <w:rPr>
                          <w:rFonts w:ascii="Palatino Linotype" w:hAnsi="Palatino Linotype"/>
                          <w:b/>
                        </w:rPr>
                      </w:pPr>
                      <w:r>
                        <w:rPr>
                          <w:rFonts w:ascii="Palatino Linotype" w:hAnsi="Palatino Linotype"/>
                          <w:b/>
                        </w:rPr>
                        <w:t>(Rúbrica).</w:t>
                      </w:r>
                    </w:p>
                    <w:p w14:paraId="5DC90948" w14:textId="77777777" w:rsidR="000D6A1F" w:rsidRPr="00016AF3" w:rsidRDefault="000D6A1F" w:rsidP="000D6A1F">
                      <w:pPr>
                        <w:jc w:val="center"/>
                        <w:rPr>
                          <w:rFonts w:ascii="Palatino Linotype" w:hAnsi="Palatino Linotype"/>
                          <w:b/>
                        </w:rPr>
                      </w:pPr>
                    </w:p>
                  </w:txbxContent>
                </v:textbox>
                <w10:wrap anchorx="page"/>
              </v:shape>
            </w:pict>
          </mc:Fallback>
        </mc:AlternateContent>
      </w:r>
    </w:p>
    <w:p w14:paraId="08234DD0" w14:textId="77777777" w:rsidR="000D6A1F" w:rsidRDefault="000D6A1F" w:rsidP="000D6A1F">
      <w:pPr>
        <w:autoSpaceDE w:val="0"/>
        <w:autoSpaceDN w:val="0"/>
        <w:adjustRightInd w:val="0"/>
        <w:spacing w:before="240" w:line="480" w:lineRule="auto"/>
        <w:jc w:val="both"/>
        <w:rPr>
          <w:rFonts w:ascii="Palatino Linotype" w:hAnsi="Palatino Linotype" w:cs="Arial"/>
          <w:sz w:val="24"/>
          <w:szCs w:val="24"/>
        </w:rPr>
      </w:pPr>
    </w:p>
    <w:p w14:paraId="4D6CE3E0" w14:textId="77777777" w:rsidR="000D6A1F" w:rsidRDefault="000D6A1F" w:rsidP="000D6A1F">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3AF4F6C6" wp14:editId="62ABE1E5">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760060" w14:textId="77777777" w:rsidR="000D6A1F" w:rsidRPr="00EF2FC0" w:rsidRDefault="000D6A1F" w:rsidP="000D6A1F">
                            <w:pPr>
                              <w:jc w:val="center"/>
                              <w:rPr>
                                <w:rFonts w:ascii="Palatino Linotype" w:hAnsi="Palatino Linotype"/>
                                <w:b/>
                              </w:rPr>
                            </w:pPr>
                            <w:r w:rsidRPr="00EF2FC0">
                              <w:rPr>
                                <w:rFonts w:ascii="Palatino Linotype" w:hAnsi="Palatino Linotype"/>
                                <w:b/>
                              </w:rPr>
                              <w:t>Eva Abaid Yapur</w:t>
                            </w:r>
                          </w:p>
                          <w:p w14:paraId="3DF927F6" w14:textId="77777777" w:rsidR="000D6A1F" w:rsidRPr="00EF2FC0" w:rsidRDefault="000D6A1F" w:rsidP="000D6A1F">
                            <w:pPr>
                              <w:jc w:val="center"/>
                              <w:rPr>
                                <w:rFonts w:ascii="Palatino Linotype" w:hAnsi="Palatino Linotype"/>
                              </w:rPr>
                            </w:pPr>
                            <w:r w:rsidRPr="00EF2FC0">
                              <w:rPr>
                                <w:rFonts w:ascii="Palatino Linotype" w:hAnsi="Palatino Linotype"/>
                              </w:rPr>
                              <w:t>Comisionada</w:t>
                            </w:r>
                          </w:p>
                          <w:p w14:paraId="1A7ECDFA" w14:textId="77777777" w:rsidR="000D6A1F" w:rsidRDefault="000D6A1F" w:rsidP="000D6A1F">
                            <w:pPr>
                              <w:jc w:val="center"/>
                              <w:rPr>
                                <w:rFonts w:ascii="Palatino Linotype" w:hAnsi="Palatino Linotype"/>
                                <w:b/>
                              </w:rPr>
                            </w:pPr>
                            <w:r>
                              <w:rPr>
                                <w:rFonts w:ascii="Palatino Linotype" w:hAnsi="Palatino Linotype"/>
                                <w:b/>
                              </w:rPr>
                              <w:t>(Rúbrica).</w:t>
                            </w:r>
                          </w:p>
                          <w:p w14:paraId="0DB0BFD9" w14:textId="77777777" w:rsidR="000D6A1F" w:rsidRDefault="000D6A1F" w:rsidP="000D6A1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4F6C6" id="Cuadro de texto 18" o:spid="_x0000_s1027" type="#_x0000_t202" style="position:absolute;left:0;text-align:left;margin-left:-26.25pt;margin-top:48.8pt;width:195.75pt;height: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04760060" w14:textId="77777777" w:rsidR="000D6A1F" w:rsidRPr="00EF2FC0" w:rsidRDefault="000D6A1F" w:rsidP="000D6A1F">
                      <w:pPr>
                        <w:jc w:val="center"/>
                        <w:rPr>
                          <w:rFonts w:ascii="Palatino Linotype" w:hAnsi="Palatino Linotype"/>
                          <w:b/>
                        </w:rPr>
                      </w:pPr>
                      <w:r w:rsidRPr="00EF2FC0">
                        <w:rPr>
                          <w:rFonts w:ascii="Palatino Linotype" w:hAnsi="Palatino Linotype"/>
                          <w:b/>
                        </w:rPr>
                        <w:t>Eva Abaid Yapur</w:t>
                      </w:r>
                    </w:p>
                    <w:p w14:paraId="3DF927F6" w14:textId="77777777" w:rsidR="000D6A1F" w:rsidRPr="00EF2FC0" w:rsidRDefault="000D6A1F" w:rsidP="000D6A1F">
                      <w:pPr>
                        <w:jc w:val="center"/>
                        <w:rPr>
                          <w:rFonts w:ascii="Palatino Linotype" w:hAnsi="Palatino Linotype"/>
                        </w:rPr>
                      </w:pPr>
                      <w:r w:rsidRPr="00EF2FC0">
                        <w:rPr>
                          <w:rFonts w:ascii="Palatino Linotype" w:hAnsi="Palatino Linotype"/>
                        </w:rPr>
                        <w:t>Comisionada</w:t>
                      </w:r>
                    </w:p>
                    <w:p w14:paraId="1A7ECDFA" w14:textId="77777777" w:rsidR="000D6A1F" w:rsidRDefault="000D6A1F" w:rsidP="000D6A1F">
                      <w:pPr>
                        <w:jc w:val="center"/>
                        <w:rPr>
                          <w:rFonts w:ascii="Palatino Linotype" w:hAnsi="Palatino Linotype"/>
                          <w:b/>
                        </w:rPr>
                      </w:pPr>
                      <w:r>
                        <w:rPr>
                          <w:rFonts w:ascii="Palatino Linotype" w:hAnsi="Palatino Linotype"/>
                          <w:b/>
                        </w:rPr>
                        <w:t>(Rúbrica).</w:t>
                      </w:r>
                    </w:p>
                    <w:p w14:paraId="0DB0BFD9" w14:textId="77777777" w:rsidR="000D6A1F" w:rsidRDefault="000D6A1F" w:rsidP="000D6A1F">
                      <w:pPr>
                        <w:jc w:val="center"/>
                      </w:pPr>
                    </w:p>
                  </w:txbxContent>
                </v:textbox>
                <w10:wrap anchorx="margin"/>
              </v:shape>
            </w:pict>
          </mc:Fallback>
        </mc:AlternateContent>
      </w:r>
    </w:p>
    <w:p w14:paraId="656EF4DF" w14:textId="77777777" w:rsidR="000D6A1F" w:rsidRDefault="000D6A1F" w:rsidP="000D6A1F">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705F178" wp14:editId="3A0D7C49">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BC9B02" w14:textId="77777777" w:rsidR="000D6A1F" w:rsidRPr="00EF2FC0" w:rsidRDefault="000D6A1F" w:rsidP="000D6A1F">
                            <w:pPr>
                              <w:jc w:val="center"/>
                              <w:rPr>
                                <w:rFonts w:ascii="Palatino Linotype" w:hAnsi="Palatino Linotype"/>
                              </w:rPr>
                            </w:pPr>
                            <w:r>
                              <w:rPr>
                                <w:rFonts w:ascii="Palatino Linotype" w:hAnsi="Palatino Linotype"/>
                                <w:b/>
                              </w:rPr>
                              <w:t>José Guadalupe Luna Hernández</w:t>
                            </w:r>
                          </w:p>
                          <w:p w14:paraId="6E9377E3" w14:textId="77777777" w:rsidR="000D6A1F" w:rsidRDefault="000D6A1F" w:rsidP="000D6A1F">
                            <w:pPr>
                              <w:jc w:val="center"/>
                              <w:rPr>
                                <w:rFonts w:ascii="Palatino Linotype" w:hAnsi="Palatino Linotype"/>
                              </w:rPr>
                            </w:pPr>
                            <w:r w:rsidRPr="00EF2FC0">
                              <w:rPr>
                                <w:rFonts w:ascii="Palatino Linotype" w:hAnsi="Palatino Linotype"/>
                              </w:rPr>
                              <w:t>Comisionado</w:t>
                            </w:r>
                          </w:p>
                          <w:p w14:paraId="2A6B2957" w14:textId="77777777" w:rsidR="000D6A1F" w:rsidRPr="009234AD" w:rsidRDefault="000D6A1F" w:rsidP="000D6A1F">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05F178" id="Cuadro de texto 23" o:spid="_x0000_s1028" type="#_x0000_t202" style="position:absolute;left:0;text-align:left;margin-left:280.2pt;margin-top:6.7pt;width:200.25pt;height:74.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50BC9B02" w14:textId="77777777" w:rsidR="000D6A1F" w:rsidRPr="00EF2FC0" w:rsidRDefault="000D6A1F" w:rsidP="000D6A1F">
                      <w:pPr>
                        <w:jc w:val="center"/>
                        <w:rPr>
                          <w:rFonts w:ascii="Palatino Linotype" w:hAnsi="Palatino Linotype"/>
                        </w:rPr>
                      </w:pPr>
                      <w:r>
                        <w:rPr>
                          <w:rFonts w:ascii="Palatino Linotype" w:hAnsi="Palatino Linotype"/>
                          <w:b/>
                        </w:rPr>
                        <w:t>José Guadalupe Luna Hernández</w:t>
                      </w:r>
                    </w:p>
                    <w:p w14:paraId="6E9377E3" w14:textId="77777777" w:rsidR="000D6A1F" w:rsidRDefault="000D6A1F" w:rsidP="000D6A1F">
                      <w:pPr>
                        <w:jc w:val="center"/>
                        <w:rPr>
                          <w:rFonts w:ascii="Palatino Linotype" w:hAnsi="Palatino Linotype"/>
                        </w:rPr>
                      </w:pPr>
                      <w:r w:rsidRPr="00EF2FC0">
                        <w:rPr>
                          <w:rFonts w:ascii="Palatino Linotype" w:hAnsi="Palatino Linotype"/>
                        </w:rPr>
                        <w:t>Comisionado</w:t>
                      </w:r>
                    </w:p>
                    <w:p w14:paraId="2A6B2957" w14:textId="77777777" w:rsidR="000D6A1F" w:rsidRPr="009234AD" w:rsidRDefault="000D6A1F" w:rsidP="000D6A1F">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6CB4E973" w14:textId="77777777" w:rsidR="000D6A1F" w:rsidRPr="00D54B7D" w:rsidRDefault="000D6A1F" w:rsidP="000D6A1F">
      <w:pPr>
        <w:spacing w:before="240" w:line="480" w:lineRule="auto"/>
        <w:jc w:val="both"/>
        <w:rPr>
          <w:rFonts w:ascii="Palatino Linotype" w:hAnsi="Palatino Linotype"/>
        </w:rPr>
      </w:pPr>
    </w:p>
    <w:p w14:paraId="736CC3D4" w14:textId="77777777" w:rsidR="000D6A1F" w:rsidRDefault="000D6A1F" w:rsidP="000D6A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3265C161" wp14:editId="04B87D4F">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DBB68" w14:textId="77777777" w:rsidR="000D6A1F" w:rsidRPr="00EF2FC0" w:rsidRDefault="000D6A1F" w:rsidP="000D6A1F">
                            <w:pPr>
                              <w:jc w:val="center"/>
                              <w:rPr>
                                <w:rFonts w:ascii="Palatino Linotype" w:hAnsi="Palatino Linotype"/>
                              </w:rPr>
                            </w:pPr>
                            <w:r w:rsidRPr="00EF2FC0">
                              <w:rPr>
                                <w:rFonts w:ascii="Palatino Linotype" w:hAnsi="Palatino Linotype"/>
                                <w:b/>
                              </w:rPr>
                              <w:t>Javier Martínez Cruz</w:t>
                            </w:r>
                          </w:p>
                          <w:p w14:paraId="4BAB6597" w14:textId="77777777" w:rsidR="000D6A1F" w:rsidRDefault="000D6A1F" w:rsidP="000D6A1F">
                            <w:pPr>
                              <w:jc w:val="center"/>
                              <w:rPr>
                                <w:rFonts w:ascii="Palatino Linotype" w:hAnsi="Palatino Linotype"/>
                              </w:rPr>
                            </w:pPr>
                            <w:r w:rsidRPr="00EF2FC0">
                              <w:rPr>
                                <w:rFonts w:ascii="Palatino Linotype" w:hAnsi="Palatino Linotype"/>
                              </w:rPr>
                              <w:t>Comisionado</w:t>
                            </w:r>
                          </w:p>
                          <w:p w14:paraId="09651F69" w14:textId="77777777" w:rsidR="000D6A1F" w:rsidRPr="00F55D03" w:rsidRDefault="000D6A1F" w:rsidP="000D6A1F">
                            <w:pPr>
                              <w:jc w:val="center"/>
                              <w:rPr>
                                <w:rFonts w:ascii="Palatino Linotype" w:hAnsi="Palatino Linotype"/>
                                <w:b/>
                              </w:rPr>
                            </w:pPr>
                            <w:r>
                              <w:rPr>
                                <w:rFonts w:ascii="Palatino Linotype" w:hAnsi="Palatino Linotype"/>
                                <w:b/>
                              </w:rPr>
                              <w:t>(Rúbrica).</w:t>
                            </w:r>
                          </w:p>
                          <w:p w14:paraId="0772B28D" w14:textId="77777777" w:rsidR="000D6A1F" w:rsidRDefault="000D6A1F" w:rsidP="000D6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5C161" id="Cuadro de texto 24" o:spid="_x0000_s1029" type="#_x0000_t202" style="position:absolute;margin-left:-23.55pt;margin-top:45.9pt;width:195.75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6C1DBB68" w14:textId="77777777" w:rsidR="000D6A1F" w:rsidRPr="00EF2FC0" w:rsidRDefault="000D6A1F" w:rsidP="000D6A1F">
                      <w:pPr>
                        <w:jc w:val="center"/>
                        <w:rPr>
                          <w:rFonts w:ascii="Palatino Linotype" w:hAnsi="Palatino Linotype"/>
                        </w:rPr>
                      </w:pPr>
                      <w:r w:rsidRPr="00EF2FC0">
                        <w:rPr>
                          <w:rFonts w:ascii="Palatino Linotype" w:hAnsi="Palatino Linotype"/>
                          <w:b/>
                        </w:rPr>
                        <w:t>Javier Martínez Cruz</w:t>
                      </w:r>
                    </w:p>
                    <w:p w14:paraId="4BAB6597" w14:textId="77777777" w:rsidR="000D6A1F" w:rsidRDefault="000D6A1F" w:rsidP="000D6A1F">
                      <w:pPr>
                        <w:jc w:val="center"/>
                        <w:rPr>
                          <w:rFonts w:ascii="Palatino Linotype" w:hAnsi="Palatino Linotype"/>
                        </w:rPr>
                      </w:pPr>
                      <w:r w:rsidRPr="00EF2FC0">
                        <w:rPr>
                          <w:rFonts w:ascii="Palatino Linotype" w:hAnsi="Palatino Linotype"/>
                        </w:rPr>
                        <w:t>Comisionado</w:t>
                      </w:r>
                    </w:p>
                    <w:p w14:paraId="09651F69" w14:textId="77777777" w:rsidR="000D6A1F" w:rsidRPr="00F55D03" w:rsidRDefault="000D6A1F" w:rsidP="000D6A1F">
                      <w:pPr>
                        <w:jc w:val="center"/>
                        <w:rPr>
                          <w:rFonts w:ascii="Palatino Linotype" w:hAnsi="Palatino Linotype"/>
                          <w:b/>
                        </w:rPr>
                      </w:pPr>
                      <w:r>
                        <w:rPr>
                          <w:rFonts w:ascii="Palatino Linotype" w:hAnsi="Palatino Linotype"/>
                          <w:b/>
                        </w:rPr>
                        <w:t>(Rúbrica).</w:t>
                      </w:r>
                    </w:p>
                    <w:p w14:paraId="0772B28D" w14:textId="77777777" w:rsidR="000D6A1F" w:rsidRDefault="000D6A1F" w:rsidP="000D6A1F"/>
                  </w:txbxContent>
                </v:textbox>
                <w10:wrap anchorx="margin"/>
              </v:shape>
            </w:pict>
          </mc:Fallback>
        </mc:AlternateContent>
      </w:r>
    </w:p>
    <w:p w14:paraId="2EA1A150" w14:textId="77777777" w:rsidR="000D6A1F" w:rsidRDefault="000D6A1F" w:rsidP="000D6A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34ABF5B9" wp14:editId="43FE929F">
                <wp:simplePos x="0" y="0"/>
                <wp:positionH relativeFrom="margin">
                  <wp:posOffset>3577590</wp:posOffset>
                </wp:positionH>
                <wp:positionV relativeFrom="paragraph">
                  <wp:posOffset>53340</wp:posOffset>
                </wp:positionV>
                <wp:extent cx="2543175" cy="937895"/>
                <wp:effectExtent l="0" t="0" r="28575" b="14605"/>
                <wp:wrapNone/>
                <wp:docPr id="29" name="Cuadro de texto 29"/>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386F90" w14:textId="77777777" w:rsidR="000D6A1F" w:rsidRPr="00EF2FC0" w:rsidRDefault="000D6A1F" w:rsidP="000D6A1F">
                            <w:pPr>
                              <w:jc w:val="center"/>
                              <w:rPr>
                                <w:rFonts w:ascii="Palatino Linotype" w:hAnsi="Palatino Linotype"/>
                              </w:rPr>
                            </w:pPr>
                            <w:r>
                              <w:rPr>
                                <w:rFonts w:ascii="Palatino Linotype" w:hAnsi="Palatino Linotype"/>
                                <w:b/>
                              </w:rPr>
                              <w:t>Luis Gustavo Parra Noriega</w:t>
                            </w:r>
                          </w:p>
                          <w:p w14:paraId="4E1CC4D3" w14:textId="77777777" w:rsidR="000D6A1F" w:rsidRDefault="000D6A1F" w:rsidP="000D6A1F">
                            <w:pPr>
                              <w:jc w:val="center"/>
                              <w:rPr>
                                <w:rFonts w:ascii="Palatino Linotype" w:hAnsi="Palatino Linotype"/>
                              </w:rPr>
                            </w:pPr>
                            <w:r w:rsidRPr="00EF2FC0">
                              <w:rPr>
                                <w:rFonts w:ascii="Palatino Linotype" w:hAnsi="Palatino Linotype"/>
                              </w:rPr>
                              <w:t>Comisionado</w:t>
                            </w:r>
                          </w:p>
                          <w:p w14:paraId="40B7A081" w14:textId="77777777" w:rsidR="000D6A1F" w:rsidRPr="00F55D03" w:rsidRDefault="000D6A1F" w:rsidP="000D6A1F">
                            <w:pPr>
                              <w:jc w:val="center"/>
                              <w:rPr>
                                <w:rFonts w:ascii="Palatino Linotype" w:hAnsi="Palatino Linotype"/>
                                <w:b/>
                              </w:rPr>
                            </w:pPr>
                            <w:r>
                              <w:rPr>
                                <w:rFonts w:ascii="Palatino Linotype" w:hAnsi="Palatino Linotype"/>
                                <w:b/>
                              </w:rPr>
                              <w:t>(Rúbrica).</w:t>
                            </w:r>
                          </w:p>
                          <w:p w14:paraId="5F954423" w14:textId="77777777" w:rsidR="000D6A1F" w:rsidRDefault="000D6A1F" w:rsidP="000D6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ABF5B9" id="Cuadro de texto 29" o:spid="_x0000_s1030" type="#_x0000_t202" style="position:absolute;margin-left:281.7pt;margin-top:4.2pt;width:200.25pt;height:73.8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9/U8qbAgAAwgUAAA4AAAAAAAAAAAAAAAAALgIAAGRycy9l&#10;Mm9Eb2MueG1sUEsBAi0AFAAGAAgAAAAhAPxo6szfAAAACQEAAA8AAAAAAAAAAAAAAAAA9QQAAGRy&#10;cy9kb3ducmV2LnhtbFBLBQYAAAAABAAEAPMAAAABBgAAAAA=&#10;" fillcolor="white [3201]" strokecolor="white [3212]" strokeweight=".5pt">
                <v:textbox>
                  <w:txbxContent>
                    <w:p w14:paraId="56386F90" w14:textId="77777777" w:rsidR="000D6A1F" w:rsidRPr="00EF2FC0" w:rsidRDefault="000D6A1F" w:rsidP="000D6A1F">
                      <w:pPr>
                        <w:jc w:val="center"/>
                        <w:rPr>
                          <w:rFonts w:ascii="Palatino Linotype" w:hAnsi="Palatino Linotype"/>
                        </w:rPr>
                      </w:pPr>
                      <w:r>
                        <w:rPr>
                          <w:rFonts w:ascii="Palatino Linotype" w:hAnsi="Palatino Linotype"/>
                          <w:b/>
                        </w:rPr>
                        <w:t>Luis Gustavo Parra Noriega</w:t>
                      </w:r>
                    </w:p>
                    <w:p w14:paraId="4E1CC4D3" w14:textId="77777777" w:rsidR="000D6A1F" w:rsidRDefault="000D6A1F" w:rsidP="000D6A1F">
                      <w:pPr>
                        <w:jc w:val="center"/>
                        <w:rPr>
                          <w:rFonts w:ascii="Palatino Linotype" w:hAnsi="Palatino Linotype"/>
                        </w:rPr>
                      </w:pPr>
                      <w:r w:rsidRPr="00EF2FC0">
                        <w:rPr>
                          <w:rFonts w:ascii="Palatino Linotype" w:hAnsi="Palatino Linotype"/>
                        </w:rPr>
                        <w:t>Comisionado</w:t>
                      </w:r>
                    </w:p>
                    <w:p w14:paraId="40B7A081" w14:textId="77777777" w:rsidR="000D6A1F" w:rsidRPr="00F55D03" w:rsidRDefault="000D6A1F" w:rsidP="000D6A1F">
                      <w:pPr>
                        <w:jc w:val="center"/>
                        <w:rPr>
                          <w:rFonts w:ascii="Palatino Linotype" w:hAnsi="Palatino Linotype"/>
                          <w:b/>
                        </w:rPr>
                      </w:pPr>
                      <w:r>
                        <w:rPr>
                          <w:rFonts w:ascii="Palatino Linotype" w:hAnsi="Palatino Linotype"/>
                          <w:b/>
                        </w:rPr>
                        <w:t>(Rúbrica).</w:t>
                      </w:r>
                    </w:p>
                    <w:p w14:paraId="5F954423" w14:textId="77777777" w:rsidR="000D6A1F" w:rsidRDefault="000D6A1F" w:rsidP="000D6A1F"/>
                  </w:txbxContent>
                </v:textbox>
                <w10:wrap anchorx="margin"/>
              </v:shape>
            </w:pict>
          </mc:Fallback>
        </mc:AlternateContent>
      </w:r>
    </w:p>
    <w:p w14:paraId="09B6594D" w14:textId="77777777" w:rsidR="000D6A1F" w:rsidRDefault="000D6A1F" w:rsidP="000D6A1F">
      <w:pPr>
        <w:spacing w:before="240" w:line="480" w:lineRule="auto"/>
        <w:rPr>
          <w:rFonts w:ascii="Palatino Linotype" w:hAnsi="Palatino Linotype"/>
          <w:b/>
        </w:rPr>
      </w:pPr>
    </w:p>
    <w:p w14:paraId="338C8D48" w14:textId="77777777" w:rsidR="000D6A1F" w:rsidRDefault="000D6A1F" w:rsidP="000D6A1F">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184BC47E" wp14:editId="2DBDCA60">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63D34B" w14:textId="77777777" w:rsidR="000D6A1F" w:rsidRPr="007F6133" w:rsidRDefault="000D6A1F" w:rsidP="000D6A1F">
                            <w:pPr>
                              <w:jc w:val="center"/>
                              <w:rPr>
                                <w:rFonts w:ascii="Palatino Linotype" w:hAnsi="Palatino Linotype"/>
                                <w:b/>
                              </w:rPr>
                            </w:pPr>
                            <w:r>
                              <w:rPr>
                                <w:rFonts w:ascii="Palatino Linotype" w:hAnsi="Palatino Linotype"/>
                                <w:b/>
                              </w:rPr>
                              <w:t xml:space="preserve">Alexis Tapia Ramírez </w:t>
                            </w:r>
                          </w:p>
                          <w:p w14:paraId="1CADE99F" w14:textId="77777777" w:rsidR="000D6A1F" w:rsidRDefault="000D6A1F" w:rsidP="000D6A1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6E83886" w14:textId="77777777" w:rsidR="000D6A1F" w:rsidRDefault="000D6A1F" w:rsidP="000D6A1F">
                            <w:pPr>
                              <w:jc w:val="center"/>
                              <w:rPr>
                                <w:rFonts w:ascii="Palatino Linotype" w:hAnsi="Palatino Linotype"/>
                                <w:b/>
                              </w:rPr>
                            </w:pPr>
                            <w:r>
                              <w:rPr>
                                <w:rFonts w:ascii="Palatino Linotype" w:hAnsi="Palatino Linotype"/>
                                <w:b/>
                              </w:rPr>
                              <w:t>(Rúbrica).</w:t>
                            </w:r>
                          </w:p>
                          <w:p w14:paraId="25CD5CA0" w14:textId="77777777" w:rsidR="000D6A1F" w:rsidRDefault="000D6A1F" w:rsidP="000D6A1F">
                            <w:pPr>
                              <w:jc w:val="center"/>
                              <w:rPr>
                                <w:rFonts w:ascii="Palatino Linotype" w:hAnsi="Palatino Linotype"/>
                              </w:rPr>
                            </w:pPr>
                          </w:p>
                          <w:p w14:paraId="526727D6" w14:textId="77777777" w:rsidR="000D6A1F" w:rsidRPr="00EF2FC0" w:rsidRDefault="000D6A1F" w:rsidP="000D6A1F">
                            <w:pPr>
                              <w:jc w:val="center"/>
                              <w:rPr>
                                <w:rFonts w:ascii="Palatino Linotype" w:hAnsi="Palatino Linotype"/>
                              </w:rPr>
                            </w:pPr>
                          </w:p>
                          <w:p w14:paraId="5A70220B" w14:textId="77777777" w:rsidR="000D6A1F" w:rsidRDefault="000D6A1F" w:rsidP="000D6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BC47E" id="Cuadro de texto 26" o:spid="_x0000_s1031" type="#_x0000_t202" style="position:absolute;margin-left:101.55pt;margin-top:18.2pt;width:248.25pt;height:1in;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7C63D34B" w14:textId="77777777" w:rsidR="000D6A1F" w:rsidRPr="007F6133" w:rsidRDefault="000D6A1F" w:rsidP="000D6A1F">
                      <w:pPr>
                        <w:jc w:val="center"/>
                        <w:rPr>
                          <w:rFonts w:ascii="Palatino Linotype" w:hAnsi="Palatino Linotype"/>
                          <w:b/>
                        </w:rPr>
                      </w:pPr>
                      <w:r>
                        <w:rPr>
                          <w:rFonts w:ascii="Palatino Linotype" w:hAnsi="Palatino Linotype"/>
                          <w:b/>
                        </w:rPr>
                        <w:t xml:space="preserve">Alexis Tapia Ramírez </w:t>
                      </w:r>
                    </w:p>
                    <w:p w14:paraId="1CADE99F" w14:textId="77777777" w:rsidR="000D6A1F" w:rsidRDefault="000D6A1F" w:rsidP="000D6A1F">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6E83886" w14:textId="77777777" w:rsidR="000D6A1F" w:rsidRDefault="000D6A1F" w:rsidP="000D6A1F">
                      <w:pPr>
                        <w:jc w:val="center"/>
                        <w:rPr>
                          <w:rFonts w:ascii="Palatino Linotype" w:hAnsi="Palatino Linotype"/>
                          <w:b/>
                        </w:rPr>
                      </w:pPr>
                      <w:r>
                        <w:rPr>
                          <w:rFonts w:ascii="Palatino Linotype" w:hAnsi="Palatino Linotype"/>
                          <w:b/>
                        </w:rPr>
                        <w:t>(Rúbrica).</w:t>
                      </w:r>
                    </w:p>
                    <w:p w14:paraId="25CD5CA0" w14:textId="77777777" w:rsidR="000D6A1F" w:rsidRDefault="000D6A1F" w:rsidP="000D6A1F">
                      <w:pPr>
                        <w:jc w:val="center"/>
                        <w:rPr>
                          <w:rFonts w:ascii="Palatino Linotype" w:hAnsi="Palatino Linotype"/>
                        </w:rPr>
                      </w:pPr>
                    </w:p>
                    <w:p w14:paraId="526727D6" w14:textId="77777777" w:rsidR="000D6A1F" w:rsidRPr="00EF2FC0" w:rsidRDefault="000D6A1F" w:rsidP="000D6A1F">
                      <w:pPr>
                        <w:jc w:val="center"/>
                        <w:rPr>
                          <w:rFonts w:ascii="Palatino Linotype" w:hAnsi="Palatino Linotype"/>
                        </w:rPr>
                      </w:pPr>
                    </w:p>
                    <w:p w14:paraId="5A70220B" w14:textId="77777777" w:rsidR="000D6A1F" w:rsidRDefault="000D6A1F" w:rsidP="000D6A1F"/>
                  </w:txbxContent>
                </v:textbox>
                <w10:wrap anchorx="margin"/>
              </v:shape>
            </w:pict>
          </mc:Fallback>
        </mc:AlternateContent>
      </w:r>
    </w:p>
    <w:p w14:paraId="3214C060" w14:textId="77777777" w:rsidR="000D6A1F" w:rsidRPr="00D54B7D" w:rsidRDefault="000D6A1F" w:rsidP="000D6A1F">
      <w:pPr>
        <w:spacing w:before="240" w:line="480" w:lineRule="auto"/>
        <w:rPr>
          <w:rFonts w:ascii="Palatino Linotype" w:hAnsi="Palatino Linotype"/>
          <w:b/>
        </w:rPr>
      </w:pPr>
    </w:p>
    <w:p w14:paraId="6124E5B6" w14:textId="77777777" w:rsidR="000D6A1F" w:rsidRDefault="000D6A1F" w:rsidP="000D6A1F">
      <w:pPr>
        <w:tabs>
          <w:tab w:val="left" w:pos="5415"/>
        </w:tabs>
        <w:spacing w:before="240" w:line="360" w:lineRule="auto"/>
        <w:ind w:right="51"/>
        <w:jc w:val="both"/>
        <w:rPr>
          <w:rFonts w:ascii="Palatino Linotype" w:hAnsi="Palatino Linotype" w:cs="Arial"/>
          <w:sz w:val="16"/>
          <w:szCs w:val="16"/>
        </w:rPr>
      </w:pPr>
    </w:p>
    <w:p w14:paraId="5F8D51DB" w14:textId="06289ECF" w:rsidR="000D6A1F" w:rsidRDefault="000D6A1F" w:rsidP="000D6A1F">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F64A9">
        <w:rPr>
          <w:rFonts w:ascii="Palatino Linotype" w:hAnsi="Palatino Linotype" w:cs="Arial"/>
          <w:sz w:val="16"/>
          <w:szCs w:val="16"/>
        </w:rPr>
        <w:t>doce 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01055/INFOEM/IP/RR/2020</w:t>
      </w:r>
    </w:p>
    <w:p w14:paraId="5F611F59" w14:textId="05AA376E" w:rsidR="000F64A9" w:rsidRDefault="000F64A9" w:rsidP="000D6A1F">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16BB8BFB" w14:textId="77777777" w:rsidR="000D6A1F" w:rsidRDefault="000D6A1F" w:rsidP="00425AED">
      <w:pPr>
        <w:autoSpaceDE w:val="0"/>
        <w:autoSpaceDN w:val="0"/>
        <w:adjustRightInd w:val="0"/>
        <w:spacing w:before="240" w:line="360" w:lineRule="auto"/>
        <w:jc w:val="both"/>
        <w:rPr>
          <w:rFonts w:ascii="Palatino Linotype" w:hAnsi="Palatino Linotype" w:cs="Arial"/>
          <w:sz w:val="24"/>
          <w:szCs w:val="24"/>
        </w:rPr>
      </w:pPr>
    </w:p>
    <w:sectPr w:rsidR="000D6A1F"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7C6AA" w14:textId="77777777" w:rsidR="007554B5" w:rsidRDefault="007554B5" w:rsidP="006168E4">
      <w:pPr>
        <w:spacing w:after="0" w:line="240" w:lineRule="auto"/>
      </w:pPr>
      <w:r>
        <w:separator/>
      </w:r>
    </w:p>
  </w:endnote>
  <w:endnote w:type="continuationSeparator" w:id="0">
    <w:p w14:paraId="63BEC7F7" w14:textId="77777777" w:rsidR="007554B5" w:rsidRDefault="007554B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6011" w14:textId="77777777" w:rsidR="00240082" w:rsidRPr="000B69FA" w:rsidRDefault="002400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73EB">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73EB">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F709" w14:textId="77777777" w:rsidR="00240082" w:rsidRPr="000B69FA" w:rsidRDefault="0024008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73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73EB">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23BFC" w14:textId="77777777" w:rsidR="007554B5" w:rsidRDefault="007554B5" w:rsidP="006168E4">
      <w:pPr>
        <w:spacing w:after="0" w:line="240" w:lineRule="auto"/>
      </w:pPr>
      <w:r>
        <w:separator/>
      </w:r>
    </w:p>
  </w:footnote>
  <w:footnote w:type="continuationSeparator" w:id="0">
    <w:p w14:paraId="0452DB7F" w14:textId="77777777" w:rsidR="007554B5" w:rsidRDefault="007554B5" w:rsidP="006168E4">
      <w:pPr>
        <w:spacing w:after="0" w:line="240" w:lineRule="auto"/>
      </w:pPr>
      <w:r>
        <w:continuationSeparator/>
      </w:r>
    </w:p>
  </w:footnote>
  <w:footnote w:id="1">
    <w:p w14:paraId="7CDA8A2E" w14:textId="77777777" w:rsidR="00240082" w:rsidRPr="005552A8" w:rsidRDefault="00240082" w:rsidP="001E14F4">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6F3FCF2" w14:textId="77777777" w:rsidR="00240082" w:rsidRPr="005552A8" w:rsidRDefault="00240082" w:rsidP="001E14F4">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E08C3" w14:textId="77777777" w:rsidR="00240082" w:rsidRDefault="0024008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40082" w14:paraId="6BF650D5" w14:textId="77777777" w:rsidTr="00FB4AAD">
      <w:trPr>
        <w:trHeight w:val="227"/>
      </w:trPr>
      <w:tc>
        <w:tcPr>
          <w:tcW w:w="5529" w:type="dxa"/>
          <w:hideMark/>
        </w:tcPr>
        <w:p w14:paraId="1342FB22" w14:textId="77777777" w:rsidR="00240082" w:rsidRDefault="002400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BA8F61C" w14:textId="2715D6EB" w:rsidR="00240082" w:rsidRPr="00B4142F" w:rsidRDefault="0024008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01055/INFOEM/IP/RR/2020 </w:t>
          </w:r>
        </w:p>
      </w:tc>
    </w:tr>
    <w:tr w:rsidR="00240082" w14:paraId="25252146" w14:textId="77777777" w:rsidTr="00FB4AAD">
      <w:trPr>
        <w:trHeight w:val="242"/>
      </w:trPr>
      <w:tc>
        <w:tcPr>
          <w:tcW w:w="5529" w:type="dxa"/>
          <w:hideMark/>
        </w:tcPr>
        <w:p w14:paraId="6387F237" w14:textId="77777777" w:rsidR="00240082" w:rsidRDefault="0024008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64051D" w14:textId="714704FE" w:rsidR="00240082" w:rsidRPr="00F06FED" w:rsidRDefault="00240082" w:rsidP="008D34AC">
          <w:pPr>
            <w:spacing w:after="120" w:line="256" w:lineRule="auto"/>
            <w:ind w:left="639" w:right="214"/>
            <w:jc w:val="both"/>
            <w:rPr>
              <w:rFonts w:ascii="Palatino Linotype" w:hAnsi="Palatino Linotype" w:cs="Arial"/>
            </w:rPr>
          </w:pPr>
          <w:r>
            <w:rPr>
              <w:rFonts w:ascii="Palatino Linotype" w:hAnsi="Palatino Linotype" w:cs="Arial"/>
              <w:szCs w:val="20"/>
            </w:rPr>
            <w:t>Ayuntamiento de Atizapán de Zaragoza</w:t>
          </w:r>
        </w:p>
      </w:tc>
    </w:tr>
    <w:tr w:rsidR="00240082" w14:paraId="43272129" w14:textId="77777777" w:rsidTr="00FB4AAD">
      <w:trPr>
        <w:trHeight w:val="342"/>
      </w:trPr>
      <w:tc>
        <w:tcPr>
          <w:tcW w:w="5529" w:type="dxa"/>
          <w:hideMark/>
        </w:tcPr>
        <w:p w14:paraId="1C7A3819" w14:textId="77777777" w:rsidR="00240082" w:rsidRDefault="0024008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7C6DD5E" w14:textId="77777777" w:rsidR="00240082" w:rsidRDefault="0024008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F2FFCB5" w14:textId="77777777" w:rsidR="00240082" w:rsidRDefault="002400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40082" w14:paraId="435DC005" w14:textId="77777777" w:rsidTr="00FB4AAD">
      <w:trPr>
        <w:trHeight w:val="227"/>
      </w:trPr>
      <w:tc>
        <w:tcPr>
          <w:tcW w:w="5529" w:type="dxa"/>
          <w:hideMark/>
        </w:tcPr>
        <w:p w14:paraId="607A26B8"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2C4B9E" w14:textId="324D6C0F" w:rsidR="00240082" w:rsidRPr="00B4142F" w:rsidRDefault="0024008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01055/INFOEM/IP/RR/2020 </w:t>
          </w:r>
        </w:p>
      </w:tc>
    </w:tr>
    <w:tr w:rsidR="00240082" w14:paraId="186AC21D" w14:textId="77777777" w:rsidTr="00FB4AAD">
      <w:trPr>
        <w:trHeight w:val="196"/>
      </w:trPr>
      <w:tc>
        <w:tcPr>
          <w:tcW w:w="5529" w:type="dxa"/>
          <w:hideMark/>
        </w:tcPr>
        <w:p w14:paraId="7E9C4E90"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D7EE6D8" w14:textId="1378EDE1" w:rsidR="00240082" w:rsidRPr="00F06FED" w:rsidRDefault="008773EB"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XXXXXXXXXXXXXXXXXXXXXXXXXXXXXXXXXX</w:t>
          </w:r>
          <w:r w:rsidR="00240082">
            <w:rPr>
              <w:rFonts w:ascii="Palatino Linotype" w:hAnsi="Palatino Linotype" w:cs="Arial"/>
            </w:rPr>
            <w:t xml:space="preserve">  </w:t>
          </w:r>
        </w:p>
      </w:tc>
    </w:tr>
    <w:tr w:rsidR="00240082" w14:paraId="299C47CA" w14:textId="77777777" w:rsidTr="00FB4AAD">
      <w:trPr>
        <w:trHeight w:val="242"/>
      </w:trPr>
      <w:tc>
        <w:tcPr>
          <w:tcW w:w="5529" w:type="dxa"/>
          <w:hideMark/>
        </w:tcPr>
        <w:p w14:paraId="52A59D9D" w14:textId="77777777" w:rsidR="00240082" w:rsidRDefault="0024008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69C6A06" w14:textId="239CEC43" w:rsidR="00240082" w:rsidRDefault="00240082" w:rsidP="008112F7">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Atizapán de Zaragoza</w:t>
          </w:r>
        </w:p>
      </w:tc>
    </w:tr>
    <w:tr w:rsidR="00240082" w14:paraId="5DE18D76" w14:textId="77777777" w:rsidTr="00FB4AAD">
      <w:trPr>
        <w:trHeight w:val="342"/>
      </w:trPr>
      <w:tc>
        <w:tcPr>
          <w:tcW w:w="5529" w:type="dxa"/>
          <w:hideMark/>
        </w:tcPr>
        <w:p w14:paraId="6B7AE187" w14:textId="77777777" w:rsidR="00240082" w:rsidRDefault="0024008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42AED61" w14:textId="77777777" w:rsidR="00240082" w:rsidRDefault="0024008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0FCBEEF" w14:textId="77777777" w:rsidR="00240082" w:rsidRDefault="002400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C7583"/>
    <w:multiLevelType w:val="hybridMultilevel"/>
    <w:tmpl w:val="09F8C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77970"/>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5F0B0A"/>
    <w:multiLevelType w:val="hybridMultilevel"/>
    <w:tmpl w:val="60E45E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173D3F5A"/>
    <w:multiLevelType w:val="hybridMultilevel"/>
    <w:tmpl w:val="88DCBF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76CBD"/>
    <w:multiLevelType w:val="hybridMultilevel"/>
    <w:tmpl w:val="C3A4F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BFF31CE"/>
    <w:multiLevelType w:val="hybridMultilevel"/>
    <w:tmpl w:val="092C57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6E1C9C"/>
    <w:multiLevelType w:val="hybridMultilevel"/>
    <w:tmpl w:val="DB18E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FF210A"/>
    <w:multiLevelType w:val="hybridMultilevel"/>
    <w:tmpl w:val="F0E04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173288"/>
    <w:multiLevelType w:val="hybridMultilevel"/>
    <w:tmpl w:val="B0845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991671A"/>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D946AD"/>
    <w:multiLevelType w:val="hybridMultilevel"/>
    <w:tmpl w:val="F012A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4" w15:restartNumberingAfterBreak="0">
    <w:nsid w:val="31B365E5"/>
    <w:multiLevelType w:val="hybridMultilevel"/>
    <w:tmpl w:val="D6D40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87EAA"/>
    <w:multiLevelType w:val="hybridMultilevel"/>
    <w:tmpl w:val="F81020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F120BF"/>
    <w:multiLevelType w:val="hybridMultilevel"/>
    <w:tmpl w:val="CD2A7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843637"/>
    <w:multiLevelType w:val="hybridMultilevel"/>
    <w:tmpl w:val="D33C4590"/>
    <w:lvl w:ilvl="0" w:tplc="838043D0">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4B0C5263"/>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C9A06EC"/>
    <w:multiLevelType w:val="hybridMultilevel"/>
    <w:tmpl w:val="BE123BC6"/>
    <w:lvl w:ilvl="0" w:tplc="6BA28B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34"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FB0609"/>
    <w:multiLevelType w:val="hybridMultilevel"/>
    <w:tmpl w:val="E73ECE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2E29C8"/>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E03F75"/>
    <w:multiLevelType w:val="hybridMultilevel"/>
    <w:tmpl w:val="F96E88D6"/>
    <w:lvl w:ilvl="0" w:tplc="178E1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9"/>
  </w:num>
  <w:num w:numId="3">
    <w:abstractNumId w:val="44"/>
  </w:num>
  <w:num w:numId="4">
    <w:abstractNumId w:val="36"/>
  </w:num>
  <w:num w:numId="5">
    <w:abstractNumId w:val="34"/>
  </w:num>
  <w:num w:numId="6">
    <w:abstractNumId w:val="43"/>
  </w:num>
  <w:num w:numId="7">
    <w:abstractNumId w:val="19"/>
  </w:num>
  <w:num w:numId="8">
    <w:abstractNumId w:val="27"/>
  </w:num>
  <w:num w:numId="9">
    <w:abstractNumId w:val="21"/>
  </w:num>
  <w:num w:numId="10">
    <w:abstractNumId w:val="40"/>
  </w:num>
  <w:num w:numId="11">
    <w:abstractNumId w:val="3"/>
  </w:num>
  <w:num w:numId="12">
    <w:abstractNumId w:val="9"/>
  </w:num>
  <w:num w:numId="13">
    <w:abstractNumId w:val="10"/>
  </w:num>
  <w:num w:numId="14">
    <w:abstractNumId w:val="16"/>
  </w:num>
  <w:num w:numId="15">
    <w:abstractNumId w:val="4"/>
  </w:num>
  <w:num w:numId="16">
    <w:abstractNumId w:val="11"/>
  </w:num>
  <w:num w:numId="17">
    <w:abstractNumId w:val="1"/>
  </w:num>
  <w:num w:numId="18">
    <w:abstractNumId w:val="38"/>
  </w:num>
  <w:num w:numId="19">
    <w:abstractNumId w:val="2"/>
  </w:num>
  <w:num w:numId="20">
    <w:abstractNumId w:val="31"/>
  </w:num>
  <w:num w:numId="21">
    <w:abstractNumId w:val="26"/>
  </w:num>
  <w:num w:numId="22">
    <w:abstractNumId w:val="0"/>
  </w:num>
  <w:num w:numId="23">
    <w:abstractNumId w:val="37"/>
  </w:num>
  <w:num w:numId="24">
    <w:abstractNumId w:val="22"/>
  </w:num>
  <w:num w:numId="25">
    <w:abstractNumId w:val="20"/>
  </w:num>
  <w:num w:numId="26">
    <w:abstractNumId w:val="33"/>
  </w:num>
  <w:num w:numId="27">
    <w:abstractNumId w:val="32"/>
  </w:num>
  <w:num w:numId="28">
    <w:abstractNumId w:val="28"/>
  </w:num>
  <w:num w:numId="29">
    <w:abstractNumId w:val="13"/>
  </w:num>
  <w:num w:numId="30">
    <w:abstractNumId w:val="7"/>
  </w:num>
  <w:num w:numId="31">
    <w:abstractNumId w:val="23"/>
  </w:num>
  <w:num w:numId="32">
    <w:abstractNumId w:val="30"/>
  </w:num>
  <w:num w:numId="33">
    <w:abstractNumId w:val="17"/>
  </w:num>
  <w:num w:numId="34">
    <w:abstractNumId w:val="35"/>
  </w:num>
  <w:num w:numId="35">
    <w:abstractNumId w:val="25"/>
  </w:num>
  <w:num w:numId="36">
    <w:abstractNumId w:val="29"/>
  </w:num>
  <w:num w:numId="37">
    <w:abstractNumId w:val="18"/>
  </w:num>
  <w:num w:numId="38">
    <w:abstractNumId w:val="5"/>
  </w:num>
  <w:num w:numId="39">
    <w:abstractNumId w:val="42"/>
  </w:num>
  <w:num w:numId="40">
    <w:abstractNumId w:val="14"/>
  </w:num>
  <w:num w:numId="41">
    <w:abstractNumId w:val="24"/>
  </w:num>
  <w:num w:numId="42">
    <w:abstractNumId w:val="15"/>
  </w:num>
  <w:num w:numId="43">
    <w:abstractNumId w:val="12"/>
  </w:num>
  <w:num w:numId="44">
    <w:abstractNumId w:val="6"/>
  </w:num>
  <w:num w:numId="45">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0BC"/>
    <w:rsid w:val="000026CF"/>
    <w:rsid w:val="000037E2"/>
    <w:rsid w:val="00010F2B"/>
    <w:rsid w:val="000134B1"/>
    <w:rsid w:val="00020A70"/>
    <w:rsid w:val="00022604"/>
    <w:rsid w:val="0002766F"/>
    <w:rsid w:val="000306A7"/>
    <w:rsid w:val="00031C92"/>
    <w:rsid w:val="000417AA"/>
    <w:rsid w:val="0004199A"/>
    <w:rsid w:val="00045379"/>
    <w:rsid w:val="000461DF"/>
    <w:rsid w:val="00055224"/>
    <w:rsid w:val="0005543E"/>
    <w:rsid w:val="0005622A"/>
    <w:rsid w:val="00061821"/>
    <w:rsid w:val="000623F9"/>
    <w:rsid w:val="00062482"/>
    <w:rsid w:val="0006349C"/>
    <w:rsid w:val="00063A10"/>
    <w:rsid w:val="00065CF3"/>
    <w:rsid w:val="000662F8"/>
    <w:rsid w:val="00073E78"/>
    <w:rsid w:val="00091552"/>
    <w:rsid w:val="00091C3A"/>
    <w:rsid w:val="000A2D37"/>
    <w:rsid w:val="000A3486"/>
    <w:rsid w:val="000A3DFD"/>
    <w:rsid w:val="000A4DD1"/>
    <w:rsid w:val="000A6502"/>
    <w:rsid w:val="000A70F8"/>
    <w:rsid w:val="000A79DA"/>
    <w:rsid w:val="000A7ED7"/>
    <w:rsid w:val="000B4B51"/>
    <w:rsid w:val="000B7158"/>
    <w:rsid w:val="000C5B8B"/>
    <w:rsid w:val="000C6122"/>
    <w:rsid w:val="000C7A02"/>
    <w:rsid w:val="000D1B55"/>
    <w:rsid w:val="000D3C75"/>
    <w:rsid w:val="000D4349"/>
    <w:rsid w:val="000D6A1F"/>
    <w:rsid w:val="000D6FCC"/>
    <w:rsid w:val="000E686B"/>
    <w:rsid w:val="000F13C3"/>
    <w:rsid w:val="000F220F"/>
    <w:rsid w:val="000F3EE7"/>
    <w:rsid w:val="000F64A9"/>
    <w:rsid w:val="000F68B1"/>
    <w:rsid w:val="000F6F19"/>
    <w:rsid w:val="000F7A70"/>
    <w:rsid w:val="000F7AC2"/>
    <w:rsid w:val="001010B8"/>
    <w:rsid w:val="00102D69"/>
    <w:rsid w:val="00107479"/>
    <w:rsid w:val="00110EDB"/>
    <w:rsid w:val="00111DCD"/>
    <w:rsid w:val="00114CF9"/>
    <w:rsid w:val="001167AA"/>
    <w:rsid w:val="00117157"/>
    <w:rsid w:val="00124855"/>
    <w:rsid w:val="001254F5"/>
    <w:rsid w:val="0012635B"/>
    <w:rsid w:val="001336D3"/>
    <w:rsid w:val="00136FAD"/>
    <w:rsid w:val="001423AF"/>
    <w:rsid w:val="00144B4A"/>
    <w:rsid w:val="00146F0A"/>
    <w:rsid w:val="00147B36"/>
    <w:rsid w:val="00150471"/>
    <w:rsid w:val="00152124"/>
    <w:rsid w:val="00152C2B"/>
    <w:rsid w:val="00161411"/>
    <w:rsid w:val="00172661"/>
    <w:rsid w:val="00174EE4"/>
    <w:rsid w:val="00175897"/>
    <w:rsid w:val="00175C56"/>
    <w:rsid w:val="00177D2C"/>
    <w:rsid w:val="001804C3"/>
    <w:rsid w:val="00180B9F"/>
    <w:rsid w:val="00181CC5"/>
    <w:rsid w:val="00184E67"/>
    <w:rsid w:val="00191926"/>
    <w:rsid w:val="00193784"/>
    <w:rsid w:val="001942EE"/>
    <w:rsid w:val="001951F3"/>
    <w:rsid w:val="001A02EC"/>
    <w:rsid w:val="001A22D7"/>
    <w:rsid w:val="001A577E"/>
    <w:rsid w:val="001A58DE"/>
    <w:rsid w:val="001A6AAB"/>
    <w:rsid w:val="001A7C9B"/>
    <w:rsid w:val="001B05B9"/>
    <w:rsid w:val="001B1519"/>
    <w:rsid w:val="001B41CE"/>
    <w:rsid w:val="001B7B88"/>
    <w:rsid w:val="001C7319"/>
    <w:rsid w:val="001C7D87"/>
    <w:rsid w:val="001D3E87"/>
    <w:rsid w:val="001D5F16"/>
    <w:rsid w:val="001D6FAB"/>
    <w:rsid w:val="001E14F4"/>
    <w:rsid w:val="001E1D18"/>
    <w:rsid w:val="001E508A"/>
    <w:rsid w:val="001F0A4F"/>
    <w:rsid w:val="001F0DD2"/>
    <w:rsid w:val="00203D3A"/>
    <w:rsid w:val="00203FF3"/>
    <w:rsid w:val="002044B4"/>
    <w:rsid w:val="00207086"/>
    <w:rsid w:val="00210E64"/>
    <w:rsid w:val="00211D60"/>
    <w:rsid w:val="00214417"/>
    <w:rsid w:val="0021501E"/>
    <w:rsid w:val="002205C0"/>
    <w:rsid w:val="00225507"/>
    <w:rsid w:val="00230EC8"/>
    <w:rsid w:val="0023373D"/>
    <w:rsid w:val="0023423C"/>
    <w:rsid w:val="00240082"/>
    <w:rsid w:val="0024112D"/>
    <w:rsid w:val="00244002"/>
    <w:rsid w:val="00244177"/>
    <w:rsid w:val="00246B55"/>
    <w:rsid w:val="00254477"/>
    <w:rsid w:val="00255312"/>
    <w:rsid w:val="00255F03"/>
    <w:rsid w:val="00256FDF"/>
    <w:rsid w:val="002577FE"/>
    <w:rsid w:val="0025780C"/>
    <w:rsid w:val="00262460"/>
    <w:rsid w:val="00266AE6"/>
    <w:rsid w:val="00271298"/>
    <w:rsid w:val="002729E8"/>
    <w:rsid w:val="00273D0E"/>
    <w:rsid w:val="00285DBD"/>
    <w:rsid w:val="002968B6"/>
    <w:rsid w:val="00297EF9"/>
    <w:rsid w:val="002A07C4"/>
    <w:rsid w:val="002A2034"/>
    <w:rsid w:val="002A24F4"/>
    <w:rsid w:val="002A38BF"/>
    <w:rsid w:val="002A597E"/>
    <w:rsid w:val="002B0FB9"/>
    <w:rsid w:val="002B4382"/>
    <w:rsid w:val="002B5DBD"/>
    <w:rsid w:val="002B72F9"/>
    <w:rsid w:val="002C07E7"/>
    <w:rsid w:val="002C09D8"/>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64F"/>
    <w:rsid w:val="002F4C6A"/>
    <w:rsid w:val="002F70F6"/>
    <w:rsid w:val="00300D0B"/>
    <w:rsid w:val="003043BE"/>
    <w:rsid w:val="00306096"/>
    <w:rsid w:val="00306974"/>
    <w:rsid w:val="00307014"/>
    <w:rsid w:val="00307100"/>
    <w:rsid w:val="0031645D"/>
    <w:rsid w:val="0032064F"/>
    <w:rsid w:val="00320A67"/>
    <w:rsid w:val="003272FB"/>
    <w:rsid w:val="00331499"/>
    <w:rsid w:val="00333232"/>
    <w:rsid w:val="003355E2"/>
    <w:rsid w:val="0033580E"/>
    <w:rsid w:val="00337E68"/>
    <w:rsid w:val="00343D1E"/>
    <w:rsid w:val="00347A94"/>
    <w:rsid w:val="003501D5"/>
    <w:rsid w:val="00354258"/>
    <w:rsid w:val="00355593"/>
    <w:rsid w:val="00357E0E"/>
    <w:rsid w:val="00361B9C"/>
    <w:rsid w:val="003672FB"/>
    <w:rsid w:val="00370797"/>
    <w:rsid w:val="003746C6"/>
    <w:rsid w:val="00375BEA"/>
    <w:rsid w:val="00376CEC"/>
    <w:rsid w:val="00380758"/>
    <w:rsid w:val="00381E2B"/>
    <w:rsid w:val="00387929"/>
    <w:rsid w:val="00393D5B"/>
    <w:rsid w:val="00394A1E"/>
    <w:rsid w:val="003968C7"/>
    <w:rsid w:val="003A61F9"/>
    <w:rsid w:val="003A6975"/>
    <w:rsid w:val="003A72E7"/>
    <w:rsid w:val="003B1E88"/>
    <w:rsid w:val="003B6193"/>
    <w:rsid w:val="003C207B"/>
    <w:rsid w:val="003C5243"/>
    <w:rsid w:val="003C53ED"/>
    <w:rsid w:val="003D0B7E"/>
    <w:rsid w:val="003D4E0F"/>
    <w:rsid w:val="003D53AD"/>
    <w:rsid w:val="003D76BE"/>
    <w:rsid w:val="003E16E1"/>
    <w:rsid w:val="003E504D"/>
    <w:rsid w:val="003E656A"/>
    <w:rsid w:val="003E78B7"/>
    <w:rsid w:val="003F3016"/>
    <w:rsid w:val="003F31E4"/>
    <w:rsid w:val="004012CF"/>
    <w:rsid w:val="00402FF3"/>
    <w:rsid w:val="00406203"/>
    <w:rsid w:val="004069EB"/>
    <w:rsid w:val="00410ACB"/>
    <w:rsid w:val="00412600"/>
    <w:rsid w:val="00422ED2"/>
    <w:rsid w:val="00423213"/>
    <w:rsid w:val="0042416D"/>
    <w:rsid w:val="00424728"/>
    <w:rsid w:val="00425AED"/>
    <w:rsid w:val="00436802"/>
    <w:rsid w:val="00442E45"/>
    <w:rsid w:val="00443AD4"/>
    <w:rsid w:val="0044438E"/>
    <w:rsid w:val="0044545B"/>
    <w:rsid w:val="00445C0F"/>
    <w:rsid w:val="00447E5D"/>
    <w:rsid w:val="00451448"/>
    <w:rsid w:val="004516EB"/>
    <w:rsid w:val="004529B6"/>
    <w:rsid w:val="00453DBD"/>
    <w:rsid w:val="00454CE6"/>
    <w:rsid w:val="0045612F"/>
    <w:rsid w:val="00457305"/>
    <w:rsid w:val="00457955"/>
    <w:rsid w:val="00462881"/>
    <w:rsid w:val="004640F2"/>
    <w:rsid w:val="00467337"/>
    <w:rsid w:val="00475990"/>
    <w:rsid w:val="00475F48"/>
    <w:rsid w:val="00477CC2"/>
    <w:rsid w:val="00477D47"/>
    <w:rsid w:val="0048180A"/>
    <w:rsid w:val="00481C7A"/>
    <w:rsid w:val="0048279E"/>
    <w:rsid w:val="00487DB5"/>
    <w:rsid w:val="004906C8"/>
    <w:rsid w:val="00492BC7"/>
    <w:rsid w:val="004967E2"/>
    <w:rsid w:val="004A075D"/>
    <w:rsid w:val="004A290F"/>
    <w:rsid w:val="004A4330"/>
    <w:rsid w:val="004A55D8"/>
    <w:rsid w:val="004A5FFD"/>
    <w:rsid w:val="004A7CE2"/>
    <w:rsid w:val="004B031A"/>
    <w:rsid w:val="004B1A6C"/>
    <w:rsid w:val="004B234F"/>
    <w:rsid w:val="004B59BB"/>
    <w:rsid w:val="004B5CDA"/>
    <w:rsid w:val="004C2845"/>
    <w:rsid w:val="004C5207"/>
    <w:rsid w:val="004C7961"/>
    <w:rsid w:val="004D08EB"/>
    <w:rsid w:val="004D546D"/>
    <w:rsid w:val="004D54E3"/>
    <w:rsid w:val="004E1A3D"/>
    <w:rsid w:val="004E2371"/>
    <w:rsid w:val="004E6BE9"/>
    <w:rsid w:val="004E754F"/>
    <w:rsid w:val="004F2525"/>
    <w:rsid w:val="004F4E56"/>
    <w:rsid w:val="005001FE"/>
    <w:rsid w:val="005020E9"/>
    <w:rsid w:val="00503655"/>
    <w:rsid w:val="00504BE3"/>
    <w:rsid w:val="0050572A"/>
    <w:rsid w:val="00514207"/>
    <w:rsid w:val="005149BE"/>
    <w:rsid w:val="00515090"/>
    <w:rsid w:val="005179E4"/>
    <w:rsid w:val="00521E57"/>
    <w:rsid w:val="005305EA"/>
    <w:rsid w:val="0053191B"/>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3913"/>
    <w:rsid w:val="005662E2"/>
    <w:rsid w:val="0056682A"/>
    <w:rsid w:val="0056781C"/>
    <w:rsid w:val="00567C0A"/>
    <w:rsid w:val="005733EB"/>
    <w:rsid w:val="005734C5"/>
    <w:rsid w:val="00580802"/>
    <w:rsid w:val="00581A22"/>
    <w:rsid w:val="005860CB"/>
    <w:rsid w:val="005878BC"/>
    <w:rsid w:val="00593E91"/>
    <w:rsid w:val="0059442D"/>
    <w:rsid w:val="00594D38"/>
    <w:rsid w:val="005A0B49"/>
    <w:rsid w:val="005A353A"/>
    <w:rsid w:val="005A51F9"/>
    <w:rsid w:val="005A6D57"/>
    <w:rsid w:val="005A71FD"/>
    <w:rsid w:val="005A760E"/>
    <w:rsid w:val="005B5B70"/>
    <w:rsid w:val="005B5F05"/>
    <w:rsid w:val="005C17BF"/>
    <w:rsid w:val="005C6982"/>
    <w:rsid w:val="005C6B74"/>
    <w:rsid w:val="005C7AEA"/>
    <w:rsid w:val="005D125D"/>
    <w:rsid w:val="005D2B59"/>
    <w:rsid w:val="005D3240"/>
    <w:rsid w:val="005D362F"/>
    <w:rsid w:val="005D370F"/>
    <w:rsid w:val="005D44D1"/>
    <w:rsid w:val="005E3D7D"/>
    <w:rsid w:val="005E4D7C"/>
    <w:rsid w:val="005E60F6"/>
    <w:rsid w:val="005F048E"/>
    <w:rsid w:val="005F57F0"/>
    <w:rsid w:val="00601D64"/>
    <w:rsid w:val="006028C9"/>
    <w:rsid w:val="0060721D"/>
    <w:rsid w:val="0061042F"/>
    <w:rsid w:val="006168E4"/>
    <w:rsid w:val="00621F47"/>
    <w:rsid w:val="0062497C"/>
    <w:rsid w:val="00625200"/>
    <w:rsid w:val="006255AA"/>
    <w:rsid w:val="006300AF"/>
    <w:rsid w:val="00631806"/>
    <w:rsid w:val="00637512"/>
    <w:rsid w:val="00640EE4"/>
    <w:rsid w:val="00641D2D"/>
    <w:rsid w:val="006466F5"/>
    <w:rsid w:val="00650CFA"/>
    <w:rsid w:val="00652BC5"/>
    <w:rsid w:val="006611C1"/>
    <w:rsid w:val="00661753"/>
    <w:rsid w:val="0066216F"/>
    <w:rsid w:val="006654F6"/>
    <w:rsid w:val="006720B5"/>
    <w:rsid w:val="00676CAA"/>
    <w:rsid w:val="00682BC1"/>
    <w:rsid w:val="006848B7"/>
    <w:rsid w:val="006868A7"/>
    <w:rsid w:val="006915EA"/>
    <w:rsid w:val="006A3810"/>
    <w:rsid w:val="006A68B8"/>
    <w:rsid w:val="006A7CEB"/>
    <w:rsid w:val="006B0CA2"/>
    <w:rsid w:val="006B1953"/>
    <w:rsid w:val="006B1BF1"/>
    <w:rsid w:val="006B20F0"/>
    <w:rsid w:val="006B26E3"/>
    <w:rsid w:val="006B3085"/>
    <w:rsid w:val="006B59AF"/>
    <w:rsid w:val="006B69CF"/>
    <w:rsid w:val="006B7444"/>
    <w:rsid w:val="006C0F69"/>
    <w:rsid w:val="006C28CA"/>
    <w:rsid w:val="006C350D"/>
    <w:rsid w:val="006C5E56"/>
    <w:rsid w:val="006C63A0"/>
    <w:rsid w:val="006D23FC"/>
    <w:rsid w:val="006D643D"/>
    <w:rsid w:val="006E063C"/>
    <w:rsid w:val="006E3851"/>
    <w:rsid w:val="006F1167"/>
    <w:rsid w:val="006F4044"/>
    <w:rsid w:val="006F46DC"/>
    <w:rsid w:val="006F5C01"/>
    <w:rsid w:val="006F64CF"/>
    <w:rsid w:val="00700D67"/>
    <w:rsid w:val="00701033"/>
    <w:rsid w:val="00701A3F"/>
    <w:rsid w:val="00712E3A"/>
    <w:rsid w:val="00713BB2"/>
    <w:rsid w:val="00721506"/>
    <w:rsid w:val="007216DB"/>
    <w:rsid w:val="007246D3"/>
    <w:rsid w:val="00725F5A"/>
    <w:rsid w:val="007315CF"/>
    <w:rsid w:val="00732985"/>
    <w:rsid w:val="007404D5"/>
    <w:rsid w:val="00744287"/>
    <w:rsid w:val="00744EEF"/>
    <w:rsid w:val="00745D76"/>
    <w:rsid w:val="00746893"/>
    <w:rsid w:val="00747487"/>
    <w:rsid w:val="007505EB"/>
    <w:rsid w:val="00752E31"/>
    <w:rsid w:val="00753A43"/>
    <w:rsid w:val="00754CAE"/>
    <w:rsid w:val="007554B5"/>
    <w:rsid w:val="00763EE7"/>
    <w:rsid w:val="0076623B"/>
    <w:rsid w:val="00767E4B"/>
    <w:rsid w:val="007718AD"/>
    <w:rsid w:val="007742A7"/>
    <w:rsid w:val="007815E7"/>
    <w:rsid w:val="007851D5"/>
    <w:rsid w:val="00793D5C"/>
    <w:rsid w:val="0079486A"/>
    <w:rsid w:val="00794F80"/>
    <w:rsid w:val="007A0454"/>
    <w:rsid w:val="007A1C9E"/>
    <w:rsid w:val="007A4CA1"/>
    <w:rsid w:val="007A5DFD"/>
    <w:rsid w:val="007B0398"/>
    <w:rsid w:val="007B2C77"/>
    <w:rsid w:val="007B5F0B"/>
    <w:rsid w:val="007B6549"/>
    <w:rsid w:val="007C1D20"/>
    <w:rsid w:val="007C3F2F"/>
    <w:rsid w:val="007D1A27"/>
    <w:rsid w:val="007D1B24"/>
    <w:rsid w:val="007D1F15"/>
    <w:rsid w:val="007D25B1"/>
    <w:rsid w:val="007D2878"/>
    <w:rsid w:val="007E1C4E"/>
    <w:rsid w:val="007E319E"/>
    <w:rsid w:val="007E7B07"/>
    <w:rsid w:val="007E7BAB"/>
    <w:rsid w:val="007E7CFD"/>
    <w:rsid w:val="007E7DCE"/>
    <w:rsid w:val="007E7FA9"/>
    <w:rsid w:val="007F20AC"/>
    <w:rsid w:val="00802C56"/>
    <w:rsid w:val="00807368"/>
    <w:rsid w:val="00807750"/>
    <w:rsid w:val="00807E35"/>
    <w:rsid w:val="00811205"/>
    <w:rsid w:val="008112F7"/>
    <w:rsid w:val="00812295"/>
    <w:rsid w:val="00812C48"/>
    <w:rsid w:val="00813A54"/>
    <w:rsid w:val="00813FE7"/>
    <w:rsid w:val="008146F9"/>
    <w:rsid w:val="00821AEB"/>
    <w:rsid w:val="00824DCD"/>
    <w:rsid w:val="00827063"/>
    <w:rsid w:val="00833E8A"/>
    <w:rsid w:val="00844009"/>
    <w:rsid w:val="00844569"/>
    <w:rsid w:val="00844CDE"/>
    <w:rsid w:val="00847D23"/>
    <w:rsid w:val="008556FF"/>
    <w:rsid w:val="00857106"/>
    <w:rsid w:val="00857765"/>
    <w:rsid w:val="00863327"/>
    <w:rsid w:val="00863A40"/>
    <w:rsid w:val="00867BF6"/>
    <w:rsid w:val="00867F7E"/>
    <w:rsid w:val="00870F44"/>
    <w:rsid w:val="00870FA8"/>
    <w:rsid w:val="00872ECB"/>
    <w:rsid w:val="0087456A"/>
    <w:rsid w:val="008773EB"/>
    <w:rsid w:val="00881050"/>
    <w:rsid w:val="0088251C"/>
    <w:rsid w:val="00884054"/>
    <w:rsid w:val="00890B7A"/>
    <w:rsid w:val="00890C62"/>
    <w:rsid w:val="0089437B"/>
    <w:rsid w:val="00895089"/>
    <w:rsid w:val="008951ED"/>
    <w:rsid w:val="0089761E"/>
    <w:rsid w:val="008977EE"/>
    <w:rsid w:val="008A5928"/>
    <w:rsid w:val="008A75BE"/>
    <w:rsid w:val="008B0D6E"/>
    <w:rsid w:val="008B1AD9"/>
    <w:rsid w:val="008B1D2E"/>
    <w:rsid w:val="008B37B7"/>
    <w:rsid w:val="008B4DF4"/>
    <w:rsid w:val="008B5175"/>
    <w:rsid w:val="008C08BE"/>
    <w:rsid w:val="008C229F"/>
    <w:rsid w:val="008C32A8"/>
    <w:rsid w:val="008C3445"/>
    <w:rsid w:val="008C38F2"/>
    <w:rsid w:val="008C4E94"/>
    <w:rsid w:val="008C55A3"/>
    <w:rsid w:val="008C7368"/>
    <w:rsid w:val="008D34AC"/>
    <w:rsid w:val="008E6375"/>
    <w:rsid w:val="008F1393"/>
    <w:rsid w:val="008F17A1"/>
    <w:rsid w:val="008F4C65"/>
    <w:rsid w:val="008F7579"/>
    <w:rsid w:val="00902944"/>
    <w:rsid w:val="0090452D"/>
    <w:rsid w:val="00905422"/>
    <w:rsid w:val="00906BD5"/>
    <w:rsid w:val="009104D1"/>
    <w:rsid w:val="00913133"/>
    <w:rsid w:val="0091475B"/>
    <w:rsid w:val="00921DB9"/>
    <w:rsid w:val="0092403D"/>
    <w:rsid w:val="00931683"/>
    <w:rsid w:val="009402DB"/>
    <w:rsid w:val="00942E41"/>
    <w:rsid w:val="00943A8D"/>
    <w:rsid w:val="009440D8"/>
    <w:rsid w:val="009449B8"/>
    <w:rsid w:val="00944DC9"/>
    <w:rsid w:val="009454E7"/>
    <w:rsid w:val="0094603F"/>
    <w:rsid w:val="009608DD"/>
    <w:rsid w:val="009611E0"/>
    <w:rsid w:val="00962383"/>
    <w:rsid w:val="00963120"/>
    <w:rsid w:val="00963609"/>
    <w:rsid w:val="00965FEE"/>
    <w:rsid w:val="0096643B"/>
    <w:rsid w:val="009706B5"/>
    <w:rsid w:val="009719BF"/>
    <w:rsid w:val="00972BDF"/>
    <w:rsid w:val="00973EAE"/>
    <w:rsid w:val="00973F49"/>
    <w:rsid w:val="0098182D"/>
    <w:rsid w:val="009855E2"/>
    <w:rsid w:val="00987C03"/>
    <w:rsid w:val="00992977"/>
    <w:rsid w:val="0099557F"/>
    <w:rsid w:val="009A3511"/>
    <w:rsid w:val="009A686F"/>
    <w:rsid w:val="009A7912"/>
    <w:rsid w:val="009B33A8"/>
    <w:rsid w:val="009B3487"/>
    <w:rsid w:val="009B7C61"/>
    <w:rsid w:val="009C3793"/>
    <w:rsid w:val="009C62BD"/>
    <w:rsid w:val="009D26AD"/>
    <w:rsid w:val="009D341C"/>
    <w:rsid w:val="009E1411"/>
    <w:rsid w:val="009E19FC"/>
    <w:rsid w:val="009E52F2"/>
    <w:rsid w:val="009F3C1F"/>
    <w:rsid w:val="009F4897"/>
    <w:rsid w:val="009F614E"/>
    <w:rsid w:val="009F762B"/>
    <w:rsid w:val="009F76BA"/>
    <w:rsid w:val="009F7E09"/>
    <w:rsid w:val="00A02047"/>
    <w:rsid w:val="00A035C0"/>
    <w:rsid w:val="00A036BE"/>
    <w:rsid w:val="00A0553E"/>
    <w:rsid w:val="00A0575E"/>
    <w:rsid w:val="00A12205"/>
    <w:rsid w:val="00A139AF"/>
    <w:rsid w:val="00A16C5C"/>
    <w:rsid w:val="00A3248C"/>
    <w:rsid w:val="00A358E6"/>
    <w:rsid w:val="00A37C0F"/>
    <w:rsid w:val="00A44291"/>
    <w:rsid w:val="00A453DC"/>
    <w:rsid w:val="00A47BAB"/>
    <w:rsid w:val="00A47E33"/>
    <w:rsid w:val="00A50182"/>
    <w:rsid w:val="00A51024"/>
    <w:rsid w:val="00A51109"/>
    <w:rsid w:val="00A544DC"/>
    <w:rsid w:val="00A55818"/>
    <w:rsid w:val="00A56556"/>
    <w:rsid w:val="00A625E2"/>
    <w:rsid w:val="00A63DC7"/>
    <w:rsid w:val="00A66D15"/>
    <w:rsid w:val="00A67D7C"/>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A7EDD"/>
    <w:rsid w:val="00AB2BF2"/>
    <w:rsid w:val="00AB3710"/>
    <w:rsid w:val="00AB4B0F"/>
    <w:rsid w:val="00AB6C3B"/>
    <w:rsid w:val="00AB7F4A"/>
    <w:rsid w:val="00AC192B"/>
    <w:rsid w:val="00AC226E"/>
    <w:rsid w:val="00AC703B"/>
    <w:rsid w:val="00AC722C"/>
    <w:rsid w:val="00AC7906"/>
    <w:rsid w:val="00AD134F"/>
    <w:rsid w:val="00AD3428"/>
    <w:rsid w:val="00AD3AA2"/>
    <w:rsid w:val="00AD4B1A"/>
    <w:rsid w:val="00AE008F"/>
    <w:rsid w:val="00AE0331"/>
    <w:rsid w:val="00AF0161"/>
    <w:rsid w:val="00AF1D63"/>
    <w:rsid w:val="00AF2A1F"/>
    <w:rsid w:val="00AF2D9B"/>
    <w:rsid w:val="00B001A8"/>
    <w:rsid w:val="00B0749B"/>
    <w:rsid w:val="00B10050"/>
    <w:rsid w:val="00B10A1E"/>
    <w:rsid w:val="00B11E08"/>
    <w:rsid w:val="00B149FA"/>
    <w:rsid w:val="00B22242"/>
    <w:rsid w:val="00B2330D"/>
    <w:rsid w:val="00B32CD3"/>
    <w:rsid w:val="00B34CED"/>
    <w:rsid w:val="00B34DDC"/>
    <w:rsid w:val="00B35A93"/>
    <w:rsid w:val="00B36527"/>
    <w:rsid w:val="00B3672D"/>
    <w:rsid w:val="00B433C9"/>
    <w:rsid w:val="00B46B3D"/>
    <w:rsid w:val="00B4745C"/>
    <w:rsid w:val="00B52D3E"/>
    <w:rsid w:val="00B57980"/>
    <w:rsid w:val="00B601D4"/>
    <w:rsid w:val="00B63BC9"/>
    <w:rsid w:val="00B653BB"/>
    <w:rsid w:val="00B66E86"/>
    <w:rsid w:val="00B6709A"/>
    <w:rsid w:val="00B67A20"/>
    <w:rsid w:val="00B71EA8"/>
    <w:rsid w:val="00B724E8"/>
    <w:rsid w:val="00B87D50"/>
    <w:rsid w:val="00B9223B"/>
    <w:rsid w:val="00B962B4"/>
    <w:rsid w:val="00B972DE"/>
    <w:rsid w:val="00BA4D1F"/>
    <w:rsid w:val="00BA7AD1"/>
    <w:rsid w:val="00BB0F89"/>
    <w:rsid w:val="00BB2250"/>
    <w:rsid w:val="00BB721B"/>
    <w:rsid w:val="00BC0FDD"/>
    <w:rsid w:val="00BC22E0"/>
    <w:rsid w:val="00BC2A46"/>
    <w:rsid w:val="00BC3FA4"/>
    <w:rsid w:val="00BC4F87"/>
    <w:rsid w:val="00BD004A"/>
    <w:rsid w:val="00BD352C"/>
    <w:rsid w:val="00BD5023"/>
    <w:rsid w:val="00BD58AB"/>
    <w:rsid w:val="00BE28ED"/>
    <w:rsid w:val="00C008B2"/>
    <w:rsid w:val="00C01F6B"/>
    <w:rsid w:val="00C04CE1"/>
    <w:rsid w:val="00C10C04"/>
    <w:rsid w:val="00C12209"/>
    <w:rsid w:val="00C20A86"/>
    <w:rsid w:val="00C24A09"/>
    <w:rsid w:val="00C25084"/>
    <w:rsid w:val="00C357BE"/>
    <w:rsid w:val="00C468F9"/>
    <w:rsid w:val="00C56C44"/>
    <w:rsid w:val="00C61B9E"/>
    <w:rsid w:val="00C62C2B"/>
    <w:rsid w:val="00C6332C"/>
    <w:rsid w:val="00C65528"/>
    <w:rsid w:val="00C71CD1"/>
    <w:rsid w:val="00C73143"/>
    <w:rsid w:val="00C77685"/>
    <w:rsid w:val="00C77815"/>
    <w:rsid w:val="00C85378"/>
    <w:rsid w:val="00C91B10"/>
    <w:rsid w:val="00C9297C"/>
    <w:rsid w:val="00C95E6D"/>
    <w:rsid w:val="00CA0EF3"/>
    <w:rsid w:val="00CA6FDA"/>
    <w:rsid w:val="00CB3B6F"/>
    <w:rsid w:val="00CC0C5F"/>
    <w:rsid w:val="00CC2F3D"/>
    <w:rsid w:val="00CC5FF3"/>
    <w:rsid w:val="00CC6072"/>
    <w:rsid w:val="00CD061B"/>
    <w:rsid w:val="00CD365B"/>
    <w:rsid w:val="00CD4BFA"/>
    <w:rsid w:val="00CE2ADF"/>
    <w:rsid w:val="00CE6269"/>
    <w:rsid w:val="00CF1C84"/>
    <w:rsid w:val="00CF1D7D"/>
    <w:rsid w:val="00CF45D3"/>
    <w:rsid w:val="00CF51F9"/>
    <w:rsid w:val="00CF6B6C"/>
    <w:rsid w:val="00CF7EA2"/>
    <w:rsid w:val="00D004E5"/>
    <w:rsid w:val="00D042BB"/>
    <w:rsid w:val="00D06CA0"/>
    <w:rsid w:val="00D115BB"/>
    <w:rsid w:val="00D11797"/>
    <w:rsid w:val="00D12C68"/>
    <w:rsid w:val="00D134FB"/>
    <w:rsid w:val="00D1705C"/>
    <w:rsid w:val="00D17789"/>
    <w:rsid w:val="00D178CD"/>
    <w:rsid w:val="00D20CD3"/>
    <w:rsid w:val="00D21565"/>
    <w:rsid w:val="00D22F7D"/>
    <w:rsid w:val="00D26110"/>
    <w:rsid w:val="00D2737E"/>
    <w:rsid w:val="00D274A9"/>
    <w:rsid w:val="00D31F63"/>
    <w:rsid w:val="00D32644"/>
    <w:rsid w:val="00D33619"/>
    <w:rsid w:val="00D449AE"/>
    <w:rsid w:val="00D477C3"/>
    <w:rsid w:val="00D51B89"/>
    <w:rsid w:val="00D525F0"/>
    <w:rsid w:val="00D52AC7"/>
    <w:rsid w:val="00D54CA9"/>
    <w:rsid w:val="00D54D64"/>
    <w:rsid w:val="00D6340F"/>
    <w:rsid w:val="00D65047"/>
    <w:rsid w:val="00D6535E"/>
    <w:rsid w:val="00D654EC"/>
    <w:rsid w:val="00D67311"/>
    <w:rsid w:val="00D72D16"/>
    <w:rsid w:val="00D742B9"/>
    <w:rsid w:val="00D7492C"/>
    <w:rsid w:val="00D8195B"/>
    <w:rsid w:val="00D821F8"/>
    <w:rsid w:val="00D83F41"/>
    <w:rsid w:val="00D848F9"/>
    <w:rsid w:val="00D84DDC"/>
    <w:rsid w:val="00D85695"/>
    <w:rsid w:val="00D8619F"/>
    <w:rsid w:val="00D86764"/>
    <w:rsid w:val="00D95985"/>
    <w:rsid w:val="00DA0DF2"/>
    <w:rsid w:val="00DA41D7"/>
    <w:rsid w:val="00DA494B"/>
    <w:rsid w:val="00DB5C0A"/>
    <w:rsid w:val="00DD13E2"/>
    <w:rsid w:val="00DD7C82"/>
    <w:rsid w:val="00DE47A1"/>
    <w:rsid w:val="00DF003C"/>
    <w:rsid w:val="00DF137F"/>
    <w:rsid w:val="00DF4501"/>
    <w:rsid w:val="00DF6971"/>
    <w:rsid w:val="00DF78AE"/>
    <w:rsid w:val="00E00E78"/>
    <w:rsid w:val="00E076C1"/>
    <w:rsid w:val="00E07D1E"/>
    <w:rsid w:val="00E11E2E"/>
    <w:rsid w:val="00E13C83"/>
    <w:rsid w:val="00E14754"/>
    <w:rsid w:val="00E15555"/>
    <w:rsid w:val="00E15B7D"/>
    <w:rsid w:val="00E20DEE"/>
    <w:rsid w:val="00E2408E"/>
    <w:rsid w:val="00E308FC"/>
    <w:rsid w:val="00E371EC"/>
    <w:rsid w:val="00E37B7B"/>
    <w:rsid w:val="00E43116"/>
    <w:rsid w:val="00E4391F"/>
    <w:rsid w:val="00E444DA"/>
    <w:rsid w:val="00E571F8"/>
    <w:rsid w:val="00E64F0A"/>
    <w:rsid w:val="00E67668"/>
    <w:rsid w:val="00E70AEE"/>
    <w:rsid w:val="00E7107E"/>
    <w:rsid w:val="00E71C93"/>
    <w:rsid w:val="00E72AE3"/>
    <w:rsid w:val="00E73B51"/>
    <w:rsid w:val="00E8151C"/>
    <w:rsid w:val="00E81E9C"/>
    <w:rsid w:val="00E87058"/>
    <w:rsid w:val="00E936FF"/>
    <w:rsid w:val="00E939C8"/>
    <w:rsid w:val="00E93A33"/>
    <w:rsid w:val="00E93B6B"/>
    <w:rsid w:val="00EA1F89"/>
    <w:rsid w:val="00EA393E"/>
    <w:rsid w:val="00EB117B"/>
    <w:rsid w:val="00EB2BEB"/>
    <w:rsid w:val="00EB40D6"/>
    <w:rsid w:val="00EB4222"/>
    <w:rsid w:val="00EB5F75"/>
    <w:rsid w:val="00EB79CD"/>
    <w:rsid w:val="00ED1F7E"/>
    <w:rsid w:val="00EE0F2E"/>
    <w:rsid w:val="00EE1ECC"/>
    <w:rsid w:val="00EE2610"/>
    <w:rsid w:val="00EE2A41"/>
    <w:rsid w:val="00EE354B"/>
    <w:rsid w:val="00EE3C1D"/>
    <w:rsid w:val="00EE6EC2"/>
    <w:rsid w:val="00EE7822"/>
    <w:rsid w:val="00EF09FB"/>
    <w:rsid w:val="00EF102E"/>
    <w:rsid w:val="00EF6C52"/>
    <w:rsid w:val="00F02923"/>
    <w:rsid w:val="00F0351B"/>
    <w:rsid w:val="00F06472"/>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4650"/>
    <w:rsid w:val="00F5724D"/>
    <w:rsid w:val="00F60AB3"/>
    <w:rsid w:val="00F612B9"/>
    <w:rsid w:val="00F62329"/>
    <w:rsid w:val="00F65A74"/>
    <w:rsid w:val="00F727B0"/>
    <w:rsid w:val="00F76A74"/>
    <w:rsid w:val="00F874C4"/>
    <w:rsid w:val="00F91AEE"/>
    <w:rsid w:val="00FA047C"/>
    <w:rsid w:val="00FA2545"/>
    <w:rsid w:val="00FB4AAD"/>
    <w:rsid w:val="00FB4E3D"/>
    <w:rsid w:val="00FB5F2A"/>
    <w:rsid w:val="00FB6CF8"/>
    <w:rsid w:val="00FB70AE"/>
    <w:rsid w:val="00FC0FFE"/>
    <w:rsid w:val="00FC16E9"/>
    <w:rsid w:val="00FC279C"/>
    <w:rsid w:val="00FC45DE"/>
    <w:rsid w:val="00FC48CB"/>
    <w:rsid w:val="00FC4F9B"/>
    <w:rsid w:val="00FC59F0"/>
    <w:rsid w:val="00FC79F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F8418"/>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character" w:customStyle="1" w:styleId="UnresolvedMention">
    <w:name w:val="Unresolved Mention"/>
    <w:basedOn w:val="Fuentedeprrafopredeter"/>
    <w:uiPriority w:val="99"/>
    <w:semiHidden/>
    <w:unhideWhenUsed/>
    <w:rsid w:val="00262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6898298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7791767">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IZAPANDEZARAGOZA/art_93_i/1.web"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1EDE9-7F9A-478E-948A-868B7682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41</Pages>
  <Words>6678</Words>
  <Characters>36734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2019-11-07T00:56:00Z</cp:lastPrinted>
  <dcterms:created xsi:type="dcterms:W3CDTF">2020-03-27T17:24:00Z</dcterms:created>
  <dcterms:modified xsi:type="dcterms:W3CDTF">2020-08-17T17:37:00Z</dcterms:modified>
</cp:coreProperties>
</file>