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63D" w:rsidRPr="004760BD" w:rsidRDefault="0033763D" w:rsidP="009820D9">
      <w:pPr>
        <w:spacing w:after="0" w:line="360" w:lineRule="auto"/>
        <w:ind w:right="332"/>
        <w:jc w:val="center"/>
        <w:rPr>
          <w:rFonts w:ascii="Palatino Linotype" w:eastAsia="MS Mincho" w:hAnsi="Palatino Linotype" w:cs="Times New Roman"/>
          <w:b/>
          <w:sz w:val="24"/>
          <w:szCs w:val="24"/>
          <w:lang w:val="es-ES_tradnl" w:eastAsia="es-ES"/>
        </w:rPr>
      </w:pPr>
      <w:r w:rsidRPr="004760BD">
        <w:rPr>
          <w:rFonts w:ascii="Palatino Linotype" w:eastAsia="MS Mincho" w:hAnsi="Palatino Linotype" w:cs="Times New Roman"/>
          <w:b/>
          <w:sz w:val="24"/>
          <w:szCs w:val="24"/>
          <w:lang w:val="es-ES_tradnl" w:eastAsia="es-ES"/>
        </w:rPr>
        <w:t>LÍNEAS ARGUMENTATIVAS.</w:t>
      </w:r>
    </w:p>
    <w:p w:rsidR="0033763D" w:rsidRPr="004760BD" w:rsidRDefault="0033763D" w:rsidP="009820D9">
      <w:pPr>
        <w:spacing w:after="0" w:line="360" w:lineRule="auto"/>
        <w:ind w:right="332"/>
        <w:jc w:val="both"/>
        <w:rPr>
          <w:rFonts w:ascii="Palatino Linotype" w:eastAsia="Arial Unicode MS" w:hAnsi="Palatino Linotype" w:cs="Arial"/>
          <w:b/>
          <w:sz w:val="24"/>
          <w:szCs w:val="24"/>
          <w:lang w:val="es-ES_tradnl" w:eastAsia="es-ES"/>
        </w:rPr>
      </w:pPr>
    </w:p>
    <w:p w:rsidR="0033763D" w:rsidRPr="004760BD" w:rsidRDefault="0033763D" w:rsidP="009820D9">
      <w:pPr>
        <w:spacing w:after="0" w:line="360" w:lineRule="auto"/>
        <w:ind w:right="332"/>
        <w:jc w:val="both"/>
        <w:rPr>
          <w:rFonts w:ascii="Palatino Linotype" w:eastAsia="Arial Unicode MS" w:hAnsi="Palatino Linotype" w:cs="Arial"/>
          <w:sz w:val="24"/>
          <w:szCs w:val="24"/>
          <w:lang w:val="es-ES_tradnl" w:eastAsia="es-ES"/>
        </w:rPr>
      </w:pPr>
      <w:r w:rsidRPr="004760BD">
        <w:rPr>
          <w:rFonts w:ascii="Palatino Linotype" w:eastAsia="Arial Unicode MS" w:hAnsi="Palatino Linotype" w:cs="Arial"/>
          <w:b/>
          <w:sz w:val="24"/>
          <w:szCs w:val="24"/>
          <w:lang w:val="es-ES_tradnl" w:eastAsia="es-ES"/>
        </w:rPr>
        <w:t>DEBERES DE LAS AUTORIDADES</w:t>
      </w:r>
      <w:r w:rsidRPr="004760BD">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33763D" w:rsidRPr="004760BD" w:rsidRDefault="0033763D" w:rsidP="009820D9">
      <w:pPr>
        <w:spacing w:after="0" w:line="360" w:lineRule="auto"/>
        <w:ind w:right="332"/>
        <w:jc w:val="both"/>
        <w:rPr>
          <w:rFonts w:ascii="Palatino Linotype" w:eastAsia="Arial Unicode MS" w:hAnsi="Palatino Linotype" w:cs="Arial"/>
          <w:sz w:val="24"/>
          <w:szCs w:val="24"/>
          <w:lang w:val="es-ES_tradnl" w:eastAsia="es-ES"/>
        </w:rPr>
      </w:pPr>
    </w:p>
    <w:p w:rsidR="0033763D" w:rsidRPr="004760BD" w:rsidRDefault="0033763D" w:rsidP="009820D9">
      <w:pPr>
        <w:spacing w:after="0" w:line="360" w:lineRule="auto"/>
        <w:ind w:right="332"/>
        <w:jc w:val="both"/>
        <w:rPr>
          <w:rFonts w:ascii="Palatino Linotype" w:eastAsia="Calibri" w:hAnsi="Palatino Linotype" w:cs="Times New Roman"/>
          <w:sz w:val="24"/>
          <w:szCs w:val="24"/>
          <w:lang w:val="es-ES_tradnl" w:eastAsia="es-ES"/>
        </w:rPr>
      </w:pPr>
      <w:r w:rsidRPr="004760BD">
        <w:rPr>
          <w:rFonts w:ascii="Palatino Linotype" w:eastAsia="Calibri" w:hAnsi="Palatino Linotype" w:cs="Times New Roman"/>
          <w:b/>
          <w:sz w:val="24"/>
          <w:szCs w:val="24"/>
          <w:lang w:val="es-ES_tradnl" w:eastAsia="es-ES"/>
        </w:rPr>
        <w:t>DE LA GARANTÍA DE PROPORCIONAR LA INFORMACIÓN PÚBLICA GUBERNAMENTAL.</w:t>
      </w:r>
      <w:r w:rsidRPr="004760B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3763D" w:rsidRPr="004760BD" w:rsidRDefault="0033763D" w:rsidP="009820D9">
      <w:pPr>
        <w:spacing w:after="0" w:line="360" w:lineRule="auto"/>
        <w:ind w:right="332"/>
        <w:jc w:val="both"/>
        <w:rPr>
          <w:rFonts w:ascii="Palatino Linotype" w:eastAsia="Arial Unicode MS" w:hAnsi="Palatino Linotype" w:cs="Arial"/>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rPr>
          <w:rFonts w:ascii="Palatino Linotype" w:eastAsia="Calibri" w:hAnsi="Palatino Linotype" w:cs="Times New Roman"/>
          <w:b/>
          <w:sz w:val="24"/>
          <w:szCs w:val="24"/>
          <w:lang w:val="es-ES_tradnl" w:eastAsia="es-ES"/>
        </w:rPr>
      </w:pPr>
    </w:p>
    <w:p w:rsidR="0033763D" w:rsidRPr="004760BD" w:rsidRDefault="0033763D" w:rsidP="009820D9">
      <w:pPr>
        <w:spacing w:after="0" w:line="360" w:lineRule="auto"/>
        <w:ind w:right="332"/>
        <w:jc w:val="center"/>
        <w:rPr>
          <w:rFonts w:ascii="Palatino Linotype" w:eastAsia="MS Mincho" w:hAnsi="Palatino Linotype" w:cs="Times New Roman"/>
          <w:b/>
          <w:sz w:val="24"/>
          <w:szCs w:val="24"/>
          <w:lang w:val="es-ES_tradnl" w:eastAsia="es-ES"/>
        </w:rPr>
      </w:pPr>
    </w:p>
    <w:p w:rsidR="0033763D" w:rsidRPr="004760BD" w:rsidRDefault="0033763D" w:rsidP="009820D9">
      <w:pPr>
        <w:spacing w:after="0" w:line="360" w:lineRule="auto"/>
        <w:ind w:right="332"/>
        <w:jc w:val="center"/>
        <w:rPr>
          <w:rFonts w:ascii="Palatino Linotype" w:eastAsia="MS Mincho" w:hAnsi="Palatino Linotype" w:cs="Times New Roman"/>
          <w:b/>
          <w:sz w:val="24"/>
          <w:szCs w:val="24"/>
          <w:lang w:val="es-ES_tradnl" w:eastAsia="es-ES"/>
        </w:rPr>
      </w:pPr>
    </w:p>
    <w:p w:rsidR="0033763D" w:rsidRPr="004760BD" w:rsidRDefault="0033763D" w:rsidP="009820D9">
      <w:pPr>
        <w:spacing w:after="0" w:line="360" w:lineRule="auto"/>
        <w:ind w:right="332"/>
        <w:jc w:val="center"/>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b/>
          <w:sz w:val="24"/>
          <w:szCs w:val="24"/>
          <w:lang w:val="es-ES_tradnl" w:eastAsia="es-ES"/>
        </w:rPr>
        <w:lastRenderedPageBreak/>
        <w:t>ÍNDICE</w:t>
      </w:r>
      <w:r w:rsidRPr="004760BD">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33763D" w:rsidRPr="004760BD" w:rsidRDefault="0033763D" w:rsidP="009820D9">
          <w:pPr>
            <w:keepNext/>
            <w:keepLines/>
            <w:spacing w:after="0" w:line="360" w:lineRule="auto"/>
            <w:ind w:right="332"/>
            <w:rPr>
              <w:rFonts w:ascii="Palatino Linotype" w:eastAsiaTheme="majorEastAsia" w:hAnsi="Palatino Linotype" w:cstheme="majorBidi"/>
              <w:b/>
              <w:sz w:val="24"/>
              <w:szCs w:val="24"/>
              <w:lang w:eastAsia="es-MX"/>
            </w:rPr>
          </w:pPr>
        </w:p>
        <w:p w:rsidR="00A2100B" w:rsidRPr="004760BD" w:rsidRDefault="0033763D" w:rsidP="009820D9">
          <w:pPr>
            <w:pStyle w:val="TDC1"/>
            <w:tabs>
              <w:tab w:val="right" w:leader="dot" w:pos="9394"/>
            </w:tabs>
            <w:spacing w:line="360" w:lineRule="auto"/>
            <w:rPr>
              <w:rFonts w:ascii="Palatino Linotype" w:eastAsiaTheme="minorEastAsia" w:hAnsi="Palatino Linotype"/>
              <w:b/>
              <w:noProof/>
              <w:lang w:eastAsia="es-MX"/>
            </w:rPr>
          </w:pPr>
          <w:r w:rsidRPr="004760BD">
            <w:rPr>
              <w:rFonts w:ascii="Palatino Linotype" w:hAnsi="Palatino Linotype" w:cstheme="minorHAnsi"/>
              <w:b/>
              <w:bCs/>
              <w:sz w:val="28"/>
              <w:szCs w:val="28"/>
              <w:lang w:val="es-ES"/>
            </w:rPr>
            <w:fldChar w:fldCharType="begin"/>
          </w:r>
          <w:r w:rsidRPr="004760BD">
            <w:rPr>
              <w:rFonts w:ascii="Palatino Linotype" w:hAnsi="Palatino Linotype" w:cstheme="minorHAnsi"/>
              <w:b/>
              <w:bCs/>
              <w:sz w:val="28"/>
              <w:szCs w:val="28"/>
              <w:lang w:val="es-ES"/>
            </w:rPr>
            <w:instrText xml:space="preserve"> TOC \o "1-3" \h \z \u </w:instrText>
          </w:r>
          <w:r w:rsidRPr="004760BD">
            <w:rPr>
              <w:rFonts w:ascii="Palatino Linotype" w:hAnsi="Palatino Linotype" w:cstheme="minorHAnsi"/>
              <w:b/>
              <w:bCs/>
              <w:sz w:val="28"/>
              <w:szCs w:val="28"/>
              <w:lang w:val="es-ES"/>
            </w:rPr>
            <w:fldChar w:fldCharType="separate"/>
          </w:r>
          <w:hyperlink w:anchor="_Toc63949881" w:history="1">
            <w:r w:rsidR="00A2100B" w:rsidRPr="004760BD">
              <w:rPr>
                <w:rStyle w:val="Hipervnculo"/>
                <w:rFonts w:ascii="Palatino Linotype" w:eastAsia="MS Gothic" w:hAnsi="Palatino Linotype" w:cs="Times New Roman"/>
                <w:b/>
                <w:noProof/>
                <w:lang w:val="de-DE"/>
              </w:rPr>
              <w:t>A N T E C E D E N T E S</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_Toc63949881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3</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2" w:history="1">
            <w:r w:rsidR="00A2100B" w:rsidRPr="004760BD">
              <w:rPr>
                <w:rStyle w:val="Hipervnculo"/>
                <w:rFonts w:ascii="Palatino Linotype" w:eastAsia="MS Gothic" w:hAnsi="Palatino Linotype" w:cs="Times New Roman"/>
                <w:b/>
                <w:noProof/>
              </w:rPr>
              <w:t>CONSIDERANDO</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_Toc63949882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6</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3" w:history="1">
            <w:r w:rsidR="00A2100B" w:rsidRPr="004760BD">
              <w:rPr>
                <w:rStyle w:val="Hipervnculo"/>
                <w:rFonts w:ascii="Palatino Linotype" w:eastAsia="MS Mincho" w:hAnsi="Palatino Linotype" w:cstheme="majorBidi"/>
                <w:b/>
                <w:noProof/>
                <w:lang w:val="es-ES_tradnl" w:eastAsia="es-ES"/>
              </w:rPr>
              <w:t>PRIMERO</w:t>
            </w:r>
            <w:r w:rsidR="00A2100B" w:rsidRPr="004760BD">
              <w:rPr>
                <w:rStyle w:val="Hipervnculo"/>
                <w:rFonts w:ascii="Palatino Linotype" w:eastAsia="MS Gothic" w:hAnsi="Palatino Linotype" w:cs="Times New Roman"/>
                <w:b/>
                <w:noProof/>
              </w:rPr>
              <w:t>. De la competencia.</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_Toc63949883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6</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4" w:history="1">
            <w:r w:rsidR="00A2100B" w:rsidRPr="004760BD">
              <w:rPr>
                <w:rStyle w:val="Hipervnculo"/>
                <w:rFonts w:ascii="Palatino Linotype" w:eastAsia="MS Mincho" w:hAnsi="Palatino Linotype" w:cstheme="majorBidi"/>
                <w:b/>
                <w:noProof/>
                <w:lang w:val="es-ES_tradnl" w:eastAsia="es-ES"/>
              </w:rPr>
              <w:t>SEGUNDO</w:t>
            </w:r>
            <w:r w:rsidR="00A2100B" w:rsidRPr="004760BD">
              <w:rPr>
                <w:rStyle w:val="Hipervnculo"/>
                <w:rFonts w:ascii="Palatino Linotype" w:eastAsia="MS Gothic" w:hAnsi="Palatino Linotype" w:cs="Times New Roman"/>
                <w:b/>
                <w:noProof/>
              </w:rPr>
              <w:t>. De la oportunidad y procedibilidad del recurso de revisión.</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_Toc63949884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7</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5" w:history="1">
            <w:r w:rsidR="00A2100B" w:rsidRPr="004760BD">
              <w:rPr>
                <w:rStyle w:val="Hipervnculo"/>
                <w:rFonts w:ascii="Palatino Linotype" w:eastAsia="MS Mincho" w:hAnsi="Palatino Linotype" w:cstheme="majorBidi"/>
                <w:b/>
                <w:noProof/>
                <w:lang w:val="es-ES_tradnl" w:eastAsia="es-ES"/>
              </w:rPr>
              <w:t>TERCERO. Planteamiento de la Litis</w:t>
            </w:r>
            <w:r w:rsidR="00A2100B" w:rsidRPr="004760BD">
              <w:rPr>
                <w:rStyle w:val="Hipervnculo"/>
                <w:rFonts w:ascii="Palatino Linotype" w:eastAsia="MS Gothic" w:hAnsi="Palatino Linotype" w:cs="Times New Roman"/>
                <w:b/>
                <w:noProof/>
              </w:rPr>
              <w:t>.</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_Toc63949885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9</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6" w:history="1">
            <w:r w:rsidR="00A2100B" w:rsidRPr="004760BD">
              <w:rPr>
                <w:rStyle w:val="Hipervnculo"/>
                <w:rFonts w:ascii="Palatino Linotype" w:eastAsia="MS Gothic" w:hAnsi="Palatino Linotype" w:cstheme="majorBidi"/>
                <w:b/>
                <w:noProof/>
                <w:lang w:val="es-ES_tradnl" w:eastAsia="es-ES"/>
              </w:rPr>
              <w:t>CUARTO. De previo y especial pronunciamiento</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_Toc63949886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10</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7" w:history="1">
            <w:r w:rsidR="00A2100B" w:rsidRPr="004760BD">
              <w:rPr>
                <w:rStyle w:val="Hipervnculo"/>
                <w:rFonts w:ascii="Palatino Linotype" w:eastAsia="MS Gothic" w:hAnsi="Palatino Linotype" w:cstheme="majorBidi"/>
                <w:b/>
                <w:noProof/>
                <w:lang w:val="es-ES_tradnl" w:eastAsia="es-ES"/>
              </w:rPr>
              <w:t>QUINTO. Del estudio y resolución del recurso de revisión.</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_Toc63949887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15</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8" w:history="1">
            <w:r w:rsidR="00A2100B" w:rsidRPr="004760BD">
              <w:rPr>
                <w:rStyle w:val="Hipervnculo"/>
                <w:rFonts w:ascii="Palatino Linotype" w:eastAsia="MS Gothic" w:hAnsi="Palatino Linotype" w:cstheme="majorBidi"/>
                <w:b/>
                <w:noProof/>
                <w:lang w:val="es-ES_tradnl" w:eastAsia="es-ES"/>
              </w:rPr>
              <w:t>I. Fuente Obligacional.</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_Toc63949888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15</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89" w:history="1">
            <w:r w:rsidR="00A2100B" w:rsidRPr="004760BD">
              <w:rPr>
                <w:rStyle w:val="Hipervnculo"/>
                <w:rFonts w:ascii="Palatino Linotype" w:eastAsia="MS Gothic" w:hAnsi="Palatino Linotype" w:cstheme="majorBidi"/>
                <w:b/>
                <w:noProof/>
                <w:lang w:val="es-ES_tradnl" w:eastAsia="es-ES"/>
              </w:rPr>
              <w:t>II. De la información solicitada y la respuesta del Sujeto Obligado.</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_Toc63949889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17</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90" w:history="1">
            <w:r w:rsidR="00A2100B" w:rsidRPr="004760BD">
              <w:rPr>
                <w:rStyle w:val="Hipervnculo"/>
                <w:rFonts w:ascii="Palatino Linotype" w:hAnsi="Palatino Linotype" w:cs="Times New Roman"/>
                <w:b/>
                <w:noProof/>
                <w:lang w:eastAsia="es-ES_tradnl"/>
              </w:rPr>
              <w:t xml:space="preserve">SEXTO. </w:t>
            </w:r>
            <w:r w:rsidR="00A2100B" w:rsidRPr="004760BD">
              <w:rPr>
                <w:rStyle w:val="Hipervnculo"/>
                <w:rFonts w:ascii="Palatino Linotype" w:hAnsi="Palatino Linotype"/>
                <w:b/>
                <w:noProof/>
              </w:rPr>
              <w:t xml:space="preserve"> De la elaboración de la versión pública.</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_Toc63949890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24</w:t>
            </w:r>
            <w:r w:rsidR="00A2100B" w:rsidRPr="004760BD">
              <w:rPr>
                <w:rFonts w:ascii="Palatino Linotype" w:hAnsi="Palatino Linotype"/>
                <w:b/>
                <w:noProof/>
                <w:webHidden/>
              </w:rPr>
              <w:fldChar w:fldCharType="end"/>
            </w:r>
          </w:hyperlink>
        </w:p>
        <w:p w:rsidR="00A2100B" w:rsidRPr="004760BD" w:rsidRDefault="009A7C59" w:rsidP="009820D9">
          <w:pPr>
            <w:pStyle w:val="TDC3"/>
            <w:tabs>
              <w:tab w:val="right" w:leader="dot" w:pos="9394"/>
            </w:tabs>
            <w:spacing w:line="360" w:lineRule="auto"/>
            <w:ind w:left="0"/>
            <w:rPr>
              <w:rFonts w:ascii="Palatino Linotype" w:hAnsi="Palatino Linotype"/>
              <w:b/>
              <w:noProof/>
            </w:rPr>
          </w:pPr>
          <w:hyperlink w:anchor="_Toc63949891" w:history="1">
            <w:r w:rsidR="00A2100B" w:rsidRPr="004760BD">
              <w:rPr>
                <w:rStyle w:val="Hipervnculo"/>
                <w:rFonts w:ascii="Palatino Linotype" w:hAnsi="Palatino Linotype" w:cs="Arial"/>
                <w:b/>
                <w:noProof/>
              </w:rPr>
              <w:t>I. Requisitos previos.</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_Toc63949891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26</w:t>
            </w:r>
            <w:r w:rsidR="00A2100B" w:rsidRPr="004760BD">
              <w:rPr>
                <w:rFonts w:ascii="Palatino Linotype" w:hAnsi="Palatino Linotype"/>
                <w:b/>
                <w:noProof/>
                <w:webHidden/>
              </w:rPr>
              <w:fldChar w:fldCharType="end"/>
            </w:r>
          </w:hyperlink>
        </w:p>
        <w:p w:rsidR="00A2100B" w:rsidRPr="004760BD" w:rsidRDefault="009A7C59" w:rsidP="009820D9">
          <w:pPr>
            <w:pStyle w:val="TDC3"/>
            <w:tabs>
              <w:tab w:val="right" w:leader="dot" w:pos="9394"/>
            </w:tabs>
            <w:spacing w:line="360" w:lineRule="auto"/>
            <w:ind w:left="0"/>
            <w:rPr>
              <w:rFonts w:ascii="Palatino Linotype" w:hAnsi="Palatino Linotype"/>
              <w:b/>
              <w:noProof/>
            </w:rPr>
          </w:pPr>
          <w:hyperlink w:anchor="_Toc63949892" w:history="1">
            <w:r w:rsidR="00A2100B" w:rsidRPr="004760BD">
              <w:rPr>
                <w:rStyle w:val="Hipervnculo"/>
                <w:rFonts w:ascii="Palatino Linotype" w:hAnsi="Palatino Linotype" w:cs="Arial"/>
                <w:b/>
                <w:noProof/>
              </w:rPr>
              <w:t>II. Supuestos de clasificación.</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_Toc63949892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27</w:t>
            </w:r>
            <w:r w:rsidR="00A2100B" w:rsidRPr="004760BD">
              <w:rPr>
                <w:rFonts w:ascii="Palatino Linotype" w:hAnsi="Palatino Linotype"/>
                <w:b/>
                <w:noProof/>
                <w:webHidden/>
              </w:rPr>
              <w:fldChar w:fldCharType="end"/>
            </w:r>
          </w:hyperlink>
        </w:p>
        <w:p w:rsidR="00A2100B" w:rsidRPr="004760BD" w:rsidRDefault="009A7C59" w:rsidP="009820D9">
          <w:pPr>
            <w:pStyle w:val="TDC3"/>
            <w:tabs>
              <w:tab w:val="right" w:leader="dot" w:pos="9394"/>
            </w:tabs>
            <w:spacing w:line="360" w:lineRule="auto"/>
            <w:ind w:left="0"/>
            <w:rPr>
              <w:rFonts w:ascii="Palatino Linotype" w:hAnsi="Palatino Linotype"/>
              <w:b/>
              <w:noProof/>
            </w:rPr>
          </w:pPr>
          <w:hyperlink w:anchor="_Toc63949893" w:history="1">
            <w:r w:rsidR="00A2100B" w:rsidRPr="004760BD">
              <w:rPr>
                <w:rStyle w:val="Hipervnculo"/>
                <w:rFonts w:ascii="Palatino Linotype" w:hAnsi="Palatino Linotype" w:cs="Arial"/>
                <w:b/>
                <w:noProof/>
              </w:rPr>
              <w:t>III. La intervención del Comité de Transparencia.</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_Toc63949893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31</w:t>
            </w:r>
            <w:r w:rsidR="00A2100B" w:rsidRPr="004760BD">
              <w:rPr>
                <w:rFonts w:ascii="Palatino Linotype" w:hAnsi="Palatino Linotype"/>
                <w:b/>
                <w:noProof/>
                <w:webHidden/>
              </w:rPr>
              <w:fldChar w:fldCharType="end"/>
            </w:r>
          </w:hyperlink>
        </w:p>
        <w:p w:rsidR="00A2100B" w:rsidRPr="004760BD" w:rsidRDefault="009A7C59" w:rsidP="009820D9">
          <w:pPr>
            <w:pStyle w:val="TDC1"/>
            <w:tabs>
              <w:tab w:val="right" w:leader="dot" w:pos="9394"/>
            </w:tabs>
            <w:spacing w:line="360" w:lineRule="auto"/>
            <w:rPr>
              <w:rFonts w:ascii="Palatino Linotype" w:eastAsiaTheme="minorEastAsia" w:hAnsi="Palatino Linotype"/>
              <w:b/>
              <w:noProof/>
              <w:lang w:eastAsia="es-MX"/>
            </w:rPr>
          </w:pPr>
          <w:hyperlink w:anchor="_Toc63949894" w:history="1">
            <w:r w:rsidR="00A2100B" w:rsidRPr="004760BD">
              <w:rPr>
                <w:rStyle w:val="Hipervnculo"/>
                <w:rFonts w:ascii="Palatino Linotype" w:eastAsia="Times New Roman" w:hAnsi="Palatino Linotype" w:cstheme="majorBidi"/>
                <w:b/>
                <w:noProof/>
                <w:lang w:val="es-ES_tradnl" w:eastAsia="es-ES"/>
              </w:rPr>
              <w:t>R E S O L U T I V O S</w:t>
            </w:r>
            <w:r w:rsidR="00A2100B" w:rsidRPr="004760BD">
              <w:rPr>
                <w:rFonts w:ascii="Palatino Linotype" w:hAnsi="Palatino Linotype"/>
                <w:b/>
                <w:noProof/>
                <w:webHidden/>
              </w:rPr>
              <w:tab/>
            </w:r>
            <w:r w:rsidR="00A2100B" w:rsidRPr="004760BD">
              <w:rPr>
                <w:rFonts w:ascii="Palatino Linotype" w:hAnsi="Palatino Linotype"/>
                <w:b/>
                <w:noProof/>
                <w:webHidden/>
              </w:rPr>
              <w:fldChar w:fldCharType="begin"/>
            </w:r>
            <w:r w:rsidR="00A2100B" w:rsidRPr="004760BD">
              <w:rPr>
                <w:rFonts w:ascii="Palatino Linotype" w:hAnsi="Palatino Linotype"/>
                <w:b/>
                <w:noProof/>
                <w:webHidden/>
              </w:rPr>
              <w:instrText xml:space="preserve"> PAGEREF _Toc63949894 \h </w:instrText>
            </w:r>
            <w:r w:rsidR="00A2100B" w:rsidRPr="004760BD">
              <w:rPr>
                <w:rFonts w:ascii="Palatino Linotype" w:hAnsi="Palatino Linotype"/>
                <w:b/>
                <w:noProof/>
                <w:webHidden/>
              </w:rPr>
            </w:r>
            <w:r w:rsidR="00A2100B" w:rsidRPr="004760BD">
              <w:rPr>
                <w:rFonts w:ascii="Palatino Linotype" w:hAnsi="Palatino Linotype"/>
                <w:b/>
                <w:noProof/>
                <w:webHidden/>
              </w:rPr>
              <w:fldChar w:fldCharType="separate"/>
            </w:r>
            <w:r w:rsidR="009820D9" w:rsidRPr="004760BD">
              <w:rPr>
                <w:rFonts w:ascii="Palatino Linotype" w:hAnsi="Palatino Linotype"/>
                <w:b/>
                <w:noProof/>
                <w:webHidden/>
              </w:rPr>
              <w:t>36</w:t>
            </w:r>
            <w:r w:rsidR="00A2100B" w:rsidRPr="004760BD">
              <w:rPr>
                <w:rFonts w:ascii="Palatino Linotype" w:hAnsi="Palatino Linotype"/>
                <w:b/>
                <w:noProof/>
                <w:webHidden/>
              </w:rPr>
              <w:fldChar w:fldCharType="end"/>
            </w:r>
          </w:hyperlink>
        </w:p>
        <w:p w:rsidR="0033763D" w:rsidRPr="004760BD" w:rsidRDefault="0033763D" w:rsidP="009820D9">
          <w:pPr>
            <w:spacing w:after="0" w:line="360" w:lineRule="auto"/>
            <w:ind w:right="332"/>
            <w:rPr>
              <w:rFonts w:ascii="Palatino Linotype" w:hAnsi="Palatino Linotype"/>
            </w:rPr>
          </w:pPr>
          <w:r w:rsidRPr="004760BD">
            <w:rPr>
              <w:rFonts w:ascii="Palatino Linotype" w:hAnsi="Palatino Linotype" w:cstheme="minorHAnsi"/>
              <w:b/>
              <w:bCs/>
              <w:sz w:val="28"/>
              <w:szCs w:val="28"/>
              <w:lang w:val="es-ES"/>
            </w:rPr>
            <w:fldChar w:fldCharType="end"/>
          </w:r>
        </w:p>
      </w:sdtContent>
    </w:sdt>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w:t>
      </w:r>
      <w:r w:rsidR="00EB563E" w:rsidRPr="004760BD">
        <w:rPr>
          <w:rFonts w:ascii="Palatino Linotype" w:eastAsia="MS Mincho" w:hAnsi="Palatino Linotype" w:cs="Times New Roman"/>
          <w:sz w:val="24"/>
          <w:szCs w:val="24"/>
          <w:lang w:val="es-ES_tradnl" w:eastAsia="es-ES"/>
        </w:rPr>
        <w:t xml:space="preserve"> México; de fecha diecisiete (17) de febrero de dos mil veintiuno</w:t>
      </w:r>
      <w:r w:rsidRPr="004760BD">
        <w:rPr>
          <w:rFonts w:ascii="Palatino Linotype" w:eastAsia="MS Mincho" w:hAnsi="Palatino Linotype" w:cs="Times New Roman"/>
          <w:sz w:val="24"/>
          <w:szCs w:val="24"/>
          <w:lang w:val="es-ES_tradnl" w:eastAsia="es-ES"/>
        </w:rPr>
        <w:t>.</w:t>
      </w:r>
    </w:p>
    <w:p w:rsidR="0033763D" w:rsidRPr="004760BD" w:rsidRDefault="0033763D" w:rsidP="009820D9">
      <w:pPr>
        <w:spacing w:after="0" w:line="360" w:lineRule="auto"/>
        <w:ind w:right="332"/>
        <w:jc w:val="both"/>
        <w:rPr>
          <w:rFonts w:ascii="Palatino Linotype" w:eastAsia="MS Mincho" w:hAnsi="Palatino Linotype" w:cs="Times New Roman"/>
          <w:sz w:val="24"/>
          <w:szCs w:val="24"/>
          <w:lang w:val="es-ES_tradnl" w:eastAsia="es-ES"/>
        </w:rPr>
      </w:pPr>
    </w:p>
    <w:p w:rsidR="0033763D" w:rsidRPr="004760BD" w:rsidRDefault="0033763D" w:rsidP="009820D9">
      <w:pPr>
        <w:spacing w:after="0" w:line="360" w:lineRule="auto"/>
        <w:ind w:right="332"/>
        <w:jc w:val="both"/>
        <w:rPr>
          <w:rFonts w:ascii="Palatino Linotype" w:hAnsi="Palatino Linotype"/>
          <w:b/>
        </w:rPr>
      </w:pPr>
      <w:r w:rsidRPr="004760BD">
        <w:rPr>
          <w:rFonts w:ascii="Palatino Linotype" w:eastAsia="MS Mincho" w:hAnsi="Palatino Linotype" w:cs="Times New Roman"/>
          <w:b/>
          <w:sz w:val="24"/>
          <w:szCs w:val="24"/>
          <w:lang w:val="es-ES_tradnl" w:eastAsia="es-ES"/>
        </w:rPr>
        <w:t>VISTO</w:t>
      </w:r>
      <w:r w:rsidRPr="004760BD">
        <w:rPr>
          <w:rFonts w:ascii="Palatino Linotype" w:eastAsia="MS Mincho" w:hAnsi="Palatino Linotype" w:cs="Times New Roman"/>
          <w:sz w:val="24"/>
          <w:szCs w:val="24"/>
          <w:lang w:val="es-ES_tradnl" w:eastAsia="es-ES"/>
        </w:rPr>
        <w:t xml:space="preserve"> el expediente electrónico formado con motivo del recurso de revisión</w:t>
      </w:r>
      <w:r w:rsidRPr="004760BD">
        <w:rPr>
          <w:rFonts w:ascii="Palatino Linotype" w:eastAsia="MS Mincho" w:hAnsi="Palatino Linotype" w:cs="Arial"/>
          <w:b/>
          <w:bCs/>
          <w:sz w:val="24"/>
          <w:szCs w:val="24"/>
          <w:lang w:val="es-ES_tradnl" w:eastAsia="es-ES"/>
        </w:rPr>
        <w:t xml:space="preserve">, </w:t>
      </w:r>
      <w:r w:rsidR="00EB563E" w:rsidRPr="004760BD">
        <w:rPr>
          <w:rFonts w:ascii="Palatino Linotype" w:hAnsi="Palatino Linotype" w:cs="Arial"/>
          <w:b/>
          <w:bCs/>
          <w:sz w:val="24"/>
          <w:lang w:eastAsia="es-MX"/>
        </w:rPr>
        <w:t>06178</w:t>
      </w:r>
      <w:r w:rsidRPr="004760BD">
        <w:rPr>
          <w:rFonts w:ascii="Palatino Linotype" w:hAnsi="Palatino Linotype" w:cs="Arial"/>
          <w:b/>
          <w:bCs/>
          <w:sz w:val="24"/>
          <w:lang w:eastAsia="es-MX"/>
        </w:rPr>
        <w:t xml:space="preserve">/INFOEM/IP/RR/2020 </w:t>
      </w:r>
      <w:r w:rsidRPr="004760BD">
        <w:rPr>
          <w:rFonts w:ascii="Palatino Linotype" w:eastAsia="MS Mincho" w:hAnsi="Palatino Linotype" w:cs="Times New Roman"/>
          <w:sz w:val="24"/>
          <w:szCs w:val="24"/>
          <w:lang w:val="es-ES_tradnl" w:eastAsia="es-ES"/>
        </w:rPr>
        <w:t>promovido</w:t>
      </w:r>
      <w:r w:rsidR="004328EE" w:rsidRPr="004760BD">
        <w:rPr>
          <w:rFonts w:ascii="Palatino Linotype" w:eastAsia="MS Mincho" w:hAnsi="Palatino Linotype" w:cs="Times New Roman"/>
          <w:sz w:val="24"/>
          <w:szCs w:val="24"/>
          <w:lang w:val="es-ES_tradnl" w:eastAsia="es-ES"/>
        </w:rPr>
        <w:t xml:space="preserve"> por</w:t>
      </w:r>
      <w:r w:rsidRPr="004760BD">
        <w:rPr>
          <w:rFonts w:ascii="Palatino Linotype" w:eastAsia="MS Mincho" w:hAnsi="Palatino Linotype" w:cs="Times New Roman"/>
          <w:sz w:val="24"/>
          <w:szCs w:val="24"/>
          <w:lang w:val="es-ES_tradnl" w:eastAsia="es-ES"/>
        </w:rPr>
        <w:t xml:space="preserve"> </w:t>
      </w:r>
      <w:r w:rsidR="009A7C59" w:rsidRPr="009A7C59">
        <w:rPr>
          <w:rFonts w:ascii="Palatino Linotype" w:eastAsia="MS Mincho" w:hAnsi="Palatino Linotype" w:cs="Times New Roman"/>
          <w:b/>
          <w:sz w:val="24"/>
          <w:szCs w:val="24"/>
          <w:highlight w:val="black"/>
          <w:lang w:val="es-ES_tradnl" w:eastAsia="es-ES"/>
        </w:rPr>
        <w:t>--------------------------------</w:t>
      </w:r>
      <w:r w:rsidR="004328EE" w:rsidRPr="004760BD">
        <w:rPr>
          <w:rFonts w:ascii="Palatino Linotype" w:eastAsia="MS Mincho" w:hAnsi="Palatino Linotype" w:cs="Times New Roman"/>
          <w:sz w:val="24"/>
          <w:szCs w:val="24"/>
          <w:lang w:val="es-ES_tradnl" w:eastAsia="es-ES"/>
        </w:rPr>
        <w:t xml:space="preserve">, </w:t>
      </w:r>
      <w:r w:rsidR="004328EE" w:rsidRPr="004760BD">
        <w:rPr>
          <w:rFonts w:ascii="Palatino Linotype" w:hAnsi="Palatino Linotype"/>
          <w:sz w:val="24"/>
          <w:szCs w:val="24"/>
        </w:rPr>
        <w:t>quien en lo</w:t>
      </w:r>
      <w:r w:rsidRPr="004760BD">
        <w:rPr>
          <w:rFonts w:ascii="Palatino Linotype" w:hAnsi="Palatino Linotype"/>
          <w:sz w:val="24"/>
          <w:szCs w:val="24"/>
        </w:rPr>
        <w:t xml:space="preserve"> sucesivo será identificado como</w:t>
      </w:r>
      <w:r w:rsidRPr="004760BD">
        <w:rPr>
          <w:rFonts w:ascii="Palatino Linotype" w:hAnsi="Palatino Linotype"/>
          <w:b/>
          <w:sz w:val="24"/>
          <w:szCs w:val="24"/>
        </w:rPr>
        <w:t xml:space="preserve"> </w:t>
      </w:r>
      <w:r w:rsidRPr="004760BD">
        <w:rPr>
          <w:rFonts w:ascii="Palatino Linotype" w:eastAsia="MS Mincho" w:hAnsi="Palatino Linotype" w:cs="Arial"/>
          <w:b/>
          <w:sz w:val="24"/>
          <w:szCs w:val="24"/>
          <w:lang w:val="es-ES_tradnl" w:eastAsia="es-ES"/>
        </w:rPr>
        <w:t>RECURRENTE</w:t>
      </w:r>
      <w:r w:rsidRPr="004760BD">
        <w:rPr>
          <w:rFonts w:ascii="Palatino Linotype" w:eastAsia="MS Mincho" w:hAnsi="Palatino Linotype" w:cs="Arial"/>
          <w:sz w:val="24"/>
          <w:szCs w:val="24"/>
          <w:lang w:val="es-ES_tradnl" w:eastAsia="es-ES"/>
        </w:rPr>
        <w:t xml:space="preserve">, en contra de la respuesta del </w:t>
      </w:r>
      <w:r w:rsidR="004328EE" w:rsidRPr="004760BD">
        <w:rPr>
          <w:rFonts w:ascii="Palatino Linotype" w:eastAsia="MS Mincho" w:hAnsi="Palatino Linotype" w:cs="Arial"/>
          <w:b/>
          <w:sz w:val="24"/>
          <w:szCs w:val="24"/>
          <w:lang w:val="es-ES_tradnl" w:eastAsia="es-ES"/>
        </w:rPr>
        <w:t>Ayuntamiento de Chimalhuacán</w:t>
      </w:r>
      <w:r w:rsidRPr="004760BD">
        <w:rPr>
          <w:rFonts w:ascii="Palatino Linotype" w:eastAsia="MS Mincho" w:hAnsi="Palatino Linotype" w:cs="Arial"/>
          <w:b/>
          <w:sz w:val="24"/>
          <w:szCs w:val="24"/>
          <w:lang w:val="es-ES_tradnl" w:eastAsia="es-ES"/>
        </w:rPr>
        <w:t xml:space="preserve"> </w:t>
      </w:r>
      <w:r w:rsidRPr="004760BD">
        <w:rPr>
          <w:rFonts w:ascii="Palatino Linotype" w:eastAsia="MS Mincho" w:hAnsi="Palatino Linotype" w:cs="Times New Roman"/>
          <w:sz w:val="24"/>
          <w:szCs w:val="24"/>
          <w:lang w:val="es-ES_tradnl" w:eastAsia="es-ES"/>
        </w:rPr>
        <w:t>en lo sucesivo el</w:t>
      </w:r>
      <w:r w:rsidRPr="004760BD">
        <w:rPr>
          <w:rFonts w:ascii="Palatino Linotype" w:eastAsia="MS Mincho" w:hAnsi="Palatino Linotype" w:cs="Times New Roman"/>
          <w:b/>
          <w:sz w:val="24"/>
          <w:szCs w:val="24"/>
          <w:lang w:val="es-ES_tradnl" w:eastAsia="es-ES"/>
        </w:rPr>
        <w:t xml:space="preserve"> SUJETO OBLIGADO</w:t>
      </w:r>
      <w:r w:rsidRPr="004760BD">
        <w:rPr>
          <w:rFonts w:ascii="Palatino Linotype" w:eastAsia="MS Mincho" w:hAnsi="Palatino Linotype" w:cs="Times New Roman"/>
          <w:bCs/>
          <w:sz w:val="24"/>
          <w:szCs w:val="24"/>
          <w:lang w:val="es-ES_tradnl" w:eastAsia="es-ES"/>
        </w:rPr>
        <w:t>,</w:t>
      </w:r>
      <w:r w:rsidRPr="004760BD">
        <w:rPr>
          <w:rFonts w:ascii="Palatino Linotype" w:eastAsia="MS Mincho" w:hAnsi="Palatino Linotype" w:cs="Times New Roman"/>
          <w:b/>
          <w:sz w:val="24"/>
          <w:szCs w:val="24"/>
          <w:lang w:val="es-ES_tradnl" w:eastAsia="es-ES"/>
        </w:rPr>
        <w:t xml:space="preserve"> </w:t>
      </w:r>
      <w:r w:rsidRPr="004760BD">
        <w:rPr>
          <w:rFonts w:ascii="Palatino Linotype" w:eastAsia="MS Mincho" w:hAnsi="Palatino Linotype" w:cs="Times New Roman"/>
          <w:sz w:val="24"/>
          <w:szCs w:val="24"/>
          <w:lang w:val="es-ES_tradnl" w:eastAsia="es-ES"/>
        </w:rPr>
        <w:t>se procede a dictar la presente resolución, con base en los siguientes:</w:t>
      </w:r>
    </w:p>
    <w:p w:rsidR="0033763D" w:rsidRPr="004760BD" w:rsidRDefault="0033763D" w:rsidP="009820D9">
      <w:pPr>
        <w:spacing w:after="0" w:line="360" w:lineRule="auto"/>
        <w:ind w:right="332"/>
        <w:jc w:val="both"/>
        <w:rPr>
          <w:rFonts w:ascii="Palatino Linotype" w:eastAsia="MS Mincho" w:hAnsi="Palatino Linotype" w:cs="Times New Roman"/>
          <w:b/>
          <w:sz w:val="24"/>
          <w:szCs w:val="24"/>
          <w:lang w:val="es-ES_tradnl" w:eastAsia="es-ES"/>
        </w:rPr>
      </w:pPr>
    </w:p>
    <w:p w:rsidR="0033763D" w:rsidRPr="004760BD" w:rsidRDefault="0033763D" w:rsidP="009820D9">
      <w:pPr>
        <w:keepNext/>
        <w:keepLines/>
        <w:spacing w:after="0" w:line="360" w:lineRule="auto"/>
        <w:ind w:right="332"/>
        <w:jc w:val="center"/>
        <w:outlineLvl w:val="0"/>
        <w:rPr>
          <w:rFonts w:ascii="Palatino Linotype" w:eastAsia="MS Gothic" w:hAnsi="Palatino Linotype" w:cs="Times New Roman"/>
          <w:b/>
          <w:sz w:val="24"/>
          <w:szCs w:val="32"/>
          <w:lang w:val="de-DE"/>
        </w:rPr>
      </w:pPr>
      <w:bookmarkStart w:id="0" w:name="_Toc63949881"/>
      <w:r w:rsidRPr="004760BD">
        <w:rPr>
          <w:rFonts w:ascii="Palatino Linotype" w:eastAsia="MS Gothic" w:hAnsi="Palatino Linotype" w:cs="Times New Roman"/>
          <w:b/>
          <w:sz w:val="24"/>
          <w:szCs w:val="32"/>
          <w:lang w:val="de-DE"/>
        </w:rPr>
        <w:t>A N T E C E D E N T E S</w:t>
      </w:r>
      <w:bookmarkEnd w:id="0"/>
    </w:p>
    <w:p w:rsidR="0033763D" w:rsidRPr="004760BD" w:rsidRDefault="0033763D" w:rsidP="009820D9">
      <w:pPr>
        <w:spacing w:after="0" w:line="360" w:lineRule="auto"/>
        <w:ind w:right="332"/>
        <w:rPr>
          <w:rFonts w:ascii="Palatino Linotype" w:hAnsi="Palatino Linotype"/>
          <w:lang w:val="de-DE"/>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4760BD">
        <w:rPr>
          <w:rFonts w:ascii="Palatino Linotype" w:eastAsia="Calibri" w:hAnsi="Palatino Linotype" w:cs="Arial"/>
          <w:sz w:val="24"/>
          <w:szCs w:val="24"/>
          <w:lang w:val="es-ES" w:eastAsia="es-ES"/>
        </w:rPr>
        <w:t xml:space="preserve">El día </w:t>
      </w:r>
      <w:r w:rsidR="004328EE" w:rsidRPr="004760BD">
        <w:rPr>
          <w:rFonts w:ascii="Palatino Linotype" w:eastAsia="Calibri" w:hAnsi="Palatino Linotype" w:cs="Arial"/>
          <w:sz w:val="24"/>
          <w:szCs w:val="24"/>
          <w:lang w:val="es-ES" w:eastAsia="es-ES"/>
        </w:rPr>
        <w:t>diez (10) de noviembre</w:t>
      </w:r>
      <w:r w:rsidRPr="004760BD">
        <w:rPr>
          <w:rFonts w:ascii="Palatino Linotype" w:eastAsia="Calibri" w:hAnsi="Palatino Linotype" w:cs="Arial"/>
          <w:sz w:val="24"/>
          <w:szCs w:val="24"/>
          <w:lang w:val="es-ES" w:eastAsia="es-ES"/>
        </w:rPr>
        <w:t xml:space="preserve"> de dos mil veinte,</w:t>
      </w:r>
      <w:r w:rsidRPr="004760BD">
        <w:rPr>
          <w:rFonts w:ascii="Palatino Linotype" w:eastAsia="Calibri" w:hAnsi="Palatino Linotype" w:cs="Times New Roman"/>
          <w:sz w:val="24"/>
          <w:szCs w:val="24"/>
          <w:lang w:val="es-ES" w:eastAsia="es-ES"/>
        </w:rPr>
        <w:t xml:space="preserve"> se presentó </w:t>
      </w:r>
      <w:r w:rsidRPr="004760BD">
        <w:rPr>
          <w:rFonts w:ascii="Palatino Linotype" w:eastAsia="Calibri" w:hAnsi="Palatino Linotype" w:cs="Arial"/>
          <w:sz w:val="24"/>
          <w:szCs w:val="24"/>
          <w:lang w:val="es-ES" w:eastAsia="es-ES"/>
        </w:rPr>
        <w:t xml:space="preserve">ante el </w:t>
      </w:r>
      <w:r w:rsidRPr="004760BD">
        <w:rPr>
          <w:rFonts w:ascii="Palatino Linotype" w:eastAsia="Calibri" w:hAnsi="Palatino Linotype" w:cs="Arial"/>
          <w:b/>
          <w:sz w:val="24"/>
          <w:szCs w:val="24"/>
          <w:lang w:val="es-ES" w:eastAsia="es-ES"/>
        </w:rPr>
        <w:t>SUJETO OBLIGADO</w:t>
      </w:r>
      <w:r w:rsidRPr="004760BD">
        <w:rPr>
          <w:rFonts w:ascii="Palatino Linotype" w:eastAsia="Calibri" w:hAnsi="Palatino Linotype" w:cs="Arial"/>
          <w:sz w:val="24"/>
          <w:szCs w:val="24"/>
          <w:lang w:val="es-ES_tradnl" w:eastAsia="es-ES"/>
        </w:rPr>
        <w:t xml:space="preserve"> vía </w:t>
      </w:r>
      <w:r w:rsidRPr="004760BD">
        <w:rPr>
          <w:rFonts w:ascii="Palatino Linotype" w:eastAsia="Calibri" w:hAnsi="Palatino Linotype" w:cs="Arial"/>
          <w:sz w:val="24"/>
          <w:szCs w:val="24"/>
          <w:lang w:val="es-ES" w:eastAsia="es-ES"/>
        </w:rPr>
        <w:t xml:space="preserve">Sistema de Acceso a la Información Mexiquense </w:t>
      </w:r>
      <w:r w:rsidRPr="004760BD">
        <w:rPr>
          <w:rFonts w:ascii="Palatino Linotype" w:eastAsia="Calibri" w:hAnsi="Palatino Linotype" w:cs="Arial"/>
          <w:b/>
          <w:sz w:val="24"/>
          <w:szCs w:val="24"/>
          <w:lang w:val="es-ES" w:eastAsia="es-ES"/>
        </w:rPr>
        <w:t>SAIMEX</w:t>
      </w:r>
      <w:r w:rsidRPr="004760BD">
        <w:rPr>
          <w:rFonts w:ascii="Palatino Linotype" w:eastAsia="Calibri" w:hAnsi="Palatino Linotype" w:cs="Arial"/>
          <w:sz w:val="24"/>
          <w:szCs w:val="24"/>
          <w:lang w:val="es-ES" w:eastAsia="es-ES"/>
        </w:rPr>
        <w:t xml:space="preserve">, la solicitud de información pública registrada con el </w:t>
      </w:r>
      <w:proofErr w:type="gramStart"/>
      <w:r w:rsidRPr="004760BD">
        <w:rPr>
          <w:rFonts w:ascii="Palatino Linotype" w:eastAsia="Calibri" w:hAnsi="Palatino Linotype" w:cs="Arial"/>
          <w:sz w:val="24"/>
          <w:szCs w:val="24"/>
          <w:lang w:val="es-ES" w:eastAsia="es-ES"/>
        </w:rPr>
        <w:t xml:space="preserve">número </w:t>
      </w:r>
      <w:r w:rsidRPr="004760BD">
        <w:rPr>
          <w:rFonts w:ascii="Palatino Linotype" w:eastAsia="Calibri" w:hAnsi="Palatino Linotype" w:cs="Arial"/>
          <w:b/>
          <w:bCs/>
          <w:sz w:val="24"/>
          <w:szCs w:val="24"/>
          <w:lang w:eastAsia="es-ES"/>
        </w:rPr>
        <w:t> </w:t>
      </w:r>
      <w:r w:rsidR="004328EE" w:rsidRPr="004760BD">
        <w:rPr>
          <w:rFonts w:ascii="Palatino Linotype" w:eastAsia="Calibri" w:hAnsi="Palatino Linotype" w:cs="Arial"/>
          <w:b/>
          <w:bCs/>
          <w:sz w:val="24"/>
          <w:szCs w:val="24"/>
          <w:lang w:eastAsia="es-ES"/>
        </w:rPr>
        <w:t>00598</w:t>
      </w:r>
      <w:proofErr w:type="gramEnd"/>
      <w:r w:rsidR="004328EE" w:rsidRPr="004760BD">
        <w:rPr>
          <w:rFonts w:ascii="Palatino Linotype" w:eastAsia="Calibri" w:hAnsi="Palatino Linotype" w:cs="Arial"/>
          <w:b/>
          <w:bCs/>
          <w:sz w:val="24"/>
          <w:szCs w:val="24"/>
          <w:lang w:eastAsia="es-ES"/>
        </w:rPr>
        <w:t xml:space="preserve">/CHIMALHU/IP/2020 </w:t>
      </w:r>
      <w:r w:rsidRPr="004760BD">
        <w:rPr>
          <w:rFonts w:ascii="Palatino Linotype" w:eastAsia="Calibri" w:hAnsi="Palatino Linotype" w:cs="Arial"/>
          <w:sz w:val="24"/>
          <w:szCs w:val="24"/>
          <w:lang w:val="es-ES" w:eastAsia="es-ES"/>
        </w:rPr>
        <w:t>mediante la cual solicitó:</w:t>
      </w:r>
    </w:p>
    <w:p w:rsidR="0033763D" w:rsidRPr="004760BD" w:rsidRDefault="0033763D" w:rsidP="009820D9">
      <w:pPr>
        <w:spacing w:after="0" w:line="360" w:lineRule="auto"/>
        <w:ind w:left="426" w:right="332"/>
        <w:contextualSpacing/>
        <w:jc w:val="both"/>
        <w:rPr>
          <w:rFonts w:ascii="Palatino Linotype" w:eastAsia="Calibri" w:hAnsi="Palatino Linotype" w:cs="Arial"/>
          <w:sz w:val="24"/>
          <w:szCs w:val="24"/>
          <w:lang w:val="es-ES" w:eastAsia="es-ES"/>
        </w:rPr>
      </w:pPr>
    </w:p>
    <w:p w:rsidR="0033763D" w:rsidRPr="004760BD" w:rsidRDefault="0033763D" w:rsidP="009820D9">
      <w:pPr>
        <w:spacing w:after="0" w:line="360" w:lineRule="auto"/>
        <w:ind w:left="567" w:right="332"/>
        <w:contextualSpacing/>
        <w:jc w:val="both"/>
        <w:rPr>
          <w:rFonts w:ascii="Palatino Linotype" w:hAnsi="Palatino Linotype"/>
          <w:i/>
          <w:iCs/>
          <w:color w:val="000000"/>
        </w:rPr>
      </w:pPr>
      <w:r w:rsidRPr="004760BD">
        <w:rPr>
          <w:rFonts w:ascii="Palatino Linotype" w:hAnsi="Palatino Linotype"/>
          <w:i/>
          <w:iCs/>
          <w:color w:val="000000"/>
        </w:rPr>
        <w:t>“</w:t>
      </w:r>
      <w:r w:rsidR="004328EE" w:rsidRPr="004760BD">
        <w:rPr>
          <w:rFonts w:ascii="Palatino Linotype" w:hAnsi="Palatino Linotype"/>
          <w:i/>
          <w:color w:val="000000"/>
        </w:rPr>
        <w:t xml:space="preserve">solicito comprobante de pagos o facturas generadas en el periodo de 2016 al presente año, por el ayuntamiento de Chimalhuacán, por motivo de </w:t>
      </w:r>
      <w:proofErr w:type="gramStart"/>
      <w:r w:rsidR="004328EE" w:rsidRPr="004760BD">
        <w:rPr>
          <w:rFonts w:ascii="Palatino Linotype" w:hAnsi="Palatino Linotype"/>
          <w:i/>
          <w:color w:val="000000"/>
        </w:rPr>
        <w:t>defunción</w:t>
      </w:r>
      <w:proofErr w:type="gramEnd"/>
      <w:r w:rsidR="004328EE" w:rsidRPr="004760BD">
        <w:rPr>
          <w:rFonts w:ascii="Palatino Linotype" w:hAnsi="Palatino Linotype"/>
          <w:i/>
          <w:color w:val="000000"/>
        </w:rPr>
        <w:t xml:space="preserve"> así como pago de finiquito o liquidación a trabajadores sindicalizados del SUTEYM sección Chimalhuacán, en versión </w:t>
      </w:r>
      <w:proofErr w:type="spellStart"/>
      <w:r w:rsidR="004328EE" w:rsidRPr="004760BD">
        <w:rPr>
          <w:rFonts w:ascii="Palatino Linotype" w:hAnsi="Palatino Linotype"/>
          <w:i/>
          <w:color w:val="000000"/>
        </w:rPr>
        <w:t>publica</w:t>
      </w:r>
      <w:proofErr w:type="spellEnd"/>
      <w:r w:rsidR="004328EE" w:rsidRPr="004760BD">
        <w:rPr>
          <w:rFonts w:ascii="Palatino Linotype" w:hAnsi="Palatino Linotype"/>
          <w:i/>
          <w:color w:val="000000"/>
        </w:rPr>
        <w:t>.</w:t>
      </w:r>
      <w:r w:rsidRPr="004760BD">
        <w:rPr>
          <w:rFonts w:ascii="Palatino Linotype" w:hAnsi="Palatino Linotype"/>
          <w:i/>
          <w:iCs/>
          <w:color w:val="000000"/>
        </w:rPr>
        <w:t>” (Sic)</w:t>
      </w:r>
    </w:p>
    <w:p w:rsidR="0033763D" w:rsidRPr="004760BD" w:rsidRDefault="0033763D" w:rsidP="009820D9">
      <w:pPr>
        <w:spacing w:after="0" w:line="360" w:lineRule="auto"/>
        <w:ind w:right="332"/>
        <w:contextualSpacing/>
        <w:jc w:val="both"/>
        <w:rPr>
          <w:rFonts w:ascii="Palatino Linotype" w:eastAsia="Times New Roman" w:hAnsi="Palatino Linotype" w:cs="Arial"/>
          <w:sz w:val="24"/>
          <w:szCs w:val="24"/>
          <w:lang w:val="es-ES"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Theme="minorEastAsia" w:hAnsi="Palatino Linotype" w:cs="Arial"/>
          <w:i/>
          <w:sz w:val="24"/>
          <w:szCs w:val="24"/>
          <w:lang w:val="es-ES_tradnl" w:eastAsia="es-ES"/>
        </w:rPr>
      </w:pPr>
      <w:r w:rsidRPr="004760B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760BD">
        <w:rPr>
          <w:rFonts w:ascii="Palatino Linotype" w:eastAsiaTheme="minorEastAsia" w:hAnsi="Palatino Linotype" w:cs="Arial"/>
          <w:b/>
          <w:sz w:val="24"/>
          <w:szCs w:val="24"/>
          <w:lang w:val="es-ES_tradnl" w:eastAsia="es-ES"/>
        </w:rPr>
        <w:t xml:space="preserve">(SAIMEX). </w:t>
      </w:r>
    </w:p>
    <w:p w:rsidR="0033763D" w:rsidRPr="004760BD" w:rsidRDefault="0033763D" w:rsidP="009820D9">
      <w:pPr>
        <w:spacing w:after="0" w:line="360" w:lineRule="auto"/>
        <w:ind w:right="332"/>
        <w:contextualSpacing/>
        <w:jc w:val="both"/>
        <w:rPr>
          <w:rFonts w:ascii="Palatino Linotype" w:eastAsiaTheme="minorEastAsia" w:hAnsi="Palatino Linotype" w:cs="Arial"/>
          <w:i/>
          <w:sz w:val="24"/>
          <w:szCs w:val="24"/>
          <w:lang w:val="es-ES_tradnl"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Theme="minorEastAsia" w:hAnsi="Palatino Linotype" w:cs="Arial"/>
          <w:i/>
          <w:sz w:val="24"/>
          <w:szCs w:val="24"/>
          <w:lang w:val="es-ES_tradnl" w:eastAsia="es-ES"/>
        </w:rPr>
      </w:pPr>
      <w:r w:rsidRPr="004760BD">
        <w:rPr>
          <w:rFonts w:ascii="Palatino Linotype" w:eastAsiaTheme="minorEastAsia" w:hAnsi="Palatino Linotype" w:cs="Arial"/>
          <w:sz w:val="24"/>
          <w:szCs w:val="24"/>
          <w:lang w:val="es-ES_tradnl" w:eastAsia="es-ES"/>
        </w:rPr>
        <w:lastRenderedPageBreak/>
        <w:t xml:space="preserve">De las constancias que obran en el expediente electrónico SAIMEX se observa </w:t>
      </w:r>
      <w:proofErr w:type="gramStart"/>
      <w:r w:rsidRPr="004760BD">
        <w:rPr>
          <w:rFonts w:ascii="Palatino Linotype" w:eastAsiaTheme="minorEastAsia" w:hAnsi="Palatino Linotype" w:cs="Arial"/>
          <w:sz w:val="24"/>
          <w:szCs w:val="24"/>
          <w:lang w:val="es-ES_tradnl" w:eastAsia="es-ES"/>
        </w:rPr>
        <w:t>que  el</w:t>
      </w:r>
      <w:proofErr w:type="gramEnd"/>
      <w:r w:rsidRPr="004760BD">
        <w:rPr>
          <w:rFonts w:ascii="Palatino Linotype" w:eastAsiaTheme="minorEastAsia" w:hAnsi="Palatino Linotype" w:cs="Arial"/>
          <w:sz w:val="24"/>
          <w:szCs w:val="24"/>
          <w:lang w:val="es-ES_tradnl" w:eastAsia="es-ES"/>
        </w:rPr>
        <w:t xml:space="preserve"> </w:t>
      </w:r>
      <w:r w:rsidR="004328EE" w:rsidRPr="004760BD">
        <w:rPr>
          <w:rFonts w:ascii="Palatino Linotype" w:eastAsiaTheme="minorEastAsia" w:hAnsi="Palatino Linotype" w:cs="Arial"/>
          <w:sz w:val="24"/>
          <w:szCs w:val="24"/>
          <w:lang w:val="es-ES_tradnl" w:eastAsia="es-ES"/>
        </w:rPr>
        <w:t>doce (12) de noviembre se realizó</w:t>
      </w:r>
      <w:r w:rsidRPr="004760BD">
        <w:rPr>
          <w:rFonts w:ascii="Palatino Linotype" w:eastAsiaTheme="minorEastAsia" w:hAnsi="Palatino Linotype" w:cs="Arial"/>
          <w:sz w:val="24"/>
          <w:szCs w:val="24"/>
          <w:lang w:val="es-ES_tradnl" w:eastAsia="es-ES"/>
        </w:rPr>
        <w:t xml:space="preserve"> </w:t>
      </w:r>
      <w:r w:rsidR="004328EE" w:rsidRPr="004760BD">
        <w:rPr>
          <w:rFonts w:ascii="Palatino Linotype" w:eastAsiaTheme="minorEastAsia" w:hAnsi="Palatino Linotype" w:cs="Arial"/>
          <w:sz w:val="24"/>
          <w:szCs w:val="24"/>
          <w:lang w:val="es-ES_tradnl" w:eastAsia="es-ES"/>
        </w:rPr>
        <w:t>un requerimiento al servidor público habilitado, mismo que fue contestado el treinta (30) de noviembre de dos mil veinte.</w:t>
      </w:r>
      <w:r w:rsidRPr="004760BD">
        <w:rPr>
          <w:rFonts w:ascii="Palatino Linotype" w:eastAsiaTheme="minorEastAsia" w:hAnsi="Palatino Linotype" w:cs="Arial"/>
          <w:sz w:val="24"/>
          <w:szCs w:val="24"/>
          <w:lang w:val="es-ES_tradnl" w:eastAsia="es-ES"/>
        </w:rPr>
        <w:t xml:space="preserve">  </w:t>
      </w:r>
    </w:p>
    <w:p w:rsidR="0033763D" w:rsidRPr="004760BD" w:rsidRDefault="0033763D" w:rsidP="009820D9">
      <w:pPr>
        <w:spacing w:after="0" w:line="360" w:lineRule="auto"/>
        <w:ind w:right="332"/>
        <w:contextualSpacing/>
        <w:jc w:val="both"/>
        <w:rPr>
          <w:rFonts w:ascii="Palatino Linotype" w:eastAsia="MS Mincho" w:hAnsi="Palatino Linotype" w:cs="Arial"/>
          <w:sz w:val="24"/>
          <w:lang w:val="es-ES_tradnl" w:eastAsia="es-ES"/>
        </w:rPr>
      </w:pPr>
    </w:p>
    <w:p w:rsidR="0033763D" w:rsidRPr="004760BD" w:rsidRDefault="004328EE" w:rsidP="009820D9">
      <w:pPr>
        <w:numPr>
          <w:ilvl w:val="0"/>
          <w:numId w:val="1"/>
        </w:numPr>
        <w:spacing w:after="0" w:line="360" w:lineRule="auto"/>
        <w:ind w:left="0" w:right="332" w:firstLine="0"/>
        <w:contextualSpacing/>
        <w:jc w:val="both"/>
        <w:rPr>
          <w:rFonts w:ascii="Palatino Linotype" w:eastAsia="MS Mincho" w:hAnsi="Palatino Linotype" w:cs="Arial"/>
          <w:sz w:val="24"/>
          <w:lang w:val="es-ES_tradnl" w:eastAsia="es-ES"/>
        </w:rPr>
      </w:pPr>
      <w:r w:rsidRPr="004760BD">
        <w:rPr>
          <w:rFonts w:ascii="Palatino Linotype" w:eastAsia="Calibri" w:hAnsi="Palatino Linotype" w:cs="Arial"/>
          <w:sz w:val="24"/>
          <w:szCs w:val="24"/>
          <w:lang w:val="es-ES" w:eastAsia="es-ES"/>
        </w:rPr>
        <w:t xml:space="preserve"> En fecha</w:t>
      </w:r>
      <w:r w:rsidR="0033763D" w:rsidRPr="004760BD">
        <w:rPr>
          <w:rFonts w:ascii="Palatino Linotype" w:eastAsia="Calibri" w:hAnsi="Palatino Linotype" w:cs="Arial"/>
          <w:sz w:val="24"/>
          <w:szCs w:val="24"/>
          <w:lang w:val="es-ES" w:eastAsia="es-ES"/>
        </w:rPr>
        <w:t xml:space="preserve"> </w:t>
      </w:r>
      <w:r w:rsidRPr="004760BD">
        <w:rPr>
          <w:rFonts w:ascii="Palatino Linotype" w:eastAsia="Calibri" w:hAnsi="Palatino Linotype" w:cs="Arial"/>
          <w:sz w:val="24"/>
          <w:szCs w:val="24"/>
          <w:lang w:val="es-ES" w:eastAsia="es-ES"/>
        </w:rPr>
        <w:t>diez (10) de diciembre el</w:t>
      </w:r>
      <w:r w:rsidRPr="004760BD">
        <w:rPr>
          <w:rFonts w:ascii="Palatino Linotype" w:eastAsia="Calibri" w:hAnsi="Palatino Linotype" w:cs="Arial"/>
          <w:b/>
          <w:sz w:val="24"/>
          <w:szCs w:val="24"/>
          <w:lang w:val="es-ES" w:eastAsia="es-ES"/>
        </w:rPr>
        <w:t xml:space="preserve"> SUJETO OBLIGADO </w:t>
      </w:r>
      <w:r w:rsidRPr="004760BD">
        <w:rPr>
          <w:rFonts w:ascii="Palatino Linotype" w:eastAsia="Calibri" w:hAnsi="Palatino Linotype" w:cs="Arial"/>
          <w:sz w:val="24"/>
          <w:szCs w:val="24"/>
          <w:lang w:val="es-ES" w:eastAsia="es-ES"/>
        </w:rPr>
        <w:t>dio respuesta a la solicitud de información en los siguientes términos</w:t>
      </w:r>
      <w:r w:rsidR="0033763D" w:rsidRPr="004760BD">
        <w:rPr>
          <w:rFonts w:ascii="Palatino Linotype" w:eastAsia="Calibri" w:hAnsi="Palatino Linotype" w:cs="Arial"/>
          <w:sz w:val="24"/>
          <w:szCs w:val="24"/>
          <w:lang w:val="es-ES" w:eastAsia="es-ES"/>
        </w:rPr>
        <w:t xml:space="preserve">: </w:t>
      </w:r>
    </w:p>
    <w:p w:rsidR="0033763D" w:rsidRPr="004760BD" w:rsidRDefault="0033763D" w:rsidP="009820D9">
      <w:pPr>
        <w:spacing w:after="0" w:line="360" w:lineRule="auto"/>
        <w:ind w:right="332"/>
        <w:contextualSpacing/>
        <w:jc w:val="both"/>
        <w:rPr>
          <w:rFonts w:ascii="Palatino Linotype" w:eastAsia="MS Mincho" w:hAnsi="Palatino Linotype" w:cs="Arial"/>
          <w:sz w:val="24"/>
          <w:lang w:val="es-ES_tradnl" w:eastAsia="es-ES"/>
        </w:rPr>
      </w:pPr>
    </w:p>
    <w:tbl>
      <w:tblPr>
        <w:tblW w:w="7806" w:type="dxa"/>
        <w:jc w:val="center"/>
        <w:tblCellSpacing w:w="0" w:type="dxa"/>
        <w:tblCellMar>
          <w:left w:w="0" w:type="dxa"/>
          <w:right w:w="0" w:type="dxa"/>
        </w:tblCellMar>
        <w:tblLook w:val="04A0" w:firstRow="1" w:lastRow="0" w:firstColumn="1" w:lastColumn="0" w:noHBand="0" w:noVBand="1"/>
      </w:tblPr>
      <w:tblGrid>
        <w:gridCol w:w="7806"/>
      </w:tblGrid>
      <w:tr w:rsidR="004328EE" w:rsidRPr="004760BD" w:rsidTr="00CA1283">
        <w:trPr>
          <w:trHeight w:val="300"/>
          <w:tblCellSpacing w:w="0" w:type="dxa"/>
          <w:jc w:val="center"/>
        </w:trPr>
        <w:tc>
          <w:tcPr>
            <w:tcW w:w="7806" w:type="dxa"/>
            <w:vAlign w:val="center"/>
            <w:hideMark/>
          </w:tcPr>
          <w:p w:rsidR="004328EE" w:rsidRPr="004760BD" w:rsidRDefault="004328EE" w:rsidP="009820D9">
            <w:pPr>
              <w:jc w:val="right"/>
              <w:rPr>
                <w:rFonts w:ascii="Palatino Linotype" w:hAnsi="Palatino Linotype"/>
                <w:i/>
              </w:rPr>
            </w:pPr>
            <w:r w:rsidRPr="004760BD">
              <w:rPr>
                <w:rFonts w:ascii="Palatino Linotype" w:hAnsi="Palatino Linotype"/>
                <w:i/>
                <w:szCs w:val="18"/>
              </w:rPr>
              <w:t xml:space="preserve">Chimalhuacán, México a 03 de </w:t>
            </w:r>
            <w:proofErr w:type="gramStart"/>
            <w:r w:rsidRPr="004760BD">
              <w:rPr>
                <w:rFonts w:ascii="Palatino Linotype" w:hAnsi="Palatino Linotype"/>
                <w:i/>
                <w:szCs w:val="18"/>
              </w:rPr>
              <w:t>Diciembre</w:t>
            </w:r>
            <w:proofErr w:type="gramEnd"/>
            <w:r w:rsidRPr="004760BD">
              <w:rPr>
                <w:rFonts w:ascii="Palatino Linotype" w:hAnsi="Palatino Linotype"/>
                <w:i/>
                <w:szCs w:val="18"/>
              </w:rPr>
              <w:t xml:space="preserve"> de 2020</w:t>
            </w:r>
          </w:p>
        </w:tc>
      </w:tr>
      <w:tr w:rsidR="004328EE" w:rsidRPr="004760BD" w:rsidTr="00CA1283">
        <w:trPr>
          <w:trHeight w:val="300"/>
          <w:tblCellSpacing w:w="0" w:type="dxa"/>
          <w:jc w:val="center"/>
        </w:trPr>
        <w:tc>
          <w:tcPr>
            <w:tcW w:w="7806" w:type="dxa"/>
            <w:vAlign w:val="center"/>
            <w:hideMark/>
          </w:tcPr>
          <w:p w:rsidR="004328EE" w:rsidRPr="004760BD" w:rsidRDefault="004328EE" w:rsidP="009820D9">
            <w:pPr>
              <w:jc w:val="right"/>
              <w:rPr>
                <w:rFonts w:ascii="Palatino Linotype" w:hAnsi="Palatino Linotype"/>
                <w:i/>
              </w:rPr>
            </w:pPr>
            <w:r w:rsidRPr="004760BD">
              <w:rPr>
                <w:rFonts w:ascii="Palatino Linotype" w:hAnsi="Palatino Linotype"/>
                <w:i/>
                <w:szCs w:val="18"/>
              </w:rPr>
              <w:t xml:space="preserve">Nombre del solicitante: </w:t>
            </w:r>
            <w:r w:rsidR="009A7C59" w:rsidRPr="009A7C59">
              <w:rPr>
                <w:rFonts w:ascii="Palatino Linotype" w:hAnsi="Palatino Linotype"/>
                <w:i/>
                <w:szCs w:val="18"/>
                <w:highlight w:val="black"/>
              </w:rPr>
              <w:t>--------------------------------------------</w:t>
            </w:r>
            <w:bookmarkStart w:id="1" w:name="_GoBack"/>
            <w:bookmarkEnd w:id="1"/>
          </w:p>
        </w:tc>
      </w:tr>
      <w:tr w:rsidR="004328EE" w:rsidRPr="004760BD" w:rsidTr="00CA1283">
        <w:trPr>
          <w:trHeight w:val="300"/>
          <w:tblCellSpacing w:w="0" w:type="dxa"/>
          <w:jc w:val="center"/>
        </w:trPr>
        <w:tc>
          <w:tcPr>
            <w:tcW w:w="7806" w:type="dxa"/>
            <w:vAlign w:val="center"/>
            <w:hideMark/>
          </w:tcPr>
          <w:p w:rsidR="004328EE" w:rsidRPr="004760BD" w:rsidRDefault="004328EE" w:rsidP="009820D9">
            <w:pPr>
              <w:jc w:val="right"/>
              <w:rPr>
                <w:rFonts w:ascii="Palatino Linotype" w:hAnsi="Palatino Linotype"/>
                <w:i/>
              </w:rPr>
            </w:pPr>
            <w:r w:rsidRPr="004760BD">
              <w:rPr>
                <w:rFonts w:ascii="Palatino Linotype" w:hAnsi="Palatino Linotype"/>
                <w:i/>
                <w:szCs w:val="18"/>
              </w:rPr>
              <w:t>Folio de la solicitud: 00598/CHIMALHU/IP/2020</w:t>
            </w:r>
          </w:p>
        </w:tc>
      </w:tr>
      <w:tr w:rsidR="004328EE" w:rsidRPr="004760BD" w:rsidTr="00CA1283">
        <w:trPr>
          <w:trHeight w:val="450"/>
          <w:tblCellSpacing w:w="0" w:type="dxa"/>
          <w:jc w:val="center"/>
        </w:trPr>
        <w:tc>
          <w:tcPr>
            <w:tcW w:w="7806" w:type="dxa"/>
            <w:vAlign w:val="center"/>
            <w:hideMark/>
          </w:tcPr>
          <w:p w:rsidR="004328EE" w:rsidRPr="004760BD" w:rsidRDefault="004328EE" w:rsidP="009820D9">
            <w:pPr>
              <w:jc w:val="right"/>
              <w:rPr>
                <w:rFonts w:ascii="Palatino Linotype" w:hAnsi="Palatino Linotype"/>
                <w:i/>
              </w:rPr>
            </w:pPr>
          </w:p>
        </w:tc>
      </w:tr>
      <w:tr w:rsidR="004328EE" w:rsidRPr="004760BD" w:rsidTr="00CA1283">
        <w:trPr>
          <w:trHeight w:val="150"/>
          <w:tblCellSpacing w:w="0" w:type="dxa"/>
          <w:jc w:val="center"/>
        </w:trPr>
        <w:tc>
          <w:tcPr>
            <w:tcW w:w="7806" w:type="dxa"/>
            <w:vAlign w:val="center"/>
            <w:hideMark/>
          </w:tcPr>
          <w:p w:rsidR="004328EE" w:rsidRPr="004760BD" w:rsidRDefault="004328EE" w:rsidP="009820D9">
            <w:pPr>
              <w:rPr>
                <w:rFonts w:ascii="Palatino Linotype" w:hAnsi="Palatino Linotype"/>
                <w:i/>
                <w:szCs w:val="24"/>
              </w:rPr>
            </w:pPr>
            <w:r w:rsidRPr="004760BD">
              <w:rPr>
                <w:rFonts w:ascii="Palatino Linotype" w:hAnsi="Palatino Linotype"/>
                <w:i/>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328EE" w:rsidRPr="004760BD" w:rsidTr="00CA1283">
        <w:trPr>
          <w:trHeight w:val="375"/>
          <w:tblCellSpacing w:w="0" w:type="dxa"/>
          <w:jc w:val="center"/>
        </w:trPr>
        <w:tc>
          <w:tcPr>
            <w:tcW w:w="7806" w:type="dxa"/>
            <w:vAlign w:val="center"/>
            <w:hideMark/>
          </w:tcPr>
          <w:p w:rsidR="004328EE" w:rsidRPr="004760BD" w:rsidRDefault="004328EE" w:rsidP="009820D9">
            <w:pPr>
              <w:rPr>
                <w:rFonts w:ascii="Palatino Linotype" w:hAnsi="Palatino Linotype"/>
                <w:i/>
              </w:rPr>
            </w:pPr>
          </w:p>
        </w:tc>
      </w:tr>
      <w:tr w:rsidR="004328EE" w:rsidRPr="004760BD" w:rsidTr="00CA1283">
        <w:trPr>
          <w:trHeight w:val="150"/>
          <w:tblCellSpacing w:w="0" w:type="dxa"/>
          <w:jc w:val="center"/>
        </w:trPr>
        <w:tc>
          <w:tcPr>
            <w:tcW w:w="7806" w:type="dxa"/>
            <w:vAlign w:val="center"/>
            <w:hideMark/>
          </w:tcPr>
          <w:p w:rsidR="004328EE" w:rsidRPr="004760BD" w:rsidRDefault="004328EE" w:rsidP="009820D9">
            <w:pPr>
              <w:rPr>
                <w:rFonts w:ascii="Palatino Linotype" w:hAnsi="Palatino Linotype"/>
                <w:i/>
                <w:szCs w:val="24"/>
              </w:rPr>
            </w:pPr>
            <w:r w:rsidRPr="004760BD">
              <w:rPr>
                <w:rFonts w:ascii="Palatino Linotype" w:hAnsi="Palatino Linotype"/>
                <w:i/>
                <w:szCs w:val="18"/>
              </w:rPr>
              <w:t>BUENOS DIAS, CON TODO RESPETO LE INFORMO QUE POR TRATARSE DE INFORMACION RELACIONADA CON EL SUTEYM, DEBERA USTED HACER SU SOLICITUD A ESE SINDICATO. ATENTAMENTE LA TESORERA MUNICIPAL</w:t>
            </w:r>
          </w:p>
        </w:tc>
      </w:tr>
      <w:tr w:rsidR="004328EE" w:rsidRPr="004760BD" w:rsidTr="00CA1283">
        <w:trPr>
          <w:trHeight w:val="375"/>
          <w:tblCellSpacing w:w="0" w:type="dxa"/>
          <w:jc w:val="center"/>
        </w:trPr>
        <w:tc>
          <w:tcPr>
            <w:tcW w:w="7806" w:type="dxa"/>
            <w:vAlign w:val="center"/>
            <w:hideMark/>
          </w:tcPr>
          <w:p w:rsidR="004328EE" w:rsidRPr="004760BD" w:rsidRDefault="004328EE" w:rsidP="009820D9">
            <w:pPr>
              <w:rPr>
                <w:rFonts w:ascii="Palatino Linotype" w:hAnsi="Palatino Linotype"/>
                <w:i/>
              </w:rPr>
            </w:pPr>
          </w:p>
        </w:tc>
      </w:tr>
      <w:tr w:rsidR="004328EE" w:rsidRPr="004760BD" w:rsidTr="00CA1283">
        <w:trPr>
          <w:trHeight w:val="150"/>
          <w:tblCellSpacing w:w="0" w:type="dxa"/>
          <w:jc w:val="center"/>
        </w:trPr>
        <w:tc>
          <w:tcPr>
            <w:tcW w:w="7806" w:type="dxa"/>
            <w:vAlign w:val="center"/>
            <w:hideMark/>
          </w:tcPr>
          <w:p w:rsidR="004328EE" w:rsidRPr="004760BD" w:rsidRDefault="004328EE" w:rsidP="009820D9">
            <w:pPr>
              <w:rPr>
                <w:rFonts w:ascii="Palatino Linotype" w:hAnsi="Palatino Linotype"/>
                <w:i/>
                <w:szCs w:val="24"/>
              </w:rPr>
            </w:pPr>
            <w:r w:rsidRPr="004760BD">
              <w:rPr>
                <w:rFonts w:ascii="Palatino Linotype" w:hAnsi="Palatino Linotype"/>
                <w:i/>
                <w:szCs w:val="18"/>
              </w:rPr>
              <w:t>ATENTAMENTE</w:t>
            </w:r>
          </w:p>
        </w:tc>
      </w:tr>
      <w:tr w:rsidR="004328EE" w:rsidRPr="004760BD" w:rsidTr="00CA1283">
        <w:trPr>
          <w:trHeight w:val="225"/>
          <w:tblCellSpacing w:w="0" w:type="dxa"/>
          <w:jc w:val="center"/>
        </w:trPr>
        <w:tc>
          <w:tcPr>
            <w:tcW w:w="7806" w:type="dxa"/>
            <w:vAlign w:val="center"/>
            <w:hideMark/>
          </w:tcPr>
          <w:p w:rsidR="004328EE" w:rsidRPr="004760BD" w:rsidRDefault="004328EE" w:rsidP="009820D9">
            <w:pPr>
              <w:rPr>
                <w:rFonts w:ascii="Palatino Linotype" w:hAnsi="Palatino Linotype"/>
                <w:i/>
              </w:rPr>
            </w:pPr>
          </w:p>
        </w:tc>
      </w:tr>
      <w:tr w:rsidR="004328EE" w:rsidRPr="004760BD" w:rsidTr="00CA1283">
        <w:trPr>
          <w:trHeight w:val="150"/>
          <w:tblCellSpacing w:w="0" w:type="dxa"/>
          <w:jc w:val="center"/>
        </w:trPr>
        <w:tc>
          <w:tcPr>
            <w:tcW w:w="7806" w:type="dxa"/>
            <w:vAlign w:val="center"/>
            <w:hideMark/>
          </w:tcPr>
          <w:p w:rsidR="004328EE" w:rsidRPr="004760BD" w:rsidRDefault="004328EE" w:rsidP="009820D9">
            <w:pPr>
              <w:rPr>
                <w:rFonts w:ascii="Palatino Linotype" w:hAnsi="Palatino Linotype"/>
                <w:i/>
                <w:szCs w:val="24"/>
              </w:rPr>
            </w:pPr>
            <w:r w:rsidRPr="004760BD">
              <w:rPr>
                <w:rFonts w:ascii="Palatino Linotype" w:hAnsi="Palatino Linotype"/>
                <w:i/>
                <w:szCs w:val="18"/>
              </w:rPr>
              <w:t>LIC. CELSO ORTIZ TORRES</w:t>
            </w:r>
          </w:p>
        </w:tc>
      </w:tr>
    </w:tbl>
    <w:p w:rsidR="0033763D" w:rsidRPr="004760BD" w:rsidRDefault="0033763D" w:rsidP="009820D9">
      <w:pPr>
        <w:spacing w:after="0" w:line="360" w:lineRule="auto"/>
        <w:ind w:right="332"/>
        <w:jc w:val="both"/>
        <w:rPr>
          <w:rFonts w:ascii="Palatino Linotype" w:eastAsia="MS Mincho" w:hAnsi="Palatino Linotype" w:cs="Arial"/>
          <w:lang w:val="es-ES_tradnl" w:eastAsia="es-ES"/>
        </w:rPr>
      </w:pPr>
    </w:p>
    <w:p w:rsidR="004328EE" w:rsidRPr="004760BD" w:rsidRDefault="004328EE" w:rsidP="009820D9">
      <w:pPr>
        <w:spacing w:after="0" w:line="360" w:lineRule="auto"/>
        <w:ind w:right="332"/>
        <w:jc w:val="both"/>
        <w:rPr>
          <w:rFonts w:ascii="Palatino Linotype" w:eastAsia="MS Mincho" w:hAnsi="Palatino Linotype" w:cs="Arial"/>
          <w:lang w:val="es-ES_tradnl" w:eastAsia="es-ES"/>
        </w:rPr>
      </w:pPr>
    </w:p>
    <w:p w:rsidR="0033763D" w:rsidRPr="004760BD" w:rsidRDefault="0033763D" w:rsidP="009820D9">
      <w:pPr>
        <w:spacing w:after="0" w:line="360" w:lineRule="auto"/>
        <w:ind w:right="332"/>
        <w:jc w:val="both"/>
        <w:rPr>
          <w:rFonts w:ascii="Palatino Linotype" w:eastAsia="MS Mincho" w:hAnsi="Palatino Linotype" w:cs="Arial"/>
          <w:i/>
          <w:lang w:val="es-ES_tradnl"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MS Mincho" w:hAnsi="Palatino Linotype" w:cs="Arial"/>
          <w:i/>
          <w:lang w:val="es-ES_tradnl" w:eastAsia="es-ES"/>
        </w:rPr>
      </w:pPr>
      <w:r w:rsidRPr="004760BD">
        <w:rPr>
          <w:rFonts w:ascii="Palatino Linotype" w:eastAsia="Times New Roman" w:hAnsi="Palatino Linotype" w:cs="Arial"/>
          <w:sz w:val="24"/>
          <w:szCs w:val="24"/>
          <w:lang w:val="es-ES" w:eastAsia="es-ES"/>
        </w:rPr>
        <w:lastRenderedPageBreak/>
        <w:t xml:space="preserve">En fecha </w:t>
      </w:r>
      <w:r w:rsidR="004328EE" w:rsidRPr="004760BD">
        <w:rPr>
          <w:rFonts w:ascii="Palatino Linotype" w:eastAsia="Times New Roman" w:hAnsi="Palatino Linotype" w:cs="Arial"/>
          <w:sz w:val="24"/>
          <w:szCs w:val="24"/>
          <w:lang w:val="es-ES" w:eastAsia="es-ES"/>
        </w:rPr>
        <w:t>quince (15) de diciembre</w:t>
      </w:r>
      <w:r w:rsidRPr="004760BD">
        <w:rPr>
          <w:rFonts w:ascii="Palatino Linotype" w:eastAsia="Times New Roman" w:hAnsi="Palatino Linotype" w:cs="Arial"/>
          <w:sz w:val="24"/>
          <w:szCs w:val="24"/>
          <w:lang w:val="es-ES" w:eastAsia="es-ES"/>
        </w:rPr>
        <w:t xml:space="preserve"> de dos mil veinte, el RECURRENTE interpuso el de revisión que al rubro se indica, en contra de la respuesta del sujeto obligado, señalando como;</w:t>
      </w:r>
    </w:p>
    <w:p w:rsidR="0033763D" w:rsidRPr="004760BD" w:rsidRDefault="0033763D" w:rsidP="009820D9">
      <w:pPr>
        <w:tabs>
          <w:tab w:val="left" w:pos="8647"/>
        </w:tabs>
        <w:spacing w:after="0" w:line="360" w:lineRule="auto"/>
        <w:ind w:right="332"/>
        <w:contextualSpacing/>
        <w:jc w:val="both"/>
        <w:rPr>
          <w:rFonts w:ascii="Palatino Linotype" w:eastAsia="MS Mincho" w:hAnsi="Palatino Linotype" w:cs="Arial"/>
          <w:b/>
          <w:bCs/>
          <w:sz w:val="24"/>
          <w:szCs w:val="24"/>
          <w:lang w:val="es-ES_tradnl" w:eastAsia="es-ES"/>
        </w:rPr>
      </w:pPr>
    </w:p>
    <w:p w:rsidR="0033763D" w:rsidRPr="004760BD" w:rsidRDefault="0033763D" w:rsidP="009820D9">
      <w:pPr>
        <w:numPr>
          <w:ilvl w:val="0"/>
          <w:numId w:val="2"/>
        </w:numPr>
        <w:tabs>
          <w:tab w:val="left" w:pos="8647"/>
        </w:tabs>
        <w:spacing w:after="0" w:line="360" w:lineRule="auto"/>
        <w:ind w:right="332"/>
        <w:contextualSpacing/>
        <w:jc w:val="both"/>
        <w:rPr>
          <w:rFonts w:ascii="Palatino Linotype" w:eastAsia="MS Mincho" w:hAnsi="Palatino Linotype" w:cs="Times New Roman"/>
          <w:i/>
          <w:lang w:val="es-ES_tradnl" w:eastAsia="es-ES"/>
        </w:rPr>
      </w:pPr>
      <w:r w:rsidRPr="004760BD">
        <w:rPr>
          <w:rFonts w:ascii="Palatino Linotype" w:eastAsia="MS Gothic" w:hAnsi="Palatino Linotype" w:cs="Times New Roman"/>
          <w:b/>
          <w:lang w:val="es-ES"/>
        </w:rPr>
        <w:t>Acto impugnado</w:t>
      </w:r>
      <w:r w:rsidRPr="004760BD">
        <w:rPr>
          <w:rFonts w:ascii="Palatino Linotype" w:eastAsia="MS Mincho" w:hAnsi="Palatino Linotype" w:cs="Times New Roman"/>
          <w:lang w:val="es-ES_tradnl" w:eastAsia="es-ES"/>
        </w:rPr>
        <w:t xml:space="preserve">: </w:t>
      </w:r>
      <w:r w:rsidRPr="004760BD">
        <w:rPr>
          <w:rFonts w:ascii="Palatino Linotype" w:eastAsia="MS Mincho" w:hAnsi="Palatino Linotype" w:cs="Times New Roman"/>
          <w:i/>
          <w:lang w:val="es-ES_tradnl" w:eastAsia="es-ES"/>
        </w:rPr>
        <w:t>“</w:t>
      </w:r>
      <w:r w:rsidR="002C74E2" w:rsidRPr="004760BD">
        <w:rPr>
          <w:rFonts w:ascii="Palatino Linotype" w:hAnsi="Palatino Linotype"/>
          <w:i/>
          <w:color w:val="000000"/>
        </w:rPr>
        <w:t xml:space="preserve">solicito comprobante de pagos o facturas generadas en el periodo de 2016 al presente año, por el ayuntamiento de Chimalhuacán, por motivo de </w:t>
      </w:r>
      <w:proofErr w:type="gramStart"/>
      <w:r w:rsidR="002C74E2" w:rsidRPr="004760BD">
        <w:rPr>
          <w:rFonts w:ascii="Palatino Linotype" w:hAnsi="Palatino Linotype"/>
          <w:i/>
          <w:color w:val="000000"/>
        </w:rPr>
        <w:t>defunción</w:t>
      </w:r>
      <w:proofErr w:type="gramEnd"/>
      <w:r w:rsidR="002C74E2" w:rsidRPr="004760BD">
        <w:rPr>
          <w:rFonts w:ascii="Palatino Linotype" w:hAnsi="Palatino Linotype"/>
          <w:i/>
          <w:color w:val="000000"/>
        </w:rPr>
        <w:t xml:space="preserve"> así como pago de finiquito o liquidación a trabajadores sindicalizados del SUTEYM sección Chimalhuacán, en versión publica</w:t>
      </w:r>
      <w:r w:rsidRPr="004760BD">
        <w:rPr>
          <w:rFonts w:ascii="Palatino Linotype" w:eastAsia="MS Mincho" w:hAnsi="Palatino Linotype" w:cs="Times New Roman"/>
          <w:i/>
          <w:lang w:val="es-ES_tradnl" w:eastAsia="es-ES"/>
        </w:rPr>
        <w:t>” (Sic)</w:t>
      </w:r>
    </w:p>
    <w:p w:rsidR="0033763D" w:rsidRPr="004760BD" w:rsidRDefault="0033763D" w:rsidP="009820D9">
      <w:pPr>
        <w:tabs>
          <w:tab w:val="left" w:pos="8647"/>
        </w:tabs>
        <w:spacing w:after="0" w:line="360" w:lineRule="auto"/>
        <w:ind w:left="993" w:right="332"/>
        <w:contextualSpacing/>
        <w:jc w:val="both"/>
        <w:rPr>
          <w:rFonts w:ascii="Palatino Linotype" w:eastAsia="MS Mincho" w:hAnsi="Palatino Linotype" w:cs="Times New Roman"/>
          <w:lang w:val="es-ES_tradnl" w:eastAsia="es-ES"/>
        </w:rPr>
      </w:pPr>
    </w:p>
    <w:p w:rsidR="0033763D" w:rsidRPr="004760BD" w:rsidRDefault="0033763D" w:rsidP="009820D9">
      <w:pPr>
        <w:numPr>
          <w:ilvl w:val="0"/>
          <w:numId w:val="2"/>
        </w:numPr>
        <w:tabs>
          <w:tab w:val="left" w:pos="8647"/>
        </w:tabs>
        <w:spacing w:after="0" w:line="360" w:lineRule="auto"/>
        <w:ind w:right="332"/>
        <w:contextualSpacing/>
        <w:jc w:val="both"/>
        <w:rPr>
          <w:rFonts w:ascii="Palatino Linotype" w:eastAsia="MS Mincho" w:hAnsi="Palatino Linotype" w:cs="Times New Roman"/>
          <w:lang w:val="es-ES_tradnl" w:eastAsia="es-ES"/>
        </w:rPr>
      </w:pPr>
      <w:r w:rsidRPr="004760BD">
        <w:rPr>
          <w:rFonts w:ascii="Palatino Linotype" w:eastAsia="MS Gothic" w:hAnsi="Palatino Linotype" w:cs="Times New Roman"/>
          <w:b/>
          <w:lang w:val="es-ES"/>
        </w:rPr>
        <w:t>Razones o Motivos de inconformidad</w:t>
      </w:r>
      <w:r w:rsidRPr="004760BD">
        <w:rPr>
          <w:rFonts w:ascii="Palatino Linotype" w:eastAsia="MS Mincho" w:hAnsi="Palatino Linotype" w:cs="Times New Roman"/>
          <w:i/>
          <w:lang w:val="es-ES_tradnl" w:eastAsia="es-ES"/>
        </w:rPr>
        <w:t>: “</w:t>
      </w:r>
      <w:proofErr w:type="spellStart"/>
      <w:r w:rsidR="002C74E2" w:rsidRPr="004760BD">
        <w:rPr>
          <w:rFonts w:ascii="Palatino Linotype" w:hAnsi="Palatino Linotype"/>
          <w:i/>
          <w:color w:val="000000"/>
        </w:rPr>
        <w:t>sÍ</w:t>
      </w:r>
      <w:proofErr w:type="spellEnd"/>
      <w:r w:rsidR="002C74E2" w:rsidRPr="004760BD">
        <w:rPr>
          <w:rFonts w:ascii="Palatino Linotype" w:hAnsi="Palatino Linotype"/>
          <w:i/>
          <w:color w:val="000000"/>
        </w:rPr>
        <w:t xml:space="preserve"> bien es cierto la administración municipal., es la encargada de pagar con recurso </w:t>
      </w:r>
      <w:proofErr w:type="spellStart"/>
      <w:r w:rsidR="002C74E2" w:rsidRPr="004760BD">
        <w:rPr>
          <w:rFonts w:ascii="Palatino Linotype" w:hAnsi="Palatino Linotype"/>
          <w:i/>
          <w:color w:val="000000"/>
        </w:rPr>
        <w:t>publico</w:t>
      </w:r>
      <w:proofErr w:type="spellEnd"/>
      <w:r w:rsidR="002C74E2" w:rsidRPr="004760BD">
        <w:rPr>
          <w:rFonts w:ascii="Palatino Linotype" w:hAnsi="Palatino Linotype"/>
          <w:i/>
          <w:color w:val="000000"/>
        </w:rPr>
        <w:t xml:space="preserve"> a los deudos o en su caso expide cheque con recurso </w:t>
      </w:r>
      <w:proofErr w:type="spellStart"/>
      <w:r w:rsidR="002C74E2" w:rsidRPr="004760BD">
        <w:rPr>
          <w:rFonts w:ascii="Palatino Linotype" w:hAnsi="Palatino Linotype"/>
          <w:i/>
          <w:color w:val="000000"/>
        </w:rPr>
        <w:t>publico</w:t>
      </w:r>
      <w:proofErr w:type="spellEnd"/>
      <w:r w:rsidR="002C74E2" w:rsidRPr="004760BD">
        <w:rPr>
          <w:rFonts w:ascii="Palatino Linotype" w:hAnsi="Palatino Linotype"/>
          <w:i/>
          <w:color w:val="000000"/>
        </w:rPr>
        <w:t xml:space="preserve"> a los representantes sindicales en este caso SUTEYM</w:t>
      </w:r>
      <w:r w:rsidRPr="004760BD">
        <w:rPr>
          <w:rFonts w:ascii="Palatino Linotype" w:hAnsi="Palatino Linotype"/>
          <w:i/>
          <w:color w:val="000000"/>
        </w:rPr>
        <w:t>”</w:t>
      </w:r>
      <w:r w:rsidRPr="004760BD">
        <w:rPr>
          <w:rFonts w:ascii="Palatino Linotype" w:eastAsia="MS Mincho" w:hAnsi="Palatino Linotype" w:cs="Times New Roman"/>
          <w:i/>
          <w:lang w:eastAsia="es-ES"/>
        </w:rPr>
        <w:t xml:space="preserve"> (Sic) </w:t>
      </w:r>
    </w:p>
    <w:p w:rsidR="0033763D" w:rsidRPr="004760BD" w:rsidRDefault="0033763D" w:rsidP="009820D9">
      <w:pPr>
        <w:tabs>
          <w:tab w:val="left" w:pos="8647"/>
        </w:tabs>
        <w:spacing w:after="0" w:line="360" w:lineRule="auto"/>
        <w:ind w:right="332"/>
        <w:contextualSpacing/>
        <w:jc w:val="both"/>
        <w:rPr>
          <w:rFonts w:ascii="Palatino Linotype" w:eastAsia="MS Mincho" w:hAnsi="Palatino Linotype" w:cs="Times New Roman"/>
          <w:lang w:val="es-ES_tradnl" w:eastAsia="es-ES"/>
        </w:rPr>
      </w:pPr>
    </w:p>
    <w:p w:rsidR="0033763D" w:rsidRPr="004760BD" w:rsidRDefault="0033763D" w:rsidP="009820D9">
      <w:pPr>
        <w:numPr>
          <w:ilvl w:val="0"/>
          <w:numId w:val="1"/>
        </w:numPr>
        <w:tabs>
          <w:tab w:val="left" w:pos="0"/>
        </w:tabs>
        <w:spacing w:after="0" w:line="360" w:lineRule="auto"/>
        <w:ind w:left="0" w:right="332" w:firstLine="0"/>
        <w:contextualSpacing/>
        <w:jc w:val="both"/>
        <w:rPr>
          <w:rFonts w:ascii="Palatino Linotype" w:eastAsia="Times New Roman" w:hAnsi="Palatino Linotype" w:cs="Arial"/>
          <w:i/>
          <w:lang w:val="es-ES_tradnl" w:eastAsia="es-ES"/>
        </w:rPr>
      </w:pPr>
      <w:r w:rsidRPr="004760BD">
        <w:rPr>
          <w:rFonts w:ascii="Palatino Linotype" w:eastAsia="Times New Roman" w:hAnsi="Palatino Linotype" w:cs="Arial"/>
          <w:sz w:val="24"/>
          <w:szCs w:val="24"/>
          <w:lang w:val="es-ES" w:eastAsia="es-ES"/>
        </w:rPr>
        <w:t xml:space="preserve">Se registró el recurso de revisión bajo el número de expediente al rubro indicado, </w:t>
      </w:r>
      <w:r w:rsidRPr="004760BD">
        <w:rPr>
          <w:rFonts w:ascii="Palatino Linotype" w:eastAsia="MS Mincho" w:hAnsi="Palatino Linotype" w:cs="Arial"/>
          <w:bCs/>
          <w:sz w:val="24"/>
          <w:szCs w:val="24"/>
          <w:lang w:val="es-ES_tradnl" w:eastAsia="es-ES"/>
        </w:rPr>
        <w:t xml:space="preserve">con fundamento en lo dispuesto por el </w:t>
      </w:r>
      <w:r w:rsidRPr="004760BD">
        <w:rPr>
          <w:rFonts w:ascii="Palatino Linotype" w:eastAsia="Calibri" w:hAnsi="Palatino Linotype" w:cs="Arial"/>
          <w:sz w:val="24"/>
          <w:szCs w:val="24"/>
          <w:lang w:val="es-ES" w:eastAsia="es-ES"/>
        </w:rPr>
        <w:t xml:space="preserve">artículo 185 fracción I de la </w:t>
      </w:r>
      <w:r w:rsidRPr="004760B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760BD">
        <w:rPr>
          <w:rFonts w:ascii="Palatino Linotype" w:eastAsia="Times New Roman" w:hAnsi="Palatino Linotype" w:cs="Arial"/>
          <w:sz w:val="24"/>
          <w:szCs w:val="24"/>
          <w:lang w:val="es-ES" w:eastAsia="es-ES"/>
        </w:rPr>
        <w:t xml:space="preserve">se turnó al </w:t>
      </w:r>
      <w:r w:rsidRPr="004760BD">
        <w:rPr>
          <w:rFonts w:ascii="Palatino Linotype" w:eastAsia="Times New Roman" w:hAnsi="Palatino Linotype" w:cs="Arial"/>
          <w:b/>
          <w:sz w:val="24"/>
          <w:szCs w:val="24"/>
          <w:lang w:val="es-ES" w:eastAsia="es-ES"/>
        </w:rPr>
        <w:t xml:space="preserve">Comisionado José Guadalupe Luna Hernández, </w:t>
      </w:r>
      <w:r w:rsidRPr="004760BD">
        <w:rPr>
          <w:rFonts w:ascii="Palatino Linotype" w:eastAsia="Times New Roman" w:hAnsi="Palatino Linotype" w:cs="Arial"/>
          <w:sz w:val="24"/>
          <w:szCs w:val="24"/>
          <w:lang w:val="es-ES" w:eastAsia="es-ES"/>
        </w:rPr>
        <w:t xml:space="preserve">con el objeto de </w:t>
      </w:r>
      <w:r w:rsidRPr="004760BD">
        <w:rPr>
          <w:rFonts w:ascii="Palatino Linotype" w:eastAsia="Times New Roman" w:hAnsi="Palatino Linotype" w:cs="Arial"/>
          <w:sz w:val="24"/>
          <w:szCs w:val="24"/>
          <w:lang w:eastAsia="es-ES"/>
        </w:rPr>
        <w:t>su análisis</w:t>
      </w:r>
      <w:r w:rsidRPr="004760BD">
        <w:rPr>
          <w:rFonts w:ascii="Palatino Linotype" w:eastAsia="Times New Roman" w:hAnsi="Palatino Linotype" w:cs="Arial"/>
        </w:rPr>
        <w:t xml:space="preserve">. </w:t>
      </w:r>
    </w:p>
    <w:p w:rsidR="0033763D" w:rsidRPr="004760BD" w:rsidRDefault="0033763D" w:rsidP="009820D9">
      <w:pPr>
        <w:tabs>
          <w:tab w:val="left" w:pos="0"/>
        </w:tabs>
        <w:spacing w:after="0" w:line="360" w:lineRule="auto"/>
        <w:ind w:right="332"/>
        <w:contextualSpacing/>
        <w:jc w:val="both"/>
        <w:rPr>
          <w:rFonts w:ascii="Palatino Linotype" w:eastAsia="Times New Roman" w:hAnsi="Palatino Linotype" w:cs="Arial"/>
          <w:i/>
          <w:lang w:val="es-ES_tradnl"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hAnsi="Palatino Linotype"/>
          <w:sz w:val="24"/>
          <w:szCs w:val="24"/>
        </w:rPr>
      </w:pPr>
      <w:r w:rsidRPr="004760B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2C74E2" w:rsidRPr="004760BD">
        <w:rPr>
          <w:rFonts w:ascii="Palatino Linotype" w:eastAsia="Calibri" w:hAnsi="Palatino Linotype" w:cs="Arial"/>
          <w:sz w:val="24"/>
          <w:szCs w:val="24"/>
          <w:lang w:val="es-ES" w:eastAsia="es-ES"/>
        </w:rPr>
        <w:t>fecha dieciocho (</w:t>
      </w:r>
      <w:r w:rsidR="00F518F4">
        <w:rPr>
          <w:rFonts w:ascii="Palatino Linotype" w:eastAsia="Calibri" w:hAnsi="Palatino Linotype" w:cs="Arial"/>
          <w:sz w:val="24"/>
          <w:szCs w:val="24"/>
          <w:lang w:val="es-ES" w:eastAsia="es-ES"/>
        </w:rPr>
        <w:t>17</w:t>
      </w:r>
      <w:r w:rsidR="002C74E2" w:rsidRPr="004760BD">
        <w:rPr>
          <w:rFonts w:ascii="Palatino Linotype" w:eastAsia="Calibri" w:hAnsi="Palatino Linotype" w:cs="Arial"/>
          <w:sz w:val="24"/>
          <w:szCs w:val="24"/>
          <w:lang w:val="es-ES" w:eastAsia="es-ES"/>
        </w:rPr>
        <w:t>) de enero de dos mil veintiuno</w:t>
      </w:r>
      <w:r w:rsidRPr="004760BD">
        <w:rPr>
          <w:rFonts w:ascii="Palatino Linotype" w:eastAsia="Calibri" w:hAnsi="Palatino Linotype" w:cs="Arial"/>
          <w:sz w:val="24"/>
          <w:szCs w:val="24"/>
          <w:lang w:val="es-ES" w:eastAsia="es-ES"/>
        </w:rPr>
        <w:t xml:space="preserve">, puso a disposición de las partes el expediente electrónico </w:t>
      </w:r>
      <w:r w:rsidRPr="004760BD">
        <w:rPr>
          <w:rFonts w:ascii="Palatino Linotype" w:eastAsia="Calibri" w:hAnsi="Palatino Linotype" w:cs="Arial"/>
          <w:sz w:val="24"/>
          <w:szCs w:val="24"/>
          <w:lang w:val="es-ES_tradnl" w:eastAsia="es-ES"/>
        </w:rPr>
        <w:t xml:space="preserve">vía </w:t>
      </w:r>
      <w:r w:rsidRPr="004760BD">
        <w:rPr>
          <w:rFonts w:ascii="Palatino Linotype" w:eastAsia="Calibri" w:hAnsi="Palatino Linotype" w:cs="Arial"/>
          <w:sz w:val="24"/>
          <w:szCs w:val="24"/>
          <w:lang w:val="es-ES" w:eastAsia="es-ES"/>
        </w:rPr>
        <w:t>Sistema de Acceso a la Información Mexiquense (</w:t>
      </w:r>
      <w:r w:rsidRPr="004760BD">
        <w:rPr>
          <w:rFonts w:ascii="Palatino Linotype" w:eastAsia="Calibri" w:hAnsi="Palatino Linotype" w:cs="Arial"/>
          <w:b/>
          <w:sz w:val="24"/>
          <w:szCs w:val="24"/>
          <w:lang w:val="es-ES" w:eastAsia="es-ES"/>
        </w:rPr>
        <w:t xml:space="preserve">SAIMEX) </w:t>
      </w:r>
      <w:r w:rsidRPr="004760B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w:t>
      </w:r>
      <w:r w:rsidRPr="004760BD">
        <w:rPr>
          <w:rFonts w:ascii="Palatino Linotype" w:eastAsia="Calibri" w:hAnsi="Palatino Linotype" w:cs="Arial"/>
          <w:sz w:val="24"/>
          <w:szCs w:val="24"/>
          <w:lang w:val="es-ES" w:eastAsia="es-ES"/>
        </w:rPr>
        <w:lastRenderedPageBreak/>
        <w:t xml:space="preserve">que el </w:t>
      </w:r>
      <w:r w:rsidRPr="004760BD">
        <w:rPr>
          <w:rFonts w:ascii="Palatino Linotype" w:eastAsia="Calibri" w:hAnsi="Palatino Linotype" w:cs="Arial"/>
          <w:b/>
          <w:sz w:val="24"/>
          <w:szCs w:val="24"/>
          <w:lang w:val="es-ES" w:eastAsia="es-ES"/>
        </w:rPr>
        <w:t>SUJETO OBLIGADO</w:t>
      </w:r>
      <w:r w:rsidRPr="004760BD">
        <w:rPr>
          <w:rFonts w:ascii="Palatino Linotype" w:eastAsia="Calibri" w:hAnsi="Palatino Linotype" w:cs="Arial"/>
          <w:sz w:val="24"/>
          <w:szCs w:val="24"/>
          <w:lang w:val="es-ES" w:eastAsia="es-ES"/>
        </w:rPr>
        <w:t xml:space="preserve"> presentara el Informe Justificado procedente. De las constancias que obran en el expediente electrónico SAIMEX se observa que ninguna de las partes realizó manifestaciones.</w:t>
      </w:r>
    </w:p>
    <w:p w:rsidR="0033763D" w:rsidRPr="004760BD" w:rsidRDefault="0033763D" w:rsidP="009820D9">
      <w:pPr>
        <w:spacing w:after="0" w:line="360" w:lineRule="auto"/>
        <w:ind w:right="332"/>
        <w:contextualSpacing/>
        <w:jc w:val="both"/>
        <w:rPr>
          <w:rFonts w:ascii="Palatino Linotype" w:hAnsi="Palatino Linotype"/>
          <w:sz w:val="24"/>
          <w:szCs w:val="24"/>
        </w:rPr>
      </w:pPr>
    </w:p>
    <w:p w:rsidR="0033763D" w:rsidRPr="004760BD" w:rsidRDefault="0033763D" w:rsidP="009820D9">
      <w:pPr>
        <w:numPr>
          <w:ilvl w:val="0"/>
          <w:numId w:val="1"/>
        </w:numPr>
        <w:spacing w:after="0" w:line="360" w:lineRule="auto"/>
        <w:ind w:left="0" w:right="332" w:firstLine="0"/>
        <w:contextualSpacing/>
        <w:jc w:val="both"/>
        <w:rPr>
          <w:rFonts w:ascii="Palatino Linotype" w:hAnsi="Palatino Linotype"/>
          <w:sz w:val="24"/>
          <w:szCs w:val="24"/>
        </w:rPr>
      </w:pPr>
      <w:r w:rsidRPr="004760BD">
        <w:rPr>
          <w:rFonts w:ascii="Palatino Linotype" w:hAnsi="Palatino Linotype"/>
          <w:sz w:val="24"/>
          <w:szCs w:val="24"/>
        </w:rPr>
        <w:t>El Comisionado Ponente decretó el cierre de instrucción</w:t>
      </w:r>
      <w:r w:rsidRPr="004760BD">
        <w:rPr>
          <w:rFonts w:ascii="Palatino Linotype" w:hAnsi="Palatino Linotype" w:cs="Arial"/>
          <w:sz w:val="24"/>
          <w:szCs w:val="24"/>
        </w:rPr>
        <w:t xml:space="preserve"> </w:t>
      </w:r>
      <w:r w:rsidRPr="004760BD">
        <w:rPr>
          <w:rFonts w:ascii="Palatino Linotype" w:hAnsi="Palatino Linotype"/>
          <w:sz w:val="24"/>
          <w:szCs w:val="24"/>
        </w:rPr>
        <w:t xml:space="preserve">mediante acuerdo de fecha </w:t>
      </w:r>
      <w:r w:rsidR="002C74E2" w:rsidRPr="004760BD">
        <w:rPr>
          <w:rFonts w:ascii="Palatino Linotype" w:hAnsi="Palatino Linotype"/>
          <w:sz w:val="24"/>
          <w:szCs w:val="24"/>
        </w:rPr>
        <w:t>veintinueve (29) de enero de dos mil veintiuno</w:t>
      </w:r>
      <w:r w:rsidRPr="004760BD">
        <w:rPr>
          <w:rFonts w:ascii="Palatino Linotype" w:hAnsi="Palatino Linotype"/>
          <w:sz w:val="24"/>
          <w:szCs w:val="24"/>
        </w:rPr>
        <w:t xml:space="preserve">, </w:t>
      </w:r>
      <w:r w:rsidRPr="004760BD">
        <w:rPr>
          <w:rFonts w:ascii="Palatino Linotype" w:hAnsi="Palatino Linotype" w:cs="Arial"/>
          <w:sz w:val="24"/>
          <w:szCs w:val="24"/>
        </w:rPr>
        <w:t xml:space="preserve">por lo que, posterior a ello ordenó turnar el expediente a resolución, misma que ahora se pronuncia; y - - - - - - - - - - - - - - </w:t>
      </w:r>
      <w:r w:rsidR="002C74E2" w:rsidRPr="004760BD">
        <w:rPr>
          <w:rFonts w:ascii="Palatino Linotype" w:hAnsi="Palatino Linotype" w:cs="Arial"/>
          <w:sz w:val="24"/>
          <w:szCs w:val="24"/>
        </w:rPr>
        <w:t xml:space="preserve">- - - - - - - - - - - - - - - - - - - - - - - - - - - - - - - - - - - - - - - - - - - - - - - - - - - - - - - - - - - </w:t>
      </w:r>
    </w:p>
    <w:p w:rsidR="0033763D" w:rsidRPr="004760BD" w:rsidRDefault="0033763D" w:rsidP="009820D9">
      <w:pPr>
        <w:spacing w:after="0" w:line="360" w:lineRule="auto"/>
        <w:ind w:right="332"/>
        <w:contextualSpacing/>
        <w:jc w:val="both"/>
        <w:rPr>
          <w:rFonts w:ascii="Palatino Linotype" w:hAnsi="Palatino Linotype"/>
          <w:sz w:val="24"/>
          <w:szCs w:val="24"/>
        </w:rPr>
      </w:pPr>
    </w:p>
    <w:p w:rsidR="0033763D" w:rsidRPr="004760BD" w:rsidRDefault="0033763D" w:rsidP="009820D9">
      <w:pPr>
        <w:keepNext/>
        <w:keepLines/>
        <w:spacing w:after="0" w:line="360" w:lineRule="auto"/>
        <w:ind w:right="332"/>
        <w:jc w:val="center"/>
        <w:outlineLvl w:val="0"/>
        <w:rPr>
          <w:rFonts w:ascii="Palatino Linotype" w:eastAsia="MS Gothic" w:hAnsi="Palatino Linotype" w:cs="Times New Roman"/>
          <w:b/>
          <w:sz w:val="24"/>
          <w:szCs w:val="24"/>
        </w:rPr>
      </w:pPr>
      <w:bookmarkStart w:id="2" w:name="_Toc63949882"/>
      <w:r w:rsidRPr="004760BD">
        <w:rPr>
          <w:rFonts w:ascii="Palatino Linotype" w:eastAsia="MS Gothic" w:hAnsi="Palatino Linotype" w:cs="Times New Roman"/>
          <w:b/>
          <w:sz w:val="24"/>
          <w:szCs w:val="24"/>
        </w:rPr>
        <w:t>CONSIDERANDO</w:t>
      </w:r>
      <w:bookmarkEnd w:id="2"/>
    </w:p>
    <w:p w:rsidR="0033763D" w:rsidRPr="004760BD" w:rsidRDefault="0033763D" w:rsidP="009820D9">
      <w:pPr>
        <w:keepNext/>
        <w:keepLines/>
        <w:spacing w:after="0" w:line="360" w:lineRule="auto"/>
        <w:ind w:right="332"/>
        <w:jc w:val="center"/>
        <w:outlineLvl w:val="0"/>
        <w:rPr>
          <w:rFonts w:ascii="Palatino Linotype" w:eastAsia="MS Gothic" w:hAnsi="Palatino Linotype" w:cs="Times New Roman"/>
          <w:b/>
          <w:sz w:val="24"/>
          <w:szCs w:val="24"/>
        </w:rPr>
      </w:pPr>
    </w:p>
    <w:p w:rsidR="0033763D" w:rsidRPr="004760BD" w:rsidRDefault="0033763D" w:rsidP="009820D9">
      <w:pPr>
        <w:keepNext/>
        <w:keepLines/>
        <w:spacing w:after="0" w:line="360" w:lineRule="auto"/>
        <w:ind w:right="332"/>
        <w:outlineLvl w:val="0"/>
        <w:rPr>
          <w:rFonts w:ascii="Palatino Linotype" w:eastAsia="MS Gothic" w:hAnsi="Palatino Linotype" w:cs="Times New Roman"/>
          <w:b/>
          <w:sz w:val="24"/>
          <w:szCs w:val="26"/>
        </w:rPr>
      </w:pPr>
      <w:bookmarkStart w:id="3" w:name="_Toc63949883"/>
      <w:r w:rsidRPr="004760BD">
        <w:rPr>
          <w:rFonts w:ascii="Palatino Linotype" w:eastAsia="MS Mincho" w:hAnsi="Palatino Linotype" w:cstheme="majorBidi"/>
          <w:b/>
          <w:sz w:val="24"/>
          <w:szCs w:val="24"/>
          <w:lang w:val="es-ES_tradnl" w:eastAsia="es-ES"/>
        </w:rPr>
        <w:t>PRIMERO</w:t>
      </w:r>
      <w:r w:rsidRPr="004760BD">
        <w:rPr>
          <w:rFonts w:ascii="Palatino Linotype" w:eastAsia="MS Gothic" w:hAnsi="Palatino Linotype" w:cs="Times New Roman"/>
          <w:b/>
          <w:sz w:val="24"/>
          <w:szCs w:val="26"/>
        </w:rPr>
        <w:t>. De la competencia.</w:t>
      </w:r>
      <w:bookmarkEnd w:id="3"/>
    </w:p>
    <w:p w:rsidR="0033763D" w:rsidRPr="004760BD" w:rsidRDefault="0033763D" w:rsidP="009820D9">
      <w:pPr>
        <w:spacing w:after="0" w:line="360" w:lineRule="auto"/>
        <w:ind w:right="332"/>
        <w:rPr>
          <w:rFonts w:ascii="Palatino Linotype" w:hAnsi="Palatino Linotype"/>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60BD">
        <w:rPr>
          <w:rFonts w:ascii="Palatino Linotype" w:eastAsia="Calibri" w:hAnsi="Palatino Linotype" w:cs="Times New Roman"/>
          <w:b/>
          <w:sz w:val="24"/>
          <w:szCs w:val="24"/>
          <w:lang w:val="es-ES" w:eastAsia="es-ES"/>
        </w:rPr>
        <w:t>Constitución Política de los Estados Unidos Mexicanos</w:t>
      </w:r>
      <w:r w:rsidRPr="004760BD">
        <w:rPr>
          <w:rFonts w:ascii="Palatino Linotype" w:eastAsia="Calibri" w:hAnsi="Palatino Linotype" w:cs="Times New Roman"/>
          <w:sz w:val="24"/>
          <w:szCs w:val="24"/>
          <w:lang w:val="es-ES" w:eastAsia="es-ES"/>
        </w:rPr>
        <w:t xml:space="preserve">; </w:t>
      </w:r>
      <w:r w:rsidRPr="004760BD">
        <w:rPr>
          <w:rFonts w:ascii="Palatino Linotype" w:hAnsi="Palatino Linotype" w:cs="Arial"/>
          <w:bCs/>
          <w:color w:val="222222"/>
          <w:sz w:val="24"/>
          <w:szCs w:val="24"/>
          <w:shd w:val="clear" w:color="auto" w:fill="FFFFFF"/>
          <w:lang w:val="es-ES"/>
        </w:rPr>
        <w:t xml:space="preserve">5, </w:t>
      </w:r>
      <w:r w:rsidR="002C74E2" w:rsidRPr="004760BD">
        <w:rPr>
          <w:rFonts w:ascii="Palatino Linotype" w:hAnsi="Palatino Linotype" w:cs="Arial"/>
          <w:bCs/>
          <w:color w:val="222222"/>
          <w:sz w:val="24"/>
          <w:szCs w:val="24"/>
          <w:lang w:val="es-ES"/>
        </w:rPr>
        <w:t>trigésimo y  trigésimo primero</w:t>
      </w:r>
      <w:r w:rsidR="002C74E2" w:rsidRPr="004760BD">
        <w:rPr>
          <w:rFonts w:ascii="Palatino Linotype" w:hAnsi="Palatino Linotype" w:cs="Arial"/>
          <w:bCs/>
          <w:color w:val="222222"/>
          <w:sz w:val="24"/>
          <w:szCs w:val="24"/>
          <w:shd w:val="clear" w:color="auto" w:fill="FFFFFF"/>
          <w:lang w:val="es-ES"/>
        </w:rPr>
        <w:t xml:space="preserve"> </w:t>
      </w:r>
      <w:r w:rsidRPr="004760BD">
        <w:rPr>
          <w:rFonts w:ascii="Palatino Linotype" w:hAnsi="Palatino Linotype" w:cs="Arial"/>
          <w:bCs/>
          <w:color w:val="222222"/>
          <w:sz w:val="24"/>
          <w:szCs w:val="24"/>
          <w:shd w:val="clear" w:color="auto" w:fill="FFFFFF"/>
          <w:lang w:val="es-ES"/>
        </w:rPr>
        <w:t>fracciones IV y V </w:t>
      </w:r>
      <w:r w:rsidRPr="004760BD">
        <w:rPr>
          <w:rFonts w:ascii="Palatino Linotype" w:eastAsia="Calibri" w:hAnsi="Palatino Linotype" w:cs="Times New Roman"/>
          <w:sz w:val="24"/>
          <w:szCs w:val="24"/>
          <w:lang w:val="es-ES" w:eastAsia="es-ES"/>
        </w:rPr>
        <w:t xml:space="preserve">de la </w:t>
      </w:r>
      <w:r w:rsidRPr="004760BD">
        <w:rPr>
          <w:rFonts w:ascii="Palatino Linotype" w:eastAsia="Calibri" w:hAnsi="Palatino Linotype" w:cs="Times New Roman"/>
          <w:b/>
          <w:sz w:val="24"/>
          <w:szCs w:val="24"/>
          <w:lang w:val="es-ES" w:eastAsia="es-ES"/>
        </w:rPr>
        <w:t>Constitución Política del Estado Libre y Soberano de México</w:t>
      </w:r>
      <w:r w:rsidRPr="004760B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760BD">
        <w:rPr>
          <w:rFonts w:ascii="Palatino Linotype" w:eastAsia="Calibri" w:hAnsi="Palatino Linotype" w:cs="Arial"/>
          <w:sz w:val="24"/>
          <w:szCs w:val="24"/>
          <w:lang w:val="es-ES" w:eastAsia="es-ES"/>
        </w:rPr>
        <w:t xml:space="preserve">de la </w:t>
      </w:r>
      <w:r w:rsidRPr="004760BD">
        <w:rPr>
          <w:rFonts w:ascii="Palatino Linotype" w:eastAsia="Calibri" w:hAnsi="Palatino Linotype" w:cs="Arial"/>
          <w:b/>
          <w:sz w:val="24"/>
          <w:szCs w:val="24"/>
          <w:lang w:val="es-ES" w:eastAsia="es-ES"/>
        </w:rPr>
        <w:t>Ley de Transparencia y Acceso a la Información Pública del Estado de México y Municipios</w:t>
      </w:r>
      <w:r w:rsidRPr="004760BD">
        <w:rPr>
          <w:rFonts w:ascii="Palatino Linotype" w:eastAsia="Calibri" w:hAnsi="Palatino Linotype" w:cs="Arial"/>
          <w:sz w:val="24"/>
          <w:szCs w:val="24"/>
          <w:lang w:val="es-ES" w:eastAsia="es-ES"/>
        </w:rPr>
        <w:t xml:space="preserve">; </w:t>
      </w:r>
      <w:r w:rsidRPr="004760BD">
        <w:rPr>
          <w:rFonts w:ascii="Palatino Linotype" w:eastAsia="Calibri" w:hAnsi="Palatino Linotype" w:cs="Arial"/>
          <w:b/>
          <w:sz w:val="24"/>
          <w:szCs w:val="24"/>
          <w:lang w:val="es-ES" w:eastAsia="es-ES"/>
        </w:rPr>
        <w:t>7, 9 fracciones I y XXIV, y 11</w:t>
      </w:r>
      <w:r w:rsidRPr="004760BD">
        <w:rPr>
          <w:rFonts w:ascii="Palatino Linotype" w:eastAsia="Calibri" w:hAnsi="Palatino Linotype" w:cs="Arial"/>
          <w:sz w:val="24"/>
          <w:szCs w:val="24"/>
          <w:lang w:val="es-ES" w:eastAsia="es-ES"/>
        </w:rPr>
        <w:t xml:space="preserve"> del </w:t>
      </w:r>
      <w:r w:rsidRPr="004760B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760BD">
        <w:rPr>
          <w:rFonts w:ascii="Palatino Linotype" w:eastAsia="MS Mincho" w:hAnsi="Palatino Linotype" w:cs="Times New Roman"/>
          <w:sz w:val="24"/>
          <w:szCs w:val="24"/>
          <w:lang w:val="es-ES_tradnl" w:eastAsia="es-ES"/>
        </w:rPr>
        <w:t>.</w:t>
      </w:r>
    </w:p>
    <w:p w:rsidR="0033763D" w:rsidRPr="004760BD" w:rsidRDefault="0033763D" w:rsidP="009820D9">
      <w:pPr>
        <w:spacing w:after="0" w:line="360" w:lineRule="auto"/>
        <w:ind w:right="332"/>
        <w:contextualSpacing/>
        <w:jc w:val="both"/>
        <w:rPr>
          <w:rFonts w:ascii="Palatino Linotype" w:eastAsia="MS Mincho" w:hAnsi="Palatino Linotype" w:cs="Times New Roman"/>
          <w:sz w:val="24"/>
          <w:szCs w:val="24"/>
          <w:lang w:val="es-ES_tradnl" w:eastAsia="es-ES"/>
        </w:rPr>
      </w:pPr>
    </w:p>
    <w:p w:rsidR="0033763D" w:rsidRPr="004760BD" w:rsidRDefault="0033763D" w:rsidP="009820D9">
      <w:pPr>
        <w:keepNext/>
        <w:keepLines/>
        <w:spacing w:after="0" w:line="360" w:lineRule="auto"/>
        <w:ind w:right="332"/>
        <w:outlineLvl w:val="0"/>
        <w:rPr>
          <w:rFonts w:ascii="Palatino Linotype" w:eastAsia="MS Gothic" w:hAnsi="Palatino Linotype" w:cs="Times New Roman"/>
          <w:b/>
          <w:sz w:val="24"/>
          <w:szCs w:val="26"/>
        </w:rPr>
      </w:pPr>
      <w:bookmarkStart w:id="4" w:name="_Toc63949884"/>
      <w:r w:rsidRPr="004760BD">
        <w:rPr>
          <w:rFonts w:ascii="Palatino Linotype" w:eastAsia="MS Mincho" w:hAnsi="Palatino Linotype" w:cstheme="majorBidi"/>
          <w:b/>
          <w:sz w:val="24"/>
          <w:szCs w:val="24"/>
          <w:lang w:val="es-ES_tradnl" w:eastAsia="es-ES"/>
        </w:rPr>
        <w:lastRenderedPageBreak/>
        <w:t>SEGUNDO</w:t>
      </w:r>
      <w:r w:rsidRPr="004760BD">
        <w:rPr>
          <w:rFonts w:ascii="Palatino Linotype" w:eastAsia="MS Gothic" w:hAnsi="Palatino Linotype" w:cs="Times New Roman"/>
          <w:b/>
          <w:sz w:val="24"/>
          <w:szCs w:val="26"/>
        </w:rPr>
        <w:t>. De la oportunidad y procedibilidad del recurso de revisión.</w:t>
      </w:r>
      <w:bookmarkEnd w:id="4"/>
    </w:p>
    <w:p w:rsidR="0033763D" w:rsidRPr="004760BD" w:rsidRDefault="0033763D" w:rsidP="009820D9">
      <w:pPr>
        <w:spacing w:after="0" w:line="360" w:lineRule="auto"/>
        <w:ind w:left="720" w:right="332"/>
        <w:contextualSpacing/>
        <w:rPr>
          <w:rFonts w:ascii="Palatino Linotype" w:eastAsia="Calibri" w:hAnsi="Palatino Linotype" w:cs="Arial"/>
          <w:sz w:val="24"/>
          <w:szCs w:val="24"/>
          <w:lang w:val="es-ES_tradnl"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4760BD">
        <w:rPr>
          <w:rFonts w:ascii="Palatino Linotype" w:eastAsia="Calibri" w:hAnsi="Palatino Linotype" w:cs="Arial"/>
          <w:sz w:val="24"/>
          <w:szCs w:val="24"/>
          <w:lang w:val="es-ES_tradnl" w:eastAsia="es-ES"/>
        </w:rPr>
        <w:t xml:space="preserve">El medio de impugnación fue presentado a través del </w:t>
      </w:r>
      <w:r w:rsidRPr="004760BD">
        <w:rPr>
          <w:rFonts w:ascii="Palatino Linotype" w:eastAsia="Calibri" w:hAnsi="Palatino Linotype" w:cs="Arial"/>
          <w:b/>
          <w:sz w:val="24"/>
          <w:szCs w:val="24"/>
          <w:lang w:val="es-ES_tradnl" w:eastAsia="es-ES"/>
        </w:rPr>
        <w:t>SAIMEX,</w:t>
      </w:r>
      <w:r w:rsidRPr="004760B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4760BD">
        <w:rPr>
          <w:rFonts w:ascii="Palatino Linotype" w:eastAsia="Calibri" w:hAnsi="Palatino Linotype" w:cs="Arial"/>
          <w:b/>
          <w:sz w:val="24"/>
          <w:szCs w:val="24"/>
          <w:lang w:val="es-ES_tradnl" w:eastAsia="es-ES"/>
        </w:rPr>
        <w:t>SUJETO OBLIGADO</w:t>
      </w:r>
      <w:r w:rsidRPr="004760BD">
        <w:rPr>
          <w:rFonts w:ascii="Palatino Linotype" w:eastAsia="Calibri" w:hAnsi="Palatino Linotype" w:cs="Arial"/>
          <w:sz w:val="24"/>
          <w:szCs w:val="24"/>
          <w:lang w:val="es-ES_tradnl" w:eastAsia="es-ES"/>
        </w:rPr>
        <w:t xml:space="preserve"> entregó respuesta el día </w:t>
      </w:r>
      <w:r w:rsidR="002C74E2" w:rsidRPr="004760BD">
        <w:rPr>
          <w:rFonts w:ascii="Palatino Linotype" w:eastAsia="Calibri" w:hAnsi="Palatino Linotype" w:cs="Arial"/>
          <w:sz w:val="24"/>
          <w:szCs w:val="24"/>
          <w:lang w:val="es-ES_tradnl" w:eastAsia="es-ES"/>
        </w:rPr>
        <w:t xml:space="preserve">tres (03) de diciembre </w:t>
      </w:r>
      <w:r w:rsidRPr="004760BD">
        <w:rPr>
          <w:rFonts w:ascii="Palatino Linotype" w:eastAsia="Calibri" w:hAnsi="Palatino Linotype" w:cs="Arial"/>
          <w:sz w:val="24"/>
          <w:szCs w:val="24"/>
          <w:lang w:val="es-ES_tradnl" w:eastAsia="es-ES"/>
        </w:rPr>
        <w:t xml:space="preserve">  de dos mil veinte, </w:t>
      </w:r>
      <w:r w:rsidRPr="004760BD">
        <w:rPr>
          <w:rFonts w:ascii="Palatino Linotype" w:eastAsiaTheme="minorEastAsia" w:hAnsi="Palatino Linotype" w:cs="Arial"/>
          <w:sz w:val="24"/>
          <w:szCs w:val="24"/>
          <w:lang w:val="es-ES_tradnl" w:eastAsia="es-ES"/>
        </w:rPr>
        <w:t xml:space="preserve">de tal forma que el plazo para interponer el recurso transcurrió del día </w:t>
      </w:r>
      <w:r w:rsidR="002C74E2" w:rsidRPr="004760BD">
        <w:rPr>
          <w:rFonts w:ascii="Palatino Linotype" w:eastAsiaTheme="minorEastAsia" w:hAnsi="Palatino Linotype" w:cs="Arial"/>
          <w:sz w:val="24"/>
          <w:szCs w:val="24"/>
          <w:lang w:val="es-ES_tradnl" w:eastAsia="es-ES"/>
        </w:rPr>
        <w:t>cuatro (04) de diciembre de dos mil veinte  al veintiuno (21) de enero de dos mil veintiuno</w:t>
      </w:r>
      <w:r w:rsidRPr="004760BD">
        <w:rPr>
          <w:rFonts w:ascii="Palatino Linotype" w:eastAsiaTheme="minorEastAsia" w:hAnsi="Palatino Linotype" w:cs="Arial"/>
          <w:sz w:val="24"/>
          <w:szCs w:val="24"/>
          <w:lang w:val="es-ES_tradnl" w:eastAsia="es-ES"/>
        </w:rPr>
        <w:t xml:space="preserve">; en consecuencia, si el particular presentó su inconformidad el día </w:t>
      </w:r>
      <w:r w:rsidR="002C74E2" w:rsidRPr="004760BD">
        <w:rPr>
          <w:rFonts w:ascii="Palatino Linotype" w:eastAsiaTheme="minorEastAsia" w:hAnsi="Palatino Linotype" w:cs="Arial"/>
          <w:sz w:val="24"/>
          <w:szCs w:val="24"/>
          <w:lang w:val="es-ES_tradnl" w:eastAsia="es-ES"/>
        </w:rPr>
        <w:t xml:space="preserve">quince (15) de diciembre </w:t>
      </w:r>
      <w:r w:rsidRPr="004760BD">
        <w:rPr>
          <w:rFonts w:ascii="Palatino Linotype" w:eastAsiaTheme="minorEastAsia" w:hAnsi="Palatino Linotype" w:cs="Arial"/>
          <w:sz w:val="24"/>
          <w:szCs w:val="24"/>
          <w:lang w:val="es-ES_tradnl" w:eastAsia="es-ES"/>
        </w:rPr>
        <w:t xml:space="preserve">  de dos mil veinte, se encuentra dentro de los márgenes temporales previstos en el artículo 178 de la </w:t>
      </w:r>
      <w:r w:rsidRPr="004760B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4760BD">
        <w:rPr>
          <w:rFonts w:ascii="Palatino Linotype" w:eastAsiaTheme="minorEastAsia" w:hAnsi="Palatino Linotype" w:cs="Arial"/>
          <w:sz w:val="24"/>
          <w:szCs w:val="24"/>
          <w:lang w:val="es-ES_tradnl" w:eastAsia="es-ES"/>
        </w:rPr>
        <w:t xml:space="preserve">vigente. </w:t>
      </w:r>
    </w:p>
    <w:p w:rsidR="0033763D" w:rsidRPr="004760BD" w:rsidRDefault="0033763D" w:rsidP="009820D9">
      <w:pPr>
        <w:spacing w:after="0" w:line="360" w:lineRule="auto"/>
        <w:ind w:right="332"/>
        <w:contextualSpacing/>
        <w:jc w:val="both"/>
        <w:rPr>
          <w:rFonts w:ascii="Palatino Linotype" w:eastAsiaTheme="minorEastAsia" w:hAnsi="Palatino Linotype"/>
          <w:sz w:val="24"/>
          <w:szCs w:val="24"/>
          <w:lang w:val="es-ES_tradnl" w:eastAsia="es-ES"/>
        </w:rPr>
      </w:pPr>
    </w:p>
    <w:p w:rsidR="0033763D" w:rsidRPr="004760BD" w:rsidRDefault="0033763D" w:rsidP="009820D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4760BD">
        <w:rPr>
          <w:rFonts w:ascii="Palatino Linotype" w:eastAsia="Calibri" w:hAnsi="Palatino Linotype" w:cs="Arial"/>
          <w:sz w:val="24"/>
          <w:szCs w:val="24"/>
        </w:rPr>
        <w:t xml:space="preserve">Por otra parte, de la revisión al expediente electrónico del </w:t>
      </w:r>
      <w:r w:rsidRPr="004760BD">
        <w:rPr>
          <w:rFonts w:ascii="Palatino Linotype" w:eastAsia="Calibri" w:hAnsi="Palatino Linotype" w:cs="Arial"/>
          <w:b/>
          <w:sz w:val="24"/>
          <w:szCs w:val="24"/>
        </w:rPr>
        <w:t>SAIMEX</w:t>
      </w:r>
      <w:r w:rsidRPr="004760BD">
        <w:rPr>
          <w:rFonts w:ascii="Palatino Linotype" w:eastAsia="Calibri" w:hAnsi="Palatino Linotype" w:cs="Arial"/>
          <w:sz w:val="24"/>
          <w:szCs w:val="24"/>
        </w:rPr>
        <w:t xml:space="preserve"> se desprende que la parte solicitante en ejercicio de su derecho de acceso a la información pública en el expediente que se revisa, </w:t>
      </w:r>
      <w:r w:rsidR="00550095" w:rsidRPr="004760BD">
        <w:rPr>
          <w:rFonts w:ascii="Palatino Linotype" w:eastAsia="Calibri" w:hAnsi="Palatino Linotype" w:cs="Arial"/>
          <w:sz w:val="24"/>
          <w:szCs w:val="24"/>
        </w:rPr>
        <w:t>proporciono un seudónimo, es importante señalar</w:t>
      </w:r>
      <w:r w:rsidRPr="004760BD">
        <w:rPr>
          <w:rFonts w:ascii="Palatino Linotype" w:eastAsia="Calibri" w:hAnsi="Palatino Linotype" w:cs="Arial"/>
          <w:sz w:val="24"/>
          <w:szCs w:val="24"/>
        </w:rPr>
        <w:t xml:space="preserve">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3763D" w:rsidRPr="004760BD" w:rsidRDefault="0033763D" w:rsidP="009820D9">
      <w:pPr>
        <w:pStyle w:val="Prrafodelista"/>
        <w:ind w:left="0"/>
        <w:rPr>
          <w:rFonts w:ascii="Palatino Linotype" w:eastAsia="Calibri" w:hAnsi="Palatino Linotype" w:cs="Arial"/>
          <w:sz w:val="24"/>
          <w:szCs w:val="24"/>
        </w:rPr>
      </w:pPr>
    </w:p>
    <w:p w:rsidR="0033763D" w:rsidRPr="004760BD" w:rsidRDefault="0033763D" w:rsidP="009820D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4760BD">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4760BD">
        <w:rPr>
          <w:rFonts w:ascii="Palatino Linotype" w:eastAsia="Calibri" w:hAnsi="Palatino Linotype" w:cs="Arial"/>
          <w:bCs/>
          <w:sz w:val="24"/>
          <w:szCs w:val="24"/>
          <w:lang w:val="es-ES" w:eastAsia="es-ES"/>
        </w:rPr>
        <w:t xml:space="preserve">5, párrafos vigésimo, vigésimo primero y vigésimo </w:t>
      </w:r>
      <w:proofErr w:type="spellStart"/>
      <w:r w:rsidRPr="004760BD">
        <w:rPr>
          <w:rFonts w:ascii="Palatino Linotype" w:eastAsia="Calibri" w:hAnsi="Palatino Linotype" w:cs="Arial"/>
          <w:bCs/>
          <w:sz w:val="24"/>
          <w:szCs w:val="24"/>
          <w:lang w:val="es-ES" w:eastAsia="es-ES"/>
        </w:rPr>
        <w:t>segúndo</w:t>
      </w:r>
      <w:proofErr w:type="spellEnd"/>
      <w:r w:rsidRPr="004760BD">
        <w:rPr>
          <w:rFonts w:ascii="Palatino Linotype" w:eastAsia="Calibri" w:hAnsi="Palatino Linotype" w:cs="Arial"/>
          <w:bCs/>
          <w:sz w:val="24"/>
          <w:szCs w:val="24"/>
          <w:lang w:val="es-ES" w:eastAsia="es-ES"/>
        </w:rPr>
        <w:t> fracciones IV y V </w:t>
      </w:r>
      <w:r w:rsidRPr="004760BD">
        <w:rPr>
          <w:rFonts w:ascii="Palatino Linotype" w:eastAsia="Calibri" w:hAnsi="Palatino Linotype" w:cs="Arial"/>
          <w:sz w:val="24"/>
          <w:szCs w:val="24"/>
          <w:lang w:val="es-ES_tradnl" w:eastAsia="es-ES"/>
        </w:rPr>
        <w:t xml:space="preserve">de la Constitución Política del </w:t>
      </w:r>
      <w:r w:rsidRPr="004760BD">
        <w:rPr>
          <w:rFonts w:ascii="Palatino Linotype" w:eastAsia="Calibri" w:hAnsi="Palatino Linotype" w:cs="Arial"/>
          <w:sz w:val="24"/>
          <w:szCs w:val="24"/>
          <w:lang w:val="es-ES_tradnl" w:eastAsia="es-ES"/>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763D" w:rsidRPr="004760BD" w:rsidRDefault="0033763D" w:rsidP="009820D9">
      <w:pPr>
        <w:pStyle w:val="Prrafodelista"/>
        <w:ind w:left="0"/>
        <w:rPr>
          <w:rFonts w:ascii="Palatino Linotype" w:eastAsia="Calibri" w:hAnsi="Palatino Linotype" w:cs="Arial"/>
          <w:sz w:val="24"/>
          <w:szCs w:val="24"/>
        </w:rPr>
      </w:pPr>
    </w:p>
    <w:p w:rsidR="0033763D" w:rsidRPr="004760BD" w:rsidRDefault="0033763D" w:rsidP="009820D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4760BD">
        <w:rPr>
          <w:rFonts w:ascii="Palatino Linotype" w:eastAsia="Calibri" w:hAnsi="Palatino Linotype" w:cs="Arial"/>
          <w:sz w:val="24"/>
          <w:szCs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763D" w:rsidRPr="004760BD" w:rsidRDefault="0033763D" w:rsidP="009820D9">
      <w:pPr>
        <w:pStyle w:val="Prrafodelista"/>
        <w:ind w:left="0"/>
        <w:rPr>
          <w:rFonts w:ascii="Palatino Linotype" w:eastAsia="Calibri" w:hAnsi="Palatino Linotype" w:cs="Arial"/>
          <w:sz w:val="24"/>
          <w:szCs w:val="24"/>
        </w:rPr>
      </w:pPr>
    </w:p>
    <w:p w:rsidR="0033763D" w:rsidRPr="004760BD" w:rsidRDefault="0033763D" w:rsidP="009820D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4760BD">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3763D" w:rsidRPr="004760BD" w:rsidRDefault="0033763D" w:rsidP="009820D9">
      <w:pPr>
        <w:pStyle w:val="Prrafodelista"/>
        <w:ind w:left="0"/>
        <w:rPr>
          <w:rFonts w:ascii="Palatino Linotype" w:eastAsia="Calibri" w:hAnsi="Palatino Linotype" w:cs="Arial"/>
          <w:sz w:val="24"/>
          <w:szCs w:val="24"/>
        </w:rPr>
      </w:pPr>
    </w:p>
    <w:p w:rsidR="0033763D" w:rsidRPr="004760BD" w:rsidRDefault="0033763D" w:rsidP="009820D9">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4760BD">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3763D" w:rsidRPr="004760BD" w:rsidRDefault="0033763D" w:rsidP="009820D9">
      <w:pPr>
        <w:spacing w:after="0" w:line="360" w:lineRule="auto"/>
        <w:ind w:right="332"/>
        <w:contextualSpacing/>
        <w:jc w:val="both"/>
        <w:rPr>
          <w:rFonts w:ascii="Palatino Linotype" w:eastAsiaTheme="minorEastAsia" w:hAnsi="Palatino Linotype"/>
          <w:sz w:val="24"/>
          <w:szCs w:val="24"/>
          <w:lang w:val="es-ES_tradnl" w:eastAsia="es-ES"/>
        </w:rPr>
      </w:pPr>
    </w:p>
    <w:p w:rsidR="0033763D" w:rsidRPr="004760BD" w:rsidRDefault="0033763D" w:rsidP="009820D9">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4760B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w:t>
      </w:r>
      <w:r w:rsidRPr="004760BD">
        <w:rPr>
          <w:rFonts w:ascii="Palatino Linotype" w:eastAsia="Calibri" w:hAnsi="Palatino Linotype" w:cs="Arial"/>
          <w:sz w:val="28"/>
          <w:szCs w:val="24"/>
          <w:lang w:val="es-ES_tradnl" w:eastAsia="es-ES"/>
        </w:rPr>
        <w:t xml:space="preserve"> </w:t>
      </w:r>
      <w:r w:rsidRPr="004760BD">
        <w:rPr>
          <w:rFonts w:ascii="Palatino Linotype" w:eastAsia="Calibri" w:hAnsi="Palatino Linotype" w:cs="Arial"/>
          <w:sz w:val="24"/>
          <w:szCs w:val="24"/>
          <w:lang w:val="es-ES_tradnl" w:eastAsia="es-ES"/>
        </w:rPr>
        <w:t>el presente recurso.</w:t>
      </w:r>
    </w:p>
    <w:p w:rsidR="0033763D" w:rsidRPr="004760BD" w:rsidRDefault="0033763D" w:rsidP="009820D9">
      <w:pPr>
        <w:spacing w:after="0" w:line="360" w:lineRule="auto"/>
        <w:ind w:right="332"/>
        <w:contextualSpacing/>
        <w:jc w:val="both"/>
        <w:rPr>
          <w:rFonts w:ascii="Palatino Linotype" w:eastAsiaTheme="minorEastAsia" w:hAnsi="Palatino Linotype"/>
          <w:sz w:val="24"/>
          <w:szCs w:val="24"/>
          <w:lang w:val="es-ES_tradnl" w:eastAsia="es-ES"/>
        </w:rPr>
      </w:pPr>
    </w:p>
    <w:p w:rsidR="0033763D" w:rsidRPr="004760BD" w:rsidRDefault="0033763D" w:rsidP="009820D9">
      <w:pPr>
        <w:keepNext/>
        <w:keepLines/>
        <w:spacing w:after="0" w:line="360" w:lineRule="auto"/>
        <w:ind w:right="332"/>
        <w:outlineLvl w:val="0"/>
        <w:rPr>
          <w:rFonts w:ascii="Palatino Linotype" w:eastAsia="MS Gothic" w:hAnsi="Palatino Linotype" w:cs="Times New Roman"/>
          <w:b/>
          <w:sz w:val="24"/>
          <w:szCs w:val="26"/>
        </w:rPr>
      </w:pPr>
      <w:bookmarkStart w:id="5" w:name="_Toc63949885"/>
      <w:r w:rsidRPr="004760BD">
        <w:rPr>
          <w:rFonts w:ascii="Palatino Linotype" w:eastAsia="MS Mincho" w:hAnsi="Palatino Linotype" w:cstheme="majorBidi"/>
          <w:b/>
          <w:sz w:val="24"/>
          <w:szCs w:val="24"/>
          <w:lang w:val="es-ES_tradnl" w:eastAsia="es-ES"/>
        </w:rPr>
        <w:t>TERCERO. Planteamiento de la Litis</w:t>
      </w:r>
      <w:r w:rsidRPr="004760BD">
        <w:rPr>
          <w:rFonts w:ascii="Palatino Linotype" w:eastAsia="MS Gothic" w:hAnsi="Palatino Linotype" w:cs="Times New Roman"/>
          <w:b/>
          <w:sz w:val="24"/>
          <w:szCs w:val="26"/>
        </w:rPr>
        <w:t>.</w:t>
      </w: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bookmarkEnd w:id="5"/>
    </w:p>
    <w:p w:rsidR="001A662D" w:rsidRPr="004760BD" w:rsidRDefault="0033763D" w:rsidP="009820D9">
      <w:pPr>
        <w:pStyle w:val="Prrafodelista"/>
        <w:numPr>
          <w:ilvl w:val="0"/>
          <w:numId w:val="1"/>
        </w:numPr>
        <w:spacing w:after="240" w:line="360" w:lineRule="auto"/>
        <w:ind w:left="0" w:firstLine="0"/>
        <w:jc w:val="both"/>
        <w:rPr>
          <w:rFonts w:ascii="Palatino Linotype" w:eastAsia="MS Gothic" w:hAnsi="Palatino Linotype" w:cs="Times New Roman"/>
          <w:sz w:val="24"/>
        </w:rPr>
      </w:pPr>
      <w:r w:rsidRPr="004760BD">
        <w:rPr>
          <w:rFonts w:ascii="Palatino Linotype" w:eastAsia="MS Gothic" w:hAnsi="Palatino Linotype" w:cs="Times New Roman"/>
          <w:sz w:val="24"/>
        </w:rPr>
        <w:t xml:space="preserve">De las constancias que obran en el expediente de referencia, el RECURRENTE </w:t>
      </w:r>
      <w:r w:rsidR="00550095" w:rsidRPr="004760BD">
        <w:rPr>
          <w:rFonts w:ascii="Palatino Linotype" w:eastAsia="MS Gothic" w:hAnsi="Palatino Linotype" w:cs="Times New Roman"/>
          <w:sz w:val="24"/>
        </w:rPr>
        <w:t xml:space="preserve">solicitó al Ayuntamiento de Chimalhuacán comprobantes de pago o facturas generadas por motivo de </w:t>
      </w:r>
      <w:proofErr w:type="gramStart"/>
      <w:r w:rsidR="00550095" w:rsidRPr="004760BD">
        <w:rPr>
          <w:rFonts w:ascii="Palatino Linotype" w:eastAsia="MS Gothic" w:hAnsi="Palatino Linotype" w:cs="Times New Roman"/>
          <w:sz w:val="24"/>
        </w:rPr>
        <w:t>defunción</w:t>
      </w:r>
      <w:proofErr w:type="gramEnd"/>
      <w:r w:rsidR="00550095" w:rsidRPr="004760BD">
        <w:rPr>
          <w:rFonts w:ascii="Palatino Linotype" w:eastAsia="MS Gothic" w:hAnsi="Palatino Linotype" w:cs="Times New Roman"/>
          <w:sz w:val="24"/>
        </w:rPr>
        <w:t xml:space="preserve"> así como pago de finiquito o liquidación a trabajadores sindicalizados del SUTEYM sección Chimalhuacán, en versión p</w:t>
      </w:r>
      <w:r w:rsidR="00D1545E" w:rsidRPr="004760BD">
        <w:rPr>
          <w:rFonts w:ascii="Palatino Linotype" w:eastAsia="MS Gothic" w:hAnsi="Palatino Linotype" w:cs="Times New Roman"/>
          <w:sz w:val="24"/>
        </w:rPr>
        <w:t>ública del años dos mil dieciséis al dos mil veinte</w:t>
      </w:r>
      <w:r w:rsidRPr="004760BD">
        <w:rPr>
          <w:rFonts w:ascii="Palatino Linotype" w:eastAsia="MS Gothic" w:hAnsi="Palatino Linotype" w:cs="Times New Roman"/>
          <w:sz w:val="24"/>
        </w:rPr>
        <w:t xml:space="preserve">. </w:t>
      </w:r>
    </w:p>
    <w:p w:rsidR="001A662D" w:rsidRPr="004760BD" w:rsidRDefault="001A662D" w:rsidP="009820D9">
      <w:pPr>
        <w:pStyle w:val="Prrafodelista"/>
        <w:spacing w:after="240" w:line="360" w:lineRule="auto"/>
        <w:ind w:left="0"/>
        <w:jc w:val="both"/>
        <w:rPr>
          <w:rFonts w:ascii="Palatino Linotype" w:eastAsia="MS Gothic" w:hAnsi="Palatino Linotype" w:cs="Times New Roman"/>
          <w:sz w:val="24"/>
        </w:rPr>
      </w:pPr>
    </w:p>
    <w:p w:rsidR="001A662D" w:rsidRPr="004760BD" w:rsidRDefault="001A662D" w:rsidP="009820D9">
      <w:pPr>
        <w:pStyle w:val="Prrafodelista"/>
        <w:numPr>
          <w:ilvl w:val="0"/>
          <w:numId w:val="1"/>
        </w:numPr>
        <w:spacing w:after="240" w:line="360" w:lineRule="auto"/>
        <w:ind w:left="0" w:firstLine="0"/>
        <w:jc w:val="both"/>
        <w:rPr>
          <w:rFonts w:ascii="Palatino Linotype" w:eastAsia="MS Gothic" w:hAnsi="Palatino Linotype" w:cs="Times New Roman"/>
          <w:sz w:val="24"/>
        </w:rPr>
      </w:pPr>
      <w:r w:rsidRPr="004760BD">
        <w:rPr>
          <w:rFonts w:ascii="Palatino Linotype" w:eastAsia="MS Gothic" w:hAnsi="Palatino Linotype" w:cs="Times New Roman"/>
          <w:sz w:val="24"/>
        </w:rPr>
        <w:t xml:space="preserve">En respuesta, el SUJETO OBLIGADO informó que por tratarse de información relacionada con el SUTEYM deberá solicitarla al sindicato. </w:t>
      </w:r>
      <w:r w:rsidR="0033763D" w:rsidRPr="004760BD">
        <w:rPr>
          <w:rFonts w:ascii="Palatino Linotype" w:eastAsia="MS Gothic" w:hAnsi="Palatino Linotype" w:cs="Times New Roman"/>
          <w:sz w:val="24"/>
        </w:rPr>
        <w:t xml:space="preserve">Derivado de la respuesta, el RECURRENTE se </w:t>
      </w:r>
      <w:r w:rsidRPr="004760BD">
        <w:rPr>
          <w:rFonts w:ascii="Palatino Linotype" w:eastAsia="MS Gothic" w:hAnsi="Palatino Linotype" w:cs="Times New Roman"/>
          <w:sz w:val="24"/>
        </w:rPr>
        <w:t>i</w:t>
      </w:r>
      <w:r w:rsidR="0033763D" w:rsidRPr="004760BD">
        <w:rPr>
          <w:rFonts w:ascii="Palatino Linotype" w:eastAsia="MS Gothic" w:hAnsi="Palatino Linotype" w:cs="Times New Roman"/>
          <w:sz w:val="24"/>
        </w:rPr>
        <w:t xml:space="preserve">nconformo a través del recurso de revisión manifestando </w:t>
      </w:r>
      <w:r w:rsidRPr="004760BD">
        <w:rPr>
          <w:rFonts w:ascii="Palatino Linotype" w:eastAsia="MS Gothic" w:hAnsi="Palatino Linotype" w:cs="Times New Roman"/>
          <w:sz w:val="24"/>
        </w:rPr>
        <w:t>como motivo de inconformidad que es la administración municipal la encargada de pagar con recurso público a los representantes sindicales.</w:t>
      </w:r>
    </w:p>
    <w:p w:rsidR="0033763D" w:rsidRPr="004760BD" w:rsidRDefault="0033763D" w:rsidP="009820D9">
      <w:pPr>
        <w:pStyle w:val="Prrafodelista"/>
        <w:spacing w:line="360" w:lineRule="auto"/>
        <w:ind w:left="0" w:right="-567"/>
        <w:jc w:val="both"/>
        <w:rPr>
          <w:rFonts w:ascii="Palatino Linotype" w:eastAsia="MS Gothic" w:hAnsi="Palatino Linotype" w:cs="Times New Roman"/>
          <w:b/>
          <w:sz w:val="24"/>
        </w:rPr>
      </w:pPr>
    </w:p>
    <w:p w:rsidR="0033763D" w:rsidRPr="004760BD" w:rsidRDefault="0033763D" w:rsidP="009820D9">
      <w:pPr>
        <w:pStyle w:val="Prrafodelista"/>
        <w:numPr>
          <w:ilvl w:val="0"/>
          <w:numId w:val="1"/>
        </w:numPr>
        <w:spacing w:after="240" w:line="360" w:lineRule="auto"/>
        <w:ind w:left="0" w:firstLine="0"/>
        <w:jc w:val="both"/>
        <w:rPr>
          <w:rFonts w:ascii="Palatino Linotype" w:eastAsia="MS Gothic" w:hAnsi="Palatino Linotype" w:cs="Times New Roman"/>
          <w:sz w:val="24"/>
        </w:rPr>
      </w:pPr>
      <w:r w:rsidRPr="004760BD">
        <w:rPr>
          <w:rFonts w:ascii="Palatino Linotype" w:eastAsia="MS Gothic" w:hAnsi="Palatino Linotype" w:cs="Times New Roman"/>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1A662D" w:rsidRPr="004760BD">
        <w:rPr>
          <w:rFonts w:ascii="Palatino Linotype" w:eastAsia="MS Gothic" w:hAnsi="Palatino Linotype" w:cs="Times New Roman"/>
          <w:sz w:val="24"/>
        </w:rPr>
        <w:t>ue la información sea verificable</w:t>
      </w:r>
      <w:r w:rsidRPr="004760BD">
        <w:rPr>
          <w:rFonts w:ascii="Palatino Linotype" w:eastAsia="MS Gothic" w:hAnsi="Palatino Linotype" w:cs="Times New Roman"/>
          <w:sz w:val="24"/>
        </w:rPr>
        <w:t>.</w:t>
      </w:r>
    </w:p>
    <w:p w:rsidR="0033763D" w:rsidRPr="004760BD" w:rsidRDefault="0033763D" w:rsidP="009820D9">
      <w:pPr>
        <w:pStyle w:val="Prrafodelista"/>
        <w:numPr>
          <w:ilvl w:val="0"/>
          <w:numId w:val="1"/>
        </w:numPr>
        <w:spacing w:after="240" w:line="360" w:lineRule="auto"/>
        <w:ind w:left="0" w:firstLine="0"/>
        <w:jc w:val="both"/>
        <w:rPr>
          <w:rFonts w:ascii="Palatino Linotype" w:eastAsia="MS Gothic" w:hAnsi="Palatino Linotype" w:cs="Times New Roman"/>
          <w:sz w:val="24"/>
          <w:szCs w:val="24"/>
        </w:rPr>
      </w:pPr>
      <w:r w:rsidRPr="004760BD">
        <w:rPr>
          <w:rFonts w:ascii="Palatino Linotype" w:eastAsia="MS Gothic" w:hAnsi="Palatino Linotype" w:cs="Times New Roman"/>
          <w:sz w:val="24"/>
        </w:rPr>
        <w:lastRenderedPageBreak/>
        <w:t>Así mismo determinar si se actualizan las causales de procedencia pre</w:t>
      </w:r>
      <w:r w:rsidR="001A662D" w:rsidRPr="004760BD">
        <w:rPr>
          <w:rFonts w:ascii="Palatino Linotype" w:eastAsia="MS Gothic" w:hAnsi="Palatino Linotype" w:cs="Times New Roman"/>
          <w:sz w:val="24"/>
        </w:rPr>
        <w:t>vistas en las fracciones I y IV</w:t>
      </w:r>
      <w:r w:rsidRPr="004760BD">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 y </w:t>
      </w:r>
      <w:r w:rsidR="001A662D" w:rsidRPr="004760BD">
        <w:rPr>
          <w:rFonts w:ascii="Palatino Linotype" w:hAnsi="Palatino Linotype" w:cs="Arial"/>
          <w:sz w:val="24"/>
          <w:szCs w:val="24"/>
        </w:rPr>
        <w:t>la declaraci</w:t>
      </w:r>
      <w:r w:rsidR="00B77025" w:rsidRPr="004760BD">
        <w:rPr>
          <w:rFonts w:ascii="Palatino Linotype" w:hAnsi="Palatino Linotype" w:cs="Arial"/>
          <w:sz w:val="24"/>
          <w:szCs w:val="24"/>
        </w:rPr>
        <w:t>ón de incompetencia por el sujeto obligado</w:t>
      </w:r>
      <w:r w:rsidRPr="004760BD">
        <w:rPr>
          <w:rFonts w:ascii="Palatino Linotype" w:eastAsia="MS Gothic" w:hAnsi="Palatino Linotype" w:cs="Times New Roman"/>
          <w:sz w:val="24"/>
          <w:szCs w:val="24"/>
        </w:rPr>
        <w:t>.</w:t>
      </w:r>
    </w:p>
    <w:p w:rsidR="000837EB" w:rsidRPr="004760BD" w:rsidRDefault="000837EB" w:rsidP="009820D9">
      <w:pPr>
        <w:pStyle w:val="Prrafodelista"/>
        <w:spacing w:after="240" w:line="360" w:lineRule="auto"/>
        <w:ind w:left="0"/>
        <w:jc w:val="both"/>
        <w:rPr>
          <w:rFonts w:ascii="Palatino Linotype" w:eastAsia="MS Gothic" w:hAnsi="Palatino Linotype" w:cs="Times New Roman"/>
          <w:sz w:val="24"/>
          <w:szCs w:val="24"/>
        </w:rPr>
      </w:pPr>
    </w:p>
    <w:p w:rsidR="000837EB" w:rsidRPr="004760BD" w:rsidRDefault="000837EB" w:rsidP="009820D9">
      <w:pPr>
        <w:keepNext/>
        <w:keepLines/>
        <w:spacing w:line="360" w:lineRule="auto"/>
        <w:ind w:right="48"/>
        <w:outlineLvl w:val="0"/>
        <w:rPr>
          <w:rFonts w:ascii="Palatino Linotype" w:eastAsia="MS Gothic" w:hAnsi="Palatino Linotype" w:cstheme="majorBidi"/>
          <w:b/>
          <w:sz w:val="24"/>
          <w:szCs w:val="24"/>
          <w:lang w:val="es-ES_tradnl" w:eastAsia="es-ES"/>
        </w:rPr>
      </w:pPr>
      <w:bookmarkStart w:id="27" w:name="_Toc62759332"/>
      <w:bookmarkStart w:id="28" w:name="_Toc6394988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760BD">
        <w:rPr>
          <w:rFonts w:ascii="Palatino Linotype" w:eastAsia="MS Gothic" w:hAnsi="Palatino Linotype" w:cstheme="majorBidi"/>
          <w:b/>
          <w:sz w:val="24"/>
          <w:szCs w:val="24"/>
          <w:lang w:val="es-ES_tradnl" w:eastAsia="es-ES"/>
        </w:rPr>
        <w:t>CUARTO. De previo y especial pronunciamiento</w:t>
      </w:r>
      <w:bookmarkEnd w:id="27"/>
      <w:bookmarkEnd w:id="28"/>
      <w:r w:rsidRPr="004760BD">
        <w:rPr>
          <w:rFonts w:ascii="Palatino Linotype" w:eastAsia="MS Gothic" w:hAnsi="Palatino Linotype" w:cstheme="majorBidi"/>
          <w:b/>
          <w:sz w:val="24"/>
          <w:szCs w:val="24"/>
          <w:lang w:val="es-ES_tradnl" w:eastAsia="es-ES"/>
        </w:rPr>
        <w:t xml:space="preserve"> </w:t>
      </w:r>
    </w:p>
    <w:p w:rsidR="000837EB" w:rsidRPr="004760BD" w:rsidRDefault="000837EB" w:rsidP="009820D9">
      <w:pPr>
        <w:keepNext/>
        <w:keepLines/>
        <w:spacing w:line="360" w:lineRule="auto"/>
        <w:ind w:right="48"/>
        <w:outlineLvl w:val="0"/>
        <w:rPr>
          <w:rFonts w:ascii="Palatino Linotype" w:eastAsia="MS Gothic" w:hAnsi="Palatino Linotype" w:cstheme="majorBidi"/>
          <w:b/>
          <w:sz w:val="24"/>
          <w:szCs w:val="24"/>
          <w:lang w:val="es-ES_tradnl" w:eastAsia="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 xml:space="preserve">Ahora bien, desde que inició, a finales de 2019, la crisis generada por el virus </w:t>
      </w:r>
      <w:r w:rsidRPr="004760BD">
        <w:rPr>
          <w:rFonts w:ascii="Palatino Linotype" w:hAnsi="Palatino Linotype"/>
          <w:b/>
          <w:sz w:val="24"/>
          <w:szCs w:val="24"/>
          <w:lang w:val="es-ES"/>
        </w:rPr>
        <w:t xml:space="preserve">SARS-Cov-2 </w:t>
      </w:r>
      <w:proofErr w:type="gramStart"/>
      <w:r w:rsidRPr="004760BD">
        <w:rPr>
          <w:rFonts w:ascii="Palatino Linotype" w:hAnsi="Palatino Linotype"/>
          <w:b/>
          <w:sz w:val="24"/>
          <w:szCs w:val="24"/>
          <w:lang w:val="es-ES"/>
        </w:rPr>
        <w:t>-  COVID</w:t>
      </w:r>
      <w:proofErr w:type="gramEnd"/>
      <w:r w:rsidRPr="004760BD">
        <w:rPr>
          <w:rFonts w:ascii="Palatino Linotype" w:hAnsi="Palatino Linotype"/>
          <w:b/>
          <w:sz w:val="24"/>
          <w:szCs w:val="24"/>
          <w:lang w:val="es-ES"/>
        </w:rPr>
        <w:t>-19</w:t>
      </w:r>
      <w:r w:rsidRPr="004760BD">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837EB" w:rsidRPr="004760BD" w:rsidRDefault="000837EB" w:rsidP="009820D9">
      <w:pPr>
        <w:pStyle w:val="Prrafodelista"/>
        <w:ind w:left="1778"/>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w:t>
      </w:r>
      <w:r w:rsidRPr="004760BD">
        <w:rPr>
          <w:rFonts w:ascii="Palatino Linotype" w:hAnsi="Palatino Linotype"/>
          <w:sz w:val="24"/>
          <w:szCs w:val="24"/>
          <w:lang w:val="es-ES"/>
        </w:rPr>
        <w:lastRenderedPageBreak/>
        <w:t>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w:t>
      </w:r>
      <w:r w:rsidRPr="004760BD">
        <w:rPr>
          <w:rFonts w:ascii="Palatino Linotype" w:hAnsi="Palatino Linotype"/>
          <w:sz w:val="24"/>
          <w:szCs w:val="24"/>
          <w:lang w:val="es-ES"/>
        </w:rPr>
        <w:lastRenderedPageBreak/>
        <w:t>propio Congreso de la Unión, recientemente aprobó la reforma al artículo 311 y la adición del capítulo XII Bis a la Ley del Federal del Trabajo en materia de teletrabajo.</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w:t>
      </w:r>
      <w:r w:rsidRPr="004760BD">
        <w:rPr>
          <w:rFonts w:ascii="Palatino Linotype" w:hAnsi="Palatino Linotype"/>
          <w:sz w:val="24"/>
          <w:szCs w:val="24"/>
          <w:lang w:val="es-ES"/>
        </w:rPr>
        <w:lastRenderedPageBreak/>
        <w:t xml:space="preserve">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0837EB" w:rsidRPr="004760BD" w:rsidRDefault="000837EB" w:rsidP="009820D9">
      <w:pPr>
        <w:pStyle w:val="Prrafodelista"/>
        <w:spacing w:line="360" w:lineRule="auto"/>
        <w:ind w:left="0"/>
        <w:jc w:val="both"/>
        <w:rPr>
          <w:rFonts w:ascii="Palatino Linotype" w:hAnsi="Palatino Linotype"/>
          <w:sz w:val="24"/>
          <w:szCs w:val="24"/>
          <w:lang w:val="es-ES"/>
        </w:rPr>
      </w:pPr>
    </w:p>
    <w:p w:rsidR="000837EB" w:rsidRPr="004760BD" w:rsidRDefault="000837EB" w:rsidP="009820D9">
      <w:pPr>
        <w:pStyle w:val="Prrafodelista"/>
        <w:numPr>
          <w:ilvl w:val="0"/>
          <w:numId w:val="1"/>
        </w:numPr>
        <w:spacing w:line="360" w:lineRule="auto"/>
        <w:ind w:left="0" w:firstLine="0"/>
        <w:jc w:val="both"/>
        <w:rPr>
          <w:rFonts w:ascii="Palatino Linotype" w:hAnsi="Palatino Linotype"/>
          <w:sz w:val="24"/>
          <w:szCs w:val="24"/>
          <w:lang w:val="es-ES"/>
        </w:rPr>
      </w:pPr>
      <w:r w:rsidRPr="004760BD">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0837EB" w:rsidRPr="004760BD" w:rsidRDefault="000837EB" w:rsidP="009820D9">
      <w:pPr>
        <w:pStyle w:val="Prrafodelista"/>
        <w:tabs>
          <w:tab w:val="left" w:pos="0"/>
        </w:tabs>
        <w:spacing w:line="360" w:lineRule="auto"/>
        <w:ind w:left="0" w:right="48"/>
        <w:jc w:val="both"/>
        <w:rPr>
          <w:rFonts w:ascii="Palatino Linotype" w:hAnsi="Palatino Linotype"/>
          <w:i/>
          <w:sz w:val="24"/>
        </w:rPr>
      </w:pPr>
    </w:p>
    <w:p w:rsidR="000837EB" w:rsidRPr="004760BD" w:rsidRDefault="000837EB" w:rsidP="009820D9">
      <w:pPr>
        <w:keepNext/>
        <w:keepLines/>
        <w:spacing w:line="360" w:lineRule="auto"/>
        <w:ind w:right="48"/>
        <w:outlineLvl w:val="0"/>
        <w:rPr>
          <w:rFonts w:ascii="Palatino Linotype" w:eastAsia="MS Gothic" w:hAnsi="Palatino Linotype" w:cstheme="majorBidi"/>
          <w:b/>
          <w:sz w:val="24"/>
          <w:szCs w:val="24"/>
          <w:lang w:val="es-ES_tradnl" w:eastAsia="es-ES"/>
        </w:rPr>
      </w:pPr>
      <w:bookmarkStart w:id="29" w:name="_Toc62759333"/>
      <w:bookmarkStart w:id="30" w:name="_Toc63949887"/>
      <w:r w:rsidRPr="004760BD">
        <w:rPr>
          <w:rFonts w:ascii="Palatino Linotype" w:eastAsia="MS Gothic" w:hAnsi="Palatino Linotype" w:cstheme="majorBidi"/>
          <w:b/>
          <w:sz w:val="24"/>
          <w:szCs w:val="24"/>
          <w:lang w:val="es-ES_tradnl" w:eastAsia="es-ES"/>
        </w:rPr>
        <w:lastRenderedPageBreak/>
        <w:t>QUINTO. Del estudio y resolución del recurso de revisión.</w:t>
      </w:r>
      <w:bookmarkEnd w:id="29"/>
      <w:bookmarkEnd w:id="30"/>
    </w:p>
    <w:p w:rsidR="0033763D" w:rsidRPr="004760BD" w:rsidRDefault="0033763D" w:rsidP="009820D9">
      <w:pPr>
        <w:keepNext/>
        <w:keepLines/>
        <w:spacing w:after="0" w:line="360" w:lineRule="auto"/>
        <w:ind w:right="332"/>
        <w:outlineLvl w:val="0"/>
        <w:rPr>
          <w:rFonts w:ascii="Palatino Linotype" w:eastAsia="MS Gothic" w:hAnsi="Palatino Linotype" w:cstheme="majorBidi"/>
          <w:b/>
          <w:sz w:val="24"/>
          <w:szCs w:val="24"/>
          <w:lang w:val="es-ES_tradnl" w:eastAsia="es-ES"/>
        </w:rPr>
      </w:pPr>
    </w:p>
    <w:p w:rsidR="0033763D" w:rsidRPr="004760BD" w:rsidRDefault="0033763D" w:rsidP="009820D9">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bookmarkStart w:id="31" w:name="_Toc498528948"/>
      <w:bookmarkStart w:id="32" w:name="_Toc536105844"/>
      <w:bookmarkStart w:id="33" w:name="_Toc22238402"/>
      <w:r w:rsidRPr="004760BD">
        <w:rPr>
          <w:rFonts w:ascii="Palatino Linotype" w:eastAsia="MS Gothic" w:hAnsi="Palatino Linotype"/>
          <w:b/>
          <w:sz w:val="24"/>
          <w:lang w:val="es-ES_tradnl" w:eastAsia="es-ES"/>
        </w:rPr>
        <w:t xml:space="preserve">I. </w:t>
      </w:r>
      <w:bookmarkStart w:id="34" w:name="_Toc494366431"/>
      <w:bookmarkEnd w:id="31"/>
      <w:bookmarkEnd w:id="32"/>
      <w:bookmarkEnd w:id="33"/>
      <w:r w:rsidRPr="004760BD">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4760BD">
        <w:rPr>
          <w:rFonts w:ascii="Palatino Linotype" w:eastAsia="Calibri" w:hAnsi="Palatino Linotype" w:cs="Arial"/>
          <w:sz w:val="24"/>
          <w:szCs w:val="24"/>
          <w:lang w:val="es-ES"/>
        </w:rPr>
        <w:t>Ley de Transparencia y Acceso a la Información Pública del Estado de México y Municipios</w:t>
      </w:r>
      <w:r w:rsidRPr="004760BD">
        <w:rPr>
          <w:rFonts w:ascii="Palatino Linotype" w:eastAsia="Times New Roman" w:hAnsi="Palatino Linotype" w:cs="Arial"/>
          <w:sz w:val="24"/>
          <w:szCs w:val="24"/>
          <w:lang w:val="es-ES" w:eastAsia="es-MX"/>
        </w:rPr>
        <w:t>.</w:t>
      </w:r>
    </w:p>
    <w:p w:rsidR="0033763D" w:rsidRPr="004760BD" w:rsidRDefault="0033763D" w:rsidP="009820D9">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33763D" w:rsidRPr="004760BD" w:rsidRDefault="0033763D" w:rsidP="009820D9">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5" w:name="_Toc31301157"/>
      <w:bookmarkStart w:id="36" w:name="_Toc63949888"/>
      <w:r w:rsidRPr="004760BD">
        <w:rPr>
          <w:rFonts w:ascii="Palatino Linotype" w:eastAsia="MS Gothic" w:hAnsi="Palatino Linotype" w:cstheme="majorBidi"/>
          <w:b/>
          <w:sz w:val="24"/>
          <w:szCs w:val="24"/>
          <w:lang w:val="es-ES_tradnl" w:eastAsia="es-ES"/>
        </w:rPr>
        <w:t>I. Fuente Obligacional.</w:t>
      </w:r>
      <w:bookmarkEnd w:id="35"/>
      <w:bookmarkEnd w:id="36"/>
      <w:r w:rsidRPr="004760BD">
        <w:rPr>
          <w:rFonts w:ascii="Palatino Linotype" w:eastAsia="MS Gothic" w:hAnsi="Palatino Linotype" w:cstheme="majorBidi"/>
          <w:b/>
          <w:sz w:val="24"/>
          <w:szCs w:val="24"/>
          <w:lang w:val="es-ES_tradnl" w:eastAsia="es-ES"/>
        </w:rPr>
        <w:t xml:space="preserve"> </w:t>
      </w:r>
    </w:p>
    <w:p w:rsidR="0033763D" w:rsidRPr="004760BD" w:rsidRDefault="0033763D" w:rsidP="009820D9">
      <w:pPr>
        <w:spacing w:after="0" w:line="360" w:lineRule="auto"/>
        <w:rPr>
          <w:rFonts w:ascii="Palatino Linotype" w:eastAsia="MS Mincho" w:hAnsi="Palatino Linotype" w:cs="Times New Roman"/>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4760B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3763D" w:rsidRPr="004760BD" w:rsidRDefault="0033763D" w:rsidP="009820D9">
      <w:pPr>
        <w:spacing w:after="0" w:line="360" w:lineRule="auto"/>
        <w:ind w:right="49"/>
        <w:contextualSpacing/>
        <w:jc w:val="both"/>
        <w:rPr>
          <w:rFonts w:ascii="Palatino Linotype" w:eastAsia="MS Mincho" w:hAnsi="Palatino Linotype" w:cs="Times New Roman"/>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El </w:t>
      </w:r>
      <w:r w:rsidRPr="004760BD">
        <w:rPr>
          <w:rFonts w:ascii="Palatino Linotype" w:eastAsia="MS Mincho" w:hAnsi="Palatino Linotype" w:cs="Times New Roman"/>
          <w:b/>
          <w:sz w:val="24"/>
          <w:szCs w:val="24"/>
          <w:lang w:val="es-ES_tradnl" w:eastAsia="es-ES"/>
        </w:rPr>
        <w:t>Sujeto Obligado</w:t>
      </w:r>
      <w:r w:rsidRPr="004760BD">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4760B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4760BD">
        <w:rPr>
          <w:rFonts w:ascii="Palatino Linotype" w:eastAsia="MS Mincho" w:hAnsi="Palatino Linotype" w:cstheme="majorBidi"/>
          <w:b/>
          <w:sz w:val="24"/>
          <w:szCs w:val="24"/>
          <w:lang w:val="es-ES_tradnl" w:eastAsia="es-ES"/>
        </w:rPr>
        <w:t xml:space="preserve"> </w:t>
      </w:r>
      <w:r w:rsidRPr="004760BD">
        <w:rPr>
          <w:rFonts w:ascii="Palatino Linotype" w:eastAsia="MS Mincho" w:hAnsi="Palatino Linotype" w:cstheme="majorBidi"/>
          <w:sz w:val="24"/>
          <w:szCs w:val="24"/>
          <w:lang w:val="es-ES_tradnl" w:eastAsia="es-ES"/>
        </w:rPr>
        <w:t xml:space="preserve">al señalar la obligación de </w:t>
      </w:r>
      <w:r w:rsidRPr="004760BD">
        <w:rPr>
          <w:rFonts w:ascii="Palatino Linotype" w:eastAsia="MS Mincho" w:hAnsi="Palatino Linotype" w:cstheme="majorBidi"/>
          <w:i/>
          <w:sz w:val="24"/>
          <w:szCs w:val="24"/>
          <w:lang w:val="es-ES_tradnl" w:eastAsia="es-ES"/>
        </w:rPr>
        <w:t xml:space="preserve">“promover, respetar, proteger y garantizar los derechos humanos”, </w:t>
      </w:r>
      <w:r w:rsidRPr="004760BD">
        <w:rPr>
          <w:rFonts w:ascii="Palatino Linotype" w:eastAsia="MS Mincho" w:hAnsi="Palatino Linotype" w:cstheme="majorBidi"/>
          <w:sz w:val="24"/>
          <w:szCs w:val="24"/>
          <w:lang w:val="es-ES_tradnl" w:eastAsia="es-ES"/>
        </w:rPr>
        <w:t>entre los cuales se encuentra dicho derecho.</w:t>
      </w:r>
    </w:p>
    <w:p w:rsidR="0033763D" w:rsidRPr="004760BD" w:rsidRDefault="0033763D" w:rsidP="009820D9">
      <w:pPr>
        <w:spacing w:after="0" w:line="360" w:lineRule="auto"/>
        <w:ind w:right="49"/>
        <w:contextualSpacing/>
        <w:jc w:val="both"/>
        <w:rPr>
          <w:rFonts w:ascii="Palatino Linotype" w:eastAsia="MS Mincho" w:hAnsi="Palatino Linotype" w:cstheme="majorBidi"/>
          <w:i/>
          <w:sz w:val="24"/>
          <w:szCs w:val="24"/>
          <w:lang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4760BD">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4760BD">
        <w:rPr>
          <w:rFonts w:ascii="Palatino Linotype" w:eastAsia="MS Mincho" w:hAnsi="Palatino Linotype" w:cstheme="majorBidi"/>
          <w:sz w:val="24"/>
          <w:szCs w:val="24"/>
          <w:lang w:val="es-ES" w:eastAsia="es-ES"/>
        </w:rPr>
        <w:t xml:space="preserve">de la Constitución Política de los Estados Unidos Mexicanos el cual establece </w:t>
      </w:r>
      <w:r w:rsidRPr="004760BD">
        <w:rPr>
          <w:rFonts w:ascii="Palatino Linotype" w:eastAsia="MS Mincho" w:hAnsi="Palatino Linotype" w:cstheme="majorBidi"/>
          <w:sz w:val="24"/>
          <w:szCs w:val="24"/>
          <w:lang w:eastAsia="es-ES"/>
        </w:rPr>
        <w:t xml:space="preserve">que </w:t>
      </w:r>
      <w:r w:rsidRPr="004760BD">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4760BD">
        <w:rPr>
          <w:rFonts w:ascii="Palatino Linotype" w:eastAsia="MS Mincho" w:hAnsi="Palatino Linotype" w:cstheme="majorBidi"/>
          <w:b/>
          <w:i/>
          <w:sz w:val="24"/>
          <w:szCs w:val="24"/>
          <w:lang w:val="es-ES" w:eastAsia="es-ES"/>
        </w:rPr>
        <w:t>es pública</w:t>
      </w:r>
      <w:r w:rsidRPr="004760B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763D" w:rsidRPr="004760BD" w:rsidRDefault="0033763D" w:rsidP="009820D9">
      <w:pPr>
        <w:spacing w:after="0" w:line="360" w:lineRule="auto"/>
        <w:ind w:right="49"/>
        <w:contextualSpacing/>
        <w:jc w:val="both"/>
        <w:rPr>
          <w:rFonts w:ascii="Palatino Linotype" w:eastAsia="MS Mincho" w:hAnsi="Palatino Linotype" w:cstheme="majorBidi"/>
          <w:i/>
          <w:sz w:val="24"/>
          <w:szCs w:val="24"/>
          <w:lang w:val="es-ES"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4760B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4760BD">
        <w:rPr>
          <w:rFonts w:ascii="Palatino Linotype" w:eastAsia="MS Mincho" w:hAnsi="Palatino Linotype" w:cstheme="majorBidi"/>
          <w:i/>
          <w:sz w:val="24"/>
          <w:szCs w:val="24"/>
          <w:lang w:val="es-ES_tradnl" w:eastAsia="es-ES"/>
        </w:rPr>
        <w:t>generen, administren o posean las autoridades</w:t>
      </w:r>
      <w:r w:rsidRPr="004760B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33763D" w:rsidRPr="004760BD" w:rsidRDefault="0033763D" w:rsidP="009820D9">
      <w:pPr>
        <w:spacing w:after="0" w:line="360" w:lineRule="auto"/>
        <w:ind w:right="49"/>
        <w:contextualSpacing/>
        <w:jc w:val="both"/>
        <w:rPr>
          <w:rFonts w:ascii="Palatino Linotype" w:eastAsia="MS Mincho" w:hAnsi="Palatino Linotype" w:cstheme="majorBidi"/>
          <w:i/>
          <w:sz w:val="24"/>
          <w:szCs w:val="24"/>
          <w:lang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33763D" w:rsidRPr="004760BD" w:rsidRDefault="0033763D" w:rsidP="009820D9">
      <w:pPr>
        <w:spacing w:after="0" w:line="360" w:lineRule="auto"/>
        <w:ind w:right="49"/>
        <w:contextualSpacing/>
        <w:jc w:val="both"/>
        <w:rPr>
          <w:rFonts w:ascii="Palatino Linotype" w:eastAsia="MS Mincho" w:hAnsi="Palatino Linotype" w:cs="Times New Roman"/>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4760BD">
        <w:rPr>
          <w:rFonts w:ascii="Palatino Linotype" w:eastAsia="MS Mincho" w:hAnsi="Palatino Linotype" w:cs="Times New Roman"/>
          <w:sz w:val="24"/>
          <w:szCs w:val="24"/>
          <w:lang w:val="es-ES_tradnl" w:eastAsia="es-ES"/>
        </w:rPr>
        <w:t xml:space="preserve">De acuerdo con el artículo 4 de la Ley en la materia, señala que </w:t>
      </w:r>
      <w:r w:rsidRPr="004760BD">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w:t>
      </w:r>
      <w:r w:rsidRPr="004760BD">
        <w:rPr>
          <w:rFonts w:ascii="Palatino Linotype" w:eastAsia="MS Mincho" w:hAnsi="Palatino Linotype" w:cs="Times New Roman"/>
          <w:i/>
          <w:sz w:val="24"/>
          <w:szCs w:val="24"/>
          <w:lang w:val="es-ES_tradnl" w:eastAsia="es-ES"/>
        </w:rPr>
        <w:lastRenderedPageBreak/>
        <w:t>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33763D" w:rsidRPr="004760BD" w:rsidRDefault="0033763D" w:rsidP="009820D9">
      <w:pPr>
        <w:spacing w:after="0" w:line="360" w:lineRule="auto"/>
        <w:ind w:right="49"/>
        <w:contextualSpacing/>
        <w:jc w:val="both"/>
        <w:rPr>
          <w:rFonts w:ascii="Palatino Linotype" w:eastAsia="MS Mincho" w:hAnsi="Palatino Linotype" w:cs="Times New Roman"/>
          <w:i/>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33763D" w:rsidRPr="004760BD" w:rsidRDefault="0033763D" w:rsidP="009820D9">
      <w:pPr>
        <w:pStyle w:val="Prrafodelista"/>
        <w:spacing w:after="0" w:line="360" w:lineRule="auto"/>
        <w:rPr>
          <w:rFonts w:ascii="Palatino Linotype" w:eastAsia="MS Mincho" w:hAnsi="Palatino Linotype" w:cs="Times New Roman"/>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Por lo que, toda la información que sea generada, poseída y administrada por el</w:t>
      </w:r>
      <w:r w:rsidRPr="004760BD">
        <w:rPr>
          <w:rFonts w:ascii="Palatino Linotype" w:eastAsia="MS Mincho" w:hAnsi="Palatino Linotype" w:cs="Times New Roman"/>
          <w:b/>
          <w:sz w:val="24"/>
          <w:szCs w:val="24"/>
          <w:lang w:val="es-ES_tradnl" w:eastAsia="es-ES"/>
        </w:rPr>
        <w:t xml:space="preserve"> Sujeto Obligado,</w:t>
      </w:r>
      <w:r w:rsidRPr="004760BD">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33763D" w:rsidRPr="004760BD" w:rsidRDefault="0033763D" w:rsidP="009820D9">
      <w:pPr>
        <w:spacing w:after="0" w:line="360" w:lineRule="auto"/>
        <w:ind w:right="49"/>
        <w:contextualSpacing/>
        <w:jc w:val="both"/>
        <w:rPr>
          <w:rFonts w:ascii="Palatino Linotype" w:eastAsia="MS Mincho" w:hAnsi="Palatino Linotype" w:cs="Times New Roman"/>
          <w:sz w:val="24"/>
          <w:szCs w:val="24"/>
          <w:lang w:val="es-ES_tradnl" w:eastAsia="es-ES"/>
        </w:rPr>
      </w:pPr>
    </w:p>
    <w:p w:rsidR="0033763D" w:rsidRPr="004760BD" w:rsidRDefault="0033763D" w:rsidP="009820D9">
      <w:pPr>
        <w:keepNext/>
        <w:keepLines/>
        <w:spacing w:after="0" w:line="360" w:lineRule="auto"/>
        <w:outlineLvl w:val="0"/>
        <w:rPr>
          <w:rFonts w:ascii="Palatino Linotype" w:eastAsia="MS Gothic" w:hAnsi="Palatino Linotype" w:cstheme="majorBidi"/>
          <w:b/>
          <w:sz w:val="24"/>
          <w:szCs w:val="24"/>
          <w:lang w:val="es-ES_tradnl" w:eastAsia="es-ES"/>
        </w:rPr>
      </w:pPr>
      <w:bookmarkStart w:id="37" w:name="_Toc31301158"/>
      <w:bookmarkStart w:id="38" w:name="_Toc63949889"/>
      <w:r w:rsidRPr="004760BD">
        <w:rPr>
          <w:rFonts w:ascii="Palatino Linotype" w:eastAsia="MS Gothic" w:hAnsi="Palatino Linotype" w:cstheme="majorBidi"/>
          <w:b/>
          <w:sz w:val="24"/>
          <w:szCs w:val="24"/>
          <w:lang w:val="es-ES_tradnl" w:eastAsia="es-ES"/>
        </w:rPr>
        <w:t>II. De la información solicitada y la respuesta del Sujeto Obligado.</w:t>
      </w:r>
      <w:bookmarkEnd w:id="37"/>
      <w:bookmarkEnd w:id="38"/>
      <w:r w:rsidRPr="004760BD">
        <w:rPr>
          <w:rFonts w:ascii="Palatino Linotype" w:eastAsia="MS Gothic" w:hAnsi="Palatino Linotype" w:cstheme="majorBidi"/>
          <w:b/>
          <w:sz w:val="24"/>
          <w:szCs w:val="24"/>
          <w:lang w:val="es-ES_tradnl" w:eastAsia="es-ES"/>
        </w:rPr>
        <w:t xml:space="preserve"> </w:t>
      </w:r>
    </w:p>
    <w:p w:rsidR="0033763D" w:rsidRPr="004760BD" w:rsidRDefault="0033763D" w:rsidP="009820D9">
      <w:pPr>
        <w:spacing w:after="0" w:line="360" w:lineRule="auto"/>
        <w:ind w:right="49"/>
        <w:contextualSpacing/>
        <w:jc w:val="both"/>
        <w:rPr>
          <w:rFonts w:ascii="Palatino Linotype" w:eastAsia="MS Mincho" w:hAnsi="Palatino Linotype" w:cs="Times New Roman"/>
          <w:sz w:val="24"/>
          <w:szCs w:val="24"/>
          <w:lang w:val="es-ES_tradnl" w:eastAsia="es-ES"/>
        </w:rPr>
      </w:pPr>
    </w:p>
    <w:p w:rsidR="0033763D" w:rsidRPr="004760BD" w:rsidRDefault="0033763D"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Para proceder al análisis del presente asunto, es necesario recapitular lo que el particular solicitó del </w:t>
      </w:r>
      <w:r w:rsidRPr="004760BD">
        <w:rPr>
          <w:rFonts w:ascii="Palatino Linotype" w:eastAsia="MS Mincho" w:hAnsi="Palatino Linotype" w:cs="Times New Roman"/>
          <w:b/>
          <w:sz w:val="24"/>
          <w:szCs w:val="24"/>
          <w:lang w:val="es-ES_tradnl" w:eastAsia="es-ES"/>
        </w:rPr>
        <w:t>Sujeto Obligado</w:t>
      </w:r>
      <w:r w:rsidRPr="004760BD">
        <w:rPr>
          <w:rFonts w:ascii="Palatino Linotype" w:eastAsia="MS Mincho" w:hAnsi="Palatino Linotype" w:cs="Times New Roman"/>
          <w:sz w:val="24"/>
          <w:szCs w:val="24"/>
          <w:lang w:val="es-ES_tradnl" w:eastAsia="es-ES"/>
        </w:rPr>
        <w:t xml:space="preserve">: </w:t>
      </w:r>
    </w:p>
    <w:p w:rsidR="00B77025" w:rsidRPr="004760BD" w:rsidRDefault="00B77025" w:rsidP="009820D9">
      <w:pPr>
        <w:spacing w:after="0" w:line="360" w:lineRule="auto"/>
        <w:ind w:right="49"/>
        <w:contextualSpacing/>
        <w:jc w:val="both"/>
        <w:rPr>
          <w:rFonts w:ascii="Palatino Linotype" w:eastAsia="MS Mincho" w:hAnsi="Palatino Linotype" w:cs="Times New Roman"/>
          <w:sz w:val="24"/>
          <w:szCs w:val="24"/>
          <w:lang w:val="es-ES_tradnl" w:eastAsia="es-ES"/>
        </w:rPr>
      </w:pPr>
    </w:p>
    <w:p w:rsidR="00B77025" w:rsidRPr="004760BD" w:rsidRDefault="00B77025" w:rsidP="009820D9">
      <w:pPr>
        <w:pStyle w:val="Prrafodelista"/>
        <w:numPr>
          <w:ilvl w:val="0"/>
          <w:numId w:val="8"/>
        </w:numPr>
        <w:spacing w:after="0" w:line="360" w:lineRule="auto"/>
        <w:ind w:right="49"/>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 xml:space="preserve">Comprobantes de pago o facturas generadas con </w:t>
      </w:r>
      <w:r w:rsidR="00A2100B" w:rsidRPr="004760BD">
        <w:rPr>
          <w:rFonts w:ascii="Palatino Linotype" w:eastAsia="MS Mincho" w:hAnsi="Palatino Linotype" w:cs="Times New Roman"/>
          <w:sz w:val="24"/>
          <w:szCs w:val="24"/>
          <w:lang w:val="es-ES_tradnl" w:eastAsia="es-ES"/>
        </w:rPr>
        <w:t>motivo de defunción a servidores públicos</w:t>
      </w:r>
      <w:r w:rsidRPr="004760BD">
        <w:rPr>
          <w:rFonts w:ascii="Palatino Linotype" w:eastAsia="MS Mincho" w:hAnsi="Palatino Linotype" w:cs="Times New Roman"/>
          <w:sz w:val="24"/>
          <w:szCs w:val="24"/>
          <w:lang w:val="es-ES_tradnl" w:eastAsia="es-ES"/>
        </w:rPr>
        <w:t xml:space="preserve"> sindicalizados el SUTEYM, del año dos mil dieciséis </w:t>
      </w:r>
      <w:proofErr w:type="gramStart"/>
      <w:r w:rsidRPr="004760BD">
        <w:rPr>
          <w:rFonts w:ascii="Palatino Linotype" w:eastAsia="MS Mincho" w:hAnsi="Palatino Linotype" w:cs="Times New Roman"/>
          <w:sz w:val="24"/>
          <w:szCs w:val="24"/>
          <w:lang w:val="es-ES_tradnl" w:eastAsia="es-ES"/>
        </w:rPr>
        <w:t>al años</w:t>
      </w:r>
      <w:proofErr w:type="gramEnd"/>
      <w:r w:rsidRPr="004760BD">
        <w:rPr>
          <w:rFonts w:ascii="Palatino Linotype" w:eastAsia="MS Mincho" w:hAnsi="Palatino Linotype" w:cs="Times New Roman"/>
          <w:sz w:val="24"/>
          <w:szCs w:val="24"/>
          <w:lang w:val="es-ES_tradnl" w:eastAsia="es-ES"/>
        </w:rPr>
        <w:t xml:space="preserve"> dos mil veinte.</w:t>
      </w:r>
    </w:p>
    <w:p w:rsidR="00B77025" w:rsidRPr="004760BD" w:rsidRDefault="00B77025" w:rsidP="009820D9">
      <w:pPr>
        <w:pStyle w:val="Prrafodelista"/>
        <w:numPr>
          <w:ilvl w:val="0"/>
          <w:numId w:val="8"/>
        </w:numPr>
        <w:spacing w:after="0" w:line="360" w:lineRule="auto"/>
        <w:ind w:right="49"/>
        <w:jc w:val="both"/>
        <w:rPr>
          <w:rFonts w:ascii="Palatino Linotype" w:eastAsia="MS Mincho" w:hAnsi="Palatino Linotype" w:cs="Times New Roman"/>
          <w:sz w:val="24"/>
          <w:szCs w:val="24"/>
          <w:lang w:val="es-ES_tradnl" w:eastAsia="es-ES"/>
        </w:rPr>
      </w:pPr>
      <w:r w:rsidRPr="004760BD">
        <w:rPr>
          <w:rFonts w:ascii="Palatino Linotype" w:eastAsia="MS Mincho" w:hAnsi="Palatino Linotype" w:cs="Times New Roman"/>
          <w:sz w:val="24"/>
          <w:szCs w:val="24"/>
          <w:lang w:val="es-ES_tradnl" w:eastAsia="es-ES"/>
        </w:rPr>
        <w:t>Pago de finiqu</w:t>
      </w:r>
      <w:r w:rsidR="00A2100B" w:rsidRPr="004760BD">
        <w:rPr>
          <w:rFonts w:ascii="Palatino Linotype" w:eastAsia="MS Mincho" w:hAnsi="Palatino Linotype" w:cs="Times New Roman"/>
          <w:sz w:val="24"/>
          <w:szCs w:val="24"/>
          <w:lang w:val="es-ES_tradnl" w:eastAsia="es-ES"/>
        </w:rPr>
        <w:t>ito o liquidación a servidores públicos</w:t>
      </w:r>
      <w:r w:rsidRPr="004760BD">
        <w:rPr>
          <w:rFonts w:ascii="Palatino Linotype" w:eastAsia="MS Mincho" w:hAnsi="Palatino Linotype" w:cs="Times New Roman"/>
          <w:sz w:val="24"/>
          <w:szCs w:val="24"/>
          <w:lang w:val="es-ES_tradnl" w:eastAsia="es-ES"/>
        </w:rPr>
        <w:t xml:space="preserve"> sindicalizados del SUTEYM, </w:t>
      </w:r>
      <w:proofErr w:type="gramStart"/>
      <w:r w:rsidRPr="004760BD">
        <w:rPr>
          <w:rFonts w:ascii="Palatino Linotype" w:eastAsia="MS Mincho" w:hAnsi="Palatino Linotype" w:cs="Times New Roman"/>
          <w:sz w:val="24"/>
          <w:szCs w:val="24"/>
          <w:lang w:val="es-ES_tradnl" w:eastAsia="es-ES"/>
        </w:rPr>
        <w:t>del años</w:t>
      </w:r>
      <w:proofErr w:type="gramEnd"/>
      <w:r w:rsidRPr="004760BD">
        <w:rPr>
          <w:rFonts w:ascii="Palatino Linotype" w:eastAsia="MS Mincho" w:hAnsi="Palatino Linotype" w:cs="Times New Roman"/>
          <w:sz w:val="24"/>
          <w:szCs w:val="24"/>
          <w:lang w:val="es-ES_tradnl" w:eastAsia="es-ES"/>
        </w:rPr>
        <w:t xml:space="preserve"> dos mil dieciséis al años dos mil veinte.</w:t>
      </w:r>
    </w:p>
    <w:p w:rsidR="00B77025" w:rsidRPr="004760BD" w:rsidRDefault="00B77025" w:rsidP="009820D9">
      <w:pPr>
        <w:pStyle w:val="Prrafodelista"/>
        <w:spacing w:after="0" w:line="360" w:lineRule="auto"/>
        <w:ind w:right="49"/>
        <w:jc w:val="both"/>
        <w:rPr>
          <w:rFonts w:ascii="Palatino Linotype" w:eastAsia="MS Mincho" w:hAnsi="Palatino Linotype" w:cs="Times New Roman"/>
          <w:sz w:val="24"/>
          <w:szCs w:val="24"/>
          <w:lang w:val="es-ES_tradnl" w:eastAsia="es-ES"/>
        </w:rPr>
      </w:pPr>
    </w:p>
    <w:p w:rsidR="0033763D" w:rsidRPr="004760BD" w:rsidRDefault="00B77025" w:rsidP="009820D9">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60BD">
        <w:rPr>
          <w:rFonts w:ascii="Palatino Linotype" w:eastAsia="MS Gothic" w:hAnsi="Palatino Linotype" w:cs="Times New Roman"/>
          <w:sz w:val="24"/>
        </w:rPr>
        <w:lastRenderedPageBreak/>
        <w:t xml:space="preserve">En respuesta, el SUJETO OBLIGADO informó que por tratarse de información relacionada con el </w:t>
      </w:r>
      <w:r w:rsidR="009C7551" w:rsidRPr="004760BD">
        <w:rPr>
          <w:rFonts w:ascii="Palatino Linotype" w:eastAsia="MS Gothic" w:hAnsi="Palatino Linotype" w:cs="Times New Roman"/>
          <w:sz w:val="24"/>
        </w:rPr>
        <w:t>SUTEYM debería</w:t>
      </w:r>
      <w:r w:rsidRPr="004760BD">
        <w:rPr>
          <w:rFonts w:ascii="Palatino Linotype" w:eastAsia="MS Gothic" w:hAnsi="Palatino Linotype" w:cs="Times New Roman"/>
          <w:sz w:val="24"/>
        </w:rPr>
        <w:t xml:space="preserve"> solicitarla al sindicato. </w:t>
      </w:r>
    </w:p>
    <w:p w:rsidR="0044062F" w:rsidRPr="004760BD" w:rsidRDefault="0044062F" w:rsidP="009820D9">
      <w:pPr>
        <w:rPr>
          <w:rFonts w:ascii="Palatino Linotype" w:hAnsi="Palatino Linotype"/>
          <w:iCs/>
          <w:color w:val="FF0000"/>
          <w:sz w:val="24"/>
          <w:szCs w:val="24"/>
        </w:rPr>
      </w:pPr>
    </w:p>
    <w:p w:rsidR="007B5521" w:rsidRPr="004760BD" w:rsidRDefault="00556D3E" w:rsidP="009820D9">
      <w:pPr>
        <w:pStyle w:val="Prrafodelista"/>
        <w:numPr>
          <w:ilvl w:val="0"/>
          <w:numId w:val="1"/>
        </w:numPr>
        <w:spacing w:after="0" w:line="360" w:lineRule="auto"/>
        <w:ind w:left="0" w:firstLine="0"/>
        <w:jc w:val="both"/>
        <w:rPr>
          <w:rFonts w:ascii="Palatino Linotype" w:hAnsi="Palatino Linotype"/>
          <w:iCs/>
          <w:color w:val="000000"/>
          <w:sz w:val="24"/>
          <w:szCs w:val="24"/>
        </w:rPr>
      </w:pPr>
      <w:r w:rsidRPr="004760BD">
        <w:rPr>
          <w:rFonts w:ascii="Palatino Linotype" w:hAnsi="Palatino Linotype"/>
          <w:iCs/>
          <w:color w:val="000000"/>
          <w:sz w:val="24"/>
          <w:szCs w:val="24"/>
        </w:rPr>
        <w:t xml:space="preserve">Ahora bien, de acuerdo a la Ley de Seguridad </w:t>
      </w:r>
      <w:r w:rsidR="00C9715E" w:rsidRPr="004760BD">
        <w:rPr>
          <w:rFonts w:ascii="Palatino Linotype" w:hAnsi="Palatino Linotype"/>
          <w:iCs/>
          <w:color w:val="000000"/>
          <w:sz w:val="24"/>
          <w:szCs w:val="24"/>
        </w:rPr>
        <w:t xml:space="preserve">Social para los Servidores Públicos del Estado de México y Municipios </w:t>
      </w:r>
      <w:r w:rsidR="00866C70" w:rsidRPr="004760BD">
        <w:rPr>
          <w:rFonts w:ascii="Palatino Linotype" w:hAnsi="Palatino Linotype"/>
          <w:iCs/>
          <w:color w:val="000000"/>
          <w:sz w:val="24"/>
          <w:szCs w:val="24"/>
        </w:rPr>
        <w:t>señala</w:t>
      </w:r>
      <w:r w:rsidR="00C9715E" w:rsidRPr="004760BD">
        <w:rPr>
          <w:rFonts w:ascii="Palatino Linotype" w:hAnsi="Palatino Linotype"/>
          <w:iCs/>
          <w:color w:val="000000"/>
          <w:sz w:val="24"/>
          <w:szCs w:val="24"/>
        </w:rPr>
        <w:t xml:space="preserve"> en su artículo 11 que la pensión y seguro por fallecimiento es una prestación obligatoria que tienen los servidores públicos. De acuerdo al artículo 103 de mismo ordenamiento jurídico cuando fallezca un servidor público o pensionado, sus familiares o dependientes económicos tendrán derecho al pago de una pensión por fallecimiento, en cuanto al seguro por fallecim</w:t>
      </w:r>
      <w:r w:rsidR="001A7957" w:rsidRPr="004760BD">
        <w:rPr>
          <w:rFonts w:ascii="Palatino Linotype" w:hAnsi="Palatino Linotype"/>
          <w:iCs/>
          <w:color w:val="000000"/>
          <w:sz w:val="24"/>
          <w:szCs w:val="24"/>
        </w:rPr>
        <w:t>iento, el artículo 132 del ordenamiento jurídico referido</w:t>
      </w:r>
      <w:r w:rsidR="00C9715E" w:rsidRPr="004760BD">
        <w:rPr>
          <w:rFonts w:ascii="Palatino Linotype" w:hAnsi="Palatino Linotype"/>
          <w:iCs/>
          <w:color w:val="000000"/>
          <w:sz w:val="24"/>
          <w:szCs w:val="24"/>
        </w:rPr>
        <w:t xml:space="preserve">, establece </w:t>
      </w:r>
      <w:proofErr w:type="gramStart"/>
      <w:r w:rsidR="00C9715E" w:rsidRPr="004760BD">
        <w:rPr>
          <w:rFonts w:ascii="Palatino Linotype" w:hAnsi="Palatino Linotype"/>
          <w:iCs/>
          <w:color w:val="000000"/>
          <w:sz w:val="24"/>
          <w:szCs w:val="24"/>
        </w:rPr>
        <w:t>que</w:t>
      </w:r>
      <w:proofErr w:type="gramEnd"/>
      <w:r w:rsidR="00C9715E" w:rsidRPr="004760BD">
        <w:rPr>
          <w:rFonts w:ascii="Palatino Linotype" w:hAnsi="Palatino Linotype"/>
          <w:iCs/>
          <w:color w:val="000000"/>
          <w:sz w:val="24"/>
          <w:szCs w:val="24"/>
        </w:rPr>
        <w:t xml:space="preserve"> en el caso de</w:t>
      </w:r>
      <w:r w:rsidR="00866C70" w:rsidRPr="004760BD">
        <w:rPr>
          <w:rFonts w:ascii="Palatino Linotype" w:hAnsi="Palatino Linotype"/>
          <w:iCs/>
          <w:color w:val="000000"/>
          <w:sz w:val="24"/>
          <w:szCs w:val="24"/>
        </w:rPr>
        <w:t>l fallecimiento del servidor público o pensionado, sus familiares o dependientes económicos tendrán derecho a recibir el importe de un seguro por fallecimiento.</w:t>
      </w:r>
    </w:p>
    <w:p w:rsidR="00866C70" w:rsidRPr="004760BD" w:rsidRDefault="00866C70" w:rsidP="009820D9">
      <w:pPr>
        <w:pStyle w:val="Prrafodelista"/>
        <w:rPr>
          <w:rFonts w:ascii="Palatino Linotype" w:hAnsi="Palatino Linotype"/>
          <w:iCs/>
          <w:color w:val="000000"/>
          <w:sz w:val="24"/>
          <w:szCs w:val="24"/>
        </w:rPr>
      </w:pPr>
    </w:p>
    <w:p w:rsidR="00AF5464"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hAnsi="Palatino Linotype"/>
          <w:iCs/>
          <w:color w:val="000000"/>
          <w:sz w:val="24"/>
          <w:szCs w:val="24"/>
        </w:rPr>
        <w:t>Asimismo</w:t>
      </w:r>
      <w:r w:rsidR="00B526DD" w:rsidRPr="004760BD">
        <w:rPr>
          <w:rFonts w:ascii="Palatino Linotype" w:hAnsi="Palatino Linotype"/>
          <w:iCs/>
          <w:color w:val="000000"/>
          <w:sz w:val="24"/>
          <w:szCs w:val="24"/>
        </w:rPr>
        <w:t>,</w:t>
      </w:r>
      <w:r w:rsidRPr="004760BD">
        <w:rPr>
          <w:rFonts w:ascii="Palatino Linotype" w:hAnsi="Palatino Linotype"/>
          <w:iCs/>
          <w:color w:val="000000"/>
          <w:sz w:val="24"/>
          <w:szCs w:val="24"/>
        </w:rPr>
        <w:t xml:space="preserve"> </w:t>
      </w:r>
      <w:r w:rsidR="00CA1283" w:rsidRPr="004760BD">
        <w:rPr>
          <w:rFonts w:ascii="Palatino Linotype" w:hAnsi="Palatino Linotype"/>
          <w:iCs/>
          <w:color w:val="000000"/>
          <w:sz w:val="24"/>
          <w:szCs w:val="24"/>
        </w:rPr>
        <w:t xml:space="preserve">el particular solicitó el finiquito o liquidación </w:t>
      </w:r>
      <w:r w:rsidR="00AF5464" w:rsidRPr="004760BD">
        <w:rPr>
          <w:rFonts w:ascii="Palatino Linotype" w:hAnsi="Palatino Linotype"/>
          <w:iCs/>
          <w:color w:val="000000"/>
          <w:sz w:val="24"/>
          <w:szCs w:val="24"/>
        </w:rPr>
        <w:t>de los servidores públicos sindicalizados</w:t>
      </w:r>
      <w:r w:rsidR="00AF5464" w:rsidRPr="004760BD">
        <w:rPr>
          <w:rFonts w:ascii="Palatino Linotype" w:eastAsia="Times New Roman" w:hAnsi="Palatino Linotype" w:cs="Times New Roman"/>
          <w:sz w:val="24"/>
          <w:szCs w:val="24"/>
          <w:lang w:val="es-ES" w:eastAsia="es-ES"/>
        </w:rPr>
        <w:t xml:space="preserve">, </w:t>
      </w:r>
      <w:r w:rsidR="00A41CE8" w:rsidRPr="004760BD">
        <w:rPr>
          <w:rFonts w:ascii="Palatino Linotype" w:eastAsia="Times New Roman" w:hAnsi="Palatino Linotype" w:cs="Times New Roman"/>
          <w:sz w:val="24"/>
          <w:szCs w:val="24"/>
          <w:lang w:val="es-ES" w:eastAsia="es-ES"/>
        </w:rPr>
        <w:t>por lo cual, es importante</w:t>
      </w:r>
      <w:r w:rsidR="00B526DD" w:rsidRPr="004760BD">
        <w:rPr>
          <w:rFonts w:ascii="Palatino Linotype" w:eastAsia="Times New Roman" w:hAnsi="Palatino Linotype" w:cs="Times New Roman"/>
          <w:sz w:val="24"/>
          <w:szCs w:val="24"/>
          <w:lang w:val="es-ES" w:eastAsia="es-ES"/>
        </w:rPr>
        <w:t xml:space="preserve"> señalar</w:t>
      </w:r>
      <w:r w:rsidR="00AF5464" w:rsidRPr="004760BD">
        <w:rPr>
          <w:rFonts w:ascii="Palatino Linotype" w:eastAsia="Times New Roman" w:hAnsi="Palatino Linotype" w:cs="Times New Roman"/>
          <w:sz w:val="24"/>
          <w:szCs w:val="24"/>
          <w:lang w:val="es-ES" w:eastAsia="es-ES"/>
        </w:rPr>
        <w:t xml:space="preserve"> que una vez que se termina la relación laboral dependiendo si </w:t>
      </w:r>
      <w:r w:rsidR="00B526DD" w:rsidRPr="004760BD">
        <w:rPr>
          <w:rFonts w:ascii="Palatino Linotype" w:eastAsia="Times New Roman" w:hAnsi="Palatino Linotype" w:cs="Times New Roman"/>
          <w:sz w:val="24"/>
          <w:szCs w:val="24"/>
          <w:lang w:val="es-ES" w:eastAsia="es-ES"/>
        </w:rPr>
        <w:t>es justificado,</w:t>
      </w:r>
      <w:r w:rsidR="00AF5464" w:rsidRPr="004760BD">
        <w:rPr>
          <w:rFonts w:ascii="Palatino Linotype" w:eastAsia="Times New Roman" w:hAnsi="Palatino Linotype" w:cs="Times New Roman"/>
          <w:sz w:val="24"/>
          <w:szCs w:val="24"/>
          <w:lang w:val="es-ES" w:eastAsia="es-ES"/>
        </w:rPr>
        <w:t xml:space="preserve"> injustificado o </w:t>
      </w:r>
      <w:r w:rsidR="00B526DD" w:rsidRPr="004760BD">
        <w:rPr>
          <w:rFonts w:ascii="Palatino Linotype" w:eastAsia="Times New Roman" w:hAnsi="Palatino Linotype" w:cs="Times New Roman"/>
          <w:sz w:val="24"/>
          <w:szCs w:val="24"/>
          <w:lang w:val="es-ES" w:eastAsia="es-ES"/>
        </w:rPr>
        <w:t>en su caso</w:t>
      </w:r>
      <w:r w:rsidR="00AF5464" w:rsidRPr="004760BD">
        <w:rPr>
          <w:rFonts w:ascii="Palatino Linotype" w:eastAsia="Times New Roman" w:hAnsi="Palatino Linotype" w:cs="Times New Roman"/>
          <w:sz w:val="24"/>
          <w:szCs w:val="24"/>
          <w:lang w:val="es-ES" w:eastAsia="es-ES"/>
        </w:rPr>
        <w:t xml:space="preserve"> renuncia, el trabajador tiene derecho a una indemnización o finiquito respectivamente, es necesario entonces, establecer que ocurre cuando la terminación de la relación laboral es imputable al patrón y cuando es al trabajador, ya que reciben distinto trato.</w:t>
      </w:r>
    </w:p>
    <w:p w:rsidR="00AF5464" w:rsidRPr="004760BD" w:rsidRDefault="00AF5464" w:rsidP="009820D9">
      <w:pPr>
        <w:pStyle w:val="Prrafodelista"/>
        <w:rPr>
          <w:rFonts w:ascii="Palatino Linotype" w:eastAsia="Times New Roman" w:hAnsi="Palatino Linotype" w:cs="Times New Roman"/>
          <w:sz w:val="24"/>
          <w:szCs w:val="24"/>
          <w:lang w:val="es-ES" w:eastAsia="es-ES"/>
        </w:rPr>
      </w:pPr>
    </w:p>
    <w:p w:rsidR="00CB446E"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 xml:space="preserve">Entonces comenzaremos aludiendo a la terminación de la relación laboral por causas imputables al servidor público, no sin antes decir que aquellas, son varias de acuerdo al artículo 47 de la Ley Federal del Trabajo y 93 de la Ley del Trabajo de los Servidores Públicos del Estado de México y Municipios, en el presente caso no implica </w:t>
      </w:r>
      <w:r w:rsidRPr="004760BD">
        <w:rPr>
          <w:rFonts w:ascii="Palatino Linotype" w:eastAsia="Times New Roman" w:hAnsi="Palatino Linotype" w:cs="Times New Roman"/>
          <w:sz w:val="24"/>
          <w:szCs w:val="24"/>
          <w:lang w:val="es-ES" w:eastAsia="es-ES"/>
        </w:rPr>
        <w:lastRenderedPageBreak/>
        <w:t>que se haga referencia a las causales que en estos ordenamientos legales se enuncian, refiriéndonos a las renuncias, que si bien no está considerada como causa de recisión de la relación laboral sin responsabilidad para las instituciones públicas, si lo es que a través de ella se tiene por terminada dicha relación sin que sea atribuible al patrón (en este caso el sujeto obligado).</w:t>
      </w:r>
    </w:p>
    <w:p w:rsidR="00CB446E" w:rsidRPr="004760BD" w:rsidRDefault="00CB446E" w:rsidP="009820D9">
      <w:pPr>
        <w:spacing w:after="0" w:line="360" w:lineRule="auto"/>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En esa tesitura es que se considera que el finiquito está relacionado con la recisión de la relación laboral por causas no atribuibles al patrón. Ahora, lo que corresponde es demostrar que el sujeto obligado tiene como obligación, a partir de su fuente obligacional, la de generar, administrar o poseer la información que requiere el hoy recurrente, así, finiquito significa de acuerdo al Diccionario de la Real Academia de la Lengua Española como: “</w:t>
      </w:r>
      <w:r w:rsidRPr="004760BD">
        <w:rPr>
          <w:rFonts w:ascii="Palatino Linotype" w:eastAsia="Times New Roman" w:hAnsi="Palatino Linotype" w:cs="Times New Roman"/>
          <w:i/>
          <w:sz w:val="24"/>
          <w:szCs w:val="24"/>
          <w:lang w:val="es-ES" w:eastAsia="es-ES"/>
        </w:rPr>
        <w:t>Remate de las cuentas, o certificación que se da para constancia de que están ajustadas y satisfecho el alcance que resulta de ellas</w:t>
      </w:r>
      <w:r w:rsidRPr="004760BD">
        <w:rPr>
          <w:rFonts w:ascii="Palatino Linotype" w:eastAsia="Times New Roman" w:hAnsi="Palatino Linotype" w:cs="Times New Roman"/>
          <w:sz w:val="24"/>
          <w:szCs w:val="24"/>
          <w:lang w:val="es-ES" w:eastAsia="es-ES"/>
        </w:rPr>
        <w:t>”, podemos decir entonces, que finiquito es acabar con una cuestión (la relación laboral) hasta su último trámite (el pago de las prestaciones que tiene reconocidas por ley el servidor público). Debemos decir que cuando una relación laboral se termina por una renuncia el trabajador no por ello también renuncia a las prestaciones a que tiene derecho por haber servido al ente público, sino que de acuerdo a las leyes que regulan la materia hay diversas prestaciones que han de calcularse cuando se dé por finalizada ésta, así la Ley del Trabajo de los Servidores Públicos del Estado de México y Municipios, establece:</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 xml:space="preserve">“ARTÍCULO 78. Los servidores públicos tendrán derecho a un aguinaldo anual, equivalente a 40 días de sueldo base, cuando menos, sin deducción alguna, y estará comprendido en el presupuesto de egresos correspondiente. </w:t>
      </w:r>
    </w:p>
    <w:p w:rsidR="00CB446E" w:rsidRPr="004760BD" w:rsidRDefault="00CB446E" w:rsidP="009820D9">
      <w:pPr>
        <w:pStyle w:val="Prrafodelista"/>
        <w:spacing w:after="0" w:line="360" w:lineRule="auto"/>
        <w:ind w:left="360" w:right="851"/>
        <w:jc w:val="both"/>
        <w:rPr>
          <w:rFonts w:ascii="Palatino Linotype" w:hAnsi="Palatino Linotype"/>
          <w:i/>
        </w:rPr>
      </w:pP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 xml:space="preserve">Dicho aguinaldo deberá pagarse en dos entregas, la primera de ellas previo al primer período vacacional y la segunda a más tardar el día 15 de diciembre. </w:t>
      </w:r>
    </w:p>
    <w:p w:rsidR="00CB446E" w:rsidRPr="004760BD" w:rsidRDefault="00CB446E" w:rsidP="009820D9">
      <w:pPr>
        <w:pStyle w:val="Prrafodelista"/>
        <w:spacing w:after="0" w:line="360" w:lineRule="auto"/>
        <w:ind w:left="851" w:right="615"/>
        <w:jc w:val="both"/>
        <w:rPr>
          <w:rFonts w:ascii="Palatino Linotype" w:hAnsi="Palatino Linotype"/>
          <w:i/>
        </w:rPr>
      </w:pP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Los servidores públicos que hayan prestado sus servicios por un lapso menor a un año, tendrán derecho a que se les pague la parte proporcional del aguinaldo de acuerdo a los días efectivamente trabajados.</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 xml:space="preserve">ARTÍCULO 81.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rsidR="00CB446E" w:rsidRPr="004760BD" w:rsidRDefault="00CB446E" w:rsidP="009820D9">
      <w:pPr>
        <w:pStyle w:val="Prrafodelista"/>
        <w:spacing w:after="0" w:line="360" w:lineRule="auto"/>
        <w:ind w:left="851" w:right="615"/>
        <w:jc w:val="both"/>
        <w:rPr>
          <w:rFonts w:ascii="Palatino Linotype" w:hAnsi="Palatino Linotype"/>
          <w:i/>
        </w:rPr>
      </w:pP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 xml:space="preserve">Los servidores públicos que presten sus servicios durante el día domingo tendrán derecho al pago adicional de un 25% sobre el monto de su sueldo base presupuestal de los días ordinarios de trabajo. </w:t>
      </w:r>
    </w:p>
    <w:p w:rsidR="00CB446E" w:rsidRPr="004760BD" w:rsidRDefault="00CB446E" w:rsidP="009820D9">
      <w:pPr>
        <w:pStyle w:val="Prrafodelista"/>
        <w:spacing w:after="0" w:line="360" w:lineRule="auto"/>
        <w:ind w:left="851" w:right="615"/>
        <w:jc w:val="both"/>
        <w:rPr>
          <w:rFonts w:ascii="Palatino Linotype" w:hAnsi="Palatino Linotype"/>
          <w:i/>
        </w:rPr>
      </w:pP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Los servidores públicos que, conforme al artículo 66 de esta ley, tengan derecho a disfrutar de los períodos vacacionales, percibirán una prima de un 25% como mínimo, sobre el sueldo base presupuestal que les corresponda durante los mismos.</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ARTÍCULO 220 K.- La institución o dependencia pública tiene la obligación de conservar y exhibir en el proceso los documentos que a continuación se precisan:</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lastRenderedPageBreak/>
        <w:t xml:space="preserve">IV. Recibos o las constancias de </w:t>
      </w:r>
      <w:proofErr w:type="spellStart"/>
      <w:r w:rsidRPr="004760BD">
        <w:rPr>
          <w:rFonts w:ascii="Palatino Linotype" w:hAnsi="Palatino Linotype"/>
          <w:i/>
        </w:rPr>
        <w:t>deposito</w:t>
      </w:r>
      <w:proofErr w:type="spellEnd"/>
      <w:r w:rsidRPr="004760BD">
        <w:rPr>
          <w:rFonts w:ascii="Palatino Linotype" w:hAnsi="Palatino Linotype"/>
          <w:i/>
        </w:rPr>
        <w:t xml:space="preserve"> o del medio de información magnética o electrónica que sean utilizadas para el pago de salarios, prima vacacional, aguinaldo y demás prestaciones establecidas en la presente ley; y</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851" w:right="615"/>
        <w:jc w:val="both"/>
        <w:rPr>
          <w:rFonts w:ascii="Palatino Linotype" w:hAnsi="Palatino Linotype"/>
          <w:i/>
        </w:rPr>
      </w:pPr>
      <w:r w:rsidRPr="004760BD">
        <w:rPr>
          <w:rFonts w:ascii="Palatino Linotype" w:hAnsi="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Por su parte en la doctrina podemos hallar que Rodolfo Gómez Aranda en su obra Derecho laboral I, en su glosario de términos define al finiquito como “</w:t>
      </w:r>
      <w:r w:rsidRPr="004760BD">
        <w:rPr>
          <w:rFonts w:ascii="Palatino Linotype" w:eastAsia="Times New Roman" w:hAnsi="Palatino Linotype" w:cs="Times New Roman"/>
          <w:i/>
          <w:sz w:val="24"/>
          <w:szCs w:val="24"/>
          <w:lang w:val="es-ES" w:eastAsia="es-ES"/>
        </w:rPr>
        <w:t>FINIQUITO: Certificado o recibo que se expide a favor del patrón para hacer constar que se ha saldado toda cuenta o prestación pendiente con el trabajador</w:t>
      </w:r>
      <w:r w:rsidRPr="004760BD">
        <w:rPr>
          <w:rFonts w:ascii="Palatino Linotype" w:eastAsia="Times New Roman" w:hAnsi="Palatino Linotype" w:cs="Times New Roman"/>
          <w:sz w:val="24"/>
          <w:szCs w:val="24"/>
          <w:lang w:val="es-ES" w:eastAsia="es-ES"/>
        </w:rPr>
        <w:t>.”</w:t>
      </w:r>
      <w:r w:rsidRPr="004760BD">
        <w:rPr>
          <w:rStyle w:val="Refdenotaalpie"/>
          <w:rFonts w:ascii="Palatino Linotype" w:eastAsia="Times New Roman" w:hAnsi="Palatino Linotype" w:cs="Times New Roman"/>
          <w:b/>
          <w:sz w:val="24"/>
          <w:szCs w:val="24"/>
          <w:lang w:val="es-ES" w:eastAsia="es-ES"/>
        </w:rPr>
        <w:footnoteReference w:id="1"/>
      </w:r>
      <w:r w:rsidRPr="004760BD">
        <w:rPr>
          <w:rFonts w:ascii="Palatino Linotype" w:eastAsia="Times New Roman" w:hAnsi="Palatino Linotype" w:cs="Times New Roman"/>
          <w:sz w:val="24"/>
          <w:szCs w:val="24"/>
          <w:lang w:val="es-ES" w:eastAsia="es-ES"/>
        </w:rPr>
        <w:t>.</w:t>
      </w:r>
    </w:p>
    <w:p w:rsidR="00CB446E" w:rsidRPr="004760BD" w:rsidRDefault="00CB446E" w:rsidP="009820D9">
      <w:pPr>
        <w:spacing w:after="0" w:line="360" w:lineRule="auto"/>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 xml:space="preserve">Por otro </w:t>
      </w:r>
      <w:proofErr w:type="gramStart"/>
      <w:r w:rsidRPr="004760BD">
        <w:rPr>
          <w:rFonts w:ascii="Palatino Linotype" w:eastAsia="Times New Roman" w:hAnsi="Palatino Linotype" w:cs="Times New Roman"/>
          <w:sz w:val="24"/>
          <w:szCs w:val="24"/>
          <w:lang w:val="es-ES" w:eastAsia="es-ES"/>
        </w:rPr>
        <w:t>lado</w:t>
      </w:r>
      <w:proofErr w:type="gramEnd"/>
      <w:r w:rsidRPr="004760BD">
        <w:rPr>
          <w:rFonts w:ascii="Palatino Linotype" w:eastAsia="Times New Roman" w:hAnsi="Palatino Linotype" w:cs="Times New Roman"/>
          <w:sz w:val="24"/>
          <w:szCs w:val="24"/>
          <w:lang w:val="es-ES" w:eastAsia="es-ES"/>
        </w:rPr>
        <w:t xml:space="preserve"> está la terminación de la relación laboral atribuible al patrón (es decir, sin responsabilidad para el servidor público) en ese caso la Ley si es clara al establecer una figura jurídica que reconoce en ella diversos derechos, y es que precisamente la Ley </w:t>
      </w:r>
      <w:r w:rsidRPr="004760BD">
        <w:rPr>
          <w:rFonts w:ascii="Palatino Linotype" w:eastAsia="Times New Roman" w:hAnsi="Palatino Linotype" w:cs="Times New Roman"/>
          <w:sz w:val="24"/>
          <w:szCs w:val="24"/>
          <w:lang w:val="es-ES" w:eastAsia="es-ES"/>
        </w:rPr>
        <w:lastRenderedPageBreak/>
        <w:t>del Trabajo de los Servidores Públicos del Estado de México y Municipios que establece, respecto a la indemnización lo siguiente:</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ARTÍCULO 95. Son causas de rescisión de la relación laboral, sin responsabilidad para el servidor público:</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I. Engañarlo la institución pública o dependencia en relación a las condiciones en que se le ofreció el trabajo. Esta causa dejará de tener efecto después de 30 días naturales a partir de su incorporación al servicio;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III. Incumplir la institución pública o dependencia las condiciones laborales y salariales acordadas para el desempeño de sus funciones y las que estipula esta ley;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IV. Existir peligro grave para la seguridad o salud del servidor público por carecer de condiciones higiénicas en su lugar de trabajo o no cumplirse las medidas preventivas y de seguridad que las leyes establezcan;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V. No inscribirlo en el Instituto de Seguridad Social del Estado de México y Municipios o no cubrir a éste las aportaciones que le correspondan; y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VI. Las análogas a las establecidas en las fracciones anteriores, de igual manera graves y de consecuencias semejantes. </w:t>
      </w:r>
    </w:p>
    <w:p w:rsidR="0073719B" w:rsidRPr="004760BD" w:rsidRDefault="0073719B"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w:t>
      </w:r>
    </w:p>
    <w:p w:rsidR="00CB446E" w:rsidRPr="004760BD" w:rsidRDefault="00CB446E" w:rsidP="009820D9">
      <w:pPr>
        <w:pStyle w:val="Prrafodelista"/>
        <w:spacing w:after="0" w:line="360" w:lineRule="auto"/>
        <w:ind w:left="360" w:right="851"/>
        <w:jc w:val="both"/>
        <w:rPr>
          <w:rFonts w:ascii="Palatino Linotype" w:hAnsi="Palatino Linotype"/>
          <w:i/>
        </w:rPr>
      </w:pP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ARTÍCULO 96.- El servidor público podrá solicitar ante el Tribunal o la Sala correspondiente, que se le reinstale en el trabajo que desempeñaba, o </w:t>
      </w:r>
      <w:r w:rsidRPr="004760BD">
        <w:rPr>
          <w:rFonts w:ascii="Palatino Linotype" w:hAnsi="Palatino Linotype"/>
          <w:i/>
          <w:u w:val="single"/>
        </w:rPr>
        <w:t>que se le indemnice</w:t>
      </w:r>
      <w:r w:rsidRPr="004760BD">
        <w:rPr>
          <w:rFonts w:ascii="Palatino Linotype" w:hAnsi="Palatino Linotype"/>
          <w:i/>
        </w:rPr>
        <w:t xml:space="preserve">. Cuando el servidor </w:t>
      </w:r>
      <w:r w:rsidRPr="004760BD">
        <w:rPr>
          <w:rFonts w:ascii="Palatino Linotype" w:hAnsi="Palatino Linotype"/>
          <w:i/>
        </w:rPr>
        <w:lastRenderedPageBreak/>
        <w:t xml:space="preserve">público considere </w:t>
      </w:r>
      <w:r w:rsidRPr="004760BD">
        <w:rPr>
          <w:rFonts w:ascii="Palatino Linotype" w:hAnsi="Palatino Linotype"/>
          <w:i/>
          <w:u w:val="single"/>
        </w:rPr>
        <w:t>injustificada la causa de rescisión de la relación laboral, o bien lo injustificado del despido</w:t>
      </w:r>
      <w:r w:rsidRPr="004760BD">
        <w:rPr>
          <w:rFonts w:ascii="Palatino Linotype" w:hAnsi="Palatino Linotype"/>
          <w:i/>
        </w:rPr>
        <w:t xml:space="preserve"> podrá demandar ante el Tribunal o en la Sala que se le cubra la </w:t>
      </w:r>
      <w:r w:rsidRPr="004760BD">
        <w:rPr>
          <w:rFonts w:ascii="Palatino Linotype" w:hAnsi="Palatino Linotype"/>
          <w:i/>
          <w:u w:val="single"/>
        </w:rPr>
        <w:t>indemnización</w:t>
      </w:r>
      <w:r w:rsidRPr="004760BD">
        <w:rPr>
          <w:rFonts w:ascii="Palatino Linotype" w:hAnsi="Palatino Linotype"/>
          <w:i/>
        </w:rPr>
        <w:t xml:space="preserve">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Como podemos ver la indemnización está relacionada con el despido injustificado o recisión de la relación laboral por causas no imputables al trabajador, en el cual se detallan diversas especificaciones a las que puede llevar un finiquito por una renuncia que como se ha visto anteriormente no tiene relación con despido injustificado, en ese mismo orden de ideas, de forma enunciativa más no limitativa se refiere otra prestación que se da en la indemnización, que es la contenida en el artículo 80 que dice:</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“ARTÍCULO 80. Los servidores públicos que optaren por separarse del servicio habiendo cumplido 15 años en el mismo, tendrán derecho al pago de una prima de antigüedad consistente en el importe de 12 días de su sueldo base, por cada año de servicios prestados.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Cuando el sueldo base del servidor público exceda del doble del salario mínimo general del área geográfica que corresponda al lugar en donde presta sus servicios, se considerará para efectos del pago de la prima de antigüedad, hasta un máximo de dos salarios mínimos generales.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 xml:space="preserve">Esta prima se pagará, igualmente, en caso de muerte o rescisión de la relación laboral por causas no imputables al servidor público, cualquiera que sea su antigüedad. </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t>En caso de muerte del servidor público, la prima se pagará a sus beneficiarios, conforme a la prelación que establece el artículo 136 de la presente Ley.</w:t>
      </w:r>
    </w:p>
    <w:p w:rsidR="00CB446E" w:rsidRPr="004760BD" w:rsidRDefault="00CB446E" w:rsidP="009820D9">
      <w:pPr>
        <w:pStyle w:val="Prrafodelista"/>
        <w:spacing w:after="0" w:line="360" w:lineRule="auto"/>
        <w:ind w:left="360" w:right="851"/>
        <w:jc w:val="both"/>
        <w:rPr>
          <w:rFonts w:ascii="Palatino Linotype" w:hAnsi="Palatino Linotype"/>
          <w:i/>
        </w:rPr>
      </w:pPr>
      <w:r w:rsidRPr="004760BD">
        <w:rPr>
          <w:rFonts w:ascii="Palatino Linotype" w:hAnsi="Palatino Linotype"/>
          <w:i/>
        </w:rPr>
        <w:lastRenderedPageBreak/>
        <w:t>Cuando las instituciones públicas tengan establecidos en sus condiciones generales de trabajo programas o fondos de retiro en los que no existieran aportaciones de los servidores públicos, y el monto que, en su caso, correspondiera por este concepto a los servidores públicos sea superior al señalado en el segundo párrafo de este artículo, las instituciones públicas estarán obligadas a otorgar al servidor público sólo la prestación que más lo favorezca.”</w:t>
      </w:r>
    </w:p>
    <w:p w:rsidR="00CB446E" w:rsidRPr="004760BD" w:rsidRDefault="00CB446E"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B526DD" w:rsidRPr="004760BD" w:rsidRDefault="00B526DD"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En tal sentido podemos concluir que la información solicitada por el particular, obra dentro de los archivos del SUJETO OBLIGADO,</w:t>
      </w:r>
      <w:r w:rsidR="0091335E" w:rsidRPr="004760BD">
        <w:rPr>
          <w:rFonts w:ascii="Palatino Linotype" w:eastAsia="Times New Roman" w:hAnsi="Palatino Linotype" w:cs="Times New Roman"/>
          <w:sz w:val="24"/>
          <w:szCs w:val="24"/>
          <w:lang w:val="es-ES" w:eastAsia="es-ES"/>
        </w:rPr>
        <w:t xml:space="preserve"> pues de</w:t>
      </w:r>
      <w:r w:rsidRPr="004760BD">
        <w:rPr>
          <w:rFonts w:ascii="Palatino Linotype" w:eastAsia="Times New Roman" w:hAnsi="Palatino Linotype" w:cs="Times New Roman"/>
          <w:sz w:val="24"/>
          <w:szCs w:val="24"/>
          <w:lang w:val="es-ES" w:eastAsia="es-ES"/>
        </w:rPr>
        <w:t xml:space="preserve"> acuerdo a los ordenamientos jurídicos </w:t>
      </w:r>
      <w:r w:rsidR="00E43D71" w:rsidRPr="004760BD">
        <w:rPr>
          <w:rFonts w:ascii="Palatino Linotype" w:eastAsia="Times New Roman" w:hAnsi="Palatino Linotype" w:cs="Times New Roman"/>
          <w:sz w:val="24"/>
          <w:szCs w:val="24"/>
          <w:lang w:val="es-ES" w:eastAsia="es-ES"/>
        </w:rPr>
        <w:t>referidos, los servidores públicos sindicalizados reciben un salario y las prestaciones establecidas en la Ley de las instituciones públicas a las que pertene</w:t>
      </w:r>
      <w:r w:rsidR="0091335E" w:rsidRPr="004760BD">
        <w:rPr>
          <w:rFonts w:ascii="Palatino Linotype" w:eastAsia="Times New Roman" w:hAnsi="Palatino Linotype" w:cs="Times New Roman"/>
          <w:sz w:val="24"/>
          <w:szCs w:val="24"/>
          <w:lang w:val="es-ES" w:eastAsia="es-ES"/>
        </w:rPr>
        <w:t>cen.</w:t>
      </w:r>
      <w:r w:rsidR="00E43D71" w:rsidRPr="004760BD">
        <w:rPr>
          <w:rFonts w:ascii="Palatino Linotype" w:eastAsia="Times New Roman" w:hAnsi="Palatino Linotype" w:cs="Times New Roman"/>
          <w:sz w:val="24"/>
          <w:szCs w:val="24"/>
          <w:lang w:val="es-ES" w:eastAsia="es-ES"/>
        </w:rPr>
        <w:t xml:space="preserve"> </w:t>
      </w:r>
      <w:r w:rsidR="0091335E" w:rsidRPr="004760BD">
        <w:rPr>
          <w:rFonts w:ascii="Palatino Linotype" w:eastAsia="Times New Roman" w:hAnsi="Palatino Linotype" w:cs="Times New Roman"/>
          <w:sz w:val="24"/>
          <w:szCs w:val="24"/>
          <w:lang w:val="es-ES" w:eastAsia="es-ES"/>
        </w:rPr>
        <w:t xml:space="preserve">En el caso particular el Ayuntamiento de Chimalhuacán es el SUJETO OBLIGADO que genera, posee o administra la información referente a la indemnización por fallecimiento, pago por concepto de finiquito o liquidación de los servidores públicos pertenecientes al </w:t>
      </w:r>
      <w:r w:rsidR="0091335E" w:rsidRPr="004760BD">
        <w:rPr>
          <w:rFonts w:ascii="Palatino Linotype" w:hAnsi="Palatino Linotype"/>
          <w:sz w:val="24"/>
        </w:rPr>
        <w:t>Sindicato Único De Trabajadores De Los Poderes, Municipios E Instituciones Descentralizadas Del Estado De México.</w:t>
      </w:r>
    </w:p>
    <w:p w:rsidR="00083858" w:rsidRPr="004760BD" w:rsidRDefault="00083858" w:rsidP="009820D9">
      <w:pPr>
        <w:pStyle w:val="Prrafodelista"/>
        <w:spacing w:after="0" w:line="360" w:lineRule="auto"/>
        <w:ind w:left="360"/>
        <w:jc w:val="both"/>
        <w:rPr>
          <w:rFonts w:ascii="Palatino Linotype" w:eastAsia="Times New Roman" w:hAnsi="Palatino Linotype" w:cs="Times New Roman"/>
          <w:sz w:val="24"/>
          <w:szCs w:val="24"/>
          <w:lang w:val="es-ES" w:eastAsia="es-ES"/>
        </w:rPr>
      </w:pPr>
    </w:p>
    <w:p w:rsidR="00AF5464" w:rsidRPr="004760BD" w:rsidRDefault="0091335E" w:rsidP="009820D9">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 w:eastAsia="es-ES"/>
        </w:rPr>
      </w:pPr>
      <w:r w:rsidRPr="004760BD">
        <w:rPr>
          <w:rFonts w:ascii="Palatino Linotype" w:eastAsia="Times New Roman" w:hAnsi="Palatino Linotype" w:cs="Times New Roman"/>
          <w:sz w:val="24"/>
          <w:szCs w:val="24"/>
          <w:lang w:val="es-ES" w:eastAsia="es-ES"/>
        </w:rPr>
        <w:t>Asimismo</w:t>
      </w:r>
      <w:r w:rsidR="0073719B" w:rsidRPr="004760BD">
        <w:rPr>
          <w:rFonts w:ascii="Palatino Linotype" w:eastAsia="Times New Roman" w:hAnsi="Palatino Linotype" w:cs="Times New Roman"/>
          <w:sz w:val="24"/>
          <w:szCs w:val="24"/>
          <w:lang w:val="es-ES" w:eastAsia="es-ES"/>
        </w:rPr>
        <w:t xml:space="preserve">, de acuerdo a la naturaleza de la información solicitada, es importante señalar que puede contener datos susceptibles de clasificarse como confidenciales, por lo que se </w:t>
      </w:r>
      <w:r w:rsidRPr="004760BD">
        <w:rPr>
          <w:rFonts w:ascii="Palatino Linotype" w:eastAsia="Times New Roman" w:hAnsi="Palatino Linotype" w:cs="Times New Roman"/>
          <w:sz w:val="24"/>
          <w:szCs w:val="24"/>
          <w:lang w:val="es-ES" w:eastAsia="es-ES"/>
        </w:rPr>
        <w:t>deberá atender</w:t>
      </w:r>
      <w:r w:rsidR="0073719B" w:rsidRPr="004760BD">
        <w:rPr>
          <w:rFonts w:ascii="Palatino Linotype" w:eastAsia="Times New Roman" w:hAnsi="Palatino Linotype" w:cs="Times New Roman"/>
          <w:sz w:val="24"/>
          <w:szCs w:val="24"/>
          <w:lang w:val="es-ES" w:eastAsia="es-ES"/>
        </w:rPr>
        <w:t xml:space="preserve"> al </w:t>
      </w:r>
      <w:r w:rsidRPr="004760BD">
        <w:rPr>
          <w:rFonts w:ascii="Palatino Linotype" w:eastAsia="Times New Roman" w:hAnsi="Palatino Linotype" w:cs="Times New Roman"/>
          <w:sz w:val="24"/>
          <w:szCs w:val="24"/>
          <w:lang w:val="es-ES" w:eastAsia="es-ES"/>
        </w:rPr>
        <w:t>considerando SEXTO referente a la elaboración de la</w:t>
      </w:r>
      <w:r w:rsidR="0073719B" w:rsidRPr="004760BD">
        <w:rPr>
          <w:rFonts w:ascii="Palatino Linotype" w:eastAsia="Times New Roman" w:hAnsi="Palatino Linotype" w:cs="Times New Roman"/>
          <w:sz w:val="24"/>
          <w:szCs w:val="24"/>
          <w:lang w:val="es-ES" w:eastAsia="es-ES"/>
        </w:rPr>
        <w:t xml:space="preserve"> versión pública.</w:t>
      </w:r>
    </w:p>
    <w:p w:rsidR="000837EB" w:rsidRPr="004760BD" w:rsidRDefault="000837EB" w:rsidP="009820D9">
      <w:pPr>
        <w:pStyle w:val="Prrafodelista"/>
        <w:rPr>
          <w:rFonts w:ascii="Palatino Linotype" w:eastAsia="Times New Roman" w:hAnsi="Palatino Linotype" w:cs="Times New Roman"/>
          <w:sz w:val="24"/>
          <w:szCs w:val="24"/>
          <w:lang w:val="es-ES" w:eastAsia="es-ES"/>
        </w:rPr>
      </w:pPr>
    </w:p>
    <w:p w:rsidR="000837EB" w:rsidRPr="004760BD" w:rsidRDefault="000837EB" w:rsidP="009820D9">
      <w:pPr>
        <w:pStyle w:val="Ttulo1"/>
        <w:spacing w:before="0" w:after="160"/>
        <w:rPr>
          <w:rFonts w:ascii="Palatino Linotype" w:hAnsi="Palatino Linotype"/>
          <w:b/>
          <w:i/>
          <w:color w:val="auto"/>
          <w:sz w:val="24"/>
          <w:szCs w:val="24"/>
        </w:rPr>
      </w:pPr>
      <w:bookmarkStart w:id="39" w:name="_Toc62759336"/>
      <w:bookmarkStart w:id="40" w:name="_Toc63949890"/>
      <w:r w:rsidRPr="004760BD">
        <w:rPr>
          <w:rFonts w:ascii="Palatino Linotype" w:hAnsi="Palatino Linotype" w:cs="Times New Roman"/>
          <w:b/>
          <w:color w:val="auto"/>
          <w:sz w:val="24"/>
          <w:szCs w:val="24"/>
          <w:lang w:eastAsia="es-ES_tradnl"/>
        </w:rPr>
        <w:t xml:space="preserve">SEXTO. </w:t>
      </w:r>
      <w:r w:rsidRPr="004760BD">
        <w:rPr>
          <w:rFonts w:ascii="Palatino Linotype" w:hAnsi="Palatino Linotype"/>
          <w:b/>
          <w:color w:val="auto"/>
          <w:sz w:val="24"/>
          <w:szCs w:val="24"/>
        </w:rPr>
        <w:t xml:space="preserve"> De la elaboración de la versión pública.</w:t>
      </w:r>
      <w:bookmarkEnd w:id="39"/>
      <w:bookmarkEnd w:id="40"/>
      <w:r w:rsidRPr="004760BD">
        <w:rPr>
          <w:rFonts w:ascii="Palatino Linotype" w:hAnsi="Palatino Linotype"/>
          <w:b/>
          <w:color w:val="auto"/>
          <w:sz w:val="24"/>
          <w:szCs w:val="24"/>
        </w:rPr>
        <w:t xml:space="preserve"> </w:t>
      </w:r>
    </w:p>
    <w:p w:rsidR="000837EB" w:rsidRPr="004760BD" w:rsidRDefault="000837EB" w:rsidP="009820D9">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lastRenderedPageBreak/>
        <w:t>Debe destacarse que, debido a la naturaleza de la información solicitada</w:t>
      </w:r>
      <w:r w:rsidRPr="004760BD">
        <w:rPr>
          <w:rFonts w:ascii="Palatino Linotype" w:eastAsia="MS Gothic" w:hAnsi="Palatino Linotype" w:cs="Times New Roman"/>
          <w:b/>
          <w:sz w:val="24"/>
          <w:szCs w:val="26"/>
        </w:rPr>
        <w:t xml:space="preserve">, </w:t>
      </w:r>
      <w:r w:rsidRPr="004760BD">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proofErr w:type="spellStart"/>
      <w:r w:rsidRPr="004760BD">
        <w:rPr>
          <w:rFonts w:ascii="Palatino Linotype" w:eastAsia="MS Gothic" w:hAnsi="Palatino Linotype" w:cs="Times New Roman"/>
          <w:sz w:val="24"/>
          <w:szCs w:val="26"/>
        </w:rPr>
        <w:t>personles</w:t>
      </w:r>
      <w:proofErr w:type="spellEnd"/>
      <w:r w:rsidRPr="004760BD">
        <w:rPr>
          <w:rFonts w:ascii="Palatino Linotype" w:eastAsia="MS Gothic" w:hAnsi="Palatino Linotype" w:cs="Times New Roman"/>
          <w:sz w:val="24"/>
          <w:szCs w:val="26"/>
        </w:rPr>
        <w:t xml:space="preserve"> aun tratándose de servidores públicos y en su caso generar la </w:t>
      </w:r>
      <w:r w:rsidRPr="004760BD">
        <w:rPr>
          <w:rFonts w:ascii="Palatino Linotype" w:eastAsia="MS Gothic" w:hAnsi="Palatino Linotype" w:cs="Times New Roman"/>
          <w:b/>
          <w:sz w:val="24"/>
          <w:szCs w:val="26"/>
          <w:u w:val="single"/>
        </w:rPr>
        <w:t>versión pública</w:t>
      </w:r>
      <w:r w:rsidRPr="004760BD">
        <w:rPr>
          <w:rFonts w:ascii="Palatino Linotype" w:eastAsia="MS Gothic" w:hAnsi="Palatino Linotype" w:cs="Times New Roman"/>
          <w:sz w:val="24"/>
          <w:szCs w:val="26"/>
        </w:rPr>
        <w:t xml:space="preserve"> de los documentos por las consideraciones que se estimen pertinentes.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760BD">
        <w:rPr>
          <w:rFonts w:ascii="Palatino Linotype" w:eastAsia="MS Gothic" w:hAnsi="Palatino Linotype" w:cs="Times New Roman"/>
          <w:sz w:val="24"/>
          <w:szCs w:val="26"/>
          <w:vertAlign w:val="superscript"/>
        </w:rPr>
        <w:footnoteReference w:id="2"/>
      </w:r>
      <w:r w:rsidRPr="004760BD">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760BD">
        <w:rPr>
          <w:rFonts w:ascii="Palatino Linotype" w:eastAsia="MS Gothic" w:hAnsi="Palatino Linotype" w:cs="Times New Roman"/>
          <w:sz w:val="24"/>
          <w:szCs w:val="26"/>
          <w:vertAlign w:val="superscript"/>
        </w:rPr>
        <w:footnoteReference w:id="3"/>
      </w:r>
      <w:r w:rsidRPr="004760BD">
        <w:rPr>
          <w:rFonts w:ascii="Palatino Linotype" w:eastAsia="MS Gothic" w:hAnsi="Palatino Linotype" w:cs="Times New Roman"/>
          <w:sz w:val="24"/>
          <w:szCs w:val="26"/>
        </w:rPr>
        <w:t xml:space="preserve"> En este caso, la </w:t>
      </w:r>
      <w:r w:rsidRPr="004760BD">
        <w:rPr>
          <w:rFonts w:ascii="Palatino Linotype" w:eastAsia="MS Gothic" w:hAnsi="Palatino Linotype" w:cs="Times New Roman"/>
          <w:sz w:val="24"/>
          <w:szCs w:val="26"/>
        </w:rPr>
        <w:lastRenderedPageBreak/>
        <w:t>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1" w:name="_Toc51863315"/>
      <w:bookmarkStart w:id="42" w:name="_Toc52444649"/>
      <w:bookmarkStart w:id="43" w:name="_Toc57154368"/>
      <w:bookmarkStart w:id="44" w:name="_Toc62759337"/>
      <w:bookmarkStart w:id="45" w:name="_Toc63949891"/>
      <w:r w:rsidRPr="004760BD">
        <w:rPr>
          <w:rFonts w:ascii="Palatino Linotype" w:hAnsi="Palatino Linotype" w:cs="Arial"/>
          <w:b/>
          <w:sz w:val="24"/>
        </w:rPr>
        <w:t>I. Requisitos previos.</w:t>
      </w:r>
      <w:bookmarkEnd w:id="41"/>
      <w:bookmarkEnd w:id="42"/>
      <w:bookmarkEnd w:id="43"/>
      <w:bookmarkEnd w:id="44"/>
      <w:bookmarkEnd w:id="45"/>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760BD">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4760BD">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6" w:name="_Toc51863316"/>
      <w:bookmarkStart w:id="47" w:name="_Toc52444650"/>
      <w:bookmarkStart w:id="48" w:name="_Toc57154369"/>
      <w:bookmarkStart w:id="49" w:name="_Toc62759338"/>
      <w:bookmarkStart w:id="50" w:name="_Toc63949892"/>
      <w:r w:rsidRPr="004760BD">
        <w:rPr>
          <w:rFonts w:ascii="Palatino Linotype" w:hAnsi="Palatino Linotype" w:cs="Arial"/>
          <w:b/>
          <w:sz w:val="24"/>
        </w:rPr>
        <w:t>II. Supuestos de clasificación.</w:t>
      </w:r>
      <w:bookmarkEnd w:id="46"/>
      <w:bookmarkEnd w:id="47"/>
      <w:bookmarkEnd w:id="48"/>
      <w:bookmarkEnd w:id="49"/>
      <w:bookmarkEnd w:id="50"/>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rPr>
      </w:pPr>
    </w:p>
    <w:p w:rsidR="000837EB" w:rsidRPr="004760BD" w:rsidRDefault="000837EB" w:rsidP="009820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760BD">
        <w:rPr>
          <w:rFonts w:ascii="Palatino Linotype" w:hAnsi="Palatino Linotype" w:cs="Bookman Old Style"/>
          <w:bCs/>
          <w:i/>
          <w:color w:val="000000"/>
        </w:rPr>
        <w:t xml:space="preserve">“I. </w:t>
      </w:r>
      <w:r w:rsidRPr="004760B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0837EB" w:rsidRPr="004760BD" w:rsidRDefault="000837EB" w:rsidP="009820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760BD">
        <w:rPr>
          <w:rFonts w:ascii="Palatino Linotype" w:hAnsi="Palatino Linotype" w:cs="Bookman Old Style"/>
          <w:bCs/>
          <w:i/>
          <w:color w:val="000000"/>
        </w:rPr>
        <w:lastRenderedPageBreak/>
        <w:t xml:space="preserve">II. </w:t>
      </w:r>
      <w:r w:rsidRPr="004760B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837EB" w:rsidRPr="004760BD" w:rsidRDefault="000837EB" w:rsidP="009820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760BD">
        <w:rPr>
          <w:rFonts w:ascii="Palatino Linotype" w:hAnsi="Palatino Linotype" w:cs="Bookman Old Style"/>
          <w:bCs/>
          <w:i/>
          <w:color w:val="000000"/>
        </w:rPr>
        <w:t xml:space="preserve">III. </w:t>
      </w:r>
      <w:r w:rsidRPr="004760B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0837EB" w:rsidRPr="004760BD" w:rsidRDefault="000837EB" w:rsidP="009820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760B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0837EB" w:rsidRPr="004760BD" w:rsidRDefault="000837EB" w:rsidP="009820D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760B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00FC0" w:rsidRPr="004760BD" w:rsidRDefault="00F00FC0"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Como consecuencia de lo anterior, el </w:t>
      </w:r>
      <w:r w:rsidRPr="004760BD">
        <w:rPr>
          <w:rFonts w:ascii="Palatino Linotype" w:eastAsia="MS Gothic" w:hAnsi="Palatino Linotype" w:cs="Times New Roman"/>
          <w:b/>
          <w:sz w:val="24"/>
          <w:szCs w:val="26"/>
        </w:rPr>
        <w:t>SUJETO OBLIGADO</w:t>
      </w:r>
      <w:r w:rsidRPr="004760BD">
        <w:rPr>
          <w:rFonts w:ascii="Palatino Linotype" w:eastAsia="MS Gothic" w:hAnsi="Palatino Linotype" w:cs="Times New Roman"/>
          <w:sz w:val="24"/>
          <w:szCs w:val="26"/>
        </w:rPr>
        <w:t xml:space="preserve"> debe identificar claramente el tipo de información y hacer un juicio de subsunción o encaje</w:t>
      </w:r>
      <w:r w:rsidRPr="004760BD">
        <w:rPr>
          <w:rFonts w:ascii="Palatino Linotype" w:eastAsia="MS Gothic" w:hAnsi="Palatino Linotype" w:cs="Times New Roman"/>
          <w:sz w:val="24"/>
          <w:szCs w:val="26"/>
          <w:vertAlign w:val="superscript"/>
        </w:rPr>
        <w:footnoteReference w:id="4"/>
      </w:r>
      <w:r w:rsidRPr="004760BD">
        <w:rPr>
          <w:rFonts w:ascii="Palatino Linotype" w:eastAsia="MS Gothic" w:hAnsi="Palatino Linotype" w:cs="Times New Roman"/>
          <w:sz w:val="24"/>
          <w:szCs w:val="26"/>
        </w:rPr>
        <w:t xml:space="preserve"> para acreditar </w:t>
      </w:r>
      <w:r w:rsidRPr="004760BD">
        <w:rPr>
          <w:rFonts w:ascii="Palatino Linotype" w:eastAsia="MS Gothic" w:hAnsi="Palatino Linotype" w:cs="Times New Roman"/>
          <w:sz w:val="24"/>
          <w:szCs w:val="26"/>
        </w:rPr>
        <w:lastRenderedPageBreak/>
        <w:t>que el supuesto de hecho corresponde estrictamente con la hipótesis jurídica. Esto también lo debe de realizar el servidor público habilitado y el titular del área que administra la información.</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rPr>
      </w:pP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w:t>
      </w:r>
      <w:r w:rsidRPr="004760BD">
        <w:rPr>
          <w:rFonts w:ascii="Palatino Linotype" w:hAnsi="Palatino Linotype" w:cs="Arial"/>
          <w:b/>
          <w:i/>
        </w:rPr>
        <w:t>Quincuagésimo.</w:t>
      </w:r>
      <w:r w:rsidRPr="004760B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b/>
          <w:i/>
        </w:rPr>
        <w:t>Quincuagésimo primero.</w:t>
      </w:r>
      <w:r w:rsidRPr="004760BD">
        <w:rPr>
          <w:rFonts w:ascii="Palatino Linotype" w:hAnsi="Palatino Linotype" w:cs="Arial"/>
          <w:i/>
        </w:rPr>
        <w:t xml:space="preserve"> La leyenda en los documentos clasificados indicará:</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I. La fecha de sesión del Comité de Transparencia en donde se confirmó la clasificación, en su caso;</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II. El nombre del área;</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III. La palabra reservado o confidencial;</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IV. Las partes o secciones reservadas o confidenciales, en su caso;</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V. El fundamento legal;</w:t>
      </w:r>
    </w:p>
    <w:p w:rsidR="000837EB" w:rsidRPr="004760BD" w:rsidRDefault="000837EB" w:rsidP="009820D9">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4760BD">
        <w:rPr>
          <w:rFonts w:ascii="Palatino Linotype" w:hAnsi="Palatino Linotype" w:cs="Arial"/>
          <w:i/>
        </w:rPr>
        <w:t>VI. El periodo de reserva, y</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VII. La rúbrica del titular del área.</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b/>
          <w:i/>
        </w:rPr>
        <w:t>Quincuagésimo segundo.</w:t>
      </w:r>
      <w:r w:rsidRPr="004760B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0837EB" w:rsidRPr="004760BD" w:rsidRDefault="000837EB" w:rsidP="009820D9">
      <w:pPr>
        <w:pStyle w:val="Prrafodelista"/>
        <w:tabs>
          <w:tab w:val="left" w:pos="142"/>
          <w:tab w:val="left" w:pos="284"/>
          <w:tab w:val="left" w:pos="426"/>
        </w:tabs>
        <w:spacing w:line="276" w:lineRule="auto"/>
        <w:ind w:left="567" w:right="567"/>
        <w:jc w:val="both"/>
        <w:rPr>
          <w:rFonts w:ascii="Palatino Linotype" w:hAnsi="Palatino Linotype" w:cs="Arial"/>
          <w:i/>
        </w:rPr>
      </w:pPr>
      <w:r w:rsidRPr="004760BD">
        <w:rPr>
          <w:rFonts w:ascii="Palatino Linotype" w:hAnsi="Palatino Linotype" w:cs="Arial"/>
          <w:b/>
          <w:i/>
        </w:rPr>
        <w:lastRenderedPageBreak/>
        <w:t>Quincuagésimo tercero.</w:t>
      </w:r>
      <w:r w:rsidRPr="004760BD">
        <w:rPr>
          <w:rFonts w:ascii="Palatino Linotype" w:hAnsi="Palatino Linotype" w:cs="Arial"/>
          <w:i/>
        </w:rPr>
        <w:t xml:space="preserve"> El formato para señalar la clasificación parcial de un documento, es el siguiente:</w:t>
      </w:r>
    </w:p>
    <w:p w:rsidR="000837EB" w:rsidRPr="004760BD" w:rsidRDefault="000837EB" w:rsidP="009820D9">
      <w:pPr>
        <w:pStyle w:val="Prrafodelista"/>
        <w:tabs>
          <w:tab w:val="left" w:pos="142"/>
          <w:tab w:val="left" w:pos="284"/>
          <w:tab w:val="left" w:pos="426"/>
        </w:tabs>
        <w:spacing w:line="360" w:lineRule="auto"/>
        <w:ind w:left="0"/>
        <w:jc w:val="center"/>
        <w:rPr>
          <w:rFonts w:ascii="Palatino Linotype" w:hAnsi="Palatino Linotype" w:cs="Arial"/>
        </w:rPr>
      </w:pPr>
      <w:r w:rsidRPr="004760BD">
        <w:rPr>
          <w:rFonts w:ascii="Palatino Linotype" w:hAnsi="Palatino Linotype" w:cs="Arial"/>
          <w:i/>
          <w:noProof/>
          <w:lang w:eastAsia="es-MX"/>
        </w:rPr>
        <w:drawing>
          <wp:inline distT="0" distB="0" distL="0" distR="0" wp14:anchorId="57AB438A" wp14:editId="604AE9AF">
            <wp:extent cx="4810760" cy="5466715"/>
            <wp:effectExtent l="57150" t="57150" r="85090" b="114935"/>
            <wp:docPr id="16" name="Imagen 16"/>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rsidR="000837EB" w:rsidRPr="004760BD" w:rsidRDefault="000837EB" w:rsidP="009820D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7"/>
      <w:bookmarkStart w:id="52" w:name="_Toc52444651"/>
      <w:bookmarkStart w:id="53" w:name="_Toc57154370"/>
      <w:bookmarkStart w:id="54" w:name="_Toc62759339"/>
      <w:bookmarkStart w:id="55" w:name="_Toc63949893"/>
      <w:r w:rsidRPr="004760BD">
        <w:rPr>
          <w:rFonts w:ascii="Palatino Linotype" w:hAnsi="Palatino Linotype" w:cs="Arial"/>
          <w:b/>
          <w:sz w:val="24"/>
        </w:rPr>
        <w:lastRenderedPageBreak/>
        <w:t>III. La intervención del Comité de Transparencia.</w:t>
      </w:r>
      <w:bookmarkEnd w:id="51"/>
      <w:bookmarkEnd w:id="52"/>
      <w:bookmarkEnd w:id="53"/>
      <w:bookmarkEnd w:id="54"/>
      <w:bookmarkEnd w:id="55"/>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b/>
          <w:sz w:val="24"/>
        </w:rPr>
      </w:pPr>
      <w:r w:rsidRPr="004760BD">
        <w:rPr>
          <w:rFonts w:ascii="Palatino Linotype" w:hAnsi="Palatino Linotype" w:cs="Arial"/>
          <w:b/>
          <w:sz w:val="24"/>
        </w:rPr>
        <w:t>a) Formalidades para emitir el Acuerdo de Clasificación.</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760BD">
        <w:rPr>
          <w:rFonts w:ascii="Palatino Linotype" w:eastAsia="MS Gothic" w:hAnsi="Palatino Linotype" w:cs="Times New Roman"/>
          <w:b/>
          <w:sz w:val="24"/>
          <w:szCs w:val="26"/>
          <w:u w:val="single"/>
        </w:rPr>
        <w:t>confirmar, modificar o revocar</w:t>
      </w:r>
      <w:r w:rsidRPr="004760BD">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4760BD">
        <w:rPr>
          <w:rFonts w:ascii="Palatino Linotype" w:eastAsia="MS Gothic" w:hAnsi="Palatino Linotype" w:cs="Times New Roman"/>
          <w:b/>
          <w:sz w:val="24"/>
          <w:szCs w:val="26"/>
          <w:u w:val="single"/>
        </w:rPr>
        <w:t>no aprueba</w:t>
      </w:r>
      <w:r w:rsidRPr="004760BD">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4760BD">
        <w:rPr>
          <w:rFonts w:ascii="Palatino Linotype" w:eastAsia="MS Gothic" w:hAnsi="Palatino Linotype" w:cs="Times New Roman"/>
          <w:b/>
          <w:sz w:val="24"/>
          <w:szCs w:val="26"/>
          <w:u w:val="single"/>
        </w:rPr>
        <w:t>el acto reúna con los requisitos elementales</w:t>
      </w:r>
      <w:r w:rsidRPr="004760BD">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b/>
          <w:sz w:val="24"/>
        </w:rPr>
      </w:pPr>
      <w:r w:rsidRPr="004760BD">
        <w:rPr>
          <w:rFonts w:ascii="Palatino Linotype" w:hAnsi="Palatino Linotype" w:cs="Arial"/>
          <w:b/>
          <w:sz w:val="24"/>
        </w:rPr>
        <w:t>b) Requisitos de fondo del Acuerdo de Clasificación.</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4760BD">
        <w:rPr>
          <w:rFonts w:ascii="Palatino Linotype" w:eastAsia="MS Gothic" w:hAnsi="Palatino Linotype" w:cs="Times New Roman"/>
          <w:sz w:val="24"/>
          <w:szCs w:val="26"/>
        </w:rPr>
        <w:t>Generales,  al</w:t>
      </w:r>
      <w:proofErr w:type="gramEnd"/>
      <w:r w:rsidRPr="004760BD">
        <w:rPr>
          <w:rFonts w:ascii="Palatino Linotype" w:eastAsia="MS Gothic" w:hAnsi="Palatino Linotype" w:cs="Times New Roman"/>
          <w:sz w:val="24"/>
          <w:szCs w:val="26"/>
        </w:rPr>
        <w:t xml:space="preserve"> señalar que la carga de la prueba, para justificar las restricciones, corresponde a los sujetos obligados, por lo que deberán fundar y motivar debidamente la clasificación.</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t xml:space="preserve">De lo anterior, se desprende </w:t>
      </w:r>
      <w:proofErr w:type="gramStart"/>
      <w:r w:rsidRPr="004760BD">
        <w:rPr>
          <w:rFonts w:ascii="Palatino Linotype" w:eastAsia="MS Gothic" w:hAnsi="Palatino Linotype" w:cs="Times New Roman"/>
          <w:sz w:val="24"/>
          <w:szCs w:val="26"/>
        </w:rPr>
        <w:t>que</w:t>
      </w:r>
      <w:proofErr w:type="gramEnd"/>
      <w:r w:rsidRPr="004760BD">
        <w:rPr>
          <w:rFonts w:ascii="Palatino Linotype" w:eastAsia="MS Gothic" w:hAnsi="Palatino Linotype" w:cs="Times New Roman"/>
          <w:sz w:val="24"/>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eastAsia="MS Gothic" w:hAnsi="Palatino Linotype" w:cs="Times New Roman"/>
          <w:sz w:val="24"/>
          <w:szCs w:val="26"/>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4760BD">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760BD">
        <w:rPr>
          <w:rFonts w:ascii="Palatino Linotype" w:eastAsia="MS Gothic" w:hAnsi="Palatino Linotype" w:cs="Times New Roman"/>
          <w:i/>
          <w:sz w:val="24"/>
          <w:szCs w:val="26"/>
        </w:rPr>
        <w:t>hecho</w:t>
      </w:r>
      <w:r w:rsidRPr="004760BD">
        <w:rPr>
          <w:rFonts w:ascii="Palatino Linotype" w:eastAsia="MS Gothic" w:hAnsi="Palatino Linotype" w:cs="Times New Roman"/>
          <w:sz w:val="24"/>
          <w:szCs w:val="26"/>
        </w:rPr>
        <w:t>....</w:t>
      </w:r>
      <w:proofErr w:type="gramEnd"/>
      <w:r w:rsidRPr="004760BD">
        <w:rPr>
          <w:rFonts w:ascii="Palatino Linotype" w:eastAsia="MS Gothic" w:hAnsi="Palatino Linotype" w:cs="Times New Roman"/>
          <w:sz w:val="24"/>
          <w:szCs w:val="26"/>
        </w:rPr>
        <w:t>”</w:t>
      </w:r>
      <w:r w:rsidRPr="004760BD">
        <w:rPr>
          <w:rFonts w:ascii="Palatino Linotype" w:eastAsia="MS Gothic" w:hAnsi="Palatino Linotype" w:cs="Times New Roman"/>
          <w:sz w:val="24"/>
          <w:szCs w:val="26"/>
          <w:vertAlign w:val="superscript"/>
        </w:rPr>
        <w:footnoteReference w:id="5"/>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760BD">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rPr>
      </w:pPr>
    </w:p>
    <w:p w:rsidR="000837EB" w:rsidRPr="004760BD" w:rsidRDefault="000837EB" w:rsidP="009820D9">
      <w:pPr>
        <w:spacing w:line="276" w:lineRule="auto"/>
        <w:ind w:left="851" w:right="618"/>
        <w:contextualSpacing/>
        <w:jc w:val="both"/>
        <w:rPr>
          <w:rFonts w:ascii="Palatino Linotype" w:hAnsi="Palatino Linotype" w:cs="Arial"/>
          <w:i/>
          <w:color w:val="000000"/>
        </w:rPr>
      </w:pPr>
      <w:r w:rsidRPr="004760BD">
        <w:rPr>
          <w:rFonts w:ascii="Palatino Linotype" w:hAnsi="Palatino Linotype" w:cs="Arial"/>
          <w:b/>
          <w:i/>
          <w:color w:val="000000"/>
        </w:rPr>
        <w:t>FUNDAMENTACIÓN Y MOTIVACIÓN.</w:t>
      </w:r>
      <w:r w:rsidRPr="004760BD">
        <w:rPr>
          <w:rFonts w:ascii="Palatino Linotype" w:hAnsi="Palatino Linotype" w:cs="Arial"/>
          <w:i/>
          <w:color w:val="000000"/>
        </w:rPr>
        <w:t xml:space="preserve"> “La </w:t>
      </w:r>
      <w:r w:rsidRPr="004760B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760BD">
        <w:rPr>
          <w:rFonts w:ascii="Palatino Linotype" w:hAnsi="Palatino Linotype" w:cs="Arial"/>
          <w:i/>
          <w:color w:val="000000"/>
        </w:rPr>
        <w:t>.”</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t>SEGUNDO TRIBUNAL COLEGIADO DEL SEXTO CIRCUITO.</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t>Amparo en revisión 333/88. Adilia Romero. 26 de octubre de 1988. Unanimidad de votos. Ponente: Arnoldo Nájera Virgen. Secretario: Enrique Crispín Campos Ramírez.</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0837EB" w:rsidRPr="004760BD" w:rsidRDefault="000837EB" w:rsidP="009820D9">
      <w:pPr>
        <w:spacing w:line="360" w:lineRule="auto"/>
        <w:ind w:left="851" w:right="618"/>
        <w:contextualSpacing/>
        <w:jc w:val="both"/>
        <w:rPr>
          <w:rFonts w:ascii="Palatino Linotype" w:hAnsi="Palatino Linotype" w:cs="Arial"/>
          <w:i/>
          <w:color w:val="000000"/>
        </w:rPr>
      </w:pPr>
      <w:r w:rsidRPr="004760B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760BD">
        <w:rPr>
          <w:rFonts w:ascii="Palatino Linotype" w:hAnsi="Palatino Linotype" w:cs="Arial"/>
          <w:i/>
          <w:color w:val="000000"/>
        </w:rPr>
        <w:t>Baigts</w:t>
      </w:r>
      <w:proofErr w:type="spellEnd"/>
      <w:r w:rsidRPr="004760BD">
        <w:rPr>
          <w:rFonts w:ascii="Palatino Linotype" w:hAnsi="Palatino Linotype" w:cs="Arial"/>
          <w:i/>
          <w:color w:val="000000"/>
        </w:rPr>
        <w:t xml:space="preserve"> Muñoz.</w:t>
      </w: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4760BD">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szCs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4760BD">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szCs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4760BD">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rsidR="00A2100B" w:rsidRPr="004760BD" w:rsidRDefault="00A2100B" w:rsidP="009820D9">
      <w:pPr>
        <w:pStyle w:val="Prrafodelista"/>
        <w:tabs>
          <w:tab w:val="left" w:pos="142"/>
          <w:tab w:val="left" w:pos="284"/>
          <w:tab w:val="left" w:pos="426"/>
        </w:tabs>
        <w:spacing w:line="360" w:lineRule="auto"/>
        <w:ind w:left="0"/>
        <w:jc w:val="both"/>
        <w:rPr>
          <w:rFonts w:ascii="Palatino Linotype" w:hAnsi="Palatino Linotype" w:cs="Arial"/>
          <w:sz w:val="24"/>
          <w:szCs w:val="24"/>
        </w:rPr>
      </w:pPr>
    </w:p>
    <w:p w:rsidR="000837EB"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4760BD">
        <w:rPr>
          <w:rFonts w:ascii="Palatino Linotype" w:eastAsia="MS Gothic" w:hAnsi="Palatino Linotype" w:cs="Times New Roman"/>
          <w:sz w:val="24"/>
          <w:szCs w:val="24"/>
        </w:rPr>
        <w:t xml:space="preserve">Ahora bien, </w:t>
      </w:r>
      <w:r w:rsidRPr="004760BD">
        <w:rPr>
          <w:rFonts w:ascii="Palatino Linotype" w:eastAsia="MS Gothic" w:hAnsi="Palatino Linotype" w:cs="Times New Roman"/>
          <w:b/>
          <w:sz w:val="24"/>
          <w:szCs w:val="24"/>
          <w:u w:val="single"/>
        </w:rPr>
        <w:t>para cada caso además de fundar y motivar</w:t>
      </w:r>
      <w:r w:rsidRPr="004760BD">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760BD">
        <w:rPr>
          <w:rFonts w:ascii="Palatino Linotype" w:eastAsia="MS Gothic" w:hAnsi="Palatino Linotype" w:cs="Times New Roman"/>
          <w:sz w:val="24"/>
          <w:szCs w:val="24"/>
          <w:vertAlign w:val="superscript"/>
        </w:rPr>
        <w:footnoteReference w:id="6"/>
      </w:r>
      <w:r w:rsidRPr="004760BD">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4760BD">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szCs w:val="24"/>
        </w:rPr>
      </w:pPr>
    </w:p>
    <w:p w:rsidR="002A1C97" w:rsidRPr="004760BD" w:rsidRDefault="000837EB" w:rsidP="009820D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4760BD">
        <w:rPr>
          <w:rFonts w:ascii="Palatino Linotype" w:eastAsia="MS Gothic" w:hAnsi="Palatino Linotype" w:cs="Times New Roman"/>
          <w:sz w:val="24"/>
          <w:szCs w:val="24"/>
        </w:rPr>
        <w:t xml:space="preserve">Otro </w:t>
      </w:r>
      <w:r w:rsidRPr="004760BD">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0837EB" w:rsidRPr="004760BD" w:rsidRDefault="000837EB" w:rsidP="009820D9">
      <w:pPr>
        <w:pStyle w:val="Prrafodelista"/>
        <w:rPr>
          <w:rFonts w:ascii="Palatino Linotype" w:hAnsi="Palatino Linotype" w:cs="Arial"/>
          <w:sz w:val="24"/>
          <w:szCs w:val="24"/>
        </w:rPr>
      </w:pPr>
    </w:p>
    <w:p w:rsidR="000837EB" w:rsidRPr="004760BD" w:rsidRDefault="000837EB" w:rsidP="009820D9">
      <w:pPr>
        <w:pStyle w:val="Prrafodelista"/>
        <w:tabs>
          <w:tab w:val="left" w:pos="142"/>
          <w:tab w:val="left" w:pos="284"/>
          <w:tab w:val="left" w:pos="426"/>
        </w:tabs>
        <w:spacing w:line="360" w:lineRule="auto"/>
        <w:ind w:left="0"/>
        <w:jc w:val="both"/>
        <w:rPr>
          <w:rFonts w:ascii="Palatino Linotype" w:hAnsi="Palatino Linotype" w:cs="Arial"/>
          <w:sz w:val="24"/>
          <w:szCs w:val="24"/>
        </w:rPr>
      </w:pPr>
    </w:p>
    <w:p w:rsidR="0033763D" w:rsidRPr="004760BD" w:rsidRDefault="0033763D" w:rsidP="009820D9">
      <w:pPr>
        <w:pStyle w:val="Prrafodelista"/>
        <w:numPr>
          <w:ilvl w:val="0"/>
          <w:numId w:val="1"/>
        </w:numPr>
        <w:spacing w:after="0" w:line="360" w:lineRule="auto"/>
        <w:ind w:left="0" w:firstLine="0"/>
        <w:jc w:val="both"/>
        <w:rPr>
          <w:rFonts w:ascii="Palatino Linotype" w:hAnsi="Palatino Linotype"/>
          <w:b/>
          <w:iCs/>
          <w:color w:val="000000"/>
          <w:sz w:val="24"/>
          <w:szCs w:val="24"/>
        </w:rPr>
      </w:pPr>
      <w:r w:rsidRPr="004760BD">
        <w:rPr>
          <w:rFonts w:ascii="Palatino Linotype" w:eastAsia="MS Mincho" w:hAnsi="Palatino Linotype" w:cstheme="majorBidi"/>
          <w:sz w:val="24"/>
          <w:szCs w:val="24"/>
        </w:rPr>
        <w:t xml:space="preserve">Por lo anteriormente expuesto y fundado este </w:t>
      </w:r>
      <w:r w:rsidRPr="004760BD">
        <w:rPr>
          <w:rFonts w:ascii="Palatino Linotype" w:eastAsia="MS Mincho" w:hAnsi="Palatino Linotype" w:cstheme="majorBidi"/>
          <w:b/>
          <w:sz w:val="24"/>
          <w:szCs w:val="24"/>
        </w:rPr>
        <w:t>ÓRGANO GARANTE</w:t>
      </w:r>
      <w:r w:rsidRPr="004760BD">
        <w:rPr>
          <w:rFonts w:ascii="Palatino Linotype" w:eastAsia="MS Mincho" w:hAnsi="Palatino Linotype" w:cstheme="majorBidi"/>
          <w:sz w:val="24"/>
          <w:szCs w:val="24"/>
        </w:rPr>
        <w:t xml:space="preserve"> emite los siguientes.</w:t>
      </w:r>
    </w:p>
    <w:p w:rsidR="0033763D" w:rsidRPr="004760BD" w:rsidRDefault="0033763D" w:rsidP="009820D9">
      <w:pPr>
        <w:pStyle w:val="Ttulo2"/>
        <w:spacing w:before="0"/>
        <w:rPr>
          <w:rFonts w:ascii="Palatino Linotype" w:eastAsia="MS Mincho" w:hAnsi="Palatino Linotype" w:cs="Arial"/>
          <w:i/>
        </w:rPr>
      </w:pPr>
    </w:p>
    <w:p w:rsidR="0033763D" w:rsidRPr="004760BD" w:rsidRDefault="0033763D" w:rsidP="009820D9">
      <w:pPr>
        <w:keepNext/>
        <w:keepLines/>
        <w:spacing w:after="0" w:line="360" w:lineRule="auto"/>
        <w:ind w:right="332"/>
        <w:jc w:val="center"/>
        <w:outlineLvl w:val="0"/>
        <w:rPr>
          <w:rFonts w:ascii="Palatino Linotype" w:eastAsia="Times New Roman" w:hAnsi="Palatino Linotype" w:cstheme="majorBidi"/>
          <w:b/>
          <w:sz w:val="24"/>
          <w:szCs w:val="24"/>
          <w:lang w:val="es-ES_tradnl" w:eastAsia="es-ES"/>
        </w:rPr>
      </w:pPr>
      <w:bookmarkStart w:id="56" w:name="_Toc63949894"/>
      <w:r w:rsidRPr="004760BD">
        <w:rPr>
          <w:rFonts w:ascii="Palatino Linotype" w:eastAsia="Times New Roman" w:hAnsi="Palatino Linotype" w:cstheme="majorBidi"/>
          <w:b/>
          <w:sz w:val="24"/>
          <w:szCs w:val="24"/>
          <w:lang w:val="es-ES_tradnl" w:eastAsia="es-ES"/>
        </w:rPr>
        <w:t>R E S O L U T I V O S</w:t>
      </w:r>
      <w:bookmarkEnd w:id="34"/>
      <w:bookmarkEnd w:id="56"/>
    </w:p>
    <w:p w:rsidR="0033763D" w:rsidRPr="004760BD" w:rsidRDefault="0033763D" w:rsidP="009820D9">
      <w:pPr>
        <w:keepNext/>
        <w:keepLines/>
        <w:spacing w:after="0" w:line="360" w:lineRule="auto"/>
        <w:ind w:right="332"/>
        <w:jc w:val="center"/>
        <w:outlineLvl w:val="0"/>
        <w:rPr>
          <w:rFonts w:ascii="Palatino Linotype" w:eastAsia="Times New Roman" w:hAnsi="Palatino Linotype" w:cstheme="majorBidi"/>
          <w:b/>
          <w:sz w:val="28"/>
          <w:szCs w:val="24"/>
          <w:lang w:val="es-ES_tradnl" w:eastAsia="es-ES"/>
        </w:rPr>
      </w:pPr>
    </w:p>
    <w:p w:rsidR="000837EB" w:rsidRPr="004760BD" w:rsidRDefault="000837EB" w:rsidP="009820D9">
      <w:pPr>
        <w:spacing w:after="0" w:line="360" w:lineRule="auto"/>
        <w:ind w:right="48"/>
        <w:jc w:val="both"/>
        <w:rPr>
          <w:rFonts w:ascii="Palatino Linotype" w:hAnsi="Palatino Linotype" w:cs="Arial"/>
          <w:bCs/>
          <w:sz w:val="24"/>
        </w:rPr>
      </w:pPr>
      <w:r w:rsidRPr="004760BD">
        <w:rPr>
          <w:rFonts w:ascii="Palatino Linotype" w:eastAsia="Times New Roman" w:hAnsi="Palatino Linotype" w:cs="Arial"/>
          <w:b/>
          <w:sz w:val="24"/>
        </w:rPr>
        <w:t xml:space="preserve">PRIMERO. </w:t>
      </w:r>
      <w:proofErr w:type="gramStart"/>
      <w:r w:rsidRPr="004760BD">
        <w:rPr>
          <w:rFonts w:ascii="Palatino Linotype" w:eastAsia="Times New Roman" w:hAnsi="Palatino Linotype" w:cs="Arial"/>
          <w:sz w:val="24"/>
        </w:rPr>
        <w:t>Resultan  fundadas</w:t>
      </w:r>
      <w:proofErr w:type="gramEnd"/>
      <w:r w:rsidRPr="004760BD">
        <w:rPr>
          <w:rFonts w:ascii="Palatino Linotype" w:eastAsia="Times New Roman" w:hAnsi="Palatino Linotype" w:cs="Arial"/>
          <w:sz w:val="24"/>
        </w:rPr>
        <w:t xml:space="preserve"> las</w:t>
      </w:r>
      <w:r w:rsidRPr="004760BD">
        <w:rPr>
          <w:rFonts w:ascii="Palatino Linotype" w:eastAsia="Times New Roman" w:hAnsi="Palatino Linotype" w:cs="Arial"/>
          <w:b/>
          <w:sz w:val="24"/>
        </w:rPr>
        <w:t xml:space="preserve"> </w:t>
      </w:r>
      <w:r w:rsidRPr="004760BD">
        <w:rPr>
          <w:rFonts w:ascii="Palatino Linotype" w:eastAsia="Times New Roman" w:hAnsi="Palatino Linotype" w:cs="Arial"/>
          <w:sz w:val="24"/>
          <w:lang w:val="es-ES"/>
        </w:rPr>
        <w:t xml:space="preserve">razones o motivos de inconformidad hechos valer </w:t>
      </w:r>
      <w:r w:rsidRPr="004760BD">
        <w:rPr>
          <w:rFonts w:ascii="Palatino Linotype" w:eastAsia="Calibri" w:hAnsi="Palatino Linotype" w:cs="Arial"/>
          <w:sz w:val="24"/>
          <w:lang w:val="es-ES"/>
        </w:rPr>
        <w:t xml:space="preserve">en el recurso de revisión </w:t>
      </w:r>
      <w:r w:rsidRPr="004760BD">
        <w:rPr>
          <w:rFonts w:ascii="Palatino Linotype" w:hAnsi="Palatino Linotype" w:cs="Arial"/>
          <w:b/>
          <w:bCs/>
          <w:sz w:val="24"/>
        </w:rPr>
        <w:t xml:space="preserve">06178/INFOEM/IP/RR/2020, </w:t>
      </w:r>
      <w:r w:rsidRPr="004760BD">
        <w:rPr>
          <w:rFonts w:ascii="Palatino Linotype" w:hAnsi="Palatino Linotype" w:cs="Arial"/>
          <w:bCs/>
          <w:sz w:val="24"/>
        </w:rPr>
        <w:t xml:space="preserve">en términos de los </w:t>
      </w:r>
      <w:r w:rsidRPr="004760BD">
        <w:rPr>
          <w:rFonts w:ascii="Palatino Linotype" w:hAnsi="Palatino Linotype" w:cs="Arial"/>
          <w:b/>
          <w:bCs/>
          <w:sz w:val="24"/>
        </w:rPr>
        <w:t>Considerandos</w:t>
      </w:r>
      <w:r w:rsidRPr="004760BD">
        <w:rPr>
          <w:rFonts w:ascii="Palatino Linotype" w:hAnsi="Palatino Linotype" w:cs="Arial"/>
          <w:bCs/>
          <w:sz w:val="24"/>
        </w:rPr>
        <w:t xml:space="preserve"> </w:t>
      </w:r>
      <w:r w:rsidRPr="004760BD">
        <w:rPr>
          <w:rFonts w:ascii="Palatino Linotype" w:hAnsi="Palatino Linotype" w:cs="Arial"/>
          <w:b/>
          <w:bCs/>
          <w:sz w:val="24"/>
        </w:rPr>
        <w:t xml:space="preserve">QUINTO Y SEXTO  </w:t>
      </w:r>
      <w:r w:rsidRPr="004760BD">
        <w:rPr>
          <w:rFonts w:ascii="Palatino Linotype" w:hAnsi="Palatino Linotype" w:cs="Arial"/>
          <w:bCs/>
          <w:sz w:val="24"/>
        </w:rPr>
        <w:t>de la presente resolución.</w:t>
      </w:r>
    </w:p>
    <w:p w:rsidR="000837EB" w:rsidRPr="004760BD" w:rsidRDefault="000837EB" w:rsidP="009820D9">
      <w:pPr>
        <w:spacing w:after="0" w:line="360" w:lineRule="auto"/>
        <w:ind w:right="48"/>
        <w:jc w:val="both"/>
        <w:rPr>
          <w:rFonts w:ascii="Palatino Linotype" w:hAnsi="Palatino Linotype" w:cs="Arial"/>
          <w:bCs/>
          <w:sz w:val="24"/>
        </w:rPr>
      </w:pPr>
    </w:p>
    <w:p w:rsidR="000837EB" w:rsidRPr="004760BD" w:rsidRDefault="000837EB" w:rsidP="009820D9">
      <w:pPr>
        <w:spacing w:after="0" w:line="360" w:lineRule="auto"/>
        <w:ind w:right="48"/>
        <w:jc w:val="both"/>
        <w:rPr>
          <w:rFonts w:ascii="Palatino Linotype" w:eastAsia="Times New Roman" w:hAnsi="Palatino Linotype" w:cs="Arial"/>
          <w:sz w:val="24"/>
          <w:lang w:val="es-ES"/>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4760BD">
        <w:rPr>
          <w:rFonts w:ascii="Palatino Linotype" w:hAnsi="Palatino Linotype"/>
          <w:b/>
          <w:sz w:val="24"/>
        </w:rPr>
        <w:t>SEGUNDO.</w:t>
      </w:r>
      <w:r w:rsidRPr="004760BD">
        <w:rPr>
          <w:rStyle w:val="Ttulo2Car"/>
          <w:rFonts w:ascii="Palatino Linotype" w:hAnsi="Palatino Linotype"/>
          <w:sz w:val="28"/>
        </w:rPr>
        <w:t xml:space="preserve"> </w:t>
      </w:r>
      <w:bookmarkEnd w:id="57"/>
      <w:bookmarkEnd w:id="58"/>
      <w:bookmarkEnd w:id="59"/>
      <w:bookmarkEnd w:id="60"/>
      <w:bookmarkEnd w:id="61"/>
      <w:bookmarkEnd w:id="62"/>
      <w:bookmarkEnd w:id="63"/>
      <w:r w:rsidRPr="004760BD">
        <w:rPr>
          <w:rFonts w:ascii="Palatino Linotype" w:eastAsia="Calibri" w:hAnsi="Palatino Linotype" w:cs="Arial"/>
          <w:sz w:val="24"/>
          <w:lang w:val="es-ES"/>
        </w:rPr>
        <w:t>Se</w:t>
      </w:r>
      <w:r w:rsidRPr="004760BD">
        <w:rPr>
          <w:rFonts w:ascii="Palatino Linotype" w:eastAsia="Calibri" w:hAnsi="Palatino Linotype" w:cs="Arial"/>
          <w:b/>
          <w:sz w:val="24"/>
          <w:lang w:val="es-ES"/>
        </w:rPr>
        <w:t xml:space="preserve"> REVOCA </w:t>
      </w:r>
      <w:r w:rsidRPr="004760BD">
        <w:rPr>
          <w:rFonts w:ascii="Palatino Linotype" w:eastAsia="Calibri" w:hAnsi="Palatino Linotype" w:cs="Arial"/>
          <w:sz w:val="24"/>
          <w:lang w:val="es-ES"/>
        </w:rPr>
        <w:t xml:space="preserve">la respuesta emitida por el </w:t>
      </w:r>
      <w:r w:rsidRPr="004760BD">
        <w:rPr>
          <w:rFonts w:ascii="Palatino Linotype" w:hAnsi="Palatino Linotype" w:cs="Arial"/>
          <w:b/>
          <w:sz w:val="24"/>
        </w:rPr>
        <w:t xml:space="preserve">Ayuntamiento de Chimalhuacán </w:t>
      </w:r>
      <w:r w:rsidRPr="004760BD">
        <w:rPr>
          <w:rFonts w:ascii="Palatino Linotype" w:eastAsia="Calibri" w:hAnsi="Palatino Linotype" w:cs="Arial"/>
          <w:sz w:val="24"/>
          <w:lang w:val="es-ES"/>
        </w:rPr>
        <w:t>y se</w:t>
      </w:r>
      <w:r w:rsidRPr="004760BD">
        <w:rPr>
          <w:rFonts w:ascii="Palatino Linotype" w:eastAsia="Calibri" w:hAnsi="Palatino Linotype" w:cs="Arial"/>
          <w:b/>
          <w:sz w:val="24"/>
          <w:lang w:val="es-ES"/>
        </w:rPr>
        <w:t xml:space="preserve"> ORDENA </w:t>
      </w:r>
      <w:r w:rsidRPr="004760BD">
        <w:rPr>
          <w:rFonts w:ascii="Palatino Linotype" w:eastAsia="Times New Roman" w:hAnsi="Palatino Linotype" w:cs="Arial"/>
          <w:sz w:val="24"/>
          <w:lang w:val="es-ES"/>
        </w:rPr>
        <w:t>entregar vía Sistema de Acceso a la Información Mexiquense (SAIMEX),</w:t>
      </w:r>
      <w:r w:rsidR="00F00FC0" w:rsidRPr="004760BD">
        <w:rPr>
          <w:rFonts w:ascii="Palatino Linotype" w:eastAsia="Times New Roman" w:hAnsi="Palatino Linotype" w:cs="Arial"/>
          <w:sz w:val="24"/>
          <w:lang w:val="es-ES"/>
        </w:rPr>
        <w:t xml:space="preserve"> en versión pública la</w:t>
      </w:r>
      <w:r w:rsidRPr="004760BD">
        <w:rPr>
          <w:rFonts w:ascii="Palatino Linotype" w:eastAsia="Times New Roman" w:hAnsi="Palatino Linotype" w:cs="Arial"/>
          <w:sz w:val="24"/>
          <w:lang w:val="es-ES"/>
        </w:rPr>
        <w:t xml:space="preserve"> </w:t>
      </w:r>
      <w:r w:rsidR="00135B4A" w:rsidRPr="004760BD">
        <w:rPr>
          <w:rFonts w:ascii="Palatino Linotype" w:eastAsia="Times New Roman" w:hAnsi="Palatino Linotype" w:cs="Arial"/>
          <w:sz w:val="24"/>
          <w:lang w:val="es-ES"/>
        </w:rPr>
        <w:t xml:space="preserve">siguiente información: </w:t>
      </w:r>
    </w:p>
    <w:p w:rsidR="00135B4A" w:rsidRPr="004760BD" w:rsidRDefault="00135B4A" w:rsidP="009820D9">
      <w:pPr>
        <w:spacing w:after="0" w:line="360" w:lineRule="auto"/>
        <w:ind w:right="48"/>
        <w:jc w:val="both"/>
        <w:rPr>
          <w:rFonts w:ascii="Palatino Linotype" w:hAnsi="Palatino Linotype" w:cs="Arial"/>
          <w:bCs/>
          <w:sz w:val="24"/>
        </w:rPr>
      </w:pPr>
    </w:p>
    <w:p w:rsidR="000837EB" w:rsidRPr="004760BD" w:rsidRDefault="000837EB" w:rsidP="009820D9">
      <w:pPr>
        <w:pStyle w:val="Prrafodelista"/>
        <w:numPr>
          <w:ilvl w:val="0"/>
          <w:numId w:val="3"/>
        </w:numPr>
        <w:spacing w:after="0" w:line="360" w:lineRule="auto"/>
        <w:ind w:right="48"/>
        <w:jc w:val="both"/>
        <w:rPr>
          <w:rFonts w:ascii="Palatino Linotype" w:hAnsi="Palatino Linotype" w:cs="Arial"/>
          <w:b/>
          <w:bCs/>
          <w:sz w:val="24"/>
          <w:szCs w:val="24"/>
        </w:rPr>
      </w:pPr>
      <w:r w:rsidRPr="004760BD">
        <w:rPr>
          <w:rFonts w:ascii="Palatino Linotype" w:hAnsi="Palatino Linotype" w:cs="Arial"/>
          <w:b/>
          <w:sz w:val="24"/>
          <w:szCs w:val="24"/>
        </w:rPr>
        <w:t>Documento</w:t>
      </w:r>
      <w:r w:rsidR="000C27A8" w:rsidRPr="004760BD">
        <w:rPr>
          <w:rFonts w:ascii="Palatino Linotype" w:hAnsi="Palatino Linotype" w:cs="Arial"/>
          <w:b/>
          <w:sz w:val="24"/>
          <w:szCs w:val="24"/>
        </w:rPr>
        <w:t>(s)</w:t>
      </w:r>
      <w:r w:rsidRPr="004760BD">
        <w:rPr>
          <w:rFonts w:ascii="Palatino Linotype" w:hAnsi="Palatino Linotype" w:cs="Arial"/>
          <w:b/>
          <w:sz w:val="24"/>
          <w:szCs w:val="24"/>
        </w:rPr>
        <w:t xml:space="preserve"> </w:t>
      </w:r>
      <w:r w:rsidR="00A25F08" w:rsidRPr="004760BD">
        <w:rPr>
          <w:rFonts w:ascii="Palatino Linotype" w:hAnsi="Palatino Linotype" w:cs="Arial"/>
          <w:b/>
          <w:sz w:val="24"/>
          <w:szCs w:val="24"/>
        </w:rPr>
        <w:t>donde conste el pago por</w:t>
      </w:r>
      <w:r w:rsidR="00135B4A" w:rsidRPr="004760BD">
        <w:rPr>
          <w:rFonts w:ascii="Palatino Linotype" w:hAnsi="Palatino Linotype" w:cs="Arial"/>
          <w:b/>
          <w:sz w:val="24"/>
          <w:szCs w:val="24"/>
        </w:rPr>
        <w:t xml:space="preserve"> indemnización por fallecimiento de servidores públicos sindicalizados </w:t>
      </w:r>
      <w:r w:rsidR="00F00FC0" w:rsidRPr="004760BD">
        <w:rPr>
          <w:rFonts w:ascii="Palatino Linotype" w:hAnsi="Palatino Linotype" w:cs="Arial"/>
          <w:b/>
          <w:sz w:val="24"/>
          <w:szCs w:val="24"/>
        </w:rPr>
        <w:t>del uno de enero de dos mil diecisé</w:t>
      </w:r>
      <w:r w:rsidR="00E578E5" w:rsidRPr="004760BD">
        <w:rPr>
          <w:rFonts w:ascii="Palatino Linotype" w:hAnsi="Palatino Linotype" w:cs="Arial"/>
          <w:b/>
          <w:sz w:val="24"/>
          <w:szCs w:val="24"/>
        </w:rPr>
        <w:t>is al diez de noviembre de</w:t>
      </w:r>
      <w:r w:rsidR="00F00FC0" w:rsidRPr="004760BD">
        <w:rPr>
          <w:rFonts w:ascii="Palatino Linotype" w:hAnsi="Palatino Linotype" w:cs="Arial"/>
          <w:b/>
          <w:sz w:val="24"/>
          <w:szCs w:val="24"/>
        </w:rPr>
        <w:t xml:space="preserve"> dos mil veinte.</w:t>
      </w:r>
    </w:p>
    <w:p w:rsidR="00135B4A" w:rsidRPr="004760BD" w:rsidRDefault="00135B4A" w:rsidP="009820D9">
      <w:pPr>
        <w:pStyle w:val="Prrafodelista"/>
        <w:spacing w:after="0" w:line="360" w:lineRule="auto"/>
        <w:ind w:right="48"/>
        <w:jc w:val="both"/>
        <w:rPr>
          <w:rFonts w:ascii="Palatino Linotype" w:hAnsi="Palatino Linotype" w:cs="Arial"/>
          <w:b/>
          <w:bCs/>
          <w:sz w:val="24"/>
          <w:szCs w:val="24"/>
        </w:rPr>
      </w:pPr>
    </w:p>
    <w:p w:rsidR="00235EE0" w:rsidRPr="004760BD" w:rsidRDefault="00F00FC0" w:rsidP="009820D9">
      <w:pPr>
        <w:pStyle w:val="Prrafodelista"/>
        <w:numPr>
          <w:ilvl w:val="0"/>
          <w:numId w:val="3"/>
        </w:numPr>
        <w:spacing w:after="0" w:line="360" w:lineRule="auto"/>
        <w:ind w:right="48"/>
        <w:jc w:val="both"/>
        <w:rPr>
          <w:rFonts w:ascii="Palatino Linotype" w:hAnsi="Palatino Linotype" w:cs="Arial"/>
          <w:b/>
          <w:bCs/>
          <w:sz w:val="24"/>
          <w:szCs w:val="24"/>
        </w:rPr>
      </w:pPr>
      <w:r w:rsidRPr="004760BD">
        <w:rPr>
          <w:rFonts w:ascii="Palatino Linotype" w:hAnsi="Palatino Linotype" w:cs="Arial"/>
          <w:b/>
          <w:sz w:val="24"/>
          <w:szCs w:val="24"/>
        </w:rPr>
        <w:t>Documento</w:t>
      </w:r>
      <w:r w:rsidR="000C27A8" w:rsidRPr="004760BD">
        <w:rPr>
          <w:rFonts w:ascii="Palatino Linotype" w:hAnsi="Palatino Linotype" w:cs="Arial"/>
          <w:b/>
          <w:sz w:val="24"/>
          <w:szCs w:val="24"/>
        </w:rPr>
        <w:t>(s)</w:t>
      </w:r>
      <w:r w:rsidRPr="004760BD">
        <w:rPr>
          <w:rFonts w:ascii="Palatino Linotype" w:hAnsi="Palatino Linotype" w:cs="Arial"/>
          <w:b/>
          <w:sz w:val="24"/>
          <w:szCs w:val="24"/>
        </w:rPr>
        <w:t xml:space="preserve"> donde conste el pago de finiquito o </w:t>
      </w:r>
      <w:r w:rsidR="00A2100B" w:rsidRPr="004760BD">
        <w:rPr>
          <w:rFonts w:ascii="Palatino Linotype" w:hAnsi="Palatino Linotype" w:cs="Arial"/>
          <w:b/>
          <w:sz w:val="24"/>
          <w:szCs w:val="24"/>
        </w:rPr>
        <w:t xml:space="preserve">liquidación </w:t>
      </w:r>
      <w:r w:rsidR="00135B4A" w:rsidRPr="004760BD">
        <w:rPr>
          <w:rFonts w:ascii="Palatino Linotype" w:hAnsi="Palatino Linotype" w:cs="Arial"/>
          <w:b/>
          <w:sz w:val="24"/>
          <w:szCs w:val="24"/>
        </w:rPr>
        <w:t xml:space="preserve">de los servidores públicos sindicalizados </w:t>
      </w:r>
      <w:r w:rsidR="00A2100B" w:rsidRPr="004760BD">
        <w:rPr>
          <w:rFonts w:ascii="Palatino Linotype" w:hAnsi="Palatino Linotype" w:cs="Arial"/>
          <w:b/>
          <w:sz w:val="24"/>
          <w:szCs w:val="24"/>
        </w:rPr>
        <w:t xml:space="preserve">del uno de enero de dos mil dieciséis al diez de noviembre de dos mil veinte. </w:t>
      </w:r>
    </w:p>
    <w:p w:rsidR="000837EB" w:rsidRPr="004760BD" w:rsidRDefault="000837EB" w:rsidP="009820D9">
      <w:pPr>
        <w:pStyle w:val="Prrafodelista"/>
        <w:spacing w:after="0" w:line="360" w:lineRule="auto"/>
        <w:ind w:right="48"/>
        <w:jc w:val="both"/>
        <w:rPr>
          <w:rFonts w:ascii="Palatino Linotype" w:hAnsi="Palatino Linotype" w:cs="Arial"/>
          <w:b/>
          <w:bCs/>
          <w:sz w:val="24"/>
          <w:szCs w:val="24"/>
        </w:rPr>
      </w:pPr>
    </w:p>
    <w:p w:rsidR="000837EB" w:rsidRPr="004760BD" w:rsidRDefault="000837EB" w:rsidP="009820D9">
      <w:pPr>
        <w:spacing w:after="0" w:line="360" w:lineRule="auto"/>
        <w:jc w:val="both"/>
        <w:rPr>
          <w:rFonts w:ascii="Palatino Linotype" w:eastAsia="Calibri" w:hAnsi="Palatino Linotype" w:cs="Arial"/>
          <w:sz w:val="24"/>
          <w:lang w:val="es-ES"/>
        </w:rPr>
      </w:pPr>
      <w:r w:rsidRPr="004760BD">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w:t>
      </w:r>
      <w:r w:rsidRPr="004760BD">
        <w:rPr>
          <w:rFonts w:ascii="Palatino Linotype" w:eastAsia="Calibri" w:hAnsi="Palatino Linotype" w:cs="Arial"/>
          <w:sz w:val="24"/>
        </w:rPr>
        <w:lastRenderedPageBreak/>
        <w:t>Acceso a la Información Pública del Estado de México y Municipios, en el que funde y motive las razones sobre los datos que se supriman o eliminen dentro del soporte documental respectivo objeto de las versiones públicas que se formulen.</w:t>
      </w:r>
    </w:p>
    <w:p w:rsidR="000837EB" w:rsidRPr="004760BD" w:rsidRDefault="000837EB" w:rsidP="009820D9">
      <w:pPr>
        <w:spacing w:after="0" w:line="360" w:lineRule="auto"/>
        <w:jc w:val="both"/>
        <w:rPr>
          <w:rFonts w:ascii="Palatino Linotype" w:eastAsia="Calibri" w:hAnsi="Palatino Linotype" w:cs="Arial"/>
          <w:sz w:val="24"/>
          <w:lang w:val="es-ES"/>
        </w:rPr>
      </w:pPr>
    </w:p>
    <w:p w:rsidR="000837EB" w:rsidRPr="004760BD" w:rsidRDefault="000837EB" w:rsidP="009820D9">
      <w:pPr>
        <w:tabs>
          <w:tab w:val="left" w:pos="8080"/>
        </w:tabs>
        <w:spacing w:after="0" w:line="360" w:lineRule="auto"/>
        <w:ind w:right="48"/>
        <w:contextualSpacing/>
        <w:jc w:val="both"/>
        <w:rPr>
          <w:rFonts w:ascii="Palatino Linotype" w:hAnsi="Palatino Linotype"/>
          <w:color w:val="222222"/>
          <w:sz w:val="24"/>
          <w:shd w:val="clear" w:color="auto" w:fill="FFFFFF"/>
        </w:rPr>
      </w:pPr>
      <w:bookmarkStart w:id="64" w:name="_Toc460947013"/>
      <w:r w:rsidRPr="004760BD">
        <w:rPr>
          <w:rFonts w:ascii="Palatino Linotype" w:eastAsia="Palatino Linotype" w:hAnsi="Palatino Linotype" w:cs="Palatino Linotype"/>
          <w:b/>
          <w:sz w:val="24"/>
        </w:rPr>
        <w:t xml:space="preserve">TERCERO. Notifíquese </w:t>
      </w:r>
      <w:r w:rsidRPr="004760BD">
        <w:rPr>
          <w:rFonts w:ascii="Palatino Linotype" w:eastAsia="Palatino Linotype" w:hAnsi="Palatino Linotype" w:cs="Palatino Linotype"/>
          <w:sz w:val="24"/>
        </w:rPr>
        <w:t xml:space="preserve">al Titular de la Unidad de Transparencia del </w:t>
      </w:r>
      <w:r w:rsidRPr="004760BD">
        <w:rPr>
          <w:rFonts w:ascii="Palatino Linotype" w:eastAsia="Palatino Linotype" w:hAnsi="Palatino Linotype" w:cs="Palatino Linotype"/>
          <w:b/>
          <w:sz w:val="24"/>
        </w:rPr>
        <w:t>SUJETO OBLIGADO</w:t>
      </w:r>
      <w:r w:rsidRPr="004760BD">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4760BD">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rsidR="000837EB" w:rsidRPr="004760BD" w:rsidRDefault="000837EB" w:rsidP="009820D9">
      <w:pPr>
        <w:tabs>
          <w:tab w:val="left" w:pos="8080"/>
        </w:tabs>
        <w:spacing w:after="0" w:line="360" w:lineRule="auto"/>
        <w:ind w:right="48"/>
        <w:contextualSpacing/>
        <w:jc w:val="both"/>
        <w:rPr>
          <w:rFonts w:ascii="Palatino Linotype" w:eastAsia="Palatino Linotype" w:hAnsi="Palatino Linotype" w:cs="Palatino Linotype"/>
          <w:b/>
          <w:sz w:val="24"/>
        </w:rPr>
      </w:pPr>
    </w:p>
    <w:p w:rsidR="000837EB" w:rsidRPr="004760BD" w:rsidRDefault="000837EB" w:rsidP="009820D9">
      <w:pPr>
        <w:shd w:val="clear" w:color="auto" w:fill="FFFFFF"/>
        <w:spacing w:after="0" w:line="360" w:lineRule="auto"/>
        <w:ind w:right="48"/>
        <w:jc w:val="both"/>
        <w:rPr>
          <w:rFonts w:ascii="Palatino Linotype" w:hAnsi="Palatino Linotype"/>
          <w:sz w:val="24"/>
        </w:rPr>
      </w:pPr>
      <w:r w:rsidRPr="004760BD">
        <w:rPr>
          <w:rFonts w:ascii="Palatino Linotype" w:eastAsia="Times New Roman" w:hAnsi="Palatino Linotype" w:cs="Arial"/>
          <w:b/>
          <w:sz w:val="24"/>
        </w:rPr>
        <w:t xml:space="preserve">CUARTO. </w:t>
      </w:r>
      <w:r w:rsidRPr="004760BD">
        <w:rPr>
          <w:rFonts w:ascii="Palatino Linotype" w:eastAsia="Times New Roman" w:hAnsi="Palatino Linotype" w:cs="Times New Roman"/>
          <w:b/>
          <w:bCs/>
          <w:color w:val="222222"/>
          <w:sz w:val="24"/>
          <w:lang w:val="es-ES"/>
        </w:rPr>
        <w:t>Notifíquese al RECURRENTE</w:t>
      </w:r>
      <w:r w:rsidRPr="004760BD">
        <w:rPr>
          <w:rFonts w:ascii="Palatino Linotype" w:hAnsi="Palatino Linotype"/>
          <w:sz w:val="24"/>
        </w:rPr>
        <w:t xml:space="preserve"> la presente resolución. </w:t>
      </w:r>
    </w:p>
    <w:p w:rsidR="000837EB" w:rsidRPr="004760BD" w:rsidRDefault="000837EB" w:rsidP="009820D9">
      <w:pPr>
        <w:shd w:val="clear" w:color="auto" w:fill="FFFFFF"/>
        <w:spacing w:after="0" w:line="360" w:lineRule="auto"/>
        <w:ind w:right="48"/>
        <w:jc w:val="both"/>
        <w:rPr>
          <w:rFonts w:ascii="Palatino Linotype" w:hAnsi="Palatino Linotype"/>
          <w:b/>
          <w:color w:val="FF0000"/>
          <w:sz w:val="24"/>
        </w:rPr>
      </w:pPr>
    </w:p>
    <w:bookmarkEnd w:id="64"/>
    <w:p w:rsidR="000837EB" w:rsidRPr="004760BD" w:rsidRDefault="000837EB" w:rsidP="009820D9">
      <w:pPr>
        <w:spacing w:after="0" w:line="360" w:lineRule="auto"/>
        <w:ind w:right="48"/>
        <w:jc w:val="both"/>
        <w:rPr>
          <w:rFonts w:ascii="Palatino Linotype" w:eastAsia="MS Mincho" w:hAnsi="Palatino Linotype" w:cs="Times New Roman"/>
          <w:sz w:val="24"/>
          <w:lang w:val="es-ES"/>
        </w:rPr>
      </w:pPr>
      <w:r w:rsidRPr="004760BD">
        <w:rPr>
          <w:rFonts w:ascii="Palatino Linotype" w:eastAsia="MS Mincho" w:hAnsi="Palatino Linotype" w:cs="Times New Roman"/>
          <w:b/>
          <w:sz w:val="24"/>
        </w:rPr>
        <w:t>QUINTO.</w:t>
      </w:r>
      <w:r w:rsidRPr="004760BD">
        <w:rPr>
          <w:rFonts w:ascii="Palatino Linotype" w:eastAsia="MS Mincho" w:hAnsi="Palatino Linotype" w:cs="Times New Roman"/>
          <w:sz w:val="24"/>
        </w:rPr>
        <w:t xml:space="preserve"> </w:t>
      </w:r>
      <w:r w:rsidRPr="004760BD">
        <w:rPr>
          <w:rFonts w:ascii="Palatino Linotype" w:eastAsia="MS Mincho" w:hAnsi="Palatino Linotype" w:cs="Times New Roman"/>
          <w:sz w:val="24"/>
          <w:lang w:val="es-ES"/>
        </w:rPr>
        <w:t xml:space="preserve">Se hace del conocimiento del </w:t>
      </w:r>
      <w:r w:rsidRPr="004760BD">
        <w:rPr>
          <w:rFonts w:ascii="Palatino Linotype" w:eastAsia="MS Mincho" w:hAnsi="Palatino Linotype" w:cs="Times New Roman"/>
          <w:b/>
          <w:sz w:val="24"/>
          <w:lang w:val="es-ES"/>
        </w:rPr>
        <w:t>RECURRENTE</w:t>
      </w:r>
      <w:r w:rsidRPr="004760BD">
        <w:rPr>
          <w:rFonts w:ascii="Palatino Linotype" w:eastAsia="MS Mincho" w:hAnsi="Palatino Linotype" w:cs="Times New Roman"/>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760BD">
        <w:rPr>
          <w:rFonts w:ascii="Palatino Linotype" w:eastAsia="MS Mincho" w:hAnsi="Palatino Linotype" w:cs="Times New Roman"/>
          <w:bCs/>
          <w:sz w:val="24"/>
          <w:lang w:val="es-ES"/>
        </w:rPr>
        <w:t>vía juicio de amparo</w:t>
      </w:r>
      <w:r w:rsidRPr="004760BD">
        <w:rPr>
          <w:rFonts w:ascii="Palatino Linotype" w:eastAsia="MS Mincho" w:hAnsi="Palatino Linotype" w:cs="Times New Roman"/>
          <w:sz w:val="24"/>
          <w:lang w:val="es-ES"/>
        </w:rPr>
        <w:t> en los términos de las leyes aplicables.</w:t>
      </w:r>
    </w:p>
    <w:p w:rsidR="000837EB" w:rsidRPr="004760BD" w:rsidRDefault="000837EB" w:rsidP="009820D9">
      <w:pPr>
        <w:spacing w:after="0" w:line="360" w:lineRule="auto"/>
        <w:ind w:right="48"/>
        <w:jc w:val="both"/>
        <w:rPr>
          <w:rFonts w:ascii="Palatino Linotype" w:eastAsia="MS Mincho" w:hAnsi="Palatino Linotype" w:cs="Times New Roman"/>
          <w:color w:val="FF0000"/>
          <w:sz w:val="24"/>
          <w:szCs w:val="24"/>
          <w:lang w:val="es-ES"/>
        </w:rPr>
      </w:pPr>
    </w:p>
    <w:p w:rsidR="000837EB" w:rsidRPr="004760BD" w:rsidRDefault="000837EB" w:rsidP="009820D9">
      <w:pPr>
        <w:spacing w:after="0" w:line="360" w:lineRule="auto"/>
        <w:ind w:right="48"/>
        <w:jc w:val="both"/>
        <w:rPr>
          <w:rFonts w:ascii="Palatino Linotype" w:hAnsi="Palatino Linotype"/>
          <w:color w:val="000000"/>
          <w:sz w:val="24"/>
          <w:shd w:val="clear" w:color="auto" w:fill="FFFFFF"/>
        </w:rPr>
      </w:pPr>
      <w:r w:rsidRPr="004760BD">
        <w:rPr>
          <w:rFonts w:ascii="Palatino Linotype" w:hAnsi="Palatino Linotype"/>
          <w:b/>
          <w:bCs/>
          <w:color w:val="000000"/>
          <w:sz w:val="24"/>
          <w:shd w:val="clear" w:color="auto" w:fill="FFFFFF"/>
        </w:rPr>
        <w:t>SEXTO.</w:t>
      </w:r>
      <w:r w:rsidRPr="004760BD">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4760BD">
        <w:rPr>
          <w:rFonts w:ascii="Palatino Linotype" w:hAnsi="Palatino Linotype"/>
          <w:b/>
          <w:bCs/>
          <w:color w:val="000000"/>
          <w:sz w:val="24"/>
          <w:shd w:val="clear" w:color="auto" w:fill="FFFFFF"/>
        </w:rPr>
        <w:t>SUJETO OBLIGADO</w:t>
      </w:r>
      <w:r w:rsidRPr="004760BD">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0837EB" w:rsidRPr="004760BD" w:rsidRDefault="000837EB" w:rsidP="009820D9">
      <w:pPr>
        <w:spacing w:after="0" w:line="360" w:lineRule="auto"/>
        <w:ind w:right="48"/>
        <w:jc w:val="both"/>
        <w:rPr>
          <w:rFonts w:ascii="Palatino Linotype" w:hAnsi="Palatino Linotype"/>
          <w:color w:val="000000"/>
          <w:sz w:val="24"/>
          <w:shd w:val="clear" w:color="auto" w:fill="FFFFFF"/>
        </w:rPr>
      </w:pPr>
    </w:p>
    <w:p w:rsidR="000837EB" w:rsidRPr="004760BD" w:rsidRDefault="000837EB" w:rsidP="009820D9">
      <w:pPr>
        <w:spacing w:after="0" w:line="360" w:lineRule="auto"/>
        <w:ind w:right="48"/>
        <w:jc w:val="both"/>
        <w:rPr>
          <w:rFonts w:ascii="Palatino Linotype" w:eastAsia="Calibri" w:hAnsi="Palatino Linotype" w:cs="Arial"/>
          <w:bCs/>
          <w:sz w:val="24"/>
          <w:szCs w:val="24"/>
        </w:rPr>
      </w:pPr>
      <w:r w:rsidRPr="004760BD">
        <w:rPr>
          <w:rFonts w:ascii="Palatino Linotype" w:hAnsi="Palatino Linotype"/>
          <w:b/>
          <w:color w:val="000000"/>
          <w:sz w:val="24"/>
          <w:shd w:val="clear" w:color="auto" w:fill="FFFFFF"/>
        </w:rPr>
        <w:t>SÉPTIMO</w:t>
      </w:r>
      <w:r w:rsidRPr="004760BD">
        <w:rPr>
          <w:rFonts w:ascii="Palatino Linotype" w:hAnsi="Palatino Linotype"/>
          <w:b/>
          <w:color w:val="000000"/>
          <w:sz w:val="24"/>
          <w:szCs w:val="24"/>
          <w:shd w:val="clear" w:color="auto" w:fill="FFFFFF"/>
        </w:rPr>
        <w:t xml:space="preserve">. </w:t>
      </w:r>
      <w:r w:rsidRPr="004760BD">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837EB" w:rsidRPr="004760BD" w:rsidRDefault="000837EB" w:rsidP="009820D9">
      <w:pPr>
        <w:spacing w:after="0" w:line="360" w:lineRule="auto"/>
        <w:ind w:right="48"/>
        <w:jc w:val="both"/>
        <w:rPr>
          <w:rFonts w:ascii="Palatino Linotype" w:eastAsia="Calibri" w:hAnsi="Palatino Linotype" w:cs="Arial"/>
          <w:bCs/>
          <w:sz w:val="24"/>
          <w:szCs w:val="24"/>
        </w:rPr>
      </w:pPr>
    </w:p>
    <w:p w:rsidR="0033763D" w:rsidRDefault="0033763D" w:rsidP="009820D9">
      <w:pPr>
        <w:spacing w:after="0" w:line="360" w:lineRule="auto"/>
        <w:ind w:right="332"/>
        <w:jc w:val="both"/>
        <w:rPr>
          <w:rFonts w:ascii="Palatino Linotype" w:hAnsi="Palatino Linotype"/>
          <w:sz w:val="24"/>
          <w:szCs w:val="24"/>
        </w:rPr>
      </w:pPr>
      <w:r w:rsidRPr="004760B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235EE0" w:rsidRPr="004760BD">
        <w:rPr>
          <w:rFonts w:ascii="Palatino Linotype" w:hAnsi="Palatino Linotype"/>
          <w:sz w:val="24"/>
          <w:szCs w:val="24"/>
        </w:rPr>
        <w:t>QUINTA</w:t>
      </w:r>
      <w:r w:rsidRPr="004760BD">
        <w:rPr>
          <w:rFonts w:ascii="Palatino Linotype" w:hAnsi="Palatino Linotype"/>
          <w:sz w:val="24"/>
          <w:szCs w:val="24"/>
        </w:rPr>
        <w:t xml:space="preserve"> SESIÓN ORDINARIA CELEBRADA EL DÍA </w:t>
      </w:r>
      <w:r w:rsidR="00235EE0" w:rsidRPr="004760BD">
        <w:rPr>
          <w:rFonts w:ascii="Palatino Linotype" w:hAnsi="Palatino Linotype"/>
          <w:sz w:val="24"/>
          <w:szCs w:val="24"/>
        </w:rPr>
        <w:t>DIECISIETE DE FEBRERO DE DOS MIL VEINTIUNO</w:t>
      </w:r>
      <w:r w:rsidRPr="004760BD">
        <w:rPr>
          <w:rFonts w:ascii="Palatino Linotype" w:hAnsi="Palatino Linotype"/>
          <w:sz w:val="24"/>
          <w:szCs w:val="24"/>
        </w:rPr>
        <w:t xml:space="preserve">, ANTE EL SECRETARIO TÉCNICO DEL PLENO, ALEXIS TAPIA RAMÍREZ. </w:t>
      </w: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Default="004760BD" w:rsidP="009820D9">
      <w:pPr>
        <w:spacing w:after="0" w:line="360" w:lineRule="auto"/>
        <w:ind w:right="332"/>
        <w:jc w:val="both"/>
        <w:rPr>
          <w:rFonts w:ascii="Palatino Linotype" w:hAnsi="Palatino Linotype"/>
          <w:sz w:val="24"/>
          <w:szCs w:val="24"/>
        </w:rPr>
      </w:pPr>
    </w:p>
    <w:p w:rsidR="004760BD" w:rsidRPr="004760BD" w:rsidRDefault="004760BD" w:rsidP="009820D9">
      <w:pPr>
        <w:spacing w:after="0" w:line="360" w:lineRule="auto"/>
        <w:ind w:right="332"/>
        <w:jc w:val="both"/>
        <w:rPr>
          <w:rFonts w:ascii="Palatino Linotype" w:hAnsi="Palatino Linotype"/>
          <w:sz w:val="24"/>
          <w:szCs w:val="24"/>
        </w:rPr>
      </w:pPr>
    </w:p>
    <w:tbl>
      <w:tblPr>
        <w:tblW w:w="5273" w:type="pct"/>
        <w:jc w:val="center"/>
        <w:tblLook w:val="04A0" w:firstRow="1" w:lastRow="0" w:firstColumn="1" w:lastColumn="0" w:noHBand="0" w:noVBand="1"/>
      </w:tblPr>
      <w:tblGrid>
        <w:gridCol w:w="4905"/>
        <w:gridCol w:w="4498"/>
        <w:gridCol w:w="514"/>
      </w:tblGrid>
      <w:tr w:rsidR="0033763D" w:rsidRPr="004760BD" w:rsidTr="00CA1283">
        <w:trPr>
          <w:gridAfter w:val="1"/>
          <w:wAfter w:w="259" w:type="pct"/>
          <w:jc w:val="center"/>
        </w:trPr>
        <w:tc>
          <w:tcPr>
            <w:tcW w:w="4741" w:type="pct"/>
            <w:gridSpan w:val="2"/>
            <w:shd w:val="clear" w:color="auto" w:fill="auto"/>
          </w:tcPr>
          <w:p w:rsidR="0033763D" w:rsidRPr="004760BD" w:rsidRDefault="0033763D" w:rsidP="009820D9">
            <w:pPr>
              <w:tabs>
                <w:tab w:val="left" w:pos="780"/>
                <w:tab w:val="center" w:pos="4499"/>
              </w:tabs>
              <w:spacing w:after="0" w:line="276" w:lineRule="auto"/>
              <w:ind w:right="332"/>
              <w:rPr>
                <w:rFonts w:ascii="Palatino Linotype" w:hAnsi="Palatino Linotype" w:cs="Arial"/>
              </w:rPr>
            </w:pPr>
          </w:p>
          <w:p w:rsidR="0033763D" w:rsidRPr="004760BD" w:rsidRDefault="0033763D" w:rsidP="009820D9">
            <w:pPr>
              <w:tabs>
                <w:tab w:val="left" w:pos="780"/>
                <w:tab w:val="center" w:pos="4499"/>
              </w:tabs>
              <w:spacing w:after="0" w:line="276" w:lineRule="auto"/>
              <w:ind w:right="332"/>
              <w:rPr>
                <w:rFonts w:ascii="Palatino Linotype" w:hAnsi="Palatino Linotype" w:cs="Arial"/>
              </w:rPr>
            </w:pPr>
          </w:p>
          <w:p w:rsidR="0033763D" w:rsidRPr="004760BD" w:rsidRDefault="0033763D" w:rsidP="009820D9">
            <w:pPr>
              <w:tabs>
                <w:tab w:val="left" w:pos="780"/>
                <w:tab w:val="center" w:pos="4499"/>
              </w:tabs>
              <w:spacing w:after="0" w:line="276" w:lineRule="auto"/>
              <w:ind w:right="332"/>
              <w:rPr>
                <w:rFonts w:ascii="Palatino Linotype" w:hAnsi="Palatino Linotype" w:cs="Arial"/>
              </w:rPr>
            </w:pPr>
          </w:p>
          <w:p w:rsidR="0033763D" w:rsidRPr="004760BD" w:rsidRDefault="0033763D" w:rsidP="009820D9">
            <w:pPr>
              <w:tabs>
                <w:tab w:val="left" w:pos="780"/>
                <w:tab w:val="center" w:pos="4499"/>
              </w:tabs>
              <w:spacing w:after="0" w:line="276" w:lineRule="auto"/>
              <w:ind w:right="332"/>
              <w:rPr>
                <w:rFonts w:ascii="Palatino Linotype" w:hAnsi="Palatino Linotype" w:cs="Arial"/>
              </w:rPr>
            </w:pPr>
          </w:p>
          <w:p w:rsidR="0033763D" w:rsidRPr="004760BD" w:rsidRDefault="0033763D" w:rsidP="009820D9">
            <w:pPr>
              <w:tabs>
                <w:tab w:val="left" w:pos="780"/>
                <w:tab w:val="center" w:pos="4499"/>
              </w:tabs>
              <w:spacing w:after="0" w:line="276" w:lineRule="auto"/>
              <w:ind w:right="332"/>
              <w:jc w:val="center"/>
              <w:rPr>
                <w:rFonts w:ascii="Palatino Linotype" w:hAnsi="Palatino Linotype" w:cs="Arial"/>
                <w:b/>
              </w:rPr>
            </w:pPr>
            <w:r w:rsidRPr="004760BD">
              <w:rPr>
                <w:rFonts w:ascii="Palatino Linotype" w:hAnsi="Palatino Linotype" w:cs="Arial"/>
                <w:b/>
              </w:rPr>
              <w:t>Zulema Martínez Sánchez</w:t>
            </w:r>
          </w:p>
          <w:p w:rsidR="0033763D" w:rsidRPr="004760BD" w:rsidRDefault="0033763D" w:rsidP="009820D9">
            <w:pPr>
              <w:tabs>
                <w:tab w:val="left" w:pos="780"/>
                <w:tab w:val="center" w:pos="4499"/>
              </w:tabs>
              <w:spacing w:after="0" w:line="276" w:lineRule="auto"/>
              <w:ind w:right="332"/>
              <w:jc w:val="center"/>
              <w:rPr>
                <w:rFonts w:ascii="Palatino Linotype" w:hAnsi="Palatino Linotype" w:cs="Arial"/>
              </w:rPr>
            </w:pPr>
            <w:r w:rsidRPr="004760BD">
              <w:rPr>
                <w:rFonts w:ascii="Palatino Linotype" w:hAnsi="Palatino Linotype" w:cs="Arial"/>
              </w:rPr>
              <w:t xml:space="preserve">Comisionada </w:t>
            </w:r>
            <w:proofErr w:type="gramStart"/>
            <w:r w:rsidRPr="004760BD">
              <w:rPr>
                <w:rFonts w:ascii="Palatino Linotype" w:hAnsi="Palatino Linotype" w:cs="Arial"/>
              </w:rPr>
              <w:t>Presidenta</w:t>
            </w:r>
            <w:proofErr w:type="gramEnd"/>
          </w:p>
          <w:p w:rsidR="0033763D" w:rsidRPr="004760BD" w:rsidRDefault="0033763D" w:rsidP="009820D9">
            <w:pPr>
              <w:tabs>
                <w:tab w:val="left" w:pos="780"/>
                <w:tab w:val="center" w:pos="4499"/>
              </w:tabs>
              <w:spacing w:after="0" w:line="276" w:lineRule="auto"/>
              <w:ind w:right="332"/>
              <w:jc w:val="center"/>
              <w:rPr>
                <w:rFonts w:ascii="Palatino Linotype" w:hAnsi="Palatino Linotype" w:cs="Arial"/>
                <w:b/>
              </w:rPr>
            </w:pPr>
            <w:r w:rsidRPr="004760BD">
              <w:rPr>
                <w:rFonts w:ascii="Palatino Linotype" w:hAnsi="Palatino Linotype" w:cs="Arial"/>
                <w:b/>
              </w:rPr>
              <w:t>(Rúbrica)</w:t>
            </w:r>
          </w:p>
          <w:p w:rsidR="009820D9" w:rsidRPr="004760BD" w:rsidRDefault="009820D9" w:rsidP="009820D9">
            <w:pPr>
              <w:tabs>
                <w:tab w:val="left" w:pos="780"/>
                <w:tab w:val="center" w:pos="4499"/>
              </w:tabs>
              <w:spacing w:after="0" w:line="276" w:lineRule="auto"/>
              <w:ind w:right="332"/>
              <w:rPr>
                <w:rFonts w:ascii="Palatino Linotype" w:hAnsi="Palatino Linotype" w:cs="Arial"/>
              </w:rPr>
            </w:pPr>
          </w:p>
          <w:p w:rsidR="009820D9" w:rsidRPr="004760BD" w:rsidRDefault="009820D9" w:rsidP="009820D9">
            <w:pPr>
              <w:tabs>
                <w:tab w:val="left" w:pos="780"/>
                <w:tab w:val="center" w:pos="4499"/>
              </w:tabs>
              <w:spacing w:after="0" w:line="276" w:lineRule="auto"/>
              <w:ind w:right="332"/>
              <w:rPr>
                <w:rFonts w:ascii="Palatino Linotype" w:hAnsi="Palatino Linotype" w:cs="Arial"/>
              </w:rPr>
            </w:pPr>
          </w:p>
          <w:p w:rsidR="009820D9" w:rsidRPr="004760BD" w:rsidRDefault="009820D9" w:rsidP="009820D9">
            <w:pPr>
              <w:tabs>
                <w:tab w:val="left" w:pos="780"/>
                <w:tab w:val="center" w:pos="4499"/>
              </w:tabs>
              <w:spacing w:after="0" w:line="276" w:lineRule="auto"/>
              <w:ind w:right="332"/>
              <w:rPr>
                <w:rFonts w:ascii="Palatino Linotype" w:hAnsi="Palatino Linotype" w:cs="Arial"/>
              </w:rPr>
            </w:pPr>
          </w:p>
        </w:tc>
      </w:tr>
      <w:tr w:rsidR="0033763D" w:rsidRPr="004760BD" w:rsidTr="00CA1283">
        <w:trPr>
          <w:jc w:val="center"/>
        </w:trPr>
        <w:tc>
          <w:tcPr>
            <w:tcW w:w="2473" w:type="pct"/>
          </w:tcPr>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lastRenderedPageBreak/>
              <w:t xml:space="preserve">Eva </w:t>
            </w:r>
            <w:proofErr w:type="spellStart"/>
            <w:r w:rsidRPr="004760BD">
              <w:rPr>
                <w:rFonts w:ascii="Palatino Linotype" w:hAnsi="Palatino Linotype" w:cs="Arial"/>
                <w:b/>
              </w:rPr>
              <w:t>Abaid</w:t>
            </w:r>
            <w:proofErr w:type="spellEnd"/>
            <w:r w:rsidRPr="004760BD">
              <w:rPr>
                <w:rFonts w:ascii="Palatino Linotype" w:hAnsi="Palatino Linotype" w:cs="Arial"/>
                <w:b/>
              </w:rPr>
              <w:t xml:space="preserve"> Yapur</w:t>
            </w:r>
          </w:p>
          <w:p w:rsidR="0033763D" w:rsidRPr="004760BD" w:rsidRDefault="0033763D" w:rsidP="009820D9">
            <w:pPr>
              <w:tabs>
                <w:tab w:val="left" w:pos="0"/>
              </w:tabs>
              <w:spacing w:after="0" w:line="276" w:lineRule="auto"/>
              <w:ind w:right="332"/>
              <w:jc w:val="center"/>
              <w:rPr>
                <w:rFonts w:ascii="Palatino Linotype" w:hAnsi="Palatino Linotype" w:cs="Arial"/>
              </w:rPr>
            </w:pPr>
            <w:r w:rsidRPr="004760BD">
              <w:rPr>
                <w:rFonts w:ascii="Palatino Linotype" w:hAnsi="Palatino Linotype" w:cs="Arial"/>
              </w:rPr>
              <w:t>Comisionada</w:t>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(Rúbrica)</w:t>
            </w:r>
          </w:p>
        </w:tc>
        <w:tc>
          <w:tcPr>
            <w:tcW w:w="2527" w:type="pct"/>
            <w:gridSpan w:val="2"/>
          </w:tcPr>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José Guadalupe Luna Hernández</w:t>
            </w:r>
          </w:p>
          <w:p w:rsidR="0033763D" w:rsidRPr="004760BD" w:rsidRDefault="0033763D" w:rsidP="009820D9">
            <w:pPr>
              <w:tabs>
                <w:tab w:val="left" w:pos="0"/>
              </w:tabs>
              <w:spacing w:after="0" w:line="276" w:lineRule="auto"/>
              <w:ind w:right="332"/>
              <w:jc w:val="center"/>
              <w:rPr>
                <w:rFonts w:ascii="Palatino Linotype" w:hAnsi="Palatino Linotype" w:cs="Arial"/>
              </w:rPr>
            </w:pPr>
            <w:r w:rsidRPr="004760BD">
              <w:rPr>
                <w:rFonts w:ascii="Palatino Linotype" w:hAnsi="Palatino Linotype" w:cs="Arial"/>
              </w:rPr>
              <w:t>Comisionado</w:t>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(Rúbrica)</w:t>
            </w:r>
          </w:p>
          <w:p w:rsidR="0033763D" w:rsidRPr="004760BD" w:rsidRDefault="0033763D" w:rsidP="009820D9">
            <w:pPr>
              <w:tabs>
                <w:tab w:val="left" w:pos="0"/>
              </w:tabs>
              <w:spacing w:after="0" w:line="276" w:lineRule="auto"/>
              <w:ind w:right="332"/>
              <w:jc w:val="center"/>
              <w:rPr>
                <w:rFonts w:ascii="Palatino Linotype" w:hAnsi="Palatino Linotype" w:cs="Arial"/>
                <w:b/>
              </w:rPr>
            </w:pPr>
          </w:p>
        </w:tc>
      </w:tr>
      <w:tr w:rsidR="0033763D" w:rsidRPr="004760BD" w:rsidTr="00CA1283">
        <w:trPr>
          <w:jc w:val="center"/>
        </w:trPr>
        <w:tc>
          <w:tcPr>
            <w:tcW w:w="2473" w:type="pct"/>
          </w:tcPr>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rPr>
                <w:rFonts w:ascii="Palatino Linotype" w:hAnsi="Palatino Linotype" w:cs="Arial"/>
                <w:b/>
              </w:rPr>
            </w:pPr>
          </w:p>
          <w:p w:rsidR="009820D9" w:rsidRPr="004760BD" w:rsidRDefault="009820D9" w:rsidP="009820D9">
            <w:pPr>
              <w:tabs>
                <w:tab w:val="left" w:pos="0"/>
              </w:tabs>
              <w:spacing w:after="0" w:line="276" w:lineRule="auto"/>
              <w:ind w:right="332"/>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Javier Martínez Cruz</w:t>
            </w:r>
          </w:p>
          <w:p w:rsidR="0033763D" w:rsidRPr="004760BD" w:rsidRDefault="0033763D" w:rsidP="009820D9">
            <w:pPr>
              <w:tabs>
                <w:tab w:val="left" w:pos="0"/>
              </w:tabs>
              <w:spacing w:after="0" w:line="276" w:lineRule="auto"/>
              <w:ind w:right="332"/>
              <w:jc w:val="center"/>
              <w:rPr>
                <w:rFonts w:ascii="Palatino Linotype" w:hAnsi="Palatino Linotype" w:cs="Arial"/>
              </w:rPr>
            </w:pPr>
            <w:r w:rsidRPr="004760BD">
              <w:rPr>
                <w:rFonts w:ascii="Palatino Linotype" w:hAnsi="Palatino Linotype" w:cs="Arial"/>
              </w:rPr>
              <w:t>Comisionado</w:t>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(Rúbrica)</w:t>
            </w:r>
          </w:p>
        </w:tc>
        <w:tc>
          <w:tcPr>
            <w:tcW w:w="2527" w:type="pct"/>
            <w:gridSpan w:val="2"/>
          </w:tcPr>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Luis Gustavo Parra Noriega</w:t>
            </w:r>
          </w:p>
          <w:p w:rsidR="0033763D" w:rsidRPr="004760BD" w:rsidRDefault="0033763D" w:rsidP="009820D9">
            <w:pPr>
              <w:tabs>
                <w:tab w:val="left" w:pos="0"/>
              </w:tabs>
              <w:spacing w:after="0" w:line="276" w:lineRule="auto"/>
              <w:ind w:right="332"/>
              <w:jc w:val="center"/>
              <w:rPr>
                <w:rFonts w:ascii="Palatino Linotype" w:hAnsi="Palatino Linotype" w:cs="Arial"/>
              </w:rPr>
            </w:pPr>
            <w:r w:rsidRPr="004760BD">
              <w:rPr>
                <w:rFonts w:ascii="Palatino Linotype" w:hAnsi="Palatino Linotype" w:cs="Arial"/>
              </w:rPr>
              <w:t>Comisionado</w:t>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(Rúbrica)</w:t>
            </w:r>
          </w:p>
        </w:tc>
      </w:tr>
      <w:tr w:rsidR="0033763D" w:rsidRPr="004760BD" w:rsidTr="00CA1283">
        <w:trPr>
          <w:trHeight w:val="1652"/>
          <w:jc w:val="center"/>
        </w:trPr>
        <w:tc>
          <w:tcPr>
            <w:tcW w:w="5000" w:type="pct"/>
            <w:gridSpan w:val="3"/>
          </w:tcPr>
          <w:p w:rsidR="0033763D" w:rsidRPr="004760BD" w:rsidRDefault="00E2274E" w:rsidP="00E2274E">
            <w:pPr>
              <w:tabs>
                <w:tab w:val="left" w:pos="0"/>
                <w:tab w:val="left" w:pos="7050"/>
              </w:tabs>
              <w:spacing w:after="0" w:line="276" w:lineRule="auto"/>
              <w:ind w:right="332"/>
              <w:rPr>
                <w:rFonts w:ascii="Palatino Linotype" w:hAnsi="Palatino Linotype" w:cs="Arial"/>
                <w:b/>
              </w:rPr>
            </w:pPr>
            <w:r>
              <w:rPr>
                <w:rFonts w:ascii="Palatino Linotype" w:hAnsi="Palatino Linotype" w:cs="Arial"/>
                <w:b/>
              </w:rPr>
              <w:tab/>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Alexis Tapia Ramírez</w:t>
            </w:r>
          </w:p>
          <w:p w:rsidR="0033763D" w:rsidRPr="004760BD" w:rsidRDefault="0033763D" w:rsidP="009820D9">
            <w:pPr>
              <w:tabs>
                <w:tab w:val="left" w:pos="0"/>
              </w:tabs>
              <w:spacing w:after="0" w:line="276" w:lineRule="auto"/>
              <w:ind w:right="332"/>
              <w:jc w:val="center"/>
              <w:rPr>
                <w:rFonts w:ascii="Palatino Linotype" w:hAnsi="Palatino Linotype" w:cs="Arial"/>
              </w:rPr>
            </w:pPr>
            <w:r w:rsidRPr="004760BD">
              <w:rPr>
                <w:rFonts w:ascii="Palatino Linotype" w:hAnsi="Palatino Linotype" w:cs="Arial"/>
              </w:rPr>
              <w:t>Secretario Técnico del Pleno</w:t>
            </w:r>
          </w:p>
          <w:p w:rsidR="0033763D" w:rsidRPr="004760BD" w:rsidRDefault="0033763D" w:rsidP="009820D9">
            <w:pPr>
              <w:tabs>
                <w:tab w:val="left" w:pos="0"/>
              </w:tabs>
              <w:spacing w:after="0" w:line="276" w:lineRule="auto"/>
              <w:ind w:right="332"/>
              <w:jc w:val="center"/>
              <w:rPr>
                <w:rFonts w:ascii="Palatino Linotype" w:hAnsi="Palatino Linotype" w:cs="Arial"/>
                <w:b/>
              </w:rPr>
            </w:pPr>
            <w:r w:rsidRPr="004760BD">
              <w:rPr>
                <w:rFonts w:ascii="Palatino Linotype" w:hAnsi="Palatino Linotype" w:cs="Arial"/>
                <w:b/>
              </w:rPr>
              <w:t>(Rúbrica)</w:t>
            </w:r>
          </w:p>
        </w:tc>
      </w:tr>
    </w:tbl>
    <w:p w:rsidR="0033763D" w:rsidRPr="004760BD" w:rsidRDefault="0033763D" w:rsidP="009820D9">
      <w:pPr>
        <w:spacing w:after="0" w:line="360" w:lineRule="auto"/>
        <w:ind w:right="332"/>
        <w:jc w:val="both"/>
        <w:rPr>
          <w:rFonts w:ascii="Palatino Linotype" w:hAnsi="Palatino Linotype"/>
          <w:sz w:val="24"/>
          <w:szCs w:val="24"/>
        </w:rPr>
      </w:pPr>
    </w:p>
    <w:p w:rsidR="00656B76" w:rsidRPr="004760BD" w:rsidRDefault="0033763D" w:rsidP="004760BD">
      <w:pPr>
        <w:spacing w:after="0" w:line="360" w:lineRule="auto"/>
        <w:ind w:right="332"/>
        <w:jc w:val="both"/>
        <w:rPr>
          <w:rFonts w:ascii="Palatino Linotype" w:hAnsi="Palatino Linotype"/>
          <w:sz w:val="32"/>
        </w:rPr>
      </w:pPr>
      <w:r w:rsidRPr="004760BD">
        <w:rPr>
          <w:rFonts w:ascii="Palatino Linotype" w:hAnsi="Palatino Linotype" w:cs="Arial"/>
          <w:sz w:val="24"/>
          <w:szCs w:val="18"/>
        </w:rPr>
        <w:t xml:space="preserve">Esta hoja corresponde a la resolución de fecha </w:t>
      </w:r>
      <w:r w:rsidR="00235EE0" w:rsidRPr="004760BD">
        <w:rPr>
          <w:rFonts w:ascii="Palatino Linotype" w:hAnsi="Palatino Linotype" w:cs="Arial"/>
          <w:sz w:val="24"/>
          <w:szCs w:val="18"/>
        </w:rPr>
        <w:t>diecisiete de febrero de dos mil veintiuno</w:t>
      </w:r>
      <w:r w:rsidRPr="004760BD">
        <w:rPr>
          <w:rFonts w:ascii="Palatino Linotype" w:hAnsi="Palatino Linotype" w:cs="Arial"/>
          <w:sz w:val="24"/>
          <w:szCs w:val="18"/>
        </w:rPr>
        <w:t xml:space="preserve">, emitida en el recurso de revisión </w:t>
      </w:r>
      <w:r w:rsidR="00235EE0" w:rsidRPr="004760BD">
        <w:rPr>
          <w:rFonts w:ascii="Palatino Linotype" w:hAnsi="Palatino Linotype" w:cs="Arial"/>
          <w:b/>
          <w:bCs/>
          <w:sz w:val="24"/>
          <w:szCs w:val="18"/>
        </w:rPr>
        <w:t>06178/INFOEM/IP/RR/2021</w:t>
      </w:r>
      <w:r w:rsidRPr="004760BD">
        <w:rPr>
          <w:rFonts w:ascii="Palatino Linotype" w:hAnsi="Palatino Linotype" w:cs="Arial"/>
          <w:b/>
          <w:bCs/>
          <w:sz w:val="24"/>
          <w:szCs w:val="18"/>
        </w:rPr>
        <w:t>.</w:t>
      </w:r>
      <w:r w:rsidRPr="009820D9">
        <w:rPr>
          <w:rFonts w:ascii="Palatino Linotype" w:hAnsi="Palatino Linotype" w:cs="Arial"/>
          <w:bCs/>
          <w:sz w:val="24"/>
          <w:szCs w:val="18"/>
        </w:rPr>
        <w:t xml:space="preserve"> </w:t>
      </w:r>
    </w:p>
    <w:sectPr w:rsidR="00656B76" w:rsidRPr="004760BD" w:rsidSect="00CA1283">
      <w:headerReference w:type="even" r:id="rId8"/>
      <w:headerReference w:type="default" r:id="rId9"/>
      <w:footerReference w:type="default" r:id="rId10"/>
      <w:headerReference w:type="first" r:id="rId11"/>
      <w:footerReference w:type="first" r:id="rId12"/>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953" w:rsidRDefault="00995953" w:rsidP="00EB563E">
      <w:pPr>
        <w:spacing w:after="0" w:line="240" w:lineRule="auto"/>
      </w:pPr>
      <w:r>
        <w:separator/>
      </w:r>
    </w:p>
  </w:endnote>
  <w:endnote w:type="continuationSeparator" w:id="0">
    <w:p w:rsidR="00995953" w:rsidRDefault="00995953" w:rsidP="00EB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A1283" w:rsidRPr="00883450" w:rsidRDefault="00CA1283" w:rsidP="00CA1283">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26CF6">
              <w:rPr>
                <w:rFonts w:ascii="Palatino Linotype" w:hAnsi="Palatino Linotype"/>
                <w:b/>
                <w:bCs/>
                <w:noProof/>
                <w:szCs w:val="20"/>
              </w:rPr>
              <w:t>39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26CF6">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CA1283" w:rsidRDefault="00CA12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283" w:rsidRPr="00883450" w:rsidRDefault="00CA1283" w:rsidP="00CA128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26CF6" w:rsidRPr="00226CF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26CF6" w:rsidRPr="00226CF6">
      <w:rPr>
        <w:rFonts w:ascii="Palatino Linotype" w:hAnsi="Palatino Linotype"/>
        <w:noProof/>
        <w:lang w:val="es-ES"/>
      </w:rPr>
      <w:t>38</w:t>
    </w:r>
    <w:r w:rsidRPr="00883450">
      <w:rPr>
        <w:rFonts w:ascii="Palatino Linotype" w:hAnsi="Palatino Linotype"/>
      </w:rPr>
      <w:fldChar w:fldCharType="end"/>
    </w:r>
  </w:p>
  <w:p w:rsidR="00CA1283" w:rsidRPr="00883450" w:rsidRDefault="00CA1283">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953" w:rsidRDefault="00995953" w:rsidP="00EB563E">
      <w:pPr>
        <w:spacing w:after="0" w:line="240" w:lineRule="auto"/>
      </w:pPr>
      <w:r>
        <w:separator/>
      </w:r>
    </w:p>
  </w:footnote>
  <w:footnote w:type="continuationSeparator" w:id="0">
    <w:p w:rsidR="00995953" w:rsidRDefault="00995953" w:rsidP="00EB563E">
      <w:pPr>
        <w:spacing w:after="0" w:line="240" w:lineRule="auto"/>
      </w:pPr>
      <w:r>
        <w:continuationSeparator/>
      </w:r>
    </w:p>
  </w:footnote>
  <w:footnote w:id="1">
    <w:p w:rsidR="00CB446E" w:rsidRDefault="00CB446E" w:rsidP="00CB446E">
      <w:pPr>
        <w:pStyle w:val="Textonotapie"/>
        <w:jc w:val="both"/>
        <w:rPr>
          <w:rFonts w:ascii="Palatino Linotype" w:hAnsi="Palatino Linotype"/>
        </w:rPr>
      </w:pPr>
      <w:r w:rsidRPr="00377880">
        <w:rPr>
          <w:rStyle w:val="Refdenotaalpie"/>
          <w:rFonts w:ascii="Palatino Linotype" w:hAnsi="Palatino Linotype"/>
        </w:rPr>
        <w:footnoteRef/>
      </w:r>
      <w:r w:rsidRPr="00377880">
        <w:rPr>
          <w:rFonts w:ascii="Palatino Linotype" w:hAnsi="Palatino Linotype"/>
        </w:rPr>
        <w:t xml:space="preserve"> Rodolfo Gómez Aranda, Derecho laboral I, ISBN 978-607-733-127-8, Ed. RED TERCER MILENIO S.C., primera edición 2012</w:t>
      </w:r>
      <w:r>
        <w:rPr>
          <w:rFonts w:ascii="Palatino Linotype" w:hAnsi="Palatino Linotype"/>
        </w:rPr>
        <w:t xml:space="preserve"> pág. 140</w:t>
      </w:r>
      <w:r w:rsidRPr="00377880">
        <w:rPr>
          <w:rFonts w:ascii="Palatino Linotype" w:hAnsi="Palatino Linotype"/>
        </w:rPr>
        <w:t>, México.</w:t>
      </w:r>
    </w:p>
    <w:p w:rsidR="00CB446E" w:rsidRDefault="00CB446E" w:rsidP="00CB446E">
      <w:pPr>
        <w:pStyle w:val="Textonotapie"/>
        <w:jc w:val="both"/>
        <w:rPr>
          <w:rFonts w:ascii="Palatino Linotype" w:hAnsi="Palatino Linotype"/>
        </w:rPr>
      </w:pPr>
      <w:r>
        <w:rPr>
          <w:rFonts w:ascii="Palatino Linotype" w:hAnsi="Palatino Linotype"/>
        </w:rPr>
        <w:t>Página en la red:</w:t>
      </w:r>
    </w:p>
    <w:p w:rsidR="00CB446E" w:rsidRPr="00377880" w:rsidRDefault="00CB446E" w:rsidP="00CB446E">
      <w:pPr>
        <w:pStyle w:val="Textonotapie"/>
        <w:jc w:val="both"/>
        <w:rPr>
          <w:rFonts w:ascii="Palatino Linotype" w:hAnsi="Palatino Linotype"/>
        </w:rPr>
      </w:pPr>
      <w:r w:rsidRPr="0019122B">
        <w:rPr>
          <w:rFonts w:ascii="Palatino Linotype" w:hAnsi="Palatino Linotype"/>
        </w:rPr>
        <w:t>http://www.aliat.org.mx/BibliotecasDigitales/derecho_y_ciencias_sociales/Derecho_laboral_I.pdf</w:t>
      </w:r>
    </w:p>
  </w:footnote>
  <w:footnote w:id="2">
    <w:p w:rsidR="000837EB" w:rsidRDefault="000837EB" w:rsidP="000837E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837EB" w:rsidRDefault="000837EB" w:rsidP="000837E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rsidR="000837EB" w:rsidRDefault="000837EB" w:rsidP="000837E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rsidR="000837EB" w:rsidRDefault="000837EB" w:rsidP="000837E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837EB" w:rsidRDefault="000837EB" w:rsidP="000837E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837EB" w:rsidRDefault="000837EB" w:rsidP="000837E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0837EB" w:rsidRDefault="000837EB" w:rsidP="000837E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0837EB" w:rsidRDefault="000837EB" w:rsidP="000837E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0837EB" w:rsidRDefault="000837EB" w:rsidP="000837EB">
      <w:pPr>
        <w:pStyle w:val="Textonotapie"/>
        <w:jc w:val="both"/>
        <w:rPr>
          <w:rFonts w:ascii="Palatino Linotype" w:hAnsi="Palatino Linotype"/>
          <w:sz w:val="18"/>
        </w:rPr>
      </w:pPr>
      <w:r>
        <w:rPr>
          <w:rFonts w:ascii="Palatino Linotype" w:hAnsi="Palatino Linotype"/>
          <w:sz w:val="18"/>
        </w:rPr>
        <w:t xml:space="preserve"> (…)</w:t>
      </w:r>
    </w:p>
    <w:p w:rsidR="000837EB" w:rsidRDefault="000837EB" w:rsidP="000837E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0BD" w:rsidRDefault="009A7C5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68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283" w:rsidRDefault="009A7C5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68830" o:spid="_x0000_s2051" type="#_x0000_t75" style="position:absolute;margin-left:-72.75pt;margin-top:-137.3pt;width:609.4pt;height:793.75pt;z-index:-251656192;mso-position-horizontal-relative:margin;mso-position-vertical-relative:margin" o:allowincell="f">
          <v:imagedata r:id="rId1" o:title="resolución"/>
          <w10:wrap anchorx="margin" anchory="margin"/>
        </v:shape>
      </w:pict>
    </w:r>
  </w:p>
  <w:p w:rsidR="00CA1283" w:rsidRDefault="00CA1283" w:rsidP="00CA1283">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CA1283" w:rsidRPr="00EF13C1" w:rsidTr="00CA1283">
      <w:trPr>
        <w:trHeight w:val="138"/>
      </w:trPr>
      <w:tc>
        <w:tcPr>
          <w:tcW w:w="2552" w:type="dxa"/>
          <w:vAlign w:val="center"/>
        </w:tcPr>
        <w:p w:rsidR="00CA1283" w:rsidRPr="00EF13C1" w:rsidRDefault="00CA1283" w:rsidP="00CA1283">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CA1283" w:rsidRPr="005176BA" w:rsidRDefault="00CA1283" w:rsidP="00CA1283">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06178/INFOEM/IP/RR/2020</w:t>
          </w:r>
        </w:p>
      </w:tc>
    </w:tr>
    <w:tr w:rsidR="00CA1283" w:rsidRPr="00EF13C1" w:rsidTr="00CA1283">
      <w:trPr>
        <w:trHeight w:val="321"/>
      </w:trPr>
      <w:tc>
        <w:tcPr>
          <w:tcW w:w="2552" w:type="dxa"/>
          <w:vAlign w:val="center"/>
        </w:tcPr>
        <w:p w:rsidR="00CA1283" w:rsidRPr="00EF13C1" w:rsidRDefault="00CA1283" w:rsidP="00CA1283">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CA1283" w:rsidRPr="00EF13C1" w:rsidRDefault="00CA1283" w:rsidP="00CA1283">
          <w:pPr>
            <w:pStyle w:val="Encabezado"/>
            <w:rPr>
              <w:rFonts w:ascii="Palatino Linotype" w:hAnsi="Palatino Linotype"/>
              <w:b/>
              <w:sz w:val="22"/>
              <w:szCs w:val="22"/>
            </w:rPr>
          </w:pPr>
          <w:r>
            <w:rPr>
              <w:rFonts w:ascii="Palatino Linotype" w:hAnsi="Palatino Linotype"/>
              <w:b/>
            </w:rPr>
            <w:t>Ayuntamiento de Chimalhuacán</w:t>
          </w:r>
        </w:p>
      </w:tc>
    </w:tr>
    <w:tr w:rsidR="00CA1283" w:rsidRPr="00EF13C1" w:rsidTr="00CA1283">
      <w:trPr>
        <w:trHeight w:val="321"/>
      </w:trPr>
      <w:tc>
        <w:tcPr>
          <w:tcW w:w="2552" w:type="dxa"/>
          <w:vAlign w:val="center"/>
        </w:tcPr>
        <w:p w:rsidR="00CA1283" w:rsidRPr="00EF13C1" w:rsidRDefault="00CA1283" w:rsidP="00CA1283">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CA1283" w:rsidRPr="00EF13C1" w:rsidRDefault="00CA1283" w:rsidP="00CA128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A1283" w:rsidRDefault="00CA1283" w:rsidP="00CA12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283" w:rsidRPr="00364302" w:rsidRDefault="009A7C59" w:rsidP="00CA1283">
    <w:pPr>
      <w:pStyle w:val="Encabezado"/>
      <w:tabs>
        <w:tab w:val="left" w:pos="3103"/>
      </w:tabs>
      <w:spacing w:line="360" w:lineRule="auto"/>
      <w:rPr>
        <w:rFonts w:ascii="Palatino Linotype" w:hAnsi="Palatino Linotyp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68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A1283">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CA1283" w:rsidRPr="0018764D" w:rsidTr="00CA1283">
      <w:trPr>
        <w:trHeight w:val="138"/>
      </w:trPr>
      <w:tc>
        <w:tcPr>
          <w:tcW w:w="2976" w:type="dxa"/>
          <w:vAlign w:val="center"/>
        </w:tcPr>
        <w:p w:rsidR="00CA1283" w:rsidRPr="0018764D" w:rsidRDefault="00CA1283" w:rsidP="00CA1283">
          <w:pPr>
            <w:ind w:right="-572"/>
            <w:rPr>
              <w:rFonts w:ascii="Palatino Linotype" w:hAnsi="Palatino Linotype"/>
              <w:b/>
            </w:rPr>
          </w:pPr>
          <w:r w:rsidRPr="0018764D">
            <w:rPr>
              <w:rFonts w:ascii="Palatino Linotype" w:hAnsi="Palatino Linotype"/>
              <w:b/>
            </w:rPr>
            <w:t>Recurso de revisión:</w:t>
          </w:r>
        </w:p>
      </w:tc>
      <w:tc>
        <w:tcPr>
          <w:tcW w:w="4253" w:type="dxa"/>
          <w:vAlign w:val="center"/>
        </w:tcPr>
        <w:p w:rsidR="00CA1283" w:rsidRPr="0018764D" w:rsidRDefault="00CA1283" w:rsidP="00CA1283">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06178/INFOEM/IP/RR/2020</w:t>
          </w:r>
        </w:p>
      </w:tc>
    </w:tr>
    <w:tr w:rsidR="00CA1283" w:rsidRPr="0018764D" w:rsidTr="00CA1283">
      <w:trPr>
        <w:trHeight w:val="227"/>
      </w:trPr>
      <w:tc>
        <w:tcPr>
          <w:tcW w:w="2976" w:type="dxa"/>
          <w:vAlign w:val="center"/>
        </w:tcPr>
        <w:p w:rsidR="00CA1283" w:rsidRPr="0018764D" w:rsidRDefault="00CA1283" w:rsidP="00CA1283">
          <w:pPr>
            <w:rPr>
              <w:rFonts w:ascii="Palatino Linotype" w:hAnsi="Palatino Linotype"/>
              <w:b/>
            </w:rPr>
          </w:pPr>
          <w:r w:rsidRPr="0018764D">
            <w:rPr>
              <w:rFonts w:ascii="Palatino Linotype" w:hAnsi="Palatino Linotype"/>
              <w:b/>
            </w:rPr>
            <w:t>Recurrente:</w:t>
          </w:r>
        </w:p>
      </w:tc>
      <w:tc>
        <w:tcPr>
          <w:tcW w:w="4253" w:type="dxa"/>
          <w:vAlign w:val="center"/>
        </w:tcPr>
        <w:p w:rsidR="00CA1283" w:rsidRPr="0018764D" w:rsidRDefault="009A7C59" w:rsidP="00CA1283">
          <w:pPr>
            <w:tabs>
              <w:tab w:val="right" w:pos="8504"/>
            </w:tabs>
            <w:ind w:left="72" w:right="-250" w:hanging="142"/>
            <w:rPr>
              <w:rFonts w:ascii="Palatino Linotype" w:hAnsi="Palatino Linotype"/>
              <w:b/>
            </w:rPr>
          </w:pPr>
          <w:r w:rsidRPr="009A7C59">
            <w:rPr>
              <w:rFonts w:ascii="Palatino Linotype" w:hAnsi="Palatino Linotype"/>
              <w:b/>
              <w:highlight w:val="black"/>
            </w:rPr>
            <w:t>------------------------------------</w:t>
          </w:r>
        </w:p>
      </w:tc>
    </w:tr>
    <w:tr w:rsidR="00CA1283" w:rsidRPr="0018764D" w:rsidTr="00CA1283">
      <w:trPr>
        <w:trHeight w:val="232"/>
      </w:trPr>
      <w:tc>
        <w:tcPr>
          <w:tcW w:w="2976" w:type="dxa"/>
          <w:vAlign w:val="center"/>
        </w:tcPr>
        <w:p w:rsidR="00CA1283" w:rsidRPr="0018764D" w:rsidRDefault="00CA1283" w:rsidP="00CA1283">
          <w:pPr>
            <w:rPr>
              <w:rFonts w:ascii="Palatino Linotype" w:hAnsi="Palatino Linotype"/>
              <w:b/>
            </w:rPr>
          </w:pPr>
          <w:r w:rsidRPr="0018764D">
            <w:rPr>
              <w:rFonts w:ascii="Palatino Linotype" w:hAnsi="Palatino Linotype"/>
              <w:b/>
            </w:rPr>
            <w:t>Sujeto obligado:</w:t>
          </w:r>
        </w:p>
      </w:tc>
      <w:tc>
        <w:tcPr>
          <w:tcW w:w="4253" w:type="dxa"/>
          <w:vAlign w:val="center"/>
        </w:tcPr>
        <w:p w:rsidR="00CA1283" w:rsidRPr="0018764D" w:rsidRDefault="00CA1283" w:rsidP="00CA1283">
          <w:pPr>
            <w:tabs>
              <w:tab w:val="center" w:pos="4252"/>
              <w:tab w:val="right" w:pos="8504"/>
            </w:tabs>
            <w:rPr>
              <w:rFonts w:ascii="Palatino Linotype" w:hAnsi="Palatino Linotype"/>
              <w:b/>
            </w:rPr>
          </w:pPr>
          <w:r>
            <w:rPr>
              <w:rFonts w:ascii="Palatino Linotype" w:hAnsi="Palatino Linotype"/>
              <w:b/>
            </w:rPr>
            <w:t xml:space="preserve">Ayuntamiento de Chimalhuacán </w:t>
          </w:r>
          <w:r w:rsidRPr="0018764D">
            <w:rPr>
              <w:rFonts w:ascii="Palatino Linotype" w:hAnsi="Palatino Linotype"/>
              <w:b/>
            </w:rPr>
            <w:t xml:space="preserve">             </w:t>
          </w:r>
        </w:p>
      </w:tc>
    </w:tr>
    <w:tr w:rsidR="00CA1283" w:rsidRPr="0018764D" w:rsidTr="00CA1283">
      <w:trPr>
        <w:trHeight w:val="320"/>
      </w:trPr>
      <w:tc>
        <w:tcPr>
          <w:tcW w:w="2976" w:type="dxa"/>
          <w:vAlign w:val="center"/>
        </w:tcPr>
        <w:p w:rsidR="00CA1283" w:rsidRPr="0018764D" w:rsidRDefault="00CA1283" w:rsidP="00CA1283">
          <w:pPr>
            <w:rPr>
              <w:rFonts w:ascii="Palatino Linotype" w:hAnsi="Palatino Linotype"/>
              <w:b/>
            </w:rPr>
          </w:pPr>
          <w:r w:rsidRPr="0018764D">
            <w:rPr>
              <w:rFonts w:ascii="Palatino Linotype" w:hAnsi="Palatino Linotype"/>
              <w:b/>
            </w:rPr>
            <w:t>Comisionado ponente:</w:t>
          </w:r>
        </w:p>
      </w:tc>
      <w:tc>
        <w:tcPr>
          <w:tcW w:w="4253" w:type="dxa"/>
          <w:vAlign w:val="center"/>
        </w:tcPr>
        <w:p w:rsidR="00CA1283" w:rsidRPr="0018764D" w:rsidRDefault="00CA1283" w:rsidP="00CA1283">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rsidR="00CA1283" w:rsidRDefault="00CA1283" w:rsidP="00CA1283">
    <w:pPr>
      <w:pStyle w:val="Encabezado"/>
      <w:tabs>
        <w:tab w:val="left" w:pos="3103"/>
      </w:tabs>
    </w:pPr>
  </w:p>
  <w:p w:rsidR="00CA1283" w:rsidRDefault="00CA1283" w:rsidP="00CA1283">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323903"/>
    <w:multiLevelType w:val="hybridMultilevel"/>
    <w:tmpl w:val="E6107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7B0E55"/>
    <w:multiLevelType w:val="hybridMultilevel"/>
    <w:tmpl w:val="20B2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657368"/>
    <w:multiLevelType w:val="hybridMultilevel"/>
    <w:tmpl w:val="800A9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3D"/>
    <w:rsid w:val="000837EB"/>
    <w:rsid w:val="00083858"/>
    <w:rsid w:val="000C27A8"/>
    <w:rsid w:val="000E122A"/>
    <w:rsid w:val="00135B4A"/>
    <w:rsid w:val="0018388F"/>
    <w:rsid w:val="001A662D"/>
    <w:rsid w:val="001A7957"/>
    <w:rsid w:val="00226CF6"/>
    <w:rsid w:val="00235EE0"/>
    <w:rsid w:val="00277672"/>
    <w:rsid w:val="002A1C97"/>
    <w:rsid w:val="002C74E2"/>
    <w:rsid w:val="002E674C"/>
    <w:rsid w:val="002F7630"/>
    <w:rsid w:val="00311677"/>
    <w:rsid w:val="0033763D"/>
    <w:rsid w:val="0034267C"/>
    <w:rsid w:val="003E69AB"/>
    <w:rsid w:val="00410742"/>
    <w:rsid w:val="004328EE"/>
    <w:rsid w:val="0044062F"/>
    <w:rsid w:val="004569D7"/>
    <w:rsid w:val="004760BD"/>
    <w:rsid w:val="004E05F9"/>
    <w:rsid w:val="00523A49"/>
    <w:rsid w:val="00550095"/>
    <w:rsid w:val="00556D3E"/>
    <w:rsid w:val="00624590"/>
    <w:rsid w:val="00656B76"/>
    <w:rsid w:val="0073719B"/>
    <w:rsid w:val="007B5521"/>
    <w:rsid w:val="00866C70"/>
    <w:rsid w:val="00877B2B"/>
    <w:rsid w:val="0091335E"/>
    <w:rsid w:val="009820D9"/>
    <w:rsid w:val="00995953"/>
    <w:rsid w:val="009A7C59"/>
    <w:rsid w:val="009C7551"/>
    <w:rsid w:val="00A2100B"/>
    <w:rsid w:val="00A25F08"/>
    <w:rsid w:val="00A41CE8"/>
    <w:rsid w:val="00AF5464"/>
    <w:rsid w:val="00B526DD"/>
    <w:rsid w:val="00B77025"/>
    <w:rsid w:val="00C9715E"/>
    <w:rsid w:val="00CA1283"/>
    <w:rsid w:val="00CB446E"/>
    <w:rsid w:val="00D1545E"/>
    <w:rsid w:val="00D70778"/>
    <w:rsid w:val="00E05CB4"/>
    <w:rsid w:val="00E2274E"/>
    <w:rsid w:val="00E43D71"/>
    <w:rsid w:val="00E578E5"/>
    <w:rsid w:val="00EA31D1"/>
    <w:rsid w:val="00EB563E"/>
    <w:rsid w:val="00EF7394"/>
    <w:rsid w:val="00F00FC0"/>
    <w:rsid w:val="00F51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355D37"/>
  <w15:chartTrackingRefBased/>
  <w15:docId w15:val="{57C3D862-5A17-47ED-B49B-94D96FB7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EE0"/>
  </w:style>
  <w:style w:type="paragraph" w:styleId="Ttulo1">
    <w:name w:val="heading 1"/>
    <w:basedOn w:val="Normal"/>
    <w:next w:val="Normal"/>
    <w:link w:val="Ttulo1Car"/>
    <w:uiPriority w:val="9"/>
    <w:qFormat/>
    <w:rsid w:val="000837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76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763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376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63D"/>
  </w:style>
  <w:style w:type="paragraph" w:styleId="Piedepgina">
    <w:name w:val="footer"/>
    <w:basedOn w:val="Normal"/>
    <w:link w:val="PiedepginaCar"/>
    <w:uiPriority w:val="99"/>
    <w:unhideWhenUsed/>
    <w:rsid w:val="003376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63D"/>
  </w:style>
  <w:style w:type="table" w:styleId="Tablaconcuadrcula">
    <w:name w:val="Table Grid"/>
    <w:basedOn w:val="Tablanormal"/>
    <w:uiPriority w:val="39"/>
    <w:rsid w:val="0033763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3763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63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63D"/>
  </w:style>
  <w:style w:type="paragraph" w:styleId="TDC1">
    <w:name w:val="toc 1"/>
    <w:basedOn w:val="Normal"/>
    <w:next w:val="Normal"/>
    <w:autoRedefine/>
    <w:uiPriority w:val="39"/>
    <w:unhideWhenUsed/>
    <w:rsid w:val="0033763D"/>
    <w:pPr>
      <w:spacing w:after="100"/>
    </w:pPr>
  </w:style>
  <w:style w:type="character" w:styleId="Hipervnculo">
    <w:name w:val="Hyperlink"/>
    <w:basedOn w:val="Fuentedeprrafopredeter"/>
    <w:uiPriority w:val="99"/>
    <w:unhideWhenUsed/>
    <w:rsid w:val="0033763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B446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446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446E"/>
    <w:rPr>
      <w:vertAlign w:val="superscript"/>
    </w:rPr>
  </w:style>
  <w:style w:type="character" w:customStyle="1" w:styleId="Ttulo1Car">
    <w:name w:val="Título 1 Car"/>
    <w:basedOn w:val="Fuentedeprrafopredeter"/>
    <w:link w:val="Ttulo1"/>
    <w:uiPriority w:val="9"/>
    <w:rsid w:val="000837EB"/>
    <w:rPr>
      <w:rFonts w:asciiTheme="majorHAnsi" w:eastAsiaTheme="majorEastAsia" w:hAnsiTheme="majorHAnsi" w:cstheme="majorBidi"/>
      <w:color w:val="2E74B5" w:themeColor="accent1" w:themeShade="BF"/>
      <w:sz w:val="32"/>
      <w:szCs w:val="32"/>
    </w:rPr>
  </w:style>
  <w:style w:type="paragraph" w:styleId="TDC3">
    <w:name w:val="toc 3"/>
    <w:basedOn w:val="Normal"/>
    <w:next w:val="Normal"/>
    <w:autoRedefine/>
    <w:uiPriority w:val="39"/>
    <w:unhideWhenUsed/>
    <w:rsid w:val="00A210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8511</Words>
  <Characters>46812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8</cp:revision>
  <dcterms:created xsi:type="dcterms:W3CDTF">2021-02-12T19:56:00Z</dcterms:created>
  <dcterms:modified xsi:type="dcterms:W3CDTF">2021-03-25T04:01:00Z</dcterms:modified>
</cp:coreProperties>
</file>