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91" w:rsidRPr="00C5057E" w:rsidRDefault="00441B91" w:rsidP="00441B91">
      <w:pPr>
        <w:spacing w:before="100" w:beforeAutospacing="1" w:after="100" w:afterAutospacing="1" w:line="360" w:lineRule="auto"/>
        <w:contextualSpacing/>
        <w:jc w:val="both"/>
        <w:rPr>
          <w:rFonts w:ascii="Palatino Linotype" w:hAnsi="Palatino Linotype"/>
        </w:rPr>
      </w:pPr>
      <w:r w:rsidRPr="00C5057E">
        <w:rPr>
          <w:rFonts w:ascii="Palatino Linotype" w:hAnsi="Palatino Linotype"/>
        </w:rPr>
        <w:t>Resolución del Pleno del Instituto de Transparencia, Acceso a la Información Pública y Protección de Datos Personales del Estado de México y Municipios, con domicilio en Mete</w:t>
      </w:r>
      <w:r>
        <w:rPr>
          <w:rFonts w:ascii="Palatino Linotype" w:hAnsi="Palatino Linotype"/>
        </w:rPr>
        <w:t xml:space="preserve">pec, Estado de México, de fecha nueve de septiembre </w:t>
      </w:r>
      <w:r w:rsidRPr="00C5057E">
        <w:rPr>
          <w:rFonts w:ascii="Palatino Linotype" w:hAnsi="Palatino Linotype"/>
        </w:rPr>
        <w:t>de dos mil veinte.</w:t>
      </w:r>
    </w:p>
    <w:p w:rsidR="00441B91" w:rsidRPr="00C5057E" w:rsidRDefault="00441B91" w:rsidP="00441B91">
      <w:pPr>
        <w:spacing w:before="100" w:beforeAutospacing="1" w:after="100" w:afterAutospacing="1" w:line="360" w:lineRule="auto"/>
        <w:contextualSpacing/>
        <w:jc w:val="both"/>
        <w:rPr>
          <w:rFonts w:ascii="Palatino Linotype" w:hAnsi="Palatino Linotype"/>
        </w:rPr>
      </w:pPr>
    </w:p>
    <w:p w:rsidR="00441B91" w:rsidRPr="00C5057E" w:rsidRDefault="00441B91" w:rsidP="00441B91">
      <w:pPr>
        <w:spacing w:before="100" w:beforeAutospacing="1" w:after="100" w:afterAutospacing="1" w:line="360" w:lineRule="auto"/>
        <w:contextualSpacing/>
        <w:jc w:val="both"/>
        <w:rPr>
          <w:rFonts w:ascii="Palatino Linotype" w:hAnsi="Palatino Linotype"/>
          <w:b/>
        </w:rPr>
      </w:pPr>
      <w:r w:rsidRPr="00C5057E">
        <w:rPr>
          <w:rFonts w:ascii="Palatino Linotype" w:hAnsi="Palatino Linotype"/>
          <w:b/>
        </w:rPr>
        <w:t>VISTO</w:t>
      </w:r>
      <w:r w:rsidRPr="00C5057E">
        <w:rPr>
          <w:rFonts w:ascii="Palatino Linotype" w:hAnsi="Palatino Linotype"/>
        </w:rPr>
        <w:t xml:space="preserve"> el expediente formado con motivo de</w:t>
      </w:r>
      <w:r>
        <w:rPr>
          <w:rFonts w:ascii="Palatino Linotype" w:hAnsi="Palatino Linotype"/>
        </w:rPr>
        <w:t xml:space="preserve">l recurso </w:t>
      </w:r>
      <w:r w:rsidRPr="00C5057E">
        <w:rPr>
          <w:rFonts w:ascii="Palatino Linotype" w:hAnsi="Palatino Linotype"/>
        </w:rPr>
        <w:t xml:space="preserve">de revisión </w:t>
      </w:r>
      <w:r>
        <w:rPr>
          <w:rFonts w:ascii="Palatino Linotype" w:hAnsi="Palatino Linotype"/>
          <w:b/>
        </w:rPr>
        <w:t>02177</w:t>
      </w:r>
      <w:r w:rsidRPr="003A3143">
        <w:rPr>
          <w:rFonts w:ascii="Palatino Linotype" w:hAnsi="Palatino Linotype"/>
          <w:b/>
        </w:rPr>
        <w:t>/INFOEM/IP/RR/2020</w:t>
      </w:r>
      <w:r w:rsidRPr="00C5057E">
        <w:rPr>
          <w:rFonts w:ascii="Palatino Linotype" w:hAnsi="Palatino Linotype"/>
          <w:spacing w:val="-20"/>
        </w:rPr>
        <w:t xml:space="preserve">, </w:t>
      </w:r>
      <w:r w:rsidRPr="00C5057E">
        <w:rPr>
          <w:rFonts w:ascii="Palatino Linotype" w:hAnsi="Palatino Linotype"/>
        </w:rPr>
        <w:t>promovido por</w:t>
      </w:r>
      <w:r>
        <w:rPr>
          <w:rFonts w:ascii="Palatino Linotype" w:hAnsi="Palatino Linotype"/>
        </w:rPr>
        <w:t xml:space="preserve"> la </w:t>
      </w:r>
      <w:r>
        <w:rPr>
          <w:rFonts w:ascii="Palatino Linotype" w:hAnsi="Palatino Linotype"/>
          <w:b/>
        </w:rPr>
        <w:t xml:space="preserve">C. </w:t>
      </w:r>
      <w:r w:rsidR="00F81130">
        <w:rPr>
          <w:rFonts w:ascii="Palatino Linotype" w:hAnsi="Palatino Linotype"/>
          <w:b/>
        </w:rPr>
        <w:t>XXXXXXXXXXXXXXXXXXXXX</w:t>
      </w:r>
      <w:r w:rsidRPr="00C5057E">
        <w:rPr>
          <w:rFonts w:ascii="Palatino Linotype" w:hAnsi="Palatino Linotype" w:cs="Arial"/>
          <w:b/>
        </w:rPr>
        <w:t>,</w:t>
      </w:r>
      <w:r>
        <w:rPr>
          <w:rFonts w:ascii="Palatino Linotype" w:hAnsi="Palatino Linotype" w:cs="Arial"/>
          <w:b/>
        </w:rPr>
        <w:t xml:space="preserve"> </w:t>
      </w:r>
      <w:r w:rsidRPr="00C5057E">
        <w:rPr>
          <w:rFonts w:ascii="Palatino Linotype" w:hAnsi="Palatino Linotype" w:cs="Arial"/>
        </w:rPr>
        <w:t>en lo sucesivo</w:t>
      </w:r>
      <w:r>
        <w:rPr>
          <w:rFonts w:ascii="Palatino Linotype" w:hAnsi="Palatino Linotype" w:cs="Arial"/>
          <w:b/>
        </w:rPr>
        <w:t xml:space="preserve"> </w:t>
      </w:r>
      <w:r w:rsidRPr="00C5057E">
        <w:rPr>
          <w:rFonts w:ascii="Palatino Linotype" w:hAnsi="Palatino Linotype" w:cs="Arial"/>
          <w:b/>
        </w:rPr>
        <w:t>L</w:t>
      </w:r>
      <w:r>
        <w:rPr>
          <w:rFonts w:ascii="Palatino Linotype" w:hAnsi="Palatino Linotype" w:cs="Arial"/>
          <w:b/>
        </w:rPr>
        <w:t>A</w:t>
      </w:r>
      <w:r w:rsidRPr="00C5057E">
        <w:rPr>
          <w:rFonts w:ascii="Palatino Linotype" w:hAnsi="Palatino Linotype" w:cs="Arial"/>
          <w:b/>
        </w:rPr>
        <w:t xml:space="preserve"> RECURRENTE,</w:t>
      </w:r>
      <w:r w:rsidRPr="00C5057E">
        <w:rPr>
          <w:rFonts w:ascii="Palatino Linotype" w:hAnsi="Palatino Linotype"/>
        </w:rPr>
        <w:t xml:space="preserve"> en contra de la respuesta emitida por el </w:t>
      </w:r>
      <w:r w:rsidRPr="00C5057E">
        <w:rPr>
          <w:rFonts w:ascii="Palatino Linotype" w:hAnsi="Palatino Linotype"/>
          <w:b/>
        </w:rPr>
        <w:t>Ayuntamiento de</w:t>
      </w:r>
      <w:r>
        <w:rPr>
          <w:rFonts w:ascii="Palatino Linotype" w:hAnsi="Palatino Linotype"/>
          <w:b/>
        </w:rPr>
        <w:t xml:space="preserve"> Toluca</w:t>
      </w:r>
      <w:r w:rsidRPr="00C5057E">
        <w:rPr>
          <w:rFonts w:ascii="Palatino Linotype" w:hAnsi="Palatino Linotype"/>
          <w:b/>
        </w:rPr>
        <w:t xml:space="preserve">, </w:t>
      </w:r>
      <w:r w:rsidRPr="00C5057E">
        <w:rPr>
          <w:rFonts w:ascii="Palatino Linotype" w:hAnsi="Palatino Linotype"/>
        </w:rPr>
        <w:t xml:space="preserve">en lo sucesivo </w:t>
      </w:r>
      <w:r w:rsidRPr="00C5057E">
        <w:rPr>
          <w:rFonts w:ascii="Palatino Linotype" w:hAnsi="Palatino Linotype"/>
          <w:b/>
        </w:rPr>
        <w:t>EL SUJETO OBLIGADO</w:t>
      </w:r>
      <w:r w:rsidRPr="00C5057E">
        <w:rPr>
          <w:rFonts w:ascii="Palatino Linotype" w:hAnsi="Palatino Linotype"/>
        </w:rPr>
        <w:t xml:space="preserve">, se procede a dictar la presente resolución con base en lo siguiente: </w:t>
      </w:r>
    </w:p>
    <w:p w:rsidR="00441B91" w:rsidRPr="00C5057E" w:rsidRDefault="00441B91" w:rsidP="00441B91">
      <w:pPr>
        <w:spacing w:before="100" w:beforeAutospacing="1" w:after="100" w:afterAutospacing="1"/>
        <w:contextualSpacing/>
        <w:jc w:val="center"/>
        <w:rPr>
          <w:rFonts w:ascii="Palatino Linotype" w:hAnsi="Palatino Linotype"/>
        </w:rPr>
      </w:pPr>
    </w:p>
    <w:p w:rsidR="00441B91" w:rsidRPr="00C5057E" w:rsidRDefault="00441B91" w:rsidP="00441B91">
      <w:pPr>
        <w:spacing w:before="100" w:beforeAutospacing="1" w:after="100" w:afterAutospacing="1"/>
        <w:contextualSpacing/>
        <w:jc w:val="center"/>
        <w:rPr>
          <w:rFonts w:ascii="Palatino Linotype" w:hAnsi="Palatino Linotype"/>
          <w:b/>
          <w:bCs/>
          <w:spacing w:val="40"/>
          <w:sz w:val="28"/>
        </w:rPr>
      </w:pPr>
      <w:r w:rsidRPr="00C5057E">
        <w:rPr>
          <w:rFonts w:ascii="Palatino Linotype" w:hAnsi="Palatino Linotype"/>
          <w:b/>
          <w:bCs/>
          <w:spacing w:val="40"/>
          <w:sz w:val="28"/>
        </w:rPr>
        <w:t>RESULTANDO</w:t>
      </w:r>
    </w:p>
    <w:p w:rsidR="00441B91" w:rsidRPr="00C5057E" w:rsidRDefault="00441B91" w:rsidP="00441B91">
      <w:pPr>
        <w:spacing w:before="100" w:beforeAutospacing="1" w:after="100" w:afterAutospacing="1"/>
        <w:contextualSpacing/>
        <w:jc w:val="center"/>
        <w:rPr>
          <w:rFonts w:ascii="Palatino Linotype" w:hAnsi="Palatino Linotype"/>
          <w:b/>
          <w:bCs/>
          <w:spacing w:val="40"/>
        </w:rPr>
      </w:pPr>
    </w:p>
    <w:p w:rsidR="00441B91" w:rsidRPr="00C5057E" w:rsidRDefault="00441B91" w:rsidP="00441B91">
      <w:pPr>
        <w:spacing w:before="100" w:beforeAutospacing="1" w:after="100" w:afterAutospacing="1" w:line="360" w:lineRule="auto"/>
        <w:contextualSpacing/>
        <w:jc w:val="both"/>
        <w:rPr>
          <w:rFonts w:ascii="Palatino Linotype" w:hAnsi="Palatino Linotype" w:cs="Arial"/>
          <w:b/>
          <w:bCs/>
          <w:lang w:val="es-ES"/>
        </w:rPr>
      </w:pPr>
      <w:r w:rsidRPr="00C5057E">
        <w:rPr>
          <w:rFonts w:ascii="Palatino Linotype" w:hAnsi="Palatino Linotype"/>
          <w:b/>
          <w:sz w:val="28"/>
          <w:szCs w:val="28"/>
        </w:rPr>
        <w:t xml:space="preserve">I. </w:t>
      </w:r>
      <w:r w:rsidRPr="00C5057E">
        <w:rPr>
          <w:rFonts w:ascii="Palatino Linotype" w:hAnsi="Palatino Linotype" w:cs="Arial"/>
        </w:rPr>
        <w:t xml:space="preserve">En </w:t>
      </w:r>
      <w:r w:rsidRPr="00C5057E">
        <w:rPr>
          <w:rFonts w:ascii="Palatino Linotype" w:hAnsi="Palatino Linotype" w:cs="Arial"/>
          <w:lang w:val="es-ES"/>
        </w:rPr>
        <w:t>fecha</w:t>
      </w:r>
      <w:r w:rsidRPr="00C5057E">
        <w:rPr>
          <w:rFonts w:ascii="Palatino Linotype" w:hAnsi="Palatino Linotype"/>
          <w:lang w:val="es-ES"/>
        </w:rPr>
        <w:t xml:space="preserve"> </w:t>
      </w:r>
      <w:r>
        <w:rPr>
          <w:rFonts w:ascii="Palatino Linotype" w:hAnsi="Palatino Linotype"/>
          <w:lang w:val="es-ES"/>
        </w:rPr>
        <w:t xml:space="preserve">diecisiete de marzo de </w:t>
      </w:r>
      <w:r w:rsidRPr="00C5057E">
        <w:rPr>
          <w:rFonts w:ascii="Palatino Linotype" w:hAnsi="Palatino Linotype" w:cs="Arial"/>
          <w:lang w:val="es-ES"/>
        </w:rPr>
        <w:t>dos mil veinte</w:t>
      </w:r>
      <w:r w:rsidRPr="00C5057E">
        <w:rPr>
          <w:rFonts w:ascii="Palatino Linotype" w:hAnsi="Palatino Linotype"/>
          <w:lang w:val="es-ES"/>
        </w:rPr>
        <w:t xml:space="preserve">, </w:t>
      </w:r>
      <w:r w:rsidRPr="00C5057E">
        <w:rPr>
          <w:rFonts w:ascii="Palatino Linotype" w:hAnsi="Palatino Linotype"/>
          <w:b/>
          <w:lang w:val="es-ES"/>
        </w:rPr>
        <w:t>L</w:t>
      </w:r>
      <w:r>
        <w:rPr>
          <w:rFonts w:ascii="Palatino Linotype" w:hAnsi="Palatino Linotype"/>
          <w:b/>
          <w:lang w:val="es-ES"/>
        </w:rPr>
        <w:t>A</w:t>
      </w:r>
      <w:r w:rsidRPr="00C5057E">
        <w:rPr>
          <w:rFonts w:ascii="Palatino Linotype" w:hAnsi="Palatino Linotype"/>
          <w:b/>
          <w:lang w:val="es-ES"/>
        </w:rPr>
        <w:t xml:space="preserve"> RECURRENTE</w:t>
      </w:r>
      <w:r w:rsidRPr="00C5057E">
        <w:rPr>
          <w:rFonts w:ascii="Palatino Linotype" w:hAnsi="Palatino Linotype" w:cs="Arial"/>
          <w:lang w:val="es-ES"/>
        </w:rPr>
        <w:t xml:space="preserve"> </w:t>
      </w:r>
      <w:r w:rsidRPr="00C5057E">
        <w:rPr>
          <w:rFonts w:ascii="Palatino Linotype" w:hAnsi="Palatino Linotype" w:cs="Arial"/>
        </w:rPr>
        <w:t xml:space="preserve">presentó a través del Sistema de Acceso a la Información Mexiquense, en lo subsecuente </w:t>
      </w:r>
      <w:r w:rsidRPr="00C5057E">
        <w:rPr>
          <w:rFonts w:ascii="Palatino Linotype" w:hAnsi="Palatino Linotype" w:cs="Arial"/>
          <w:b/>
        </w:rPr>
        <w:t>EL SAIMEX</w:t>
      </w:r>
      <w:r w:rsidRPr="00C5057E">
        <w:rPr>
          <w:rFonts w:ascii="Palatino Linotype" w:hAnsi="Palatino Linotype" w:cs="Arial"/>
        </w:rPr>
        <w:t xml:space="preserve"> ante </w:t>
      </w:r>
      <w:r w:rsidRPr="00C5057E">
        <w:rPr>
          <w:rFonts w:ascii="Palatino Linotype" w:hAnsi="Palatino Linotype" w:cs="Arial"/>
          <w:b/>
        </w:rPr>
        <w:t>EL SUJETO OBLIGADO</w:t>
      </w:r>
      <w:r w:rsidRPr="00C5057E">
        <w:rPr>
          <w:rFonts w:ascii="Palatino Linotype" w:hAnsi="Palatino Linotype" w:cs="Arial"/>
          <w:lang w:val="es-ES"/>
        </w:rPr>
        <w:t xml:space="preserve">, la solicitud de acceso a la información pública, a la que se le asignó </w:t>
      </w:r>
      <w:r>
        <w:rPr>
          <w:rFonts w:ascii="Palatino Linotype" w:hAnsi="Palatino Linotype" w:cs="Arial"/>
          <w:lang w:val="es-ES"/>
        </w:rPr>
        <w:t>el número de</w:t>
      </w:r>
      <w:r w:rsidRPr="00C5057E">
        <w:rPr>
          <w:rFonts w:ascii="Palatino Linotype" w:hAnsi="Palatino Linotype" w:cs="Arial"/>
          <w:lang w:val="es-ES"/>
        </w:rPr>
        <w:t xml:space="preserve"> expediente </w:t>
      </w:r>
      <w:r w:rsidRPr="00C5057E">
        <w:rPr>
          <w:rFonts w:ascii="Palatino Linotype" w:hAnsi="Palatino Linotype" w:cs="Arial"/>
          <w:b/>
        </w:rPr>
        <w:t>00</w:t>
      </w:r>
      <w:r>
        <w:rPr>
          <w:rFonts w:ascii="Palatino Linotype" w:hAnsi="Palatino Linotype" w:cs="Arial"/>
          <w:b/>
        </w:rPr>
        <w:t>298</w:t>
      </w:r>
      <w:r w:rsidRPr="00C5057E">
        <w:rPr>
          <w:rFonts w:ascii="Palatino Linotype" w:hAnsi="Palatino Linotype" w:cs="Arial"/>
          <w:b/>
        </w:rPr>
        <w:t>/</w:t>
      </w:r>
      <w:r>
        <w:rPr>
          <w:rFonts w:ascii="Palatino Linotype" w:hAnsi="Palatino Linotype" w:cs="Arial"/>
          <w:b/>
        </w:rPr>
        <w:t>TOLUCA</w:t>
      </w:r>
      <w:r w:rsidRPr="00C5057E">
        <w:rPr>
          <w:rFonts w:ascii="Palatino Linotype" w:hAnsi="Palatino Linotype" w:cs="Arial"/>
          <w:b/>
        </w:rPr>
        <w:t xml:space="preserve">/IP/2020, </w:t>
      </w:r>
      <w:r w:rsidRPr="00C5057E">
        <w:rPr>
          <w:rFonts w:ascii="Palatino Linotype" w:hAnsi="Palatino Linotype" w:cs="Arial"/>
          <w:lang w:val="es-ES"/>
        </w:rPr>
        <w:t>mediante la cual solicitó:</w:t>
      </w:r>
    </w:p>
    <w:p w:rsidR="00441B91" w:rsidRPr="00C5057E" w:rsidRDefault="00441B91" w:rsidP="00441B91">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C5057E">
        <w:rPr>
          <w:rFonts w:ascii="Palatino Linotype" w:hAnsi="Palatino Linotype" w:cs="Arial"/>
          <w:i/>
          <w:sz w:val="22"/>
          <w:szCs w:val="22"/>
        </w:rPr>
        <w:t>“</w:t>
      </w:r>
      <w:r w:rsidRPr="00931B53">
        <w:rPr>
          <w:rFonts w:ascii="Palatino Linotype" w:hAnsi="Palatino Linotype" w:cs="Arial"/>
          <w:i/>
          <w:sz w:val="22"/>
          <w:szCs w:val="22"/>
        </w:rPr>
        <w:t xml:space="preserve">SOLICITO TODA LA INFORMACIÓN PUBLICA SOBRE LOS APOYOS, PROGRAMAS SOCIALES Y/O SIMILARES O ANÁLOGOS QUE RECIBEN LOS CC. </w:t>
      </w:r>
      <w:r w:rsidR="00F81130">
        <w:rPr>
          <w:rFonts w:ascii="Palatino Linotype" w:hAnsi="Palatino Linotype" w:cs="Arial"/>
          <w:i/>
          <w:sz w:val="22"/>
          <w:szCs w:val="22"/>
        </w:rPr>
        <w:t>xxxxxxxxxxxxxxxxxxxxxxxxxxx</w:t>
      </w:r>
      <w:r w:rsidRPr="003A3143">
        <w:rPr>
          <w:rFonts w:ascii="Palatino Linotype" w:hAnsi="Palatino Linotype" w:cs="Arial"/>
          <w:i/>
          <w:sz w:val="22"/>
          <w:szCs w:val="22"/>
        </w:rPr>
        <w:t>.</w:t>
      </w:r>
      <w:r w:rsidRPr="00C5057E">
        <w:rPr>
          <w:rFonts w:ascii="Palatino Linotype" w:hAnsi="Palatino Linotype" w:cs="Arial"/>
          <w:i/>
          <w:sz w:val="22"/>
          <w:szCs w:val="22"/>
        </w:rPr>
        <w:t>” (Sic)</w:t>
      </w:r>
    </w:p>
    <w:p w:rsidR="00441B91" w:rsidRPr="00C5057E" w:rsidRDefault="00441B91" w:rsidP="00441B91">
      <w:pPr>
        <w:tabs>
          <w:tab w:val="left" w:pos="851"/>
        </w:tabs>
        <w:spacing w:before="100" w:beforeAutospacing="1" w:after="100" w:afterAutospacing="1"/>
        <w:ind w:left="851" w:right="901"/>
        <w:contextualSpacing/>
        <w:jc w:val="both"/>
        <w:rPr>
          <w:rFonts w:ascii="Palatino Linotype" w:hAnsi="Palatino Linotype" w:cs="Arial"/>
          <w:i/>
          <w:sz w:val="22"/>
          <w:szCs w:val="22"/>
        </w:rPr>
      </w:pPr>
    </w:p>
    <w:p w:rsidR="00441B91" w:rsidRPr="00C5057E" w:rsidRDefault="00441B91" w:rsidP="00441B91">
      <w:pPr>
        <w:spacing w:before="100" w:beforeAutospacing="1" w:after="100" w:afterAutospacing="1" w:line="360" w:lineRule="auto"/>
        <w:contextualSpacing/>
        <w:jc w:val="both"/>
        <w:rPr>
          <w:rFonts w:ascii="Palatino Linotype" w:hAnsi="Palatino Linotype" w:cs="Arial"/>
          <w:b/>
        </w:rPr>
      </w:pPr>
      <w:r w:rsidRPr="00C5057E">
        <w:rPr>
          <w:rFonts w:ascii="Palatino Linotype" w:hAnsi="Palatino Linotype" w:cs="Arial"/>
          <w:b/>
        </w:rPr>
        <w:t>MODALIDAD DE ENTREGA:</w:t>
      </w:r>
      <w:r w:rsidRPr="00C5057E">
        <w:rPr>
          <w:rFonts w:ascii="Palatino Linotype" w:hAnsi="Palatino Linotype" w:cs="Arial"/>
        </w:rPr>
        <w:t xml:space="preserve"> Vía </w:t>
      </w:r>
      <w:r w:rsidRPr="00C5057E">
        <w:rPr>
          <w:rFonts w:ascii="Palatino Linotype" w:hAnsi="Palatino Linotype" w:cs="Arial"/>
          <w:b/>
        </w:rPr>
        <w:t>SAIMEX.</w:t>
      </w:r>
    </w:p>
    <w:p w:rsidR="00441B91" w:rsidRDefault="00441B91" w:rsidP="00441B91">
      <w:pPr>
        <w:pStyle w:val="Prrafodelista"/>
        <w:tabs>
          <w:tab w:val="left" w:pos="0"/>
        </w:tabs>
        <w:spacing w:line="360" w:lineRule="auto"/>
        <w:ind w:left="0"/>
        <w:jc w:val="both"/>
        <w:rPr>
          <w:rFonts w:ascii="Palatino Linotype" w:hAnsi="Palatino Linotype"/>
          <w:bCs/>
        </w:rPr>
      </w:pPr>
      <w:r w:rsidRPr="00C5057E">
        <w:rPr>
          <w:rFonts w:ascii="Palatino Linotype" w:hAnsi="Palatino Linotype"/>
          <w:b/>
          <w:sz w:val="28"/>
          <w:szCs w:val="28"/>
        </w:rPr>
        <w:t xml:space="preserve">II. </w:t>
      </w:r>
      <w:r w:rsidRPr="007767A3">
        <w:rPr>
          <w:rFonts w:ascii="Palatino Linotype" w:hAnsi="Palatino Linotype" w:cs="Arial"/>
        </w:rPr>
        <w:t xml:space="preserve">En cumplimiento al artículo 162 de la Ley de Transparencia y Acceso a la Información Pública del Estado de México y Municipios, el </w:t>
      </w:r>
      <w:r>
        <w:rPr>
          <w:rFonts w:ascii="Palatino Linotype" w:hAnsi="Palatino Linotype" w:cs="Arial"/>
        </w:rPr>
        <w:t xml:space="preserve">diecisiete de marzo </w:t>
      </w:r>
      <w:r w:rsidRPr="007767A3">
        <w:rPr>
          <w:rFonts w:ascii="Palatino Linotype" w:hAnsi="Palatino Linotype" w:cs="Arial"/>
        </w:rPr>
        <w:t xml:space="preserve">de dos mil veinte, la Titular de la Unidad de Transparencia del </w:t>
      </w:r>
      <w:r w:rsidRPr="007767A3">
        <w:rPr>
          <w:rFonts w:ascii="Palatino Linotype" w:hAnsi="Palatino Linotype" w:cs="Arial"/>
          <w:b/>
        </w:rPr>
        <w:t>SUJETO OBLIGADO</w:t>
      </w:r>
      <w:r w:rsidRPr="007767A3">
        <w:rPr>
          <w:rFonts w:ascii="Palatino Linotype" w:hAnsi="Palatino Linotype" w:cs="Arial"/>
        </w:rPr>
        <w:t xml:space="preserve">, </w:t>
      </w:r>
      <w:r w:rsidRPr="007767A3">
        <w:rPr>
          <w:rFonts w:ascii="Palatino Linotype" w:hAnsi="Palatino Linotype" w:cs="Arial"/>
        </w:rPr>
        <w:lastRenderedPageBreak/>
        <w:t xml:space="preserve">mediante folio número </w:t>
      </w:r>
      <w:r w:rsidRPr="00931B53">
        <w:rPr>
          <w:rFonts w:ascii="Palatino Linotype" w:hAnsi="Palatino Linotype" w:cs="Arial"/>
          <w:b/>
        </w:rPr>
        <w:t>00298/TOLUCA/IP/2020/TSP/0001</w:t>
      </w:r>
      <w:r w:rsidRPr="007767A3">
        <w:rPr>
          <w:rFonts w:ascii="Palatino Linotype" w:hAnsi="Palatino Linotype" w:cs="Arial"/>
        </w:rPr>
        <w:t xml:space="preserve">, </w:t>
      </w:r>
      <w:r w:rsidRPr="007767A3">
        <w:rPr>
          <w:rFonts w:ascii="Palatino Linotype" w:hAnsi="Palatino Linotype"/>
          <w:bCs/>
        </w:rPr>
        <w:t xml:space="preserve">turnó el requerimiento de información al Servidor Público Habilitado de la </w:t>
      </w:r>
      <w:r>
        <w:rPr>
          <w:rFonts w:ascii="Palatino Linotype" w:hAnsi="Palatino Linotype"/>
          <w:bCs/>
        </w:rPr>
        <w:t>Dirección General de Bienestar Social</w:t>
      </w:r>
      <w:r w:rsidRPr="007767A3">
        <w:rPr>
          <w:rFonts w:ascii="Palatino Linotype" w:hAnsi="Palatino Linotype"/>
          <w:bCs/>
        </w:rPr>
        <w:t>, a fin de colmar la solicitud de acceso a la información; tal y como, se aprecia en la imagen siguiente:</w:t>
      </w:r>
    </w:p>
    <w:p w:rsidR="00441B91" w:rsidRPr="007767A3" w:rsidRDefault="00441B91" w:rsidP="00441B91">
      <w:pPr>
        <w:pStyle w:val="Prrafodelista"/>
        <w:tabs>
          <w:tab w:val="left" w:pos="0"/>
        </w:tabs>
        <w:spacing w:line="360" w:lineRule="auto"/>
        <w:ind w:left="0"/>
        <w:jc w:val="center"/>
        <w:rPr>
          <w:rFonts w:ascii="Palatino Linotype" w:hAnsi="Palatino Linotype" w:cs="Arial"/>
        </w:rPr>
      </w:pPr>
      <w:r>
        <w:rPr>
          <w:noProof/>
          <w:lang w:eastAsia="es-MX"/>
        </w:rPr>
        <w:drawing>
          <wp:inline distT="0" distB="0" distL="0" distR="0">
            <wp:extent cx="5724525" cy="1352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948" t="38319" r="3957" b="43253"/>
                    <a:stretch/>
                  </pic:blipFill>
                  <pic:spPr bwMode="auto">
                    <a:xfrm>
                      <a:off x="0" y="0"/>
                      <a:ext cx="5724525" cy="1352550"/>
                    </a:xfrm>
                    <a:prstGeom prst="rect">
                      <a:avLst/>
                    </a:prstGeom>
                    <a:ln>
                      <a:noFill/>
                    </a:ln>
                    <a:extLst>
                      <a:ext uri="{53640926-AAD7-44D8-BBD7-CCE9431645EC}">
                        <a14:shadowObscured xmlns:a14="http://schemas.microsoft.com/office/drawing/2010/main"/>
                      </a:ext>
                    </a:extLst>
                  </pic:spPr>
                </pic:pic>
              </a:graphicData>
            </a:graphic>
          </wp:inline>
        </w:drawing>
      </w:r>
    </w:p>
    <w:p w:rsidR="00441B91" w:rsidRPr="00D60CC8" w:rsidRDefault="00441B91" w:rsidP="00441B91">
      <w:pPr>
        <w:spacing w:before="100" w:beforeAutospacing="1" w:after="100" w:afterAutospacing="1" w:line="360" w:lineRule="auto"/>
        <w:contextualSpacing/>
        <w:jc w:val="both"/>
        <w:rPr>
          <w:rFonts w:ascii="Palatino Linotype" w:hAnsi="Palatino Linotype"/>
        </w:rPr>
      </w:pPr>
      <w:r w:rsidRPr="00823FB1">
        <w:rPr>
          <w:rFonts w:ascii="Palatino Linotype" w:hAnsi="Palatino Linotype"/>
          <w:b/>
          <w:sz w:val="28"/>
          <w:szCs w:val="28"/>
        </w:rPr>
        <w:t>III</w:t>
      </w:r>
      <w:r>
        <w:rPr>
          <w:rFonts w:ascii="Palatino Linotype" w:hAnsi="Palatino Linotype"/>
        </w:rPr>
        <w:t xml:space="preserve">. </w:t>
      </w:r>
      <w:r w:rsidRPr="00C5057E">
        <w:rPr>
          <w:rFonts w:ascii="Palatino Linotype" w:hAnsi="Palatino Linotype"/>
        </w:rPr>
        <w:t xml:space="preserve">De las constancias que obran en </w:t>
      </w:r>
      <w:r w:rsidRPr="00C5057E">
        <w:rPr>
          <w:rFonts w:ascii="Palatino Linotype" w:hAnsi="Palatino Linotype"/>
          <w:b/>
        </w:rPr>
        <w:t>EL SAIMEX,</w:t>
      </w:r>
      <w:r w:rsidRPr="00C5057E">
        <w:rPr>
          <w:rFonts w:ascii="Palatino Linotype" w:hAnsi="Palatino Linotype"/>
        </w:rPr>
        <w:t xml:space="preserve"> se advierte que el </w:t>
      </w:r>
      <w:r>
        <w:rPr>
          <w:rFonts w:ascii="Palatino Linotype" w:hAnsi="Palatino Linotype"/>
        </w:rPr>
        <w:t xml:space="preserve">dieciséis de abril de dos mil veinte, </w:t>
      </w:r>
      <w:r>
        <w:rPr>
          <w:rFonts w:ascii="Palatino Linotype" w:hAnsi="Palatino Linotype" w:cs="Arial"/>
          <w:lang w:val="es-ES_tradnl"/>
        </w:rPr>
        <w:t>la</w:t>
      </w:r>
      <w:r w:rsidRPr="00C5057E">
        <w:rPr>
          <w:rFonts w:ascii="Palatino Linotype" w:hAnsi="Palatino Linotype" w:cs="Arial"/>
          <w:lang w:val="es-ES_tradnl"/>
        </w:rPr>
        <w:t xml:space="preserve"> Responsable de la Unidad de Transparencia del</w:t>
      </w:r>
      <w:r w:rsidRPr="00C5057E">
        <w:rPr>
          <w:rFonts w:ascii="Palatino Linotype" w:hAnsi="Palatino Linotype" w:cs="Arial"/>
          <w:b/>
          <w:lang w:val="es-ES_tradnl"/>
        </w:rPr>
        <w:t xml:space="preserve"> SUJETO OBLIGADO</w:t>
      </w:r>
      <w:r w:rsidRPr="00C5057E">
        <w:rPr>
          <w:rFonts w:ascii="Palatino Linotype" w:hAnsi="Palatino Linotype" w:cs="Arial"/>
          <w:lang w:val="es-ES_tradnl"/>
        </w:rPr>
        <w:t xml:space="preserve"> dio respuestas a</w:t>
      </w:r>
      <w:r>
        <w:rPr>
          <w:rFonts w:ascii="Palatino Linotype" w:hAnsi="Palatino Linotype" w:cs="Arial"/>
          <w:lang w:val="es-ES_tradnl"/>
        </w:rPr>
        <w:t xml:space="preserve"> la solicitud </w:t>
      </w:r>
      <w:r w:rsidRPr="00C5057E">
        <w:rPr>
          <w:rFonts w:ascii="Palatino Linotype" w:hAnsi="Palatino Linotype" w:cs="Arial"/>
          <w:lang w:val="es-ES_tradnl"/>
        </w:rPr>
        <w:t>de información, en los siguientes términos:</w:t>
      </w:r>
    </w:p>
    <w:p w:rsidR="00441B91" w:rsidRDefault="00441B91" w:rsidP="00441B91">
      <w:pPr>
        <w:tabs>
          <w:tab w:val="left" w:pos="851"/>
        </w:tabs>
        <w:spacing w:before="100" w:beforeAutospacing="1" w:after="100" w:afterAutospacing="1"/>
        <w:ind w:left="851" w:right="901"/>
        <w:contextualSpacing/>
        <w:jc w:val="both"/>
        <w:rPr>
          <w:rFonts w:ascii="Palatino Linotype" w:hAnsi="Palatino Linotype" w:cs="Arial"/>
          <w:i/>
          <w:sz w:val="22"/>
          <w:szCs w:val="22"/>
        </w:rPr>
      </w:pPr>
      <w:r>
        <w:rPr>
          <w:rFonts w:ascii="Palatino Linotype" w:hAnsi="Palatino Linotype" w:cs="Arial"/>
          <w:i/>
          <w:sz w:val="22"/>
          <w:szCs w:val="22"/>
        </w:rPr>
        <w:t>“</w:t>
      </w:r>
      <w:r w:rsidRPr="00823FB1">
        <w:rPr>
          <w:rFonts w:ascii="Palatino Linotype" w:hAnsi="Palatino Linotype" w:cs="Arial"/>
          <w:i/>
          <w:sz w:val="22"/>
          <w:szCs w:val="22"/>
        </w:rPr>
        <w:t xml:space="preserve">Con fundamento en los artículos 4, 7, 23 fracción lV, 53 fracciones ll, lV y V de la Ley de Transparencia y Acceso a la Información Pública del Estado de México y Municipios, y en atención a su solicitud 00298/TOLUCA/IP/2020 mediante la cual requiere: SOLICITO TODA LA INFORMACIÓN PUBLICA SOBRE LOS APOYOS, PROGRAMAS SOCIALES Y/O SIMILARES O ANÁLOGOS QUE RECIBEN LOS CC. </w:t>
      </w:r>
      <w:r w:rsidR="00F81130">
        <w:rPr>
          <w:rFonts w:ascii="Palatino Linotype" w:hAnsi="Palatino Linotype" w:cs="Arial"/>
          <w:i/>
          <w:sz w:val="22"/>
          <w:szCs w:val="22"/>
        </w:rPr>
        <w:t>XXXXXXXXXXXXXXXXXXX</w:t>
      </w:r>
      <w:r w:rsidRPr="00823FB1">
        <w:rPr>
          <w:rFonts w:ascii="Palatino Linotype" w:hAnsi="Palatino Linotype" w:cs="Arial"/>
          <w:i/>
          <w:sz w:val="22"/>
          <w:szCs w:val="22"/>
        </w:rPr>
        <w:t xml:space="preserve"> “” Sic Al respecto, se adjunta respuesta. Sin más por el momento reciba un cordial saludo</w:t>
      </w:r>
      <w:r>
        <w:rPr>
          <w:rFonts w:ascii="Palatino Linotype" w:hAnsi="Palatino Linotype" w:cs="Arial"/>
          <w:i/>
          <w:sz w:val="22"/>
          <w:szCs w:val="22"/>
        </w:rPr>
        <w:t>.” (Sic)</w:t>
      </w:r>
    </w:p>
    <w:p w:rsidR="00441B91" w:rsidRDefault="00441B91" w:rsidP="00441B91">
      <w:pPr>
        <w:tabs>
          <w:tab w:val="left" w:pos="851"/>
        </w:tabs>
        <w:spacing w:before="100" w:beforeAutospacing="1" w:after="100" w:afterAutospacing="1"/>
        <w:ind w:right="901"/>
        <w:contextualSpacing/>
        <w:jc w:val="both"/>
        <w:rPr>
          <w:rFonts w:ascii="Palatino Linotype" w:hAnsi="Palatino Linotype" w:cs="Arial"/>
          <w:i/>
          <w:sz w:val="22"/>
          <w:szCs w:val="22"/>
        </w:rPr>
      </w:pPr>
    </w:p>
    <w:p w:rsidR="00441B91" w:rsidRDefault="00441B91" w:rsidP="00441B91">
      <w:pPr>
        <w:spacing w:before="100" w:beforeAutospacing="1" w:after="100" w:afterAutospacing="1" w:line="360" w:lineRule="auto"/>
        <w:contextualSpacing/>
        <w:jc w:val="both"/>
        <w:rPr>
          <w:rFonts w:ascii="Palatino Linotype" w:hAnsi="Palatino Linotype" w:cs="Arial"/>
          <w:lang w:val="es-ES_tradnl"/>
        </w:rPr>
      </w:pPr>
      <w:r w:rsidRPr="00D60CC8">
        <w:rPr>
          <w:rFonts w:ascii="Palatino Linotype" w:hAnsi="Palatino Linotype" w:cs="Arial"/>
          <w:lang w:val="es-ES_tradnl"/>
        </w:rPr>
        <w:t xml:space="preserve">Adjuntando a la misma </w:t>
      </w:r>
      <w:r>
        <w:rPr>
          <w:rFonts w:ascii="Palatino Linotype" w:hAnsi="Palatino Linotype" w:cs="Arial"/>
          <w:lang w:val="es-ES_tradnl"/>
        </w:rPr>
        <w:t xml:space="preserve">el archivo electrónico denominado </w:t>
      </w:r>
      <w:hyperlink r:id="rId8" w:tgtFrame="_blank" w:history="1">
        <w:r w:rsidRPr="00823FB1">
          <w:rPr>
            <w:rFonts w:ascii="Palatino Linotype" w:hAnsi="Palatino Linotype"/>
            <w:b/>
            <w:lang w:val="es-ES_tradnl"/>
          </w:rPr>
          <w:t>SAIMEX 298_Programas.pdf</w:t>
        </w:r>
      </w:hyperlink>
      <w:r>
        <w:rPr>
          <w:rFonts w:ascii="Palatino Linotype" w:hAnsi="Palatino Linotype" w:cs="Arial"/>
          <w:b/>
          <w:lang w:val="es-ES_tradnl"/>
        </w:rPr>
        <w:t xml:space="preserve">, </w:t>
      </w:r>
      <w:r>
        <w:rPr>
          <w:rFonts w:ascii="Palatino Linotype" w:hAnsi="Palatino Linotype" w:cs="Arial"/>
          <w:lang w:val="es-ES_tradnl"/>
        </w:rPr>
        <w:t>mediante el cual se adjuntó el oficio número 211011000/191/2020, signado por el Director de Programas Sociales y Apoyo a la Educación mediante el cual informó que en el área a su cargo no se cuenta con la información solicitada.</w:t>
      </w:r>
    </w:p>
    <w:p w:rsidR="00441B91" w:rsidRDefault="00441B91" w:rsidP="00441B91">
      <w:pPr>
        <w:spacing w:before="100" w:beforeAutospacing="1" w:after="100" w:afterAutospacing="1" w:line="360" w:lineRule="auto"/>
        <w:contextualSpacing/>
        <w:jc w:val="both"/>
        <w:rPr>
          <w:rFonts w:ascii="Palatino Linotype" w:hAnsi="Palatino Linotype" w:cs="Arial"/>
          <w:lang w:val="es-ES_tradnl"/>
        </w:rPr>
      </w:pPr>
    </w:p>
    <w:p w:rsidR="00441B91" w:rsidRPr="00C5057E" w:rsidRDefault="00441B91" w:rsidP="00441B91">
      <w:pPr>
        <w:spacing w:before="100" w:beforeAutospacing="1" w:after="100" w:afterAutospacing="1" w:line="360" w:lineRule="auto"/>
        <w:contextualSpacing/>
        <w:jc w:val="both"/>
        <w:rPr>
          <w:rFonts w:ascii="Palatino Linotype" w:hAnsi="Palatino Linotype" w:cs="Arial"/>
        </w:rPr>
      </w:pPr>
      <w:r w:rsidRPr="00BC3261">
        <w:rPr>
          <w:rFonts w:ascii="Palatino Linotype" w:hAnsi="Palatino Linotype"/>
          <w:b/>
          <w:sz w:val="28"/>
          <w:szCs w:val="28"/>
        </w:rPr>
        <w:lastRenderedPageBreak/>
        <w:t>IV.</w:t>
      </w:r>
      <w:r w:rsidRPr="00BC3261">
        <w:rPr>
          <w:rFonts w:ascii="Palatino Linotype" w:hAnsi="Palatino Linotype"/>
          <w:b/>
        </w:rPr>
        <w:t xml:space="preserve"> </w:t>
      </w:r>
      <w:r w:rsidRPr="00BC3261">
        <w:rPr>
          <w:rFonts w:ascii="Palatino Linotype" w:hAnsi="Palatino Linotype"/>
        </w:rPr>
        <w:t xml:space="preserve">Inconforme con la </w:t>
      </w:r>
      <w:r w:rsidRPr="00BC3261">
        <w:rPr>
          <w:rFonts w:ascii="Palatino Linotype" w:hAnsi="Palatino Linotype" w:cs="Arial"/>
        </w:rPr>
        <w:t xml:space="preserve">respuesta, el </w:t>
      </w:r>
      <w:r w:rsidR="00BC3261">
        <w:rPr>
          <w:rFonts w:ascii="Palatino Linotype" w:hAnsi="Palatino Linotype" w:cs="Arial"/>
        </w:rPr>
        <w:t xml:space="preserve">doce de agosto de </w:t>
      </w:r>
      <w:r w:rsidRPr="00BC3261">
        <w:rPr>
          <w:rFonts w:ascii="Palatino Linotype" w:hAnsi="Palatino Linotype" w:cs="Arial"/>
        </w:rPr>
        <w:t xml:space="preserve">dos mil veinte, </w:t>
      </w:r>
      <w:r w:rsidR="00BC3261">
        <w:rPr>
          <w:rFonts w:ascii="Palatino Linotype" w:hAnsi="Palatino Linotype"/>
          <w:b/>
        </w:rPr>
        <w:t>LA</w:t>
      </w:r>
      <w:r w:rsidRPr="00BC3261">
        <w:rPr>
          <w:rFonts w:ascii="Palatino Linotype" w:hAnsi="Palatino Linotype"/>
          <w:b/>
        </w:rPr>
        <w:t xml:space="preserve"> RECURRENTE</w:t>
      </w:r>
      <w:r w:rsidRPr="00BC3261">
        <w:rPr>
          <w:rFonts w:ascii="Palatino Linotype" w:hAnsi="Palatino Linotype"/>
        </w:rPr>
        <w:t xml:space="preserve"> interpuso el recurso de revisión objeto del presente estudio, al que se le asignó el número al rubro citado</w:t>
      </w:r>
      <w:r w:rsidRPr="00BC3261">
        <w:rPr>
          <w:rFonts w:ascii="Palatino Linotype" w:hAnsi="Palatino Linotype" w:cs="Arial"/>
        </w:rPr>
        <w:t>, en el que señaló como acto impugnado lo siguiente:</w:t>
      </w:r>
      <w:r w:rsidRPr="00C5057E">
        <w:rPr>
          <w:rFonts w:ascii="Palatino Linotype" w:hAnsi="Palatino Linotype" w:cs="Arial"/>
        </w:rPr>
        <w:t xml:space="preserve"> </w:t>
      </w:r>
    </w:p>
    <w:p w:rsidR="00441B91" w:rsidRPr="00C5057E" w:rsidRDefault="00441B91" w:rsidP="00441B91">
      <w:pPr>
        <w:spacing w:before="100" w:beforeAutospacing="1" w:after="100" w:afterAutospacing="1"/>
        <w:ind w:left="851" w:right="899"/>
        <w:contextualSpacing/>
        <w:jc w:val="both"/>
        <w:rPr>
          <w:rFonts w:ascii="Palatino Linotype" w:hAnsi="Palatino Linotype" w:cs="Arial"/>
          <w:i/>
          <w:sz w:val="22"/>
          <w:szCs w:val="22"/>
        </w:rPr>
      </w:pPr>
    </w:p>
    <w:p w:rsidR="00441B91" w:rsidRPr="00C5057E" w:rsidRDefault="00441B91" w:rsidP="00441B91">
      <w:pPr>
        <w:spacing w:before="100" w:beforeAutospacing="1" w:after="100" w:afterAutospacing="1"/>
        <w:ind w:left="851" w:right="899"/>
        <w:contextualSpacing/>
        <w:jc w:val="both"/>
        <w:rPr>
          <w:rFonts w:ascii="Palatino Linotype" w:hAnsi="Palatino Linotype" w:cs="Arial"/>
          <w:i/>
          <w:sz w:val="22"/>
          <w:szCs w:val="22"/>
        </w:rPr>
      </w:pPr>
      <w:r w:rsidRPr="00C5057E">
        <w:rPr>
          <w:rFonts w:ascii="Palatino Linotype" w:hAnsi="Palatino Linotype" w:cs="Arial"/>
          <w:i/>
          <w:sz w:val="22"/>
          <w:szCs w:val="22"/>
        </w:rPr>
        <w:t>“</w:t>
      </w:r>
      <w:r w:rsidR="00BC3261" w:rsidRPr="00BC3261">
        <w:rPr>
          <w:rFonts w:ascii="Palatino Linotype" w:hAnsi="Palatino Linotype" w:cs="Arial"/>
          <w:i/>
          <w:sz w:val="22"/>
          <w:szCs w:val="22"/>
        </w:rPr>
        <w:t>LA RESPUESTA DEL SUJETO OBLIGADO</w:t>
      </w:r>
      <w:r w:rsidRPr="00C5057E">
        <w:rPr>
          <w:rFonts w:ascii="Palatino Linotype" w:hAnsi="Palatino Linotype" w:cs="Arial"/>
          <w:i/>
          <w:sz w:val="22"/>
          <w:szCs w:val="22"/>
        </w:rPr>
        <w:t>” (sic)</w:t>
      </w:r>
    </w:p>
    <w:p w:rsidR="00441B91" w:rsidRPr="00C5057E" w:rsidRDefault="00441B91" w:rsidP="00441B91">
      <w:pPr>
        <w:spacing w:before="100" w:beforeAutospacing="1" w:after="100" w:afterAutospacing="1"/>
        <w:ind w:left="851" w:right="899"/>
        <w:contextualSpacing/>
        <w:jc w:val="both"/>
        <w:rPr>
          <w:rFonts w:ascii="Palatino Linotype" w:hAnsi="Palatino Linotype" w:cs="Arial"/>
          <w:i/>
          <w:sz w:val="22"/>
          <w:szCs w:val="22"/>
        </w:rPr>
      </w:pPr>
    </w:p>
    <w:p w:rsidR="00441B91" w:rsidRPr="00C5057E" w:rsidRDefault="00441B91" w:rsidP="00441B91">
      <w:pPr>
        <w:spacing w:before="100" w:beforeAutospacing="1" w:after="100" w:afterAutospacing="1" w:line="360" w:lineRule="auto"/>
        <w:contextualSpacing/>
        <w:jc w:val="both"/>
        <w:rPr>
          <w:rFonts w:ascii="Palatino Linotype" w:hAnsi="Palatino Linotype" w:cs="Arial"/>
        </w:rPr>
      </w:pPr>
      <w:r w:rsidRPr="00C5057E">
        <w:rPr>
          <w:rFonts w:ascii="Palatino Linotype" w:hAnsi="Palatino Linotype" w:cs="Arial"/>
        </w:rPr>
        <w:t>Asimismo,</w:t>
      </w:r>
      <w:r w:rsidRPr="00C5057E">
        <w:t xml:space="preserve"> </w:t>
      </w:r>
      <w:r w:rsidRPr="00C5057E">
        <w:rPr>
          <w:b/>
        </w:rPr>
        <w:t>L</w:t>
      </w:r>
      <w:r w:rsidR="00BC3261">
        <w:rPr>
          <w:b/>
        </w:rPr>
        <w:t>A</w:t>
      </w:r>
      <w:r w:rsidRPr="00C5057E">
        <w:rPr>
          <w:b/>
        </w:rPr>
        <w:t xml:space="preserve"> RECURRENTE</w:t>
      </w:r>
      <w:r>
        <w:rPr>
          <w:rFonts w:ascii="Palatino Linotype" w:hAnsi="Palatino Linotype" w:cs="Arial"/>
        </w:rPr>
        <w:t xml:space="preserve"> indicó</w:t>
      </w:r>
      <w:r w:rsidRPr="00C5057E">
        <w:rPr>
          <w:rFonts w:ascii="Palatino Linotype" w:hAnsi="Palatino Linotype" w:cs="Arial"/>
        </w:rPr>
        <w:t xml:space="preserve"> como razones o motivos de inconformidad, lo siguiente: </w:t>
      </w:r>
    </w:p>
    <w:p w:rsidR="00441B91" w:rsidRPr="00C5057E" w:rsidRDefault="00441B91" w:rsidP="00441B91">
      <w:pPr>
        <w:spacing w:before="100" w:beforeAutospacing="1" w:after="100" w:afterAutospacing="1"/>
        <w:ind w:left="851" w:right="899"/>
        <w:contextualSpacing/>
        <w:jc w:val="both"/>
        <w:rPr>
          <w:rFonts w:ascii="Palatino Linotype" w:hAnsi="Palatino Linotype" w:cs="Arial"/>
          <w:i/>
          <w:sz w:val="22"/>
          <w:szCs w:val="22"/>
        </w:rPr>
      </w:pPr>
    </w:p>
    <w:p w:rsidR="00441B91" w:rsidRPr="00C5057E" w:rsidRDefault="00441B91" w:rsidP="00441B91">
      <w:pPr>
        <w:spacing w:before="100" w:beforeAutospacing="1" w:after="100" w:afterAutospacing="1"/>
        <w:ind w:left="851" w:right="899"/>
        <w:contextualSpacing/>
        <w:jc w:val="both"/>
        <w:rPr>
          <w:rFonts w:ascii="Palatino Linotype" w:hAnsi="Palatino Linotype" w:cs="Arial"/>
          <w:i/>
          <w:sz w:val="22"/>
          <w:szCs w:val="22"/>
        </w:rPr>
      </w:pPr>
      <w:r w:rsidRPr="00C5057E">
        <w:rPr>
          <w:rFonts w:ascii="Palatino Linotype" w:hAnsi="Palatino Linotype" w:cs="Arial"/>
          <w:i/>
          <w:sz w:val="22"/>
          <w:szCs w:val="22"/>
        </w:rPr>
        <w:t>“</w:t>
      </w:r>
      <w:r w:rsidR="00BC3261" w:rsidRPr="00BC3261">
        <w:rPr>
          <w:rFonts w:ascii="Palatino Linotype" w:hAnsi="Palatino Linotype" w:cs="Arial"/>
          <w:i/>
          <w:sz w:val="22"/>
          <w:szCs w:val="22"/>
        </w:rPr>
        <w:t>TODA VEZ QUE EL SUJETO OBLIGADO NO HACE UNA BÚSQUEDA EXHAUSTIVA EN LAS DEMÁS ÁREAS DEL AYUNTAMIENTO COMO LO ES EL DIF MUNICIPAL Y LA DEL ÁREA QUE SE ENCARGA DE SER ENLACE EN EL TRABAJO, EN CONSECUENCIA, ES NECESARIO SE REQUIERA AL SUJETO OBLIGADO REALIZAR LA BÚSQUEDA EXHAUSTIVA CORRESPONDIENTE</w:t>
      </w:r>
      <w:r w:rsidRPr="00B92BBD">
        <w:rPr>
          <w:rFonts w:ascii="Palatino Linotype" w:hAnsi="Palatino Linotype" w:cs="Arial"/>
          <w:i/>
          <w:sz w:val="22"/>
          <w:szCs w:val="22"/>
        </w:rPr>
        <w:t>.</w:t>
      </w:r>
      <w:r w:rsidRPr="00C5057E">
        <w:rPr>
          <w:rFonts w:ascii="Palatino Linotype" w:hAnsi="Palatino Linotype" w:cs="Arial"/>
          <w:i/>
          <w:sz w:val="22"/>
          <w:szCs w:val="22"/>
        </w:rPr>
        <w:t xml:space="preserve">” (sic) </w:t>
      </w:r>
    </w:p>
    <w:p w:rsidR="00441B91" w:rsidRDefault="00441B91" w:rsidP="00441B91">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C5057E">
        <w:rPr>
          <w:rFonts w:ascii="Palatino Linotype" w:hAnsi="Palatino Linotype"/>
          <w:b/>
          <w:sz w:val="28"/>
          <w:szCs w:val="28"/>
        </w:rPr>
        <w:t xml:space="preserve">V. </w:t>
      </w:r>
      <w:r w:rsidRPr="00C5057E">
        <w:rPr>
          <w:rFonts w:ascii="Palatino Linotype" w:hAnsi="Palatino Linotype" w:cs="Arial"/>
        </w:rPr>
        <w:t xml:space="preserve">En fecha </w:t>
      </w:r>
      <w:r>
        <w:rPr>
          <w:rFonts w:ascii="Palatino Linotype" w:hAnsi="Palatino Linotype"/>
        </w:rPr>
        <w:t>d</w:t>
      </w:r>
      <w:r w:rsidR="00BC3261">
        <w:rPr>
          <w:rFonts w:ascii="Palatino Linotype" w:hAnsi="Palatino Linotype"/>
        </w:rPr>
        <w:t xml:space="preserve">oce de agosto </w:t>
      </w:r>
      <w:r w:rsidRPr="00C5057E">
        <w:rPr>
          <w:rFonts w:ascii="Palatino Linotype" w:hAnsi="Palatino Linotype"/>
        </w:rPr>
        <w:t>de dos mil veinte</w:t>
      </w:r>
      <w:r w:rsidRPr="00C5057E">
        <w:rPr>
          <w:rFonts w:ascii="Palatino Linotype" w:hAnsi="Palatino Linotype" w:cs="Arial"/>
        </w:rPr>
        <w:t xml:space="preserve">, </w:t>
      </w:r>
      <w:r>
        <w:rPr>
          <w:rFonts w:ascii="Palatino Linotype" w:hAnsi="Palatino Linotype" w:cs="Arial"/>
        </w:rPr>
        <w:t xml:space="preserve">el recurso </w:t>
      </w:r>
      <w:r w:rsidRPr="00C5057E">
        <w:rPr>
          <w:rFonts w:ascii="Palatino Linotype" w:hAnsi="Palatino Linotype" w:cs="Arial"/>
        </w:rPr>
        <w:t>de revisión que se trata se envi</w:t>
      </w:r>
      <w:r>
        <w:rPr>
          <w:rFonts w:ascii="Palatino Linotype" w:hAnsi="Palatino Linotype" w:cs="Arial"/>
        </w:rPr>
        <w:t>ó</w:t>
      </w:r>
      <w:r w:rsidRPr="00C5057E">
        <w:rPr>
          <w:rFonts w:ascii="Palatino Linotype" w:hAnsi="Palatino Linotype" w:cs="Arial"/>
        </w:rPr>
        <w:t xml:space="preserve"> electrónicamente al Instituto de Transparencia, Acceso a la Información Pública</w:t>
      </w:r>
      <w:r w:rsidRPr="00C5057E">
        <w:rPr>
          <w:rFonts w:ascii="Palatino Linotype" w:hAnsi="Palatino Linotype" w:cs="Arial"/>
          <w:lang w:val="es-ES_tradnl"/>
        </w:rPr>
        <w:t xml:space="preserve"> y </w:t>
      </w:r>
      <w:r w:rsidRPr="00C5057E">
        <w:rPr>
          <w:rFonts w:ascii="Palatino Linotype" w:hAnsi="Palatino Linotype" w:cs="Arial"/>
        </w:rPr>
        <w:t>Protección</w:t>
      </w:r>
      <w:r w:rsidRPr="00C5057E">
        <w:rPr>
          <w:rFonts w:ascii="Palatino Linotype" w:hAnsi="Palatino Linotype" w:cs="Arial"/>
          <w:lang w:val="es-ES_tradnl"/>
        </w:rPr>
        <w:t xml:space="preserve"> </w:t>
      </w:r>
      <w:r w:rsidRPr="00C5057E">
        <w:rPr>
          <w:rFonts w:ascii="Palatino Linotype" w:hAnsi="Palatino Linotype" w:cs="Arial"/>
        </w:rPr>
        <w:t>de</w:t>
      </w:r>
      <w:r w:rsidRPr="00C5057E">
        <w:rPr>
          <w:rFonts w:ascii="Palatino Linotype" w:hAnsi="Palatino Linotype" w:cs="Arial"/>
          <w:lang w:val="es-ES_tradnl"/>
        </w:rPr>
        <w:t xml:space="preserve"> </w:t>
      </w:r>
      <w:r w:rsidRPr="00C5057E">
        <w:rPr>
          <w:rFonts w:ascii="Palatino Linotype" w:hAnsi="Palatino Linotype"/>
        </w:rPr>
        <w:t>Datos</w:t>
      </w:r>
      <w:r w:rsidRPr="00C5057E">
        <w:rPr>
          <w:rFonts w:ascii="Palatino Linotype" w:hAnsi="Palatino Linotype" w:cs="Arial"/>
          <w:lang w:val="es-ES_tradnl"/>
        </w:rPr>
        <w:t xml:space="preserve"> </w:t>
      </w:r>
      <w:r w:rsidRPr="00C5057E">
        <w:rPr>
          <w:rFonts w:ascii="Palatino Linotype" w:hAnsi="Palatino Linotype" w:cs="Arial"/>
        </w:rPr>
        <w:t>Personales</w:t>
      </w:r>
      <w:r w:rsidRPr="00C5057E">
        <w:rPr>
          <w:rFonts w:ascii="Palatino Linotype" w:hAnsi="Palatino Linotype" w:cs="Arial"/>
          <w:lang w:val="es-ES_tradnl"/>
        </w:rPr>
        <w:t xml:space="preserve"> </w:t>
      </w:r>
      <w:r w:rsidRPr="00C5057E">
        <w:rPr>
          <w:rFonts w:ascii="Palatino Linotype" w:hAnsi="Palatino Linotype" w:cs="Arial"/>
        </w:rPr>
        <w:t>del</w:t>
      </w:r>
      <w:r w:rsidRPr="00C5057E">
        <w:rPr>
          <w:rFonts w:ascii="Palatino Linotype" w:hAnsi="Palatino Linotype" w:cs="Arial"/>
          <w:lang w:val="es-ES_tradnl"/>
        </w:rPr>
        <w:t xml:space="preserve"> </w:t>
      </w:r>
      <w:r w:rsidRPr="00C5057E">
        <w:rPr>
          <w:rFonts w:ascii="Palatino Linotype" w:hAnsi="Palatino Linotype"/>
        </w:rPr>
        <w:t>Estado</w:t>
      </w:r>
      <w:r w:rsidRPr="00C5057E">
        <w:rPr>
          <w:rFonts w:ascii="Palatino Linotype" w:hAnsi="Palatino Linotype" w:cs="Arial"/>
          <w:lang w:val="es-ES_tradnl"/>
        </w:rPr>
        <w:t xml:space="preserve"> de México y Municipios y con fundamento en el </w:t>
      </w:r>
      <w:r w:rsidRPr="00C5057E">
        <w:rPr>
          <w:rFonts w:ascii="Palatino Linotype" w:hAnsi="Palatino Linotype" w:cs="Arial"/>
        </w:rPr>
        <w:t>artículo</w:t>
      </w:r>
      <w:r w:rsidRPr="00C5057E">
        <w:rPr>
          <w:rFonts w:ascii="Palatino Linotype" w:hAnsi="Palatino Linotype" w:cs="Arial"/>
          <w:lang w:val="es-ES_tradnl"/>
        </w:rPr>
        <w:t xml:space="preserve"> 185, </w:t>
      </w:r>
      <w:r w:rsidRPr="00C5057E">
        <w:rPr>
          <w:rFonts w:ascii="Palatino Linotype" w:hAnsi="Palatino Linotype" w:cs="Arial"/>
        </w:rPr>
        <w:t>fracción</w:t>
      </w:r>
      <w:r w:rsidRPr="00C5057E">
        <w:rPr>
          <w:rFonts w:ascii="Palatino Linotype" w:hAnsi="Palatino Linotype" w:cs="Arial"/>
          <w:lang w:val="es-ES_tradnl"/>
        </w:rPr>
        <w:t xml:space="preserve"> I de la </w:t>
      </w:r>
      <w:r w:rsidRPr="00C5057E">
        <w:rPr>
          <w:rFonts w:ascii="Palatino Linotype" w:hAnsi="Palatino Linotype"/>
        </w:rPr>
        <w:t>Ley de Transparencia y Acceso a la Información Pública del Estado de México y Municipios</w:t>
      </w:r>
      <w:r w:rsidRPr="00C5057E">
        <w:rPr>
          <w:rFonts w:ascii="Palatino Linotype" w:hAnsi="Palatino Linotype" w:cs="Arial"/>
          <w:lang w:val="es-ES_tradnl"/>
        </w:rPr>
        <w:t>,</w:t>
      </w:r>
      <w:r>
        <w:rPr>
          <w:rFonts w:ascii="Palatino Linotype" w:hAnsi="Palatino Linotype" w:cs="Arial"/>
          <w:lang w:val="es-ES_tradnl"/>
        </w:rPr>
        <w:t xml:space="preserve"> el cual </w:t>
      </w:r>
      <w:r w:rsidRPr="00C5057E">
        <w:rPr>
          <w:rFonts w:ascii="Palatino Linotype" w:hAnsi="Palatino Linotype" w:cs="Arial"/>
          <w:lang w:val="es-ES_tradnl"/>
        </w:rPr>
        <w:t>se turn</w:t>
      </w:r>
      <w:r>
        <w:rPr>
          <w:rFonts w:ascii="Palatino Linotype" w:hAnsi="Palatino Linotype" w:cs="Arial"/>
          <w:lang w:val="es-ES_tradnl"/>
        </w:rPr>
        <w:t xml:space="preserve">ó </w:t>
      </w:r>
      <w:r w:rsidRPr="00C5057E">
        <w:rPr>
          <w:rFonts w:ascii="Palatino Linotype" w:hAnsi="Palatino Linotype" w:cs="Arial"/>
          <w:lang w:val="es-ES_tradnl"/>
        </w:rPr>
        <w:t>a</w:t>
      </w:r>
      <w:r>
        <w:rPr>
          <w:rFonts w:ascii="Palatino Linotype" w:hAnsi="Palatino Linotype" w:cs="Arial"/>
          <w:lang w:val="es-ES_tradnl"/>
        </w:rPr>
        <w:t xml:space="preserve"> través del </w:t>
      </w:r>
      <w:r w:rsidRPr="00751BDD">
        <w:rPr>
          <w:rFonts w:ascii="Palatino Linotype" w:hAnsi="Palatino Linotype" w:cs="Arial"/>
          <w:b/>
          <w:lang w:val="es-ES_tradnl"/>
        </w:rPr>
        <w:t>SAIMEX</w:t>
      </w:r>
      <w:r>
        <w:rPr>
          <w:rFonts w:ascii="Palatino Linotype" w:hAnsi="Palatino Linotype" w:cs="Arial"/>
          <w:lang w:val="es-ES_tradnl"/>
        </w:rPr>
        <w:t xml:space="preserve"> a la Comisionada Ponente a </w:t>
      </w:r>
      <w:r w:rsidRPr="00C5057E">
        <w:rPr>
          <w:rFonts w:ascii="Palatino Linotype" w:hAnsi="Palatino Linotype" w:cs="Arial"/>
          <w:lang w:val="es-ES_tradnl"/>
        </w:rPr>
        <w:t>efecto de que decreta</w:t>
      </w:r>
      <w:r>
        <w:rPr>
          <w:rFonts w:ascii="Palatino Linotype" w:hAnsi="Palatino Linotype" w:cs="Arial"/>
          <w:lang w:val="es-ES_tradnl"/>
        </w:rPr>
        <w:t>ra</w:t>
      </w:r>
      <w:r w:rsidRPr="00C5057E">
        <w:rPr>
          <w:rFonts w:ascii="Palatino Linotype" w:hAnsi="Palatino Linotype" w:cs="Arial"/>
          <w:lang w:val="es-ES_tradnl"/>
        </w:rPr>
        <w:t xml:space="preserve"> su admisión o desechamiento.</w:t>
      </w:r>
    </w:p>
    <w:p w:rsidR="007639C9" w:rsidRDefault="007639C9" w:rsidP="007639C9">
      <w:pPr>
        <w:pStyle w:val="Prrafodelista"/>
        <w:tabs>
          <w:tab w:val="left" w:pos="567"/>
        </w:tabs>
        <w:spacing w:before="300" w:after="240" w:line="360" w:lineRule="auto"/>
        <w:ind w:left="0"/>
        <w:jc w:val="both"/>
        <w:rPr>
          <w:rFonts w:ascii="Palatino Linotype" w:hAnsi="Palatino Linotype" w:cs="Arial"/>
          <w:lang w:val="es-ES_tradnl"/>
        </w:rPr>
      </w:pPr>
      <w:r w:rsidRPr="007639C9">
        <w:rPr>
          <w:rFonts w:ascii="Palatino Linotype" w:hAnsi="Palatino Linotype"/>
          <w:b/>
          <w:sz w:val="28"/>
          <w:szCs w:val="28"/>
        </w:rPr>
        <w:t>VI.</w:t>
      </w:r>
      <w:r>
        <w:rPr>
          <w:rFonts w:ascii="Palatino Linotype" w:hAnsi="Palatino Linotype" w:cs="Arial"/>
          <w:lang w:val="es-ES_tradnl"/>
        </w:rPr>
        <w:t xml:space="preserve"> </w:t>
      </w:r>
      <w:bookmarkStart w:id="0" w:name="_Ref528747656"/>
      <w:r w:rsidRPr="008A72D9">
        <w:rPr>
          <w:rFonts w:ascii="Palatino Linotype" w:hAnsi="Palatino Linotype" w:cs="Arial"/>
          <w:lang w:val="es-ES_tradnl"/>
        </w:rPr>
        <w:t xml:space="preserve">De las constancias que integran el expediente electrónico del </w:t>
      </w:r>
      <w:r w:rsidRPr="008A72D9">
        <w:rPr>
          <w:rFonts w:ascii="Palatino Linotype" w:hAnsi="Palatino Linotype" w:cs="Arial"/>
          <w:b/>
          <w:lang w:val="es-ES_tradnl"/>
        </w:rPr>
        <w:t>SAIMEX</w:t>
      </w:r>
      <w:r w:rsidRPr="008A72D9">
        <w:rPr>
          <w:rFonts w:ascii="Palatino Linotype" w:hAnsi="Palatino Linotype" w:cs="Arial"/>
          <w:lang w:val="es-ES_tradnl"/>
        </w:rPr>
        <w:t xml:space="preserve">, se advierte que, en fecha </w:t>
      </w:r>
      <w:r>
        <w:rPr>
          <w:rFonts w:ascii="Palatino Linotype" w:hAnsi="Palatino Linotype" w:cs="Arial"/>
          <w:lang w:val="es-ES_tradnl"/>
        </w:rPr>
        <w:t>doce de agosto de dos mil veinte</w:t>
      </w:r>
      <w:r w:rsidRPr="008A72D9">
        <w:rPr>
          <w:rFonts w:ascii="Palatino Linotype" w:hAnsi="Palatino Linotype" w:cs="Arial"/>
          <w:lang w:val="es-ES_tradnl"/>
        </w:rPr>
        <w:t xml:space="preserve">, </w:t>
      </w:r>
      <w:r w:rsidRPr="008A72D9">
        <w:rPr>
          <w:rFonts w:ascii="Palatino Linotype" w:hAnsi="Palatino Linotype" w:cs="Arial"/>
          <w:b/>
        </w:rPr>
        <w:t>L</w:t>
      </w:r>
      <w:r>
        <w:rPr>
          <w:rFonts w:ascii="Palatino Linotype" w:hAnsi="Palatino Linotype" w:cs="Arial"/>
          <w:b/>
        </w:rPr>
        <w:t>A</w:t>
      </w:r>
      <w:r w:rsidRPr="008A72D9">
        <w:rPr>
          <w:rFonts w:ascii="Palatino Linotype" w:hAnsi="Palatino Linotype" w:cs="Arial"/>
          <w:b/>
        </w:rPr>
        <w:t xml:space="preserve"> RECURRENTE</w:t>
      </w:r>
      <w:r w:rsidRPr="008A72D9">
        <w:rPr>
          <w:rFonts w:ascii="Palatino Linotype" w:hAnsi="Palatino Linotype" w:cs="Arial"/>
          <w:lang w:val="es-ES_tradnl"/>
        </w:rPr>
        <w:t xml:space="preserve"> presentó </w:t>
      </w:r>
      <w:r w:rsidRPr="008A72D9">
        <w:rPr>
          <w:rFonts w:ascii="Palatino Linotype" w:hAnsi="Palatino Linotype" w:cs="Arial"/>
          <w:lang w:val="es-ES_tradnl"/>
        </w:rPr>
        <w:lastRenderedPageBreak/>
        <w:t>su desistimiento respecto del presente recurso de revisión</w:t>
      </w:r>
      <w:bookmarkEnd w:id="0"/>
      <w:r>
        <w:rPr>
          <w:rFonts w:ascii="Palatino Linotype" w:hAnsi="Palatino Linotype" w:cs="Arial"/>
          <w:lang w:val="es-ES_tradnl"/>
        </w:rPr>
        <w:t>; tal y como se aprecia a continuación:</w:t>
      </w:r>
    </w:p>
    <w:p w:rsidR="007639C9" w:rsidRPr="00283FDC" w:rsidRDefault="00F81130" w:rsidP="00C36A09">
      <w:pPr>
        <w:pStyle w:val="Prrafodelista"/>
        <w:tabs>
          <w:tab w:val="left" w:pos="567"/>
        </w:tabs>
        <w:spacing w:before="300" w:after="240" w:line="360" w:lineRule="auto"/>
        <w:ind w:left="0"/>
        <w:jc w:val="center"/>
        <w:rPr>
          <w:rFonts w:ascii="Palatino Linotype" w:hAnsi="Palatino Linotype" w:cs="Arial"/>
          <w:i/>
          <w:sz w:val="22"/>
        </w:rPr>
      </w:pPr>
      <w:r>
        <w:rPr>
          <w:noProof/>
          <w:lang w:eastAsia="es-MX"/>
        </w:rPr>
        <w:drawing>
          <wp:inline distT="0" distB="0" distL="0" distR="0" wp14:anchorId="40EFCA61" wp14:editId="6DB7C1F7">
            <wp:extent cx="5481431" cy="194584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997" t="38640" r="21557" b="26983"/>
                    <a:stretch/>
                  </pic:blipFill>
                  <pic:spPr bwMode="auto">
                    <a:xfrm>
                      <a:off x="0" y="0"/>
                      <a:ext cx="5489579" cy="1948736"/>
                    </a:xfrm>
                    <a:prstGeom prst="rect">
                      <a:avLst/>
                    </a:prstGeom>
                    <a:ln>
                      <a:noFill/>
                    </a:ln>
                    <a:extLst>
                      <a:ext uri="{53640926-AAD7-44D8-BBD7-CCE9431645EC}">
                        <a14:shadowObscured xmlns:a14="http://schemas.microsoft.com/office/drawing/2010/main"/>
                      </a:ext>
                    </a:extLst>
                  </pic:spPr>
                </pic:pic>
              </a:graphicData>
            </a:graphic>
          </wp:inline>
        </w:drawing>
      </w:r>
    </w:p>
    <w:p w:rsidR="00441B91" w:rsidRPr="00C5057E" w:rsidRDefault="00441B91" w:rsidP="00441B91">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C5057E">
        <w:rPr>
          <w:rFonts w:ascii="Palatino Linotype" w:hAnsi="Palatino Linotype"/>
          <w:b/>
          <w:sz w:val="28"/>
          <w:szCs w:val="28"/>
        </w:rPr>
        <w:t>V</w:t>
      </w:r>
      <w:r w:rsidR="00C36A09">
        <w:rPr>
          <w:rFonts w:ascii="Palatino Linotype" w:hAnsi="Palatino Linotype"/>
          <w:b/>
          <w:sz w:val="28"/>
          <w:szCs w:val="28"/>
        </w:rPr>
        <w:t>I</w:t>
      </w:r>
      <w:r w:rsidR="00BC3261">
        <w:rPr>
          <w:rFonts w:ascii="Palatino Linotype" w:hAnsi="Palatino Linotype"/>
          <w:b/>
          <w:sz w:val="28"/>
          <w:szCs w:val="28"/>
        </w:rPr>
        <w:t>I</w:t>
      </w:r>
      <w:r w:rsidRPr="00C5057E">
        <w:rPr>
          <w:rFonts w:ascii="Palatino Linotype" w:hAnsi="Palatino Linotype"/>
          <w:b/>
          <w:sz w:val="28"/>
          <w:szCs w:val="28"/>
        </w:rPr>
        <w:t xml:space="preserve">. </w:t>
      </w:r>
      <w:r>
        <w:rPr>
          <w:rFonts w:ascii="Palatino Linotype" w:hAnsi="Palatino Linotype"/>
        </w:rPr>
        <w:t>El dieci</w:t>
      </w:r>
      <w:r w:rsidR="00BC3261">
        <w:rPr>
          <w:rFonts w:ascii="Palatino Linotype" w:hAnsi="Palatino Linotype"/>
        </w:rPr>
        <w:t xml:space="preserve">ocho de agosto </w:t>
      </w:r>
      <w:r>
        <w:rPr>
          <w:rFonts w:ascii="Palatino Linotype" w:hAnsi="Palatino Linotype"/>
        </w:rPr>
        <w:t xml:space="preserve">de </w:t>
      </w:r>
      <w:r w:rsidRPr="00C5057E">
        <w:rPr>
          <w:rFonts w:ascii="Palatino Linotype" w:hAnsi="Palatino Linotype"/>
        </w:rPr>
        <w:t xml:space="preserve">dos mil veinte, </w:t>
      </w:r>
      <w:r w:rsidRPr="00C5057E">
        <w:rPr>
          <w:rFonts w:ascii="Palatino Linotype" w:hAnsi="Palatino Linotype" w:cs="Arial"/>
        </w:rPr>
        <w:t xml:space="preserve">atento a lo dispuesto en el artículo 185, fracciones I, II y IV, de la </w:t>
      </w:r>
      <w:r w:rsidRPr="00C5057E">
        <w:rPr>
          <w:rFonts w:ascii="Palatino Linotype" w:hAnsi="Palatino Linotype"/>
        </w:rPr>
        <w:t xml:space="preserve">Ley de Transparencia y Acceso a la Información Pública del </w:t>
      </w:r>
      <w:r w:rsidRPr="00C5057E">
        <w:rPr>
          <w:rFonts w:ascii="Palatino Linotype" w:hAnsi="Palatino Linotype" w:cs="Arial"/>
        </w:rPr>
        <w:t>Estado</w:t>
      </w:r>
      <w:r w:rsidRPr="00C5057E">
        <w:rPr>
          <w:rFonts w:ascii="Palatino Linotype" w:hAnsi="Palatino Linotype"/>
        </w:rPr>
        <w:t xml:space="preserve"> de México y </w:t>
      </w:r>
      <w:r w:rsidRPr="00C5057E">
        <w:rPr>
          <w:rFonts w:ascii="Palatino Linotype" w:hAnsi="Palatino Linotype" w:cs="Arial"/>
          <w:lang w:val="es-ES_tradnl"/>
        </w:rPr>
        <w:t>Municipios</w:t>
      </w:r>
      <w:r w:rsidRPr="00C5057E">
        <w:rPr>
          <w:rFonts w:ascii="Palatino Linotype" w:hAnsi="Palatino Linotype"/>
        </w:rPr>
        <w:t>, se a</w:t>
      </w:r>
      <w:r w:rsidRPr="00C5057E">
        <w:rPr>
          <w:rFonts w:ascii="Palatino Linotype" w:hAnsi="Palatino Linotype" w:cs="Arial"/>
        </w:rPr>
        <w:t>cordó la admisión a trámite de</w:t>
      </w:r>
      <w:r>
        <w:rPr>
          <w:rFonts w:ascii="Palatino Linotype" w:hAnsi="Palatino Linotype" w:cs="Arial"/>
        </w:rPr>
        <w:t xml:space="preserve">l referido recurso </w:t>
      </w:r>
      <w:r w:rsidRPr="00C5057E">
        <w:rPr>
          <w:rFonts w:ascii="Palatino Linotype" w:hAnsi="Palatino Linotype" w:cs="Arial"/>
        </w:rPr>
        <w:t xml:space="preserve">de </w:t>
      </w:r>
      <w:r w:rsidRPr="00C5057E">
        <w:rPr>
          <w:rFonts w:ascii="Palatino Linotype" w:hAnsi="Palatino Linotype" w:cs="Arial"/>
          <w:lang w:val="es-ES_tradnl"/>
        </w:rPr>
        <w:t>revisión;</w:t>
      </w:r>
      <w:r w:rsidRPr="00C5057E">
        <w:rPr>
          <w:rFonts w:ascii="Palatino Linotype" w:hAnsi="Palatino Linotype" w:cs="Arial"/>
        </w:rPr>
        <w:t xml:space="preserve"> así como, la </w:t>
      </w:r>
      <w:r w:rsidRPr="00C5057E">
        <w:rPr>
          <w:rFonts w:ascii="Palatino Linotype" w:hAnsi="Palatino Linotype" w:cs="Arial"/>
          <w:lang w:val="es-ES_tradnl"/>
        </w:rPr>
        <w:t>integración</w:t>
      </w:r>
      <w:r>
        <w:rPr>
          <w:rFonts w:ascii="Palatino Linotype" w:hAnsi="Palatino Linotype" w:cs="Arial"/>
        </w:rPr>
        <w:t xml:space="preserve"> del expediente </w:t>
      </w:r>
      <w:r w:rsidRPr="00C5057E">
        <w:rPr>
          <w:rFonts w:ascii="Palatino Linotype" w:hAnsi="Palatino Linotype" w:cs="Arial"/>
        </w:rPr>
        <w:t>respectivo, mismo que se pus</w:t>
      </w:r>
      <w:r>
        <w:rPr>
          <w:rFonts w:ascii="Palatino Linotype" w:hAnsi="Palatino Linotype" w:cs="Arial"/>
        </w:rPr>
        <w:t xml:space="preserve">o </w:t>
      </w:r>
      <w:r w:rsidR="00BC3261">
        <w:rPr>
          <w:rFonts w:ascii="Palatino Linotype" w:hAnsi="Palatino Linotype" w:cs="Arial"/>
        </w:rPr>
        <w:t xml:space="preserve">a </w:t>
      </w:r>
      <w:r w:rsidRPr="00C5057E">
        <w:rPr>
          <w:rFonts w:ascii="Palatino Linotype" w:hAnsi="Palatino Linotype" w:cs="Arial"/>
        </w:rPr>
        <w:t xml:space="preserve">disposición de las partes, para que en el plazo máximo de siete días hábiles, </w:t>
      </w:r>
      <w:r w:rsidRPr="00C5057E">
        <w:rPr>
          <w:rFonts w:ascii="Palatino Linotype" w:hAnsi="Palatino Linotype" w:cs="Arial"/>
          <w:b/>
        </w:rPr>
        <w:t>L</w:t>
      </w:r>
      <w:r w:rsidR="00BC3261">
        <w:rPr>
          <w:rFonts w:ascii="Palatino Linotype" w:hAnsi="Palatino Linotype" w:cs="Arial"/>
          <w:b/>
        </w:rPr>
        <w:t>A</w:t>
      </w:r>
      <w:r w:rsidRPr="00C5057E">
        <w:rPr>
          <w:rFonts w:ascii="Palatino Linotype" w:hAnsi="Palatino Linotype" w:cs="Arial"/>
          <w:b/>
        </w:rPr>
        <w:t xml:space="preserve"> RECURRENTE</w:t>
      </w:r>
      <w:r w:rsidRPr="00C5057E">
        <w:rPr>
          <w:rFonts w:ascii="Palatino Linotype" w:hAnsi="Palatino Linotype" w:cs="Arial"/>
        </w:rPr>
        <w:t xml:space="preserve"> realizara manifestaciones, alegatos y ofreciera las pruebas que a su derecho </w:t>
      </w:r>
      <w:r w:rsidRPr="00C5057E">
        <w:rPr>
          <w:rFonts w:ascii="Palatino Linotype" w:hAnsi="Palatino Linotype" w:cs="Arial"/>
          <w:lang w:val="es-ES_tradnl"/>
        </w:rPr>
        <w:t>conviniera</w:t>
      </w:r>
      <w:r w:rsidRPr="00C5057E">
        <w:rPr>
          <w:rFonts w:ascii="Palatino Linotype" w:hAnsi="Palatino Linotype" w:cs="Arial"/>
        </w:rPr>
        <w:t xml:space="preserve"> y, en el caso del</w:t>
      </w:r>
      <w:r w:rsidRPr="00C5057E">
        <w:rPr>
          <w:rFonts w:ascii="Palatino Linotype" w:hAnsi="Palatino Linotype" w:cs="Arial"/>
          <w:b/>
        </w:rPr>
        <w:t xml:space="preserve"> SUJETO OBLIGADO</w:t>
      </w:r>
      <w:r w:rsidRPr="00C5057E">
        <w:rPr>
          <w:rFonts w:ascii="Palatino Linotype" w:hAnsi="Palatino Linotype" w:cs="Arial"/>
        </w:rPr>
        <w:t xml:space="preserve">, para que exhibiera </w:t>
      </w:r>
      <w:r w:rsidR="00BC3261">
        <w:rPr>
          <w:rFonts w:ascii="Palatino Linotype" w:hAnsi="Palatino Linotype" w:cs="Arial"/>
        </w:rPr>
        <w:t xml:space="preserve">el  Informe Justificado </w:t>
      </w:r>
      <w:r w:rsidRPr="00C5057E">
        <w:rPr>
          <w:rFonts w:ascii="Palatino Linotype" w:hAnsi="Palatino Linotype" w:cs="Arial"/>
        </w:rPr>
        <w:t>correspondiente.</w:t>
      </w:r>
    </w:p>
    <w:p w:rsidR="00441B91" w:rsidRPr="00C5057E" w:rsidRDefault="00441B91" w:rsidP="00441B91">
      <w:pPr>
        <w:spacing w:before="100" w:beforeAutospacing="1" w:after="100" w:afterAutospacing="1" w:line="360" w:lineRule="auto"/>
        <w:contextualSpacing/>
        <w:jc w:val="both"/>
        <w:rPr>
          <w:rFonts w:ascii="Palatino Linotype" w:hAnsi="Palatino Linotype" w:cs="Arial"/>
        </w:rPr>
      </w:pPr>
      <w:r w:rsidRPr="00C5057E">
        <w:rPr>
          <w:rFonts w:ascii="Palatino Linotype" w:eastAsia="Arial Unicode MS" w:hAnsi="Palatino Linotype" w:cs="Arial"/>
          <w:b/>
          <w:sz w:val="28"/>
          <w:szCs w:val="28"/>
        </w:rPr>
        <w:t>V</w:t>
      </w:r>
      <w:r w:rsidR="00BC3261">
        <w:rPr>
          <w:rFonts w:ascii="Palatino Linotype" w:eastAsia="Arial Unicode MS" w:hAnsi="Palatino Linotype" w:cs="Arial"/>
          <w:b/>
          <w:sz w:val="28"/>
          <w:szCs w:val="28"/>
        </w:rPr>
        <w:t>I</w:t>
      </w:r>
      <w:r w:rsidR="00C36A09">
        <w:rPr>
          <w:rFonts w:ascii="Palatino Linotype" w:eastAsia="Arial Unicode MS" w:hAnsi="Palatino Linotype" w:cs="Arial"/>
          <w:b/>
          <w:sz w:val="28"/>
          <w:szCs w:val="28"/>
        </w:rPr>
        <w:t>I</w:t>
      </w:r>
      <w:r w:rsidRPr="00C5057E">
        <w:rPr>
          <w:rFonts w:ascii="Palatino Linotype" w:eastAsia="Arial Unicode MS" w:hAnsi="Palatino Linotype" w:cs="Arial"/>
          <w:b/>
          <w:sz w:val="28"/>
          <w:szCs w:val="28"/>
        </w:rPr>
        <w:t xml:space="preserve">I. </w:t>
      </w:r>
      <w:r w:rsidRPr="00C5057E">
        <w:rPr>
          <w:rFonts w:ascii="Palatino Linotype" w:eastAsia="Arial Unicode MS" w:hAnsi="Palatino Linotype" w:cs="Arial"/>
        </w:rPr>
        <w:t xml:space="preserve">Conforme a las constancias del </w:t>
      </w:r>
      <w:r w:rsidRPr="00C5057E">
        <w:rPr>
          <w:rFonts w:ascii="Palatino Linotype" w:eastAsia="Arial Unicode MS" w:hAnsi="Palatino Linotype" w:cs="Arial"/>
          <w:b/>
        </w:rPr>
        <w:t>SAIMEX</w:t>
      </w:r>
      <w:r w:rsidRPr="00C5057E">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BC3261">
        <w:rPr>
          <w:rFonts w:ascii="Palatino Linotype" w:eastAsia="Arial Unicode MS" w:hAnsi="Palatino Linotype" w:cs="Arial"/>
        </w:rPr>
        <w:t xml:space="preserve"> </w:t>
      </w:r>
      <w:r w:rsidRPr="00C5057E">
        <w:rPr>
          <w:rFonts w:ascii="Palatino Linotype" w:eastAsia="Arial Unicode MS" w:hAnsi="Palatino Linotype" w:cs="Arial"/>
        </w:rPr>
        <w:t>l</w:t>
      </w:r>
      <w:r w:rsidR="00BC3261">
        <w:rPr>
          <w:rFonts w:ascii="Palatino Linotype" w:eastAsia="Arial Unicode MS" w:hAnsi="Palatino Linotype" w:cs="Arial"/>
        </w:rPr>
        <w:t>a hoy</w:t>
      </w:r>
      <w:r w:rsidRPr="00C5057E">
        <w:rPr>
          <w:rFonts w:ascii="Palatino Linotype" w:eastAsia="Arial Unicode MS" w:hAnsi="Palatino Linotype" w:cs="Arial"/>
        </w:rPr>
        <w:t xml:space="preserve"> </w:t>
      </w:r>
      <w:r w:rsidRPr="00C5057E">
        <w:rPr>
          <w:rFonts w:ascii="Palatino Linotype" w:eastAsia="Arial Unicode MS" w:hAnsi="Palatino Linotype" w:cs="Arial"/>
          <w:b/>
        </w:rPr>
        <w:t>RECURRENTE</w:t>
      </w:r>
      <w:r w:rsidR="00BC3261">
        <w:rPr>
          <w:rFonts w:ascii="Palatino Linotype" w:eastAsia="Arial Unicode MS" w:hAnsi="Palatino Linotype" w:cs="Arial"/>
        </w:rPr>
        <w:t>, ésta</w:t>
      </w:r>
      <w:r w:rsidRPr="00C5057E">
        <w:rPr>
          <w:rFonts w:ascii="Palatino Linotype" w:eastAsia="Arial Unicode MS" w:hAnsi="Palatino Linotype" w:cs="Arial"/>
        </w:rPr>
        <w:t xml:space="preserve"> no realizó manifestaciones, ni presentó pruebas o </w:t>
      </w:r>
      <w:r w:rsidRPr="00C5057E">
        <w:rPr>
          <w:rFonts w:ascii="Palatino Linotype" w:eastAsia="Arial Unicode MS" w:hAnsi="Palatino Linotype" w:cs="Arial"/>
        </w:rPr>
        <w:lastRenderedPageBreak/>
        <w:t xml:space="preserve">alegatos, así como tampoco </w:t>
      </w:r>
      <w:r w:rsidRPr="00C5057E">
        <w:rPr>
          <w:rFonts w:ascii="Palatino Linotype" w:eastAsia="Arial Unicode MS" w:hAnsi="Palatino Linotype" w:cs="Arial"/>
          <w:b/>
          <w:color w:val="000000"/>
          <w:lang w:eastAsia="es-MX"/>
        </w:rPr>
        <w:t>EL SUJETO OBLIGADO</w:t>
      </w:r>
      <w:r w:rsidR="007639C9">
        <w:rPr>
          <w:rFonts w:ascii="Palatino Linotype" w:eastAsia="Arial Unicode MS" w:hAnsi="Palatino Linotype" w:cs="Arial"/>
        </w:rPr>
        <w:t xml:space="preserve"> rindió el</w:t>
      </w:r>
      <w:r w:rsidRPr="00C5057E">
        <w:rPr>
          <w:rFonts w:ascii="Palatino Linotype" w:eastAsia="Arial Unicode MS" w:hAnsi="Palatino Linotype" w:cs="Arial"/>
        </w:rPr>
        <w:t xml:space="preserve"> Informe Justificado, tal y como se aprecia en la siguiente imagen: </w:t>
      </w:r>
      <w:r w:rsidRPr="00C5057E">
        <w:rPr>
          <w:rFonts w:ascii="Palatino Linotype" w:hAnsi="Palatino Linotype" w:cs="Arial"/>
        </w:rPr>
        <w:t xml:space="preserve"> </w:t>
      </w:r>
    </w:p>
    <w:p w:rsidR="00441B91" w:rsidRPr="00C5057E" w:rsidRDefault="007639C9" w:rsidP="00441B91">
      <w:pPr>
        <w:spacing w:before="100" w:beforeAutospacing="1" w:after="100" w:afterAutospacing="1" w:line="360" w:lineRule="auto"/>
        <w:contextualSpacing/>
        <w:jc w:val="center"/>
        <w:rPr>
          <w:rFonts w:ascii="Palatino Linotype" w:hAnsi="Palatino Linotype" w:cs="Arial"/>
        </w:rPr>
      </w:pPr>
      <w:r>
        <w:rPr>
          <w:noProof/>
          <w:lang w:eastAsia="es-MX"/>
        </w:rPr>
        <w:drawing>
          <wp:inline distT="0" distB="0" distL="0" distR="0">
            <wp:extent cx="5711190" cy="2201876"/>
            <wp:effectExtent l="0" t="0" r="381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240" t="22914" r="15613" b="38437"/>
                    <a:stretch/>
                  </pic:blipFill>
                  <pic:spPr bwMode="auto">
                    <a:xfrm>
                      <a:off x="0" y="0"/>
                      <a:ext cx="5732436" cy="2210067"/>
                    </a:xfrm>
                    <a:prstGeom prst="rect">
                      <a:avLst/>
                    </a:prstGeom>
                    <a:ln>
                      <a:noFill/>
                    </a:ln>
                    <a:extLst>
                      <a:ext uri="{53640926-AAD7-44D8-BBD7-CCE9431645EC}">
                        <a14:shadowObscured xmlns:a14="http://schemas.microsoft.com/office/drawing/2010/main"/>
                      </a:ext>
                    </a:extLst>
                  </pic:spPr>
                </pic:pic>
              </a:graphicData>
            </a:graphic>
          </wp:inline>
        </w:drawing>
      </w:r>
    </w:p>
    <w:p w:rsidR="00441B91" w:rsidRPr="00C5057E" w:rsidRDefault="00441B91" w:rsidP="00441B91">
      <w:pPr>
        <w:spacing w:before="100" w:beforeAutospacing="1" w:after="100" w:afterAutospacing="1" w:line="360" w:lineRule="auto"/>
        <w:jc w:val="both"/>
        <w:rPr>
          <w:rFonts w:ascii="Palatino Linotype" w:hAnsi="Palatino Linotype" w:cs="Arial"/>
        </w:rPr>
      </w:pPr>
      <w:r w:rsidRPr="00C5057E">
        <w:rPr>
          <w:rFonts w:ascii="Palatino Linotype" w:hAnsi="Palatino Linotype"/>
          <w:b/>
          <w:sz w:val="28"/>
          <w:szCs w:val="28"/>
        </w:rPr>
        <w:t>I</w:t>
      </w:r>
      <w:r w:rsidR="00C36A09">
        <w:rPr>
          <w:rFonts w:ascii="Palatino Linotype" w:hAnsi="Palatino Linotype"/>
          <w:b/>
          <w:sz w:val="28"/>
          <w:szCs w:val="28"/>
        </w:rPr>
        <w:t>X</w:t>
      </w:r>
      <w:r w:rsidRPr="00C5057E">
        <w:rPr>
          <w:rFonts w:ascii="Palatino Linotype" w:hAnsi="Palatino Linotype"/>
          <w:b/>
          <w:sz w:val="28"/>
          <w:szCs w:val="28"/>
        </w:rPr>
        <w:t>.</w:t>
      </w:r>
      <w:r w:rsidRPr="00C5057E">
        <w:rPr>
          <w:rFonts w:ascii="Palatino Linotype" w:hAnsi="Palatino Linotype" w:cs="Arial"/>
        </w:rPr>
        <w:t xml:space="preserve"> Una vez </w:t>
      </w:r>
      <w:r w:rsidRPr="00C5057E">
        <w:rPr>
          <w:rFonts w:ascii="Palatino Linotype" w:hAnsi="Palatino Linotype" w:cs="Arial"/>
          <w:color w:val="000000" w:themeColor="text1"/>
        </w:rPr>
        <w:t>analizado</w:t>
      </w:r>
      <w:r w:rsidRPr="00C5057E">
        <w:rPr>
          <w:rFonts w:ascii="Palatino Linotype" w:hAnsi="Palatino Linotype" w:cs="Arial"/>
        </w:rPr>
        <w:t xml:space="preserve"> el estado procesal que guardaba</w:t>
      </w:r>
      <w:r>
        <w:rPr>
          <w:rFonts w:ascii="Palatino Linotype" w:hAnsi="Palatino Linotype" w:cs="Arial"/>
        </w:rPr>
        <w:t xml:space="preserve"> el expediente</w:t>
      </w:r>
      <w:r w:rsidRPr="00C5057E">
        <w:rPr>
          <w:rFonts w:ascii="Palatino Linotype" w:hAnsi="Palatino Linotype" w:cs="Arial"/>
        </w:rPr>
        <w:t>, en fecha veinti</w:t>
      </w:r>
      <w:r w:rsidR="007639C9">
        <w:rPr>
          <w:rFonts w:ascii="Palatino Linotype" w:hAnsi="Palatino Linotype" w:cs="Arial"/>
        </w:rPr>
        <w:t>ocho</w:t>
      </w:r>
      <w:r>
        <w:rPr>
          <w:rFonts w:ascii="Palatino Linotype" w:hAnsi="Palatino Linotype" w:cs="Arial"/>
        </w:rPr>
        <w:t xml:space="preserve"> de agosto </w:t>
      </w:r>
      <w:r w:rsidRPr="00C5057E">
        <w:rPr>
          <w:rFonts w:ascii="Palatino Linotype" w:hAnsi="Palatino Linotype" w:cs="Arial"/>
        </w:rPr>
        <w:t xml:space="preserve">de dos mil veinte, la Comisionada Ponente acordó el cierre de instrucción; así </w:t>
      </w:r>
      <w:r w:rsidRPr="00C5057E">
        <w:rPr>
          <w:rFonts w:ascii="Palatino Linotype" w:hAnsi="Palatino Linotype" w:cs="Arial"/>
          <w:lang w:val="es-ES_tradnl"/>
        </w:rPr>
        <w:t>como,</w:t>
      </w:r>
      <w:r w:rsidRPr="00C5057E">
        <w:rPr>
          <w:rFonts w:ascii="Palatino Linotype" w:hAnsi="Palatino Linotype" w:cs="Arial"/>
        </w:rPr>
        <w:t xml:space="preserve"> la remisión de</w:t>
      </w:r>
      <w:r>
        <w:rPr>
          <w:rFonts w:ascii="Palatino Linotype" w:hAnsi="Palatino Linotype" w:cs="Arial"/>
        </w:rPr>
        <w:t xml:space="preserve">l mismo </w:t>
      </w:r>
      <w:r w:rsidRPr="00C5057E">
        <w:rPr>
          <w:rFonts w:ascii="Palatino Linotype" w:hAnsi="Palatino Linotype" w:cs="Arial"/>
        </w:rPr>
        <w:t xml:space="preserve">a efecto </w:t>
      </w:r>
      <w:r w:rsidRPr="00C5057E">
        <w:rPr>
          <w:rFonts w:ascii="Palatino Linotype" w:hAnsi="Palatino Linotype" w:cs="Arial"/>
          <w:lang w:val="es-ES_tradnl"/>
        </w:rPr>
        <w:t>de</w:t>
      </w:r>
      <w:r w:rsidRPr="00C5057E">
        <w:rPr>
          <w:rFonts w:ascii="Palatino Linotype" w:hAnsi="Palatino Linotype" w:cs="Arial"/>
        </w:rPr>
        <w:t xml:space="preserve"> ser resuelto, de conformidad con lo establecido en el artículo 185, fracciones VI y VIII de la Ley de Transparencia y Acceso a la Información Pública de</w:t>
      </w:r>
      <w:r>
        <w:rPr>
          <w:rFonts w:ascii="Palatino Linotype" w:hAnsi="Palatino Linotype" w:cs="Arial"/>
        </w:rPr>
        <w:t>l Estado de México y Municipios; y,</w:t>
      </w:r>
    </w:p>
    <w:p w:rsidR="00441B91" w:rsidRPr="00C5057E" w:rsidRDefault="00441B91" w:rsidP="00441B91">
      <w:pPr>
        <w:spacing w:before="100" w:beforeAutospacing="1" w:after="100" w:afterAutospacing="1"/>
        <w:jc w:val="center"/>
        <w:rPr>
          <w:rFonts w:ascii="Palatino Linotype" w:hAnsi="Palatino Linotype"/>
          <w:b/>
          <w:bCs/>
          <w:spacing w:val="40"/>
          <w:sz w:val="28"/>
        </w:rPr>
      </w:pPr>
      <w:r w:rsidRPr="00C5057E">
        <w:rPr>
          <w:rFonts w:ascii="Palatino Linotype" w:hAnsi="Palatino Linotype"/>
          <w:b/>
          <w:bCs/>
          <w:spacing w:val="40"/>
          <w:sz w:val="28"/>
        </w:rPr>
        <w:t>CONSIDERANDO</w:t>
      </w:r>
    </w:p>
    <w:p w:rsidR="00441B91" w:rsidRPr="00C5057E" w:rsidRDefault="00441B91" w:rsidP="00C36A09">
      <w:pPr>
        <w:spacing w:before="100" w:beforeAutospacing="1" w:after="100" w:afterAutospacing="1" w:line="360" w:lineRule="auto"/>
        <w:ind w:right="50"/>
        <w:jc w:val="both"/>
        <w:rPr>
          <w:rFonts w:ascii="Palatino Linotype" w:hAnsi="Palatino Linotype" w:cs="Arial"/>
        </w:rPr>
      </w:pPr>
      <w:r w:rsidRPr="00C5057E">
        <w:rPr>
          <w:rFonts w:ascii="Palatino Linotype" w:hAnsi="Palatino Linotype"/>
          <w:b/>
          <w:sz w:val="28"/>
          <w:szCs w:val="28"/>
        </w:rPr>
        <w:t>PRIMERO</w:t>
      </w:r>
      <w:r w:rsidRPr="00C5057E">
        <w:rPr>
          <w:rFonts w:ascii="Palatino Linotype" w:hAnsi="Palatino Linotype"/>
          <w:b/>
        </w:rPr>
        <w:t>.</w:t>
      </w:r>
      <w:r w:rsidRPr="00C5057E">
        <w:rPr>
          <w:rFonts w:ascii="Palatino Linotype" w:hAnsi="Palatino Linotype"/>
        </w:rPr>
        <w:t xml:space="preserve"> </w:t>
      </w:r>
      <w:r w:rsidRPr="00C5057E">
        <w:rPr>
          <w:rFonts w:ascii="Palatino Linotype" w:hAnsi="Palatino Linotype"/>
          <w:b/>
        </w:rPr>
        <w:t>Competencia</w:t>
      </w:r>
      <w:r w:rsidRPr="00C5057E">
        <w:rPr>
          <w:rFonts w:ascii="Palatino Linotype" w:hAnsi="Palatino Linotype"/>
        </w:rPr>
        <w:t>.</w:t>
      </w:r>
      <w:r w:rsidRPr="00C5057E">
        <w:rPr>
          <w:rFonts w:ascii="Palatino Linotype" w:hAnsi="Palatino Linotype"/>
          <w:b/>
        </w:rPr>
        <w:t xml:space="preserve"> </w:t>
      </w:r>
      <w:r w:rsidRPr="00C5057E">
        <w:rPr>
          <w:rFonts w:ascii="Palatino Linotype" w:hAnsi="Palatino Linotype"/>
        </w:rPr>
        <w:t xml:space="preserve">Este Instituto de </w:t>
      </w:r>
      <w:r w:rsidRPr="00C5057E">
        <w:rPr>
          <w:rFonts w:ascii="Palatino Linotype" w:hAnsi="Palatino Linotype" w:cs="Arial"/>
        </w:rPr>
        <w:t>Transparencia</w:t>
      </w:r>
      <w:r w:rsidRPr="00C5057E">
        <w:rPr>
          <w:rFonts w:ascii="Palatino Linotype" w:hAnsi="Palatino Linotype"/>
        </w:rPr>
        <w:t xml:space="preserve">,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w:t>
      </w:r>
      <w:r w:rsidRPr="00C5057E">
        <w:rPr>
          <w:rFonts w:ascii="Palatino Linotype" w:eastAsia="Calibri" w:hAnsi="Palatino Linotype" w:cs="Arial"/>
        </w:rPr>
        <w:t xml:space="preserve">párrafos </w:t>
      </w:r>
      <w:r w:rsidRPr="00C5057E">
        <w:rPr>
          <w:rFonts w:ascii="Palatino Linotype" w:hAnsi="Palatino Linotype"/>
        </w:rPr>
        <w:t xml:space="preserve">vigésimo </w:t>
      </w:r>
      <w:r w:rsidRPr="00C5057E">
        <w:rPr>
          <w:rFonts w:ascii="Palatino Linotype" w:hAnsi="Palatino Linotype" w:cs="Arial"/>
        </w:rPr>
        <w:t>segundo,</w:t>
      </w:r>
      <w:r w:rsidRPr="00C5057E">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w:t>
      </w:r>
      <w:r w:rsidRPr="00C5057E">
        <w:rPr>
          <w:rFonts w:ascii="Palatino Linotype" w:hAnsi="Palatino Linotype"/>
        </w:rPr>
        <w:lastRenderedPageBreak/>
        <w:t>la Ley de Transparencia y Acceso a la Información Pública del Estado de México y Municipios</w:t>
      </w:r>
      <w:r w:rsidRPr="00C5057E">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41B91" w:rsidRPr="00C5057E" w:rsidRDefault="00441B91" w:rsidP="00C36A09">
      <w:pPr>
        <w:spacing w:before="100" w:beforeAutospacing="1" w:after="100" w:afterAutospacing="1" w:line="360" w:lineRule="auto"/>
        <w:jc w:val="both"/>
        <w:rPr>
          <w:rFonts w:ascii="Palatino Linotype" w:hAnsi="Palatino Linotype" w:cs="Arial"/>
          <w:b/>
          <w:snapToGrid w:val="0"/>
        </w:rPr>
      </w:pPr>
      <w:r w:rsidRPr="00C5057E">
        <w:rPr>
          <w:rFonts w:ascii="Palatino Linotype" w:hAnsi="Palatino Linotype" w:cs="Arial"/>
          <w:b/>
          <w:sz w:val="28"/>
        </w:rPr>
        <w:t>SEGUNDO</w:t>
      </w:r>
      <w:r w:rsidRPr="00C5057E">
        <w:rPr>
          <w:rFonts w:ascii="Palatino Linotype" w:hAnsi="Palatino Linotype" w:cs="Arial"/>
          <w:b/>
        </w:rPr>
        <w:t xml:space="preserve">. Interés. </w:t>
      </w:r>
      <w:r>
        <w:rPr>
          <w:rFonts w:ascii="Palatino Linotype" w:hAnsi="Palatino Linotype" w:cs="Arial"/>
          <w:bCs/>
        </w:rPr>
        <w:t xml:space="preserve">El recurso de </w:t>
      </w:r>
      <w:r w:rsidRPr="00C5057E">
        <w:rPr>
          <w:rFonts w:ascii="Palatino Linotype" w:hAnsi="Palatino Linotype" w:cs="Arial"/>
          <w:bCs/>
        </w:rPr>
        <w:t xml:space="preserve">revisión fue interpuesto por parte legítima, en atención a que se presentó por </w:t>
      </w:r>
      <w:r w:rsidRPr="00C5057E">
        <w:rPr>
          <w:rFonts w:ascii="Palatino Linotype" w:hAnsi="Palatino Linotype" w:cs="Arial"/>
          <w:b/>
          <w:bCs/>
        </w:rPr>
        <w:t>EL RECURRENTE,</w:t>
      </w:r>
      <w:r w:rsidRPr="00C5057E">
        <w:rPr>
          <w:rFonts w:ascii="Palatino Linotype" w:hAnsi="Palatino Linotype" w:cs="Arial"/>
          <w:bCs/>
        </w:rPr>
        <w:t xml:space="preserve"> quien es l</w:t>
      </w:r>
      <w:r>
        <w:rPr>
          <w:rFonts w:ascii="Palatino Linotype" w:hAnsi="Palatino Linotype" w:cs="Arial"/>
          <w:bCs/>
        </w:rPr>
        <w:t xml:space="preserve">a misma persona que formuló la </w:t>
      </w:r>
      <w:r w:rsidRPr="00C5057E">
        <w:rPr>
          <w:rFonts w:ascii="Palatino Linotype" w:hAnsi="Palatino Linotype" w:cs="Arial"/>
          <w:bCs/>
        </w:rPr>
        <w:t>solicitud de información pública.</w:t>
      </w:r>
    </w:p>
    <w:p w:rsidR="00C36A09" w:rsidRPr="00C5057E" w:rsidRDefault="00441B91" w:rsidP="00C36A09">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r w:rsidRPr="00C5057E">
        <w:rPr>
          <w:rFonts w:ascii="Palatino Linotype" w:hAnsi="Palatino Linotype" w:cs="Arial"/>
          <w:b/>
          <w:sz w:val="28"/>
          <w:szCs w:val="28"/>
        </w:rPr>
        <w:t xml:space="preserve">TERCERO. </w:t>
      </w:r>
      <w:r w:rsidR="00C36A09" w:rsidRPr="00C5057E">
        <w:rPr>
          <w:rFonts w:ascii="Palatino Linotype" w:hAnsi="Palatino Linotype" w:cs="Arial"/>
          <w:b/>
          <w:sz w:val="28"/>
          <w:szCs w:val="28"/>
        </w:rPr>
        <w:t>O</w:t>
      </w:r>
      <w:r w:rsidR="00C36A09" w:rsidRPr="00C5057E">
        <w:rPr>
          <w:rFonts w:ascii="Palatino Linotype" w:hAnsi="Palatino Linotype" w:cs="Arial"/>
          <w:b/>
        </w:rPr>
        <w:t xml:space="preserve">portunidad. </w:t>
      </w:r>
      <w:r w:rsidR="00C36A09">
        <w:rPr>
          <w:rFonts w:ascii="Palatino Linotype" w:hAnsi="Palatino Linotype" w:cs="Arial"/>
        </w:rPr>
        <w:t xml:space="preserve">El recurso de </w:t>
      </w:r>
      <w:r w:rsidR="00C36A09" w:rsidRPr="00C5057E">
        <w:rPr>
          <w:rFonts w:ascii="Palatino Linotype" w:hAnsi="Palatino Linotype" w:cs="Arial"/>
        </w:rPr>
        <w:t xml:space="preserve">revisión fue interpuesto dentro del plazo de quince días hábiles contados a partir del día siguiente al en que </w:t>
      </w:r>
      <w:r w:rsidR="00C36A09" w:rsidRPr="00C5057E">
        <w:rPr>
          <w:rFonts w:ascii="Palatino Linotype" w:hAnsi="Palatino Linotype" w:cs="Arial"/>
          <w:b/>
        </w:rPr>
        <w:t>L</w:t>
      </w:r>
      <w:r w:rsidR="00C36A09">
        <w:rPr>
          <w:rFonts w:ascii="Palatino Linotype" w:hAnsi="Palatino Linotype" w:cs="Arial"/>
          <w:b/>
        </w:rPr>
        <w:t>A</w:t>
      </w:r>
      <w:r w:rsidR="00C36A09" w:rsidRPr="00C5057E">
        <w:rPr>
          <w:rFonts w:ascii="Palatino Linotype" w:hAnsi="Palatino Linotype" w:cs="Arial"/>
          <w:b/>
        </w:rPr>
        <w:t xml:space="preserve"> RECURRENTE </w:t>
      </w:r>
      <w:r w:rsidR="00C36A09" w:rsidRPr="00C5057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36A09" w:rsidRPr="00C5057E" w:rsidRDefault="00C36A09" w:rsidP="00C36A09">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rsidR="00C36A09" w:rsidRPr="00C5057E" w:rsidRDefault="00C36A09" w:rsidP="00C36A09">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C5057E">
        <w:rPr>
          <w:rFonts w:ascii="Palatino Linotype" w:eastAsiaTheme="minorEastAsia" w:hAnsi="Palatino Linotype" w:cs="Arial"/>
          <w:b/>
          <w:i/>
          <w:sz w:val="22"/>
          <w:szCs w:val="22"/>
          <w:lang w:val="es-ES_tradnl"/>
        </w:rPr>
        <w:t>“Artículo 178.</w:t>
      </w:r>
      <w:r w:rsidRPr="00C5057E">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36A09" w:rsidRPr="00C5057E" w:rsidRDefault="00C36A09" w:rsidP="00C36A09">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C5057E">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36A09" w:rsidRPr="00C5057E" w:rsidRDefault="00C36A09" w:rsidP="00C36A09">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C5057E">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C5057E">
        <w:rPr>
          <w:rFonts w:ascii="Palatino Linotype" w:eastAsiaTheme="minorEastAsia" w:hAnsi="Palatino Linotype" w:cs="Arial"/>
          <w:b/>
          <w:i/>
          <w:sz w:val="22"/>
          <w:szCs w:val="22"/>
          <w:lang w:val="es-ES_tradnl"/>
        </w:rPr>
        <w:t>”</w:t>
      </w:r>
    </w:p>
    <w:p w:rsidR="00C36A09" w:rsidRPr="00C5057E" w:rsidRDefault="00C36A09" w:rsidP="00C36A09">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rsidR="00C36A09" w:rsidRPr="006F0A02" w:rsidRDefault="00C36A09" w:rsidP="00962180">
      <w:pPr>
        <w:spacing w:before="100" w:beforeAutospacing="1" w:after="100" w:afterAutospacing="1" w:line="360" w:lineRule="auto"/>
        <w:contextualSpacing/>
        <w:jc w:val="both"/>
        <w:rPr>
          <w:rFonts w:ascii="Palatino Linotype" w:hAnsi="Palatino Linotype" w:cs="Arial"/>
          <w:color w:val="000000" w:themeColor="text1"/>
        </w:rPr>
      </w:pPr>
      <w:r w:rsidRPr="006F0A02">
        <w:rPr>
          <w:rFonts w:ascii="Palatino Linotype" w:eastAsiaTheme="minorEastAsia" w:hAnsi="Palatino Linotype" w:cs="Arial"/>
          <w:color w:val="000000" w:themeColor="text1"/>
          <w:lang w:val="es-ES_tradnl"/>
        </w:rPr>
        <w:t>En efecto, atendiendo a que</w:t>
      </w:r>
      <w:r w:rsidR="00BF4438">
        <w:rPr>
          <w:rFonts w:ascii="Palatino Linotype" w:eastAsiaTheme="minorEastAsia" w:hAnsi="Palatino Linotype" w:cs="Arial"/>
          <w:color w:val="000000" w:themeColor="text1"/>
          <w:lang w:val="es-ES_tradnl"/>
        </w:rPr>
        <w:t xml:space="preserve"> </w:t>
      </w:r>
      <w:r w:rsidRPr="006F0A02">
        <w:rPr>
          <w:rFonts w:ascii="Palatino Linotype" w:eastAsiaTheme="minorEastAsia" w:hAnsi="Palatino Linotype" w:cs="Arial"/>
          <w:b/>
          <w:color w:val="000000" w:themeColor="text1"/>
          <w:lang w:val="es-ES_tradnl"/>
        </w:rPr>
        <w:t>EL SUJETO OBLIGADO</w:t>
      </w:r>
      <w:r w:rsidRPr="006F0A02">
        <w:rPr>
          <w:rFonts w:ascii="Palatino Linotype" w:eastAsiaTheme="minorEastAsia" w:hAnsi="Palatino Linotype" w:cs="Arial"/>
          <w:color w:val="000000" w:themeColor="text1"/>
          <w:lang w:val="es-ES_tradnl"/>
        </w:rPr>
        <w:t xml:space="preserve"> notificó la respuesta a la solicitud de información pública el </w:t>
      </w:r>
      <w:r w:rsidR="00F20B06" w:rsidRPr="006F0A02">
        <w:rPr>
          <w:rFonts w:ascii="Palatino Linotype" w:eastAsiaTheme="minorEastAsia" w:hAnsi="Palatino Linotype" w:cs="Arial"/>
          <w:b/>
          <w:color w:val="000000" w:themeColor="text1"/>
          <w:lang w:val="es-ES_tradnl"/>
        </w:rPr>
        <w:t xml:space="preserve">dieciséis de abril </w:t>
      </w:r>
      <w:r w:rsidRPr="006F0A02">
        <w:rPr>
          <w:rFonts w:ascii="Palatino Linotype" w:eastAsiaTheme="minorEastAsia" w:hAnsi="Palatino Linotype" w:cs="Arial"/>
          <w:b/>
          <w:color w:val="000000" w:themeColor="text1"/>
          <w:lang w:val="es-ES_tradnl"/>
        </w:rPr>
        <w:t xml:space="preserve">de dos mil veinte; </w:t>
      </w:r>
      <w:r w:rsidR="006F0A02">
        <w:rPr>
          <w:rFonts w:ascii="Palatino Linotype" w:hAnsi="Palatino Linotype" w:cs="Arial"/>
          <w:color w:val="000000" w:themeColor="text1"/>
        </w:rPr>
        <w:t>en</w:t>
      </w:r>
      <w:r w:rsidRPr="006F0A02">
        <w:rPr>
          <w:rFonts w:ascii="Palatino Linotype" w:hAnsi="Palatino Linotype" w:cs="Arial"/>
          <w:color w:val="000000" w:themeColor="text1"/>
        </w:rPr>
        <w:t xml:space="preserve"> </w:t>
      </w:r>
      <w:r w:rsidRPr="006F0A02">
        <w:rPr>
          <w:rFonts w:ascii="Palatino Linotype" w:hAnsi="Palatino Linotype" w:cs="Arial"/>
          <w:color w:val="000000" w:themeColor="text1"/>
        </w:rPr>
        <w:lastRenderedPageBreak/>
        <w:t>consecuencia, el plazo de quince días hábiles que el artículo 178 de la ley de la materia otorga al</w:t>
      </w:r>
      <w:r w:rsidRPr="006F0A02">
        <w:rPr>
          <w:rFonts w:ascii="Palatino Linotype" w:hAnsi="Palatino Linotype" w:cs="Arial"/>
          <w:b/>
          <w:color w:val="000000" w:themeColor="text1"/>
        </w:rPr>
        <w:t xml:space="preserve"> RECURRENTE</w:t>
      </w:r>
      <w:r w:rsidRPr="006F0A02">
        <w:rPr>
          <w:rFonts w:ascii="Palatino Linotype" w:hAnsi="Palatino Linotype" w:cs="Arial"/>
          <w:color w:val="000000" w:themeColor="text1"/>
        </w:rPr>
        <w:t xml:space="preserve"> para presentar el recurso de revisión, transcurrió del</w:t>
      </w:r>
      <w:r w:rsidR="006F0A02">
        <w:rPr>
          <w:rFonts w:ascii="Palatino Linotype" w:hAnsi="Palatino Linotype" w:cs="Arial"/>
          <w:b/>
          <w:color w:val="000000" w:themeColor="text1"/>
        </w:rPr>
        <w:t xml:space="preserve"> diecisiete de abril al trece de mayo </w:t>
      </w:r>
      <w:r w:rsidRPr="006F0A02">
        <w:rPr>
          <w:rFonts w:ascii="Palatino Linotype" w:hAnsi="Palatino Linotype" w:cs="Arial"/>
          <w:b/>
          <w:color w:val="000000" w:themeColor="text1"/>
        </w:rPr>
        <w:t>de dos mil veinte</w:t>
      </w:r>
      <w:r w:rsidRPr="006F0A02">
        <w:rPr>
          <w:rFonts w:ascii="Palatino Linotype" w:hAnsi="Palatino Linotype" w:cs="Arial"/>
          <w:color w:val="000000" w:themeColor="text1"/>
        </w:rPr>
        <w:t xml:space="preserve">, sin contemplar en el cómputo los días </w:t>
      </w:r>
      <w:r w:rsidR="006F0A02">
        <w:rPr>
          <w:rFonts w:ascii="Palatino Linotype" w:hAnsi="Palatino Linotype" w:cs="Arial"/>
          <w:color w:val="000000" w:themeColor="text1"/>
        </w:rPr>
        <w:t xml:space="preserve">dieciocho, diecinueve, veinticinco, veintiséis de abril, dos, tres, nueve y diez de mayo </w:t>
      </w:r>
      <w:r w:rsidRPr="006F0A02">
        <w:rPr>
          <w:rFonts w:ascii="Palatino Linotype" w:hAnsi="Palatino Linotype" w:cs="Arial"/>
          <w:color w:val="000000" w:themeColor="text1"/>
        </w:rPr>
        <w:t xml:space="preserve">de dos mil veinte, por corresponder a sábados y domingos, considerados como días inhábiles, en términos del artículo 3, fracción X de la Ley de Transparencia y Acceso a la Información Pública del Estado de México y Municipios; así como, </w:t>
      </w:r>
      <w:r w:rsidR="00962180">
        <w:rPr>
          <w:rFonts w:ascii="Palatino Linotype" w:hAnsi="Palatino Linotype" w:cs="Arial"/>
          <w:color w:val="000000" w:themeColor="text1"/>
        </w:rPr>
        <w:t xml:space="preserve">los días uno, cuatro y cinco de mayo de dos mil veinte, </w:t>
      </w:r>
      <w:r w:rsidRPr="006F0A02">
        <w:rPr>
          <w:rFonts w:ascii="Palatino Linotype" w:hAnsi="Palatino Linotype"/>
          <w:color w:val="000000" w:themeColor="text1"/>
        </w:rPr>
        <w:t>por ser considerados como día</w:t>
      </w:r>
      <w:r w:rsidR="00962180">
        <w:rPr>
          <w:rFonts w:ascii="Palatino Linotype" w:hAnsi="Palatino Linotype"/>
          <w:color w:val="000000" w:themeColor="text1"/>
        </w:rPr>
        <w:t>s</w:t>
      </w:r>
      <w:r w:rsidRPr="006F0A02">
        <w:rPr>
          <w:rFonts w:ascii="Palatino Linotype" w:hAnsi="Palatino Linotype"/>
          <w:color w:val="000000" w:themeColor="text1"/>
        </w:rPr>
        <w:t xml:space="preserve"> inhábil</w:t>
      </w:r>
      <w:r w:rsidR="00962180">
        <w:rPr>
          <w:rFonts w:ascii="Palatino Linotype" w:hAnsi="Palatino Linotype"/>
          <w:color w:val="000000" w:themeColor="text1"/>
        </w:rPr>
        <w:t>es</w:t>
      </w:r>
      <w:r w:rsidRPr="006F0A02">
        <w:rPr>
          <w:rFonts w:ascii="Palatino Linotype" w:hAnsi="Palatino Linotype"/>
          <w:color w:val="000000" w:themeColor="text1"/>
        </w:rPr>
        <w:t xml:space="preserve"> por suspensión de labores, y los días veinte, veintiuno, veintidós, veintitrés, veinticuatro, veintisiete, veintiocho, veintinueve, treinta y treinta y uno de julio por corresponder al primer periodo vacacional en términos del </w:t>
      </w:r>
      <w:r w:rsidRPr="006F0A02">
        <w:rPr>
          <w:rFonts w:ascii="Palatino Linotype" w:hAnsi="Palatino Linotype" w:cs="Arial"/>
          <w:color w:val="000000" w:themeColor="text1"/>
        </w:rPr>
        <w:t>Calendario Oficial en Materia de Transparencia, Acceso a la Información Pública y Protección de Datos Personales del Estado de México y Municipios, publicado en el Periódico Oficial “Gaceta del Gobierno”, el diecinueve de diciembre de dos mil diecinueve; asimismo, el día nueve de marzo de dos mil veinte, conforme al acuerdo INFOEM/ORD/08/V/2020, aprobado en la Octava Sesión Ordinaria de fecha cinco de marzo de dos mil veinte, por medio del cual el Pleno de este Instituto estableció que no correrían términos para el trámite y desahogo de los procedimientos en materia de acceso a la información y protección de datos personales; y, del veintitrés de marzo al diecisiete de julio de dos mil veinte; por suspensión de plazos, ante la situación de la epidemia de la enfermedad generada por el virus SARS-CoV-2 (COVID-19), que originó la emergencia sanitaria por causa de fuerza mayor y medidas de seguridad.</w:t>
      </w:r>
      <w:r w:rsidRPr="00C5057E">
        <w:rPr>
          <w:rFonts w:ascii="Palatino Linotype" w:hAnsi="Palatino Linotype" w:cs="Arial"/>
          <w:color w:val="000000" w:themeColor="text1"/>
        </w:rPr>
        <w:t xml:space="preserve"> </w:t>
      </w:r>
    </w:p>
    <w:p w:rsidR="00BF4438" w:rsidRDefault="00BF4438" w:rsidP="00962180">
      <w:pPr>
        <w:spacing w:before="100" w:beforeAutospacing="1" w:after="100" w:afterAutospacing="1" w:line="360" w:lineRule="auto"/>
        <w:jc w:val="both"/>
        <w:rPr>
          <w:rFonts w:ascii="Palatino Linotype" w:eastAsiaTheme="minorEastAsia" w:hAnsi="Palatino Linotype" w:cs="Arial"/>
          <w:lang w:val="es-ES_tradnl"/>
        </w:rPr>
      </w:pPr>
    </w:p>
    <w:p w:rsidR="00C36A09" w:rsidRPr="00C5057E" w:rsidRDefault="00C36A09" w:rsidP="00962180">
      <w:pPr>
        <w:spacing w:before="100" w:beforeAutospacing="1" w:after="100" w:afterAutospacing="1" w:line="360" w:lineRule="auto"/>
        <w:jc w:val="both"/>
        <w:rPr>
          <w:rFonts w:ascii="Palatino Linotype" w:eastAsiaTheme="minorEastAsia" w:hAnsi="Palatino Linotype" w:cs="Arial"/>
          <w:lang w:val="es-ES_tradnl"/>
        </w:rPr>
      </w:pPr>
      <w:r w:rsidRPr="00C5057E">
        <w:rPr>
          <w:rFonts w:ascii="Palatino Linotype" w:eastAsiaTheme="minorEastAsia" w:hAnsi="Palatino Linotype" w:cs="Arial"/>
          <w:lang w:val="es-ES_tradnl"/>
        </w:rPr>
        <w:lastRenderedPageBreak/>
        <w:t>En ese tenor, si el recurso de revisión que nos ocupa, se interpuso el</w:t>
      </w:r>
      <w:r w:rsidR="00962180">
        <w:rPr>
          <w:rFonts w:ascii="Palatino Linotype" w:eastAsiaTheme="minorEastAsia" w:hAnsi="Palatino Linotype" w:cs="Arial"/>
          <w:b/>
          <w:lang w:val="es-ES_tradnl"/>
        </w:rPr>
        <w:t xml:space="preserve"> doce de agosto de</w:t>
      </w:r>
      <w:r w:rsidRPr="00C5057E">
        <w:rPr>
          <w:rFonts w:ascii="Palatino Linotype" w:eastAsiaTheme="minorEastAsia" w:hAnsi="Palatino Linotype" w:cs="Arial"/>
          <w:b/>
          <w:lang w:val="es-ES_tradnl"/>
        </w:rPr>
        <w:t xml:space="preserve"> dos mil veinte,</w:t>
      </w:r>
      <w:r w:rsidRPr="00C5057E">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F20B06" w:rsidRPr="00C5057E" w:rsidRDefault="00441B91" w:rsidP="00F20B06">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lang w:val="es-ES"/>
        </w:rPr>
      </w:pPr>
      <w:r w:rsidRPr="00C5057E">
        <w:rPr>
          <w:rFonts w:ascii="Palatino Linotype" w:hAnsi="Palatino Linotype" w:cs="Arial"/>
          <w:b/>
          <w:sz w:val="28"/>
          <w:szCs w:val="28"/>
        </w:rPr>
        <w:t xml:space="preserve">CUARTO. </w:t>
      </w:r>
      <w:r w:rsidR="00F20B06" w:rsidRPr="00C5057E">
        <w:rPr>
          <w:rFonts w:ascii="Palatino Linotype" w:hAnsi="Palatino Linotype" w:cs="Arial"/>
          <w:b/>
          <w:szCs w:val="28"/>
        </w:rPr>
        <w:t xml:space="preserve">Procedibilidad. </w:t>
      </w:r>
      <w:r w:rsidR="00F20B06" w:rsidRPr="00C5057E">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F20B06" w:rsidRPr="00C5057E">
        <w:rPr>
          <w:rFonts w:ascii="Palatino Linotype" w:hAnsi="Palatino Linotype" w:cs="Arial"/>
          <w:b/>
          <w:szCs w:val="28"/>
        </w:rPr>
        <w:t>SAIMEX.</w:t>
      </w:r>
    </w:p>
    <w:p w:rsidR="009B19AA" w:rsidRPr="008A72D9" w:rsidRDefault="00441B91" w:rsidP="009B19AA">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C5057E">
        <w:rPr>
          <w:rFonts w:ascii="Palatino Linotype" w:hAnsi="Palatino Linotype"/>
          <w:b/>
          <w:sz w:val="28"/>
          <w:szCs w:val="20"/>
          <w:lang w:val="es-ES_tradnl"/>
        </w:rPr>
        <w:t xml:space="preserve">QUINTO. </w:t>
      </w:r>
      <w:r w:rsidR="00BF4438">
        <w:rPr>
          <w:rFonts w:ascii="Palatino Linotype" w:hAnsi="Palatino Linotype" w:cs="Arial"/>
          <w:b/>
        </w:rPr>
        <w:t>Análisis de la causal de sobreseimiento</w:t>
      </w:r>
      <w:r w:rsidRPr="00543354">
        <w:rPr>
          <w:rFonts w:ascii="Palatino Linotype" w:hAnsi="Palatino Linotype" w:cs="Arial"/>
          <w:b/>
        </w:rPr>
        <w:t>.</w:t>
      </w:r>
      <w:r w:rsidRPr="00543354">
        <w:rPr>
          <w:rFonts w:ascii="Palatino Linotype" w:hAnsi="Palatino Linotype" w:cs="Arial"/>
        </w:rPr>
        <w:t xml:space="preserve"> </w:t>
      </w:r>
      <w:r w:rsidR="009B19AA" w:rsidRPr="008A72D9">
        <w:rPr>
          <w:rFonts w:ascii="Palatino Linotype" w:hAnsi="Palatino Linotype" w:cs="Arial"/>
          <w:color w:val="000000" w:themeColor="text1"/>
        </w:rPr>
        <w:t xml:space="preserve">A efecto de continuar con el presente estudio y previo análisis de las constancias que integran el expediente electrónico, se advierte que </w:t>
      </w:r>
      <w:r w:rsidR="009B19AA" w:rsidRPr="008A72D9">
        <w:rPr>
          <w:rFonts w:ascii="Palatino Linotype" w:hAnsi="Palatino Linotype" w:cs="Arial"/>
          <w:b/>
        </w:rPr>
        <w:t>L</w:t>
      </w:r>
      <w:r w:rsidR="009B19AA">
        <w:rPr>
          <w:rFonts w:ascii="Palatino Linotype" w:hAnsi="Palatino Linotype" w:cs="Arial"/>
          <w:b/>
        </w:rPr>
        <w:t>A</w:t>
      </w:r>
      <w:r w:rsidR="009B19AA" w:rsidRPr="008A72D9">
        <w:rPr>
          <w:rFonts w:ascii="Palatino Linotype" w:hAnsi="Palatino Linotype" w:cs="Arial"/>
          <w:b/>
        </w:rPr>
        <w:t xml:space="preserve"> RECURRENTE</w:t>
      </w:r>
      <w:r w:rsidR="009B19AA" w:rsidRPr="008A72D9">
        <w:rPr>
          <w:rFonts w:ascii="Palatino Linotype" w:hAnsi="Palatino Linotype"/>
          <w:color w:val="000000"/>
        </w:rPr>
        <w:t xml:space="preserve"> solicitó </w:t>
      </w:r>
      <w:r w:rsidR="009B19AA" w:rsidRPr="008A72D9">
        <w:rPr>
          <w:rFonts w:ascii="Palatino Linotype" w:hAnsi="Palatino Linotype" w:cs="Arial"/>
        </w:rPr>
        <w:t>del</w:t>
      </w:r>
      <w:r w:rsidR="009B19AA" w:rsidRPr="008A72D9">
        <w:rPr>
          <w:rFonts w:ascii="Palatino Linotype" w:hAnsi="Palatino Linotype"/>
          <w:color w:val="000000"/>
        </w:rPr>
        <w:t xml:space="preserve"> </w:t>
      </w:r>
      <w:r w:rsidR="009B19AA" w:rsidRPr="008A72D9">
        <w:rPr>
          <w:rFonts w:ascii="Palatino Linotype" w:hAnsi="Palatino Linotype" w:cs="Arial"/>
          <w:b/>
          <w:color w:val="000000"/>
        </w:rPr>
        <w:t>SUJETO OBLIGADO</w:t>
      </w:r>
      <w:r w:rsidR="009B19AA" w:rsidRPr="008A72D9">
        <w:rPr>
          <w:rFonts w:ascii="Palatino Linotype" w:hAnsi="Palatino Linotype" w:cs="Arial"/>
        </w:rPr>
        <w:t xml:space="preserve">, </w:t>
      </w:r>
      <w:r w:rsidR="009B19AA" w:rsidRPr="008A72D9">
        <w:rPr>
          <w:rFonts w:ascii="Palatino Linotype" w:hAnsi="Palatino Linotype"/>
        </w:rPr>
        <w:t xml:space="preserve">vía </w:t>
      </w:r>
      <w:r w:rsidR="009B19AA" w:rsidRPr="008A72D9">
        <w:rPr>
          <w:rFonts w:ascii="Palatino Linotype" w:hAnsi="Palatino Linotype"/>
          <w:b/>
        </w:rPr>
        <w:t>EL</w:t>
      </w:r>
      <w:r w:rsidR="009B19AA" w:rsidRPr="008A72D9">
        <w:rPr>
          <w:rFonts w:ascii="Palatino Linotype" w:hAnsi="Palatino Linotype"/>
        </w:rPr>
        <w:t xml:space="preserve"> </w:t>
      </w:r>
      <w:r w:rsidR="009B19AA" w:rsidRPr="008A72D9">
        <w:rPr>
          <w:rFonts w:ascii="Palatino Linotype" w:hAnsi="Palatino Linotype"/>
          <w:b/>
        </w:rPr>
        <w:t>SAIMEX</w:t>
      </w:r>
      <w:r w:rsidR="009B19AA" w:rsidRPr="008A72D9">
        <w:rPr>
          <w:rFonts w:ascii="Palatino Linotype" w:hAnsi="Palatino Linotype"/>
        </w:rPr>
        <w:t>,</w:t>
      </w:r>
      <w:r w:rsidR="009B19AA" w:rsidRPr="008A72D9">
        <w:rPr>
          <w:rFonts w:ascii="Palatino Linotype" w:hAnsi="Palatino Linotype" w:cs="Arial"/>
        </w:rPr>
        <w:t xml:space="preserve"> la siguiente información:</w:t>
      </w:r>
    </w:p>
    <w:p w:rsidR="009B19AA" w:rsidRPr="00C5057E" w:rsidRDefault="009B19AA" w:rsidP="009B19AA">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C5057E">
        <w:rPr>
          <w:rFonts w:ascii="Palatino Linotype" w:hAnsi="Palatino Linotype" w:cs="Arial"/>
          <w:i/>
          <w:sz w:val="22"/>
          <w:szCs w:val="22"/>
        </w:rPr>
        <w:t>“</w:t>
      </w:r>
      <w:r w:rsidRPr="00931B53">
        <w:rPr>
          <w:rFonts w:ascii="Palatino Linotype" w:hAnsi="Palatino Linotype" w:cs="Arial"/>
          <w:i/>
          <w:sz w:val="22"/>
          <w:szCs w:val="22"/>
        </w:rPr>
        <w:t xml:space="preserve">SOLICITO TODA LA INFORMACIÓN PUBLICA SOBRE LOS APOYOS, PROGRAMAS SOCIALES Y/O SIMILARES O ANÁLOGOS QUE RECIBEN LOS CC. </w:t>
      </w:r>
      <w:r w:rsidR="00F81130">
        <w:rPr>
          <w:rFonts w:ascii="Palatino Linotype" w:hAnsi="Palatino Linotype" w:cs="Arial"/>
          <w:i/>
          <w:sz w:val="22"/>
          <w:szCs w:val="22"/>
        </w:rPr>
        <w:t>XXXXXXXXXXXXXXXXXXXX</w:t>
      </w:r>
      <w:r w:rsidRPr="003A3143">
        <w:rPr>
          <w:rFonts w:ascii="Palatino Linotype" w:hAnsi="Palatino Linotype" w:cs="Arial"/>
          <w:i/>
          <w:sz w:val="22"/>
          <w:szCs w:val="22"/>
        </w:rPr>
        <w:t>.</w:t>
      </w:r>
      <w:r w:rsidRPr="00C5057E">
        <w:rPr>
          <w:rFonts w:ascii="Palatino Linotype" w:hAnsi="Palatino Linotype" w:cs="Arial"/>
          <w:i/>
          <w:sz w:val="22"/>
          <w:szCs w:val="22"/>
        </w:rPr>
        <w:t>” (Sic)</w:t>
      </w:r>
    </w:p>
    <w:p w:rsidR="009B19AA" w:rsidRDefault="009B19AA" w:rsidP="009B19AA">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8A72D9">
        <w:rPr>
          <w:rFonts w:ascii="Palatino Linotype" w:hAnsi="Palatino Linotype" w:cs="Arial"/>
        </w:rPr>
        <w:t xml:space="preserve">Se destaca que, </w:t>
      </w:r>
      <w:r w:rsidRPr="008A72D9">
        <w:rPr>
          <w:rFonts w:ascii="Palatino Linotype" w:hAnsi="Palatino Linotype" w:cs="Arial"/>
          <w:b/>
        </w:rPr>
        <w:t xml:space="preserve">EL SUJETO OBLIGADO </w:t>
      </w:r>
      <w:r w:rsidRPr="008A72D9">
        <w:rPr>
          <w:rFonts w:ascii="Palatino Linotype" w:hAnsi="Palatino Linotype" w:cs="Arial"/>
        </w:rPr>
        <w:t>dio respuesta a la solicitud de a</w:t>
      </w:r>
      <w:r>
        <w:rPr>
          <w:rFonts w:ascii="Palatino Linotype" w:hAnsi="Palatino Linotype" w:cs="Arial"/>
        </w:rPr>
        <w:t>cceso a la información pública, en los siguientes términos:</w:t>
      </w:r>
    </w:p>
    <w:p w:rsidR="009B19AA" w:rsidRDefault="009B19AA" w:rsidP="009B19AA">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585668">
        <w:rPr>
          <w:rFonts w:ascii="Palatino Linotype" w:hAnsi="Palatino Linotype"/>
          <w:i/>
          <w:color w:val="000000"/>
          <w:sz w:val="22"/>
          <w:szCs w:val="22"/>
        </w:rPr>
        <w:t>“</w:t>
      </w:r>
      <w:r w:rsidRPr="00823FB1">
        <w:rPr>
          <w:rFonts w:ascii="Palatino Linotype" w:hAnsi="Palatino Linotype" w:cs="Arial"/>
          <w:i/>
          <w:sz w:val="22"/>
          <w:szCs w:val="22"/>
        </w:rPr>
        <w:t xml:space="preserve">Con fundamento en los artículos 4, 7, 23 fracción lV, 53 fracciones ll, lV y V de la Ley de Transparencia y Acceso a la Información Pública del Estado de México y Municipios, y en atención a su solicitud 00298/TOLUCA/IP/2020 mediante la cual requiere: SOLICITO TODA LA INFORMACIÓN PUBLICA SOBRE LOS APOYOS, PROGRAMAS SOCIALES Y/O SIMILARES O ANÁLOGOS QUE RECIBEN LOS CC. </w:t>
      </w:r>
      <w:r w:rsidR="00F81130">
        <w:rPr>
          <w:rFonts w:ascii="Palatino Linotype" w:hAnsi="Palatino Linotype" w:cs="Arial"/>
          <w:i/>
          <w:sz w:val="22"/>
          <w:szCs w:val="22"/>
        </w:rPr>
        <w:t>XXXXXXXXXXXXXXXXXXXXXXXXXX</w:t>
      </w:r>
      <w:r w:rsidRPr="00823FB1">
        <w:rPr>
          <w:rFonts w:ascii="Palatino Linotype" w:hAnsi="Palatino Linotype" w:cs="Arial"/>
          <w:i/>
          <w:sz w:val="22"/>
          <w:szCs w:val="22"/>
        </w:rPr>
        <w:t xml:space="preserve"> “” Sic Al respecto, se adjunta respuesta. Sin más por el momento reciba un cordial saludo</w:t>
      </w:r>
      <w:r>
        <w:rPr>
          <w:rFonts w:ascii="Palatino Linotype" w:hAnsi="Palatino Linotype" w:cs="Arial"/>
          <w:i/>
          <w:sz w:val="22"/>
          <w:szCs w:val="22"/>
        </w:rPr>
        <w:t>.” (Sic)</w:t>
      </w:r>
    </w:p>
    <w:p w:rsidR="009B19AA" w:rsidRDefault="009B19AA" w:rsidP="009B19AA">
      <w:pPr>
        <w:tabs>
          <w:tab w:val="left" w:pos="851"/>
        </w:tabs>
        <w:spacing w:before="100" w:beforeAutospacing="1" w:after="100" w:afterAutospacing="1"/>
        <w:ind w:right="901"/>
        <w:contextualSpacing/>
        <w:jc w:val="both"/>
        <w:rPr>
          <w:rFonts w:ascii="Palatino Linotype" w:hAnsi="Palatino Linotype" w:cs="Arial"/>
          <w:i/>
          <w:sz w:val="22"/>
          <w:szCs w:val="22"/>
        </w:rPr>
      </w:pPr>
    </w:p>
    <w:p w:rsidR="009B19AA" w:rsidRDefault="009B19AA" w:rsidP="009B19AA">
      <w:pPr>
        <w:spacing w:before="100" w:beforeAutospacing="1" w:after="100" w:afterAutospacing="1" w:line="360" w:lineRule="auto"/>
        <w:contextualSpacing/>
        <w:jc w:val="both"/>
        <w:rPr>
          <w:rFonts w:ascii="Palatino Linotype" w:hAnsi="Palatino Linotype" w:cs="Arial"/>
          <w:lang w:val="es-ES_tradnl"/>
        </w:rPr>
      </w:pPr>
      <w:r w:rsidRPr="00D60CC8">
        <w:rPr>
          <w:rFonts w:ascii="Palatino Linotype" w:hAnsi="Palatino Linotype" w:cs="Arial"/>
          <w:lang w:val="es-ES_tradnl"/>
        </w:rPr>
        <w:t xml:space="preserve">Adjuntando a la misma </w:t>
      </w:r>
      <w:r>
        <w:rPr>
          <w:rFonts w:ascii="Palatino Linotype" w:hAnsi="Palatino Linotype" w:cs="Arial"/>
          <w:lang w:val="es-ES_tradnl"/>
        </w:rPr>
        <w:t xml:space="preserve">el archivo electrónico denominado </w:t>
      </w:r>
      <w:hyperlink r:id="rId11" w:tgtFrame="_blank" w:history="1">
        <w:r w:rsidRPr="00823FB1">
          <w:rPr>
            <w:rFonts w:ascii="Palatino Linotype" w:hAnsi="Palatino Linotype"/>
            <w:b/>
            <w:lang w:val="es-ES_tradnl"/>
          </w:rPr>
          <w:t>SAIMEX 298_Programas.pdf</w:t>
        </w:r>
      </w:hyperlink>
      <w:r>
        <w:rPr>
          <w:rFonts w:ascii="Palatino Linotype" w:hAnsi="Palatino Linotype" w:cs="Arial"/>
          <w:b/>
          <w:lang w:val="es-ES_tradnl"/>
        </w:rPr>
        <w:t xml:space="preserve">, </w:t>
      </w:r>
      <w:r>
        <w:rPr>
          <w:rFonts w:ascii="Palatino Linotype" w:hAnsi="Palatino Linotype" w:cs="Arial"/>
          <w:lang w:val="es-ES_tradnl"/>
        </w:rPr>
        <w:t>mediante el cual se adjuntó el oficio número 211011000/191/2020, signado por el Director de Programas Sociales y Apoyo a la Educación mediante el cual informó que en el área a su cargo no se cuenta con la información solicitada.</w:t>
      </w:r>
    </w:p>
    <w:p w:rsidR="009B19AA" w:rsidRPr="009B19AA" w:rsidRDefault="009B19AA" w:rsidP="009B19AA">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Pr>
          <w:rFonts w:ascii="Palatino Linotype" w:hAnsi="Palatino Linotype" w:cs="Arial"/>
        </w:rPr>
        <w:t xml:space="preserve">Derivado de la respuesta otorgada por </w:t>
      </w:r>
      <w:r>
        <w:rPr>
          <w:rFonts w:ascii="Palatino Linotype" w:hAnsi="Palatino Linotype" w:cs="Arial"/>
          <w:b/>
        </w:rPr>
        <w:t xml:space="preserve">EL SUJETO OBLIGADO </w:t>
      </w:r>
      <w:r>
        <w:rPr>
          <w:rFonts w:ascii="Palatino Linotype" w:hAnsi="Palatino Linotype" w:cs="Arial"/>
        </w:rPr>
        <w:t xml:space="preserve">fue que </w:t>
      </w:r>
      <w:r>
        <w:rPr>
          <w:rFonts w:ascii="Palatino Linotype" w:hAnsi="Palatino Linotype" w:cs="Arial"/>
          <w:b/>
        </w:rPr>
        <w:t xml:space="preserve">LA RECURRENTE </w:t>
      </w:r>
      <w:r w:rsidR="000A6EE8">
        <w:rPr>
          <w:rFonts w:ascii="Palatino Linotype" w:hAnsi="Palatino Linotype" w:cs="Arial"/>
        </w:rPr>
        <w:t>presentó el recurso de revisión que nos ocupa.</w:t>
      </w:r>
    </w:p>
    <w:p w:rsidR="009B19AA" w:rsidRDefault="009B19AA" w:rsidP="009B19AA">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r w:rsidRPr="008A72D9">
        <w:rPr>
          <w:rFonts w:ascii="Palatino Linotype" w:hAnsi="Palatino Linotype" w:cs="Arial"/>
        </w:rPr>
        <w:t xml:space="preserve">Ulteriormente, </w:t>
      </w:r>
      <w:r w:rsidR="000A6EE8">
        <w:rPr>
          <w:rFonts w:ascii="Palatino Linotype" w:hAnsi="Palatino Linotype" w:cs="Arial"/>
          <w:b/>
        </w:rPr>
        <w:t>LA</w:t>
      </w:r>
      <w:r w:rsidRPr="008A72D9">
        <w:rPr>
          <w:rFonts w:ascii="Palatino Linotype" w:hAnsi="Palatino Linotype" w:cs="Arial"/>
          <w:b/>
        </w:rPr>
        <w:t xml:space="preserve"> RECURRENTE</w:t>
      </w:r>
      <w:r w:rsidRPr="008A72D9">
        <w:rPr>
          <w:rFonts w:ascii="Palatino Linotype" w:hAnsi="Palatino Linotype" w:cs="Arial"/>
        </w:rPr>
        <w:t xml:space="preserve"> </w:t>
      </w:r>
      <w:r w:rsidRPr="008A72D9">
        <w:rPr>
          <w:rFonts w:ascii="Palatino Linotype" w:hAnsi="Palatino Linotype"/>
        </w:rPr>
        <w:t>presentó</w:t>
      </w:r>
      <w:r w:rsidRPr="008A72D9">
        <w:rPr>
          <w:rFonts w:ascii="Palatino Linotype" w:hAnsi="Palatino Linotype" w:cs="Arial"/>
          <w:color w:val="000000"/>
          <w:lang w:eastAsia="es-MX"/>
        </w:rPr>
        <w:t xml:space="preserve"> su desistimiento con respecto a la acción en el presente recurso de revisión</w:t>
      </w:r>
      <w:r>
        <w:rPr>
          <w:rFonts w:ascii="Palatino Linotype" w:hAnsi="Palatino Linotype" w:cs="Arial"/>
          <w:color w:val="000000"/>
          <w:lang w:eastAsia="es-MX"/>
        </w:rPr>
        <w:t xml:space="preserve"> como se muestra a continuación:</w:t>
      </w:r>
    </w:p>
    <w:p w:rsidR="000A6EE8" w:rsidRDefault="00F81130" w:rsidP="000A6EE8">
      <w:pPr>
        <w:pStyle w:val="Prrafodelista"/>
        <w:widowControl w:val="0"/>
        <w:tabs>
          <w:tab w:val="left" w:pos="1701"/>
          <w:tab w:val="left" w:pos="1843"/>
        </w:tabs>
        <w:autoSpaceDE w:val="0"/>
        <w:autoSpaceDN w:val="0"/>
        <w:adjustRightInd w:val="0"/>
        <w:spacing w:before="200" w:after="200" w:line="360" w:lineRule="auto"/>
        <w:ind w:left="0"/>
        <w:jc w:val="center"/>
        <w:rPr>
          <w:rFonts w:ascii="Palatino Linotype" w:hAnsi="Palatino Linotype" w:cs="Arial"/>
          <w:color w:val="000000"/>
          <w:lang w:eastAsia="es-MX"/>
        </w:rPr>
      </w:pPr>
      <w:bookmarkStart w:id="1" w:name="_GoBack"/>
      <w:bookmarkEnd w:id="1"/>
      <w:r>
        <w:rPr>
          <w:noProof/>
          <w:lang w:eastAsia="es-MX"/>
        </w:rPr>
        <w:drawing>
          <wp:inline distT="0" distB="0" distL="0" distR="0" wp14:anchorId="5A322904" wp14:editId="06A69FB4">
            <wp:extent cx="5313050" cy="313090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735" t="26734" r="20680" b="13956"/>
                    <a:stretch/>
                  </pic:blipFill>
                  <pic:spPr bwMode="auto">
                    <a:xfrm>
                      <a:off x="0" y="0"/>
                      <a:ext cx="5325619" cy="3138312"/>
                    </a:xfrm>
                    <a:prstGeom prst="rect">
                      <a:avLst/>
                    </a:prstGeom>
                    <a:ln>
                      <a:noFill/>
                    </a:ln>
                    <a:extLst>
                      <a:ext uri="{53640926-AAD7-44D8-BBD7-CCE9431645EC}">
                        <a14:shadowObscured xmlns:a14="http://schemas.microsoft.com/office/drawing/2010/main"/>
                      </a:ext>
                    </a:extLst>
                  </pic:spPr>
                </pic:pic>
              </a:graphicData>
            </a:graphic>
          </wp:inline>
        </w:drawing>
      </w:r>
    </w:p>
    <w:p w:rsidR="009B19AA" w:rsidRPr="008A72D9" w:rsidRDefault="00483BDB" w:rsidP="000A6EE8">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Pr>
          <w:noProof/>
          <w:lang w:eastAsia="es-MX"/>
        </w:rPr>
        <w:pict>
          <v:rect id="Rectángulo 8" o:spid="_x0000_s1027" style="position:absolute;left:0;text-align:left;margin-left:0;margin-top:265.7pt;width:471pt;height:29.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" filled="f" strokecolor="red" strokeweight="3pt">
            <w10:wrap anchorx="margin"/>
          </v:rect>
        </w:pict>
      </w:r>
      <w:r w:rsidR="009B19AA" w:rsidRPr="008A72D9">
        <w:rPr>
          <w:rFonts w:ascii="Palatino Linotype" w:hAnsi="Palatino Linotype" w:cs="Arial"/>
          <w:color w:val="000000"/>
          <w:lang w:eastAsia="es-MX"/>
        </w:rPr>
        <w:t xml:space="preserve">Precisado lo anterior, debe señalarse que </w:t>
      </w:r>
      <w:r w:rsidR="009B19AA" w:rsidRPr="008A72D9">
        <w:rPr>
          <w:rFonts w:ascii="Palatino Linotype" w:eastAsia="Arial Unicode MS" w:hAnsi="Palatino Linotype" w:cs="Arial"/>
          <w:color w:val="000000"/>
          <w:lang w:eastAsia="es-MX"/>
        </w:rPr>
        <w:t xml:space="preserve">el desistimiento en el procedimiento de revisión, sólo puede ser activado por </w:t>
      </w:r>
      <w:r w:rsidR="009B19AA" w:rsidRPr="008A72D9">
        <w:rPr>
          <w:rFonts w:ascii="Palatino Linotype" w:hAnsi="Palatino Linotype" w:cs="Arial"/>
          <w:b/>
        </w:rPr>
        <w:t>L</w:t>
      </w:r>
      <w:r w:rsidR="000A6EE8">
        <w:rPr>
          <w:rFonts w:ascii="Palatino Linotype" w:hAnsi="Palatino Linotype" w:cs="Arial"/>
          <w:b/>
        </w:rPr>
        <w:t>A</w:t>
      </w:r>
      <w:r w:rsidR="009B19AA" w:rsidRPr="008A72D9">
        <w:rPr>
          <w:rFonts w:ascii="Palatino Linotype" w:hAnsi="Palatino Linotype" w:cs="Arial"/>
          <w:b/>
        </w:rPr>
        <w:t xml:space="preserve"> RECURRENTE</w:t>
      </w:r>
      <w:r w:rsidR="009B19AA" w:rsidRPr="008A72D9">
        <w:rPr>
          <w:rFonts w:ascii="Palatino Linotype" w:eastAsia="Arial Unicode MS" w:hAnsi="Palatino Linotype" w:cs="Arial"/>
          <w:color w:val="000000"/>
          <w:lang w:eastAsia="es-MX"/>
        </w:rPr>
        <w:t xml:space="preserve"> mediante el ingreso al </w:t>
      </w:r>
      <w:r w:rsidR="009B19AA" w:rsidRPr="008A72D9">
        <w:rPr>
          <w:rFonts w:ascii="Palatino Linotype" w:hAnsi="Palatino Linotype" w:cs="Arial"/>
          <w:b/>
        </w:rPr>
        <w:t>SAIMEX</w:t>
      </w:r>
      <w:r w:rsidR="009B19AA" w:rsidRPr="008A72D9">
        <w:rPr>
          <w:rFonts w:ascii="Palatino Linotype" w:hAnsi="Palatino Linotype"/>
        </w:rPr>
        <w:t xml:space="preserve">, utilizando </w:t>
      </w:r>
      <w:r w:rsidR="009B19AA" w:rsidRPr="008A72D9">
        <w:rPr>
          <w:rFonts w:ascii="Palatino Linotype" w:eastAsia="Arial Unicode MS" w:hAnsi="Palatino Linotype" w:cs="Arial"/>
          <w:color w:val="000000"/>
          <w:lang w:eastAsia="es-MX"/>
        </w:rPr>
        <w:t xml:space="preserve">su clave de usuario y contraseña; por lo que, no existe duda de </w:t>
      </w:r>
      <w:r w:rsidR="009B19AA" w:rsidRPr="008A72D9">
        <w:rPr>
          <w:rFonts w:ascii="Palatino Linotype" w:eastAsia="Arial Unicode MS" w:hAnsi="Palatino Linotype" w:cs="Arial"/>
          <w:color w:val="000000"/>
          <w:lang w:eastAsia="es-MX"/>
        </w:rPr>
        <w:lastRenderedPageBreak/>
        <w:t xml:space="preserve">que </w:t>
      </w:r>
      <w:r w:rsidR="009B19AA" w:rsidRPr="008A72D9">
        <w:rPr>
          <w:rFonts w:ascii="Palatino Linotype" w:hAnsi="Palatino Linotype" w:cs="Arial"/>
          <w:lang w:val="es-ES_tradnl"/>
        </w:rPr>
        <w:t>se</w:t>
      </w:r>
      <w:r w:rsidR="009B19AA" w:rsidRPr="008A72D9">
        <w:rPr>
          <w:rFonts w:ascii="Palatino Linotype" w:eastAsia="Arial Unicode MS" w:hAnsi="Palatino Linotype" w:cs="Arial"/>
          <w:color w:val="000000"/>
          <w:lang w:eastAsia="es-MX"/>
        </w:rPr>
        <w:t xml:space="preserve"> </w:t>
      </w:r>
      <w:r w:rsidR="009B19AA" w:rsidRPr="008A72D9">
        <w:rPr>
          <w:rFonts w:ascii="Palatino Linotype" w:hAnsi="Palatino Linotype"/>
        </w:rPr>
        <w:t>trata</w:t>
      </w:r>
      <w:r w:rsidR="009B19AA" w:rsidRPr="008A72D9">
        <w:rPr>
          <w:rFonts w:ascii="Palatino Linotype" w:eastAsia="Arial Unicode MS" w:hAnsi="Palatino Linotype" w:cs="Arial"/>
          <w:color w:val="000000"/>
          <w:lang w:eastAsia="es-MX"/>
        </w:rPr>
        <w:t xml:space="preserve"> de un </w:t>
      </w:r>
      <w:r w:rsidR="009B19AA" w:rsidRPr="008A72D9">
        <w:rPr>
          <w:rFonts w:ascii="Palatino Linotype" w:eastAsia="Arial Unicode MS" w:hAnsi="Palatino Linotype" w:cs="Arial"/>
          <w:b/>
          <w:color w:val="000000"/>
          <w:lang w:eastAsia="es-MX"/>
        </w:rPr>
        <w:t>desistimiento expreso</w:t>
      </w:r>
      <w:r w:rsidR="009B19AA" w:rsidRPr="008A72D9">
        <w:rPr>
          <w:rFonts w:ascii="Palatino Linotype" w:eastAsia="Arial Unicode MS" w:hAnsi="Palatino Linotype" w:cs="Arial"/>
          <w:color w:val="000000"/>
          <w:lang w:eastAsia="es-MX"/>
        </w:rPr>
        <w:t xml:space="preserve"> por parte de</w:t>
      </w:r>
      <w:r w:rsidR="000A6EE8">
        <w:rPr>
          <w:rFonts w:ascii="Palatino Linotype" w:eastAsia="Arial Unicode MS" w:hAnsi="Palatino Linotype" w:cs="Arial"/>
          <w:color w:val="000000"/>
          <w:lang w:eastAsia="es-MX"/>
        </w:rPr>
        <w:t xml:space="preserve"> </w:t>
      </w:r>
      <w:r w:rsidR="009B19AA" w:rsidRPr="008A72D9">
        <w:rPr>
          <w:rFonts w:ascii="Palatino Linotype" w:eastAsia="Arial Unicode MS" w:hAnsi="Palatino Linotype" w:cs="Arial"/>
          <w:color w:val="000000"/>
          <w:lang w:eastAsia="es-MX"/>
        </w:rPr>
        <w:t>l</w:t>
      </w:r>
      <w:r w:rsidR="000A6EE8">
        <w:rPr>
          <w:rFonts w:ascii="Palatino Linotype" w:eastAsia="Arial Unicode MS" w:hAnsi="Palatino Linotype" w:cs="Arial"/>
          <w:color w:val="000000"/>
          <w:lang w:eastAsia="es-MX"/>
        </w:rPr>
        <w:t>a hoy</w:t>
      </w:r>
      <w:r w:rsidR="009B19AA" w:rsidRPr="008A72D9">
        <w:rPr>
          <w:rFonts w:ascii="Palatino Linotype" w:eastAsia="Arial Unicode MS" w:hAnsi="Palatino Linotype" w:cs="Arial"/>
          <w:color w:val="000000"/>
          <w:lang w:eastAsia="es-MX"/>
        </w:rPr>
        <w:t xml:space="preserve"> </w:t>
      </w:r>
      <w:r w:rsidR="009B19AA" w:rsidRPr="008A72D9">
        <w:rPr>
          <w:rFonts w:ascii="Palatino Linotype" w:hAnsi="Palatino Linotype" w:cs="Arial"/>
          <w:b/>
        </w:rPr>
        <w:t>RECURRENTE</w:t>
      </w:r>
      <w:r w:rsidR="009B19AA" w:rsidRPr="008A72D9">
        <w:rPr>
          <w:rFonts w:ascii="Palatino Linotype" w:eastAsia="Arial Unicode MS" w:hAnsi="Palatino Linotype" w:cs="Arial"/>
          <w:color w:val="000000"/>
          <w:lang w:eastAsia="es-MX"/>
        </w:rPr>
        <w:t xml:space="preserve">, en virtud de lo cual, el </w:t>
      </w:r>
      <w:r w:rsidR="009B19AA" w:rsidRPr="008A72D9">
        <w:rPr>
          <w:rFonts w:ascii="Palatino Linotype" w:hAnsi="Palatino Linotype" w:cs="Arial"/>
        </w:rPr>
        <w:t xml:space="preserve">presente recurso de revisión </w:t>
      </w:r>
      <w:r w:rsidR="009B19AA" w:rsidRPr="008A72D9">
        <w:rPr>
          <w:rFonts w:ascii="Palatino Linotype" w:hAnsi="Palatino Linotype" w:cs="Arial"/>
          <w:b/>
        </w:rPr>
        <w:t>ha quedado sin materia</w:t>
      </w:r>
      <w:r w:rsidR="009B19AA" w:rsidRPr="008A72D9">
        <w:rPr>
          <w:rFonts w:ascii="Palatino Linotype" w:hAnsi="Palatino Linotype" w:cs="Arial"/>
        </w:rPr>
        <w:t>.</w:t>
      </w:r>
    </w:p>
    <w:p w:rsidR="009B19AA" w:rsidRPr="008A72D9" w:rsidRDefault="009B19AA" w:rsidP="000A6EE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rPr>
      </w:pPr>
      <w:r w:rsidRPr="008A72D9">
        <w:rPr>
          <w:rFonts w:ascii="Palatino Linotype" w:hAnsi="Palatino Linotype" w:cs="Arial"/>
          <w:lang w:val="es-ES_tradnl"/>
        </w:rPr>
        <w:t xml:space="preserve">En atención a </w:t>
      </w:r>
      <w:r w:rsidRPr="008A72D9">
        <w:rPr>
          <w:rFonts w:ascii="Palatino Linotype" w:hAnsi="Palatino Linotype"/>
          <w:color w:val="000000"/>
        </w:rPr>
        <w:t>las</w:t>
      </w:r>
      <w:r w:rsidRPr="008A72D9">
        <w:rPr>
          <w:rFonts w:ascii="Palatino Linotype" w:hAnsi="Palatino Linotype" w:cs="Arial"/>
          <w:lang w:val="es-ES_tradnl"/>
        </w:rPr>
        <w:t xml:space="preserve"> consideraciones anteriores, esta Ponencia Resolutora</w:t>
      </w:r>
      <w:r w:rsidRPr="008A72D9">
        <w:rPr>
          <w:rFonts w:ascii="Palatino Linotype" w:hAnsi="Palatino Linotype"/>
          <w:color w:val="000000" w:themeColor="text1"/>
        </w:rPr>
        <w:t xml:space="preserve"> advierte que, en el presente </w:t>
      </w:r>
      <w:r w:rsidRPr="008A72D9">
        <w:rPr>
          <w:rFonts w:ascii="Palatino Linotype" w:hAnsi="Palatino Linotype"/>
        </w:rPr>
        <w:t>caso</w:t>
      </w:r>
      <w:r w:rsidRPr="008A72D9">
        <w:rPr>
          <w:rFonts w:ascii="Palatino Linotype" w:hAnsi="Palatino Linotype"/>
          <w:color w:val="000000" w:themeColor="text1"/>
        </w:rPr>
        <w:t xml:space="preserve">, se actualiza la hipótesis prevista en </w:t>
      </w:r>
      <w:r w:rsidRPr="008A72D9">
        <w:rPr>
          <w:rFonts w:ascii="Palatino Linotype" w:hAnsi="Palatino Linotype" w:cs="Arial"/>
          <w:lang w:val="es-ES_tradnl"/>
        </w:rPr>
        <w:t xml:space="preserve">el </w:t>
      </w:r>
      <w:r w:rsidRPr="008A72D9">
        <w:rPr>
          <w:rFonts w:ascii="Palatino Linotype" w:hAnsi="Palatino Linotype"/>
          <w:color w:val="000000" w:themeColor="text1"/>
        </w:rPr>
        <w:t>artículo 192, fracción I de</w:t>
      </w:r>
      <w:r w:rsidRPr="008A72D9">
        <w:rPr>
          <w:rFonts w:ascii="Palatino Linotype" w:hAnsi="Palatino Linotype" w:cs="Arial"/>
          <w:lang w:val="es-ES_tradnl"/>
        </w:rPr>
        <w:t xml:space="preserve"> la </w:t>
      </w:r>
      <w:r w:rsidRPr="008A72D9">
        <w:rPr>
          <w:rFonts w:ascii="Palatino Linotype" w:hAnsi="Palatino Linotype"/>
        </w:rPr>
        <w:t xml:space="preserve">Ley de Transparencia y Acceso a la Información Pública del Estado de México y Municipios, </w:t>
      </w:r>
      <w:r w:rsidRPr="008A72D9">
        <w:rPr>
          <w:rFonts w:ascii="Palatino Linotype" w:hAnsi="Palatino Linotype"/>
          <w:color w:val="000000" w:themeColor="text1"/>
        </w:rPr>
        <w:t xml:space="preserve">que dispone lo siguiente: </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Artículo 192.</w:t>
      </w:r>
      <w:r w:rsidRPr="008A72D9">
        <w:rPr>
          <w:rFonts w:ascii="Palatino Linotype" w:hAnsi="Palatino Linotype" w:cs="Arial"/>
          <w:i/>
          <w:sz w:val="22"/>
        </w:rPr>
        <w:t xml:space="preserve"> </w:t>
      </w:r>
      <w:r w:rsidRPr="008A72D9">
        <w:rPr>
          <w:rFonts w:ascii="Palatino Linotype" w:hAnsi="Palatino Linotype" w:cs="Arial"/>
          <w:b/>
          <w:i/>
          <w:sz w:val="22"/>
          <w:u w:val="single"/>
        </w:rPr>
        <w:t>El recurso será sobreseído</w:t>
      </w:r>
      <w:r w:rsidRPr="008A72D9">
        <w:rPr>
          <w:rFonts w:ascii="Palatino Linotype" w:hAnsi="Palatino Linotype" w:cs="Arial"/>
          <w:i/>
          <w:sz w:val="22"/>
        </w:rPr>
        <w:t xml:space="preserve">, en todo o en parte, </w:t>
      </w:r>
      <w:r w:rsidRPr="008A72D9">
        <w:rPr>
          <w:rFonts w:ascii="Palatino Linotype" w:hAnsi="Palatino Linotype" w:cs="Arial"/>
          <w:b/>
          <w:i/>
          <w:sz w:val="22"/>
          <w:u w:val="single"/>
        </w:rPr>
        <w:t>cuando una vez admitido</w:t>
      </w:r>
      <w:r w:rsidRPr="008A72D9">
        <w:rPr>
          <w:rFonts w:ascii="Palatino Linotype" w:hAnsi="Palatino Linotype" w:cs="Arial"/>
          <w:i/>
          <w:sz w:val="22"/>
        </w:rPr>
        <w:t>, se actualicen alguno de los siguientes supuestos:</w:t>
      </w:r>
    </w:p>
    <w:p w:rsidR="009B19AA" w:rsidRPr="008A72D9" w:rsidRDefault="009B19AA" w:rsidP="009B19AA">
      <w:pPr>
        <w:ind w:left="851" w:right="902"/>
        <w:jc w:val="both"/>
        <w:rPr>
          <w:rFonts w:ascii="Palatino Linotype" w:hAnsi="Palatino Linotype" w:cs="Arial"/>
          <w:sz w:val="22"/>
        </w:rPr>
      </w:pPr>
      <w:r w:rsidRPr="008A72D9">
        <w:rPr>
          <w:rFonts w:ascii="Palatino Linotype" w:hAnsi="Palatino Linotype" w:cs="Arial"/>
          <w:b/>
          <w:i/>
          <w:sz w:val="22"/>
        </w:rPr>
        <w:t>I.</w:t>
      </w:r>
      <w:r w:rsidRPr="008A72D9">
        <w:rPr>
          <w:rFonts w:ascii="Palatino Linotype" w:hAnsi="Palatino Linotype" w:cs="Arial"/>
          <w:i/>
          <w:sz w:val="22"/>
        </w:rPr>
        <w:t xml:space="preserve"> </w:t>
      </w:r>
      <w:r w:rsidRPr="008A72D9">
        <w:rPr>
          <w:rFonts w:ascii="Palatino Linotype" w:hAnsi="Palatino Linotype" w:cs="Arial"/>
          <w:b/>
          <w:i/>
          <w:sz w:val="22"/>
          <w:u w:val="single"/>
        </w:rPr>
        <w:t>El recurrente se desista expresamente del recurso</w:t>
      </w:r>
      <w:r w:rsidRPr="008A72D9">
        <w:rPr>
          <w:rFonts w:ascii="Palatino Linotype" w:hAnsi="Palatino Linotype" w:cs="Arial"/>
          <w:i/>
          <w:sz w:val="22"/>
        </w:rPr>
        <w:t>;”</w:t>
      </w:r>
    </w:p>
    <w:p w:rsidR="009B19AA" w:rsidRPr="008A72D9" w:rsidRDefault="009B19AA" w:rsidP="009B19AA">
      <w:pPr>
        <w:ind w:left="851" w:right="902"/>
        <w:jc w:val="both"/>
        <w:rPr>
          <w:rFonts w:ascii="Palatino Linotype" w:hAnsi="Palatino Linotype" w:cs="Arial"/>
          <w:sz w:val="22"/>
        </w:rPr>
      </w:pPr>
      <w:r w:rsidRPr="008A72D9">
        <w:rPr>
          <w:rFonts w:ascii="Palatino Linotype" w:hAnsi="Palatino Linotype" w:cs="Arial"/>
          <w:sz w:val="22"/>
        </w:rPr>
        <w:t>(Énfasis añadido)</w:t>
      </w:r>
    </w:p>
    <w:p w:rsidR="009B19AA" w:rsidRPr="008A72D9" w:rsidRDefault="009B19AA" w:rsidP="009B19AA">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8A72D9">
        <w:rPr>
          <w:rFonts w:ascii="Palatino Linotype" w:hAnsi="Palatino Linotype"/>
          <w:color w:val="000000"/>
        </w:rPr>
        <w:t xml:space="preserve">En </w:t>
      </w:r>
      <w:r w:rsidRPr="008A72D9">
        <w:rPr>
          <w:rFonts w:ascii="Palatino Linotype" w:eastAsia="Calibri" w:hAnsi="Palatino Linotype" w:cs="Arial"/>
        </w:rPr>
        <w:t>consecuencia</w:t>
      </w:r>
      <w:r w:rsidRPr="008A72D9">
        <w:rPr>
          <w:rFonts w:ascii="Palatino Linotype" w:hAnsi="Palatino Linotype"/>
          <w:color w:val="000000"/>
        </w:rPr>
        <w:t xml:space="preserve">, </w:t>
      </w:r>
      <w:r w:rsidRPr="008A72D9">
        <w:rPr>
          <w:rFonts w:ascii="Palatino Linotype" w:hAnsi="Palatino Linotype"/>
        </w:rPr>
        <w:t xml:space="preserve">se </w:t>
      </w:r>
      <w:r w:rsidRPr="008A72D9">
        <w:rPr>
          <w:rFonts w:ascii="Palatino Linotype" w:hAnsi="Palatino Linotype" w:cs="Arial"/>
          <w:lang w:val="es-ES_tradnl"/>
        </w:rPr>
        <w:t xml:space="preserve">determina </w:t>
      </w:r>
      <w:r w:rsidRPr="008A72D9">
        <w:rPr>
          <w:rFonts w:ascii="Palatino Linotype" w:hAnsi="Palatino Linotype" w:cs="Arial"/>
          <w:b/>
          <w:lang w:val="es-ES_tradnl"/>
        </w:rPr>
        <w:t>SOBRESEER</w:t>
      </w:r>
      <w:r w:rsidRPr="008A72D9">
        <w:rPr>
          <w:rFonts w:ascii="Palatino Linotype" w:hAnsi="Palatino Linotype" w:cs="Arial"/>
          <w:lang w:val="es-ES_tradnl"/>
        </w:rPr>
        <w:t xml:space="preserve"> en el presente Recurso de Revisión, en </w:t>
      </w:r>
      <w:r w:rsidRPr="008A72D9">
        <w:rPr>
          <w:rFonts w:ascii="Palatino Linotype" w:hAnsi="Palatino Linotype"/>
          <w:bCs/>
        </w:rPr>
        <w:t>términos</w:t>
      </w:r>
      <w:r w:rsidRPr="008A72D9">
        <w:rPr>
          <w:rFonts w:ascii="Palatino Linotype" w:hAnsi="Palatino Linotype" w:cs="Arial"/>
          <w:lang w:val="es-ES_tradnl"/>
        </w:rPr>
        <w:t xml:space="preserve"> del artículo 186, fracción I de la </w:t>
      </w:r>
      <w:r w:rsidRPr="008A72D9">
        <w:rPr>
          <w:rFonts w:ascii="Palatino Linotype" w:eastAsia="Calibri" w:hAnsi="Palatino Linotype" w:cs="Arial"/>
        </w:rPr>
        <w:t>Ley de Transparencia y Acceso a la Información Pública del Estado de México y Municipios:</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 xml:space="preserve">Artículo 186. </w:t>
      </w:r>
      <w:r w:rsidRPr="008A72D9">
        <w:rPr>
          <w:rFonts w:ascii="Palatino Linotype" w:hAnsi="Palatino Linotype" w:cs="Arial"/>
          <w:b/>
          <w:i/>
          <w:sz w:val="22"/>
          <w:u w:val="single"/>
        </w:rPr>
        <w:t>Las resoluciones del Instituto podrán</w:t>
      </w:r>
      <w:r w:rsidRPr="008A72D9">
        <w:rPr>
          <w:rFonts w:ascii="Palatino Linotype" w:hAnsi="Palatino Linotype" w:cs="Arial"/>
          <w:i/>
          <w:sz w:val="22"/>
        </w:rPr>
        <w:t xml:space="preserve">: </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b/>
          <w:i/>
          <w:sz w:val="22"/>
        </w:rPr>
        <w:t xml:space="preserve">I. </w:t>
      </w:r>
      <w:r w:rsidRPr="008A72D9">
        <w:rPr>
          <w:rFonts w:ascii="Palatino Linotype" w:hAnsi="Palatino Linotype" w:cs="Arial"/>
          <w:i/>
          <w:sz w:val="22"/>
        </w:rPr>
        <w:t xml:space="preserve">Desechar o </w:t>
      </w:r>
      <w:r w:rsidRPr="008A72D9">
        <w:rPr>
          <w:rFonts w:ascii="Palatino Linotype" w:hAnsi="Palatino Linotype" w:cs="Arial"/>
          <w:b/>
          <w:i/>
          <w:sz w:val="22"/>
          <w:u w:val="single"/>
        </w:rPr>
        <w:t>sobreseer el recurso</w:t>
      </w:r>
      <w:r w:rsidRPr="008A72D9">
        <w:rPr>
          <w:rFonts w:ascii="Palatino Linotype" w:hAnsi="Palatino Linotype" w:cs="Arial"/>
          <w:i/>
          <w:sz w:val="22"/>
        </w:rPr>
        <w:t xml:space="preserve">;” </w:t>
      </w:r>
    </w:p>
    <w:p w:rsidR="009B19AA" w:rsidRPr="008A72D9" w:rsidRDefault="009B19AA" w:rsidP="009B19AA">
      <w:pPr>
        <w:ind w:left="851" w:right="902"/>
        <w:jc w:val="both"/>
        <w:rPr>
          <w:rFonts w:ascii="Palatino Linotype" w:hAnsi="Palatino Linotype" w:cs="Arial"/>
          <w:sz w:val="22"/>
        </w:rPr>
      </w:pPr>
      <w:r w:rsidRPr="008A72D9">
        <w:rPr>
          <w:rFonts w:ascii="Palatino Linotype" w:hAnsi="Palatino Linotype" w:cs="Arial"/>
          <w:sz w:val="22"/>
        </w:rPr>
        <w:t>(Énfasis añadido)</w:t>
      </w:r>
    </w:p>
    <w:p w:rsidR="009B19AA" w:rsidRPr="008A72D9" w:rsidRDefault="009B19AA" w:rsidP="009B19A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hAnsi="Palatino Linotype" w:cs="Arial"/>
          <w:lang w:val="es-ES_tradnl"/>
        </w:rPr>
        <w:t xml:space="preserve">Asimismo, como </w:t>
      </w:r>
      <w:r w:rsidRPr="008A72D9">
        <w:rPr>
          <w:rFonts w:ascii="Palatino Linotype" w:hAnsi="Palatino Linotype"/>
          <w:color w:val="000000"/>
        </w:rPr>
        <w:t>consecuencia</w:t>
      </w:r>
      <w:r w:rsidRPr="008A72D9">
        <w:rPr>
          <w:rFonts w:ascii="Palatino Linotype" w:hAnsi="Palatino Linotype" w:cs="Arial"/>
          <w:lang w:val="es-ES_tradnl"/>
        </w:rPr>
        <w:t xml:space="preserve"> de la anterior determinación, resultan </w:t>
      </w:r>
      <w:r w:rsidRPr="008A72D9">
        <w:rPr>
          <w:rFonts w:ascii="Palatino Linotype" w:hAnsi="Palatino Linotype"/>
        </w:rPr>
        <w:t xml:space="preserve">inatendibles las razones o motivos de inconformidad expuestos por </w:t>
      </w:r>
      <w:r w:rsidR="00935EB5">
        <w:rPr>
          <w:rFonts w:ascii="Palatino Linotype" w:hAnsi="Palatino Linotype" w:cs="Arial"/>
          <w:b/>
        </w:rPr>
        <w:t>LA</w:t>
      </w:r>
      <w:r w:rsidRPr="008A72D9">
        <w:rPr>
          <w:rFonts w:ascii="Palatino Linotype" w:hAnsi="Palatino Linotype" w:cs="Arial"/>
          <w:b/>
        </w:rPr>
        <w:t xml:space="preserve"> RECURRENTE</w:t>
      </w:r>
      <w:r w:rsidRPr="008A72D9">
        <w:rPr>
          <w:rFonts w:ascii="Palatino Linotype" w:hAnsi="Palatino Linotype"/>
        </w:rPr>
        <w:t xml:space="preserve">, en virtud de que el medio de impugnación </w:t>
      </w:r>
      <w:r w:rsidRPr="008A72D9">
        <w:rPr>
          <w:rFonts w:ascii="Palatino Linotype" w:hAnsi="Palatino Linotype"/>
          <w:b/>
        </w:rPr>
        <w:t>ha quedado sin materia</w:t>
      </w:r>
      <w:r w:rsidRPr="008A72D9">
        <w:rPr>
          <w:rFonts w:ascii="Palatino Linotype" w:hAnsi="Palatino Linotype"/>
        </w:rPr>
        <w:t xml:space="preserve">; por lo que, se concluye que la </w:t>
      </w:r>
      <w:r w:rsidR="00935EB5">
        <w:rPr>
          <w:rFonts w:ascii="Palatino Linotype" w:hAnsi="Palatino Linotype"/>
        </w:rPr>
        <w:t>manifestación de la voluntad de la</w:t>
      </w:r>
      <w:r w:rsidRPr="008A72D9">
        <w:rPr>
          <w:rFonts w:ascii="Palatino Linotype" w:hAnsi="Palatino Linotype"/>
        </w:rPr>
        <w:t xml:space="preserve"> promovente respecto a desistirse de la acción ejercida, se entiende que acepta de manera expresa que el procedimiento concluya sin suscitar consecuencias de derecho; asimismo, como lo señala la </w:t>
      </w:r>
      <w:r w:rsidRPr="008A72D9">
        <w:rPr>
          <w:rFonts w:ascii="Palatino Linotype" w:hAnsi="Palatino Linotype" w:cs="Arial"/>
        </w:rPr>
        <w:t xml:space="preserve">Tesis Jurisprudencial con número de registro 2012059 de la Segunda Sala de la Suprema Corte de Justicia </w:t>
      </w:r>
      <w:r w:rsidRPr="008A72D9">
        <w:rPr>
          <w:rFonts w:ascii="Palatino Linotype" w:hAnsi="Palatino Linotype" w:cs="Arial"/>
        </w:rPr>
        <w:lastRenderedPageBreak/>
        <w:t>de la Nación, correspondiente a la Décima Época, publicada en el Libro 32, Tomo I, pag. 462 de la Gaceta del Semanario Judicial de la Federación de julio de 2016, el desistimiento del recurso genera que el Resolutor deba desocuparse del análisis de los planteamientos aducidos, sin necesidad de examinar las razones o motivos de inconformidad:</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DESISTIMIENTO DE LA ACCIÓN DE AMPARO. SUS CONSECUENCIAS</w:t>
      </w:r>
      <w:r w:rsidRPr="008A72D9">
        <w:rPr>
          <w:rFonts w:ascii="Palatino Linotype" w:hAnsi="Palatino Linotype" w:cs="Arial"/>
          <w:i/>
          <w:sz w:val="22"/>
        </w:rPr>
        <w:t xml:space="preserve">. </w:t>
      </w:r>
      <w:r w:rsidRPr="008A72D9">
        <w:rPr>
          <w:rFonts w:ascii="Palatino Linotype" w:hAnsi="Palatino Linotype" w:cs="Arial"/>
          <w:b/>
          <w:i/>
          <w:sz w:val="22"/>
          <w:u w:val="single"/>
        </w:rPr>
        <w:t>El desistimiento</w:t>
      </w:r>
      <w:r w:rsidRPr="008A72D9">
        <w:rPr>
          <w:rFonts w:ascii="Palatino Linotype" w:hAnsi="Palatino Linotype" w:cs="Arial"/>
          <w:i/>
          <w:sz w:val="22"/>
        </w:rPr>
        <w:t xml:space="preserve"> de la acción de amparo </w:t>
      </w:r>
      <w:r w:rsidRPr="008A72D9">
        <w:rPr>
          <w:rFonts w:ascii="Palatino Linotype" w:hAnsi="Palatino Linotype" w:cs="Arial"/>
          <w:b/>
          <w:i/>
          <w:sz w:val="22"/>
          <w:u w:val="single"/>
        </w:rPr>
        <w:t>consiste en la declaración de voluntad del quejoso de no proseguir con el juicio, el cual, debidamente ratificado, conlleva emitir una resolución con la que finaliza la instancia</w:t>
      </w:r>
      <w:r w:rsidRPr="008A72D9">
        <w:rPr>
          <w:rFonts w:ascii="Palatino Linotype" w:hAnsi="Palatino Linotype" w:cs="Arial"/>
          <w:i/>
          <w:sz w:val="22"/>
        </w:rPr>
        <w:t xml:space="preserve"> de amparo, independientemente de la etapa en que se encuentre (desde el inicio del juicio hasta antes de que cause ejecutoria la sentencia que se dicte) y </w:t>
      </w:r>
      <w:r w:rsidRPr="008A72D9">
        <w:rPr>
          <w:rFonts w:ascii="Palatino Linotype" w:hAnsi="Palatino Linotype" w:cs="Arial"/>
          <w:b/>
          <w:i/>
          <w:sz w:val="22"/>
          <w:u w:val="single"/>
        </w:rPr>
        <w:t>sin necesidad de examinar los conceptos de violación o, en su caso, los agravios</w:t>
      </w:r>
      <w:r w:rsidRPr="008A72D9">
        <w:rPr>
          <w:rFonts w:ascii="Palatino Linotype" w:hAnsi="Palatino Linotype" w:cs="Arial"/>
          <w:i/>
          <w:sz w:val="22"/>
        </w:rPr>
        <w:t xml:space="preserve">. </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Amparo directo 41/2014. Asociación Sindical de Sobrecargos de Aviación de México (A.S.S.A.). 30 de octubre de 2014. Unanimidad de cuatro votos de los Ministros Alberto Pérez Dayán, José Fernando Franco González Salas, Margarita Beatriz Luna Ramos y Luis María Aguilar Morales. Ausente: Sergio A. Valls Hernández. Ponente: Alberto Pérez Dayán. Secretario: Jorge Antonio Medina Gaona.</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Amparo directo en revisión 1377/2015. Alfa New Life International, S.A. de C.V. 13 de mayo de 2015. Cinco votos de los Ministros Eduardo Medina Mora I., Juan N. Silva Meza, José Fernando Franco González Salas, Margarita Beatriz Luna Ramos y Alberto Pérez Dayán. Ponente: Eduardo Medina Mora I. Secretaria: Paola Yaber Coronado.</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Amparo directo en revisión 1551/2015. Distribuidora Teyvi, S.A. de C.V. 8 de julio de 2015. Cinco votos de los Ministros Eduardo Medina Mora I., Juan N. Silva Meza, José Fernando Franco González Salas, Margarita Beatriz Luna Ramos y Alberto Pérez Dayán. Ponente: Eduardo Medina Mora I. Secretaria: Miroslava de Fátima Alcayde Escalante.</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Amparo en revisión 928/2015. Cajeme Productos Pecuarios, S.A. de C.V. 10 de febrero de 2016. Unanimidad de cuatro votos de los Ministros Eduardo Medina Mora I., Javier Laynez Potisek, José Fernando Franco González Salas y Margarita Beatriz Luna Ramos. Ausente: Alberto Pérez Dayán. Ponente: Eduardo Medina Mora I. Secretaria: Miroslava de Fátima Alcayde Escalante.</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lastRenderedPageBreak/>
        <w:t>Amparo en revisión 1469/2015. Luz Elena García Díaz. 1 de junio de 2016. Unanimidad de cuatro votos de los Ministros Eduardo Medina Mora I., Javier Laynez Potisek, José Fernando Franco González Salas y Alberto Pérez Dayán. Ausente: Margarita Beatriz Luna Ramos. Ponente: Eduardo Medina Mora I. Secretaria: Diana Cristina Rangel León.</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Tesis de jurisprudencia 82/2016 (10a.). Aprobada por la Segunda Sala de este Alto Tribunal, en sesión privada del veintidós de junio de dos mil dieciséis.”</w:t>
      </w:r>
    </w:p>
    <w:p w:rsidR="009B19AA" w:rsidRPr="008A72D9" w:rsidRDefault="009B19AA" w:rsidP="009B19AA">
      <w:pPr>
        <w:ind w:left="851" w:right="902"/>
        <w:jc w:val="both"/>
        <w:rPr>
          <w:rFonts w:ascii="Palatino Linotype" w:hAnsi="Palatino Linotype" w:cs="Arial"/>
          <w:sz w:val="22"/>
        </w:rPr>
      </w:pPr>
      <w:r w:rsidRPr="008A72D9">
        <w:rPr>
          <w:rFonts w:ascii="Palatino Linotype" w:hAnsi="Palatino Linotype" w:cs="Arial"/>
          <w:sz w:val="22"/>
        </w:rPr>
        <w:t>(Énfasis añadido)</w:t>
      </w:r>
    </w:p>
    <w:p w:rsidR="009B19AA" w:rsidRPr="008A72D9" w:rsidRDefault="009B19AA" w:rsidP="009B19A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eastAsia="Calibri" w:hAnsi="Palatino Linotype" w:cs="Arial"/>
        </w:rPr>
        <w:t xml:space="preserve">Aunado a lo anterior, sirve de apoyo lo establecido en </w:t>
      </w:r>
      <w:r w:rsidRPr="008A72D9">
        <w:rPr>
          <w:rFonts w:ascii="Palatino Linotype" w:hAnsi="Palatino Linotype"/>
        </w:rPr>
        <w:t xml:space="preserve">la </w:t>
      </w:r>
      <w:r w:rsidRPr="008A72D9">
        <w:rPr>
          <w:rFonts w:ascii="Palatino Linotype" w:hAnsi="Palatino Linotype" w:cs="Arial"/>
        </w:rPr>
        <w:t xml:space="preserve">Tesis Aislada, con número de registro </w:t>
      </w:r>
      <w:r w:rsidRPr="008A72D9">
        <w:rPr>
          <w:rFonts w:ascii="Palatino Linotype" w:eastAsia="Calibri" w:hAnsi="Palatino Linotype" w:cs="Arial"/>
        </w:rPr>
        <w:t xml:space="preserve">211360 </w:t>
      </w:r>
      <w:r w:rsidRPr="008A72D9">
        <w:rPr>
          <w:rFonts w:ascii="Palatino Linotype" w:hAnsi="Palatino Linotype" w:cs="Arial"/>
        </w:rPr>
        <w:t>de la Octava Época, emitida por el Segundo Tribunal Colegiado del Sexto Circuito, publicada en el Tomo XIV, pag. 547 del Semanario Judicial de la Federación de julio de 1994, cuyo rubro y texto esgrimen lo siguiente:</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DESISTIMIENTOS DE LA ACCION Y DE LA DEMANDA. DIFERENCIAS</w:t>
      </w:r>
      <w:r w:rsidRPr="008A72D9">
        <w:rPr>
          <w:rFonts w:ascii="Palatino Linotype" w:hAnsi="Palatino Linotype" w:cs="Arial"/>
          <w:i/>
          <w:sz w:val="22"/>
        </w:rPr>
        <w:t xml:space="preserve">. No es lo mismo desistir de la acción que de la demanda o instancia, ya que </w:t>
      </w:r>
      <w:r w:rsidRPr="008A72D9">
        <w:rPr>
          <w:rFonts w:ascii="Palatino Linotype" w:hAnsi="Palatino Linotype" w:cs="Arial"/>
          <w:b/>
          <w:i/>
          <w:sz w:val="22"/>
          <w:u w:val="single"/>
        </w:rPr>
        <w:t>en el desistimiento de la demanda se pierden todos los derechos y situaciones procesales</w:t>
      </w:r>
      <w:r w:rsidRPr="008A72D9">
        <w:rPr>
          <w:rFonts w:ascii="Palatino Linotype" w:hAnsi="Palatino Linotype" w:cs="Arial"/>
          <w:i/>
          <w:sz w:val="22"/>
        </w:rPr>
        <w:t xml:space="preserve">; y si no ha prescrito la acción, puede volverse a ejercitar mediante la presentación de una nueva demanda; mientras que </w:t>
      </w:r>
      <w:r w:rsidRPr="008A72D9">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Pr="008A72D9">
        <w:rPr>
          <w:rFonts w:ascii="Palatino Linotype" w:hAnsi="Palatino Linotype" w:cs="Arial"/>
          <w:i/>
          <w:sz w:val="22"/>
        </w:rPr>
        <w:t>.</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SEGUNDO TRIBUNAL COLEGIADO DEL SEXTO CIRCUITO.</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9B19AA" w:rsidRPr="008A72D9" w:rsidRDefault="009B19AA" w:rsidP="009B19AA">
      <w:pPr>
        <w:ind w:left="851" w:right="902"/>
        <w:jc w:val="both"/>
        <w:rPr>
          <w:rFonts w:ascii="Palatino Linotype" w:hAnsi="Palatino Linotype" w:cs="Arial"/>
          <w:i/>
          <w:sz w:val="22"/>
        </w:rPr>
      </w:pPr>
      <w:r w:rsidRPr="008A72D9">
        <w:rPr>
          <w:rFonts w:ascii="Palatino Linotype" w:hAnsi="Palatino Linotype" w:cs="Arial"/>
          <w:i/>
          <w:sz w:val="22"/>
        </w:rPr>
        <w:t>Amparo directo 329/92. Jaime Vera López. 1o. de septiembre de 1992. Unanimidad de votos. Ponente: José Galván Rojas. Secretario: Armando Cortés Galván.”</w:t>
      </w:r>
    </w:p>
    <w:p w:rsidR="009B19AA" w:rsidRPr="008A72D9" w:rsidRDefault="009B19AA" w:rsidP="009B19AA">
      <w:pPr>
        <w:ind w:left="851" w:right="902"/>
        <w:jc w:val="both"/>
        <w:rPr>
          <w:rFonts w:ascii="Palatino Linotype" w:hAnsi="Palatino Linotype" w:cs="Arial"/>
          <w:sz w:val="22"/>
        </w:rPr>
      </w:pPr>
      <w:r w:rsidRPr="008A72D9">
        <w:rPr>
          <w:rFonts w:ascii="Palatino Linotype" w:hAnsi="Palatino Linotype" w:cs="Arial"/>
          <w:sz w:val="22"/>
        </w:rPr>
        <w:t>(Énfasis añadido)</w:t>
      </w:r>
    </w:p>
    <w:p w:rsidR="009B19AA" w:rsidRPr="008A72D9" w:rsidRDefault="009B19AA" w:rsidP="009B19A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8A72D9">
        <w:rPr>
          <w:rFonts w:ascii="Palatino Linotype" w:eastAsia="Calibri" w:hAnsi="Palatino Linotype" w:cs="Arial"/>
        </w:rPr>
        <w:t xml:space="preserve">Así, con </w:t>
      </w:r>
      <w:r w:rsidRPr="008A72D9">
        <w:rPr>
          <w:rFonts w:ascii="Palatino Linotype" w:hAnsi="Palatino Linotype" w:cs="Arial"/>
        </w:rPr>
        <w:t>fundamento</w:t>
      </w:r>
      <w:r w:rsidRPr="008A72D9">
        <w:rPr>
          <w:rFonts w:ascii="Palatino Linotype" w:eastAsia="Calibri" w:hAnsi="Palatino Linotype" w:cs="Arial"/>
        </w:rPr>
        <w:t xml:space="preserve"> en lo prescrito en los artículos 5, </w:t>
      </w:r>
      <w:r w:rsidRPr="008A72D9">
        <w:rPr>
          <w:rFonts w:ascii="Palatino Linotype" w:hAnsi="Palatino Linotype"/>
        </w:rPr>
        <w:t>párrafos vigésimo segundo, vigésimo tercero y vigésimo cuarto</w:t>
      </w:r>
      <w:r w:rsidRPr="008A72D9">
        <w:rPr>
          <w:rFonts w:ascii="Palatino Linotype" w:hAnsi="Palatino Linotype" w:cs="Arial"/>
        </w:rPr>
        <w:t>,</w:t>
      </w:r>
      <w:r w:rsidRPr="008A72D9">
        <w:rPr>
          <w:rFonts w:ascii="Palatino Linotype" w:hAnsi="Palatino Linotype"/>
        </w:rPr>
        <w:t xml:space="preserve"> fracciones IV y V,</w:t>
      </w:r>
      <w:r w:rsidRPr="008A72D9">
        <w:rPr>
          <w:rFonts w:ascii="Palatino Linotype" w:eastAsia="Calibri" w:hAnsi="Palatino Linotype" w:cs="Arial"/>
        </w:rPr>
        <w:t xml:space="preserve"> de la Constitución Política del Estado Libre y Soberano de </w:t>
      </w:r>
      <w:r w:rsidRPr="008A72D9">
        <w:rPr>
          <w:rFonts w:ascii="Palatino Linotype" w:hAnsi="Palatino Linotype" w:cs="Arial"/>
          <w:lang w:val="es-ES_tradnl"/>
        </w:rPr>
        <w:t>México</w:t>
      </w:r>
      <w:r w:rsidRPr="008A72D9">
        <w:rPr>
          <w:rFonts w:ascii="Palatino Linotype" w:eastAsia="Calibri" w:hAnsi="Palatino Linotype" w:cs="Arial"/>
        </w:rPr>
        <w:t xml:space="preserve"> y los artículos </w:t>
      </w:r>
      <w:r w:rsidRPr="008A72D9">
        <w:rPr>
          <w:rFonts w:ascii="Palatino Linotype" w:hAnsi="Palatino Linotype"/>
        </w:rPr>
        <w:t xml:space="preserve">2, </w:t>
      </w:r>
      <w:r w:rsidRPr="008A72D9">
        <w:rPr>
          <w:rFonts w:ascii="Palatino Linotype" w:hAnsi="Palatino Linotype" w:cs="Arial"/>
        </w:rPr>
        <w:t>fracción</w:t>
      </w:r>
      <w:r w:rsidRPr="008A72D9">
        <w:rPr>
          <w:rFonts w:ascii="Palatino Linotype" w:hAnsi="Palatino Linotype"/>
        </w:rPr>
        <w:t xml:space="preserve"> II, 9, </w:t>
      </w:r>
      <w:r w:rsidRPr="008A72D9">
        <w:rPr>
          <w:rFonts w:ascii="Palatino Linotype" w:hAnsi="Palatino Linotype" w:cs="Arial"/>
          <w:lang w:val="es-ES_tradnl"/>
        </w:rPr>
        <w:t>29</w:t>
      </w:r>
      <w:r w:rsidRPr="008A72D9">
        <w:rPr>
          <w:rFonts w:ascii="Palatino Linotype" w:hAnsi="Palatino Linotype"/>
        </w:rPr>
        <w:t xml:space="preserve">, 36, fracciones I y II, 176, 178, </w:t>
      </w:r>
      <w:r>
        <w:rPr>
          <w:rFonts w:ascii="Palatino Linotype" w:hAnsi="Palatino Linotype"/>
        </w:rPr>
        <w:t xml:space="preserve">179, 181, 185, fracción I, 186, </w:t>
      </w:r>
      <w:r w:rsidRPr="008A72D9">
        <w:rPr>
          <w:rFonts w:ascii="Palatino Linotype" w:hAnsi="Palatino Linotype"/>
        </w:rPr>
        <w:t>188</w:t>
      </w:r>
      <w:r>
        <w:rPr>
          <w:rFonts w:ascii="Palatino Linotype" w:hAnsi="Palatino Linotype"/>
        </w:rPr>
        <w:t xml:space="preserve"> y 192, fracción I</w:t>
      </w:r>
      <w:r w:rsidRPr="008A72D9">
        <w:rPr>
          <w:rFonts w:ascii="Palatino Linotype" w:eastAsia="Calibri" w:hAnsi="Palatino Linotype" w:cs="Arial"/>
        </w:rPr>
        <w:t xml:space="preserve"> de la Ley de </w:t>
      </w:r>
      <w:r w:rsidRPr="008A72D9">
        <w:rPr>
          <w:rFonts w:ascii="Palatino Linotype" w:eastAsia="Calibri" w:hAnsi="Palatino Linotype" w:cs="Arial"/>
        </w:rPr>
        <w:lastRenderedPageBreak/>
        <w:t xml:space="preserve">Transparencia y Acceso a la Información Pública del Estado de México y </w:t>
      </w:r>
      <w:r w:rsidRPr="008A72D9">
        <w:rPr>
          <w:rFonts w:ascii="Palatino Linotype" w:hAnsi="Palatino Linotype" w:cs="Arial"/>
        </w:rPr>
        <w:t>Municipios</w:t>
      </w:r>
      <w:r w:rsidRPr="008A72D9">
        <w:rPr>
          <w:rFonts w:ascii="Palatino Linotype" w:eastAsia="Calibri" w:hAnsi="Palatino Linotype" w:cs="Arial"/>
        </w:rPr>
        <w:t xml:space="preserve">, </w:t>
      </w:r>
      <w:r w:rsidRPr="008A72D9">
        <w:rPr>
          <w:rFonts w:ascii="Palatino Linotype" w:hAnsi="Palatino Linotype"/>
        </w:rPr>
        <w:t>este</w:t>
      </w:r>
      <w:r w:rsidRPr="008A72D9">
        <w:rPr>
          <w:rFonts w:ascii="Palatino Linotype" w:eastAsia="Calibri" w:hAnsi="Palatino Linotype" w:cs="Arial"/>
        </w:rPr>
        <w:t xml:space="preserve"> Pleno:</w:t>
      </w:r>
    </w:p>
    <w:p w:rsidR="00441B91" w:rsidRPr="00C5057E" w:rsidRDefault="00441B91" w:rsidP="00441B91">
      <w:pPr>
        <w:spacing w:before="100" w:beforeAutospacing="1" w:after="100" w:afterAutospacing="1"/>
        <w:contextualSpacing/>
        <w:jc w:val="center"/>
        <w:rPr>
          <w:rFonts w:ascii="Palatino Linotype" w:hAnsi="Palatino Linotype"/>
          <w:b/>
          <w:bCs/>
          <w:color w:val="000000" w:themeColor="text1"/>
          <w:spacing w:val="40"/>
          <w:sz w:val="28"/>
        </w:rPr>
      </w:pPr>
      <w:r w:rsidRPr="00C5057E">
        <w:rPr>
          <w:rFonts w:ascii="Palatino Linotype" w:hAnsi="Palatino Linotype"/>
          <w:b/>
          <w:bCs/>
          <w:color w:val="000000" w:themeColor="text1"/>
          <w:spacing w:val="40"/>
          <w:sz w:val="28"/>
        </w:rPr>
        <w:t>RESUELVE</w:t>
      </w:r>
    </w:p>
    <w:p w:rsidR="00441B91" w:rsidRPr="00C5057E" w:rsidRDefault="00441B91" w:rsidP="00441B91">
      <w:pPr>
        <w:spacing w:before="100" w:beforeAutospacing="1" w:after="100" w:afterAutospacing="1"/>
        <w:contextualSpacing/>
        <w:jc w:val="center"/>
        <w:rPr>
          <w:rFonts w:ascii="Palatino Linotype" w:hAnsi="Palatino Linotype"/>
          <w:b/>
          <w:bCs/>
          <w:color w:val="000000" w:themeColor="text1"/>
          <w:spacing w:val="40"/>
          <w:sz w:val="28"/>
        </w:rPr>
      </w:pPr>
    </w:p>
    <w:p w:rsidR="00935EB5" w:rsidRPr="008A72D9" w:rsidRDefault="00441B91" w:rsidP="00935EB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color w:val="000000" w:themeColor="text1"/>
        </w:rPr>
      </w:pPr>
      <w:r w:rsidRPr="00C5057E">
        <w:rPr>
          <w:rFonts w:ascii="Palatino Linotype" w:hAnsi="Palatino Linotype" w:cs="Arial"/>
          <w:b/>
          <w:color w:val="000000" w:themeColor="text1"/>
          <w:sz w:val="28"/>
          <w:szCs w:val="28"/>
          <w:lang w:val="es-ES"/>
        </w:rPr>
        <w:t>PRIMERO</w:t>
      </w:r>
      <w:r w:rsidRPr="00C5057E">
        <w:rPr>
          <w:rFonts w:ascii="Palatino Linotype" w:hAnsi="Palatino Linotype" w:cs="Arial"/>
          <w:color w:val="000000" w:themeColor="text1"/>
          <w:sz w:val="28"/>
          <w:szCs w:val="28"/>
          <w:lang w:val="es-ES"/>
        </w:rPr>
        <w:t>.</w:t>
      </w:r>
      <w:r w:rsidRPr="00C5057E">
        <w:rPr>
          <w:rFonts w:ascii="Palatino Linotype" w:hAnsi="Palatino Linotype" w:cs="Arial"/>
          <w:color w:val="000000" w:themeColor="text1"/>
          <w:lang w:val="es-ES"/>
        </w:rPr>
        <w:t xml:space="preserve"> </w:t>
      </w:r>
      <w:r w:rsidR="00935EB5" w:rsidRPr="008A72D9">
        <w:rPr>
          <w:rFonts w:ascii="Palatino Linotype" w:hAnsi="Palatino Linotype" w:cs="Arial"/>
          <w:color w:val="000000" w:themeColor="text1"/>
        </w:rPr>
        <w:t>Se</w:t>
      </w:r>
      <w:r w:rsidR="00935EB5" w:rsidRPr="008A72D9">
        <w:rPr>
          <w:rFonts w:ascii="Palatino Linotype" w:hAnsi="Palatino Linotype" w:cs="Arial"/>
          <w:b/>
          <w:color w:val="000000" w:themeColor="text1"/>
        </w:rPr>
        <w:t xml:space="preserve"> SOBRESEE </w:t>
      </w:r>
      <w:r w:rsidR="00935EB5" w:rsidRPr="008A72D9">
        <w:rPr>
          <w:rFonts w:ascii="Palatino Linotype" w:hAnsi="Palatino Linotype" w:cs="Arial"/>
          <w:color w:val="000000" w:themeColor="text1"/>
        </w:rPr>
        <w:t xml:space="preserve">el </w:t>
      </w:r>
      <w:r w:rsidR="00935EB5" w:rsidRPr="008A72D9">
        <w:rPr>
          <w:rFonts w:ascii="Palatino Linotype" w:hAnsi="Palatino Linotype" w:cs="Arial"/>
          <w:color w:val="222222"/>
          <w:shd w:val="clear" w:color="auto" w:fill="FFFFFF"/>
        </w:rPr>
        <w:t>Recurso</w:t>
      </w:r>
      <w:r w:rsidR="00935EB5" w:rsidRPr="008A72D9">
        <w:rPr>
          <w:rFonts w:ascii="Palatino Linotype" w:hAnsi="Palatino Linotype" w:cs="Arial"/>
          <w:color w:val="000000" w:themeColor="text1"/>
        </w:rPr>
        <w:t xml:space="preserve"> de </w:t>
      </w:r>
      <w:r w:rsidR="00935EB5" w:rsidRPr="008A72D9">
        <w:rPr>
          <w:rFonts w:ascii="Palatino Linotype" w:hAnsi="Palatino Linotype"/>
          <w:lang w:eastAsia="es-ES_tradnl"/>
        </w:rPr>
        <w:t>Revisión</w:t>
      </w:r>
      <w:r w:rsidR="00935EB5" w:rsidRPr="008A72D9">
        <w:rPr>
          <w:rFonts w:ascii="Palatino Linotype" w:hAnsi="Palatino Linotype" w:cs="Arial"/>
          <w:color w:val="000000" w:themeColor="text1"/>
        </w:rPr>
        <w:t xml:space="preserve"> número</w:t>
      </w:r>
      <w:r w:rsidR="00935EB5" w:rsidRPr="008A72D9">
        <w:rPr>
          <w:rFonts w:ascii="Palatino Linotype" w:hAnsi="Palatino Linotype" w:cs="Arial"/>
          <w:b/>
          <w:color w:val="000000" w:themeColor="text1"/>
        </w:rPr>
        <w:t xml:space="preserve"> </w:t>
      </w:r>
      <w:r w:rsidR="00935EB5" w:rsidRPr="008A72D9">
        <w:rPr>
          <w:rFonts w:ascii="Palatino Linotype" w:hAnsi="Palatino Linotype" w:cs="Arial"/>
          <w:color w:val="000000" w:themeColor="text1"/>
        </w:rPr>
        <w:t>0</w:t>
      </w:r>
      <w:r w:rsidR="00935EB5">
        <w:rPr>
          <w:rFonts w:ascii="Palatino Linotype" w:hAnsi="Palatino Linotype" w:cs="Arial"/>
          <w:color w:val="000000" w:themeColor="text1"/>
        </w:rPr>
        <w:t>2177</w:t>
      </w:r>
      <w:r w:rsidR="00935EB5" w:rsidRPr="008A72D9">
        <w:rPr>
          <w:rFonts w:ascii="Palatino Linotype" w:hAnsi="Palatino Linotype" w:cs="Arial"/>
          <w:color w:val="000000" w:themeColor="text1"/>
        </w:rPr>
        <w:t>/INFOEM/IP/RR/20</w:t>
      </w:r>
      <w:r w:rsidR="00935EB5">
        <w:rPr>
          <w:rFonts w:ascii="Palatino Linotype" w:hAnsi="Palatino Linotype" w:cs="Arial"/>
          <w:color w:val="000000" w:themeColor="text1"/>
        </w:rPr>
        <w:t>20</w:t>
      </w:r>
      <w:r w:rsidR="00935EB5" w:rsidRPr="008A72D9">
        <w:rPr>
          <w:rFonts w:ascii="Palatino Linotype" w:hAnsi="Palatino Linotype" w:cs="Arial"/>
          <w:color w:val="000000" w:themeColor="text1"/>
        </w:rPr>
        <w:t xml:space="preserve">, </w:t>
      </w:r>
      <w:r w:rsidR="00935EB5" w:rsidRPr="008A72D9">
        <w:rPr>
          <w:rFonts w:ascii="Palatino Linotype" w:hAnsi="Palatino Linotype"/>
        </w:rPr>
        <w:t xml:space="preserve">por </w:t>
      </w:r>
      <w:r w:rsidR="00935EB5" w:rsidRPr="008A72D9">
        <w:rPr>
          <w:rFonts w:ascii="Palatino Linotype" w:hAnsi="Palatino Linotype"/>
          <w:b/>
        </w:rPr>
        <w:t xml:space="preserve">haberse desistido expresamente </w:t>
      </w:r>
      <w:r w:rsidR="00935EB5" w:rsidRPr="008A72D9">
        <w:rPr>
          <w:rFonts w:ascii="Palatino Linotype" w:hAnsi="Palatino Linotype" w:cs="Arial"/>
          <w:b/>
        </w:rPr>
        <w:t>L</w:t>
      </w:r>
      <w:r w:rsidR="00935EB5">
        <w:rPr>
          <w:rFonts w:ascii="Palatino Linotype" w:hAnsi="Palatino Linotype" w:cs="Arial"/>
          <w:b/>
        </w:rPr>
        <w:t>A</w:t>
      </w:r>
      <w:r w:rsidR="00935EB5" w:rsidRPr="008A72D9">
        <w:rPr>
          <w:rFonts w:ascii="Palatino Linotype" w:hAnsi="Palatino Linotype" w:cs="Arial"/>
          <w:b/>
        </w:rPr>
        <w:t xml:space="preserve"> RECURRENTE</w:t>
      </w:r>
      <w:r w:rsidR="00935EB5" w:rsidRPr="008A72D9">
        <w:rPr>
          <w:rFonts w:ascii="Palatino Linotype" w:hAnsi="Palatino Linotype"/>
        </w:rPr>
        <w:t>,</w:t>
      </w:r>
      <w:r w:rsidR="00935EB5" w:rsidRPr="008A72D9">
        <w:rPr>
          <w:rFonts w:ascii="Palatino Linotype" w:hAnsi="Palatino Linotype" w:cs="Arial"/>
          <w:color w:val="000000" w:themeColor="text1"/>
        </w:rPr>
        <w:t xml:space="preserve"> en </w:t>
      </w:r>
      <w:r w:rsidR="00935EB5" w:rsidRPr="008A72D9">
        <w:rPr>
          <w:rFonts w:ascii="Palatino Linotype" w:hAnsi="Palatino Linotype"/>
          <w:lang w:eastAsia="es-ES_tradnl"/>
        </w:rPr>
        <w:t>términos</w:t>
      </w:r>
      <w:r w:rsidR="00935EB5" w:rsidRPr="008A72D9">
        <w:rPr>
          <w:rFonts w:ascii="Palatino Linotype" w:hAnsi="Palatino Linotype" w:cs="Arial"/>
          <w:color w:val="000000" w:themeColor="text1"/>
        </w:rPr>
        <w:t xml:space="preserve"> del Considerando</w:t>
      </w:r>
      <w:r w:rsidR="00935EB5" w:rsidRPr="008A72D9">
        <w:rPr>
          <w:rFonts w:ascii="Palatino Linotype" w:hAnsi="Palatino Linotype" w:cs="Arial"/>
          <w:b/>
          <w:color w:val="000000" w:themeColor="text1"/>
        </w:rPr>
        <w:t xml:space="preserve"> </w:t>
      </w:r>
      <w:r w:rsidR="00AF652C" w:rsidRPr="008A72D9">
        <w:rPr>
          <w:rFonts w:ascii="Palatino Linotype" w:hAnsi="Palatino Linotype" w:cs="Arial"/>
          <w:b/>
          <w:color w:val="000000" w:themeColor="text1"/>
        </w:rPr>
        <w:fldChar w:fldCharType="begin"/>
      </w:r>
      <w:r w:rsidR="00935EB5" w:rsidRPr="008A72D9">
        <w:rPr>
          <w:rFonts w:ascii="Palatino Linotype" w:hAnsi="Palatino Linotype" w:cs="Arial"/>
          <w:b/>
          <w:color w:val="000000" w:themeColor="text1"/>
        </w:rPr>
        <w:instrText xml:space="preserve"> REF _Ref528751948 \r \h  \* MERGEFORMAT </w:instrText>
      </w:r>
      <w:r w:rsidR="00AF652C" w:rsidRPr="008A72D9">
        <w:rPr>
          <w:rFonts w:ascii="Palatino Linotype" w:hAnsi="Palatino Linotype" w:cs="Arial"/>
          <w:b/>
          <w:color w:val="000000" w:themeColor="text1"/>
        </w:rPr>
      </w:r>
      <w:r w:rsidR="00AF652C" w:rsidRPr="008A72D9">
        <w:rPr>
          <w:rFonts w:ascii="Palatino Linotype" w:hAnsi="Palatino Linotype" w:cs="Arial"/>
          <w:b/>
          <w:color w:val="000000" w:themeColor="text1"/>
        </w:rPr>
        <w:fldChar w:fldCharType="separate"/>
      </w:r>
      <w:r w:rsidR="00935EB5" w:rsidRPr="008A72D9">
        <w:rPr>
          <w:rFonts w:ascii="Palatino Linotype" w:hAnsi="Palatino Linotype" w:cs="Arial"/>
          <w:b/>
          <w:color w:val="000000" w:themeColor="text1"/>
        </w:rPr>
        <w:t>QUINTO</w:t>
      </w:r>
      <w:r w:rsidR="00AF652C" w:rsidRPr="008A72D9">
        <w:rPr>
          <w:rFonts w:ascii="Palatino Linotype" w:hAnsi="Palatino Linotype" w:cs="Arial"/>
          <w:b/>
          <w:color w:val="000000" w:themeColor="text1"/>
        </w:rPr>
        <w:fldChar w:fldCharType="end"/>
      </w:r>
      <w:r w:rsidR="00935EB5" w:rsidRPr="008A72D9">
        <w:rPr>
          <w:rFonts w:ascii="Palatino Linotype" w:hAnsi="Palatino Linotype" w:cs="Arial"/>
          <w:b/>
          <w:color w:val="000000" w:themeColor="text1"/>
        </w:rPr>
        <w:t xml:space="preserve"> </w:t>
      </w:r>
      <w:r w:rsidR="00935EB5" w:rsidRPr="008A72D9">
        <w:rPr>
          <w:rFonts w:ascii="Palatino Linotype" w:hAnsi="Palatino Linotype" w:cs="Arial"/>
          <w:color w:val="000000" w:themeColor="text1"/>
        </w:rPr>
        <w:t>de la presente resolución.</w:t>
      </w:r>
    </w:p>
    <w:p w:rsidR="00935EB5" w:rsidRPr="008A72D9" w:rsidRDefault="00935EB5" w:rsidP="00935EB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rPr>
      </w:pPr>
      <w:r w:rsidRPr="00935EB5">
        <w:rPr>
          <w:rFonts w:ascii="Palatino Linotype" w:hAnsi="Palatino Linotype" w:cs="Arial"/>
          <w:b/>
          <w:color w:val="222222"/>
          <w:sz w:val="28"/>
          <w:szCs w:val="28"/>
          <w:shd w:val="clear" w:color="auto" w:fill="FFFFFF"/>
        </w:rPr>
        <w:t>SEGUNDO</w:t>
      </w:r>
      <w:r>
        <w:rPr>
          <w:rFonts w:ascii="Palatino Linotype" w:hAnsi="Palatino Linotype" w:cs="Arial"/>
          <w:b/>
          <w:color w:val="222222"/>
          <w:shd w:val="clear" w:color="auto" w:fill="FFFFFF"/>
        </w:rPr>
        <w:t xml:space="preserve">. </w:t>
      </w:r>
      <w:r w:rsidRPr="008A72D9">
        <w:rPr>
          <w:rFonts w:ascii="Palatino Linotype" w:hAnsi="Palatino Linotype" w:cs="Arial"/>
          <w:b/>
          <w:color w:val="222222"/>
          <w:shd w:val="clear" w:color="auto" w:fill="FFFFFF"/>
        </w:rPr>
        <w:t xml:space="preserve">Notifíquese </w:t>
      </w:r>
      <w:r w:rsidRPr="008A72D9">
        <w:rPr>
          <w:rFonts w:ascii="Palatino Linotype" w:hAnsi="Palatino Linotype" w:cs="Arial"/>
          <w:color w:val="222222"/>
          <w:shd w:val="clear" w:color="auto" w:fill="FFFFFF"/>
        </w:rPr>
        <w:t xml:space="preserve">al </w:t>
      </w:r>
      <w:r w:rsidRPr="00935EB5">
        <w:rPr>
          <w:rFonts w:ascii="Palatino Linotype" w:hAnsi="Palatino Linotype" w:cs="Arial"/>
          <w:color w:val="000000" w:themeColor="text1"/>
        </w:rPr>
        <w:t>Titular de la Unidad de Transparencia</w:t>
      </w:r>
      <w:r w:rsidRPr="008A72D9">
        <w:rPr>
          <w:rFonts w:ascii="Palatino Linotype" w:hAnsi="Palatino Linotype" w:cs="Arial"/>
          <w:color w:val="222222"/>
          <w:shd w:val="clear" w:color="auto" w:fill="FFFFFF"/>
        </w:rPr>
        <w:t xml:space="preserve"> del</w:t>
      </w:r>
      <w:r w:rsidRPr="008A72D9">
        <w:rPr>
          <w:rStyle w:val="apple-converted-space"/>
          <w:rFonts w:ascii="Palatino Linotype" w:hAnsi="Palatino Linotype" w:cs="Arial"/>
          <w:color w:val="222222"/>
          <w:shd w:val="clear" w:color="auto" w:fill="FFFFFF"/>
        </w:rPr>
        <w:t xml:space="preserve"> </w:t>
      </w:r>
      <w:r w:rsidRPr="008A72D9">
        <w:rPr>
          <w:rFonts w:ascii="Palatino Linotype" w:hAnsi="Palatino Linotype" w:cs="Arial"/>
          <w:b/>
          <w:color w:val="222222"/>
          <w:shd w:val="clear" w:color="auto" w:fill="FFFFFF"/>
        </w:rPr>
        <w:t>SUJETO OBLIGADO</w:t>
      </w:r>
      <w:r w:rsidRPr="008A72D9">
        <w:rPr>
          <w:rFonts w:ascii="Palatino Linotype" w:hAnsi="Palatino Linotype" w:cs="Arial"/>
          <w:color w:val="222222"/>
          <w:shd w:val="clear" w:color="auto" w:fill="FFFFFF"/>
        </w:rPr>
        <w:t xml:space="preserve"> para su conocimiento.</w:t>
      </w:r>
    </w:p>
    <w:p w:rsidR="00935EB5" w:rsidRPr="008A72D9" w:rsidRDefault="00935EB5" w:rsidP="00935EB5">
      <w:pPr>
        <w:pStyle w:val="Prrafodelista"/>
        <w:widowControl w:val="0"/>
        <w:tabs>
          <w:tab w:val="left" w:pos="1701"/>
        </w:tabs>
        <w:autoSpaceDE w:val="0"/>
        <w:autoSpaceDN w:val="0"/>
        <w:adjustRightInd w:val="0"/>
        <w:spacing w:before="240" w:after="240" w:line="360" w:lineRule="auto"/>
        <w:ind w:left="0"/>
        <w:jc w:val="both"/>
        <w:rPr>
          <w:rFonts w:ascii="Palatino Linotype" w:eastAsiaTheme="minorEastAsia" w:hAnsi="Palatino Linotype"/>
          <w:color w:val="222222"/>
          <w:lang w:eastAsia="es-ES_tradnl"/>
        </w:rPr>
      </w:pPr>
      <w:r w:rsidRPr="00935EB5">
        <w:rPr>
          <w:rFonts w:ascii="Palatino Linotype" w:eastAsiaTheme="minorEastAsia" w:hAnsi="Palatino Linotype"/>
          <w:b/>
          <w:color w:val="222222"/>
          <w:sz w:val="28"/>
          <w:szCs w:val="28"/>
          <w:lang w:eastAsia="es-ES_tradnl"/>
        </w:rPr>
        <w:t>TERCERO</w:t>
      </w:r>
      <w:r>
        <w:rPr>
          <w:rFonts w:ascii="Palatino Linotype" w:eastAsiaTheme="minorEastAsia" w:hAnsi="Palatino Linotype"/>
          <w:b/>
          <w:color w:val="222222"/>
          <w:lang w:eastAsia="es-ES_tradnl"/>
        </w:rPr>
        <w:t xml:space="preserve">. </w:t>
      </w:r>
      <w:r w:rsidRPr="008A72D9">
        <w:rPr>
          <w:rFonts w:ascii="Palatino Linotype" w:eastAsiaTheme="minorEastAsia" w:hAnsi="Palatino Linotype"/>
          <w:b/>
          <w:color w:val="222222"/>
          <w:lang w:eastAsia="es-ES_tradnl"/>
        </w:rPr>
        <w:t>Notifíquese</w:t>
      </w:r>
      <w:r w:rsidRPr="008A72D9">
        <w:rPr>
          <w:rFonts w:ascii="Palatino Linotype" w:eastAsiaTheme="minorEastAsia" w:hAnsi="Palatino Linotype"/>
          <w:color w:val="222222"/>
          <w:lang w:eastAsia="es-ES_tradnl"/>
        </w:rPr>
        <w:t xml:space="preserve"> a</w:t>
      </w:r>
      <w:r>
        <w:rPr>
          <w:rFonts w:ascii="Palatino Linotype" w:eastAsiaTheme="minorEastAsia" w:hAnsi="Palatino Linotype"/>
          <w:color w:val="222222"/>
          <w:lang w:eastAsia="es-ES_tradnl"/>
        </w:rPr>
        <w:t xml:space="preserve"> </w:t>
      </w:r>
      <w:r w:rsidRPr="00935EB5">
        <w:rPr>
          <w:rFonts w:ascii="Palatino Linotype" w:eastAsiaTheme="minorEastAsia" w:hAnsi="Palatino Linotype"/>
          <w:b/>
          <w:color w:val="222222"/>
          <w:lang w:eastAsia="es-ES_tradnl"/>
        </w:rPr>
        <w:t>LA</w:t>
      </w:r>
      <w:r>
        <w:rPr>
          <w:rFonts w:ascii="Palatino Linotype" w:eastAsiaTheme="minorEastAsia" w:hAnsi="Palatino Linotype"/>
          <w:color w:val="222222"/>
          <w:lang w:eastAsia="es-ES_tradnl"/>
        </w:rPr>
        <w:t xml:space="preserve"> </w:t>
      </w:r>
      <w:r w:rsidRPr="008A72D9">
        <w:rPr>
          <w:rFonts w:ascii="Palatino Linotype" w:hAnsi="Palatino Linotype" w:cs="Arial"/>
          <w:b/>
        </w:rPr>
        <w:t>RECURRENTE</w:t>
      </w:r>
      <w:r w:rsidRPr="008A72D9">
        <w:rPr>
          <w:rFonts w:ascii="Palatino Linotype" w:eastAsiaTheme="minorEastAsia" w:hAnsi="Palatino Linotype"/>
          <w:color w:val="222222"/>
          <w:lang w:eastAsia="es-ES_tradnl"/>
        </w:rPr>
        <w:t xml:space="preserve"> la </w:t>
      </w:r>
      <w:r w:rsidRPr="008A72D9">
        <w:rPr>
          <w:rFonts w:ascii="Palatino Linotype" w:hAnsi="Palatino Linotype"/>
          <w:lang w:eastAsia="es-ES_tradnl"/>
        </w:rPr>
        <w:t>presente</w:t>
      </w:r>
      <w:r w:rsidRPr="008A72D9">
        <w:rPr>
          <w:rFonts w:ascii="Palatino Linotype" w:eastAsiaTheme="minorEastAsia" w:hAnsi="Palatino Linotype"/>
          <w:color w:val="222222"/>
          <w:lang w:eastAsia="es-ES_tradnl"/>
        </w:rPr>
        <w:t xml:space="preserve"> resolución.</w:t>
      </w:r>
    </w:p>
    <w:p w:rsidR="00935EB5" w:rsidRPr="008A72D9" w:rsidRDefault="00935EB5" w:rsidP="00935EB5">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olor w:val="222222"/>
          <w:lang w:eastAsia="es-MX"/>
        </w:rPr>
      </w:pPr>
      <w:r w:rsidRPr="00935EB5">
        <w:rPr>
          <w:rFonts w:ascii="Palatino Linotype" w:eastAsiaTheme="minorEastAsia" w:hAnsi="Palatino Linotype"/>
          <w:b/>
          <w:color w:val="222222"/>
          <w:sz w:val="28"/>
          <w:szCs w:val="28"/>
          <w:lang w:eastAsia="es-ES_tradnl"/>
        </w:rPr>
        <w:t>CUARTO</w:t>
      </w:r>
      <w:r>
        <w:rPr>
          <w:rFonts w:ascii="Palatino Linotype" w:eastAsiaTheme="minorEastAsia" w:hAnsi="Palatino Linotype"/>
          <w:b/>
          <w:color w:val="222222"/>
          <w:lang w:eastAsia="es-ES_tradnl"/>
        </w:rPr>
        <w:t xml:space="preserve">. </w:t>
      </w:r>
      <w:r w:rsidRPr="008A72D9">
        <w:rPr>
          <w:rFonts w:ascii="Palatino Linotype" w:eastAsiaTheme="minorEastAsia" w:hAnsi="Palatino Linotype"/>
          <w:b/>
          <w:color w:val="222222"/>
          <w:lang w:eastAsia="es-ES_tradnl"/>
        </w:rPr>
        <w:t>Hágase del conocimiento</w:t>
      </w:r>
      <w:r w:rsidRPr="008A72D9">
        <w:rPr>
          <w:rFonts w:ascii="Palatino Linotype" w:eastAsiaTheme="minorEastAsia" w:hAnsi="Palatino Linotype"/>
          <w:color w:val="222222"/>
          <w:lang w:eastAsia="es-ES_tradnl"/>
        </w:rPr>
        <w:t xml:space="preserve"> a</w:t>
      </w:r>
      <w:r w:rsidRPr="008A72D9">
        <w:rPr>
          <w:rFonts w:ascii="Palatino Linotype" w:hAnsi="Palatino Linotype"/>
          <w:b/>
        </w:rPr>
        <w:t xml:space="preserve"> </w:t>
      </w:r>
      <w:r>
        <w:rPr>
          <w:rFonts w:ascii="Palatino Linotype" w:hAnsi="Palatino Linotype"/>
          <w:b/>
        </w:rPr>
        <w:t xml:space="preserve">LA </w:t>
      </w:r>
      <w:r w:rsidRPr="008A72D9">
        <w:rPr>
          <w:rFonts w:ascii="Palatino Linotype" w:hAnsi="Palatino Linotype"/>
          <w:b/>
        </w:rPr>
        <w:t>RECURRENTE</w:t>
      </w:r>
      <w:r w:rsidRPr="008A72D9">
        <w:rPr>
          <w:rFonts w:ascii="Palatino Linotype" w:eastAsiaTheme="minorEastAsia" w:hAnsi="Palatino Linotype"/>
          <w:color w:val="222222"/>
          <w:lang w:eastAsia="es-ES_tradnl"/>
        </w:rPr>
        <w:t xml:space="preserve"> que, de </w:t>
      </w:r>
      <w:r w:rsidRPr="008A72D9">
        <w:rPr>
          <w:rFonts w:ascii="Palatino Linotype" w:hAnsi="Palatino Linotype"/>
          <w:lang w:eastAsia="es-ES_tradnl"/>
        </w:rPr>
        <w:t>conformidad</w:t>
      </w:r>
      <w:r w:rsidRPr="008A72D9">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176C0E" w:rsidRDefault="00A36D79" w:rsidP="006F0A02">
      <w:pPr>
        <w:spacing w:before="100" w:beforeAutospacing="1" w:after="100" w:afterAutospacing="1" w:line="360" w:lineRule="auto"/>
        <w:contextualSpacing/>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ASÍ LO RESUELVE, POR UNANIMIDAD </w:t>
      </w:r>
      <w:r w:rsidR="00441B91" w:rsidRPr="008F6701">
        <w:rPr>
          <w:rFonts w:ascii="Palatino Linotype" w:hAnsi="Palatino Linotype" w:cs="Arial"/>
          <w:color w:val="000000" w:themeColor="text1"/>
          <w:lang w:val="es-ES"/>
        </w:rPr>
        <w:t>DE VOTOS EL PLENO DEL</w:t>
      </w:r>
      <w:r w:rsidR="00441B91" w:rsidRPr="008F6701">
        <w:rPr>
          <w:rFonts w:ascii="Palatino Linotype" w:eastAsia="Arial Unicode MS" w:hAnsi="Palatino Linotype" w:cs="Arial"/>
          <w:color w:val="000000" w:themeColor="text1"/>
          <w:lang w:val="es-ES"/>
        </w:rPr>
        <w:t xml:space="preserve"> INSTITUTO DE </w:t>
      </w:r>
      <w:r w:rsidR="00441B91" w:rsidRPr="008F6701">
        <w:rPr>
          <w:rFonts w:ascii="Palatino Linotype" w:hAnsi="Palatino Linotype"/>
          <w:color w:val="000000" w:themeColor="text1"/>
          <w:lang w:val="es-ES" w:eastAsia="en-US"/>
        </w:rPr>
        <w:t>TRANSPARENCIA</w:t>
      </w:r>
      <w:r w:rsidR="00441B91" w:rsidRPr="008F6701">
        <w:rPr>
          <w:rFonts w:ascii="Palatino Linotype" w:eastAsia="Arial Unicode MS" w:hAnsi="Palatino Linotype" w:cs="Arial"/>
          <w:color w:val="000000" w:themeColor="text1"/>
          <w:lang w:val="es-ES"/>
        </w:rPr>
        <w:t>, ACCESO A LA INFORMACIÓN PÚBLICA Y PROTECCIÓN DE DATOS PERSONALES DEL ESTADO DE MÉXICO Y MUNICIPIOS</w:t>
      </w:r>
      <w:r w:rsidR="00441B91" w:rsidRPr="008F6701">
        <w:rPr>
          <w:rFonts w:ascii="Palatino Linotype" w:hAnsi="Palatino Linotype" w:cs="Arial"/>
          <w:color w:val="000000" w:themeColor="text1"/>
          <w:lang w:val="es-ES"/>
        </w:rPr>
        <w:t>, CONFORMADO POR LOS COMISIONADOS ZULEMA MARTÍNEZ SÁNCHEZ; EVA ABAID YAPUR; JOSÉ GUADALUPE LUNA HERNÁNDEZ, JAVIER MARTÍNEZ CRUZ Y LUIS GUSTA</w:t>
      </w:r>
      <w:r w:rsidR="00441B91" w:rsidRPr="00176C0E">
        <w:rPr>
          <w:rFonts w:ascii="Palatino Linotype" w:hAnsi="Palatino Linotype" w:cs="Arial"/>
          <w:color w:val="000000" w:themeColor="text1"/>
          <w:lang w:val="es-ES"/>
        </w:rPr>
        <w:t xml:space="preserve">VO PARRA NORIEGA; </w:t>
      </w:r>
      <w:r w:rsidR="00441B91" w:rsidRPr="00176C0E">
        <w:rPr>
          <w:rFonts w:ascii="Palatino Linotype" w:hAnsi="Palatino Linotype" w:cs="Arial"/>
          <w:color w:val="000000" w:themeColor="text1"/>
          <w:shd w:val="clear" w:color="auto" w:fill="FFFFFF" w:themeFill="background1"/>
          <w:lang w:val="es-ES"/>
        </w:rPr>
        <w:t xml:space="preserve">EN LA DÉCIMA </w:t>
      </w:r>
      <w:r w:rsidR="00935EB5" w:rsidRPr="00176C0E">
        <w:rPr>
          <w:rFonts w:ascii="Palatino Linotype" w:hAnsi="Palatino Linotype" w:cs="Arial"/>
          <w:color w:val="000000" w:themeColor="text1"/>
          <w:shd w:val="clear" w:color="auto" w:fill="FFFFFF" w:themeFill="background1"/>
          <w:lang w:val="es-ES"/>
        </w:rPr>
        <w:lastRenderedPageBreak/>
        <w:t>SÉPTIMA</w:t>
      </w:r>
      <w:r w:rsidR="00441B91" w:rsidRPr="00176C0E">
        <w:rPr>
          <w:rFonts w:ascii="Palatino Linotype" w:hAnsi="Palatino Linotype" w:cs="Arial"/>
          <w:color w:val="000000" w:themeColor="text1"/>
          <w:shd w:val="clear" w:color="auto" w:fill="FFFFFF" w:themeFill="background1"/>
          <w:lang w:val="es-ES"/>
        </w:rPr>
        <w:t xml:space="preserve"> </w:t>
      </w:r>
      <w:r w:rsidR="00441B91" w:rsidRPr="00176C0E">
        <w:rPr>
          <w:rFonts w:ascii="Palatino Linotype" w:hAnsi="Palatino Linotype" w:cs="Arial"/>
          <w:color w:val="000000" w:themeColor="text1"/>
          <w:lang w:val="es-ES"/>
        </w:rPr>
        <w:t xml:space="preserve">SESIÓN ORDINARIA CELEBRADA EL </w:t>
      </w:r>
      <w:r w:rsidR="006F0A02" w:rsidRPr="00176C0E">
        <w:rPr>
          <w:rFonts w:ascii="Palatino Linotype" w:hAnsi="Palatino Linotype" w:cs="Arial"/>
          <w:color w:val="000000" w:themeColor="text1"/>
          <w:lang w:val="es-ES"/>
        </w:rPr>
        <w:t xml:space="preserve">NUEVE DE SEPTIEMBRE </w:t>
      </w:r>
      <w:r w:rsidR="00441B91" w:rsidRPr="00176C0E">
        <w:rPr>
          <w:rFonts w:ascii="Palatino Linotype" w:hAnsi="Palatino Linotype" w:cs="Arial"/>
          <w:color w:val="000000" w:themeColor="text1"/>
          <w:lang w:val="es-ES"/>
        </w:rPr>
        <w:t>DE DOS MIL VEINTE, ANTE EL SECRET</w:t>
      </w:r>
      <w:r w:rsidR="00441B91" w:rsidRPr="008F6701">
        <w:rPr>
          <w:rFonts w:ascii="Palatino Linotype" w:hAnsi="Palatino Linotype" w:cs="Arial"/>
          <w:color w:val="000000" w:themeColor="text1"/>
          <w:lang w:val="es-ES"/>
        </w:rPr>
        <w:t xml:space="preserve">ARIO TÉCNICO DEL PLENO, </w:t>
      </w:r>
      <w:r w:rsidR="00441B91" w:rsidRPr="008F6701">
        <w:rPr>
          <w:rFonts w:ascii="Palatino Linotype" w:eastAsia="Arial Unicode MS" w:hAnsi="Palatino Linotype" w:cs="Arial"/>
          <w:color w:val="000000" w:themeColor="text1"/>
          <w:lang w:val="es-ES"/>
        </w:rPr>
        <w:t>ALEXIS</w:t>
      </w:r>
      <w:r w:rsidR="00441B91" w:rsidRPr="008F6701">
        <w:rPr>
          <w:rFonts w:ascii="Palatino Linotype" w:hAnsi="Palatino Linotype" w:cs="Arial"/>
          <w:color w:val="000000" w:themeColor="text1"/>
          <w:lang w:val="es-ES"/>
        </w:rPr>
        <w:t xml:space="preserve"> TAPIA RAMÍREZ.</w:t>
      </w:r>
    </w:p>
    <w:p w:rsidR="00441B91" w:rsidRPr="008F6701" w:rsidRDefault="00441B91" w:rsidP="006F0A02">
      <w:pPr>
        <w:spacing w:before="100" w:beforeAutospacing="1" w:after="100" w:afterAutospacing="1" w:line="360" w:lineRule="auto"/>
        <w:contextualSpacing/>
        <w:jc w:val="both"/>
        <w:rPr>
          <w:rFonts w:ascii="Palatino Linotype" w:hAnsi="Palatino Linotype" w:cs="Arial"/>
          <w:color w:val="000000" w:themeColor="text1"/>
          <w:lang w:val="es-ES"/>
        </w:rPr>
      </w:pPr>
    </w:p>
    <w:tbl>
      <w:tblPr>
        <w:tblW w:w="9214" w:type="dxa"/>
        <w:jc w:val="center"/>
        <w:tblLayout w:type="fixed"/>
        <w:tblLook w:val="04A0" w:firstRow="1" w:lastRow="0" w:firstColumn="1" w:lastColumn="0" w:noHBand="0" w:noVBand="1"/>
      </w:tblPr>
      <w:tblGrid>
        <w:gridCol w:w="4756"/>
        <w:gridCol w:w="4458"/>
      </w:tblGrid>
      <w:tr w:rsidR="00176C0E" w:rsidRPr="00F26BCD">
        <w:trPr>
          <w:jc w:val="center"/>
        </w:trPr>
        <w:tc>
          <w:tcPr>
            <w:tcW w:w="9214" w:type="dxa"/>
            <w:gridSpan w:val="2"/>
            <w:shd w:val="clear" w:color="auto" w:fill="auto"/>
          </w:tcPr>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Pr="00F26BCD" w:rsidRDefault="00176C0E" w:rsidP="00341B70">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176C0E" w:rsidRPr="00F26BCD" w:rsidRDefault="00176C0E" w:rsidP="00341B70">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176C0E" w:rsidRPr="00F26BCD" w:rsidRDefault="00176C0E"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176C0E" w:rsidRPr="00F26BCD">
        <w:trPr>
          <w:jc w:val="center"/>
        </w:trPr>
        <w:tc>
          <w:tcPr>
            <w:tcW w:w="4756" w:type="dxa"/>
            <w:shd w:val="clear" w:color="auto" w:fill="auto"/>
          </w:tcPr>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Pr="00F26BCD" w:rsidRDefault="00176C0E" w:rsidP="00341B70">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176C0E" w:rsidRPr="00F26BCD" w:rsidRDefault="00176C0E" w:rsidP="00341B70">
            <w:pPr>
              <w:jc w:val="center"/>
              <w:rPr>
                <w:rFonts w:ascii="Palatino Linotype" w:hAnsi="Palatino Linotype" w:cs="Arial"/>
                <w:lang w:val="es-ES_tradnl"/>
              </w:rPr>
            </w:pPr>
            <w:r w:rsidRPr="00F26BCD">
              <w:rPr>
                <w:rFonts w:ascii="Palatino Linotype" w:hAnsi="Palatino Linotype" w:cs="Arial"/>
                <w:lang w:val="es-ES_tradnl"/>
              </w:rPr>
              <w:t>Comisionada</w:t>
            </w:r>
          </w:p>
          <w:p w:rsidR="00176C0E" w:rsidRPr="00F26BCD" w:rsidRDefault="00176C0E" w:rsidP="00341B70">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Pr="00F26BCD" w:rsidRDefault="00176C0E" w:rsidP="00341B70">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176C0E" w:rsidRPr="00F26BCD" w:rsidRDefault="00176C0E" w:rsidP="00341B70">
            <w:pPr>
              <w:jc w:val="center"/>
              <w:rPr>
                <w:rFonts w:ascii="Palatino Linotype" w:hAnsi="Palatino Linotype" w:cs="Arial"/>
                <w:lang w:val="es-ES_tradnl"/>
              </w:rPr>
            </w:pPr>
            <w:r w:rsidRPr="00F26BCD">
              <w:rPr>
                <w:rFonts w:ascii="Palatino Linotype" w:hAnsi="Palatino Linotype" w:cs="Arial"/>
                <w:lang w:val="es-ES_tradnl"/>
              </w:rPr>
              <w:t>Comisionado</w:t>
            </w:r>
          </w:p>
          <w:p w:rsidR="00176C0E" w:rsidRPr="00F26BCD" w:rsidRDefault="00176C0E"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176C0E" w:rsidRPr="00F26BCD">
        <w:trPr>
          <w:jc w:val="center"/>
        </w:trPr>
        <w:tc>
          <w:tcPr>
            <w:tcW w:w="4756" w:type="dxa"/>
            <w:shd w:val="clear" w:color="auto" w:fill="auto"/>
          </w:tcPr>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Pr="00F26BCD" w:rsidRDefault="00176C0E" w:rsidP="00341B70">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176C0E" w:rsidRPr="00F26BCD" w:rsidRDefault="00176C0E" w:rsidP="00341B70">
            <w:pPr>
              <w:jc w:val="center"/>
              <w:rPr>
                <w:rFonts w:ascii="Palatino Linotype" w:hAnsi="Palatino Linotype" w:cs="Arial"/>
                <w:lang w:val="es-ES_tradnl"/>
              </w:rPr>
            </w:pPr>
            <w:r w:rsidRPr="00F26BCD">
              <w:rPr>
                <w:rFonts w:ascii="Palatino Linotype" w:hAnsi="Palatino Linotype" w:cs="Arial"/>
                <w:lang w:val="es-ES_tradnl"/>
              </w:rPr>
              <w:t>Comisionado</w:t>
            </w:r>
          </w:p>
          <w:p w:rsidR="00176C0E" w:rsidRPr="00F26BCD" w:rsidRDefault="00176C0E" w:rsidP="00341B70">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Pr="00F26BCD" w:rsidRDefault="00176C0E" w:rsidP="00341B70">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176C0E" w:rsidRPr="00F26BCD" w:rsidRDefault="00176C0E" w:rsidP="00341B70">
            <w:pPr>
              <w:jc w:val="center"/>
              <w:rPr>
                <w:rFonts w:ascii="Palatino Linotype" w:hAnsi="Palatino Linotype" w:cs="Arial"/>
                <w:lang w:val="es-ES_tradnl"/>
              </w:rPr>
            </w:pPr>
            <w:r w:rsidRPr="00F26BCD">
              <w:rPr>
                <w:rFonts w:ascii="Palatino Linotype" w:hAnsi="Palatino Linotype" w:cs="Arial"/>
                <w:lang w:val="es-ES_tradnl"/>
              </w:rPr>
              <w:t>Comisionado</w:t>
            </w:r>
          </w:p>
          <w:p w:rsidR="00176C0E" w:rsidRPr="00F26BCD" w:rsidRDefault="00176C0E"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176C0E" w:rsidRPr="00F26BCD">
        <w:trPr>
          <w:jc w:val="center"/>
        </w:trPr>
        <w:tc>
          <w:tcPr>
            <w:tcW w:w="9214" w:type="dxa"/>
            <w:gridSpan w:val="2"/>
            <w:shd w:val="clear" w:color="auto" w:fill="auto"/>
          </w:tcPr>
          <w:p w:rsidR="00176C0E" w:rsidRDefault="00176C0E" w:rsidP="00341B70">
            <w:pPr>
              <w:jc w:val="center"/>
              <w:rPr>
                <w:rFonts w:ascii="Palatino Linotype" w:hAnsi="Palatino Linotype" w:cs="Arial"/>
                <w:b/>
                <w:lang w:val="es-ES_tradnl"/>
              </w:rPr>
            </w:pPr>
          </w:p>
          <w:p w:rsidR="004B7636" w:rsidRDefault="004B7636"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Default="00176C0E" w:rsidP="00341B70">
            <w:pPr>
              <w:jc w:val="center"/>
              <w:rPr>
                <w:rFonts w:ascii="Palatino Linotype" w:hAnsi="Palatino Linotype" w:cs="Arial"/>
                <w:b/>
                <w:lang w:val="es-ES_tradnl"/>
              </w:rPr>
            </w:pPr>
          </w:p>
          <w:p w:rsidR="00176C0E" w:rsidRPr="00F26BCD" w:rsidRDefault="00176C0E" w:rsidP="00341B70">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176C0E" w:rsidRPr="00F26BCD" w:rsidRDefault="00176C0E" w:rsidP="00341B70">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176C0E" w:rsidRPr="00F26BCD" w:rsidRDefault="00176C0E" w:rsidP="00A23404">
            <w:pPr>
              <w:jc w:val="center"/>
              <w:rPr>
                <w:rFonts w:ascii="Palatino Linotype" w:hAnsi="Palatino Linotype" w:cs="Arial"/>
                <w:lang w:val="es-ES_tradnl"/>
              </w:rPr>
            </w:pPr>
            <w:r w:rsidRPr="00F26BCD">
              <w:rPr>
                <w:rFonts w:ascii="Palatino Linotype" w:hAnsi="Palatino Linotype" w:cs="Arial"/>
                <w:b/>
                <w:lang w:val="es-ES_tradnl"/>
              </w:rPr>
              <w:lastRenderedPageBreak/>
              <w:t>(RÚBRICA)</w:t>
            </w:r>
            <w:r w:rsidRPr="00F26BCD">
              <w:rPr>
                <w:rFonts w:ascii="Palatino Linotype" w:hAnsi="Palatino Linotype" w:cs="Arial"/>
                <w:lang w:val="es-ES_tradnl"/>
              </w:rPr>
              <w:t xml:space="preserve"> </w:t>
            </w:r>
          </w:p>
        </w:tc>
      </w:tr>
    </w:tbl>
    <w:p w:rsidR="00176C0E" w:rsidRDefault="00176C0E" w:rsidP="00441B91">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rsidR="00441B91" w:rsidRPr="008F6701" w:rsidRDefault="00441B91" w:rsidP="00441B91">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r w:rsidRPr="008F6701">
        <w:rPr>
          <w:rFonts w:ascii="Palatino Linotype" w:eastAsiaTheme="minorEastAsia" w:hAnsi="Palatino Linotype" w:cs="Arial"/>
          <w:color w:val="000000" w:themeColor="text1"/>
          <w:sz w:val="20"/>
          <w:szCs w:val="20"/>
          <w:lang w:val="es-ES_tradnl"/>
        </w:rPr>
        <w:t xml:space="preserve">Esta hoja corresponde a la resolución de </w:t>
      </w:r>
      <w:r w:rsidR="006F0A02">
        <w:rPr>
          <w:rFonts w:ascii="Palatino Linotype" w:eastAsiaTheme="minorEastAsia" w:hAnsi="Palatino Linotype" w:cs="Arial"/>
          <w:color w:val="000000" w:themeColor="text1"/>
          <w:sz w:val="20"/>
          <w:szCs w:val="20"/>
          <w:lang w:val="es-ES_tradnl"/>
        </w:rPr>
        <w:t xml:space="preserve">nueve de septiembre </w:t>
      </w:r>
      <w:r w:rsidRPr="008F6701">
        <w:rPr>
          <w:rFonts w:ascii="Palatino Linotype" w:eastAsiaTheme="minorEastAsia" w:hAnsi="Palatino Linotype" w:cs="Arial"/>
          <w:color w:val="000000" w:themeColor="text1"/>
          <w:sz w:val="20"/>
          <w:szCs w:val="20"/>
          <w:lang w:val="es-ES_tradnl"/>
        </w:rPr>
        <w:t xml:space="preserve">de dos mil veinte, emitida en </w:t>
      </w:r>
      <w:r w:rsidR="006F0A02">
        <w:rPr>
          <w:rFonts w:ascii="Palatino Linotype" w:eastAsiaTheme="minorEastAsia" w:hAnsi="Palatino Linotype" w:cs="Arial"/>
          <w:color w:val="000000" w:themeColor="text1"/>
          <w:sz w:val="20"/>
          <w:szCs w:val="20"/>
          <w:lang w:val="es-ES_tradnl"/>
        </w:rPr>
        <w:t xml:space="preserve">el recurso </w:t>
      </w:r>
      <w:r w:rsidRPr="008F6701">
        <w:rPr>
          <w:rFonts w:ascii="Palatino Linotype" w:eastAsiaTheme="minorEastAsia" w:hAnsi="Palatino Linotype" w:cs="Arial"/>
          <w:color w:val="000000" w:themeColor="text1"/>
          <w:sz w:val="20"/>
          <w:szCs w:val="20"/>
          <w:lang w:val="es-ES_tradnl"/>
        </w:rPr>
        <w:t>de revisión 0</w:t>
      </w:r>
      <w:r w:rsidR="006F0A02">
        <w:rPr>
          <w:rFonts w:ascii="Palatino Linotype" w:eastAsiaTheme="minorEastAsia" w:hAnsi="Palatino Linotype" w:cs="Arial"/>
          <w:color w:val="000000" w:themeColor="text1"/>
          <w:sz w:val="20"/>
          <w:szCs w:val="20"/>
          <w:lang w:val="es-ES_tradnl"/>
        </w:rPr>
        <w:t>2177</w:t>
      </w:r>
      <w:r w:rsidRPr="008F6701">
        <w:rPr>
          <w:rFonts w:ascii="Palatino Linotype" w:eastAsiaTheme="minorEastAsia" w:hAnsi="Palatino Linotype" w:cs="Arial"/>
          <w:color w:val="000000" w:themeColor="text1"/>
          <w:sz w:val="20"/>
          <w:szCs w:val="20"/>
          <w:lang w:val="es-ES_tradnl"/>
        </w:rPr>
        <w:t>/INFOEM/IP/RR/2020.</w:t>
      </w:r>
    </w:p>
    <w:p w:rsidR="00441B91" w:rsidRPr="008F6701" w:rsidRDefault="006F0A02" w:rsidP="006F0A02">
      <w:pPr>
        <w:spacing w:before="100" w:beforeAutospacing="1" w:after="100" w:afterAutospacing="1"/>
        <w:contextualSpacing/>
        <w:jc w:val="both"/>
        <w:rPr>
          <w:rFonts w:ascii="Palatino Linotype" w:hAnsi="Palatino Linotype"/>
        </w:rPr>
      </w:pPr>
      <w:r>
        <w:rPr>
          <w:rFonts w:ascii="Palatino Linotype" w:eastAsiaTheme="minorEastAsia" w:hAnsi="Palatino Linotype" w:cs="Arial"/>
          <w:color w:val="000000" w:themeColor="text1"/>
          <w:sz w:val="20"/>
          <w:szCs w:val="20"/>
          <w:lang w:val="es-ES_tradnl"/>
        </w:rPr>
        <w:t>YSM/ATU/AMV</w:t>
      </w:r>
    </w:p>
    <w:sectPr w:rsidR="00441B91" w:rsidRPr="008F6701"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BDB" w:rsidRDefault="00483BDB" w:rsidP="00441B91">
      <w:r>
        <w:separator/>
      </w:r>
    </w:p>
  </w:endnote>
  <w:endnote w:type="continuationSeparator" w:id="0">
    <w:p w:rsidR="00483BDB" w:rsidRDefault="00483BDB" w:rsidP="0044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BE5" w:rsidRPr="0010196A" w:rsidRDefault="003E414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AF652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AF652C" w:rsidRPr="0010196A">
      <w:rPr>
        <w:rFonts w:ascii="Palatino Linotype" w:hAnsi="Palatino Linotype" w:cs="Arial"/>
        <w:bCs/>
        <w:sz w:val="22"/>
        <w:szCs w:val="22"/>
      </w:rPr>
      <w:fldChar w:fldCharType="separate"/>
    </w:r>
    <w:r w:rsidR="00F81130">
      <w:rPr>
        <w:rFonts w:ascii="Palatino Linotype" w:hAnsi="Palatino Linotype" w:cs="Arial"/>
        <w:bCs/>
        <w:noProof/>
        <w:sz w:val="22"/>
        <w:szCs w:val="22"/>
      </w:rPr>
      <w:t>13</w:t>
    </w:r>
    <w:r w:rsidR="00AF652C"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AF652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AF652C" w:rsidRPr="0010196A">
      <w:rPr>
        <w:rFonts w:ascii="Palatino Linotype" w:hAnsi="Palatino Linotype" w:cs="Arial"/>
        <w:bCs/>
        <w:sz w:val="22"/>
        <w:szCs w:val="22"/>
      </w:rPr>
      <w:fldChar w:fldCharType="separate"/>
    </w:r>
    <w:r w:rsidR="00F81130">
      <w:rPr>
        <w:rFonts w:ascii="Palatino Linotype" w:hAnsi="Palatino Linotype" w:cs="Arial"/>
        <w:bCs/>
        <w:noProof/>
        <w:sz w:val="22"/>
        <w:szCs w:val="22"/>
      </w:rPr>
      <w:t>15</w:t>
    </w:r>
    <w:r w:rsidR="00AF652C"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BE5" w:rsidRPr="0010196A" w:rsidRDefault="003E414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AF652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AF652C" w:rsidRPr="0010196A">
      <w:rPr>
        <w:rFonts w:ascii="Palatino Linotype" w:hAnsi="Palatino Linotype" w:cs="Arial"/>
        <w:bCs/>
        <w:sz w:val="22"/>
        <w:szCs w:val="22"/>
      </w:rPr>
      <w:fldChar w:fldCharType="separate"/>
    </w:r>
    <w:r w:rsidR="00F81130">
      <w:rPr>
        <w:rFonts w:ascii="Palatino Linotype" w:hAnsi="Palatino Linotype" w:cs="Arial"/>
        <w:bCs/>
        <w:noProof/>
        <w:sz w:val="22"/>
        <w:szCs w:val="22"/>
      </w:rPr>
      <w:t>1</w:t>
    </w:r>
    <w:r w:rsidR="00AF652C"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AF652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AF652C" w:rsidRPr="0010196A">
      <w:rPr>
        <w:rFonts w:ascii="Palatino Linotype" w:hAnsi="Palatino Linotype" w:cs="Arial"/>
        <w:bCs/>
        <w:sz w:val="22"/>
        <w:szCs w:val="22"/>
      </w:rPr>
      <w:fldChar w:fldCharType="separate"/>
    </w:r>
    <w:r w:rsidR="00F81130">
      <w:rPr>
        <w:rFonts w:ascii="Palatino Linotype" w:hAnsi="Palatino Linotype" w:cs="Arial"/>
        <w:bCs/>
        <w:noProof/>
        <w:sz w:val="22"/>
        <w:szCs w:val="22"/>
      </w:rPr>
      <w:t>15</w:t>
    </w:r>
    <w:r w:rsidR="00AF652C"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BDB" w:rsidRDefault="00483BDB" w:rsidP="00441B91">
      <w:r>
        <w:separator/>
      </w:r>
    </w:p>
  </w:footnote>
  <w:footnote w:type="continuationSeparator" w:id="0">
    <w:p w:rsidR="00483BDB" w:rsidRDefault="00483BDB" w:rsidP="00441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BE5" w:rsidRDefault="00483BD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BE5" w:rsidRPr="0010196A" w:rsidRDefault="00483BD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47BE5" w:rsidRPr="008F2CCC">
      <w:tc>
        <w:tcPr>
          <w:tcW w:w="3261" w:type="dxa"/>
          <w:vMerge w:val="restart"/>
        </w:tcPr>
        <w:p w:rsidR="00747BE5" w:rsidRPr="008F2CCC" w:rsidRDefault="003E4147" w:rsidP="00070856">
          <w:pPr>
            <w:rPr>
              <w:rFonts w:ascii="Palatino Linotype" w:hAnsi="Palatino Linotype"/>
              <w:b/>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747BE5" w:rsidRPr="00664658" w:rsidRDefault="003E4147" w:rsidP="00070856">
          <w:pPr>
            <w:rPr>
              <w:rFonts w:ascii="Palatino Linotype" w:hAnsi="Palatino Linotype"/>
              <w:b/>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747BE5" w:rsidRPr="00664658" w:rsidRDefault="003E4147" w:rsidP="00931B53">
          <w:pPr>
            <w:jc w:val="both"/>
            <w:rPr>
              <w:rFonts w:ascii="Palatino Linotype" w:hAnsi="Palatino Linotype"/>
              <w:b/>
              <w:lang w:val="es-ES_tradnl"/>
            </w:rPr>
          </w:pPr>
          <w:r>
            <w:rPr>
              <w:rFonts w:ascii="Palatino Linotype" w:hAnsi="Palatino Linotype"/>
              <w:b/>
              <w:sz w:val="22"/>
              <w:szCs w:val="22"/>
              <w:lang w:val="es-ES_tradnl"/>
            </w:rPr>
            <w:t>02177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747BE5" w:rsidRPr="008F2CCC">
      <w:tc>
        <w:tcPr>
          <w:tcW w:w="3261" w:type="dxa"/>
          <w:vMerge/>
        </w:tcPr>
        <w:p w:rsidR="00747BE5" w:rsidRPr="008F2CCC" w:rsidRDefault="00483BDB" w:rsidP="00D41D47">
          <w:pPr>
            <w:rPr>
              <w:rFonts w:ascii="Palatino Linotype" w:hAnsi="Palatino Linotype"/>
              <w:b/>
              <w:lang w:val="es-ES_tradnl"/>
            </w:rPr>
          </w:pPr>
        </w:p>
      </w:tc>
      <w:tc>
        <w:tcPr>
          <w:tcW w:w="2551" w:type="dxa"/>
          <w:shd w:val="clear" w:color="auto" w:fill="auto"/>
        </w:tcPr>
        <w:p w:rsidR="00747BE5" w:rsidRPr="00664658" w:rsidRDefault="003E4147" w:rsidP="00D41D47">
          <w:pPr>
            <w:rPr>
              <w:rFonts w:ascii="Palatino Linotype" w:hAnsi="Palatino Linotype"/>
              <w:b/>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747BE5" w:rsidRPr="00D41D47" w:rsidRDefault="003E4147" w:rsidP="00931B53">
          <w:pPr>
            <w:jc w:val="both"/>
            <w:rPr>
              <w:rFonts w:ascii="Palatino Linotype" w:hAnsi="Palatino Linotype"/>
              <w:b/>
              <w:lang w:val="es-ES_tradnl"/>
            </w:rPr>
          </w:pPr>
          <w:r>
            <w:rPr>
              <w:rFonts w:ascii="Palatino Linotype" w:hAnsi="Palatino Linotype"/>
              <w:b/>
              <w:sz w:val="22"/>
              <w:szCs w:val="22"/>
              <w:lang w:val="es-ES_tradnl"/>
            </w:rPr>
            <w:t>Ayuntamiento de Toluca</w:t>
          </w:r>
        </w:p>
      </w:tc>
    </w:tr>
    <w:tr w:rsidR="00747BE5" w:rsidRPr="008F2CCC">
      <w:trPr>
        <w:trHeight w:val="228"/>
      </w:trPr>
      <w:tc>
        <w:tcPr>
          <w:tcW w:w="3261" w:type="dxa"/>
          <w:vMerge/>
        </w:tcPr>
        <w:p w:rsidR="00747BE5" w:rsidRPr="008F2CCC" w:rsidRDefault="00483BDB" w:rsidP="00070856">
          <w:pPr>
            <w:rPr>
              <w:rFonts w:ascii="Palatino Linotype" w:hAnsi="Palatino Linotype"/>
              <w:b/>
              <w:lang w:val="es-ES_tradnl"/>
            </w:rPr>
          </w:pPr>
        </w:p>
      </w:tc>
      <w:tc>
        <w:tcPr>
          <w:tcW w:w="2551" w:type="dxa"/>
          <w:shd w:val="clear" w:color="auto" w:fill="auto"/>
        </w:tcPr>
        <w:p w:rsidR="00747BE5" w:rsidRPr="00664658" w:rsidRDefault="003E4147" w:rsidP="00070856">
          <w:pPr>
            <w:rPr>
              <w:rFonts w:ascii="Palatino Linotype" w:hAnsi="Palatino Linotype"/>
              <w:b/>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747BE5" w:rsidRPr="00664658" w:rsidRDefault="003E4147" w:rsidP="00070856">
          <w:pPr>
            <w:jc w:val="both"/>
            <w:rPr>
              <w:rFonts w:ascii="Palatino Linotype" w:hAnsi="Palatino Linotype"/>
              <w:b/>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47BE5" w:rsidRPr="0010196A" w:rsidRDefault="00483BD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BE5" w:rsidRPr="0010196A" w:rsidRDefault="00483BDB">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747BE5" w:rsidRPr="008F2CCC">
      <w:tc>
        <w:tcPr>
          <w:tcW w:w="4253" w:type="dxa"/>
          <w:vMerge w:val="restart"/>
          <w:shd w:val="clear" w:color="auto" w:fill="auto"/>
        </w:tcPr>
        <w:p w:rsidR="00747BE5" w:rsidRPr="008F2CCC" w:rsidRDefault="003E4147" w:rsidP="00A2780F">
          <w:pPr>
            <w:rPr>
              <w:rFonts w:ascii="Palatino Linotype" w:hAnsi="Palatino Linotype"/>
              <w:b/>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747BE5" w:rsidRPr="008F2CCC" w:rsidRDefault="003E4147" w:rsidP="003C718E">
          <w:pPr>
            <w:rPr>
              <w:rFonts w:ascii="Palatino Linotype" w:hAnsi="Palatino Linotype"/>
              <w:b/>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747BE5" w:rsidRPr="008F2CCC" w:rsidRDefault="003E4147" w:rsidP="003A3143">
          <w:pPr>
            <w:jc w:val="both"/>
            <w:rPr>
              <w:rFonts w:ascii="Palatino Linotype" w:hAnsi="Palatino Linotype"/>
              <w:b/>
              <w:lang w:val="es-ES_tradnl"/>
            </w:rPr>
          </w:pPr>
          <w:r>
            <w:rPr>
              <w:rFonts w:ascii="Palatino Linotype" w:hAnsi="Palatino Linotype"/>
              <w:b/>
              <w:sz w:val="22"/>
              <w:szCs w:val="22"/>
              <w:lang w:val="es-ES_tradnl"/>
            </w:rPr>
            <w:t xml:space="preserve">02177/INFOEM/IP/RR/2020 </w:t>
          </w:r>
        </w:p>
      </w:tc>
    </w:tr>
    <w:tr w:rsidR="00747BE5" w:rsidRPr="008F2CCC">
      <w:tc>
        <w:tcPr>
          <w:tcW w:w="4253" w:type="dxa"/>
          <w:vMerge/>
          <w:shd w:val="clear" w:color="auto" w:fill="auto"/>
        </w:tcPr>
        <w:p w:rsidR="00747BE5" w:rsidRPr="008F2CCC" w:rsidRDefault="00483BDB" w:rsidP="00A2780F">
          <w:pPr>
            <w:rPr>
              <w:rFonts w:ascii="Palatino Linotype" w:hAnsi="Palatino Linotype"/>
              <w:b/>
              <w:lang w:val="es-ES_tradnl"/>
            </w:rPr>
          </w:pPr>
        </w:p>
      </w:tc>
      <w:tc>
        <w:tcPr>
          <w:tcW w:w="2552" w:type="dxa"/>
          <w:shd w:val="clear" w:color="auto" w:fill="auto"/>
        </w:tcPr>
        <w:p w:rsidR="00747BE5" w:rsidRPr="008F2CCC" w:rsidRDefault="003E4147" w:rsidP="003D606B">
          <w:pPr>
            <w:rPr>
              <w:rFonts w:ascii="Palatino Linotype" w:hAnsi="Palatino Linotype"/>
              <w:b/>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747BE5" w:rsidRPr="008F2CCC" w:rsidRDefault="00F81130" w:rsidP="00495809">
          <w:pPr>
            <w:jc w:val="both"/>
            <w:rPr>
              <w:rFonts w:ascii="Palatino Linotype" w:hAnsi="Palatino Linotype"/>
              <w:b/>
              <w:lang w:val="es-ES_tradnl"/>
            </w:rPr>
          </w:pPr>
          <w:r>
            <w:rPr>
              <w:rFonts w:ascii="Palatino Linotype" w:hAnsi="Palatino Linotype"/>
              <w:b/>
              <w:sz w:val="22"/>
              <w:szCs w:val="22"/>
              <w:lang w:val="es-ES_tradnl"/>
            </w:rPr>
            <w:t>XXXXXXXXXXXXXXXXXXX</w:t>
          </w:r>
          <w:r w:rsidR="003E4147">
            <w:rPr>
              <w:rFonts w:ascii="Palatino Linotype" w:hAnsi="Palatino Linotype"/>
              <w:b/>
              <w:sz w:val="22"/>
              <w:szCs w:val="22"/>
              <w:lang w:val="es-ES_tradnl"/>
            </w:rPr>
            <w:t xml:space="preserve"> </w:t>
          </w:r>
        </w:p>
      </w:tc>
    </w:tr>
    <w:tr w:rsidR="00747BE5" w:rsidRPr="008F2CCC">
      <w:trPr>
        <w:trHeight w:val="228"/>
      </w:trPr>
      <w:tc>
        <w:tcPr>
          <w:tcW w:w="4253" w:type="dxa"/>
          <w:vMerge/>
          <w:shd w:val="clear" w:color="auto" w:fill="auto"/>
        </w:tcPr>
        <w:p w:rsidR="00747BE5" w:rsidRPr="008F2CCC" w:rsidRDefault="00483BDB" w:rsidP="00E37C88">
          <w:pPr>
            <w:rPr>
              <w:rFonts w:ascii="Palatino Linotype" w:hAnsi="Palatino Linotype"/>
              <w:b/>
              <w:lang w:val="es-ES_tradnl"/>
            </w:rPr>
          </w:pPr>
        </w:p>
      </w:tc>
      <w:tc>
        <w:tcPr>
          <w:tcW w:w="2552" w:type="dxa"/>
          <w:shd w:val="clear" w:color="auto" w:fill="auto"/>
        </w:tcPr>
        <w:p w:rsidR="00747BE5" w:rsidRPr="008F2CCC" w:rsidRDefault="003E4147" w:rsidP="003C718E">
          <w:pPr>
            <w:rPr>
              <w:rFonts w:ascii="Palatino Linotype" w:hAnsi="Palatino Linotype"/>
              <w:b/>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747BE5" w:rsidRPr="00DC41C8" w:rsidRDefault="003E4147" w:rsidP="00931B53">
          <w:pPr>
            <w:jc w:val="both"/>
            <w:rPr>
              <w:rFonts w:ascii="Palatino Linotype" w:hAnsi="Palatino Linotype"/>
              <w:b/>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Toluca</w:t>
          </w:r>
        </w:p>
      </w:tc>
    </w:tr>
    <w:tr w:rsidR="00747BE5" w:rsidRPr="008F2CCC">
      <w:tc>
        <w:tcPr>
          <w:tcW w:w="4253" w:type="dxa"/>
          <w:vMerge/>
          <w:shd w:val="clear" w:color="auto" w:fill="auto"/>
        </w:tcPr>
        <w:p w:rsidR="00747BE5" w:rsidRPr="008F2CCC" w:rsidRDefault="00483BDB" w:rsidP="00A2780F">
          <w:pPr>
            <w:rPr>
              <w:rFonts w:ascii="Palatino Linotype" w:hAnsi="Palatino Linotype"/>
              <w:b/>
              <w:lang w:val="es-ES_tradnl"/>
            </w:rPr>
          </w:pPr>
        </w:p>
      </w:tc>
      <w:tc>
        <w:tcPr>
          <w:tcW w:w="2552" w:type="dxa"/>
          <w:shd w:val="clear" w:color="auto" w:fill="auto"/>
        </w:tcPr>
        <w:p w:rsidR="00747BE5" w:rsidRPr="008F2CCC" w:rsidRDefault="003E4147" w:rsidP="00664658">
          <w:pPr>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747BE5" w:rsidRPr="008F2CCC" w:rsidRDefault="003E4147" w:rsidP="003C718E">
          <w:pPr>
            <w:jc w:val="both"/>
            <w:rPr>
              <w:rFonts w:ascii="Palatino Linotype" w:hAnsi="Palatino Linotype"/>
              <w:b/>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47BE5" w:rsidRPr="0010196A" w:rsidRDefault="00483BDB" w:rsidP="00B8513C">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19.4pt;margin-top:13.2pt;width:540pt;height:10in;z-index:-251657728;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EA308DE"/>
    <w:multiLevelType w:val="hybridMultilevel"/>
    <w:tmpl w:val="52A4D82E"/>
    <w:lvl w:ilvl="0" w:tplc="D9A4E9FC">
      <w:start w:val="1"/>
      <w:numFmt w:val="upperRoman"/>
      <w:lvlText w:val="%1."/>
      <w:lvlJc w:val="left"/>
      <w:pPr>
        <w:ind w:left="36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41B91"/>
    <w:rsid w:val="000A6EE8"/>
    <w:rsid w:val="00176C0E"/>
    <w:rsid w:val="003C6B24"/>
    <w:rsid w:val="003E4147"/>
    <w:rsid w:val="00441B91"/>
    <w:rsid w:val="00483BDB"/>
    <w:rsid w:val="004B7636"/>
    <w:rsid w:val="004C1BF4"/>
    <w:rsid w:val="00543354"/>
    <w:rsid w:val="0056781D"/>
    <w:rsid w:val="006F0A02"/>
    <w:rsid w:val="007359CA"/>
    <w:rsid w:val="007639C9"/>
    <w:rsid w:val="00935EB5"/>
    <w:rsid w:val="00962180"/>
    <w:rsid w:val="009B19AA"/>
    <w:rsid w:val="00A36D79"/>
    <w:rsid w:val="00A8474A"/>
    <w:rsid w:val="00AF652C"/>
    <w:rsid w:val="00BC3261"/>
    <w:rsid w:val="00BF4438"/>
    <w:rsid w:val="00C36A09"/>
    <w:rsid w:val="00C74A75"/>
    <w:rsid w:val="00C75E46"/>
    <w:rsid w:val="00D679EB"/>
    <w:rsid w:val="00F20B06"/>
    <w:rsid w:val="00F81130"/>
    <w:rsid w:val="00FB7DE0"/>
    <w:rsid w:val="00FC04A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4770168-02D2-484F-AF4A-C66B07A8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B9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1B9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41B91"/>
    <w:rPr>
      <w:rFonts w:eastAsiaTheme="minorEastAsia"/>
      <w:sz w:val="24"/>
      <w:szCs w:val="24"/>
      <w:lang w:val="es-ES_tradnl" w:eastAsia="es-ES"/>
    </w:rPr>
  </w:style>
  <w:style w:type="paragraph" w:styleId="Piedepgina">
    <w:name w:val="footer"/>
    <w:basedOn w:val="Normal"/>
    <w:link w:val="PiedepginaCar"/>
    <w:uiPriority w:val="99"/>
    <w:unhideWhenUsed/>
    <w:rsid w:val="00441B9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41B9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1B9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1B91"/>
    <w:rPr>
      <w:rFonts w:ascii="Times New Roman" w:eastAsia="Times New Roman" w:hAnsi="Times New Roman" w:cs="Times New Roman"/>
      <w:sz w:val="24"/>
      <w:szCs w:val="24"/>
      <w:lang w:eastAsia="es-ES"/>
    </w:rPr>
  </w:style>
  <w:style w:type="character" w:styleId="Hipervnculo">
    <w:name w:val="Hyperlink"/>
    <w:uiPriority w:val="99"/>
    <w:unhideWhenUsed/>
    <w:rsid w:val="00441B91"/>
    <w:rPr>
      <w:strike w:val="0"/>
      <w:dstrike w:val="0"/>
      <w:color w:val="035899"/>
      <w:u w:val="none"/>
      <w:effect w: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41B9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41B9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41B91"/>
    <w:rPr>
      <w:vertAlign w:val="superscript"/>
    </w:rPr>
  </w:style>
  <w:style w:type="character" w:customStyle="1" w:styleId="apple-converted-space">
    <w:name w:val="apple-converted-space"/>
    <w:basedOn w:val="Fuentedeprrafopredeter"/>
    <w:rsid w:val="00935EB5"/>
  </w:style>
  <w:style w:type="paragraph" w:styleId="Textodeglobo">
    <w:name w:val="Balloon Text"/>
    <w:basedOn w:val="Normal"/>
    <w:link w:val="TextodegloboCar"/>
    <w:uiPriority w:val="99"/>
    <w:semiHidden/>
    <w:unhideWhenUsed/>
    <w:rsid w:val="00176C0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76C0E"/>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16196.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916196.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3095</Words>
  <Characters>17028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pcs</cp:lastModifiedBy>
  <cp:revision>7</cp:revision>
  <dcterms:created xsi:type="dcterms:W3CDTF">2020-09-04T00:11:00Z</dcterms:created>
  <dcterms:modified xsi:type="dcterms:W3CDTF">2020-09-25T00:28:00Z</dcterms:modified>
</cp:coreProperties>
</file>