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3D4" w:rsidRDefault="005A7111">
      <w:pPr>
        <w:spacing w:line="360" w:lineRule="auto"/>
        <w:jc w:val="both"/>
        <w:rPr>
          <w:rFonts w:ascii="Palatino Linotype" w:hAnsi="Palatino Linotype" w:cs="Arial"/>
          <w:color w:val="FF0000"/>
          <w:lang w:val="es-ES"/>
        </w:rPr>
      </w:pPr>
      <w:r>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de fecha diecinueve de agosto de dos mil veinte.</w:t>
      </w:r>
    </w:p>
    <w:p w:rsidR="006F53D4" w:rsidRDefault="006F53D4">
      <w:pPr>
        <w:spacing w:line="360" w:lineRule="auto"/>
        <w:jc w:val="both"/>
        <w:rPr>
          <w:rFonts w:ascii="Palatino Linotype" w:hAnsi="Palatino Linotype" w:cs="Arial"/>
          <w:lang w:val="es-ES"/>
        </w:rPr>
      </w:pPr>
    </w:p>
    <w:p w:rsidR="006F53D4" w:rsidRDefault="005A7111">
      <w:pPr>
        <w:spacing w:line="360" w:lineRule="auto"/>
        <w:jc w:val="both"/>
        <w:rPr>
          <w:rFonts w:ascii="Palatino Linotype" w:hAnsi="Palatino Linotype" w:cs="Arial"/>
          <w:lang w:val="es-ES"/>
        </w:rPr>
      </w:pPr>
      <w:r>
        <w:rPr>
          <w:rFonts w:ascii="Palatino Linotype" w:hAnsi="Palatino Linotype"/>
          <w:lang w:val="es-ES"/>
        </w:rPr>
        <w:t xml:space="preserve">VISTO el expediente formado con motivo del recurso de revisión </w:t>
      </w:r>
      <w:r>
        <w:rPr>
          <w:rFonts w:ascii="Palatino Linotype" w:hAnsi="Palatino Linotype"/>
          <w:b/>
          <w:lang w:val="es-ES"/>
        </w:rPr>
        <w:t>01337/INFOEM/IP/RR/2020,</w:t>
      </w:r>
      <w:r>
        <w:rPr>
          <w:rFonts w:ascii="Palatino Linotype" w:hAnsi="Palatino Linotype"/>
          <w:lang w:val="es-ES"/>
        </w:rPr>
        <w:t xml:space="preserve"> </w:t>
      </w:r>
      <w:r>
        <w:rPr>
          <w:rFonts w:ascii="Palatino Linotype" w:hAnsi="Palatino Linotype"/>
        </w:rPr>
        <w:t>promovido por el C.</w:t>
      </w:r>
      <w:r>
        <w:rPr>
          <w:rFonts w:ascii="Palatino Linotype" w:hAnsi="Palatino Linotype"/>
          <w:b/>
        </w:rPr>
        <w:t xml:space="preserve"> </w:t>
      </w:r>
      <w:r w:rsidR="009F32BF" w:rsidRPr="009F32BF">
        <w:rPr>
          <w:rFonts w:ascii="Palatino Linotype" w:hAnsi="Palatino Linotype"/>
          <w:b/>
        </w:rPr>
        <w:t>Xxxxxx Xxxxxxxx Xxxxx</w:t>
      </w:r>
      <w:bookmarkStart w:id="0" w:name="_GoBack"/>
      <w:bookmarkEnd w:id="0"/>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b/>
          <w:lang w:val="es-ES"/>
        </w:rPr>
        <w:t>,</w:t>
      </w:r>
      <w:r>
        <w:rPr>
          <w:rFonts w:ascii="Palatino Linotype" w:hAnsi="Palatino Linotype"/>
          <w:lang w:val="es-ES"/>
        </w:rPr>
        <w:t xml:space="preserve"> </w:t>
      </w:r>
      <w:r>
        <w:rPr>
          <w:rFonts w:ascii="Palatino Linotype" w:hAnsi="Palatino Linotype" w:cs="Arial"/>
          <w:lang w:val="es-ES"/>
        </w:rPr>
        <w:t xml:space="preserve">en contra de la respuesta del </w:t>
      </w:r>
      <w:r>
        <w:rPr>
          <w:rFonts w:ascii="Palatino Linotype" w:hAnsi="Palatino Linotype" w:cs="Arial"/>
          <w:b/>
          <w:lang w:val="es-ES"/>
        </w:rPr>
        <w:t xml:space="preserve">Universidad Autónoma del Estado de México, </w:t>
      </w:r>
      <w:r>
        <w:rPr>
          <w:rFonts w:ascii="Palatino Linotype" w:hAnsi="Palatino Linotype" w:cs="Arial"/>
          <w:lang w:val="es-ES"/>
        </w:rPr>
        <w:t xml:space="preserve">en lo sucesivo </w:t>
      </w:r>
      <w:r>
        <w:rPr>
          <w:rFonts w:ascii="Palatino Linotype" w:hAnsi="Palatino Linotype" w:cs="Arial"/>
          <w:b/>
          <w:lang w:val="es-ES"/>
        </w:rPr>
        <w:t xml:space="preserve">EL SUJETO OBLIGADO, </w:t>
      </w:r>
      <w:r>
        <w:rPr>
          <w:rFonts w:ascii="Palatino Linotype" w:hAnsi="Palatino Linotype" w:cs="Arial"/>
          <w:lang w:val="es-ES"/>
        </w:rPr>
        <w:t>se procede a dictar la presente resolución con base en lo siguiente:</w:t>
      </w:r>
    </w:p>
    <w:p w:rsidR="006F53D4" w:rsidRPr="00E25032" w:rsidRDefault="005A7111">
      <w:pPr>
        <w:tabs>
          <w:tab w:val="center" w:pos="4419"/>
          <w:tab w:val="left" w:pos="6255"/>
        </w:tabs>
        <w:spacing w:line="360" w:lineRule="auto"/>
        <w:rPr>
          <w:rFonts w:ascii="Palatino Linotype" w:hAnsi="Palatino Linotype" w:cs="Arial"/>
          <w:b/>
          <w:lang w:val="pt-BR"/>
        </w:rPr>
      </w:pPr>
      <w:r>
        <w:rPr>
          <w:rFonts w:ascii="Palatino Linotype" w:hAnsi="Palatino Linotype" w:cs="Arial"/>
          <w:b/>
          <w:lang w:val="es-ES"/>
        </w:rPr>
        <w:tab/>
      </w:r>
      <w:r w:rsidRPr="00E25032">
        <w:rPr>
          <w:rFonts w:ascii="Palatino Linotype" w:hAnsi="Palatino Linotype" w:cs="Arial"/>
          <w:b/>
          <w:sz w:val="28"/>
          <w:lang w:val="pt-BR"/>
        </w:rPr>
        <w:t>R E S U L T A N D O</w:t>
      </w:r>
      <w:r w:rsidRPr="00E25032">
        <w:rPr>
          <w:rFonts w:ascii="Palatino Linotype" w:hAnsi="Palatino Linotype" w:cs="Arial"/>
          <w:b/>
          <w:lang w:val="pt-BR"/>
        </w:rPr>
        <w:tab/>
      </w:r>
    </w:p>
    <w:p w:rsidR="006F53D4" w:rsidRDefault="005A7111">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Pr>
          <w:rFonts w:ascii="Palatino Linotype" w:hAnsi="Palatino Linotype" w:cs="Arial"/>
          <w:b/>
          <w:lang w:val="es-ES"/>
        </w:rPr>
        <w:t xml:space="preserve"> </w:t>
      </w:r>
      <w:r>
        <w:rPr>
          <w:rFonts w:ascii="Palatino Linotype" w:hAnsi="Palatino Linotype" w:cs="Arial"/>
          <w:lang w:val="es-ES"/>
        </w:rPr>
        <w:t xml:space="preserve">En fecha veinticuatro de enero de dos mil veinte, </w:t>
      </w:r>
      <w:r>
        <w:rPr>
          <w:rFonts w:ascii="Palatino Linotype" w:hAnsi="Palatino Linotype" w:cs="Arial"/>
          <w:b/>
          <w:lang w:val="es-ES"/>
        </w:rPr>
        <w:t>EL RECURRENTE</w:t>
      </w:r>
      <w:r>
        <w:rPr>
          <w:rFonts w:ascii="Palatino Linotype" w:hAnsi="Palatino Linotype" w:cs="Arial"/>
          <w:lang w:val="es-ES"/>
        </w:rPr>
        <w:t xml:space="preserve"> presentó a través de la Plataforma Nacional de Transparencia, misma que se vincula en la misma fecha en el Sistema de Acceso a la Información Mexiquense, en lo subsecuente </w:t>
      </w:r>
      <w:r>
        <w:rPr>
          <w:rFonts w:ascii="Palatino Linotype" w:hAnsi="Palatino Linotype" w:cs="Arial"/>
          <w:b/>
          <w:lang w:val="es-ES"/>
        </w:rPr>
        <w:t>EL</w:t>
      </w:r>
      <w:r>
        <w:rPr>
          <w:rFonts w:ascii="Palatino Linotype" w:hAnsi="Palatino Linotype" w:cs="Arial"/>
          <w:lang w:val="es-ES"/>
        </w:rPr>
        <w:t xml:space="preserve"> </w:t>
      </w:r>
      <w:r>
        <w:rPr>
          <w:rFonts w:ascii="Palatino Linotype" w:hAnsi="Palatino Linotype" w:cs="Arial"/>
          <w:b/>
          <w:lang w:val="es-ES"/>
        </w:rPr>
        <w:t>SAIMEX</w:t>
      </w:r>
      <w:r>
        <w:rPr>
          <w:rFonts w:ascii="Palatino Linotype" w:hAnsi="Palatino Linotype" w:cs="Arial"/>
          <w:lang w:val="es-ES"/>
        </w:rPr>
        <w:t xml:space="preserve">, ante </w:t>
      </w:r>
      <w:r>
        <w:rPr>
          <w:rFonts w:ascii="Palatino Linotype" w:hAnsi="Palatino Linotype" w:cs="Arial"/>
          <w:b/>
          <w:lang w:val="es-ES"/>
        </w:rPr>
        <w:t>EL SUJETO OBLIGADO</w:t>
      </w:r>
      <w:r>
        <w:rPr>
          <w:rFonts w:ascii="Palatino Linotype" w:hAnsi="Palatino Linotype" w:cs="Arial"/>
          <w:lang w:val="es-ES"/>
        </w:rPr>
        <w:t xml:space="preserve">, la solicitud de acceso a la información pública, a la que se le asignó el número </w:t>
      </w:r>
      <w:r>
        <w:rPr>
          <w:rFonts w:ascii="Palatino Linotype" w:hAnsi="Palatino Linotype" w:cs="Arial"/>
          <w:b/>
          <w:lang w:val="es-ES"/>
        </w:rPr>
        <w:t>00025/UAEM/IP/2020</w:t>
      </w:r>
      <w:r>
        <w:rPr>
          <w:rFonts w:ascii="Palatino Linotype" w:hAnsi="Palatino Linotype" w:cs="Arial"/>
          <w:lang w:val="es-ES"/>
        </w:rPr>
        <w:t>, mediante la cual solicitó:</w:t>
      </w:r>
    </w:p>
    <w:p w:rsidR="006F53D4" w:rsidRDefault="006F53D4">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71"/>
        <w:gridCol w:w="6035"/>
      </w:tblGrid>
      <w:tr w:rsidR="006F53D4">
        <w:trPr>
          <w:trHeight w:val="589"/>
        </w:trPr>
        <w:tc>
          <w:tcPr>
            <w:tcW w:w="2971" w:type="dxa"/>
            <w:shd w:val="clear" w:color="auto" w:fill="000000" w:themeFill="text1"/>
            <w:vAlign w:val="center"/>
          </w:tcPr>
          <w:p w:rsidR="006F53D4" w:rsidRDefault="005A7111">
            <w:pPr>
              <w:spacing w:line="360" w:lineRule="auto"/>
              <w:jc w:val="center"/>
              <w:rPr>
                <w:rFonts w:ascii="Palatino Linotype" w:hAnsi="Palatino Linotype"/>
                <w:b/>
                <w:color w:val="FFFFFF" w:themeColor="background1"/>
                <w:lang w:val="es-ES"/>
              </w:rPr>
            </w:pPr>
            <w:r>
              <w:rPr>
                <w:rFonts w:ascii="Palatino Linotype" w:hAnsi="Palatino Linotype"/>
                <w:b/>
                <w:color w:val="FFFFFF" w:themeColor="background1"/>
                <w:lang w:val="es-ES"/>
              </w:rPr>
              <w:t>Número de Solicitud</w:t>
            </w:r>
          </w:p>
        </w:tc>
        <w:tc>
          <w:tcPr>
            <w:tcW w:w="6034" w:type="dxa"/>
            <w:shd w:val="clear" w:color="auto" w:fill="000000" w:themeFill="text1"/>
            <w:vAlign w:val="center"/>
          </w:tcPr>
          <w:p w:rsidR="006F53D4" w:rsidRDefault="005A7111">
            <w:pPr>
              <w:tabs>
                <w:tab w:val="left" w:pos="1125"/>
              </w:tabs>
              <w:spacing w:line="360" w:lineRule="auto"/>
              <w:jc w:val="center"/>
              <w:rPr>
                <w:rFonts w:ascii="Palatino Linotype" w:hAnsi="Palatino Linotype"/>
                <w:b/>
                <w:lang w:val="es-ES"/>
              </w:rPr>
            </w:pPr>
            <w:r>
              <w:rPr>
                <w:rFonts w:ascii="Palatino Linotype" w:hAnsi="Palatino Linotype"/>
                <w:b/>
                <w:lang w:val="es-ES"/>
              </w:rPr>
              <w:t>Contenido</w:t>
            </w:r>
          </w:p>
        </w:tc>
      </w:tr>
      <w:tr w:rsidR="006F53D4">
        <w:trPr>
          <w:trHeight w:val="1083"/>
        </w:trPr>
        <w:tc>
          <w:tcPr>
            <w:tcW w:w="2971" w:type="dxa"/>
            <w:vAlign w:val="center"/>
          </w:tcPr>
          <w:p w:rsidR="006F53D4" w:rsidRDefault="005A7111">
            <w:pPr>
              <w:spacing w:line="360" w:lineRule="auto"/>
              <w:jc w:val="center"/>
              <w:rPr>
                <w:rFonts w:ascii="Palatino Linotype" w:hAnsi="Palatino Linotype"/>
                <w:lang w:val="es-ES"/>
              </w:rPr>
            </w:pPr>
            <w:r>
              <w:rPr>
                <w:rFonts w:ascii="Palatino Linotype" w:hAnsi="Palatino Linotype" w:cs="Arial"/>
                <w:b/>
                <w:lang w:val="es-ES"/>
              </w:rPr>
              <w:t>00025/UAEM/IP/2020</w:t>
            </w:r>
          </w:p>
        </w:tc>
        <w:tc>
          <w:tcPr>
            <w:tcW w:w="6034" w:type="dxa"/>
          </w:tcPr>
          <w:p w:rsidR="006F53D4" w:rsidRDefault="005A7111">
            <w:pPr>
              <w:spacing w:line="360" w:lineRule="auto"/>
              <w:jc w:val="both"/>
              <w:rPr>
                <w:rFonts w:ascii="Palatino Linotype" w:hAnsi="Palatino Linotype"/>
                <w:lang w:val="es-ES"/>
              </w:rPr>
            </w:pPr>
            <w:r>
              <w:rPr>
                <w:rFonts w:ascii="Palatino Linotype" w:hAnsi="Palatino Linotype"/>
                <w:lang w:val="es-ES"/>
              </w:rPr>
              <w:t xml:space="preserve">“1) ¿La universidad cuenta con un sistema de pensiones para sus trabajadores o solo realiza un pago único por concepto de jubilación al cumplir con los requisitos definidos en los contratos colectivos de trabajo? 2) Si la universidad sí cuenta con un sistema de pensiones, ¿a cuál de los siguientes modelos </w:t>
            </w:r>
            <w:r>
              <w:rPr>
                <w:rFonts w:ascii="Palatino Linotype" w:hAnsi="Palatino Linotype"/>
                <w:lang w:val="es-ES"/>
              </w:rPr>
              <w:lastRenderedPageBreak/>
              <w:t xml:space="preserve">corresponde? a) Sistema de pensiones propio (la universidad administra y paga el total de la pensión). b) Sistema de pensiones externo (una institución de seguridad social (ej. IMSS o ISSSTE) cubre el 100 del pago de la pensión). c) Sistema de pensiones complementario (una institución de seguridad social paga una parte del monto total de la pensión y la universidad paga la otra parte) d) Sistema de pensiones doble (el trabajador recibe el pago de la pensión completa por parte de la universidad y otra pensión de alguna institución de seguridad social). 3) ¿Desde el año 2002 al 2019, la universidad ha reformado el sistema de pensiones o el pago único de jubilación? De responder afirmativamente la pregunta anterior, favor de señalar los años en que se reformó el sistema de pensiones o el pago único de jubilación y en cada año seleccionar de las siguientes opciones las que correspondan a cada reforma: a) modificación de los requisitos para acceder a la pensión o jubilación (aumento de años de servicios, antigüedad, salario regulador, etc.); b) creación de un fondo o aumento en los porcentajes de aportación; c) cambio de modelo del sistema de pensiones (siguiendo los modelos de la </w:t>
            </w:r>
            <w:r>
              <w:rPr>
                <w:rFonts w:ascii="Palatino Linotype" w:hAnsi="Palatino Linotype"/>
                <w:lang w:val="es-ES"/>
              </w:rPr>
              <w:lastRenderedPageBreak/>
              <w:t xml:space="preserve">pregunta 2); d) Otro tipo de reforma (favor de explicar). 4) ¿Cómo financia la universidad el costo de la nómina de pensionado o del pago único de jubilación? (ej. recursos propios, recursos federales, aportaciones, etc.) 5) La universidad tiene un fondo de capitalización para cubrir el pago de pensiones y jubilación? ¿En qué año se creó el fondo? ¿quiénes aportan y en qué porcentaje? 6) Costo anual de la nómina de pensionados o pago a jubilados durante el periodo 2002 - 2019. 7) Número de pensionados o jubilados diferenciando académicos y administrativos en el periodo 2002 - 2019. 8) ¿Quién o quienes eligen al rector de la universidad? ¿Cuál es el proceso para designar al rector? 9) ¿Cuántos años dura el cargo de rector? 10) ¿El rector tiene opción a reelegirse en el cargo? 11) ¿Cómo está integrado el gobierno universitario? ¿Quiénes lo conforman? ¿Las decisiones se toman de manera colegiada, se presentan ante un consejo o es materia exclusiva del rector? 12) ¿con cuántos sindicatos cuenta la universidad? 13) ¿cuál fue la asignación por año del Fondo de apoyo para reformas estructurales de las Universidades Públicas Estatales desde el 2002 al 2018 (sólo en su modalidad de reformas estructurales)? Asimismo, </w:t>
            </w:r>
            <w:r>
              <w:rPr>
                <w:rFonts w:ascii="Palatino Linotype" w:hAnsi="Palatino Linotype"/>
                <w:lang w:val="es-ES"/>
              </w:rPr>
              <w:lastRenderedPageBreak/>
              <w:t>especificar en cada año si el proyecto apoyado fue para aplicar una nueva reforma al sistema de pensiones o jubilaciones o para apoyar reformas anteriores. 14) ¿Qué actores de la comunidad universitaria o externos intervinieron en el diseño y aprobación de las reformas a los sistemas de pensiones o jubilaciones?”(sic)</w:t>
            </w:r>
          </w:p>
        </w:tc>
      </w:tr>
    </w:tbl>
    <w:p w:rsidR="006F53D4" w:rsidRDefault="006F53D4">
      <w:pPr>
        <w:tabs>
          <w:tab w:val="left" w:pos="426"/>
        </w:tabs>
        <w:spacing w:beforeAutospacing="1" w:afterAutospacing="1" w:line="360" w:lineRule="auto"/>
        <w:contextualSpacing/>
        <w:jc w:val="both"/>
        <w:rPr>
          <w:rFonts w:ascii="Palatino Linotype" w:hAnsi="Palatino Linotype"/>
          <w:b/>
          <w:sz w:val="28"/>
          <w:szCs w:val="28"/>
        </w:rPr>
      </w:pPr>
    </w:p>
    <w:p w:rsidR="006F53D4" w:rsidRDefault="005A7111">
      <w:pPr>
        <w:tabs>
          <w:tab w:val="left" w:pos="426"/>
        </w:tabs>
        <w:spacing w:beforeAutospacing="1" w:afterAutospacing="1" w:line="360" w:lineRule="auto"/>
        <w:contextualSpacing/>
        <w:jc w:val="both"/>
        <w:rPr>
          <w:rFonts w:ascii="Palatino Linotype" w:hAnsi="Palatino Linotype"/>
        </w:rPr>
      </w:pPr>
      <w:r>
        <w:rPr>
          <w:rFonts w:ascii="Palatino Linotype" w:hAnsi="Palatino Linotype"/>
        </w:rPr>
        <w:t xml:space="preserve">Asimismo, el particular adjuntó un archivo electrónico denominado </w:t>
      </w:r>
      <w:r>
        <w:rPr>
          <w:rFonts w:ascii="Palatino Linotype" w:hAnsi="Palatino Linotype"/>
          <w:b/>
          <w:i/>
        </w:rPr>
        <w:t xml:space="preserve">Archivo Adjunto a la Solicitud </w:t>
      </w:r>
      <w:r>
        <w:rPr>
          <w:rFonts w:ascii="Palatino Linotype" w:hAnsi="Palatino Linotype"/>
        </w:rPr>
        <w:t>el cual contiene la solicitud de acceso a la información pública.</w:t>
      </w:r>
    </w:p>
    <w:p w:rsidR="006F53D4" w:rsidRDefault="006F53D4">
      <w:pPr>
        <w:tabs>
          <w:tab w:val="left" w:pos="426"/>
        </w:tabs>
        <w:spacing w:beforeAutospacing="1" w:afterAutospacing="1" w:line="360" w:lineRule="auto"/>
        <w:contextualSpacing/>
        <w:jc w:val="both"/>
        <w:rPr>
          <w:rFonts w:ascii="Palatino Linotype" w:hAnsi="Palatino Linotype"/>
        </w:rPr>
      </w:pPr>
    </w:p>
    <w:p w:rsidR="006F53D4" w:rsidRDefault="005A7111">
      <w:pPr>
        <w:tabs>
          <w:tab w:val="left" w:pos="426"/>
        </w:tabs>
        <w:spacing w:beforeAutospacing="1" w:afterAutospacing="1" w:line="360" w:lineRule="auto"/>
        <w:contextualSpacing/>
        <w:jc w:val="both"/>
        <w:rPr>
          <w:rFonts w:ascii="Palatino Linotype" w:hAnsi="Palatino Linotype" w:cs="Arial"/>
        </w:rPr>
      </w:pPr>
      <w:r>
        <w:rPr>
          <w:rFonts w:ascii="Palatino Linotype" w:hAnsi="Palatino Linotype"/>
          <w:b/>
          <w:sz w:val="28"/>
          <w:szCs w:val="28"/>
        </w:rPr>
        <w:t>II.</w:t>
      </w:r>
      <w:r>
        <w:rPr>
          <w:rFonts w:ascii="Palatino Linotype" w:hAnsi="Palatino Linotype"/>
          <w:sz w:val="28"/>
          <w:szCs w:val="28"/>
        </w:rPr>
        <w:t xml:space="preserve"> </w:t>
      </w:r>
      <w:r>
        <w:rPr>
          <w:rFonts w:ascii="Palatino Linotype" w:hAnsi="Palatino Linotype"/>
        </w:rPr>
        <w:t>Por</w:t>
      </w:r>
      <w:r>
        <w:rPr>
          <w:rFonts w:ascii="Palatino Linotype" w:hAnsi="Palatino Linotype"/>
          <w:sz w:val="28"/>
          <w:szCs w:val="28"/>
        </w:rPr>
        <w:t xml:space="preserve"> </w:t>
      </w:r>
      <w:r>
        <w:rPr>
          <w:rFonts w:ascii="Palatino Linotype" w:hAnsi="Palatino Linotype"/>
        </w:rPr>
        <w:t xml:space="preserve">su parte </w:t>
      </w:r>
      <w:r>
        <w:rPr>
          <w:rFonts w:ascii="Palatino Linotype" w:hAnsi="Palatino Linotype"/>
          <w:b/>
        </w:rPr>
        <w:t>EL SUJETO OBLIGADO</w:t>
      </w:r>
      <w:r>
        <w:rPr>
          <w:rFonts w:ascii="Palatino Linotype" w:hAnsi="Palatino Linotype"/>
        </w:rPr>
        <w:t xml:space="preserve"> en fecha veintisiete de enero de dos mil veinte, solicitó a los Servidores Públicos Habilitados Competentes la información requerida en la solicitud de acceso a la información, </w:t>
      </w:r>
      <w:r>
        <w:rPr>
          <w:rFonts w:ascii="Palatino Linotype" w:hAnsi="Palatino Linotype" w:cs="Arial"/>
          <w:bCs/>
        </w:rPr>
        <w:t>tal como se desprende de la siguiente imagen:</w:t>
      </w:r>
    </w:p>
    <w:p w:rsidR="006F53D4" w:rsidRDefault="005A7111">
      <w:pPr>
        <w:spacing w:line="360" w:lineRule="auto"/>
        <w:jc w:val="both"/>
        <w:rPr>
          <w:rFonts w:ascii="Palatino Linotype" w:hAnsi="Palatino Linotype"/>
        </w:rPr>
      </w:pPr>
      <w:r>
        <w:rPr>
          <w:noProof/>
          <w:lang w:eastAsia="es-MX"/>
        </w:rPr>
        <w:drawing>
          <wp:inline distT="0" distB="0" distL="0" distR="0">
            <wp:extent cx="5588635" cy="2415540"/>
            <wp:effectExtent l="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2"/>
                    <pic:cNvPicPr>
                      <a:picLocks noChangeAspect="1" noChangeArrowheads="1"/>
                    </pic:cNvPicPr>
                  </pic:nvPicPr>
                  <pic:blipFill>
                    <a:blip r:embed="rId8"/>
                    <a:srcRect l="4499" t="31570" r="4183" b="22372"/>
                    <a:stretch>
                      <a:fillRect/>
                    </a:stretch>
                  </pic:blipFill>
                  <pic:spPr bwMode="auto">
                    <a:xfrm>
                      <a:off x="0" y="0"/>
                      <a:ext cx="5588635" cy="2415540"/>
                    </a:xfrm>
                    <a:prstGeom prst="rect">
                      <a:avLst/>
                    </a:prstGeom>
                  </pic:spPr>
                </pic:pic>
              </a:graphicData>
            </a:graphic>
          </wp:inline>
        </w:drawing>
      </w:r>
    </w:p>
    <w:p w:rsidR="006F53D4" w:rsidRDefault="005A7111">
      <w:pPr>
        <w:pStyle w:val="Prrafodelista"/>
        <w:spacing w:before="240" w:after="240" w:line="360" w:lineRule="auto"/>
        <w:ind w:left="0"/>
        <w:contextualSpacing/>
        <w:jc w:val="both"/>
        <w:rPr>
          <w:rFonts w:ascii="Palatino Linotype" w:hAnsi="Palatino Linotype"/>
        </w:rPr>
      </w:pPr>
      <w:r>
        <w:rPr>
          <w:rFonts w:ascii="Palatino Linotype" w:hAnsi="Palatino Linotype"/>
        </w:rPr>
        <w:t xml:space="preserve">Cabe precisar que de una revisión a la página de </w:t>
      </w:r>
      <w:r>
        <w:rPr>
          <w:rFonts w:ascii="Palatino Linotype" w:hAnsi="Palatino Linotype"/>
          <w:b/>
        </w:rPr>
        <w:t>IPOMEX</w:t>
      </w:r>
      <w:r>
        <w:rPr>
          <w:rFonts w:ascii="Palatino Linotype" w:hAnsi="Palatino Linotype"/>
        </w:rPr>
        <w:t xml:space="preserve"> del </w:t>
      </w:r>
      <w:r>
        <w:rPr>
          <w:rFonts w:ascii="Palatino Linotype" w:hAnsi="Palatino Linotype"/>
          <w:b/>
        </w:rPr>
        <w:t>SUJETO OBLIGADO</w:t>
      </w:r>
      <w:r>
        <w:rPr>
          <w:rFonts w:ascii="Palatino Linotype" w:hAnsi="Palatino Linotype"/>
        </w:rPr>
        <w:t xml:space="preserve"> sólo se encontró que la primera servidora pública a la que se le requirió la solicitud de acceso a la información ostenta el cargo de Directora de Recursos Humanos, como se observa de la siguiente imagen:</w:t>
      </w:r>
    </w:p>
    <w:p w:rsidR="006F53D4" w:rsidRDefault="005A7111">
      <w:pPr>
        <w:pStyle w:val="Prrafodelista"/>
        <w:spacing w:before="240" w:after="240" w:line="360" w:lineRule="auto"/>
        <w:ind w:left="0"/>
        <w:contextualSpacing/>
        <w:jc w:val="both"/>
        <w:rPr>
          <w:lang w:eastAsia="es-MX"/>
        </w:rPr>
      </w:pPr>
      <w:r>
        <w:rPr>
          <w:noProof/>
          <w:lang w:eastAsia="es-MX"/>
        </w:rPr>
        <w:drawing>
          <wp:inline distT="0" distB="0" distL="0" distR="0">
            <wp:extent cx="5588000" cy="3759835"/>
            <wp:effectExtent l="0" t="0" r="0"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3"/>
                    <pic:cNvPicPr>
                      <a:picLocks noChangeAspect="1" noChangeArrowheads="1"/>
                    </pic:cNvPicPr>
                  </pic:nvPicPr>
                  <pic:blipFill>
                    <a:blip r:embed="rId9"/>
                    <a:srcRect l="15450" t="15571" r="33977" b="11329"/>
                    <a:stretch>
                      <a:fillRect/>
                    </a:stretch>
                  </pic:blipFill>
                  <pic:spPr bwMode="auto">
                    <a:xfrm>
                      <a:off x="0" y="0"/>
                      <a:ext cx="5588000" cy="3759835"/>
                    </a:xfrm>
                    <a:prstGeom prst="rect">
                      <a:avLst/>
                    </a:prstGeom>
                  </pic:spPr>
                </pic:pic>
              </a:graphicData>
            </a:graphic>
          </wp:inline>
        </w:drawing>
      </w:r>
    </w:p>
    <w:p w:rsidR="006F53D4" w:rsidRDefault="005A7111">
      <w:pPr>
        <w:pStyle w:val="Prrafodelista"/>
        <w:spacing w:before="240" w:after="240" w:line="360" w:lineRule="auto"/>
        <w:ind w:left="0"/>
        <w:contextualSpacing/>
        <w:jc w:val="both"/>
        <w:rPr>
          <w:rFonts w:ascii="Palatino Linotype" w:hAnsi="Palatino Linotype"/>
        </w:rPr>
      </w:pPr>
      <w:r>
        <w:rPr>
          <w:rFonts w:ascii="Palatino Linotype" w:hAnsi="Palatino Linotype"/>
          <w:b/>
          <w:sz w:val="28"/>
          <w:szCs w:val="28"/>
        </w:rPr>
        <w:t>III.</w:t>
      </w:r>
      <w:r>
        <w:rPr>
          <w:rFonts w:ascii="Palatino Linotype" w:hAnsi="Palatino Linotype"/>
        </w:rPr>
        <w:t xml:space="preserve"> Que el diecisiete de febrero de dos mil veinte </w:t>
      </w:r>
      <w:r>
        <w:rPr>
          <w:rFonts w:ascii="Palatino Linotype" w:hAnsi="Palatino Linotype"/>
          <w:b/>
        </w:rPr>
        <w:t>EL SUEJTO OBLIGADO</w:t>
      </w:r>
      <w:r>
        <w:rPr>
          <w:rFonts w:ascii="Palatino Linotype" w:hAnsi="Palatino Linotype"/>
        </w:rPr>
        <w:t xml:space="preserve"> notificó al particular la prórroga para dar respuesta a la solicitud de acceso por el término de siete días más, mediante el Acuerdo número </w:t>
      </w:r>
      <w:r>
        <w:rPr>
          <w:rFonts w:ascii="Palatino Linotype" w:hAnsi="Palatino Linotype"/>
          <w:b/>
          <w:i/>
        </w:rPr>
        <w:t>UAEM/AP/0006/2020,</w:t>
      </w:r>
      <w:r>
        <w:rPr>
          <w:rFonts w:ascii="Palatino Linotype" w:hAnsi="Palatino Linotype"/>
        </w:rPr>
        <w:t xml:space="preserve"> emitido por el Comité de Transparencia, de conformidad con el artículo 163 de la Ley de Transparencia y Acceso a la Información Pública del Estado de México y Municipios.</w:t>
      </w:r>
    </w:p>
    <w:p w:rsidR="006F53D4" w:rsidRDefault="006F53D4">
      <w:pPr>
        <w:pStyle w:val="Prrafodelista"/>
        <w:spacing w:before="240" w:after="240" w:line="360" w:lineRule="auto"/>
        <w:ind w:left="0"/>
        <w:contextualSpacing/>
        <w:jc w:val="both"/>
        <w:rPr>
          <w:rFonts w:ascii="Palatino Linotype" w:hAnsi="Palatino Linotype"/>
        </w:rPr>
      </w:pPr>
    </w:p>
    <w:p w:rsidR="006F53D4" w:rsidRDefault="005A7111">
      <w:pPr>
        <w:pStyle w:val="Prrafodelista"/>
        <w:spacing w:before="240" w:after="240" w:line="360" w:lineRule="auto"/>
        <w:ind w:left="0"/>
        <w:contextualSpacing/>
        <w:jc w:val="both"/>
        <w:rPr>
          <w:rFonts w:ascii="Palatino Linotype" w:hAnsi="Palatino Linotype" w:cs="Arial"/>
          <w:lang w:val="es-ES_tradnl"/>
        </w:rPr>
      </w:pPr>
      <w:r>
        <w:rPr>
          <w:rFonts w:ascii="Palatino Linotype" w:hAnsi="Palatino Linotype"/>
          <w:b/>
          <w:sz w:val="28"/>
          <w:szCs w:val="28"/>
        </w:rPr>
        <w:t xml:space="preserve">IV.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veintiséis de febrero de dos mil veinte, </w:t>
      </w:r>
      <w:r>
        <w:rPr>
          <w:rFonts w:ascii="Palatino Linotype" w:hAnsi="Palatino Linotype" w:cs="Arial"/>
          <w:lang w:val="es-ES_tradnl"/>
        </w:rPr>
        <w:t>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6F53D4" w:rsidRDefault="005A7111">
      <w:pPr>
        <w:spacing w:line="276" w:lineRule="auto"/>
        <w:ind w:left="851" w:right="616"/>
        <w:jc w:val="right"/>
        <w:rPr>
          <w:rFonts w:ascii="Palatino Linotype" w:hAnsi="Palatino Linotype" w:cs="Arial"/>
          <w:i/>
          <w:lang w:val="es-ES"/>
        </w:rPr>
      </w:pPr>
      <w:r>
        <w:rPr>
          <w:rFonts w:ascii="Palatino Linotype" w:hAnsi="Palatino Linotype" w:cs="Arial"/>
          <w:i/>
          <w:lang w:val="es-ES"/>
        </w:rPr>
        <w:t>“Folio de la solicitud: 00025/UAEM/IP/2020</w:t>
      </w:r>
    </w:p>
    <w:p w:rsidR="006F53D4" w:rsidRDefault="005A7111">
      <w:pPr>
        <w:spacing w:line="276" w:lineRule="auto"/>
        <w:ind w:left="851" w:right="616"/>
        <w:jc w:val="both"/>
        <w:rPr>
          <w:rFonts w:ascii="Palatino Linotype" w:hAnsi="Palatino Linotype" w:cs="Arial"/>
          <w:i/>
          <w:lang w:val="es-ES"/>
        </w:rPr>
      </w:pPr>
      <w:r>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F53D4" w:rsidRDefault="005A7111">
      <w:pPr>
        <w:spacing w:line="276" w:lineRule="auto"/>
        <w:ind w:left="851" w:right="616"/>
        <w:jc w:val="both"/>
        <w:rPr>
          <w:rFonts w:ascii="Palatino Linotype" w:hAnsi="Palatino Linotype" w:cs="Arial"/>
          <w:i/>
          <w:lang w:val="es-ES"/>
        </w:rPr>
      </w:pPr>
      <w:r>
        <w:rPr>
          <w:rFonts w:ascii="Palatino Linotype" w:hAnsi="Palatino Linotype" w:cs="Arial"/>
          <w:i/>
          <w:lang w:val="es-ES"/>
        </w:rPr>
        <w:t>En respuesta a la solicitud de acceso a la información pública con número de folio 0025/UAEM/IP/2020,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 siguiente: 1. Con relación a: “1)¿La universidad cuenta con un sistema de pensiones para sus trabajadores o solo realiza un pago único por concepto de jubilación al cumplir con los requisitos definidos en los contratos colectivos de trabajo? 2) Si la universidad sí cuenta con un sistema de pensiones, ¿a cuál de los siguientes modelos corresponde? a) Sistema de pensiones propio (la universidad administra y paga el total de la pensión). b) Sistema de pensiones externo (una institución de seguridad social (ej. IMSS o ISSSTE) cubre el 100 del pago de la pensión). c) Sistema de pensiones complementario (una institución de seguridad social paga una parte del monto total de la pensión y la universidad paga la otra parte) d) Sistema de pensiones doble (el trabajador recibe el pago de la pensión completa por parte de la universidad y otra pensión de alguna institución de seguridad social). 3) ¿Desde el año 2002 al 2019, la universidad ha reformado el sistema de pensiones o el pago único de jubilación? De responder afirmativamente la pregunta anterior, favor de señalar los años en que se reformó el sistema de pensiones o el pago único de jubilación y en cada año seleccionar de las siguientes opciones las que correspondan a cada reforma: a) modificación de los requisitos para acceder a la pensión o jubilación (aumento de años de servicios, antigüedad, salario regulador, etc.); b) creación de un fondo o aumento en los porcentajes de aportación; c) cambio de modelo del sistema de pensiones (siguiendo los modelos de la pregunta 2); d) Otro tipo de reforma (favor de explicar). 4) ¿Cómo financia la universidad el costo de la nómina de pensionado o del pago único de jubilación? (ej. recursos propios, recursos federales, aportaciones, etc.) 5) La universidad tiene un fondo de capitalización para cubrir el pago de pensiones y jubilación? ¿En qué año se creó el fondo? ¿quiénes aportan y en qué porcentaje? 6) Costo anual de la nómina de pensionados o pago a jubilados durante el periodo 2002 - 2019. 7) Número de pensionados o jubilados diferenciando académicos y administrativos en el periodo 2002 – 2019…14) ¿Qué actores de la comunidad universitaria o externos intervinieron en el diseño y aprobación de las reformas a los sistemas de pensiones o jubilaciones?” (sic) le comentamos que la información referente al sistema de pensiones es competencia del Instituto de Seguridad Social del Estado de México y Municipios, la Universidad Autónoma del Estado de México solo realiza el trámite referente al pago de prestaciones con motivo de la separación laboral de los trabajadores universitarios. 2. Le informamos que la forma de elección del Rector de la Universidad, el proceso para su designación, la duración del cargo, la no reelección del cargo, la integración del gobierno universitario, su conformación y la forma de tomar las decisiones. Se encuentran en el Tirulo Cuarto de la Ley de la Universidad Autónoma del Estado de México y del Estatuto Universitario de la UAEM y los Lineamientos de Integración y Funcionamiento del Consejo Universitario, disponibles en la compilación legislativa UAEM publicada en: http://ri.uaemex.mx/handle/20.500.11799/21402 así como la convocatoria especifica que se publique en su momento para el proceso. 3. La Universidad Autónoma del Estado de México reconoce a 2 asociaciones sindicales la Federación de Asociaciones Autónomas de Personal Académico de la Universidad Autónoma del Estado de México y el Sindicato Único de Trabajadores y Empleados al Servicio de la Universidad Autónoma del Estado de México 4. Con respecto a: “¿cuál fue la asignación por año del Fondo de apoyo para reformas estructurales de las Universidades Públicas Estatales desde el 2002 al 2018 (sólo en su modalidad de reformas estructurales)? Asimismo, especificar en cada año si el proyecto apoyado fue para aplicar una nueva reforma al sistema de pensiones o jubilaciones o para apoyar reformas anteriores.” (sic) le informamos La UAEM recibió recursos del Fondo de Apoyo para Reformas Estructurales como sigue: Año Importe (Pesos) 2002 8’440,000.00 2003 2’030,000.00 2004 778,000.00 2005 10’000,000.00 2006 810,000.00 TOTAL 22’058,000.00 A partir de 2007, el programa se denomina Fondo para la Atención de Problemas Estructurales de las Universidades Públicas Estatales, la UAEM NO RECIBIÖ RECURSOS. En 2015 se fusiona con el Fondo de Apoyo para Saneamiento Financiero de las UPES por debajo de la media nacional en subsidio por alumno, la UAEM NO RECIBIÖ RECURSOS DE 2015 A 2020. Los recursos recibidos no apoyaron nuevas reformas, ni reformas anteriores, únicamente pago de liquidaciones ya que la Universidad no tiene un sistema de pensiones propio.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rsidR="006F53D4" w:rsidRDefault="005A7111">
      <w:pPr>
        <w:spacing w:line="276" w:lineRule="auto"/>
        <w:ind w:left="851" w:right="616"/>
        <w:jc w:val="both"/>
        <w:rPr>
          <w:rFonts w:ascii="Palatino Linotype" w:hAnsi="Palatino Linotype" w:cs="Arial"/>
          <w:i/>
          <w:lang w:val="es-ES"/>
        </w:rPr>
      </w:pPr>
      <w:r>
        <w:rPr>
          <w:rFonts w:ascii="Palatino Linotype" w:hAnsi="Palatino Linotype" w:cs="Arial"/>
          <w:i/>
          <w:lang w:val="es-ES"/>
        </w:rPr>
        <w:t>ATENTAMENTE</w:t>
      </w:r>
    </w:p>
    <w:p w:rsidR="006F53D4" w:rsidRDefault="005A7111">
      <w:pPr>
        <w:spacing w:line="276" w:lineRule="auto"/>
        <w:ind w:left="851" w:right="616"/>
        <w:jc w:val="both"/>
        <w:rPr>
          <w:rFonts w:ascii="Palatino Linotype" w:hAnsi="Palatino Linotype" w:cs="Arial"/>
          <w:i/>
          <w:lang w:val="es-ES"/>
        </w:rPr>
      </w:pPr>
      <w:r>
        <w:rPr>
          <w:rFonts w:ascii="Palatino Linotype" w:hAnsi="Palatino Linotype" w:cs="Arial"/>
          <w:i/>
          <w:lang w:val="es-ES"/>
        </w:rPr>
        <w:t>LIC. EN D. HUGO EDGAR CHAPARRO CAMPOS”</w:t>
      </w:r>
    </w:p>
    <w:p w:rsidR="006F53D4" w:rsidRDefault="006F53D4">
      <w:pPr>
        <w:spacing w:line="276" w:lineRule="auto"/>
        <w:ind w:left="851" w:right="616"/>
        <w:jc w:val="both"/>
        <w:rPr>
          <w:rFonts w:ascii="Palatino Linotype" w:hAnsi="Palatino Linotype" w:cs="Arial"/>
          <w:i/>
          <w:lang w:val="es-ES"/>
        </w:rPr>
      </w:pPr>
    </w:p>
    <w:p w:rsidR="006F53D4" w:rsidRDefault="005A7111">
      <w:pPr>
        <w:spacing w:line="360" w:lineRule="auto"/>
        <w:jc w:val="both"/>
        <w:rPr>
          <w:rFonts w:ascii="Palatino Linotype" w:hAnsi="Palatino Linotype" w:cs="Arial"/>
          <w:lang w:val="es-ES"/>
        </w:rPr>
      </w:pPr>
      <w:r>
        <w:rPr>
          <w:rFonts w:ascii="Palatino Linotype" w:hAnsi="Palatino Linotype" w:cs="Arial"/>
          <w:lang w:val="es-ES"/>
        </w:rPr>
        <w:t xml:space="preserve">Cabe precisar que </w:t>
      </w:r>
      <w:r>
        <w:rPr>
          <w:rFonts w:ascii="Palatino Linotype" w:hAnsi="Palatino Linotype" w:cs="Arial"/>
          <w:b/>
          <w:lang w:val="es-ES"/>
        </w:rPr>
        <w:t>EL SUJETO OBLIGADO</w:t>
      </w:r>
      <w:r>
        <w:rPr>
          <w:rFonts w:ascii="Palatino Linotype" w:hAnsi="Palatino Linotype" w:cs="Arial"/>
          <w:lang w:val="es-ES"/>
        </w:rPr>
        <w:t xml:space="preserve"> adjuntó un archivo electrónico denominado </w:t>
      </w:r>
      <w:r>
        <w:rPr>
          <w:rFonts w:ascii="Palatino Linotype" w:hAnsi="Palatino Linotype" w:cs="Arial"/>
          <w:b/>
          <w:i/>
          <w:lang w:val="es-ES"/>
        </w:rPr>
        <w:t>Cédula de evaluación 000252020.docx,</w:t>
      </w:r>
      <w:r>
        <w:rPr>
          <w:rFonts w:ascii="Palatino Linotype" w:hAnsi="Palatino Linotype" w:cs="Arial"/>
          <w:lang w:val="es-ES"/>
        </w:rPr>
        <w:t xml:space="preserve"> el cual no se inserta en el presente apartado al ser del concomimiento de las partes; el cual contiene la Cédula de Evaluación del Servicio para Usuarios Virtuales con Solicitud de Información Pública.</w:t>
      </w:r>
    </w:p>
    <w:p w:rsidR="006F53D4" w:rsidRDefault="006F53D4">
      <w:pPr>
        <w:spacing w:line="360" w:lineRule="auto"/>
        <w:jc w:val="both"/>
        <w:rPr>
          <w:rFonts w:ascii="Palatino Linotype" w:hAnsi="Palatino Linotype" w:cs="Arial"/>
          <w:i/>
          <w:lang w:val="es-ES"/>
        </w:rPr>
      </w:pPr>
    </w:p>
    <w:p w:rsidR="006F53D4" w:rsidRDefault="005A7111">
      <w:pPr>
        <w:spacing w:line="360" w:lineRule="auto"/>
        <w:jc w:val="both"/>
        <w:rPr>
          <w:rFonts w:ascii="Palatino Linotype" w:hAnsi="Palatino Linotype" w:cs="Arial"/>
          <w:lang w:val="es-ES"/>
        </w:rPr>
      </w:pPr>
      <w:r>
        <w:rPr>
          <w:rFonts w:ascii="Palatino Linotype" w:hAnsi="Palatino Linotype" w:cs="Arial"/>
          <w:b/>
          <w:sz w:val="28"/>
          <w:szCs w:val="28"/>
          <w:lang w:val="es-ES"/>
        </w:rPr>
        <w:t xml:space="preserve">V. </w:t>
      </w:r>
      <w:r>
        <w:rPr>
          <w:rFonts w:ascii="Palatino Linotype" w:hAnsi="Palatino Linotype"/>
          <w:lang w:val="es-ES"/>
        </w:rPr>
        <w:t xml:space="preserve">Inconforme con la </w:t>
      </w:r>
      <w:r>
        <w:rPr>
          <w:rFonts w:ascii="Palatino Linotype" w:hAnsi="Palatino Linotype" w:cs="Arial"/>
          <w:lang w:val="es-ES"/>
        </w:rPr>
        <w:t xml:space="preserve">respuesta el tres de marzo de dos mil veinte, </w:t>
      </w:r>
      <w:r>
        <w:rPr>
          <w:rFonts w:ascii="Palatino Linotype" w:hAnsi="Palatino Linotype"/>
          <w:b/>
          <w:lang w:val="es-ES"/>
        </w:rPr>
        <w:t>EL RECURRENTE</w:t>
      </w:r>
      <w:r>
        <w:rPr>
          <w:rFonts w:ascii="Palatino Linotype" w:hAnsi="Palatino Linotype"/>
          <w:lang w:val="es-ES"/>
        </w:rPr>
        <w:t xml:space="preserve"> interpuso el recursos de revisión objeto del presente estudio, el cual fue registrado en </w:t>
      </w:r>
      <w:r>
        <w:rPr>
          <w:rFonts w:ascii="Palatino Linotype" w:hAnsi="Palatino Linotype"/>
          <w:b/>
          <w:lang w:val="es-ES"/>
        </w:rPr>
        <w:t>EL SAIMEX</w:t>
      </w:r>
      <w:r>
        <w:rPr>
          <w:rFonts w:ascii="Palatino Linotype" w:hAnsi="Palatino Linotype"/>
          <w:lang w:val="es-ES"/>
        </w:rPr>
        <w:t xml:space="preserve"> y se le asignó el número de expediente</w:t>
      </w:r>
      <w:r>
        <w:rPr>
          <w:rFonts w:ascii="Palatino Linotype" w:hAnsi="Palatino Linotype" w:cs="Arial"/>
          <w:lang w:val="es-ES"/>
        </w:rPr>
        <w:t xml:space="preserve"> </w:t>
      </w:r>
      <w:r>
        <w:rPr>
          <w:rFonts w:ascii="Palatino Linotype" w:hAnsi="Palatino Linotype"/>
          <w:lang w:eastAsia="es-MX"/>
        </w:rPr>
        <w:br/>
      </w:r>
      <w:r>
        <w:rPr>
          <w:rFonts w:ascii="Palatino Linotype" w:hAnsi="Palatino Linotype"/>
          <w:b/>
          <w:lang w:eastAsia="es-MX"/>
        </w:rPr>
        <w:t>01337/INFOEM/IP/RR/2020</w:t>
      </w:r>
      <w:r>
        <w:rPr>
          <w:rFonts w:ascii="Palatino Linotype" w:hAnsi="Palatino Linotype"/>
          <w:lang w:eastAsia="es-MX"/>
        </w:rPr>
        <w:t xml:space="preserve">, </w:t>
      </w:r>
      <w:r>
        <w:rPr>
          <w:rFonts w:ascii="Palatino Linotype" w:hAnsi="Palatino Linotype" w:cs="Arial"/>
          <w:lang w:val="es-ES"/>
        </w:rPr>
        <w:t>en el que señaló como acto impugnado y razones o motivos de inconformidad lo siguiente:</w:t>
      </w:r>
    </w:p>
    <w:p w:rsidR="006F53D4" w:rsidRDefault="006F53D4">
      <w:pPr>
        <w:spacing w:line="360" w:lineRule="auto"/>
        <w:jc w:val="both"/>
        <w:rPr>
          <w:rFonts w:ascii="Palatino Linotype" w:hAnsi="Palatino Linotype" w:cs="Arial"/>
          <w:lang w:val="es-ES"/>
        </w:rPr>
      </w:pPr>
    </w:p>
    <w:tbl>
      <w:tblPr>
        <w:tblStyle w:val="Tablaconcuadrcula"/>
        <w:tblW w:w="8828" w:type="dxa"/>
        <w:jc w:val="center"/>
        <w:tblLook w:val="04A0" w:firstRow="1" w:lastRow="0" w:firstColumn="1" w:lastColumn="0" w:noHBand="0" w:noVBand="1"/>
      </w:tblPr>
      <w:tblGrid>
        <w:gridCol w:w="2689"/>
        <w:gridCol w:w="2409"/>
        <w:gridCol w:w="3730"/>
      </w:tblGrid>
      <w:tr w:rsidR="006F53D4">
        <w:trPr>
          <w:jc w:val="center"/>
        </w:trPr>
        <w:tc>
          <w:tcPr>
            <w:tcW w:w="2689" w:type="dxa"/>
            <w:shd w:val="clear" w:color="auto" w:fill="000000" w:themeFill="text1"/>
            <w:vAlign w:val="center"/>
          </w:tcPr>
          <w:p w:rsidR="006F53D4" w:rsidRDefault="005A7111">
            <w:pPr>
              <w:jc w:val="center"/>
              <w:rPr>
                <w:rFonts w:ascii="Palatino Linotype" w:hAnsi="Palatino Linotype"/>
                <w:b/>
              </w:rPr>
            </w:pPr>
            <w:r>
              <w:rPr>
                <w:rFonts w:ascii="Palatino Linotype" w:eastAsiaTheme="minorHAnsi" w:hAnsi="Palatino Linotype"/>
                <w:b/>
              </w:rPr>
              <w:t>Número de Recurso</w:t>
            </w:r>
          </w:p>
        </w:tc>
        <w:tc>
          <w:tcPr>
            <w:tcW w:w="2409" w:type="dxa"/>
            <w:shd w:val="clear" w:color="auto" w:fill="000000" w:themeFill="text1"/>
            <w:vAlign w:val="center"/>
          </w:tcPr>
          <w:p w:rsidR="006F53D4" w:rsidRDefault="005A7111">
            <w:pPr>
              <w:jc w:val="center"/>
              <w:rPr>
                <w:rFonts w:ascii="Palatino Linotype" w:hAnsi="Palatino Linotype"/>
                <w:b/>
              </w:rPr>
            </w:pPr>
            <w:r>
              <w:rPr>
                <w:rFonts w:ascii="Palatino Linotype" w:eastAsiaTheme="minorHAnsi" w:hAnsi="Palatino Linotype"/>
                <w:b/>
              </w:rPr>
              <w:t>Acto Impugnado</w:t>
            </w:r>
          </w:p>
        </w:tc>
        <w:tc>
          <w:tcPr>
            <w:tcW w:w="3730" w:type="dxa"/>
            <w:shd w:val="clear" w:color="auto" w:fill="000000" w:themeFill="text1"/>
            <w:vAlign w:val="center"/>
          </w:tcPr>
          <w:p w:rsidR="006F53D4" w:rsidRDefault="005A7111">
            <w:pPr>
              <w:jc w:val="center"/>
              <w:rPr>
                <w:rFonts w:ascii="Palatino Linotype" w:hAnsi="Palatino Linotype"/>
                <w:b/>
              </w:rPr>
            </w:pPr>
            <w:r>
              <w:rPr>
                <w:rFonts w:ascii="Palatino Linotype" w:eastAsiaTheme="minorHAnsi" w:hAnsi="Palatino Linotype"/>
                <w:b/>
              </w:rPr>
              <w:t>Razones o motivos de inconformidad</w:t>
            </w:r>
          </w:p>
        </w:tc>
      </w:tr>
      <w:tr w:rsidR="006F53D4">
        <w:trPr>
          <w:trHeight w:val="1384"/>
          <w:jc w:val="center"/>
        </w:trPr>
        <w:tc>
          <w:tcPr>
            <w:tcW w:w="2689" w:type="dxa"/>
          </w:tcPr>
          <w:p w:rsidR="006F53D4" w:rsidRDefault="005A7111">
            <w:pPr>
              <w:rPr>
                <w:rFonts w:ascii="Palatino Linotype" w:hAnsi="Palatino Linotype"/>
                <w:sz w:val="20"/>
                <w:szCs w:val="20"/>
              </w:rPr>
            </w:pPr>
            <w:r>
              <w:rPr>
                <w:rFonts w:ascii="Palatino Linotype" w:hAnsi="Palatino Linotype"/>
                <w:b/>
                <w:sz w:val="20"/>
                <w:szCs w:val="20"/>
                <w:lang w:eastAsia="es-MX"/>
              </w:rPr>
              <w:t>01337/INFOEM/IP/RR/2020</w:t>
            </w:r>
          </w:p>
        </w:tc>
        <w:tc>
          <w:tcPr>
            <w:tcW w:w="2409" w:type="dxa"/>
          </w:tcPr>
          <w:p w:rsidR="006F53D4" w:rsidRDefault="005A7111">
            <w:pPr>
              <w:jc w:val="both"/>
              <w:rPr>
                <w:rFonts w:ascii="Palatino Linotype" w:hAnsi="Palatino Linotype"/>
                <w:i/>
              </w:rPr>
            </w:pPr>
            <w:r>
              <w:rPr>
                <w:rFonts w:ascii="Palatino Linotype" w:eastAsiaTheme="minorHAnsi" w:hAnsi="Palatino Linotype"/>
                <w:i/>
              </w:rPr>
              <w:t>“No ha respondido la solicitud de información”</w:t>
            </w:r>
          </w:p>
        </w:tc>
        <w:tc>
          <w:tcPr>
            <w:tcW w:w="3730" w:type="dxa"/>
          </w:tcPr>
          <w:p w:rsidR="006F53D4" w:rsidRDefault="005A7111">
            <w:pPr>
              <w:jc w:val="both"/>
              <w:rPr>
                <w:rFonts w:ascii="Palatino Linotype" w:hAnsi="Palatino Linotype"/>
                <w:i/>
              </w:rPr>
            </w:pPr>
            <w:r>
              <w:rPr>
                <w:rFonts w:ascii="Palatino Linotype" w:eastAsiaTheme="minorHAnsi" w:hAnsi="Palatino Linotype"/>
                <w:i/>
              </w:rPr>
              <w:t>“No ha respondido la solicitud de información”</w:t>
            </w:r>
          </w:p>
        </w:tc>
      </w:tr>
    </w:tbl>
    <w:p w:rsidR="006F53D4" w:rsidRDefault="006F53D4">
      <w:pPr>
        <w:spacing w:line="360" w:lineRule="auto"/>
        <w:ind w:right="49"/>
        <w:jc w:val="both"/>
        <w:rPr>
          <w:rFonts w:ascii="Palatino Linotype" w:hAnsi="Palatino Linotype" w:cs="Arial"/>
          <w:b/>
          <w:sz w:val="28"/>
          <w:szCs w:val="28"/>
          <w:lang w:val="es-ES"/>
        </w:rPr>
      </w:pPr>
    </w:p>
    <w:p w:rsidR="006F53D4" w:rsidRDefault="005A7111">
      <w:pPr>
        <w:spacing w:line="360" w:lineRule="auto"/>
        <w:ind w:right="49"/>
        <w:jc w:val="both"/>
        <w:rPr>
          <w:rFonts w:ascii="Palatino Linotype" w:hAnsi="Palatino Linotype"/>
          <w:lang w:eastAsia="es-MX"/>
        </w:rPr>
      </w:pPr>
      <w:r>
        <w:rPr>
          <w:rFonts w:ascii="Palatino Linotype" w:hAnsi="Palatino Linotype" w:cs="Arial"/>
          <w:b/>
          <w:sz w:val="28"/>
          <w:szCs w:val="28"/>
          <w:lang w:val="es-ES"/>
        </w:rPr>
        <w:t>VI.</w:t>
      </w:r>
      <w:r>
        <w:rPr>
          <w:rFonts w:ascii="Palatino Linotype" w:hAnsi="Palatino Linotype" w:cs="Arial"/>
          <w:b/>
          <w:sz w:val="28"/>
          <w:lang w:val="es-ES"/>
        </w:rPr>
        <w:t xml:space="preserve"> </w:t>
      </w:r>
      <w:r>
        <w:rPr>
          <w:rFonts w:ascii="Palatino Linotype" w:hAnsi="Palatino Linotype" w:cs="Arial"/>
          <w:lang w:val="es-ES"/>
        </w:rPr>
        <w:t>El tres de marzo de dos mil veinte</w:t>
      </w:r>
      <w:r>
        <w:rPr>
          <w:rFonts w:ascii="Palatino Linotype" w:hAnsi="Palatino Linotype"/>
          <w:lang w:val="es-ES"/>
        </w:rPr>
        <w:t>, el</w:t>
      </w:r>
      <w:r>
        <w:rPr>
          <w:rFonts w:ascii="Palatino Linotype" w:hAnsi="Palatino Linotype" w:cs="Arial"/>
          <w:lang w:val="es-ES"/>
        </w:rPr>
        <w:t xml:space="preserve"> </w:t>
      </w:r>
      <w:r>
        <w:rPr>
          <w:rFonts w:ascii="Palatino Linotype" w:hAnsi="Palatino Linotype" w:cs="Arial"/>
          <w:lang w:val="es-ES_tradnl"/>
        </w:rPr>
        <w:t>recurso de revisión de que</w:t>
      </w:r>
      <w:r>
        <w:rPr>
          <w:rFonts w:ascii="Palatino Linotype" w:hAnsi="Palatino Linotype" w:cs="Arial"/>
          <w:lang w:val="es-ES"/>
        </w:rPr>
        <w:t xml:space="preserve"> se trata</w:t>
      </w:r>
      <w:r>
        <w:rPr>
          <w:rFonts w:ascii="Palatino Linotype" w:hAnsi="Palatino Linotype" w:cs="Arial"/>
          <w:lang w:val="es-ES_tradnl"/>
        </w:rPr>
        <w:t xml:space="preserve"> se envió electrónicamente al Instituto de </w:t>
      </w:r>
      <w:r>
        <w:rPr>
          <w:rFonts w:ascii="Palatino Linotype" w:eastAsia="Arial Unicode MS" w:hAnsi="Palatino Linotype" w:cs="Arial"/>
          <w:lang w:val="es-ES"/>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lang w:val="es-ES"/>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lang w:val="es-ES"/>
        </w:rPr>
        <w:t>, el recurso</w:t>
      </w:r>
      <w:r>
        <w:rPr>
          <w:rFonts w:ascii="Palatino Linotype" w:hAnsi="Palatino Linotype" w:cs="Arial"/>
          <w:szCs w:val="20"/>
          <w:lang w:val="es-ES"/>
        </w:rPr>
        <w:t xml:space="preserve"> de revisión</w:t>
      </w:r>
      <w:r>
        <w:rPr>
          <w:rFonts w:ascii="Palatino Linotype" w:hAnsi="Palatino Linotype"/>
          <w:lang w:val="es-ES"/>
        </w:rPr>
        <w:t xml:space="preserve"> a la </w:t>
      </w:r>
      <w:r>
        <w:rPr>
          <w:rFonts w:ascii="Palatino Linotype" w:hAnsi="Palatino Linotype" w:cs="Arial"/>
          <w:lang w:val="es-ES_tradnl"/>
        </w:rPr>
        <w:t xml:space="preserve">Comisionada </w:t>
      </w:r>
      <w:r>
        <w:rPr>
          <w:rFonts w:ascii="Palatino Linotype" w:hAnsi="Palatino Linotype" w:cs="Arial"/>
          <w:b/>
          <w:lang w:val="es-ES_tradnl"/>
        </w:rPr>
        <w:t xml:space="preserve">EVA ABAID YAPUR, </w:t>
      </w:r>
      <w:r>
        <w:rPr>
          <w:rFonts w:ascii="Palatino Linotype" w:hAnsi="Palatino Linotype" w:cs="Arial"/>
          <w:lang w:val="es-ES_tradnl"/>
        </w:rPr>
        <w:t>a efecto de que decretaran su admisión o desechamiento.</w:t>
      </w:r>
      <w:r>
        <w:rPr>
          <w:rFonts w:ascii="Palatino Linotype" w:hAnsi="Palatino Linotype"/>
          <w:lang w:eastAsia="es-MX"/>
        </w:rPr>
        <w:t xml:space="preserve"> </w:t>
      </w:r>
    </w:p>
    <w:p w:rsidR="006F53D4" w:rsidRDefault="006F53D4">
      <w:pPr>
        <w:tabs>
          <w:tab w:val="center" w:pos="4252"/>
          <w:tab w:val="right" w:pos="8504"/>
        </w:tabs>
        <w:spacing w:line="360" w:lineRule="auto"/>
        <w:jc w:val="both"/>
        <w:rPr>
          <w:rFonts w:ascii="Palatino Linotype" w:eastAsia="MS Mincho" w:hAnsi="Palatino Linotype" w:cs="Arial"/>
          <w:b/>
          <w:sz w:val="18"/>
          <w:lang w:val="es-ES_tradnl"/>
        </w:rPr>
      </w:pPr>
    </w:p>
    <w:p w:rsidR="006F53D4" w:rsidRDefault="005A7111">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cs="Arial"/>
          <w:b/>
          <w:sz w:val="28"/>
          <w:lang w:val="es-ES_tradnl"/>
        </w:rPr>
        <w:t xml:space="preserve">VII. </w:t>
      </w:r>
      <w:r>
        <w:rPr>
          <w:rFonts w:ascii="Palatino Linotype" w:eastAsia="MS Mincho" w:hAnsi="Palatino Linotype" w:cs="Arial"/>
          <w:lang w:val="es-ES_tradnl"/>
        </w:rPr>
        <w:t>De las constancias del expediente electrónico del</w:t>
      </w:r>
      <w:r>
        <w:rPr>
          <w:rFonts w:ascii="Palatino Linotype" w:eastAsia="MS Mincho" w:hAnsi="Palatino Linotype" w:cs="Arial"/>
          <w:b/>
          <w:lang w:val="es-ES_tradnl"/>
        </w:rPr>
        <w:t xml:space="preserve"> SAIMEX</w:t>
      </w:r>
      <w:r>
        <w:rPr>
          <w:rFonts w:ascii="Palatino Linotype" w:eastAsia="MS Mincho" w:hAnsi="Palatino Linotype" w:cs="Arial"/>
          <w:lang w:val="es-ES_tradnl"/>
        </w:rPr>
        <w:t xml:space="preserve">, se desprende que el diez de marzo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MS Mincho" w:hAnsi="Palatino Linotype" w:cs="Arial"/>
          <w:b/>
          <w:lang w:val="es-ES_tradnl"/>
        </w:rPr>
        <w:t xml:space="preserve">EL SUJETO OBLIGADO </w:t>
      </w:r>
      <w:r>
        <w:rPr>
          <w:rFonts w:ascii="Palatino Linotype" w:eastAsia="MS Mincho" w:hAnsi="Palatino Linotype" w:cs="Arial"/>
          <w:lang w:val="es-ES_tradnl"/>
        </w:rPr>
        <w:t>rindiera su</w:t>
      </w:r>
      <w:r>
        <w:rPr>
          <w:rFonts w:ascii="Palatino Linotype" w:eastAsia="MS Mincho" w:hAnsi="Palatino Linotype" w:cs="Arial"/>
          <w:b/>
          <w:lang w:val="es-ES_tradnl"/>
        </w:rPr>
        <w:t xml:space="preserve"> </w:t>
      </w:r>
      <w:r>
        <w:rPr>
          <w:rFonts w:ascii="Palatino Linotype" w:eastAsia="MS Mincho" w:hAnsi="Palatino Linotype" w:cs="Arial"/>
          <w:lang w:val="es-ES_tradnl"/>
        </w:rPr>
        <w:t>Informe Justificado respectivamente.</w:t>
      </w:r>
    </w:p>
    <w:p w:rsidR="006F53D4" w:rsidRDefault="006F53D4">
      <w:pPr>
        <w:tabs>
          <w:tab w:val="center" w:pos="4252"/>
          <w:tab w:val="right" w:pos="8504"/>
        </w:tabs>
        <w:spacing w:line="360" w:lineRule="auto"/>
        <w:jc w:val="both"/>
        <w:rPr>
          <w:rFonts w:ascii="Palatino Linotype" w:eastAsia="MS Mincho" w:hAnsi="Palatino Linotype" w:cs="Arial"/>
          <w:sz w:val="20"/>
          <w:lang w:val="es-ES_tradnl"/>
        </w:rPr>
      </w:pPr>
    </w:p>
    <w:p w:rsidR="006F53D4" w:rsidRDefault="005A7111">
      <w:pPr>
        <w:spacing w:line="360" w:lineRule="auto"/>
        <w:jc w:val="both"/>
        <w:rPr>
          <w:rFonts w:ascii="Palatino Linotype" w:hAnsi="Palatino Linotype" w:cs="Arial"/>
          <w:lang w:val="es-ES"/>
        </w:rPr>
      </w:pPr>
      <w:r>
        <w:rPr>
          <w:rFonts w:ascii="Palatino Linotype" w:hAnsi="Palatino Linotype"/>
          <w:b/>
          <w:sz w:val="28"/>
          <w:szCs w:val="28"/>
          <w:lang w:eastAsia="es-MX"/>
        </w:rPr>
        <w:t>VIII.</w:t>
      </w:r>
      <w:r>
        <w:rPr>
          <w:rFonts w:ascii="Palatino Linotype" w:hAnsi="Palatino Linotype"/>
          <w:b/>
          <w:lang w:eastAsia="es-MX"/>
        </w:rPr>
        <w:t xml:space="preserve"> </w:t>
      </w:r>
      <w:r>
        <w:rPr>
          <w:rFonts w:ascii="Palatino Linotype" w:hAnsi="Palatino Linotype" w:cs="Arial"/>
          <w:lang w:val="es-ES"/>
        </w:rPr>
        <w:t xml:space="preserve">De las constancias que obran en el expediente electrónico del </w:t>
      </w:r>
      <w:r>
        <w:rPr>
          <w:rFonts w:ascii="Palatino Linotype" w:hAnsi="Palatino Linotype" w:cs="Arial"/>
          <w:b/>
          <w:lang w:val="es-ES"/>
        </w:rPr>
        <w:t>SAIMEX</w:t>
      </w:r>
      <w:r>
        <w:rPr>
          <w:rFonts w:ascii="Palatino Linotype" w:hAnsi="Palatino Linotype" w:cs="Arial"/>
          <w:lang w:val="es-ES"/>
        </w:rPr>
        <w:t xml:space="preserve">, se advierte que </w:t>
      </w:r>
      <w:r>
        <w:rPr>
          <w:rFonts w:ascii="Palatino Linotype" w:hAnsi="Palatino Linotype" w:cs="Arial"/>
          <w:b/>
          <w:lang w:val="es-ES"/>
        </w:rPr>
        <w:t>EL SUJETO OBLIGADO</w:t>
      </w:r>
      <w:r>
        <w:rPr>
          <w:rFonts w:ascii="Palatino Linotype" w:hAnsi="Palatino Linotype" w:cs="Arial"/>
          <w:lang w:val="es-ES"/>
        </w:rPr>
        <w:t xml:space="preserve"> el dieciocho de marzo de dos mil veinte rindió el Informe Justificado, en el que ratificó la respuesta proporcionada, por lo que al no encuadrar en el supuesto de la fracción III, del artículo 185 de la Ley de Transparencia y Acceso a la Información Pública del Estado de México y Municipios, se consideró no ponerlo a la vista del particular; sin embargo, se le hará del conocimiento al momento de notificarle la presente resolución.</w:t>
      </w:r>
    </w:p>
    <w:p w:rsidR="006F53D4" w:rsidRDefault="005A7111">
      <w:pPr>
        <w:spacing w:line="360" w:lineRule="auto"/>
        <w:jc w:val="both"/>
        <w:rPr>
          <w:rFonts w:ascii="Palatino Linotype" w:hAnsi="Palatino Linotype" w:cs="Arial"/>
          <w:lang w:val="es-ES"/>
        </w:rPr>
      </w:pPr>
      <w:r>
        <w:rPr>
          <w:rFonts w:ascii="Palatino Linotype" w:hAnsi="Palatino Linotype" w:cs="Arial"/>
          <w:lang w:val="es-ES"/>
        </w:rPr>
        <w:t xml:space="preserve">Por su parte, </w:t>
      </w:r>
      <w:r>
        <w:rPr>
          <w:rFonts w:ascii="Palatino Linotype" w:hAnsi="Palatino Linotype" w:cs="Arial"/>
          <w:b/>
          <w:lang w:val="es-ES"/>
        </w:rPr>
        <w:t>EL RECURRENTE</w:t>
      </w:r>
      <w:r>
        <w:rPr>
          <w:rFonts w:ascii="Palatino Linotype" w:hAnsi="Palatino Linotype" w:cs="Arial"/>
          <w:lang w:val="es-ES"/>
        </w:rPr>
        <w:t xml:space="preserve"> no presentó manifestaciones, alegatos ni ofreció los medios de prueba que a su derecho convinieran.</w:t>
      </w:r>
    </w:p>
    <w:p w:rsidR="006F53D4" w:rsidRDefault="006F53D4">
      <w:pPr>
        <w:tabs>
          <w:tab w:val="center" w:pos="4252"/>
          <w:tab w:val="right" w:pos="8504"/>
        </w:tabs>
        <w:spacing w:line="360" w:lineRule="auto"/>
        <w:jc w:val="both"/>
        <w:rPr>
          <w:rFonts w:ascii="Palatino Linotype" w:eastAsia="MS Mincho" w:hAnsi="Palatino Linotype"/>
          <w:b/>
          <w:sz w:val="18"/>
          <w:szCs w:val="28"/>
          <w:lang w:val="es-ES_tradnl"/>
        </w:rPr>
      </w:pPr>
    </w:p>
    <w:p w:rsidR="006F53D4" w:rsidRDefault="005A7111">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b/>
          <w:sz w:val="28"/>
          <w:szCs w:val="28"/>
          <w:lang w:val="es-ES_tradnl"/>
        </w:rPr>
        <w:t xml:space="preserve">IX. </w:t>
      </w:r>
      <w:r>
        <w:rPr>
          <w:rFonts w:ascii="Palatino Linotype" w:eastAsia="MS Mincho" w:hAnsi="Palatino Linotype" w:cs="Arial"/>
          <w:lang w:val="es-ES_tradnl"/>
        </w:rPr>
        <w:t xml:space="preserve">Una vez analizado el estado procesal que guarda el expediente, en fecha tres de agosto de dos mil veinte, la Comisionada </w:t>
      </w:r>
      <w:r>
        <w:rPr>
          <w:rFonts w:ascii="Palatino Linotype" w:eastAsia="MS Mincho" w:hAnsi="Palatino Linotype" w:cs="Arial"/>
          <w:b/>
          <w:lang w:val="es-ES_tradnl"/>
        </w:rPr>
        <w:t xml:space="preserve">EVA ABAID YAPUR </w:t>
      </w:r>
      <w:r>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w:t>
      </w:r>
      <w:r>
        <w:rPr>
          <w:rFonts w:ascii="Palatino Linotype" w:hAnsi="Palatino Linotype"/>
        </w:rPr>
        <w:t>; y</w:t>
      </w:r>
    </w:p>
    <w:p w:rsidR="006F53D4" w:rsidRDefault="006F53D4">
      <w:pPr>
        <w:jc w:val="center"/>
        <w:rPr>
          <w:rFonts w:ascii="Palatino Linotype" w:hAnsi="Palatino Linotype"/>
          <w:b/>
          <w:szCs w:val="28"/>
          <w:lang w:val="es-ES"/>
        </w:rPr>
      </w:pPr>
    </w:p>
    <w:p w:rsidR="006F53D4" w:rsidRPr="00E25032" w:rsidRDefault="005A7111">
      <w:pPr>
        <w:jc w:val="center"/>
        <w:rPr>
          <w:rFonts w:ascii="Palatino Linotype" w:hAnsi="Palatino Linotype"/>
          <w:b/>
          <w:szCs w:val="28"/>
          <w:lang w:val="pt-BR"/>
        </w:rPr>
      </w:pPr>
      <w:r w:rsidRPr="00E25032">
        <w:rPr>
          <w:rFonts w:ascii="Palatino Linotype" w:hAnsi="Palatino Linotype"/>
          <w:b/>
          <w:sz w:val="28"/>
          <w:szCs w:val="28"/>
          <w:lang w:val="pt-BR"/>
        </w:rPr>
        <w:t>C O N S I D E R A N D O</w:t>
      </w:r>
    </w:p>
    <w:p w:rsidR="006F53D4" w:rsidRPr="00E25032" w:rsidRDefault="006F53D4">
      <w:pPr>
        <w:jc w:val="center"/>
        <w:rPr>
          <w:rFonts w:ascii="Palatino Linotype" w:hAnsi="Palatino Linotype"/>
          <w:b/>
          <w:szCs w:val="28"/>
          <w:lang w:val="pt-BR"/>
        </w:rPr>
      </w:pPr>
    </w:p>
    <w:p w:rsidR="006F53D4" w:rsidRDefault="005A7111">
      <w:pPr>
        <w:spacing w:line="360" w:lineRule="auto"/>
        <w:ind w:right="50"/>
        <w:jc w:val="both"/>
        <w:rPr>
          <w:rFonts w:ascii="Palatino Linotype" w:hAnsi="Palatino Linotype" w:cs="Arial"/>
          <w:b/>
          <w:lang w:val="es-ES"/>
        </w:rPr>
      </w:pPr>
      <w:r>
        <w:rPr>
          <w:rFonts w:ascii="Palatino Linotype" w:hAnsi="Palatino Linotype"/>
          <w:b/>
          <w:sz w:val="28"/>
          <w:szCs w:val="28"/>
          <w:lang w:val="es-ES"/>
        </w:rPr>
        <w:t>PRIMERO</w:t>
      </w:r>
      <w:r>
        <w:rPr>
          <w:rFonts w:ascii="Palatino Linotype" w:hAnsi="Palatino Linotype"/>
          <w:b/>
          <w:lang w:val="es-ES"/>
        </w:rPr>
        <w:t>.</w:t>
      </w:r>
      <w:r>
        <w:rPr>
          <w:rFonts w:ascii="Palatino Linotype" w:hAnsi="Palatino Linotype"/>
          <w:lang w:val="es-ES"/>
        </w:rPr>
        <w:t xml:space="preserve"> </w:t>
      </w:r>
      <w:r>
        <w:rPr>
          <w:rFonts w:ascii="Palatino Linotype" w:hAnsi="Palatino Linotype"/>
          <w:b/>
          <w:i/>
          <w:lang w:val="es-ES"/>
        </w:rPr>
        <w:t>Competencia</w:t>
      </w:r>
      <w:r>
        <w:rPr>
          <w:rFonts w:ascii="Palatino Linotype" w:hAnsi="Palatino Linotype"/>
          <w:i/>
          <w:lang w:val="es-ES"/>
        </w:rPr>
        <w:t>.</w:t>
      </w:r>
      <w:r>
        <w:rPr>
          <w:rFonts w:ascii="Palatino Linotype" w:hAnsi="Palatino Linotype"/>
          <w:b/>
          <w:lang w:val="es-ES"/>
        </w:rPr>
        <w:t xml:space="preserve"> </w:t>
      </w:r>
      <w:r>
        <w:rPr>
          <w:rFonts w:ascii="Palatino Linotype" w:hAnsi="Palatino Linotype"/>
          <w:lang w:val="es-ES"/>
        </w:rPr>
        <w:t xml:space="preserve">Este Instituto de </w:t>
      </w:r>
      <w:r>
        <w:rPr>
          <w:rFonts w:ascii="Palatino Linotype" w:hAnsi="Palatino Linotype" w:cs="Arial"/>
          <w:lang w:val="es-ES"/>
        </w:rPr>
        <w:t>Transparencia</w:t>
      </w:r>
      <w:r>
        <w:rPr>
          <w:rFonts w:ascii="Palatino Linotype" w:hAnsi="Palatino Linotype"/>
          <w:lang w:val="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6F53D4" w:rsidRDefault="006F53D4">
      <w:pPr>
        <w:spacing w:line="360" w:lineRule="auto"/>
        <w:jc w:val="both"/>
        <w:rPr>
          <w:rFonts w:ascii="Palatino Linotype" w:hAnsi="Palatino Linotype" w:cs="Arial"/>
          <w:b/>
          <w:lang w:val="es-ES"/>
        </w:rPr>
      </w:pPr>
    </w:p>
    <w:p w:rsidR="006F53D4" w:rsidRDefault="005A7111">
      <w:pPr>
        <w:spacing w:line="360" w:lineRule="auto"/>
        <w:jc w:val="both"/>
        <w:rPr>
          <w:rFonts w:ascii="Palatino Linotype" w:hAnsi="Palatino Linotype" w:cs="Arial"/>
          <w:b/>
          <w:bCs/>
          <w:lang w:val="es-ES"/>
        </w:rPr>
      </w:pPr>
      <w:r>
        <w:rPr>
          <w:rFonts w:ascii="Palatino Linotype" w:hAnsi="Palatino Linotype" w:cs="Arial"/>
          <w:b/>
          <w:sz w:val="28"/>
          <w:lang w:val="es-ES"/>
        </w:rPr>
        <w:t>SEGUNDO</w:t>
      </w:r>
      <w:r>
        <w:rPr>
          <w:rFonts w:ascii="Palatino Linotype" w:hAnsi="Palatino Linotype" w:cs="Arial"/>
          <w:b/>
        </w:rPr>
        <w:t xml:space="preserve">. </w:t>
      </w:r>
      <w:r>
        <w:rPr>
          <w:rFonts w:ascii="Palatino Linotype" w:hAnsi="Palatino Linotype" w:cs="Arial"/>
          <w:b/>
          <w:i/>
          <w:lang w:val="es-ES"/>
        </w:rPr>
        <w:t>Interés.</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por parte legítima, en atención a que fue presentado por </w:t>
      </w:r>
      <w:r>
        <w:rPr>
          <w:rFonts w:ascii="Palatino Linotype" w:hAnsi="Palatino Linotype" w:cs="Arial"/>
          <w:b/>
          <w:lang w:val="es-ES"/>
        </w:rPr>
        <w:t>EL RECURRENTE</w:t>
      </w:r>
      <w:r>
        <w:rPr>
          <w:rFonts w:ascii="Palatino Linotype" w:hAnsi="Palatino Linotype" w:cs="Arial"/>
          <w:lang w:val="es-ES"/>
        </w:rPr>
        <w:t xml:space="preserve">, quien es la misma persona que formuló la solicitud de acceso a la información pública </w:t>
      </w:r>
      <w:r>
        <w:rPr>
          <w:rFonts w:ascii="Palatino Linotype" w:hAnsi="Palatino Linotype" w:cs="Arial"/>
          <w:bCs/>
          <w:lang w:val="es-ES"/>
        </w:rPr>
        <w:t xml:space="preserve">al </w:t>
      </w:r>
      <w:r>
        <w:rPr>
          <w:rFonts w:ascii="Palatino Linotype" w:hAnsi="Palatino Linotype" w:cs="Arial"/>
          <w:b/>
          <w:bCs/>
          <w:lang w:val="es-ES"/>
        </w:rPr>
        <w:t>SUJETO OBLIGADO.</w:t>
      </w:r>
    </w:p>
    <w:p w:rsidR="006F53D4" w:rsidRDefault="006F53D4">
      <w:pPr>
        <w:spacing w:line="360" w:lineRule="auto"/>
        <w:ind w:right="49"/>
        <w:contextualSpacing/>
        <w:jc w:val="both"/>
        <w:rPr>
          <w:rFonts w:ascii="Palatino Linotype" w:hAnsi="Palatino Linotype"/>
          <w:b/>
          <w:sz w:val="20"/>
          <w:lang w:val="es-ES"/>
        </w:rPr>
      </w:pPr>
    </w:p>
    <w:p w:rsidR="006F53D4" w:rsidRDefault="005A7111">
      <w:pPr>
        <w:pStyle w:val="Prrafodelista"/>
        <w:spacing w:line="360" w:lineRule="auto"/>
        <w:ind w:left="0" w:right="49"/>
        <w:jc w:val="both"/>
        <w:rPr>
          <w:rFonts w:ascii="Palatino Linotype" w:hAnsi="Palatino Linotype" w:cs="Arial"/>
        </w:rPr>
      </w:pPr>
      <w:r>
        <w:rPr>
          <w:rFonts w:ascii="Palatino Linotype" w:hAnsi="Palatino Linotype"/>
          <w:b/>
          <w:sz w:val="28"/>
        </w:rPr>
        <w:t xml:space="preserve">TERCERO. </w:t>
      </w:r>
      <w:r>
        <w:rPr>
          <w:rFonts w:ascii="Palatino Linotype" w:hAnsi="Palatino Linotype" w:cs="Arial"/>
          <w:b/>
          <w:i/>
        </w:rPr>
        <w:t>Oportunidad.</w:t>
      </w:r>
      <w:r>
        <w:rPr>
          <w:rFonts w:ascii="Palatino Linotype" w:hAnsi="Palatino Linotype" w:cs="Arial"/>
          <w:b/>
        </w:rPr>
        <w:t xml:space="preserve">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6F53D4" w:rsidRDefault="006F53D4">
      <w:pPr>
        <w:ind w:left="851" w:right="899"/>
        <w:jc w:val="both"/>
        <w:rPr>
          <w:rFonts w:ascii="Palatino Linotype" w:hAnsi="Palatino Linotype" w:cs="Arial"/>
        </w:rPr>
      </w:pPr>
    </w:p>
    <w:p w:rsidR="006F53D4" w:rsidRDefault="005A7111">
      <w:pPr>
        <w:ind w:left="851" w:right="899"/>
        <w:jc w:val="both"/>
        <w:rPr>
          <w:rFonts w:ascii="Palatino Linotype" w:hAnsi="Palatino Linotype" w:cs="Arial"/>
          <w:i/>
        </w:rPr>
      </w:pPr>
      <w:r>
        <w:rPr>
          <w:rFonts w:ascii="Palatino Linotype" w:hAnsi="Palatino Linotype" w:cs="Arial"/>
          <w:b/>
          <w:i/>
        </w:rPr>
        <w:t>“Artículo 178.</w:t>
      </w:r>
      <w:r>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F53D4" w:rsidRDefault="005A7111">
      <w:pPr>
        <w:ind w:left="851" w:right="899"/>
        <w:jc w:val="both"/>
        <w:rPr>
          <w:rFonts w:ascii="Palatino Linotype" w:hAnsi="Palatino Linotype" w:cs="Arial"/>
          <w:i/>
        </w:rPr>
      </w:pPr>
      <w:r>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F53D4" w:rsidRDefault="005A7111">
      <w:pPr>
        <w:ind w:left="851" w:right="899"/>
        <w:jc w:val="both"/>
        <w:rPr>
          <w:rFonts w:ascii="Palatino Linotype" w:hAnsi="Palatino Linotype" w:cs="Arial"/>
          <w:i/>
        </w:rPr>
      </w:pPr>
      <w:r>
        <w:rPr>
          <w:rFonts w:ascii="Palatino Linotype" w:hAnsi="Palatino Linotype" w:cs="Arial"/>
          <w:i/>
        </w:rPr>
        <w:t>En el caso de que se interponga ante la Unidad de Transparencia, ésta deberá remitir el recurso de revisión al Instituto a más tardar al día siguiente de haberlo recibido.</w:t>
      </w:r>
      <w:r>
        <w:rPr>
          <w:rFonts w:ascii="Palatino Linotype" w:hAnsi="Palatino Linotype" w:cs="Arial"/>
          <w:b/>
          <w:i/>
        </w:rPr>
        <w:t>”</w:t>
      </w:r>
    </w:p>
    <w:p w:rsidR="006F53D4" w:rsidRDefault="006F53D4">
      <w:pPr>
        <w:ind w:left="851" w:right="899"/>
        <w:jc w:val="both"/>
        <w:rPr>
          <w:rFonts w:ascii="Palatino Linotype" w:hAnsi="Palatino Linotype" w:cs="Arial"/>
        </w:rPr>
      </w:pPr>
    </w:p>
    <w:p w:rsidR="006F53D4" w:rsidRDefault="005A7111">
      <w:pPr>
        <w:spacing w:line="360" w:lineRule="auto"/>
        <w:jc w:val="both"/>
        <w:rPr>
          <w:rFonts w:ascii="Palatino Linotype" w:hAnsi="Palatino Linotype"/>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 </w:t>
      </w:r>
      <w:r>
        <w:rPr>
          <w:rFonts w:ascii="Palatino Linotype" w:hAnsi="Palatino Linotype" w:cs="Arial"/>
          <w:b/>
        </w:rPr>
        <w:t>veintiséis de febrero de dos mil diecinueve</w:t>
      </w:r>
      <w:r>
        <w:rPr>
          <w:rFonts w:ascii="Palatino Linotype" w:hAnsi="Palatino Linotype" w:cs="Arial"/>
        </w:rPr>
        <w:t>,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 </w:t>
      </w:r>
      <w:r>
        <w:rPr>
          <w:rFonts w:ascii="Palatino Linotype" w:hAnsi="Palatino Linotype" w:cs="Arial"/>
          <w:b/>
        </w:rPr>
        <w:t>veintisiete de febrero al veinte de marzo del dos mil veinte</w:t>
      </w:r>
      <w:r>
        <w:rPr>
          <w:rFonts w:ascii="Palatino Linotype" w:hAnsi="Palatino Linotype" w:cs="Arial"/>
        </w:rPr>
        <w:t xml:space="preserve">, </w:t>
      </w:r>
      <w:r>
        <w:rPr>
          <w:rFonts w:ascii="Palatino Linotype" w:hAnsi="Palatino Linotype" w:cs="Arial"/>
          <w:lang w:val="es-ES_tradnl"/>
        </w:rPr>
        <w:t>sin contemplar en el cómputo los días veintinueve de febrero, uno siete, ocho, catorce y quince de marzo de enero de dos mil veinte, por corresponder a sábados y domingos</w:t>
      </w:r>
      <w:r>
        <w:rPr>
          <w:rFonts w:ascii="Palatino Linotype" w:hAnsi="Palatino Linotype" w:cs="Arial"/>
        </w:rPr>
        <w:t xml:space="preserve">, considerados como días inhábiles, en términos del artículo 3 fracción X de la </w:t>
      </w:r>
      <w:r>
        <w:rPr>
          <w:rFonts w:ascii="Palatino Linotype" w:hAnsi="Palatino Linotype"/>
        </w:rPr>
        <w:t>Ley de Transparencia y Acceso a la Información Pública del Estado de México y Municipios; así como, el dos y dieciséis de marzo de dos mil veinte, considerado como día inhábil en términos del Calendario oficial publicado en el Periódico Oficial “Gaceta del Gobierno”, el diecinueve de diciembre de dos mil diecinueve.</w:t>
      </w:r>
    </w:p>
    <w:p w:rsidR="006F53D4" w:rsidRDefault="006F53D4">
      <w:pPr>
        <w:spacing w:line="360" w:lineRule="auto"/>
        <w:jc w:val="both"/>
        <w:rPr>
          <w:rFonts w:ascii="Palatino Linotype" w:hAnsi="Palatino Linotype" w:cs="Arial"/>
          <w:sz w:val="2"/>
        </w:rPr>
      </w:pPr>
    </w:p>
    <w:p w:rsidR="006F53D4" w:rsidRDefault="005A7111">
      <w:pPr>
        <w:pStyle w:val="Prrafodelista"/>
        <w:widowControl w:val="0"/>
        <w:spacing w:before="120" w:after="120" w:line="360" w:lineRule="auto"/>
        <w:ind w:left="0"/>
        <w:contextualSpacing/>
        <w:jc w:val="both"/>
        <w:rPr>
          <w:rFonts w:ascii="Palatino Linotype" w:hAnsi="Palatino Linotype"/>
        </w:rPr>
      </w:pPr>
      <w:r>
        <w:rPr>
          <w:rFonts w:ascii="Palatino Linotype" w:hAnsi="Palatino Linotype"/>
        </w:rPr>
        <w:t xml:space="preserve">En ese tenor, si el recurso de revisión que nos ocupa, se interpuso el </w:t>
      </w:r>
      <w:r>
        <w:rPr>
          <w:rFonts w:ascii="Palatino Linotype" w:hAnsi="Palatino Linotype"/>
          <w:b/>
          <w:u w:val="single"/>
        </w:rPr>
        <w:t>tres de marzo de dos mil veinte</w:t>
      </w:r>
      <w:r>
        <w:rPr>
          <w:rFonts w:ascii="Palatino Linotype" w:hAnsi="Palatino Linotype"/>
        </w:rPr>
        <w:t>, éste se encuentra dentro de los márgenes temporales previstos en el citado precepto legal y, por tanto, su interposición considera oportuna.</w:t>
      </w:r>
    </w:p>
    <w:p w:rsidR="006F53D4" w:rsidRDefault="006F53D4">
      <w:pPr>
        <w:pStyle w:val="Prrafodelista"/>
        <w:widowControl w:val="0"/>
        <w:spacing w:before="120" w:after="120" w:line="360" w:lineRule="auto"/>
        <w:ind w:left="0"/>
        <w:contextualSpacing/>
        <w:jc w:val="both"/>
        <w:rPr>
          <w:rFonts w:ascii="Palatino Linotype" w:hAnsi="Palatino Linotype"/>
          <w:sz w:val="18"/>
        </w:rPr>
      </w:pPr>
    </w:p>
    <w:p w:rsidR="006F53D4" w:rsidRDefault="005A7111">
      <w:pPr>
        <w:pStyle w:val="Prrafodelista"/>
        <w:widowControl w:val="0"/>
        <w:tabs>
          <w:tab w:val="left" w:pos="1418"/>
        </w:tabs>
        <w:spacing w:before="200" w:after="200" w:line="360" w:lineRule="auto"/>
        <w:ind w:left="0"/>
        <w:contextualSpacing/>
        <w:jc w:val="both"/>
        <w:rPr>
          <w:rFonts w:ascii="Palatino Linotype" w:hAnsi="Palatino Linotype"/>
          <w:b/>
        </w:rPr>
      </w:pPr>
      <w:r>
        <w:rPr>
          <w:rFonts w:ascii="Palatino Linotype" w:hAnsi="Palatino Linotype" w:cs="Arial"/>
          <w:b/>
          <w:sz w:val="28"/>
          <w:szCs w:val="28"/>
        </w:rPr>
        <w:t>CUARTO.</w:t>
      </w:r>
      <w:r>
        <w:rPr>
          <w:rFonts w:ascii="Palatino Linotype" w:hAnsi="Palatino Linotype" w:cs="Arial"/>
          <w:b/>
          <w:szCs w:val="28"/>
        </w:rPr>
        <w:t xml:space="preserve"> Procedibilidad. </w:t>
      </w:r>
      <w:r>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Pr>
          <w:rFonts w:ascii="Palatino Linotype" w:hAnsi="Palatino Linotype" w:cs="Arial"/>
          <w:b/>
          <w:szCs w:val="28"/>
        </w:rPr>
        <w:t>SAIMEX</w:t>
      </w:r>
      <w:r>
        <w:rPr>
          <w:rFonts w:ascii="Palatino Linotype" w:hAnsi="Palatino Linotype" w:cs="Arial"/>
          <w:szCs w:val="28"/>
        </w:rPr>
        <w:t>.</w:t>
      </w:r>
    </w:p>
    <w:p w:rsidR="006F53D4" w:rsidRDefault="005A7111">
      <w:pPr>
        <w:spacing w:line="360" w:lineRule="auto"/>
        <w:jc w:val="both"/>
        <w:rPr>
          <w:rFonts w:ascii="Palatino Linotype" w:hAnsi="Palatino Linotype" w:cs="Arial"/>
        </w:rPr>
      </w:pPr>
      <w:r>
        <w:rPr>
          <w:rFonts w:ascii="Palatino Linotype" w:hAnsi="Palatino Linotype" w:cs="Arial"/>
          <w:b/>
          <w:sz w:val="28"/>
          <w:szCs w:val="28"/>
        </w:rPr>
        <w:t>QUINTO</w:t>
      </w:r>
      <w:r>
        <w:rPr>
          <w:rFonts w:ascii="Palatino Linotype" w:hAnsi="Palatino Linotype" w:cs="Arial"/>
          <w:b/>
        </w:rPr>
        <w:t xml:space="preserve">. </w:t>
      </w:r>
      <w:r>
        <w:rPr>
          <w:rFonts w:ascii="Palatino Linotype" w:hAnsi="Palatino Linotype" w:cs="Arial"/>
          <w:b/>
          <w:i/>
        </w:rPr>
        <w:t>Estudio y resolución del recurso</w:t>
      </w:r>
      <w:r>
        <w:rPr>
          <w:rFonts w:ascii="Palatino Linotype" w:hAnsi="Palatino Linotype" w:cs="Arial"/>
        </w:rPr>
        <w:t xml:space="preserve">. Una vez determinada la vía sobre la que versará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a que da origen, es conveniente analizar si la respuesta del </w:t>
      </w:r>
      <w:r>
        <w:rPr>
          <w:rFonts w:ascii="Palatino Linotype" w:hAnsi="Palatino Linotype" w:cs="Arial"/>
          <w:b/>
          <w:lang w:eastAsia="es-MX"/>
        </w:rPr>
        <w:t>SUJETO OBLIGADO</w:t>
      </w:r>
      <w:r>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Pr>
          <w:rFonts w:ascii="Palatino Linotype" w:hAnsi="Palatino Linotype" w:cs="Arial"/>
          <w:b/>
        </w:rPr>
        <w:t>EL RECURRENTE</w:t>
      </w:r>
      <w:r>
        <w:rPr>
          <w:rFonts w:ascii="Palatino Linotype" w:hAnsi="Palatino Linotype" w:cs="Arial"/>
        </w:rPr>
        <w:t>, consistió en:</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1) ¿La universidad cuenta con un sistema de pensiones para sus trabajadores o solo realiza un pago único por concepto de jubilación al cumplir con los requisitos definidos en los contratos colectivos de trabajo?</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2) Si la universidad sí cuenta con un sistema de pensiones, ¿a cuál de los siguientes modelos corresponde?:</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a) Sistema de pensiones propio (la universidad administra y paga el total de la pensión).</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b) Sistema de pensiones externo (una institución de seguridad social (ej. IMSS o ISSSTE) cubre el 100% del pago de la pensión).</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c) Sistema de pensiones complementario (una institución de seguridad social paga una parte del monto total de la pensión y la universidad paga la otra parte)</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d) Sistema de pensiones doble (el trabajador recibe el pago de la pensión completa por parte de la universidad y otra pensión de alguna institución de seguridad social).</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3) ¿Desde el año 2002 al 2019, la universidad ha reformado el sistema de pensiones o el pago único de jubilación? De responder afirmativamente la pregunta anterior, favor de señalar los años en que se reformó el sistema de pensiones o el pago único de jubilación y en cada año seleccionar de las siguientes opciones las que correspondan a cada reforma: a) modificación de los requisitos para acceder a la pensión o jubilación (aumento de años de servicios, antigüedad, salario regulador, etc.); b) creación de un fondo o aumento en los porcentajes de aportación; c) cambio de modelo del sistema de pensiones (siguiendo los modelos de la pregunta 2); d) Otro tipo de reforma (favor de explicar).</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4) ¿Cómo financia la universidad el costo de la nómina de pensionado o del pago único de jubilación? (ej. recursos propios, recursos federales, aportaciones, etc.)</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5) La universidad tiene un fondo de capitalización para cubrir el pago de pensiones y jubilación? ¿En qué año se creó el fondo? ¿quiénes aportan y en qué porcentaje?</w:t>
      </w:r>
    </w:p>
    <w:p w:rsidR="006F53D4" w:rsidRDefault="005A7111">
      <w:pPr>
        <w:spacing w:line="276" w:lineRule="auto"/>
        <w:ind w:left="851" w:right="618"/>
        <w:jc w:val="both"/>
        <w:rPr>
          <w:rFonts w:ascii="Palatino Linotype" w:hAnsi="Palatino Linotype"/>
          <w:i/>
        </w:rPr>
      </w:pPr>
      <w:r>
        <w:rPr>
          <w:rFonts w:ascii="Palatino Linotype" w:hAnsi="Palatino Linotype"/>
          <w:i/>
        </w:rPr>
        <w:t xml:space="preserve">6) Costo anual de la nómina de pensionados o pago a jubilados durante el periodo 2002 - 2019. </w:t>
      </w:r>
    </w:p>
    <w:p w:rsidR="006F53D4" w:rsidRDefault="005A7111">
      <w:pPr>
        <w:spacing w:line="276" w:lineRule="auto"/>
        <w:ind w:left="851" w:right="618"/>
        <w:jc w:val="both"/>
        <w:rPr>
          <w:rFonts w:ascii="Palatino Linotype" w:hAnsi="Palatino Linotype"/>
          <w:i/>
        </w:rPr>
      </w:pPr>
      <w:r>
        <w:rPr>
          <w:rFonts w:ascii="Palatino Linotype" w:hAnsi="Palatino Linotype"/>
          <w:i/>
        </w:rPr>
        <w:t>7) Número de pensionados o jubilados diferenciando académicos y administrativos en el periodo 2002 - 2019.</w:t>
      </w:r>
    </w:p>
    <w:p w:rsidR="006F53D4" w:rsidRDefault="006F53D4">
      <w:pPr>
        <w:spacing w:line="276" w:lineRule="auto"/>
        <w:ind w:left="851" w:right="618"/>
        <w:jc w:val="both"/>
        <w:rPr>
          <w:rFonts w:ascii="Palatino Linotype" w:hAnsi="Palatino Linotype" w:cs="Arial"/>
          <w:i/>
        </w:rPr>
      </w:pPr>
    </w:p>
    <w:p w:rsidR="006F53D4" w:rsidRDefault="005A7111">
      <w:pPr>
        <w:spacing w:line="360" w:lineRule="auto"/>
        <w:jc w:val="both"/>
        <w:rPr>
          <w:rFonts w:ascii="Palatino Linotype" w:hAnsi="Palatino Linotype" w:cs="Arial"/>
        </w:rPr>
      </w:pPr>
      <w:r>
        <w:rPr>
          <w:rFonts w:ascii="Palatino Linotype" w:hAnsi="Palatino Linotype" w:cs="Arial"/>
        </w:rPr>
        <w:t>A lo que en respuesta y ratificó en informe justificado le señaló que la información referente al sistema de pensiones es competencia del Instituto de Seguridad Social del Estado de México y Municipios, la Universidad Autónoma del Estado de México solo realiza el trámite referente al pago de prestaciones con motivo de la separación laboral de los trabajadores universitarios.</w:t>
      </w:r>
    </w:p>
    <w:p w:rsidR="006F53D4" w:rsidRDefault="005A7111">
      <w:pPr>
        <w:spacing w:line="360" w:lineRule="auto"/>
        <w:jc w:val="both"/>
        <w:rPr>
          <w:rFonts w:ascii="Palatino Linotype" w:hAnsi="Palatino Linotype" w:cs="Arial"/>
        </w:rPr>
      </w:pPr>
      <w:r>
        <w:rPr>
          <w:rFonts w:ascii="Palatino Linotype" w:hAnsi="Palatino Linotype" w:cs="Arial"/>
        </w:rPr>
        <w:t>De igual forma el particular requirió lo siguiente:</w:t>
      </w:r>
    </w:p>
    <w:p w:rsidR="006F53D4" w:rsidRDefault="005A7111">
      <w:pPr>
        <w:spacing w:line="276" w:lineRule="auto"/>
        <w:ind w:left="851" w:right="618"/>
        <w:jc w:val="both"/>
        <w:rPr>
          <w:rFonts w:ascii="Palatino Linotype" w:hAnsi="Palatino Linotype"/>
          <w:i/>
        </w:rPr>
      </w:pPr>
      <w:r>
        <w:rPr>
          <w:rFonts w:ascii="Palatino Linotype" w:hAnsi="Palatino Linotype"/>
          <w:i/>
        </w:rPr>
        <w:t xml:space="preserve">8) ¿Quién o quienes eligen al rector de la universidad? ¿Cuál es el proceso para designar al rector? </w:t>
      </w:r>
    </w:p>
    <w:p w:rsidR="006F53D4" w:rsidRDefault="005A7111">
      <w:pPr>
        <w:spacing w:line="276" w:lineRule="auto"/>
        <w:ind w:left="851" w:right="618"/>
        <w:jc w:val="both"/>
        <w:rPr>
          <w:rFonts w:ascii="Palatino Linotype" w:hAnsi="Palatino Linotype"/>
          <w:i/>
        </w:rPr>
      </w:pPr>
      <w:r>
        <w:rPr>
          <w:rFonts w:ascii="Palatino Linotype" w:hAnsi="Palatino Linotype"/>
          <w:i/>
        </w:rPr>
        <w:t xml:space="preserve">9) ¿Cuántos años dura el cargo de rector? </w:t>
      </w:r>
    </w:p>
    <w:p w:rsidR="006F53D4" w:rsidRDefault="005A7111">
      <w:pPr>
        <w:spacing w:line="276" w:lineRule="auto"/>
        <w:ind w:left="851" w:right="618"/>
        <w:jc w:val="both"/>
        <w:rPr>
          <w:rFonts w:ascii="Palatino Linotype" w:hAnsi="Palatino Linotype"/>
          <w:i/>
        </w:rPr>
      </w:pPr>
      <w:r>
        <w:rPr>
          <w:rFonts w:ascii="Palatino Linotype" w:hAnsi="Palatino Linotype"/>
          <w:i/>
        </w:rPr>
        <w:t xml:space="preserve">10) ¿El rector tiene opción a reelegirse en el cargo? </w:t>
      </w:r>
    </w:p>
    <w:p w:rsidR="006F53D4" w:rsidRDefault="005A7111">
      <w:pPr>
        <w:spacing w:line="276" w:lineRule="auto"/>
        <w:ind w:left="851" w:right="618"/>
        <w:jc w:val="both"/>
        <w:rPr>
          <w:rFonts w:ascii="Palatino Linotype" w:hAnsi="Palatino Linotype"/>
          <w:i/>
        </w:rPr>
      </w:pPr>
      <w:r>
        <w:rPr>
          <w:rFonts w:ascii="Palatino Linotype" w:hAnsi="Palatino Linotype"/>
          <w:i/>
        </w:rPr>
        <w:t>11) ¿Cómo está integrado el gobierno universitario? ¿Quiénes lo conforman? ¿Las decisiones se toman de manera colegiada, se presentan ante un consejo o es materia exclusiva del rector?</w:t>
      </w:r>
    </w:p>
    <w:p w:rsidR="006F53D4" w:rsidRDefault="006F53D4">
      <w:pPr>
        <w:spacing w:line="276" w:lineRule="auto"/>
        <w:ind w:left="851" w:right="618"/>
        <w:jc w:val="both"/>
        <w:rPr>
          <w:rFonts w:ascii="Palatino Linotype" w:hAnsi="Palatino Linotype" w:cs="Arial"/>
          <w:i/>
        </w:rPr>
      </w:pPr>
    </w:p>
    <w:p w:rsidR="006F53D4" w:rsidRDefault="005A7111">
      <w:pPr>
        <w:spacing w:line="360" w:lineRule="auto"/>
        <w:jc w:val="both"/>
        <w:rPr>
          <w:rFonts w:ascii="Palatino Linotype" w:hAnsi="Palatino Linotype" w:cs="Arial"/>
        </w:rPr>
      </w:pPr>
      <w:r>
        <w:rPr>
          <w:rFonts w:ascii="Palatino Linotype" w:hAnsi="Palatino Linotype" w:cs="Arial"/>
        </w:rPr>
        <w:t xml:space="preserve">En respuesta </w:t>
      </w:r>
      <w:r>
        <w:rPr>
          <w:rFonts w:ascii="Palatino Linotype" w:hAnsi="Palatino Linotype" w:cs="Arial"/>
          <w:b/>
        </w:rPr>
        <w:t>EL SUEJTO OBLIGADO</w:t>
      </w:r>
      <w:r>
        <w:rPr>
          <w:rFonts w:ascii="Palatino Linotype" w:hAnsi="Palatino Linotype" w:cs="Arial"/>
        </w:rPr>
        <w:t xml:space="preserve"> le refirió que la forma de elección del Rector de la Universidad, el proceso para su designación, la duración del cargo, la no reelección del cargo, la integración del gobierno universitario, su conformación y la forma de tomar las decisiones. Se encuentran en el Título Cuarto de la Ley de la Universidad Autónoma del Estado de México y del Estatuto Universitario de la UAEM y los Lineamientos de Integración y Funcionamiento del Consejo Universitario, disponibles en la compilación legislativa UAEM publicada en: </w:t>
      </w:r>
      <w:r>
        <w:rPr>
          <w:rFonts w:ascii="Palatino Linotype" w:hAnsi="Palatino Linotype" w:cs="Arial"/>
          <w:b/>
          <w:i/>
        </w:rPr>
        <w:t>http://ri.uaemex.mx/handle/20.500.11799/21402</w:t>
      </w:r>
      <w:r>
        <w:rPr>
          <w:rFonts w:ascii="Palatino Linotype" w:hAnsi="Palatino Linotype" w:cs="Arial"/>
        </w:rPr>
        <w:t xml:space="preserve"> así como la convocatoria específica que se publique en su momento para el proceso.</w:t>
      </w:r>
    </w:p>
    <w:p w:rsidR="006F53D4" w:rsidRDefault="005A7111">
      <w:pPr>
        <w:spacing w:line="360" w:lineRule="auto"/>
        <w:jc w:val="both"/>
        <w:rPr>
          <w:rFonts w:ascii="Palatino Linotype" w:hAnsi="Palatino Linotype" w:cs="Arial"/>
        </w:rPr>
      </w:pPr>
      <w:r>
        <w:rPr>
          <w:rFonts w:ascii="Palatino Linotype" w:hAnsi="Palatino Linotype" w:cs="Arial"/>
        </w:rPr>
        <w:t xml:space="preserve">Así también le requirió el ahora </w:t>
      </w:r>
      <w:r>
        <w:rPr>
          <w:rFonts w:ascii="Palatino Linotype" w:hAnsi="Palatino Linotype" w:cs="Arial"/>
          <w:b/>
        </w:rPr>
        <w:t>RECCURRENTE</w:t>
      </w:r>
      <w:r>
        <w:rPr>
          <w:rFonts w:ascii="Palatino Linotype" w:hAnsi="Palatino Linotype" w:cs="Arial"/>
        </w:rPr>
        <w:t xml:space="preserve"> al </w:t>
      </w:r>
      <w:r>
        <w:rPr>
          <w:rFonts w:ascii="Palatino Linotype" w:hAnsi="Palatino Linotype" w:cs="Arial"/>
          <w:b/>
        </w:rPr>
        <w:t>SUJETO OBLIGADO</w:t>
      </w:r>
      <w:r>
        <w:rPr>
          <w:rFonts w:ascii="Palatino Linotype" w:hAnsi="Palatino Linotype" w:cs="Arial"/>
        </w:rPr>
        <w:t>:</w:t>
      </w:r>
    </w:p>
    <w:p w:rsidR="006F53D4" w:rsidRDefault="005A7111">
      <w:pPr>
        <w:spacing w:line="360" w:lineRule="auto"/>
        <w:ind w:left="851" w:right="616"/>
        <w:jc w:val="both"/>
        <w:rPr>
          <w:rFonts w:ascii="Palatino Linotype" w:hAnsi="Palatino Linotype" w:cs="Arial"/>
          <w:i/>
        </w:rPr>
      </w:pPr>
      <w:r>
        <w:rPr>
          <w:rFonts w:ascii="Palatino Linotype" w:hAnsi="Palatino Linotype" w:cs="Arial"/>
          <w:i/>
        </w:rPr>
        <w:t xml:space="preserve"> 12) ¿con cuántos sindicatos cuenta la universidad?</w:t>
      </w:r>
    </w:p>
    <w:p w:rsidR="006F53D4" w:rsidRDefault="005A7111">
      <w:pPr>
        <w:spacing w:line="360" w:lineRule="auto"/>
        <w:jc w:val="both"/>
        <w:rPr>
          <w:rFonts w:ascii="Palatino Linotype" w:hAnsi="Palatino Linotype" w:cs="Arial"/>
        </w:rPr>
      </w:pPr>
      <w:r>
        <w:rPr>
          <w:rFonts w:ascii="Palatino Linotype" w:hAnsi="Palatino Linotype" w:cs="Arial"/>
        </w:rPr>
        <w:t>Dando contestación, misma que ratificó de la siguiente manera al señalarle que la Universidad Autónoma del Estado de México reconoce a 2 asociaciones sindicales: la Federación de Asociaciones Autónomas de Personal Académico de la Universidad Autónoma del Estado de México y el Sindicato Único de Trabajadores y Empleados al Servicio de la Universidad Autónoma del Estado de México.</w:t>
      </w:r>
    </w:p>
    <w:p w:rsidR="006F53D4" w:rsidRDefault="005A7111">
      <w:pPr>
        <w:spacing w:line="360" w:lineRule="auto"/>
        <w:jc w:val="both"/>
        <w:rPr>
          <w:rFonts w:ascii="Palatino Linotype" w:hAnsi="Palatino Linotype" w:cs="Arial"/>
        </w:rPr>
      </w:pPr>
      <w:r>
        <w:rPr>
          <w:rFonts w:ascii="Palatino Linotype" w:hAnsi="Palatino Linotype" w:cs="Arial"/>
        </w:rPr>
        <w:t xml:space="preserve">También, requirió el particular al </w:t>
      </w:r>
      <w:r>
        <w:rPr>
          <w:rFonts w:ascii="Palatino Linotype" w:hAnsi="Palatino Linotype" w:cs="Arial"/>
          <w:b/>
        </w:rPr>
        <w:t>SUJETO OBLIGADO</w:t>
      </w:r>
      <w:r>
        <w:rPr>
          <w:rFonts w:ascii="Palatino Linotype" w:hAnsi="Palatino Linotype" w:cs="Arial"/>
        </w:rPr>
        <w:t>:</w:t>
      </w:r>
    </w:p>
    <w:p w:rsidR="006F53D4" w:rsidRDefault="005A7111">
      <w:pPr>
        <w:spacing w:line="360" w:lineRule="auto"/>
        <w:ind w:left="851" w:right="616"/>
        <w:jc w:val="both"/>
        <w:rPr>
          <w:rFonts w:ascii="Palatino Linotype" w:hAnsi="Palatino Linotype" w:cs="Arial"/>
          <w:i/>
        </w:rPr>
      </w:pPr>
      <w:r>
        <w:rPr>
          <w:rFonts w:ascii="Palatino Linotype" w:hAnsi="Palatino Linotype" w:cs="Arial"/>
          <w:i/>
        </w:rPr>
        <w:t>13) ¿cuál fue la asignación por año del Fondo de apoyo para reformas estructurales de las Universidades Públicas Estatales desde el 2002 al 2018 (sólo en su modalidad de reformas estructurales)? Asimismo, especificar en cada año si el proyecto apoyado fue para aplicar una nueva reforma al sistema de pensiones o jubilaciones o para apoyar reformas anteriores. 14) ¿Qué actores de la comunidad universitaria o externos intervinieron en el diseño y aprobación de las reformas a los sistemas de pensiones o jubilaciones?,</w:t>
      </w:r>
    </w:p>
    <w:p w:rsidR="006F53D4" w:rsidRDefault="005A7111">
      <w:pPr>
        <w:spacing w:line="360" w:lineRule="auto"/>
        <w:jc w:val="both"/>
        <w:rPr>
          <w:rFonts w:ascii="Palatino Linotype" w:hAnsi="Palatino Linotype" w:cs="Arial"/>
        </w:rPr>
      </w:pPr>
      <w:r>
        <w:rPr>
          <w:rFonts w:ascii="Palatino Linotype" w:hAnsi="Palatino Linotype" w:cs="Arial"/>
        </w:rPr>
        <w:t xml:space="preserve">A lo que, en respuesta, misma que fue ratificada por </w:t>
      </w:r>
      <w:r>
        <w:rPr>
          <w:rFonts w:ascii="Palatino Linotype" w:hAnsi="Palatino Linotype" w:cs="Arial"/>
          <w:b/>
        </w:rPr>
        <w:t>EL SUEJTO OBLIGADO</w:t>
      </w:r>
      <w:r>
        <w:rPr>
          <w:rFonts w:ascii="Palatino Linotype" w:hAnsi="Palatino Linotype" w:cs="Arial"/>
        </w:rPr>
        <w:t xml:space="preserve"> le informó que la UAEM recibió recursos del Fondo de Apoyo para Reformas Estructurales como sigue: Año Importe (Pesos) 2002 8’440,000.00; 2003 2’030,000.00; 2004 778,000.00; 2005 10’000,000.00; 2006 810,000.00 dando un total de 22’058,000.00. A partir de 2007, el programa se denomina Fondo para la Atención de Problemas Estructurales de las Universidades Públicas Estatales, la UAEM NO RECIBIÖ RECURSOS. En 2015 se fusiona con el Fondo de Apoyo para Saneamiento Financiero de las UPES por debajo de la media nacional en subsidio por alumno, la UAEM NO RECIBIÖ RECURSOS DE 2015 A 2020. Los recursos recibidos no apoyaron nuevas reformas, ni reformas anteriores, únicamente pago de liquidaciones ya que la Universidad no tiene un sistema de pensiones propio.</w:t>
      </w: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En razón de lo anterior, es que el particular se inconformó y señaló en su acto impugnado y en sus razones y motivos de inconformidad que no recibió respuesta a su solicitud de acceso a la información pública.</w:t>
      </w:r>
    </w:p>
    <w:p w:rsidR="006F53D4" w:rsidRDefault="006F53D4">
      <w:pPr>
        <w:pStyle w:val="Prrafodelista"/>
        <w:widowControl w:val="0"/>
        <w:spacing w:after="120" w:line="360" w:lineRule="auto"/>
        <w:ind w:left="0"/>
        <w:contextualSpacing/>
        <w:jc w:val="center"/>
        <w:rPr>
          <w:rFonts w:ascii="Palatino Linotype" w:hAnsi="Palatino Linotype" w:cs="Arial"/>
          <w:sz w:val="14"/>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A lo cual, mediante una revisión al </w:t>
      </w:r>
      <w:r>
        <w:rPr>
          <w:rFonts w:ascii="Palatino Linotype" w:hAnsi="Palatino Linotype" w:cs="Arial"/>
          <w:b/>
        </w:rPr>
        <w:t>SAIMEX</w:t>
      </w:r>
      <w:r>
        <w:rPr>
          <w:rFonts w:ascii="Palatino Linotype" w:hAnsi="Palatino Linotype" w:cs="Arial"/>
        </w:rPr>
        <w:t xml:space="preserve">, y de los archivos se desprende que </w:t>
      </w:r>
      <w:r>
        <w:rPr>
          <w:rFonts w:ascii="Palatino Linotype" w:hAnsi="Palatino Linotype" w:cs="Arial"/>
          <w:b/>
        </w:rPr>
        <w:t>EL SUJETO OBLIGADO</w:t>
      </w:r>
      <w:r>
        <w:rPr>
          <w:rFonts w:ascii="Palatino Linotype" w:hAnsi="Palatino Linotype" w:cs="Arial"/>
        </w:rPr>
        <w:t xml:space="preserve"> dio respuesta el veintiséis de febrero de dos mil veinte, por lo que, en un principio de máxima publicidad y con el objeto de dar cumplimiento a lo establecido en el artículo 5 de la Constitución Política del Estado Libre y Soberano de México, se procederá a revisar sí con la respuesta se da cumplimiento al derecho constitucional del particular.</w:t>
      </w:r>
    </w:p>
    <w:p w:rsidR="006F53D4" w:rsidRDefault="006F53D4">
      <w:pPr>
        <w:pStyle w:val="Prrafodelista"/>
        <w:widowControl w:val="0"/>
        <w:spacing w:after="120" w:line="360" w:lineRule="auto"/>
        <w:ind w:left="0"/>
        <w:contextualSpacing/>
        <w:jc w:val="both"/>
        <w:rPr>
          <w:rFonts w:ascii="Palatino Linotype" w:hAnsi="Palatino Linotype" w:cs="Arial"/>
          <w:sz w:val="16"/>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En este sentido, en primer lugar, se analizará de forma separada la solicitud de acceso a la información pública, por lo en razón de que el particular le requirió:</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1) ¿La universidad cuenta con un sistema de pensiones para sus trabajadores o solo realiza un pago único por concepto de jubilación al cumplir con los requisitos definidos en los contratos colectivos de trabajo?</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2) Si la universidad sí cuenta con un sistema de pensiones, ¿a cuál de los siguientes modelos corresponde?:</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a) Sistema de pensiones propio (la universidad administra y paga el total de la pensión).</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b) Sistema de pensiones externo (una institución de seguridad social (ej. IMSS o ISSSTE) cubre el 100% del pago de la pensión).</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c) Sistema de pensiones complementario (una institución de seguridad social paga una parte del monto total de la pensión y la universidad paga la otra parte)</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d) Sistema de pensiones doble (el trabajador recibe el pago de la pensión completa por parte de la universidad y otra pensión de alguna institución de seguridad social).</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3) ¿Desde el año 2002 al 2019, la universidad ha reformado el sistema de pensiones o el pago único de jubilación? De responder afirmativamente la pregunta anterior, favor de señalar los años en que se reformó el sistema de pensiones o el pago único de jubilación y en cada año seleccionar de las siguientes opciones las que correspondan a cada reforma: a) modificación de los requisitos para acceder a la pensión o jubilación (aumento de años de servicios, antigüedad, salario regulador, etc.); b) creación de un fondo o aumento en los porcentajes de aportación; c) cambio de modelo del sistema de pensiones (siguiendo los modelos de la pregunta 2); d) Otro tipo de reforma (favor de explicar).</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4) ¿Cómo financia la universidad el costo de la nómina de pensionado o del pago único de jubilación? (ej. recursos propios, recursos federales, aportaciones, etc.)</w:t>
      </w:r>
    </w:p>
    <w:p w:rsidR="006F53D4" w:rsidRDefault="005A7111">
      <w:pPr>
        <w:spacing w:line="276" w:lineRule="auto"/>
        <w:ind w:left="851" w:right="618"/>
        <w:jc w:val="both"/>
        <w:rPr>
          <w:rFonts w:ascii="Palatino Linotype" w:hAnsi="Palatino Linotype" w:cs="Arial"/>
          <w:i/>
        </w:rPr>
      </w:pPr>
      <w:r>
        <w:rPr>
          <w:rFonts w:ascii="Palatino Linotype" w:hAnsi="Palatino Linotype" w:cs="Arial"/>
          <w:i/>
        </w:rPr>
        <w:t>5) La universidad tiene un fondo de capitalización para cubrir el pago de pensiones y jubilación? ¿En qué año se creó el fondo? ¿quiénes aportan y en qué porcentaje?</w:t>
      </w:r>
    </w:p>
    <w:p w:rsidR="006F53D4" w:rsidRDefault="005A7111">
      <w:pPr>
        <w:spacing w:line="276" w:lineRule="auto"/>
        <w:ind w:left="851" w:right="618"/>
        <w:jc w:val="both"/>
        <w:rPr>
          <w:rFonts w:ascii="Palatino Linotype" w:hAnsi="Palatino Linotype"/>
          <w:i/>
        </w:rPr>
      </w:pPr>
      <w:r>
        <w:rPr>
          <w:rFonts w:ascii="Palatino Linotype" w:hAnsi="Palatino Linotype"/>
          <w:i/>
        </w:rPr>
        <w:t>6) Costo anual de la nómina de pensionados o pago a jubilados durante el periodo 2002 - 2019. “</w:t>
      </w:r>
    </w:p>
    <w:p w:rsidR="006F53D4" w:rsidRDefault="006F53D4">
      <w:pPr>
        <w:spacing w:line="276" w:lineRule="auto"/>
        <w:ind w:left="851" w:right="618"/>
        <w:jc w:val="both"/>
        <w:rPr>
          <w:rFonts w:ascii="Palatino Linotype" w:hAnsi="Palatino Linotype" w:cs="Arial"/>
          <w:i/>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 A lo que </w:t>
      </w:r>
      <w:r>
        <w:rPr>
          <w:rFonts w:ascii="Palatino Linotype" w:hAnsi="Palatino Linotype" w:cs="Arial"/>
          <w:b/>
        </w:rPr>
        <w:t xml:space="preserve">EL SUJETO OBLIGADO </w:t>
      </w:r>
      <w:r>
        <w:rPr>
          <w:rFonts w:ascii="Palatino Linotype" w:hAnsi="Palatino Linotype" w:cs="Arial"/>
        </w:rPr>
        <w:t>le señaló que no es el Sujeto Obligado Competente para conocer la información relativa a las pensiones, a lo orientó a que dirija su solicitud ante el Instituto de Seguridad Social del Estado de México y Municipios.</w:t>
      </w:r>
    </w:p>
    <w:p w:rsidR="006F53D4" w:rsidRDefault="006F53D4">
      <w:pPr>
        <w:pStyle w:val="Prrafodelista"/>
        <w:widowControl w:val="0"/>
        <w:spacing w:after="120" w:line="360" w:lineRule="auto"/>
        <w:ind w:left="0"/>
        <w:contextualSpacing/>
        <w:jc w:val="both"/>
        <w:rPr>
          <w:rFonts w:ascii="Palatino Linotype" w:hAnsi="Palatino Linotype" w:cs="Arial"/>
          <w:sz w:val="12"/>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noProof/>
          <w:lang w:eastAsia="es-MX"/>
        </w:rPr>
        <mc:AlternateContent>
          <mc:Choice Requires="wps">
            <w:drawing>
              <wp:anchor distT="0" distB="0" distL="0" distR="0" simplePos="0" relativeHeight="35" behindDoc="0" locked="0" layoutInCell="1" allowOverlap="1" wp14:anchorId="0605C67A">
                <wp:simplePos x="0" y="0"/>
                <wp:positionH relativeFrom="column">
                  <wp:posOffset>-22859</wp:posOffset>
                </wp:positionH>
                <wp:positionV relativeFrom="paragraph">
                  <wp:posOffset>669925</wp:posOffset>
                </wp:positionV>
                <wp:extent cx="5859780" cy="2516505"/>
                <wp:effectExtent l="19050" t="19050" r="26670" b="36195"/>
                <wp:wrapNone/>
                <wp:docPr id="3" name="Conector recto 2"/>
                <wp:cNvGraphicFramePr/>
                <a:graphic xmlns:a="http://schemas.openxmlformats.org/drawingml/2006/main">
                  <a:graphicData uri="http://schemas.microsoft.com/office/word/2010/wordprocessingShape">
                    <wps:wsp>
                      <wps:cNvCnPr/>
                      <wps:spPr>
                        <a:xfrm>
                          <a:off x="0" y="0"/>
                          <a:ext cx="5859780" cy="2516505"/>
                        </a:xfrm>
                        <a:prstGeom prst="line">
                          <a:avLst/>
                        </a:prstGeom>
                        <a:ln w="28575">
                          <a:solidFill>
                            <a:schemeClr val="accent1"/>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2554AB9" id="Conector recto 2" o:spid="_x0000_s1026" style="position:absolute;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pt,52.75pt" to="459.6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" strokecolor="#4f81bd [3204]" strokeweight="2.25pt"/>
            </w:pict>
          </mc:Fallback>
        </mc:AlternateContent>
      </w:r>
      <w:r>
        <w:rPr>
          <w:rFonts w:ascii="Palatino Linotype" w:hAnsi="Palatino Linotype" w:cs="Arial"/>
        </w:rPr>
        <w:t>De esta forma de una revisión a la página oficial del dicho instituto por parte de personal de esta Ponencia, se encontró lo siguiente:</w:t>
      </w:r>
    </w:p>
    <w:p w:rsidR="006F53D4" w:rsidRDefault="005A7111">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410200" cy="763905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10"/>
                    <a:srcRect l="21385" t="9355" r="22957" b="8228"/>
                    <a:stretch>
                      <a:fillRect/>
                    </a:stretch>
                  </pic:blipFill>
                  <pic:spPr bwMode="auto">
                    <a:xfrm>
                      <a:off x="0" y="0"/>
                      <a:ext cx="5410200" cy="7639050"/>
                    </a:xfrm>
                    <a:prstGeom prst="rect">
                      <a:avLst/>
                    </a:prstGeom>
                  </pic:spPr>
                </pic:pic>
              </a:graphicData>
            </a:graphic>
          </wp:inline>
        </w:drawing>
      </w:r>
      <w:r>
        <w:rPr>
          <w:noProof/>
          <w:lang w:eastAsia="es-MX"/>
        </w:rPr>
        <mc:AlternateContent>
          <mc:Choice Requires="wps">
            <w:drawing>
              <wp:anchor distT="0" distB="0" distL="0" distR="0" simplePos="0" relativeHeight="36" behindDoc="0" locked="0" layoutInCell="1" allowOverlap="1" wp14:anchorId="798031B4">
                <wp:simplePos x="0" y="0"/>
                <wp:positionH relativeFrom="column">
                  <wp:posOffset>786765</wp:posOffset>
                </wp:positionH>
                <wp:positionV relativeFrom="paragraph">
                  <wp:posOffset>3950335</wp:posOffset>
                </wp:positionV>
                <wp:extent cx="763905" cy="1249680"/>
                <wp:effectExtent l="0" t="19050" r="38100" b="47625"/>
                <wp:wrapNone/>
                <wp:docPr id="4" name="Flecha derecha 3"/>
                <wp:cNvGraphicFramePr/>
                <a:graphic xmlns:a="http://schemas.openxmlformats.org/drawingml/2006/main">
                  <a:graphicData uri="http://schemas.microsoft.com/office/word/2010/wordprocessingShape">
                    <wps:wsp>
                      <wps:cNvSpPr/>
                      <wps:spPr>
                        <a:xfrm>
                          <a:off x="0" y="0"/>
                          <a:ext cx="763200" cy="1249200"/>
                        </a:xfrm>
                        <a:prstGeom prst="rightArrow">
                          <a:avLst>
                            <a:gd name="adj1" fmla="val 50000"/>
                            <a:gd name="adj2" fmla="val 62500"/>
                          </a:avLst>
                        </a:prstGeom>
                        <a:solidFill>
                          <a:srgbClr val="FF0000"/>
                        </a:solid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derecha 3" fillcolor="red" stroked="t" style="position:absolute;margin-left:61.95pt;margin-top:311.05pt;width:60.05pt;height:98.3pt" wp14:anchorId="798031B4" type="shapetype_13">
                <w10:wrap type="none"/>
                <v:fill o:detectmouseclick="t" type="solid" color2="aqua"/>
                <v:stroke color="red" weight="25560" joinstyle="round" endcap="flat"/>
              </v:shape>
            </w:pict>
          </mc:Fallback>
        </mc:AlternateContent>
      </w:r>
      <w:r>
        <w:rPr>
          <w:noProof/>
          <w:lang w:eastAsia="es-MX"/>
        </w:rPr>
        <mc:AlternateContent>
          <mc:Choice Requires="wps">
            <w:drawing>
              <wp:anchor distT="0" distB="0" distL="0" distR="0" simplePos="0" relativeHeight="37" behindDoc="0" locked="0" layoutInCell="1" allowOverlap="1" wp14:anchorId="51AC7A0E">
                <wp:simplePos x="0" y="0"/>
                <wp:positionH relativeFrom="column">
                  <wp:posOffset>1243965</wp:posOffset>
                </wp:positionH>
                <wp:positionV relativeFrom="paragraph">
                  <wp:posOffset>5855335</wp:posOffset>
                </wp:positionV>
                <wp:extent cx="4107180" cy="411480"/>
                <wp:effectExtent l="19050" t="19050" r="28575" b="28575"/>
                <wp:wrapNone/>
                <wp:docPr id="5" name="Rectángulo 4"/>
                <wp:cNvGraphicFramePr/>
                <a:graphic xmlns:a="http://schemas.openxmlformats.org/drawingml/2006/main">
                  <a:graphicData uri="http://schemas.microsoft.com/office/word/2010/wordprocessingShape">
                    <wps:wsp>
                      <wps:cNvSpPr/>
                      <wps:spPr>
                        <a:xfrm>
                          <a:off x="0" y="0"/>
                          <a:ext cx="4106520" cy="410760"/>
                        </a:xfrm>
                        <a:prstGeom prst="rect">
                          <a:avLst/>
                        </a:prstGeom>
                        <a:noFill/>
                        <a:ln w="2844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4" stroked="t" style="position:absolute;margin-left:97.95pt;margin-top:461.05pt;width:323.3pt;height:32.3pt" wp14:anchorId="51AC7A0E">
                <w10:wrap type="none"/>
                <v:fill o:detectmouseclick="t" on="false"/>
                <v:stroke color="red" weight="28440" joinstyle="round" endcap="flat"/>
              </v:rect>
            </w:pict>
          </mc:Fallback>
        </mc:AlternateContent>
      </w:r>
    </w:p>
    <w:p w:rsidR="006F53D4" w:rsidRDefault="005A7111">
      <w:pPr>
        <w:widowControl w:val="0"/>
        <w:spacing w:after="120" w:line="360" w:lineRule="auto"/>
        <w:jc w:val="both"/>
        <w:rPr>
          <w:rFonts w:ascii="Palatino Linotype" w:hAnsi="Palatino Linotype" w:cs="Arial"/>
        </w:rPr>
      </w:pPr>
      <w:r>
        <w:rPr>
          <w:rFonts w:ascii="Palatino Linotype" w:hAnsi="Palatino Linotype" w:cs="Arial"/>
        </w:rPr>
        <w:t>Po su parte, la Ley de Seguridad Social para los servidores públicos del Estado de México y Municipios establece:</w:t>
      </w:r>
    </w:p>
    <w:p w:rsidR="006F53D4" w:rsidRDefault="005A7111">
      <w:pPr>
        <w:widowControl w:val="0"/>
        <w:spacing w:line="276" w:lineRule="auto"/>
        <w:ind w:left="851" w:right="618"/>
        <w:jc w:val="both"/>
        <w:rPr>
          <w:rFonts w:ascii="Palatino Linotype" w:hAnsi="Palatino Linotype"/>
          <w:b/>
          <w:i/>
        </w:rPr>
      </w:pPr>
      <w:r>
        <w:rPr>
          <w:rFonts w:ascii="Palatino Linotype" w:hAnsi="Palatino Linotype"/>
          <w:b/>
          <w:i/>
        </w:rPr>
        <w:t xml:space="preserve">ARTICULO 2.- </w:t>
      </w:r>
      <w:r>
        <w:rPr>
          <w:rFonts w:ascii="Palatino Linotype" w:hAnsi="Palatino Linotype"/>
          <w:b/>
          <w:i/>
          <w:u w:val="single"/>
        </w:rPr>
        <w:t xml:space="preserve">La aplicación y cumplimiento del régimen de seguridad social que regula esta ley, le corresponde al Instituto de Seguridad Social del Estado de México y Municipios, </w:t>
      </w:r>
      <w:r>
        <w:rPr>
          <w:rFonts w:ascii="Palatino Linotype" w:hAnsi="Palatino Linotype"/>
          <w:i/>
        </w:rPr>
        <w:t>organismo público descentralizado con personalidad jurídica y patrimonio propios.</w:t>
      </w:r>
    </w:p>
    <w:p w:rsidR="006F53D4" w:rsidRDefault="005A7111">
      <w:pPr>
        <w:widowControl w:val="0"/>
        <w:spacing w:line="276" w:lineRule="auto"/>
        <w:ind w:left="851" w:right="618"/>
        <w:jc w:val="both"/>
        <w:rPr>
          <w:rFonts w:ascii="Palatino Linotype" w:hAnsi="Palatino Linotype"/>
          <w:b/>
          <w:i/>
        </w:rPr>
      </w:pPr>
      <w:r>
        <w:rPr>
          <w:rFonts w:ascii="Palatino Linotype" w:hAnsi="Palatino Linotype"/>
          <w:b/>
          <w:i/>
        </w:rPr>
        <w:t xml:space="preserve">ARTICULO 3.- Son sujetos de esta ley: </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i/>
        </w:rPr>
        <w:t xml:space="preserve">I.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 </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i/>
        </w:rPr>
        <w:t xml:space="preserve">II. Los servidores públicos de las instituciones públicas mencionadas en la fracción anterior; </w:t>
      </w:r>
    </w:p>
    <w:p w:rsidR="006F53D4" w:rsidRDefault="005A7111">
      <w:pPr>
        <w:widowControl w:val="0"/>
        <w:spacing w:line="276" w:lineRule="auto"/>
        <w:ind w:left="851" w:right="618"/>
        <w:jc w:val="both"/>
        <w:rPr>
          <w:rFonts w:ascii="Palatino Linotype" w:hAnsi="Palatino Linotype"/>
          <w:b/>
          <w:i/>
          <w:u w:val="single"/>
        </w:rPr>
      </w:pPr>
      <w:r>
        <w:rPr>
          <w:rFonts w:ascii="Palatino Linotype" w:hAnsi="Palatino Linotype"/>
          <w:b/>
          <w:i/>
          <w:u w:val="single"/>
        </w:rPr>
        <w:t>III. Los pensionados y pensionistas;</w:t>
      </w:r>
    </w:p>
    <w:p w:rsidR="006F53D4" w:rsidRDefault="005A7111">
      <w:pPr>
        <w:widowControl w:val="0"/>
        <w:spacing w:line="276" w:lineRule="auto"/>
        <w:ind w:left="851" w:right="618"/>
        <w:jc w:val="both"/>
        <w:rPr>
          <w:rFonts w:ascii="Palatino Linotype" w:hAnsi="Palatino Linotype" w:cs="Arial"/>
          <w:i/>
        </w:rPr>
      </w:pPr>
      <w:r>
        <w:rPr>
          <w:rFonts w:ascii="Palatino Linotype" w:hAnsi="Palatino Linotype" w:cs="Arial"/>
          <w:b/>
          <w:i/>
        </w:rPr>
        <w:t>ARTICULO 5.</w:t>
      </w:r>
      <w:r>
        <w:rPr>
          <w:rFonts w:ascii="Palatino Linotype" w:hAnsi="Palatino Linotype" w:cs="Arial"/>
          <w:i/>
        </w:rPr>
        <w:t>- Para los efectos de esta ley se entiende por:</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b/>
          <w:i/>
          <w:u w:val="single"/>
        </w:rPr>
        <w:t>IV. Pensionado</w:t>
      </w:r>
      <w:r>
        <w:rPr>
          <w:rFonts w:ascii="Palatino Linotype" w:hAnsi="Palatino Linotype"/>
          <w:i/>
        </w:rPr>
        <w:t>, al servidor público retirado definitiva o temporalmente del servicio, a quien en forma especifica esta ley le reconozca esa condición;</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b/>
          <w:i/>
        </w:rPr>
        <w:t xml:space="preserve">ARTICULO 8.- </w:t>
      </w:r>
      <w:r>
        <w:rPr>
          <w:rFonts w:ascii="Palatino Linotype" w:hAnsi="Palatino Linotype"/>
          <w:i/>
        </w:rPr>
        <w:t>Los familiares o dependientes económicos del servidor público y del pensionado, para recibir las prestaciones señaladas, deberán registrarse ante el Instituto, y este, llevará el registro y control de vigencia de derechos, y sólo se negará el servicio cuando no se haya cumplido con el registro, excepto en casos de urgencia medica. La edad, las relaciones familiares, la dependencia económica y los demás requisitos que sean necesarios para acreditar los derechos, se comprobarán con arreglo a las disposiciones legales, administrativas o las que señalen el uso o la costumbre y a los estudios socioeconómicos que para tal efecto realice el Instituto.</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b/>
          <w:i/>
        </w:rPr>
        <w:t>Artículo 32.-</w:t>
      </w:r>
      <w:r>
        <w:rPr>
          <w:rFonts w:ascii="Palatino Linotype" w:hAnsi="Palatino Linotype"/>
          <w:i/>
        </w:rPr>
        <w:t xml:space="preserve"> Las cuotas obligatorias que deberán cubrir los servidores públicos al Instituto, serán las siguientes:</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i/>
        </w:rPr>
        <w:t xml:space="preserve"> I. El 4.625% del sueldo sujeto a cotización, para cubrir las prestaciones de servicios de salud;</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i/>
        </w:rPr>
        <w:t xml:space="preserve"> II. El 7.50% del sueldo sujeto a cotización, para cubrir el financiamiento de pensiones, de la siguiente manera: </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i/>
        </w:rPr>
        <w:t xml:space="preserve">a. 6.10% para el fondo del sistema solidario de reparto. </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i/>
        </w:rPr>
        <w:t>b. 1.40% para el sistema de capitalización individual.</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b/>
          <w:i/>
        </w:rPr>
        <w:t>ARTICULO 75.-</w:t>
      </w:r>
      <w:r>
        <w:rPr>
          <w:rFonts w:ascii="Palatino Linotype" w:hAnsi="Palatino Linotype"/>
          <w:i/>
        </w:rPr>
        <w:t xml:space="preserve"> Las pensiones a que se refiere este capítulo serán compatibles con el disfrute de otras pensiones únicamente en los siguientes casos:</w:t>
      </w:r>
    </w:p>
    <w:p w:rsidR="006F53D4" w:rsidRDefault="005A7111">
      <w:pPr>
        <w:widowControl w:val="0"/>
        <w:spacing w:line="276" w:lineRule="auto"/>
        <w:ind w:left="851" w:right="618"/>
        <w:jc w:val="both"/>
      </w:pPr>
      <w:r>
        <w:rPr>
          <w:rFonts w:ascii="Palatino Linotype" w:hAnsi="Palatino Linotype"/>
          <w:i/>
        </w:rPr>
        <w:t xml:space="preserve"> I. La percepción de una pensión por jubilación, de retiro por edad y tiempo de servicios, retiro en edad avanzada o inhabilitación, obtenida por derechos propios, con el disfrute de una pensión por fallecimiento del cónyuge, concubina o concubinario del servidor público o del pensionado fallecido;</w:t>
      </w:r>
      <w:r>
        <w:t xml:space="preserve"> </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b/>
          <w:i/>
        </w:rPr>
        <w:t>Artículo 88.-</w:t>
      </w:r>
      <w:r>
        <w:rPr>
          <w:rFonts w:ascii="Palatino Linotype" w:hAnsi="Palatino Linotype"/>
          <w:i/>
        </w:rPr>
        <w:t xml:space="preserve"> La pensión por jubilación se otorgará a los servidores públicos que al retirarse de su empleo acrediten un mínimo de 35 años de servicio y 62 años de edad.</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b/>
          <w:i/>
        </w:rPr>
        <w:t>ARTICULO 124.-</w:t>
      </w:r>
      <w:r>
        <w:rPr>
          <w:rFonts w:ascii="Palatino Linotype" w:hAnsi="Palatino Linotype"/>
          <w:i/>
        </w:rPr>
        <w:t xml:space="preserve"> Al cumplir los requisitos señalados para obtener pensiones por jubilación, edad y tiempo de servicio, edad avanzada o inhabilitación, podrá disponer el saldo de su cuenta individual: </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i/>
        </w:rPr>
        <w:t xml:space="preserve">I. En retiros programados; o </w:t>
      </w:r>
    </w:p>
    <w:p w:rsidR="006F53D4" w:rsidRDefault="005A7111">
      <w:pPr>
        <w:widowControl w:val="0"/>
        <w:spacing w:line="276" w:lineRule="auto"/>
        <w:ind w:left="851" w:right="618"/>
        <w:jc w:val="both"/>
        <w:rPr>
          <w:rFonts w:ascii="Palatino Linotype" w:hAnsi="Palatino Linotype"/>
          <w:i/>
        </w:rPr>
      </w:pPr>
      <w:r>
        <w:rPr>
          <w:rFonts w:ascii="Palatino Linotype" w:hAnsi="Palatino Linotype"/>
          <w:i/>
        </w:rPr>
        <w:t>II. Retirarlo en una sola exhibición</w:t>
      </w:r>
    </w:p>
    <w:p w:rsidR="006F53D4" w:rsidRDefault="006F53D4">
      <w:pPr>
        <w:widowControl w:val="0"/>
        <w:spacing w:line="276" w:lineRule="auto"/>
        <w:ind w:left="851" w:right="618"/>
        <w:jc w:val="both"/>
        <w:rPr>
          <w:rFonts w:ascii="Palatino Linotype" w:hAnsi="Palatino Linotype" w:cs="Arial"/>
          <w:i/>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Es de la norma transcrita con anterioridad que es el Instituto de Seguridad Social del Estado de México y Municipios quien en términos de la Ley en cita es la encargada de los pensionados y pensionistas, por lo que es el Sujeto Obligado Competente para conocer de la parte de la solicitud de acceso a la información pública requerida por el particular.</w:t>
      </w:r>
    </w:p>
    <w:p w:rsidR="006F53D4" w:rsidRDefault="006F53D4">
      <w:pPr>
        <w:pStyle w:val="Prrafodelista"/>
        <w:widowControl w:val="0"/>
        <w:spacing w:after="120" w:line="360" w:lineRule="auto"/>
        <w:ind w:left="0"/>
        <w:contextualSpacing/>
        <w:jc w:val="both"/>
        <w:rPr>
          <w:rFonts w:ascii="Palatino Linotype" w:hAnsi="Palatino Linotype" w:cs="Arial"/>
          <w:sz w:val="16"/>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Es importante señalar lo que dispone el artículo 167 de la Ley de Transparencia y Acceso a la Información Pública del Estado de México y Municipios que dispone:</w:t>
      </w:r>
    </w:p>
    <w:p w:rsidR="006F53D4" w:rsidRDefault="006F53D4">
      <w:pPr>
        <w:pStyle w:val="Prrafodelista"/>
        <w:widowControl w:val="0"/>
        <w:spacing w:after="120" w:line="360" w:lineRule="auto"/>
        <w:ind w:left="0"/>
        <w:contextualSpacing/>
        <w:jc w:val="both"/>
        <w:rPr>
          <w:rFonts w:ascii="Palatino Linotype" w:hAnsi="Palatino Linotype" w:cs="Arial"/>
          <w:sz w:val="12"/>
        </w:rPr>
      </w:pPr>
    </w:p>
    <w:p w:rsidR="006F53D4" w:rsidRDefault="005A7111">
      <w:pPr>
        <w:pStyle w:val="Prrafodelista"/>
        <w:widowControl w:val="0"/>
        <w:spacing w:line="276" w:lineRule="auto"/>
        <w:ind w:left="851" w:right="618"/>
        <w:jc w:val="both"/>
        <w:rPr>
          <w:rFonts w:ascii="Palatino Linotype" w:hAnsi="Palatino Linotype"/>
          <w:i/>
          <w:sz w:val="22"/>
          <w:szCs w:val="22"/>
        </w:rPr>
      </w:pPr>
      <w:r>
        <w:rPr>
          <w:rFonts w:ascii="Palatino Linotype" w:hAnsi="Palatino Linotype"/>
          <w:i/>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6F53D4" w:rsidRDefault="005A7111">
      <w:pPr>
        <w:pStyle w:val="Prrafodelista"/>
        <w:widowControl w:val="0"/>
        <w:spacing w:line="276" w:lineRule="auto"/>
        <w:ind w:left="851" w:right="618"/>
        <w:jc w:val="both"/>
        <w:rPr>
          <w:rFonts w:ascii="Palatino Linotype" w:hAnsi="Palatino Linotype"/>
          <w:i/>
          <w:sz w:val="22"/>
          <w:szCs w:val="22"/>
        </w:rPr>
      </w:pPr>
      <w:r>
        <w:rPr>
          <w:rFonts w:ascii="Palatino Linotype" w:hAnsi="Palatino Linotype"/>
          <w:i/>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6F53D4" w:rsidRDefault="006F53D4">
      <w:pPr>
        <w:pStyle w:val="Prrafodelista"/>
        <w:widowControl w:val="0"/>
        <w:spacing w:line="276" w:lineRule="auto"/>
        <w:ind w:left="851" w:right="618"/>
        <w:jc w:val="both"/>
        <w:rPr>
          <w:rFonts w:ascii="Palatino Linotype" w:hAnsi="Palatino Linotype" w:cs="Arial"/>
          <w:sz w:val="22"/>
          <w:szCs w:val="22"/>
        </w:rPr>
      </w:pPr>
    </w:p>
    <w:p w:rsidR="006F53D4" w:rsidRDefault="006F53D4">
      <w:pPr>
        <w:pStyle w:val="Prrafodelista"/>
        <w:widowControl w:val="0"/>
        <w:spacing w:after="120" w:line="360" w:lineRule="auto"/>
        <w:ind w:left="0"/>
        <w:contextualSpacing/>
        <w:jc w:val="both"/>
        <w:rPr>
          <w:rFonts w:ascii="Palatino Linotype" w:hAnsi="Palatino Linotype" w:cs="Arial"/>
        </w:rPr>
      </w:pPr>
    </w:p>
    <w:p w:rsidR="006F53D4" w:rsidRDefault="005A7111">
      <w:pPr>
        <w:pStyle w:val="Prrafodelista"/>
        <w:widowControl w:val="0"/>
        <w:spacing w:after="120" w:line="360" w:lineRule="auto"/>
        <w:ind w:left="0"/>
        <w:contextualSpacing/>
        <w:jc w:val="both"/>
        <w:rPr>
          <w:rFonts w:ascii="Palatino Linotype" w:hAnsi="Palatino Linotype" w:cs="Arial"/>
          <w:sz w:val="18"/>
        </w:rPr>
      </w:pPr>
      <w:r>
        <w:rPr>
          <w:rFonts w:ascii="Palatino Linotype" w:hAnsi="Palatino Linotype" w:cs="Arial"/>
        </w:rPr>
        <w:t xml:space="preserve">Por lo anterior, es que </w:t>
      </w:r>
      <w:r>
        <w:rPr>
          <w:rFonts w:ascii="Palatino Linotype" w:hAnsi="Palatino Linotype" w:cs="Arial"/>
          <w:b/>
        </w:rPr>
        <w:t>EL SUJETO OBLIGADO</w:t>
      </w:r>
      <w:r>
        <w:rPr>
          <w:rFonts w:ascii="Palatino Linotype" w:hAnsi="Palatino Linotype" w:cs="Arial"/>
        </w:rPr>
        <w:t xml:space="preserve"> de la solicitud de acceso a la información que no es competente para conocer, debió de comunicarlo al tercer día hábil siguiente de que le fue requerida, situación que no aconteció, por lo que debe ajustarse a lo que dispone el artículo 49 de la Ley de la materia, que expresa:</w:t>
      </w:r>
    </w:p>
    <w:p w:rsidR="006F53D4" w:rsidRDefault="006F53D4">
      <w:pPr>
        <w:pStyle w:val="Prrafodelista"/>
        <w:widowControl w:val="0"/>
        <w:spacing w:after="120" w:line="360" w:lineRule="auto"/>
        <w:ind w:left="0"/>
        <w:contextualSpacing/>
        <w:jc w:val="both"/>
        <w:rPr>
          <w:rFonts w:ascii="Palatino Linotype" w:hAnsi="Palatino Linotype" w:cs="Arial"/>
          <w:sz w:val="16"/>
        </w:rPr>
      </w:pPr>
    </w:p>
    <w:p w:rsidR="006F53D4" w:rsidRDefault="005A7111">
      <w:pPr>
        <w:pStyle w:val="Prrafodelista"/>
        <w:widowControl w:val="0"/>
        <w:spacing w:line="276" w:lineRule="auto"/>
        <w:ind w:left="851" w:right="616"/>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Los Comités de Transparencia tendrán las siguientes atribuciones:</w:t>
      </w:r>
    </w:p>
    <w:p w:rsidR="006F53D4" w:rsidRDefault="005A7111">
      <w:pPr>
        <w:pStyle w:val="Prrafodelista"/>
        <w:widowControl w:val="0"/>
        <w:spacing w:line="276" w:lineRule="auto"/>
        <w:ind w:left="851" w:right="616"/>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rsidR="006F53D4" w:rsidRDefault="005A7111">
      <w:pPr>
        <w:pStyle w:val="Prrafodelista"/>
        <w:widowControl w:val="0"/>
        <w:spacing w:line="276" w:lineRule="auto"/>
        <w:ind w:left="851" w:right="616"/>
        <w:jc w:val="both"/>
        <w:rPr>
          <w:rFonts w:ascii="Palatino Linotype" w:hAnsi="Palatino Linotype" w:cs="Arial"/>
          <w:i/>
          <w:sz w:val="22"/>
          <w:szCs w:val="22"/>
        </w:rPr>
      </w:pPr>
      <w:r>
        <w:rPr>
          <w:rFonts w:ascii="Palatino Linotype" w:hAnsi="Palatino Linotype"/>
          <w:b/>
          <w:i/>
          <w:sz w:val="22"/>
          <w:szCs w:val="22"/>
        </w:rPr>
        <w:t>II. Confirmar, modificar o revocar las determinaciones</w:t>
      </w:r>
      <w:r>
        <w:rPr>
          <w:rFonts w:ascii="Palatino Linotype" w:hAnsi="Palatino Linotype"/>
          <w:i/>
          <w:sz w:val="22"/>
          <w:szCs w:val="22"/>
        </w:rPr>
        <w:t xml:space="preserve"> que en materia de ampliación del plazo de respuesta, clasificación de la información y </w:t>
      </w:r>
      <w:r>
        <w:rPr>
          <w:rFonts w:ascii="Palatino Linotype" w:hAnsi="Palatino Linotype"/>
          <w:b/>
          <w:i/>
          <w:sz w:val="22"/>
          <w:szCs w:val="22"/>
        </w:rPr>
        <w:t>declaración</w:t>
      </w:r>
      <w:r>
        <w:rPr>
          <w:rFonts w:ascii="Palatino Linotype" w:hAnsi="Palatino Linotype"/>
          <w:i/>
          <w:sz w:val="22"/>
          <w:szCs w:val="22"/>
        </w:rPr>
        <w:t xml:space="preserve"> de inexistencia o </w:t>
      </w:r>
      <w:r>
        <w:rPr>
          <w:rFonts w:ascii="Palatino Linotype" w:hAnsi="Palatino Linotype"/>
          <w:b/>
          <w:i/>
          <w:sz w:val="22"/>
          <w:szCs w:val="22"/>
        </w:rPr>
        <w:t>de incompetencia</w:t>
      </w:r>
      <w:r>
        <w:rPr>
          <w:rFonts w:ascii="Palatino Linotype" w:hAnsi="Palatino Linotype"/>
          <w:i/>
          <w:sz w:val="22"/>
          <w:szCs w:val="22"/>
        </w:rPr>
        <w:t xml:space="preserve"> realicen los titulares de las áreas de los sujetos obligados;”</w:t>
      </w:r>
    </w:p>
    <w:p w:rsidR="006F53D4" w:rsidRDefault="006F53D4">
      <w:pPr>
        <w:pStyle w:val="Prrafodelista"/>
        <w:widowControl w:val="0"/>
        <w:spacing w:after="120" w:line="360" w:lineRule="auto"/>
        <w:ind w:left="0"/>
        <w:contextualSpacing/>
        <w:jc w:val="both"/>
        <w:rPr>
          <w:rFonts w:ascii="Palatino Linotype" w:hAnsi="Palatino Linotype" w:cs="Arial"/>
          <w:sz w:val="16"/>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En tal circunstancia, es que </w:t>
      </w:r>
      <w:r>
        <w:rPr>
          <w:rFonts w:ascii="Palatino Linotype" w:hAnsi="Palatino Linotype" w:cs="Arial"/>
          <w:b/>
        </w:rPr>
        <w:t>EL SUJETO OBLIGADO</w:t>
      </w:r>
      <w:r>
        <w:rPr>
          <w:rFonts w:ascii="Palatino Linotype" w:hAnsi="Palatino Linotype" w:cs="Arial"/>
        </w:rPr>
        <w:t xml:space="preserve"> por conducto de su Comité de Transparencia deberá emitir el Acuerdo de Incompetencia correspondiente y notificarlo al particular al momento de dar cumplimiento a la presente resolución respecto de la solicitud de acceso a la información pública referida en este apartado.</w:t>
      </w:r>
    </w:p>
    <w:p w:rsidR="006F53D4" w:rsidRDefault="006F53D4">
      <w:pPr>
        <w:pStyle w:val="Prrafodelista"/>
        <w:widowControl w:val="0"/>
        <w:spacing w:after="120" w:line="360" w:lineRule="auto"/>
        <w:ind w:left="0"/>
        <w:contextualSpacing/>
        <w:jc w:val="both"/>
        <w:rPr>
          <w:rFonts w:ascii="Palatino Linotype" w:hAnsi="Palatino Linotype" w:cs="Arial"/>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Por su parte, en relación a la solicitud requerida por el particular al </w:t>
      </w:r>
      <w:r>
        <w:rPr>
          <w:rFonts w:ascii="Palatino Linotype" w:hAnsi="Palatino Linotype" w:cs="Arial"/>
          <w:b/>
        </w:rPr>
        <w:t xml:space="preserve">SUJETO OBLIGADO </w:t>
      </w:r>
      <w:r>
        <w:rPr>
          <w:rFonts w:ascii="Palatino Linotype" w:hAnsi="Palatino Linotype" w:cs="Arial"/>
        </w:rPr>
        <w:t xml:space="preserve">respecto de: </w:t>
      </w:r>
    </w:p>
    <w:p w:rsidR="006F53D4" w:rsidRDefault="005A7111">
      <w:pPr>
        <w:spacing w:line="276" w:lineRule="auto"/>
        <w:ind w:left="851" w:right="618"/>
        <w:jc w:val="both"/>
        <w:rPr>
          <w:rFonts w:ascii="Palatino Linotype" w:hAnsi="Palatino Linotype"/>
          <w:i/>
        </w:rPr>
      </w:pPr>
      <w:r>
        <w:rPr>
          <w:rFonts w:ascii="Palatino Linotype" w:hAnsi="Palatino Linotype"/>
          <w:i/>
        </w:rPr>
        <w:t xml:space="preserve">8) ¿Quién o quienes eligen al rector de la universidad? ¿Cuál es el proceso para designar al rector? </w:t>
      </w:r>
    </w:p>
    <w:p w:rsidR="006F53D4" w:rsidRDefault="005A7111">
      <w:pPr>
        <w:spacing w:line="276" w:lineRule="auto"/>
        <w:ind w:left="851" w:right="618"/>
        <w:jc w:val="both"/>
        <w:rPr>
          <w:rFonts w:ascii="Palatino Linotype" w:hAnsi="Palatino Linotype"/>
          <w:i/>
        </w:rPr>
      </w:pPr>
      <w:r>
        <w:rPr>
          <w:rFonts w:ascii="Palatino Linotype" w:hAnsi="Palatino Linotype"/>
          <w:i/>
        </w:rPr>
        <w:t xml:space="preserve">9) ¿Cuántos años dura el cargo de rector? </w:t>
      </w:r>
    </w:p>
    <w:p w:rsidR="006F53D4" w:rsidRDefault="005A7111">
      <w:pPr>
        <w:spacing w:line="276" w:lineRule="auto"/>
        <w:ind w:left="851" w:right="618"/>
        <w:jc w:val="both"/>
        <w:rPr>
          <w:rFonts w:ascii="Palatino Linotype" w:hAnsi="Palatino Linotype"/>
          <w:i/>
        </w:rPr>
      </w:pPr>
      <w:r>
        <w:rPr>
          <w:rFonts w:ascii="Palatino Linotype" w:hAnsi="Palatino Linotype"/>
          <w:i/>
        </w:rPr>
        <w:t xml:space="preserve">10) ¿El rector tiene opción a reelegirse en el cargo? </w:t>
      </w:r>
    </w:p>
    <w:p w:rsidR="006F53D4" w:rsidRDefault="005A7111">
      <w:pPr>
        <w:spacing w:line="276" w:lineRule="auto"/>
        <w:ind w:left="851" w:right="618"/>
        <w:jc w:val="both"/>
        <w:rPr>
          <w:rFonts w:ascii="Palatino Linotype" w:hAnsi="Palatino Linotype"/>
          <w:i/>
        </w:rPr>
      </w:pPr>
      <w:r>
        <w:rPr>
          <w:rFonts w:ascii="Palatino Linotype" w:hAnsi="Palatino Linotype"/>
          <w:i/>
        </w:rPr>
        <w:t>11) ¿Cómo está integrado el gobierno universitario? ¿Quiénes lo conforman? ¿Las decisiones se toman de manera colegiada, se presentan ante un consejo o es materia exclusiva del rector?</w:t>
      </w:r>
    </w:p>
    <w:p w:rsidR="006F53D4" w:rsidRDefault="006F53D4">
      <w:pPr>
        <w:pStyle w:val="Prrafodelista"/>
        <w:widowControl w:val="0"/>
        <w:spacing w:after="120" w:line="360" w:lineRule="auto"/>
        <w:ind w:left="0"/>
        <w:contextualSpacing/>
        <w:jc w:val="both"/>
        <w:rPr>
          <w:rFonts w:ascii="Palatino Linotype" w:hAnsi="Palatino Linotype" w:cs="Arial"/>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Por lo que, </w:t>
      </w:r>
      <w:r>
        <w:rPr>
          <w:rFonts w:ascii="Palatino Linotype" w:hAnsi="Palatino Linotype" w:cs="Arial"/>
          <w:b/>
        </w:rPr>
        <w:t>EL SUJETO OBIGADO</w:t>
      </w:r>
      <w:r>
        <w:rPr>
          <w:rFonts w:ascii="Palatino Linotype" w:hAnsi="Palatino Linotype" w:cs="Arial"/>
        </w:rPr>
        <w:t xml:space="preserve"> le respondió que la forma de elección del Rector de la Universidad, el proceso para su designación, la duración del cargo, la no reelección del cargo, la integración del gobierno universitario, su conformación y la forma de tomar las decisiones. Se encuentran en el Título Cuarto de la Ley de la Universidad Autónoma del Estado de México y del Estatuto Universitario de la UAEM y los Lineamientos de Integración y Funcionamiento del Consejo Universitario, disponibles en la compilación legislativa UAEM publicada en: http://ri.uaemex.mx/handle/20.500.11799/21402 así como la convocatoria específica que se publique en su momento para el proceso.</w:t>
      </w:r>
    </w:p>
    <w:p w:rsidR="006F53D4" w:rsidRDefault="006F53D4">
      <w:pPr>
        <w:pStyle w:val="Prrafodelista"/>
        <w:widowControl w:val="0"/>
        <w:spacing w:after="120" w:line="360" w:lineRule="auto"/>
        <w:ind w:left="0"/>
        <w:contextualSpacing/>
        <w:jc w:val="both"/>
        <w:rPr>
          <w:rFonts w:ascii="Palatino Linotype" w:hAnsi="Palatino Linotype" w:cs="Arial"/>
          <w:sz w:val="16"/>
          <w:szCs w:val="16"/>
        </w:rPr>
      </w:pPr>
    </w:p>
    <w:p w:rsidR="006F53D4" w:rsidRDefault="00E25032">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-22861</wp:posOffset>
                </wp:positionH>
                <wp:positionV relativeFrom="paragraph">
                  <wp:posOffset>560705</wp:posOffset>
                </wp:positionV>
                <wp:extent cx="5953125" cy="1485900"/>
                <wp:effectExtent l="38100" t="38100" r="66675" b="95250"/>
                <wp:wrapNone/>
                <wp:docPr id="13" name="Conector recto 13"/>
                <wp:cNvGraphicFramePr/>
                <a:graphic xmlns:a="http://schemas.openxmlformats.org/drawingml/2006/main">
                  <a:graphicData uri="http://schemas.microsoft.com/office/word/2010/wordprocessingShape">
                    <wps:wsp>
                      <wps:cNvCnPr/>
                      <wps:spPr>
                        <a:xfrm>
                          <a:off x="0" y="0"/>
                          <a:ext cx="5953125" cy="148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642470"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44.15pt" to="466.95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" strokecolor="#4f81bd [3204]" strokeweight="2pt">
                <v:shadow on="t" color="black" opacity="24903f" origin=",.5" offset="0,.55556mm"/>
              </v:line>
            </w:pict>
          </mc:Fallback>
        </mc:AlternateContent>
      </w:r>
      <w:r w:rsidR="005A7111">
        <w:rPr>
          <w:rFonts w:ascii="Palatino Linotype" w:hAnsi="Palatino Linotype" w:cs="Arial"/>
        </w:rPr>
        <w:t>De lo anterior, y una vez que proporcionó una liga electrónica, se procedió a revisar la misma, encontrándose lo siguiente:</w:t>
      </w:r>
    </w:p>
    <w:p w:rsidR="006F53D4" w:rsidRDefault="005A7111">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12435" cy="4200525"/>
            <wp:effectExtent l="0" t="0" r="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4"/>
                    <pic:cNvPicPr>
                      <a:picLocks noChangeAspect="1" noChangeArrowheads="1"/>
                    </pic:cNvPicPr>
                  </pic:nvPicPr>
                  <pic:blipFill>
                    <a:blip r:embed="rId11"/>
                    <a:srcRect l="6646" t="9739" r="21014" b="6339"/>
                    <a:stretch>
                      <a:fillRect/>
                    </a:stretch>
                  </pic:blipFill>
                  <pic:spPr bwMode="auto">
                    <a:xfrm>
                      <a:off x="0" y="0"/>
                      <a:ext cx="5512435" cy="4200525"/>
                    </a:xfrm>
                    <a:prstGeom prst="rect">
                      <a:avLst/>
                    </a:prstGeom>
                  </pic:spPr>
                </pic:pic>
              </a:graphicData>
            </a:graphic>
          </wp:inline>
        </w:drawing>
      </w:r>
      <w:r>
        <w:rPr>
          <w:noProof/>
          <w:lang w:eastAsia="es-MX"/>
        </w:rPr>
        <mc:AlternateContent>
          <mc:Choice Requires="wps">
            <w:drawing>
              <wp:anchor distT="0" distB="0" distL="0" distR="0" simplePos="0" relativeHeight="38" behindDoc="0" locked="0" layoutInCell="1" allowOverlap="1" wp14:anchorId="10E81316">
                <wp:simplePos x="0" y="0"/>
                <wp:positionH relativeFrom="column">
                  <wp:posOffset>4015740</wp:posOffset>
                </wp:positionH>
                <wp:positionV relativeFrom="paragraph">
                  <wp:posOffset>740410</wp:posOffset>
                </wp:positionV>
                <wp:extent cx="1449705" cy="3449955"/>
                <wp:effectExtent l="19050" t="19050" r="19050" b="19050"/>
                <wp:wrapNone/>
                <wp:docPr id="7" name="Rectángulo 5"/>
                <wp:cNvGraphicFramePr/>
                <a:graphic xmlns:a="http://schemas.openxmlformats.org/drawingml/2006/main">
                  <a:graphicData uri="http://schemas.microsoft.com/office/word/2010/wordprocessingShape">
                    <wps:wsp>
                      <wps:cNvSpPr/>
                      <wps:spPr>
                        <a:xfrm>
                          <a:off x="0" y="0"/>
                          <a:ext cx="1449000" cy="3449160"/>
                        </a:xfrm>
                        <a:prstGeom prst="rect">
                          <a:avLst/>
                        </a:prstGeom>
                        <a:noFill/>
                        <a:ln w="3816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5" stroked="t" style="position:absolute;margin-left:316.2pt;margin-top:58.3pt;width:114.05pt;height:271.55pt" wp14:anchorId="10E81316">
                <w10:wrap type="none"/>
                <v:fill o:detectmouseclick="t" on="false"/>
                <v:stroke color="red" weight="38160" joinstyle="round" endcap="flat"/>
              </v:rect>
            </w:pict>
          </mc:Fallback>
        </mc:AlternateContent>
      </w: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Aun y cuando </w:t>
      </w:r>
      <w:r>
        <w:rPr>
          <w:rFonts w:ascii="Palatino Linotype" w:hAnsi="Palatino Linotype" w:cs="Arial"/>
          <w:b/>
        </w:rPr>
        <w:t xml:space="preserve">EL SUJETO OBLIGADO </w:t>
      </w:r>
      <w:r>
        <w:rPr>
          <w:rFonts w:ascii="Palatino Linotype" w:hAnsi="Palatino Linotype" w:cs="Arial"/>
        </w:rPr>
        <w:t>le refirió que está en el Título Cuarto de la Ley de la Universidad Autónoma del Estado de México y del Estatuto Universitario de la UAEM y los Lineamientos de Integración y Funcionamiento del Consejo Universitario; lo cierto es, que no dio cumplimiento a lo dispuesto en el artículo 161 de la Ley de Transparencia y Acceso a la Información Pública del Estado y Municipios que establece lo siguiente:</w:t>
      </w:r>
    </w:p>
    <w:p w:rsidR="006F53D4" w:rsidRDefault="006F53D4">
      <w:pPr>
        <w:pStyle w:val="Prrafodelista"/>
        <w:widowControl w:val="0"/>
        <w:spacing w:after="120" w:line="360" w:lineRule="auto"/>
        <w:ind w:left="0"/>
        <w:contextualSpacing/>
        <w:jc w:val="both"/>
        <w:rPr>
          <w:rFonts w:ascii="Palatino Linotype" w:hAnsi="Palatino Linotype" w:cs="Arial"/>
          <w:sz w:val="16"/>
          <w:szCs w:val="16"/>
        </w:rPr>
      </w:pPr>
    </w:p>
    <w:p w:rsidR="006F53D4" w:rsidRDefault="005A7111">
      <w:pPr>
        <w:pStyle w:val="Prrafodelista"/>
        <w:widowControl w:val="0"/>
        <w:spacing w:line="276" w:lineRule="auto"/>
        <w:ind w:left="851" w:right="616"/>
        <w:jc w:val="both"/>
        <w:rPr>
          <w:rFonts w:ascii="Palatino Linotype" w:hAnsi="Palatino Linotype"/>
          <w:i/>
          <w:sz w:val="22"/>
          <w:szCs w:val="22"/>
        </w:rPr>
      </w:pPr>
      <w:r>
        <w:rPr>
          <w:rFonts w:ascii="Palatino Linotype" w:hAnsi="Palatino Linotype"/>
          <w:b/>
          <w:i/>
          <w:sz w:val="22"/>
          <w:szCs w:val="22"/>
        </w:rPr>
        <w:t>Artículo 161.</w:t>
      </w:r>
      <w:r>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6F53D4" w:rsidRDefault="006F53D4">
      <w:pPr>
        <w:pStyle w:val="Prrafodelista"/>
        <w:widowControl w:val="0"/>
        <w:spacing w:line="276" w:lineRule="auto"/>
        <w:ind w:left="851" w:right="616"/>
        <w:jc w:val="both"/>
        <w:rPr>
          <w:rFonts w:ascii="Palatino Linotype" w:hAnsi="Palatino Linotype" w:cs="Arial"/>
          <w:i/>
          <w:sz w:val="22"/>
          <w:szCs w:val="22"/>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Atento a ello, es que debe darle la información requerida al particular y señalarle de forma precisa como acceder a la misma y como se desprendió de lo anterior, sólo lo dirige a una página de la que no se observó la normatividad, si no que implica realizar varios pasos, y como lo establece la normatividad no debe implicar el realizar una búsqueda en toda la información que ahí obre, por lo que es dable ordenar al </w:t>
      </w:r>
      <w:r>
        <w:rPr>
          <w:rFonts w:ascii="Palatino Linotype" w:hAnsi="Palatino Linotype" w:cs="Arial"/>
          <w:b/>
        </w:rPr>
        <w:t>SUJETO OBLIGADO</w:t>
      </w:r>
      <w:r>
        <w:rPr>
          <w:rFonts w:ascii="Palatino Linotype" w:hAnsi="Palatino Linotype" w:cs="Arial"/>
        </w:rPr>
        <w:t xml:space="preserve"> le entregue la información peticionada de cada una de las preguntas como señaló en la respuesta misma que ratificó mediante Informe Justificado.</w:t>
      </w:r>
    </w:p>
    <w:p w:rsidR="006F53D4" w:rsidRDefault="006F53D4">
      <w:pPr>
        <w:pStyle w:val="Prrafodelista"/>
        <w:widowControl w:val="0"/>
        <w:spacing w:after="120" w:line="360" w:lineRule="auto"/>
        <w:ind w:left="0"/>
        <w:contextualSpacing/>
        <w:jc w:val="both"/>
        <w:rPr>
          <w:rFonts w:ascii="Palatino Linotype" w:hAnsi="Palatino Linotype" w:cs="Arial"/>
          <w:sz w:val="16"/>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Ahora bien, en relación a la solicitud realizada por el particular al </w:t>
      </w:r>
      <w:r>
        <w:rPr>
          <w:rFonts w:ascii="Palatino Linotype" w:hAnsi="Palatino Linotype" w:cs="Arial"/>
          <w:b/>
        </w:rPr>
        <w:t>SUJETO OBLIGADO</w:t>
      </w:r>
      <w:r>
        <w:rPr>
          <w:rFonts w:ascii="Palatino Linotype" w:hAnsi="Palatino Linotype" w:cs="Arial"/>
        </w:rPr>
        <w:t xml:space="preserve"> relativa a:</w:t>
      </w:r>
    </w:p>
    <w:p w:rsidR="006F53D4" w:rsidRDefault="005A7111">
      <w:pPr>
        <w:spacing w:line="360" w:lineRule="auto"/>
        <w:ind w:left="851" w:right="616"/>
        <w:jc w:val="both"/>
        <w:rPr>
          <w:rFonts w:ascii="Palatino Linotype" w:hAnsi="Palatino Linotype" w:cs="Arial"/>
          <w:i/>
        </w:rPr>
      </w:pPr>
      <w:r>
        <w:rPr>
          <w:rFonts w:ascii="Palatino Linotype" w:hAnsi="Palatino Linotype" w:cs="Arial"/>
          <w:i/>
        </w:rPr>
        <w:t>12) ¿con cuántos sindicatos cuenta la universidad?</w:t>
      </w:r>
    </w:p>
    <w:p w:rsidR="006F53D4" w:rsidRDefault="005A7111">
      <w:pPr>
        <w:shd w:val="clear" w:color="auto" w:fill="FFFFFF"/>
        <w:spacing w:line="360" w:lineRule="auto"/>
        <w:jc w:val="both"/>
        <w:rPr>
          <w:rFonts w:ascii="Palatino Linotype" w:hAnsi="Palatino Linotype" w:cs="Arial"/>
        </w:rPr>
      </w:pPr>
      <w:r>
        <w:rPr>
          <w:rFonts w:ascii="Palatino Linotype" w:hAnsi="Palatino Linotype" w:cs="Arial"/>
        </w:rPr>
        <w:t>Dando contestación, misma que ratificó de la siguiente manera al señalarle que la Universidad Autónoma del Estado de México reconoce a 2 asociaciones sindicales: la Federación de Asociaciones Autónomas de Personal Académico de la Universidad Autónoma del Estado de México y el Sindicato Único de Trabajadores y Empleados al Servicio de la Universidad Autónoma del Estado de México.</w:t>
      </w:r>
    </w:p>
    <w:p w:rsidR="006F53D4" w:rsidRDefault="006F53D4">
      <w:pPr>
        <w:shd w:val="clear" w:color="auto" w:fill="FFFFFF"/>
        <w:spacing w:line="360" w:lineRule="auto"/>
        <w:jc w:val="both"/>
        <w:rPr>
          <w:rFonts w:ascii="Palatino Linotype" w:hAnsi="Palatino Linotype" w:cs="Arial"/>
          <w:sz w:val="4"/>
        </w:rPr>
      </w:pPr>
    </w:p>
    <w:p w:rsidR="006F53D4" w:rsidRDefault="005A7111">
      <w:pPr>
        <w:spacing w:line="360" w:lineRule="auto"/>
        <w:jc w:val="both"/>
        <w:rPr>
          <w:rFonts w:ascii="Palatino Linotype" w:hAnsi="Palatino Linotype" w:cs="Arial"/>
          <w:lang w:val="es-ES_tradnl"/>
        </w:rPr>
      </w:pPr>
      <w:r>
        <w:rPr>
          <w:rFonts w:ascii="Palatino Linotype" w:hAnsi="Palatino Linotype" w:cs="Arial"/>
          <w:lang w:val="es-ES_tradnl"/>
        </w:rPr>
        <w:t xml:space="preserve">En este sentido es que </w:t>
      </w:r>
      <w:r>
        <w:rPr>
          <w:rFonts w:ascii="Palatino Linotype" w:hAnsi="Palatino Linotype" w:cs="Arial"/>
          <w:b/>
          <w:lang w:val="es-ES_tradnl"/>
        </w:rPr>
        <w:t>EL SUJETO OBLIGADO</w:t>
      </w:r>
      <w:r>
        <w:rPr>
          <w:rFonts w:ascii="Palatino Linotype" w:hAnsi="Palatino Linotype" w:cs="Arial"/>
          <w:lang w:val="es-ES_tradnl"/>
        </w:rPr>
        <w:t xml:space="preserve"> dio cumplimiento al requerimiento planteado por el particular ya que le informó que solo reconocen a dos sindicatos y cuáles son las mismos.</w:t>
      </w:r>
    </w:p>
    <w:p w:rsidR="006F53D4" w:rsidRDefault="005A7111">
      <w:pPr>
        <w:spacing w:line="360" w:lineRule="auto"/>
        <w:jc w:val="both"/>
        <w:rPr>
          <w:rFonts w:ascii="Palatino Linotype" w:hAnsi="Palatino Linotype"/>
          <w:lang w:val="es-ES_tradnl"/>
        </w:rPr>
      </w:pPr>
      <w:r>
        <w:rPr>
          <w:rFonts w:ascii="Palatino Linotype" w:hAnsi="Palatino Linotype" w:cs="Arial"/>
          <w:lang w:val="es-ES_tradnl"/>
        </w:rPr>
        <w:t xml:space="preserve">Como se puede observar en lo expresado con anterioridad, al haber realizado un pronunciamiento </w:t>
      </w:r>
      <w:r>
        <w:rPr>
          <w:rFonts w:ascii="Palatino Linotype" w:hAnsi="Palatino Linotype" w:cs="Arial"/>
        </w:rPr>
        <w:t xml:space="preserve">lo cierto es que este Órgano Garante no tiene facultades para pronunciarse al respecto; </w:t>
      </w:r>
      <w:r>
        <w:rPr>
          <w:rFonts w:ascii="Palatino Linotype" w:hAnsi="Palatino Linotype"/>
          <w:lang w:val="es-ES_tradnl"/>
        </w:rPr>
        <w:t>pues éste, conforme al artículo 36 de la Ley de la Materia, no se encuentra facultado para pronunciarse acerca de la veracidad de la información remitida por los Sujetos Obligados.</w:t>
      </w:r>
    </w:p>
    <w:p w:rsidR="006F53D4" w:rsidRDefault="005A7111">
      <w:pPr>
        <w:spacing w:line="360" w:lineRule="auto"/>
        <w:jc w:val="both"/>
        <w:rPr>
          <w:rFonts w:ascii="Palatino Linotype" w:hAnsi="Palatino Linotype" w:cs="Arial"/>
          <w:lang w:val="es-ES_tradnl"/>
        </w:rPr>
      </w:pPr>
      <w:r>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6F53D4" w:rsidRDefault="005A7111">
      <w:pPr>
        <w:spacing w:line="276" w:lineRule="auto"/>
        <w:ind w:left="851" w:right="618"/>
        <w:jc w:val="both"/>
        <w:rPr>
          <w:rFonts w:ascii="Palatino Linotype" w:hAnsi="Palatino Linotype" w:cs="Arial"/>
          <w:i/>
          <w:szCs w:val="20"/>
          <w:lang w:val="es-ES_tradnl"/>
        </w:rPr>
      </w:pPr>
      <w:r>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6F53D4" w:rsidRDefault="005A7111">
      <w:pPr>
        <w:spacing w:line="276" w:lineRule="auto"/>
        <w:ind w:left="851" w:right="618"/>
        <w:jc w:val="both"/>
        <w:rPr>
          <w:rFonts w:ascii="Palatino Linotype" w:hAnsi="Palatino Linotype" w:cs="Arial"/>
          <w:b/>
          <w:i/>
          <w:szCs w:val="20"/>
          <w:lang w:val="es-ES_tradnl"/>
        </w:rPr>
      </w:pPr>
      <w:r>
        <w:rPr>
          <w:rFonts w:ascii="Palatino Linotype" w:hAnsi="Palatino Linotype" w:cs="Arial"/>
          <w:i/>
          <w:szCs w:val="20"/>
          <w:lang w:val="es-ES_tradnl"/>
        </w:rPr>
        <w:t>Criterio 31/10</w:t>
      </w:r>
      <w:r>
        <w:rPr>
          <w:rFonts w:ascii="Palatino Linotype" w:hAnsi="Palatino Linotype" w:cs="Arial"/>
          <w:b/>
          <w:i/>
          <w:szCs w:val="20"/>
          <w:lang w:val="es-ES_tradnl"/>
        </w:rPr>
        <w:t>”</w:t>
      </w:r>
      <w:r>
        <w:rPr>
          <w:rFonts w:ascii="Palatino Linotype" w:hAnsi="Palatino Linotype" w:cs="Arial"/>
          <w:i/>
          <w:szCs w:val="20"/>
          <w:lang w:val="es-ES_tradnl"/>
        </w:rPr>
        <w:t xml:space="preserve"> (sic)</w:t>
      </w:r>
    </w:p>
    <w:p w:rsidR="006F53D4" w:rsidRDefault="006F53D4">
      <w:pPr>
        <w:pStyle w:val="Prrafodelista"/>
        <w:widowControl w:val="0"/>
        <w:spacing w:after="120" w:line="360" w:lineRule="auto"/>
        <w:ind w:left="0"/>
        <w:contextualSpacing/>
        <w:jc w:val="both"/>
        <w:rPr>
          <w:rFonts w:ascii="Palatino Linotype" w:hAnsi="Palatino Linotype" w:cs="Arial"/>
          <w:sz w:val="16"/>
        </w:rPr>
      </w:pP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Por último, en relación a la solicitud de acceso a la información pública requerida por el particular al </w:t>
      </w:r>
      <w:r>
        <w:rPr>
          <w:rFonts w:ascii="Palatino Linotype" w:hAnsi="Palatino Linotype" w:cs="Arial"/>
          <w:b/>
        </w:rPr>
        <w:t>SUJETO OBLIGADO</w:t>
      </w:r>
      <w:r>
        <w:rPr>
          <w:rFonts w:ascii="Palatino Linotype" w:hAnsi="Palatino Linotype" w:cs="Arial"/>
        </w:rPr>
        <w:t xml:space="preserve"> relativa a:</w:t>
      </w:r>
    </w:p>
    <w:p w:rsidR="006F53D4" w:rsidRDefault="005A7111">
      <w:pPr>
        <w:spacing w:line="360" w:lineRule="auto"/>
        <w:ind w:left="851" w:right="616"/>
        <w:jc w:val="both"/>
        <w:rPr>
          <w:rFonts w:ascii="Palatino Linotype" w:hAnsi="Palatino Linotype" w:cs="Arial"/>
          <w:i/>
        </w:rPr>
      </w:pPr>
      <w:r>
        <w:rPr>
          <w:rFonts w:ascii="Palatino Linotype" w:hAnsi="Palatino Linotype" w:cs="Arial"/>
          <w:i/>
        </w:rPr>
        <w:t>13) ¿cuál fue la asignación por año del Fondo de apoyo para reformas estructurales de las Universidades Públicas Estatales desde el 2002 al 2018 (sólo en su modalidad de reformas estructurales)? Asimismo, especificar en cada año si el proyecto apoyado fue para aplicar una nueva reforma al sistema de pensiones o jubilaciones o para apoyar reformas anteriores. 14) ¿Qué actores de la comunidad universitaria o externos intervinieron en el diseño y aprobación de las reformas a los sistemas de pensiones o jubilaciones?,</w:t>
      </w:r>
    </w:p>
    <w:p w:rsidR="006F53D4" w:rsidRDefault="005A7111">
      <w:pPr>
        <w:spacing w:line="360" w:lineRule="auto"/>
        <w:jc w:val="both"/>
        <w:rPr>
          <w:rFonts w:ascii="Palatino Linotype" w:hAnsi="Palatino Linotype" w:cs="Arial"/>
        </w:rPr>
      </w:pPr>
      <w:r>
        <w:rPr>
          <w:rFonts w:ascii="Palatino Linotype" w:hAnsi="Palatino Linotype" w:cs="Arial"/>
        </w:rPr>
        <w:t xml:space="preserve">A lo que, en respuesta, misma que fue ratificada por </w:t>
      </w:r>
      <w:r>
        <w:rPr>
          <w:rFonts w:ascii="Palatino Linotype" w:hAnsi="Palatino Linotype" w:cs="Arial"/>
          <w:b/>
        </w:rPr>
        <w:t>EL SUEJTO OBLIGADO</w:t>
      </w:r>
      <w:r>
        <w:rPr>
          <w:rFonts w:ascii="Palatino Linotype" w:hAnsi="Palatino Linotype" w:cs="Arial"/>
        </w:rPr>
        <w:t xml:space="preserve"> le informó que la UAEM recibió recursos del Fondo de Apoyo para Reformas Estructurales como sigue: Año Importe (Pesos) 2002 8’440,000.00; 2003 2’030,000.00; 2004 778,000.00; 2005 10’000,000.00; 2006 810,000.00 dando un total de 22’058,000.00. A partir de 2007, el programa se denomina Fondo para la Atención de Problemas Estructurales de las Universidades Públicas Estatales, la UAEM NO RECIBIÖ RECURSOS. En 2015 se fusiona con el Fondo de Apoyo para Saneamiento Financiero de las UPES por debajo de la media nacional en subsidio por alumno, la UAEM NO RECIBIÖ RECURSOS DE 2015 A 2020. Los recursos recibidos no apoyaron nuevas reformas, ni reformas anteriores, únicamente pago de liquidaciones ya que la Universidad no tiene un sistema de pensiones propio.</w:t>
      </w:r>
    </w:p>
    <w:p w:rsidR="006F53D4" w:rsidRDefault="005A711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De lo anterior, es que </w:t>
      </w:r>
      <w:r>
        <w:rPr>
          <w:rFonts w:ascii="Palatino Linotype" w:hAnsi="Palatino Linotype" w:cs="Arial"/>
          <w:b/>
        </w:rPr>
        <w:t>EL SUJETO OBLIGADO</w:t>
      </w:r>
      <w:r>
        <w:rPr>
          <w:rFonts w:ascii="Palatino Linotype" w:hAnsi="Palatino Linotype" w:cs="Arial"/>
        </w:rPr>
        <w:t xml:space="preserve"> le señaló las cantidades que le fueron otorgadas de 2002 a 2006 indicando que los montos que asignadas para destinarlos al Fondo de Apoyo para Reformas Estructurales; asimismo, le precisó que en 2007 el programa se denomina Fondo para la Atención de Problemas Estructurales de las Universidades Públicas Estatales, por lo que no recibió recursos públicos y le precisó que en 2015 dicho programa se fusionó con el Fondo de Apoyo para Saneamiento Financiero de las UPES y por lo tanto de 2015 a 2020 ya no se le asignó dichos fondos.</w:t>
      </w:r>
    </w:p>
    <w:p w:rsidR="006F53D4" w:rsidRDefault="006F53D4">
      <w:pPr>
        <w:pStyle w:val="Prrafodelista"/>
        <w:widowControl w:val="0"/>
        <w:spacing w:after="120" w:line="360" w:lineRule="auto"/>
        <w:ind w:left="0"/>
        <w:contextualSpacing/>
        <w:jc w:val="both"/>
        <w:rPr>
          <w:rFonts w:ascii="Palatino Linotype" w:hAnsi="Palatino Linotype" w:cs="Arial"/>
          <w:sz w:val="14"/>
        </w:rPr>
      </w:pPr>
    </w:p>
    <w:p w:rsidR="006F53D4" w:rsidRDefault="005A7111">
      <w:pPr>
        <w:shd w:val="clear" w:color="auto" w:fill="FFFFFF"/>
        <w:spacing w:line="360" w:lineRule="auto"/>
        <w:jc w:val="both"/>
        <w:rPr>
          <w:rFonts w:ascii="Palatino Linotype" w:hAnsi="Palatino Linotype" w:cs="Arial"/>
          <w:sz w:val="18"/>
        </w:rPr>
      </w:pPr>
      <w:r>
        <w:rPr>
          <w:rFonts w:ascii="Palatino Linotype" w:hAnsi="Palatino Linotype" w:cs="Arial"/>
        </w:rPr>
        <w:t xml:space="preserve">De igual forma, el particular le requirió a la Universidad los actores de la comunidad universitaria o externos intervinieron en el diseño y aprobación de las reformas a los sistemas de pensiones o jubilaciones, a lo que </w:t>
      </w:r>
      <w:r>
        <w:rPr>
          <w:rFonts w:ascii="Palatino Linotype" w:hAnsi="Palatino Linotype" w:cs="Arial"/>
          <w:b/>
        </w:rPr>
        <w:t>EL SUJETO OBLIGADO</w:t>
      </w:r>
      <w:r>
        <w:rPr>
          <w:rFonts w:ascii="Palatino Linotype" w:hAnsi="Palatino Linotype" w:cs="Arial"/>
        </w:rPr>
        <w:t xml:space="preserve"> le informó que los recursos recibidos no apoyaron nuevas reformas, ni reformas anteriores, de esta forma es que con la respuesta le informó que no han participado en reformas en materia de pensiones, lo cual constituye un hecho negativo. </w:t>
      </w:r>
    </w:p>
    <w:p w:rsidR="006F53D4" w:rsidRDefault="006F53D4">
      <w:pPr>
        <w:shd w:val="clear" w:color="auto" w:fill="FFFFFF"/>
        <w:spacing w:line="360" w:lineRule="auto"/>
        <w:jc w:val="both"/>
        <w:rPr>
          <w:rFonts w:ascii="Palatino Linotype" w:hAnsi="Palatino Linotype" w:cs="Arial"/>
          <w:sz w:val="10"/>
        </w:rPr>
      </w:pPr>
    </w:p>
    <w:p w:rsidR="006F53D4" w:rsidRDefault="005A7111">
      <w:pPr>
        <w:shd w:val="clear" w:color="auto" w:fill="FFFFFF"/>
        <w:spacing w:line="360" w:lineRule="auto"/>
        <w:jc w:val="both"/>
        <w:rPr>
          <w:rFonts w:ascii="Palatino Linotype" w:hAnsi="Palatino Linotype" w:cs="Arial"/>
        </w:rPr>
      </w:pPr>
      <w:r>
        <w:rPr>
          <w:rFonts w:ascii="Palatino Linotype" w:hAnsi="Palatino Linotype" w:cs="Arial"/>
        </w:rPr>
        <w:t xml:space="preserve">Esto es, si se considera el hecho negativo, es obvio que éste no puede fácticamente obrar en los archivos del </w:t>
      </w:r>
      <w:r>
        <w:rPr>
          <w:rFonts w:ascii="Palatino Linotype" w:hAnsi="Palatino Linotype" w:cs="Arial"/>
          <w:b/>
        </w:rPr>
        <w:t>SUJETO OBLIGADO</w:t>
      </w:r>
      <w:r>
        <w:rPr>
          <w:rFonts w:ascii="Palatino Linotype" w:hAnsi="Palatino Linotype" w:cs="Arial"/>
        </w:rPr>
        <w:t>, ya que no puede probarse por ser lógica y materialmente imposible, en razón de que, al no haber generado dicha información, no la posee, no administra, y no cuenta con la misma.</w:t>
      </w:r>
    </w:p>
    <w:p w:rsidR="006F53D4" w:rsidRDefault="005A7111">
      <w:pPr>
        <w:shd w:val="clear" w:color="auto" w:fill="FFFFFF"/>
        <w:spacing w:line="360" w:lineRule="auto"/>
        <w:jc w:val="both"/>
        <w:rPr>
          <w:rFonts w:ascii="Palatino Linotype" w:hAnsi="Palatino Linotype" w:cs="Arial"/>
        </w:rPr>
      </w:pPr>
      <w:r>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6F53D4" w:rsidRDefault="005A7111">
      <w:pPr>
        <w:shd w:val="clear" w:color="auto" w:fill="FFFFFF"/>
        <w:spacing w:before="120" w:after="160" w:line="360" w:lineRule="auto"/>
        <w:jc w:val="both"/>
        <w:rPr>
          <w:rFonts w:ascii="Palatino Linotype" w:hAnsi="Palatino Linotype" w:cs="Arial"/>
          <w:color w:val="222222"/>
        </w:rPr>
      </w:pPr>
      <w:r>
        <w:rPr>
          <w:rFonts w:ascii="Palatino Linotype" w:hAnsi="Palatino Linotype" w:cs="Arial"/>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Pr>
          <w:rFonts w:ascii="Palatino Linotype" w:hAnsi="Palatino Linotype" w:cs="Arial"/>
          <w:color w:val="222222"/>
        </w:rPr>
        <w:t>:</w:t>
      </w:r>
    </w:p>
    <w:p w:rsidR="006F53D4" w:rsidRDefault="006F53D4">
      <w:pPr>
        <w:shd w:val="clear" w:color="auto" w:fill="FFFFFF"/>
        <w:spacing w:before="120" w:after="160" w:line="360" w:lineRule="auto"/>
        <w:jc w:val="both"/>
        <w:rPr>
          <w:rFonts w:ascii="Arial" w:hAnsi="Arial" w:cs="Arial"/>
          <w:color w:val="222222"/>
          <w:sz w:val="14"/>
          <w:lang w:eastAsia="es-MX"/>
        </w:rPr>
      </w:pPr>
    </w:p>
    <w:p w:rsidR="006F53D4" w:rsidRDefault="005A7111">
      <w:pPr>
        <w:shd w:val="clear" w:color="auto" w:fill="FFFFFF"/>
        <w:spacing w:line="276" w:lineRule="auto"/>
        <w:ind w:left="851"/>
        <w:jc w:val="both"/>
        <w:rPr>
          <w:rFonts w:ascii="Arial" w:hAnsi="Arial" w:cs="Arial"/>
          <w:color w:val="222222"/>
          <w:sz w:val="19"/>
          <w:szCs w:val="19"/>
        </w:rPr>
      </w:pPr>
      <w:r>
        <w:rPr>
          <w:rFonts w:ascii="Palatino Linotype" w:hAnsi="Palatino Linotype" w:cs="Arial"/>
          <w:color w:val="222222"/>
          <w:sz w:val="19"/>
          <w:szCs w:val="19"/>
        </w:rPr>
        <w:t> </w:t>
      </w:r>
      <w:r>
        <w:rPr>
          <w:rFonts w:ascii="Palatino Linotype" w:hAnsi="Palatino Linotype" w:cs="Arial"/>
          <w:b/>
          <w:bCs/>
          <w:i/>
          <w:iCs/>
          <w:color w:val="222222"/>
        </w:rPr>
        <w:t>“HECHOS NEGATIVOS, NO SON SUSCEPTIBLES DE DEMOSTRACIÓN.</w:t>
      </w:r>
    </w:p>
    <w:p w:rsidR="006F53D4" w:rsidRDefault="005A7111">
      <w:pPr>
        <w:shd w:val="clear" w:color="auto" w:fill="FFFFFF"/>
        <w:spacing w:line="276" w:lineRule="auto"/>
        <w:ind w:left="851" w:right="899"/>
        <w:jc w:val="both"/>
        <w:rPr>
          <w:rFonts w:ascii="Arial" w:hAnsi="Arial" w:cs="Arial"/>
          <w:color w:val="222222"/>
          <w:sz w:val="19"/>
          <w:szCs w:val="19"/>
        </w:rPr>
      </w:pPr>
      <w:r>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6F53D4" w:rsidRDefault="005A7111">
      <w:pPr>
        <w:shd w:val="clear" w:color="auto" w:fill="FFFFFF"/>
        <w:spacing w:line="276" w:lineRule="auto"/>
        <w:ind w:left="851" w:right="899"/>
        <w:jc w:val="both"/>
        <w:rPr>
          <w:rFonts w:ascii="Palatino Linotype" w:hAnsi="Palatino Linotype" w:cs="Arial"/>
          <w:i/>
          <w:iCs/>
          <w:color w:val="222222"/>
        </w:rPr>
      </w:pPr>
      <w:r>
        <w:rPr>
          <w:rFonts w:ascii="Palatino Linotype" w:hAnsi="Palatino Linotype" w:cs="Arial"/>
          <w:i/>
          <w:iCs/>
          <w:color w:val="222222"/>
        </w:rPr>
        <w:t>Amparo en revisión 2022/61. José García Florín (Menor). 9 de octubre de 1961. Cinco votos. Ponente: José Rivera Pérez Campos.”</w:t>
      </w:r>
    </w:p>
    <w:p w:rsidR="006F53D4" w:rsidRDefault="006F53D4">
      <w:pPr>
        <w:shd w:val="clear" w:color="auto" w:fill="FFFFFF"/>
        <w:spacing w:line="276" w:lineRule="auto"/>
        <w:ind w:right="899"/>
        <w:jc w:val="both"/>
        <w:rPr>
          <w:rFonts w:ascii="Palatino Linotype" w:hAnsi="Palatino Linotype" w:cs="Arial"/>
          <w:i/>
          <w:iCs/>
          <w:color w:val="222222"/>
        </w:rPr>
      </w:pPr>
    </w:p>
    <w:p w:rsidR="006F53D4" w:rsidRDefault="005A7111">
      <w:pPr>
        <w:shd w:val="clear" w:color="auto" w:fill="FFFFFF"/>
        <w:spacing w:line="360" w:lineRule="auto"/>
        <w:ind w:right="49"/>
        <w:jc w:val="both"/>
        <w:rPr>
          <w:rFonts w:ascii="Palatino Linotype" w:hAnsi="Palatino Linotype" w:cs="Arial"/>
          <w:iCs/>
          <w:color w:val="222222"/>
        </w:rPr>
      </w:pPr>
      <w:r>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6F53D4" w:rsidRDefault="005A7111">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6F53D4" w:rsidRDefault="005A7111">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Resoluciones:</w:t>
      </w:r>
    </w:p>
    <w:p w:rsidR="006F53D4" w:rsidRDefault="005A7111">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w:t>
      </w:r>
      <w:r>
        <w:rPr>
          <w:rFonts w:ascii="Palatino Linotype" w:hAnsi="Palatino Linotype" w:cs="Arial"/>
          <w:i/>
          <w:color w:val="222222"/>
        </w:rPr>
        <w:tab/>
        <w:t>RRA 2959/16. Secretaría de Gobernación. 23 de noviembre de 2016. Por unanimidad. Comisionado Ponente Rosendoevgueni Monterrey Chepov.</w:t>
      </w:r>
    </w:p>
    <w:p w:rsidR="006F53D4" w:rsidRDefault="005A7111">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w:t>
      </w:r>
      <w:r>
        <w:rPr>
          <w:rFonts w:ascii="Palatino Linotype" w:hAnsi="Palatino Linotype" w:cs="Arial"/>
          <w:i/>
          <w:color w:val="222222"/>
        </w:rPr>
        <w:tab/>
        <w:t>RRA 3186/16. Petróleos Mexicanos. 13 de diciembre de 2016. Por unanimidad. Comisionado Ponente Francisco Javier Acuña Llamas.</w:t>
      </w:r>
    </w:p>
    <w:p w:rsidR="006F53D4" w:rsidRDefault="005A7111">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w:t>
      </w:r>
      <w:r>
        <w:rPr>
          <w:rFonts w:ascii="Palatino Linotype" w:hAnsi="Palatino Linotype" w:cs="Arial"/>
          <w:i/>
          <w:color w:val="222222"/>
        </w:rPr>
        <w:tab/>
        <w:t>RRA 4216/16. Cámara de Diputados. 05 de enero de 2017. Por unanimidad. Comisionada Ponente Areli Cano Guadiana.”</w:t>
      </w:r>
    </w:p>
    <w:p w:rsidR="006F53D4" w:rsidRDefault="006F53D4">
      <w:pPr>
        <w:spacing w:line="276" w:lineRule="auto"/>
        <w:jc w:val="both"/>
        <w:rPr>
          <w:rFonts w:ascii="Palatino Linotype" w:hAnsi="Palatino Linotype" w:cs="Arial"/>
          <w:sz w:val="14"/>
        </w:rPr>
      </w:pPr>
    </w:p>
    <w:p w:rsidR="006F53D4" w:rsidRDefault="005A7111">
      <w:pPr>
        <w:spacing w:line="360" w:lineRule="auto"/>
        <w:ind w:left="29"/>
        <w:jc w:val="both"/>
        <w:rPr>
          <w:rFonts w:ascii="Palatino Linotype" w:hAnsi="Palatino Linotype" w:cs="Arial"/>
          <w:bCs/>
        </w:rPr>
      </w:pPr>
      <w:r>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6F53D4" w:rsidRDefault="005A7111">
      <w:pPr>
        <w:spacing w:line="276" w:lineRule="auto"/>
        <w:ind w:left="851" w:right="902"/>
        <w:jc w:val="both"/>
        <w:rPr>
          <w:rFonts w:ascii="Palatino Linotype" w:hAnsi="Palatino Linotype" w:cs="Arial"/>
          <w:i/>
        </w:rPr>
      </w:pPr>
      <w:r>
        <w:rPr>
          <w:rFonts w:ascii="Palatino Linotype" w:hAnsi="Palatino Linotype" w:cs="Arial"/>
          <w:b/>
          <w:bCs/>
          <w:i/>
        </w:rPr>
        <w:t xml:space="preserve">“Artículo 2. </w:t>
      </w:r>
      <w:r>
        <w:rPr>
          <w:rFonts w:ascii="Palatino Linotype" w:hAnsi="Palatino Linotype" w:cs="Arial"/>
          <w:i/>
        </w:rPr>
        <w:t>Son objetivos de esta Ley:</w:t>
      </w:r>
    </w:p>
    <w:p w:rsidR="006F53D4" w:rsidRDefault="005A7111">
      <w:pPr>
        <w:spacing w:line="276" w:lineRule="auto"/>
        <w:ind w:left="851" w:right="902"/>
        <w:jc w:val="both"/>
        <w:rPr>
          <w:rFonts w:ascii="Palatino Linotype" w:hAnsi="Palatino Linotype" w:cs="Arial"/>
          <w:i/>
        </w:rPr>
      </w:pPr>
      <w:r>
        <w:rPr>
          <w:rFonts w:ascii="Palatino Linotype" w:hAnsi="Palatino Linotype" w:cs="Arial"/>
          <w:b/>
          <w:bCs/>
          <w:i/>
        </w:rPr>
        <w:t xml:space="preserve">I. </w:t>
      </w:r>
      <w:r>
        <w:rPr>
          <w:rFonts w:ascii="Palatino Linotype" w:hAnsi="Palatino Linotype" w:cs="Arial"/>
          <w:i/>
        </w:rPr>
        <w:t>Establecer la competencia, operación y funcionamiento del Instituto, en materia de transparencia y acceso a la información;</w:t>
      </w:r>
    </w:p>
    <w:p w:rsidR="006F53D4" w:rsidRDefault="005A7111">
      <w:pPr>
        <w:spacing w:line="276" w:lineRule="auto"/>
        <w:ind w:left="851" w:right="902"/>
        <w:jc w:val="both"/>
        <w:rPr>
          <w:rFonts w:ascii="Palatino Linotype" w:hAnsi="Palatino Linotype" w:cs="Arial"/>
          <w:i/>
        </w:rPr>
      </w:pPr>
      <w:r>
        <w:rPr>
          <w:rFonts w:ascii="Palatino Linotype" w:hAnsi="Palatino Linotype" w:cs="Arial"/>
          <w:b/>
          <w:bCs/>
          <w:i/>
        </w:rPr>
        <w:t xml:space="preserve">II. </w:t>
      </w:r>
      <w:r>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6F53D4" w:rsidRDefault="006F53D4">
      <w:pPr>
        <w:spacing w:line="276" w:lineRule="auto"/>
        <w:ind w:left="851" w:right="902"/>
        <w:jc w:val="both"/>
        <w:rPr>
          <w:rFonts w:ascii="Palatino Linotype" w:hAnsi="Palatino Linotype" w:cs="Arial"/>
          <w:b/>
          <w:bCs/>
          <w:i/>
        </w:rPr>
      </w:pPr>
    </w:p>
    <w:p w:rsidR="006F53D4" w:rsidRDefault="005A7111">
      <w:pPr>
        <w:spacing w:line="276" w:lineRule="auto"/>
        <w:ind w:left="851" w:right="902"/>
        <w:jc w:val="both"/>
        <w:rPr>
          <w:rFonts w:ascii="Palatino Linotype" w:hAnsi="Palatino Linotype" w:cs="Arial"/>
          <w:i/>
        </w:rPr>
      </w:pPr>
      <w:r>
        <w:rPr>
          <w:rFonts w:ascii="Palatino Linotype" w:hAnsi="Palatino Linotype" w:cs="Arial"/>
          <w:b/>
          <w:bCs/>
          <w:i/>
        </w:rPr>
        <w:t xml:space="preserve">Artículo 150. </w:t>
      </w:r>
      <w:r>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6F53D4" w:rsidRDefault="006F53D4">
      <w:pPr>
        <w:spacing w:line="276" w:lineRule="auto"/>
        <w:ind w:left="851" w:right="902"/>
        <w:jc w:val="both"/>
        <w:rPr>
          <w:rFonts w:ascii="Palatino Linotype" w:hAnsi="Palatino Linotype" w:cs="Arial"/>
          <w:i/>
        </w:rPr>
      </w:pPr>
    </w:p>
    <w:p w:rsidR="006F53D4" w:rsidRDefault="005A7111">
      <w:pPr>
        <w:spacing w:line="276" w:lineRule="auto"/>
        <w:ind w:left="851" w:right="902"/>
        <w:jc w:val="both"/>
        <w:rPr>
          <w:rFonts w:ascii="Palatino Linotype" w:hAnsi="Palatino Linotype" w:cs="Arial"/>
          <w:i/>
        </w:rPr>
      </w:pPr>
      <w:r>
        <w:rPr>
          <w:rFonts w:ascii="Palatino Linotype" w:hAnsi="Palatino Linotype" w:cs="Arial"/>
          <w:b/>
          <w:bCs/>
          <w:i/>
        </w:rPr>
        <w:t xml:space="preserve">Artículo 173. </w:t>
      </w:r>
      <w:r>
        <w:rPr>
          <w:rFonts w:ascii="Palatino Linotype" w:hAnsi="Palatino Linotype" w:cs="Arial"/>
          <w:i/>
        </w:rPr>
        <w:t>Sin perjuicio de lo anteriormente establecido, el procedimiento de acceso a la información se rige por los siguientes principios:</w:t>
      </w:r>
    </w:p>
    <w:p w:rsidR="006F53D4" w:rsidRDefault="005A7111">
      <w:pPr>
        <w:spacing w:line="276" w:lineRule="auto"/>
        <w:ind w:left="851" w:right="902"/>
        <w:jc w:val="both"/>
        <w:rPr>
          <w:rFonts w:ascii="Palatino Linotype" w:hAnsi="Palatino Linotype" w:cs="Arial"/>
          <w:i/>
        </w:rPr>
      </w:pPr>
      <w:r>
        <w:rPr>
          <w:rFonts w:ascii="Palatino Linotype" w:hAnsi="Palatino Linotype" w:cs="Arial"/>
          <w:b/>
          <w:bCs/>
          <w:i/>
        </w:rPr>
        <w:t xml:space="preserve">I. </w:t>
      </w:r>
      <w:r>
        <w:rPr>
          <w:rFonts w:ascii="Palatino Linotype" w:hAnsi="Palatino Linotype" w:cs="Arial"/>
          <w:i/>
        </w:rPr>
        <w:t>Simplicidad y rapidez;</w:t>
      </w:r>
    </w:p>
    <w:p w:rsidR="006F53D4" w:rsidRDefault="005A7111">
      <w:pPr>
        <w:spacing w:line="276" w:lineRule="auto"/>
        <w:ind w:left="851" w:right="902"/>
        <w:jc w:val="both"/>
        <w:rPr>
          <w:rFonts w:ascii="Palatino Linotype" w:hAnsi="Palatino Linotype" w:cs="Arial"/>
          <w:i/>
        </w:rPr>
      </w:pPr>
      <w:r>
        <w:rPr>
          <w:rFonts w:ascii="Palatino Linotype" w:hAnsi="Palatino Linotype" w:cs="Arial"/>
          <w:b/>
          <w:bCs/>
          <w:i/>
        </w:rPr>
        <w:t xml:space="preserve">II. </w:t>
      </w:r>
      <w:r>
        <w:rPr>
          <w:rFonts w:ascii="Palatino Linotype" w:hAnsi="Palatino Linotype" w:cs="Arial"/>
          <w:i/>
        </w:rPr>
        <w:t>Gratuidad del procedimiento; y</w:t>
      </w:r>
    </w:p>
    <w:p w:rsidR="006F53D4" w:rsidRDefault="005A7111">
      <w:pPr>
        <w:spacing w:line="276" w:lineRule="auto"/>
        <w:ind w:left="851" w:right="902"/>
        <w:jc w:val="both"/>
        <w:rPr>
          <w:rFonts w:ascii="Palatino Linotype" w:hAnsi="Palatino Linotype" w:cs="Arial"/>
          <w:i/>
        </w:rPr>
      </w:pPr>
      <w:r>
        <w:rPr>
          <w:rFonts w:ascii="Palatino Linotype" w:hAnsi="Palatino Linotype" w:cs="Arial"/>
          <w:b/>
          <w:bCs/>
          <w:i/>
        </w:rPr>
        <w:t xml:space="preserve">III. </w:t>
      </w:r>
      <w:r>
        <w:rPr>
          <w:rFonts w:ascii="Palatino Linotype" w:hAnsi="Palatino Linotype" w:cs="Arial"/>
          <w:i/>
        </w:rPr>
        <w:t>Auxilio y orientación a los particulares.”</w:t>
      </w:r>
    </w:p>
    <w:p w:rsidR="006F53D4" w:rsidRDefault="005A7111">
      <w:pPr>
        <w:spacing w:before="240" w:after="240" w:line="360" w:lineRule="auto"/>
        <w:ind w:right="49"/>
        <w:jc w:val="both"/>
        <w:rPr>
          <w:rFonts w:ascii="Palatino Linotype" w:hAnsi="Palatino Linotype"/>
        </w:rPr>
      </w:pPr>
      <w:r>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Pr>
          <w:rFonts w:ascii="Palatino Linotype" w:hAnsi="Palatino Linotype"/>
          <w:b/>
        </w:rPr>
        <w:t>EL SUJETO OBLIGADO</w:t>
      </w:r>
      <w:r>
        <w:rPr>
          <w:rFonts w:ascii="Palatino Linotype" w:hAnsi="Palatino Linotype"/>
        </w:rPr>
        <w:t xml:space="preserve"> sólo proporcionará la información que obra en sus archivos, y como se desprendió de la respuesta, no obra en sus archivos </w:t>
      </w:r>
      <w:r>
        <w:rPr>
          <w:rFonts w:ascii="Palatino Linotype" w:hAnsi="Palatino Linotype"/>
          <w:color w:val="000000"/>
        </w:rPr>
        <w:t>la evidencia documental correspondiente</w:t>
      </w:r>
      <w:r>
        <w:rPr>
          <w:rFonts w:ascii="Palatino Linotype" w:hAnsi="Palatino Linotype"/>
        </w:rPr>
        <w:t>.</w:t>
      </w:r>
    </w:p>
    <w:p w:rsidR="006F53D4" w:rsidRDefault="005A7111">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MODIFICAR</w:t>
      </w:r>
      <w:r>
        <w:rPr>
          <w:rFonts w:ascii="Palatino Linotype" w:eastAsia="Calibri" w:hAnsi="Palatino Linotype" w:cs="Arial"/>
        </w:rPr>
        <w:t xml:space="preserve"> la respuesta del </w:t>
      </w:r>
      <w:r>
        <w:rPr>
          <w:rFonts w:ascii="Palatino Linotype" w:eastAsia="Calibri" w:hAnsi="Palatino Linotype" w:cs="Arial"/>
          <w:b/>
        </w:rPr>
        <w:t xml:space="preserve">SUJETO OBLIGADO, </w:t>
      </w:r>
      <w:r>
        <w:rPr>
          <w:rFonts w:ascii="Palatino Linotype" w:eastAsia="Calibri" w:hAnsi="Palatino Linotype" w:cs="Arial"/>
        </w:rPr>
        <w:t>al resultar parcialmente fundadas los motivos y razones de inconformidad.</w:t>
      </w:r>
    </w:p>
    <w:p w:rsidR="006F53D4" w:rsidRDefault="005A7111">
      <w:pPr>
        <w:widowControl w:val="0"/>
        <w:spacing w:before="240" w:after="120" w:line="360" w:lineRule="auto"/>
        <w:jc w:val="both"/>
        <w:rPr>
          <w:rFonts w:ascii="Palatino Linotype" w:hAnsi="Palatino Linotype" w:cs="Arial"/>
        </w:rPr>
      </w:pPr>
      <w:r>
        <w:rPr>
          <w:rFonts w:ascii="Palatino Linotype" w:hAnsi="Palatino Linotype" w:cs="Arial"/>
        </w:rPr>
        <w:t xml:space="preserve">Así, con fundamento en lo prescrito en los artículos 5, </w:t>
      </w:r>
      <w:r>
        <w:rPr>
          <w:rFonts w:ascii="Palatino Linotype" w:hAnsi="Palatino Linotype"/>
        </w:rPr>
        <w:t>párrafo vigésimo segundo, vigésimo tercero y vigésimo cuarto, fracciones IV y V</w:t>
      </w:r>
      <w:r>
        <w:rPr>
          <w:rFonts w:ascii="Palatino Linotype" w:hAnsi="Palatino Linotype" w:cs="Arial"/>
        </w:rPr>
        <w:t xml:space="preserve"> de la Constitución Política del Estado Libre y Soberano de México; </w:t>
      </w:r>
      <w:r>
        <w:rPr>
          <w:rFonts w:ascii="Palatino Linotype" w:hAnsi="Palatino Linotype"/>
        </w:rPr>
        <w:t xml:space="preserve">2, fracción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hAnsi="Palatino Linotype" w:cs="Arial"/>
        </w:rPr>
        <w:t xml:space="preserve"> de la Ley de Transparencia y Acceso a la Información Pública del Estado de México y Municipios, este Pleno:</w:t>
      </w:r>
    </w:p>
    <w:p w:rsidR="006F53D4" w:rsidRDefault="005A7111">
      <w:pPr>
        <w:spacing w:before="360" w:after="240" w:line="360" w:lineRule="auto"/>
        <w:jc w:val="center"/>
        <w:rPr>
          <w:rFonts w:ascii="Palatino Linotype" w:hAnsi="Palatino Linotype"/>
          <w:b/>
          <w:bCs/>
          <w:spacing w:val="40"/>
          <w:sz w:val="28"/>
        </w:rPr>
      </w:pPr>
      <w:r>
        <w:rPr>
          <w:rFonts w:ascii="Palatino Linotype" w:hAnsi="Palatino Linotype"/>
          <w:b/>
          <w:bCs/>
          <w:spacing w:val="40"/>
          <w:sz w:val="28"/>
        </w:rPr>
        <w:t>RESUELVE</w:t>
      </w:r>
    </w:p>
    <w:p w:rsidR="006F53D4" w:rsidRDefault="005A7111">
      <w:pPr>
        <w:spacing w:beforeAutospacing="1" w:afterAutospacing="1" w:line="360" w:lineRule="auto"/>
        <w:jc w:val="both"/>
        <w:rPr>
          <w:color w:val="222222"/>
          <w:lang w:eastAsia="es-MX"/>
        </w:rPr>
      </w:pPr>
      <w:r>
        <w:rPr>
          <w:rFonts w:ascii="Palatino Linotype" w:hAnsi="Palatino Linotype"/>
          <w:b/>
          <w:bCs/>
          <w:color w:val="222222"/>
          <w:sz w:val="28"/>
          <w:szCs w:val="28"/>
          <w:lang w:eastAsia="es-MX"/>
        </w:rPr>
        <w:t>PRIMERO</w:t>
      </w:r>
      <w:r>
        <w:rPr>
          <w:rFonts w:ascii="Palatino Linotype" w:hAnsi="Palatino Linotype"/>
          <w:color w:val="222222"/>
          <w:lang w:eastAsia="es-MX"/>
        </w:rPr>
        <w:t xml:space="preserve">. Resultan </w:t>
      </w:r>
      <w:r>
        <w:rPr>
          <w:rFonts w:ascii="Palatino Linotype" w:hAnsi="Palatino Linotype"/>
          <w:b/>
          <w:color w:val="222222"/>
          <w:lang w:eastAsia="es-MX"/>
        </w:rPr>
        <w:t>parcialmente</w:t>
      </w:r>
      <w:r>
        <w:rPr>
          <w:rFonts w:ascii="Palatino Linotype" w:hAnsi="Palatino Linotype"/>
          <w:color w:val="222222"/>
          <w:lang w:eastAsia="es-MX"/>
        </w:rPr>
        <w:t xml:space="preserve"> </w:t>
      </w:r>
      <w:r>
        <w:rPr>
          <w:rFonts w:ascii="Palatino Linotype" w:hAnsi="Palatino Linotype"/>
          <w:b/>
          <w:bCs/>
          <w:color w:val="222222"/>
          <w:lang w:eastAsia="es-MX"/>
        </w:rPr>
        <w:t>fundadas</w:t>
      </w:r>
      <w:r>
        <w:rPr>
          <w:rFonts w:ascii="Palatino Linotype" w:hAnsi="Palatino Linotype"/>
          <w:color w:val="222222"/>
          <w:lang w:eastAsia="es-MX"/>
        </w:rPr>
        <w:t xml:space="preserve"> las razones o motivos de inconformidad planteadas por </w:t>
      </w:r>
      <w:r>
        <w:rPr>
          <w:rFonts w:ascii="Palatino Linotype" w:hAnsi="Palatino Linotype"/>
          <w:b/>
          <w:bCs/>
          <w:color w:val="222222"/>
          <w:lang w:eastAsia="es-MX"/>
        </w:rPr>
        <w:t xml:space="preserve">EL RECURRENTE </w:t>
      </w:r>
      <w:r>
        <w:rPr>
          <w:rFonts w:ascii="Palatino Linotype" w:hAnsi="Palatino Linotype"/>
          <w:color w:val="222222"/>
          <w:lang w:eastAsia="es-MX"/>
        </w:rPr>
        <w:t xml:space="preserve">en el recurso de revisión </w:t>
      </w:r>
      <w:r>
        <w:rPr>
          <w:rFonts w:ascii="Palatino Linotype" w:hAnsi="Palatino Linotype"/>
          <w:b/>
          <w:color w:val="222222"/>
          <w:lang w:eastAsia="es-MX"/>
        </w:rPr>
        <w:t>01337/INFOEM/IP/RR/2020</w:t>
      </w:r>
      <w:r>
        <w:rPr>
          <w:rFonts w:ascii="Palatino Linotype" w:hAnsi="Palatino Linotype"/>
          <w:color w:val="222222"/>
          <w:lang w:eastAsia="es-MX"/>
        </w:rPr>
        <w:t xml:space="preserve">, en términos del Considerando </w:t>
      </w:r>
      <w:r>
        <w:rPr>
          <w:rFonts w:ascii="Palatino Linotype" w:hAnsi="Palatino Linotype"/>
          <w:b/>
          <w:bCs/>
          <w:color w:val="222222"/>
          <w:lang w:eastAsia="es-MX"/>
        </w:rPr>
        <w:t>QUINTO</w:t>
      </w:r>
      <w:r>
        <w:rPr>
          <w:rFonts w:ascii="Palatino Linotype" w:hAnsi="Palatino Linotype"/>
          <w:color w:val="222222"/>
          <w:lang w:eastAsia="es-MX"/>
        </w:rPr>
        <w:t xml:space="preserve"> de esta Resolución.</w:t>
      </w:r>
    </w:p>
    <w:p w:rsidR="006F53D4" w:rsidRDefault="005A7111">
      <w:pPr>
        <w:spacing w:beforeAutospacing="1" w:afterAutospacing="1" w:line="360" w:lineRule="auto"/>
        <w:jc w:val="both"/>
        <w:rPr>
          <w:color w:val="222222"/>
          <w:lang w:eastAsia="es-MX"/>
        </w:rPr>
      </w:pPr>
      <w:r>
        <w:rPr>
          <w:rFonts w:ascii="Palatino Linotype" w:hAnsi="Palatino Linotype"/>
          <w:b/>
          <w:bCs/>
          <w:color w:val="222222"/>
          <w:sz w:val="28"/>
          <w:szCs w:val="28"/>
          <w:lang w:eastAsia="es-MX"/>
        </w:rPr>
        <w:t>SEGUNDO</w:t>
      </w:r>
      <w:r>
        <w:rPr>
          <w:rFonts w:ascii="Palatino Linotype" w:hAnsi="Palatino Linotype"/>
          <w:b/>
          <w:bCs/>
          <w:color w:val="222222"/>
          <w:lang w:eastAsia="es-MX"/>
        </w:rPr>
        <w:t>. </w:t>
      </w:r>
      <w:r>
        <w:rPr>
          <w:rFonts w:ascii="Palatino Linotype" w:hAnsi="Palatino Linotype"/>
          <w:color w:val="222222"/>
          <w:lang w:eastAsia="es-MX"/>
        </w:rPr>
        <w:t xml:space="preserve">Se </w:t>
      </w:r>
      <w:r>
        <w:rPr>
          <w:rFonts w:ascii="Palatino Linotype" w:hAnsi="Palatino Linotype"/>
          <w:b/>
          <w:color w:val="222222"/>
          <w:lang w:eastAsia="es-MX"/>
        </w:rPr>
        <w:t>MODIFICA</w:t>
      </w:r>
      <w:r>
        <w:rPr>
          <w:rFonts w:ascii="Palatino Linotype" w:hAnsi="Palatino Linotype"/>
          <w:color w:val="222222"/>
          <w:lang w:eastAsia="es-MX"/>
        </w:rPr>
        <w:t xml:space="preserve"> la respuesta del </w:t>
      </w:r>
      <w:r>
        <w:rPr>
          <w:rFonts w:ascii="Palatino Linotype" w:hAnsi="Palatino Linotype"/>
          <w:b/>
          <w:bCs/>
          <w:color w:val="222222"/>
          <w:lang w:eastAsia="es-MX"/>
        </w:rPr>
        <w:t xml:space="preserve">SUJETO OBLIGADO </w:t>
      </w:r>
      <w:r>
        <w:rPr>
          <w:rFonts w:ascii="Palatino Linotype" w:hAnsi="Palatino Linotype"/>
          <w:color w:val="222222"/>
          <w:lang w:eastAsia="es-MX"/>
        </w:rPr>
        <w:t xml:space="preserve">atienda la solicitud de información </w:t>
      </w:r>
      <w:r>
        <w:rPr>
          <w:rFonts w:ascii="Palatino Linotype" w:hAnsi="Palatino Linotype" w:cs="Arial"/>
          <w:b/>
          <w:lang w:val="es-ES"/>
        </w:rPr>
        <w:t>00025/UAEM/IP/2020</w:t>
      </w:r>
      <w:r>
        <w:rPr>
          <w:rFonts w:ascii="Palatino Linotype" w:hAnsi="Palatino Linotype" w:cs="Arial"/>
          <w:b/>
          <w:sz w:val="28"/>
          <w:lang w:val="es-ES"/>
        </w:rPr>
        <w:t xml:space="preserve"> </w:t>
      </w:r>
      <w:r>
        <w:rPr>
          <w:rFonts w:ascii="Palatino Linotype" w:hAnsi="Palatino Linotype"/>
          <w:color w:val="222222"/>
          <w:lang w:eastAsia="es-MX"/>
        </w:rPr>
        <w:t xml:space="preserve">y haga entrega al </w:t>
      </w:r>
      <w:r>
        <w:rPr>
          <w:rFonts w:ascii="Palatino Linotype" w:hAnsi="Palatino Linotype"/>
          <w:b/>
          <w:bCs/>
          <w:color w:val="222222"/>
          <w:lang w:eastAsia="es-MX"/>
        </w:rPr>
        <w:t>RECURRENTE</w:t>
      </w:r>
      <w:r>
        <w:rPr>
          <w:rFonts w:ascii="Palatino Linotype" w:hAnsi="Palatino Linotype"/>
          <w:bCs/>
          <w:color w:val="222222"/>
          <w:lang w:eastAsia="es-MX"/>
        </w:rPr>
        <w:t>,</w:t>
      </w:r>
      <w:r>
        <w:rPr>
          <w:rFonts w:ascii="Palatino Linotype" w:hAnsi="Palatino Linotype"/>
          <w:b/>
          <w:bCs/>
          <w:color w:val="222222"/>
          <w:lang w:eastAsia="es-MX"/>
        </w:rPr>
        <w:t xml:space="preserve"> </w:t>
      </w:r>
      <w:r>
        <w:rPr>
          <w:rFonts w:ascii="Palatino Linotype" w:hAnsi="Palatino Linotype"/>
          <w:color w:val="222222"/>
          <w:lang w:eastAsia="es-MX"/>
        </w:rPr>
        <w:t>en términos del Considerando </w:t>
      </w:r>
      <w:r>
        <w:rPr>
          <w:rFonts w:ascii="Palatino Linotype" w:hAnsi="Palatino Linotype"/>
          <w:b/>
          <w:bCs/>
          <w:color w:val="222222"/>
          <w:lang w:eastAsia="es-MX"/>
        </w:rPr>
        <w:t>QUINTO</w:t>
      </w:r>
      <w:r>
        <w:rPr>
          <w:rFonts w:ascii="Palatino Linotype" w:hAnsi="Palatino Linotype"/>
          <w:color w:val="222222"/>
          <w:lang w:eastAsia="es-MX"/>
        </w:rPr>
        <w:t xml:space="preserve"> de esta resolución, </w:t>
      </w:r>
      <w:r>
        <w:rPr>
          <w:rFonts w:ascii="Palatino Linotype" w:hAnsi="Palatino Linotype" w:cs="Arial"/>
        </w:rPr>
        <w:t xml:space="preserve">vía el </w:t>
      </w:r>
      <w:r>
        <w:rPr>
          <w:rFonts w:ascii="Palatino Linotype" w:hAnsi="Palatino Linotype" w:cs="Arial"/>
          <w:b/>
        </w:rPr>
        <w:t>SAIMEX</w:t>
      </w:r>
      <w:r>
        <w:rPr>
          <w:rFonts w:ascii="Palatino Linotype" w:hAnsi="Palatino Linotype" w:cs="Arial"/>
        </w:rPr>
        <w:t xml:space="preserve">, </w:t>
      </w:r>
      <w:r>
        <w:rPr>
          <w:rFonts w:ascii="Palatino Linotype" w:hAnsi="Palatino Linotype"/>
          <w:color w:val="222222"/>
          <w:lang w:eastAsia="es-MX"/>
        </w:rPr>
        <w:t>lo siguiente:</w:t>
      </w:r>
    </w:p>
    <w:p w:rsidR="006F53D4" w:rsidRDefault="005A7111">
      <w:pPr>
        <w:pStyle w:val="Prrafodelista"/>
        <w:numPr>
          <w:ilvl w:val="0"/>
          <w:numId w:val="1"/>
        </w:numPr>
        <w:spacing w:line="276" w:lineRule="auto"/>
        <w:ind w:right="899"/>
        <w:jc w:val="both"/>
        <w:rPr>
          <w:rFonts w:ascii="Palatino Linotype" w:hAnsi="Palatino Linotype" w:cs="Arial"/>
          <w:i/>
        </w:rPr>
      </w:pPr>
      <w:r>
        <w:rPr>
          <w:rFonts w:ascii="Palatino Linotype" w:hAnsi="Palatino Linotype" w:cs="Arial"/>
          <w:i/>
        </w:rPr>
        <w:t xml:space="preserve"> La normatividad donde conste el proceso vigente al 24 de enero 2020 de elección del rector, así como la duración de dicho cargo.</w:t>
      </w:r>
    </w:p>
    <w:p w:rsidR="006F53D4" w:rsidRDefault="005A7111">
      <w:pPr>
        <w:pStyle w:val="Prrafodelista"/>
        <w:numPr>
          <w:ilvl w:val="0"/>
          <w:numId w:val="1"/>
        </w:numPr>
        <w:spacing w:line="276" w:lineRule="auto"/>
        <w:ind w:right="899"/>
        <w:jc w:val="both"/>
        <w:rPr>
          <w:rFonts w:ascii="Palatino Linotype" w:hAnsi="Palatino Linotype" w:cs="Arial"/>
          <w:i/>
        </w:rPr>
      </w:pPr>
      <w:r>
        <w:rPr>
          <w:rFonts w:ascii="Palatino Linotype" w:hAnsi="Palatino Linotype" w:cs="Arial"/>
          <w:i/>
        </w:rPr>
        <w:t>La normatividad donde conste la forma de integración del consejo de gobierno y universitario al 24 de enero de 2020, así como las atribuciones y funciones que le corresponden.</w:t>
      </w:r>
    </w:p>
    <w:p w:rsidR="006F53D4" w:rsidRDefault="005A7111">
      <w:pPr>
        <w:pStyle w:val="Prrafodelista"/>
        <w:numPr>
          <w:ilvl w:val="0"/>
          <w:numId w:val="1"/>
        </w:numPr>
        <w:spacing w:line="276" w:lineRule="auto"/>
        <w:ind w:right="899"/>
        <w:jc w:val="both"/>
        <w:rPr>
          <w:rFonts w:ascii="Palatino Linotype" w:hAnsi="Palatino Linotype" w:cs="Arial"/>
          <w:i/>
        </w:rPr>
      </w:pPr>
      <w:r>
        <w:rPr>
          <w:rFonts w:ascii="Palatino Linotype" w:hAnsi="Palatino Linotype" w:cs="Arial"/>
          <w:i/>
        </w:rPr>
        <w:t xml:space="preserve">El Acuerdo de Incompetencia respecto de la información solicitada referente a las pensiones, que emita el Comité de Transparencia del </w:t>
      </w:r>
      <w:r>
        <w:rPr>
          <w:rFonts w:ascii="Palatino Linotype" w:hAnsi="Palatino Linotype" w:cs="Arial"/>
          <w:b/>
          <w:i/>
        </w:rPr>
        <w:t>SUJETO OBLIGADO</w:t>
      </w:r>
      <w:r>
        <w:rPr>
          <w:rFonts w:ascii="Palatino Linotype" w:hAnsi="Palatino Linotype" w:cs="Arial"/>
          <w:i/>
        </w:rPr>
        <w:t xml:space="preserve"> en términos de lo que dispone el artículo 49, fracción II de la Ley de Transparencia y Acceso a la Información Pública del Estado de México y Municipios.</w:t>
      </w:r>
    </w:p>
    <w:p w:rsidR="006F53D4" w:rsidRDefault="006F53D4">
      <w:pPr>
        <w:spacing w:line="276" w:lineRule="auto"/>
        <w:ind w:left="851" w:right="899" w:hanging="142"/>
        <w:jc w:val="both"/>
        <w:rPr>
          <w:rFonts w:ascii="Palatino Linotype" w:hAnsi="Palatino Linotype" w:cs="Arial"/>
          <w:i/>
          <w:sz w:val="6"/>
        </w:rPr>
      </w:pPr>
    </w:p>
    <w:p w:rsidR="006F53D4" w:rsidRDefault="005A7111">
      <w:pPr>
        <w:pStyle w:val="Prrafodelista"/>
        <w:widowControl w:val="0"/>
        <w:spacing w:before="120" w:after="120" w:line="360" w:lineRule="auto"/>
        <w:ind w:left="0"/>
        <w:jc w:val="both"/>
        <w:rPr>
          <w:rFonts w:ascii="Palatino Linotype" w:hAnsi="Palatino Linotype"/>
          <w:szCs w:val="17"/>
          <w:lang w:eastAsia="es-ES_tradnl"/>
        </w:rPr>
      </w:pPr>
      <w:r>
        <w:rPr>
          <w:rFonts w:ascii="Palatino Linotype" w:hAnsi="Palatino Linotype"/>
          <w:b/>
          <w:sz w:val="28"/>
          <w:szCs w:val="28"/>
          <w:lang w:eastAsia="es-ES_tradnl"/>
        </w:rPr>
        <w:t>TERCERO.</w:t>
      </w:r>
      <w:r>
        <w:rPr>
          <w:rFonts w:ascii="Palatino Linotype" w:hAnsi="Palatino Linotype"/>
          <w:b/>
          <w:szCs w:val="17"/>
          <w:lang w:eastAsia="es-ES_tradnl"/>
        </w:rPr>
        <w:t xml:space="preserve"> Notifíquese</w:t>
      </w:r>
      <w:r>
        <w:rPr>
          <w:rFonts w:ascii="Palatino Linotype" w:hAnsi="Palatino Linotype"/>
          <w:szCs w:val="17"/>
          <w:lang w:eastAsia="es-ES_tradnl"/>
        </w:rPr>
        <w:t xml:space="preserve"> </w:t>
      </w:r>
      <w:r>
        <w:rPr>
          <w:rFonts w:ascii="Palatino Linotype" w:hAnsi="Palatino Linotype"/>
          <w:shd w:val="clear" w:color="auto" w:fill="FFFFFF"/>
        </w:rPr>
        <w:t>al Titular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presente resolución.</w:t>
      </w:r>
    </w:p>
    <w:p w:rsidR="006F53D4" w:rsidRDefault="005A7111">
      <w:pPr>
        <w:pStyle w:val="Prrafodelista"/>
        <w:widowControl w:val="0"/>
        <w:spacing w:before="120" w:after="120" w:line="360" w:lineRule="auto"/>
        <w:ind w:left="0"/>
        <w:jc w:val="both"/>
        <w:rPr>
          <w:rFonts w:ascii="Palatino Linotype" w:hAnsi="Palatino Linotype"/>
          <w:strike/>
          <w:highlight w:val="white"/>
        </w:rPr>
      </w:pPr>
      <w:r>
        <w:rPr>
          <w:rFonts w:ascii="Palatino Linotype" w:hAnsi="Palatino Linotype" w:cs="Arial"/>
          <w:b/>
          <w:color w:val="000000" w:themeColor="text1"/>
          <w:sz w:val="28"/>
          <w:szCs w:val="28"/>
        </w:rPr>
        <w:t>CUARTO.</w:t>
      </w:r>
      <w:r>
        <w:rPr>
          <w:rFonts w:ascii="Palatino Linotype" w:eastAsiaTheme="minorEastAsia" w:hAnsi="Palatino Linotype"/>
          <w:b/>
          <w:color w:val="222222"/>
          <w:szCs w:val="17"/>
          <w:lang w:eastAsia="es-ES_tradnl"/>
        </w:rPr>
        <w:t xml:space="preserve"> </w:t>
      </w:r>
      <w:r>
        <w:rPr>
          <w:rFonts w:ascii="Palatino Linotype" w:eastAsiaTheme="minorEastAsia" w:hAnsi="Palatino Linotype"/>
          <w:b/>
          <w:color w:val="222222"/>
          <w:lang w:eastAsia="es-ES_tradnl"/>
        </w:rPr>
        <w:t>Notifíquese</w:t>
      </w:r>
      <w:r>
        <w:rPr>
          <w:rFonts w:ascii="Palatino Linotype" w:eastAsiaTheme="minorEastAsia" w:hAnsi="Palatino Linotype"/>
          <w:color w:val="222222"/>
          <w:lang w:eastAsia="es-ES_tradnl"/>
        </w:rPr>
        <w:t xml:space="preserve"> al </w:t>
      </w:r>
      <w:r>
        <w:rPr>
          <w:rFonts w:ascii="Palatino Linotype" w:eastAsiaTheme="minorEastAsia" w:hAnsi="Palatino Linotype"/>
          <w:b/>
          <w:color w:val="222222"/>
          <w:lang w:eastAsia="es-ES_tradnl"/>
        </w:rPr>
        <w:t>RECURRENTE</w:t>
      </w:r>
      <w:r>
        <w:rPr>
          <w:rFonts w:ascii="Palatino Linotype" w:eastAsiaTheme="minorEastAsia" w:hAnsi="Palatino Linotype"/>
          <w:color w:val="222222"/>
          <w:lang w:eastAsia="es-ES_tradnl"/>
        </w:rPr>
        <w:t xml:space="preserve"> la presente resolución; así como el Informe Justificado.</w:t>
      </w:r>
    </w:p>
    <w:p w:rsidR="006F53D4" w:rsidRDefault="005A7111">
      <w:pPr>
        <w:pStyle w:val="Prrafodelista"/>
        <w:widowControl w:val="0"/>
        <w:spacing w:before="120" w:after="120" w:line="360" w:lineRule="auto"/>
        <w:ind w:left="0"/>
        <w:jc w:val="both"/>
        <w:rPr>
          <w:rFonts w:ascii="Palatino Linotype" w:hAnsi="Palatino Linotype"/>
          <w:highlight w:val="white"/>
        </w:rPr>
      </w:pPr>
      <w:r>
        <w:rPr>
          <w:rFonts w:ascii="Palatino Linotype" w:hAnsi="Palatino Linotype" w:cs="Arial"/>
          <w:b/>
          <w:color w:val="000000" w:themeColor="text1"/>
          <w:sz w:val="28"/>
          <w:szCs w:val="28"/>
        </w:rPr>
        <w:t xml:space="preserve">QUINTO. </w:t>
      </w:r>
      <w:r>
        <w:rPr>
          <w:rFonts w:ascii="Palatino Linotype" w:eastAsiaTheme="minorEastAsia" w:hAnsi="Palatino Linotype"/>
          <w:b/>
          <w:color w:val="222222"/>
          <w:szCs w:val="17"/>
          <w:lang w:eastAsia="es-ES_tradn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6F53D4" w:rsidRDefault="005A7111">
      <w:pPr>
        <w:widowControl w:val="0"/>
        <w:spacing w:line="360" w:lineRule="auto"/>
        <w:jc w:val="both"/>
        <w:rPr>
          <w:rFonts w:ascii="Palatino Linotype" w:eastAsiaTheme="minorEastAsia" w:hAnsi="Palatino Linotype"/>
          <w:color w:val="222222"/>
          <w:lang w:eastAsia="es-ES_tradnl"/>
        </w:rPr>
      </w:pPr>
      <w:r>
        <w:rPr>
          <w:rFonts w:ascii="Palatino Linotype" w:hAnsi="Palatino Linotype" w:cs="Arial"/>
          <w:b/>
          <w:color w:val="000000" w:themeColor="text1"/>
          <w:sz w:val="28"/>
          <w:szCs w:val="28"/>
        </w:rPr>
        <w:t xml:space="preserve">SEXTO. </w:t>
      </w:r>
      <w:r>
        <w:rPr>
          <w:rFonts w:ascii="Palatino Linotype" w:eastAsiaTheme="minorEastAsia" w:hAnsi="Palatino Linotype"/>
          <w:b/>
          <w:color w:val="222222"/>
          <w:lang w:eastAsia="es-ES_tradnl"/>
        </w:rPr>
        <w:t>Hágase del conocimiento</w:t>
      </w:r>
      <w:r>
        <w:rPr>
          <w:rFonts w:ascii="Palatino Linotype" w:eastAsiaTheme="minorEastAsia" w:hAnsi="Palatino Linotype"/>
          <w:color w:val="222222"/>
          <w:lang w:eastAsia="es-ES_tradnl"/>
        </w:rPr>
        <w:t xml:space="preserve"> del </w:t>
      </w:r>
      <w:r>
        <w:rPr>
          <w:rFonts w:ascii="Palatino Linotype" w:eastAsiaTheme="minorEastAsia" w:hAnsi="Palatino Linotype"/>
          <w:b/>
          <w:color w:val="222222"/>
          <w:lang w:eastAsia="es-ES_tradnl"/>
        </w:rPr>
        <w:t>RECURRENTE</w:t>
      </w:r>
      <w:r>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6F53D4" w:rsidRDefault="005A7111">
      <w:pPr>
        <w:pStyle w:val="Prrafodelista"/>
        <w:widowControl w:val="0"/>
        <w:tabs>
          <w:tab w:val="left" w:pos="1701"/>
          <w:tab w:val="left" w:pos="2268"/>
        </w:tabs>
        <w:spacing w:before="120" w:after="12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 xml:space="preserve">JAVIER MARTÍNEZ CRUZ Y LUIS GUSTAVO PARRA NORIEGA </w:t>
      </w:r>
      <w:r>
        <w:rPr>
          <w:rFonts w:ascii="Palatino Linotype" w:eastAsia="Calibri" w:hAnsi="Palatino Linotype" w:cs="Arial"/>
          <w:color w:val="000000" w:themeColor="text1"/>
        </w:rPr>
        <w:t>EMITIENDO VOTO PARTICULAR</w:t>
      </w:r>
      <w:r>
        <w:rPr>
          <w:rFonts w:ascii="Palatino Linotype" w:hAnsi="Palatino Linotype" w:cs="Arial"/>
          <w:color w:val="000000" w:themeColor="text1"/>
        </w:rPr>
        <w:t>; EN LA DÉCIMA CUARTA SESIÓN ORDINARIA CELEBRADA EL DIECINUEVE DE AGOSTO DE DOS MIL VEINTE, ANTE EL SECRETARIO TÉCNICO DEL PLENO ALEXIS TAPIA RAMÍREZ.</w:t>
      </w:r>
    </w:p>
    <w:tbl>
      <w:tblPr>
        <w:tblW w:w="10368" w:type="dxa"/>
        <w:jc w:val="center"/>
        <w:tblLook w:val="04A0" w:firstRow="1" w:lastRow="0" w:firstColumn="1" w:lastColumn="0" w:noHBand="0" w:noVBand="1"/>
      </w:tblPr>
      <w:tblGrid>
        <w:gridCol w:w="5187"/>
        <w:gridCol w:w="5181"/>
      </w:tblGrid>
      <w:tr w:rsidR="006F53D4" w:rsidTr="00E25032">
        <w:trPr>
          <w:jc w:val="center"/>
        </w:trPr>
        <w:tc>
          <w:tcPr>
            <w:tcW w:w="10368" w:type="dxa"/>
            <w:gridSpan w:val="2"/>
          </w:tcPr>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6F53D4" w:rsidRDefault="005A7111">
            <w:pPr>
              <w:jc w:val="center"/>
              <w:rPr>
                <w:rFonts w:ascii="Palatino Linotype" w:hAnsi="Palatino Linotype" w:cs="Arial"/>
                <w:b/>
                <w:lang w:val="es-ES_tradnl"/>
              </w:rPr>
            </w:pPr>
            <w:r>
              <w:rPr>
                <w:rFonts w:ascii="Palatino Linotype" w:hAnsi="Palatino Linotype" w:cs="Arial"/>
                <w:b/>
                <w:lang w:val="es-ES_tradnl"/>
              </w:rPr>
              <w:t>Zulema Martínez Sánchez</w:t>
            </w:r>
          </w:p>
          <w:p w:rsidR="006F53D4" w:rsidRDefault="005A7111">
            <w:pPr>
              <w:jc w:val="center"/>
              <w:rPr>
                <w:rFonts w:ascii="Palatino Linotype" w:hAnsi="Palatino Linotype" w:cs="Arial"/>
                <w:b/>
                <w:lang w:val="es-ES_tradnl"/>
              </w:rPr>
            </w:pPr>
            <w:r>
              <w:rPr>
                <w:rFonts w:ascii="Palatino Linotype" w:hAnsi="Palatino Linotype" w:cs="Arial"/>
                <w:lang w:val="es-ES_tradnl"/>
              </w:rPr>
              <w:t>Comisionada Presidenta</w:t>
            </w:r>
          </w:p>
          <w:p w:rsidR="006F53D4" w:rsidRDefault="005A7111">
            <w:pPr>
              <w:jc w:val="center"/>
              <w:rPr>
                <w:rFonts w:ascii="Palatino Linotype" w:hAnsi="Palatino Linotype" w:cs="Arial"/>
                <w:b/>
                <w:lang w:val="es-ES_tradnl"/>
              </w:rPr>
            </w:pPr>
            <w:r>
              <w:rPr>
                <w:rFonts w:ascii="Palatino Linotype" w:hAnsi="Palatino Linotype" w:cs="Arial"/>
                <w:b/>
                <w:lang w:val="es-ES_tradnl"/>
              </w:rPr>
              <w:t>(RÚBRICA)</w:t>
            </w:r>
          </w:p>
        </w:tc>
      </w:tr>
      <w:tr w:rsidR="006F53D4" w:rsidTr="00E25032">
        <w:trPr>
          <w:jc w:val="center"/>
        </w:trPr>
        <w:tc>
          <w:tcPr>
            <w:tcW w:w="5187" w:type="dxa"/>
          </w:tcPr>
          <w:p w:rsidR="006F53D4" w:rsidRDefault="006F53D4">
            <w:pPr>
              <w:jc w:val="center"/>
              <w:rPr>
                <w:rFonts w:ascii="Palatino Linotype" w:hAnsi="Palatino Linotype" w:cs="Arial"/>
                <w:b/>
                <w:lang w:val="es-ES_tradnl"/>
              </w:rPr>
            </w:pPr>
          </w:p>
          <w:p w:rsidR="006F53D4" w:rsidRDefault="006F53D4">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6F53D4" w:rsidRDefault="005A7111">
            <w:pPr>
              <w:jc w:val="center"/>
              <w:rPr>
                <w:rFonts w:ascii="Palatino Linotype" w:hAnsi="Palatino Linotype" w:cs="Arial"/>
                <w:b/>
                <w:lang w:val="es-ES_tradnl"/>
              </w:rPr>
            </w:pPr>
            <w:r>
              <w:rPr>
                <w:rFonts w:ascii="Palatino Linotype" w:hAnsi="Palatino Linotype" w:cs="Arial"/>
                <w:b/>
                <w:lang w:val="es-ES_tradnl"/>
              </w:rPr>
              <w:t>Eva Abaid Yapur</w:t>
            </w:r>
          </w:p>
          <w:p w:rsidR="006F53D4" w:rsidRDefault="005A7111">
            <w:pPr>
              <w:jc w:val="center"/>
              <w:rPr>
                <w:rFonts w:ascii="Palatino Linotype" w:hAnsi="Palatino Linotype" w:cs="Arial"/>
                <w:lang w:val="es-ES_tradnl"/>
              </w:rPr>
            </w:pPr>
            <w:r>
              <w:rPr>
                <w:rFonts w:ascii="Palatino Linotype" w:hAnsi="Palatino Linotype" w:cs="Arial"/>
                <w:lang w:val="es-ES_tradnl"/>
              </w:rPr>
              <w:t>Comisionada</w:t>
            </w:r>
          </w:p>
          <w:p w:rsidR="006F53D4" w:rsidRDefault="005A7111">
            <w:pPr>
              <w:jc w:val="center"/>
              <w:rPr>
                <w:rFonts w:ascii="Palatino Linotype" w:hAnsi="Palatino Linotype" w:cs="Arial"/>
                <w:b/>
                <w:lang w:val="es-ES_tradnl"/>
              </w:rPr>
            </w:pPr>
            <w:r>
              <w:rPr>
                <w:rFonts w:ascii="Palatino Linotype" w:hAnsi="Palatino Linotype" w:cs="Arial"/>
                <w:b/>
                <w:lang w:val="es-ES_tradnl"/>
              </w:rPr>
              <w:t>(RÚBRICA)</w:t>
            </w:r>
          </w:p>
        </w:tc>
        <w:tc>
          <w:tcPr>
            <w:tcW w:w="5181" w:type="dxa"/>
          </w:tcPr>
          <w:p w:rsidR="006F53D4" w:rsidRDefault="006F53D4">
            <w:pPr>
              <w:jc w:val="center"/>
              <w:rPr>
                <w:rFonts w:ascii="Palatino Linotype" w:hAnsi="Palatino Linotype" w:cs="Arial"/>
                <w:b/>
                <w:lang w:val="es-ES_tradnl"/>
              </w:rPr>
            </w:pPr>
          </w:p>
          <w:p w:rsidR="006F53D4" w:rsidRDefault="006F53D4">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6F53D4" w:rsidRDefault="005A7111">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F53D4" w:rsidRDefault="005A7111">
            <w:pPr>
              <w:jc w:val="center"/>
              <w:rPr>
                <w:rFonts w:ascii="Palatino Linotype" w:hAnsi="Palatino Linotype" w:cs="Arial"/>
                <w:lang w:val="es-ES_tradnl"/>
              </w:rPr>
            </w:pPr>
            <w:r>
              <w:rPr>
                <w:rFonts w:ascii="Palatino Linotype" w:hAnsi="Palatino Linotype" w:cs="Arial"/>
                <w:lang w:val="es-ES_tradnl"/>
              </w:rPr>
              <w:t>Comisionado</w:t>
            </w:r>
          </w:p>
          <w:p w:rsidR="006F53D4" w:rsidRDefault="005A7111">
            <w:pPr>
              <w:jc w:val="center"/>
              <w:rPr>
                <w:rFonts w:ascii="Palatino Linotype" w:hAnsi="Palatino Linotype" w:cs="Arial"/>
                <w:b/>
                <w:lang w:val="es-ES_tradnl"/>
              </w:rPr>
            </w:pPr>
            <w:r>
              <w:rPr>
                <w:rFonts w:ascii="Palatino Linotype" w:hAnsi="Palatino Linotype" w:cs="Arial"/>
                <w:b/>
                <w:lang w:val="es-ES_tradnl"/>
              </w:rPr>
              <w:t>(RÚBRICA)</w:t>
            </w:r>
          </w:p>
        </w:tc>
      </w:tr>
      <w:tr w:rsidR="006F53D4" w:rsidTr="00E25032">
        <w:trPr>
          <w:jc w:val="center"/>
        </w:trPr>
        <w:tc>
          <w:tcPr>
            <w:tcW w:w="5187" w:type="dxa"/>
          </w:tcPr>
          <w:p w:rsidR="006F53D4" w:rsidRDefault="006F53D4">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6F53D4" w:rsidRDefault="006F53D4">
            <w:pPr>
              <w:rPr>
                <w:rFonts w:ascii="Palatino Linotype" w:hAnsi="Palatino Linotype" w:cs="Arial"/>
                <w:b/>
                <w:lang w:val="es-ES_tradnl"/>
              </w:rPr>
            </w:pPr>
          </w:p>
          <w:p w:rsidR="006F53D4" w:rsidRDefault="005A7111">
            <w:pPr>
              <w:jc w:val="center"/>
              <w:rPr>
                <w:rFonts w:ascii="Palatino Linotype" w:hAnsi="Palatino Linotype" w:cs="Arial"/>
                <w:b/>
                <w:lang w:val="es-ES_tradnl"/>
              </w:rPr>
            </w:pPr>
            <w:r>
              <w:rPr>
                <w:rFonts w:ascii="Palatino Linotype" w:hAnsi="Palatino Linotype" w:cs="Arial"/>
                <w:b/>
                <w:lang w:val="es-ES_tradnl"/>
              </w:rPr>
              <w:t>Javier Martínez Cruz</w:t>
            </w:r>
          </w:p>
          <w:p w:rsidR="006F53D4" w:rsidRDefault="005A7111">
            <w:pPr>
              <w:jc w:val="center"/>
              <w:rPr>
                <w:rFonts w:ascii="Palatino Linotype" w:hAnsi="Palatino Linotype" w:cs="Arial"/>
                <w:lang w:val="es-ES_tradnl"/>
              </w:rPr>
            </w:pPr>
            <w:r>
              <w:rPr>
                <w:rFonts w:ascii="Palatino Linotype" w:hAnsi="Palatino Linotype" w:cs="Arial"/>
                <w:lang w:val="es-ES_tradnl"/>
              </w:rPr>
              <w:t>Comisionado</w:t>
            </w:r>
          </w:p>
          <w:p w:rsidR="006F53D4" w:rsidRDefault="005A7111">
            <w:pPr>
              <w:jc w:val="center"/>
              <w:rPr>
                <w:rFonts w:ascii="Palatino Linotype" w:hAnsi="Palatino Linotype" w:cs="Arial"/>
                <w:b/>
                <w:lang w:val="es-ES_tradnl"/>
              </w:rPr>
            </w:pPr>
            <w:r>
              <w:rPr>
                <w:rFonts w:ascii="Palatino Linotype" w:hAnsi="Palatino Linotype" w:cs="Arial"/>
                <w:b/>
                <w:lang w:val="es-ES_tradnl"/>
              </w:rPr>
              <w:t>(RÚBRICA)</w:t>
            </w:r>
          </w:p>
        </w:tc>
        <w:tc>
          <w:tcPr>
            <w:tcW w:w="5181" w:type="dxa"/>
          </w:tcPr>
          <w:p w:rsidR="006F53D4" w:rsidRDefault="006F53D4">
            <w:pPr>
              <w:jc w:val="center"/>
              <w:rPr>
                <w:rFonts w:ascii="Palatino Linotype" w:hAnsi="Palatino Linotype" w:cs="Arial"/>
                <w:b/>
                <w:lang w:val="es-ES_tradnl"/>
              </w:rPr>
            </w:pPr>
          </w:p>
          <w:p w:rsidR="006F53D4" w:rsidRDefault="006F53D4">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6F53D4" w:rsidRDefault="005A7111">
            <w:pPr>
              <w:jc w:val="center"/>
              <w:rPr>
                <w:rFonts w:ascii="Palatino Linotype" w:hAnsi="Palatino Linotype" w:cs="Arial"/>
                <w:b/>
                <w:lang w:val="es-ES_tradnl"/>
              </w:rPr>
            </w:pPr>
            <w:r>
              <w:rPr>
                <w:rFonts w:ascii="Palatino Linotype" w:hAnsi="Palatino Linotype" w:cs="Arial"/>
                <w:b/>
                <w:lang w:val="es-ES_tradnl"/>
              </w:rPr>
              <w:t>Luis Gustavo Parra Noriega</w:t>
            </w:r>
          </w:p>
          <w:p w:rsidR="006F53D4" w:rsidRDefault="005A7111">
            <w:pPr>
              <w:jc w:val="center"/>
              <w:rPr>
                <w:rFonts w:ascii="Palatino Linotype" w:hAnsi="Palatino Linotype" w:cs="Arial"/>
                <w:lang w:val="es-ES_tradnl"/>
              </w:rPr>
            </w:pPr>
            <w:r>
              <w:rPr>
                <w:rFonts w:ascii="Palatino Linotype" w:hAnsi="Palatino Linotype" w:cs="Arial"/>
                <w:lang w:val="es-ES_tradnl"/>
              </w:rPr>
              <w:t>Comisionado</w:t>
            </w:r>
          </w:p>
          <w:p w:rsidR="006F53D4" w:rsidRDefault="005A7111" w:rsidP="00E25032">
            <w:pPr>
              <w:jc w:val="center"/>
              <w:rPr>
                <w:rFonts w:ascii="Palatino Linotype" w:hAnsi="Palatino Linotype" w:cs="Arial"/>
                <w:b/>
                <w:lang w:val="es-ES_tradnl"/>
              </w:rPr>
            </w:pPr>
            <w:r>
              <w:rPr>
                <w:rFonts w:ascii="Palatino Linotype" w:hAnsi="Palatino Linotype" w:cs="Arial"/>
                <w:b/>
                <w:lang w:val="es-ES_tradnl"/>
              </w:rPr>
              <w:t>(RÚBRICA)</w:t>
            </w:r>
          </w:p>
        </w:tc>
      </w:tr>
      <w:tr w:rsidR="006F53D4" w:rsidTr="00E25032">
        <w:trPr>
          <w:jc w:val="center"/>
        </w:trPr>
        <w:tc>
          <w:tcPr>
            <w:tcW w:w="10368" w:type="dxa"/>
            <w:gridSpan w:val="2"/>
          </w:tcPr>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E25032" w:rsidRDefault="00E25032">
            <w:pPr>
              <w:jc w:val="center"/>
              <w:rPr>
                <w:rFonts w:ascii="Palatino Linotype" w:hAnsi="Palatino Linotype" w:cs="Arial"/>
                <w:b/>
                <w:lang w:val="es-ES_tradnl"/>
              </w:rPr>
            </w:pPr>
          </w:p>
          <w:p w:rsidR="006F53D4" w:rsidRDefault="005A7111">
            <w:pPr>
              <w:jc w:val="center"/>
              <w:rPr>
                <w:rFonts w:ascii="Palatino Linotype" w:hAnsi="Palatino Linotype" w:cs="Arial"/>
                <w:b/>
                <w:lang w:val="es-ES_tradnl"/>
              </w:rPr>
            </w:pPr>
            <w:r>
              <w:rPr>
                <w:rFonts w:ascii="Palatino Linotype" w:hAnsi="Palatino Linotype" w:cs="Arial"/>
                <w:b/>
                <w:lang w:val="es-ES_tradnl"/>
              </w:rPr>
              <w:t>Alexis Tapia Ramírez</w:t>
            </w:r>
          </w:p>
          <w:p w:rsidR="006F53D4" w:rsidRDefault="005A7111">
            <w:pPr>
              <w:jc w:val="center"/>
              <w:rPr>
                <w:rFonts w:ascii="Palatino Linotype" w:hAnsi="Palatino Linotype" w:cs="Arial"/>
                <w:lang w:val="es-ES_tradnl"/>
              </w:rPr>
            </w:pPr>
            <w:r>
              <w:rPr>
                <w:rFonts w:ascii="Palatino Linotype" w:hAnsi="Palatino Linotype" w:cs="Arial"/>
                <w:lang w:val="es-ES_tradnl"/>
              </w:rPr>
              <w:t>Secretario Técnico del Pleno</w:t>
            </w:r>
          </w:p>
          <w:p w:rsidR="006F53D4" w:rsidRDefault="005A7111">
            <w:pPr>
              <w:jc w:val="center"/>
              <w:rPr>
                <w:rFonts w:ascii="Palatino Linotype" w:hAnsi="Palatino Linotype" w:cs="Arial"/>
                <w:lang w:val="es-ES_tradnl"/>
              </w:rPr>
            </w:pPr>
            <w:r>
              <w:rPr>
                <w:rFonts w:ascii="Palatino Linotype" w:hAnsi="Palatino Linotype" w:cs="Arial"/>
                <w:b/>
                <w:lang w:val="es-ES_tradnl"/>
              </w:rPr>
              <w:t>(RÚBRICA)</w:t>
            </w:r>
          </w:p>
        </w:tc>
      </w:tr>
    </w:tbl>
    <w:p w:rsidR="006F53D4" w:rsidRDefault="006F53D4">
      <w:pPr>
        <w:ind w:right="49"/>
        <w:jc w:val="both"/>
        <w:rPr>
          <w:rFonts w:ascii="Palatino Linotype" w:hAnsi="Palatino Linotype"/>
          <w:sz w:val="20"/>
          <w:lang w:val="es-ES_tradnl"/>
        </w:rPr>
      </w:pPr>
    </w:p>
    <w:p w:rsidR="006F53D4" w:rsidRDefault="005A7111">
      <w:pPr>
        <w:ind w:right="49"/>
        <w:jc w:val="both"/>
        <w:rPr>
          <w:rFonts w:ascii="Palatino Linotype" w:hAnsi="Palatino Linotype"/>
          <w:sz w:val="20"/>
          <w:lang w:val="es-ES_tradnl"/>
        </w:rPr>
      </w:pPr>
      <w:r>
        <w:rPr>
          <w:rFonts w:ascii="Palatino Linotype" w:hAnsi="Palatino Linotype"/>
          <w:sz w:val="20"/>
          <w:lang w:val="es-ES_tradnl"/>
        </w:rPr>
        <w:t>Esta hoja corresponde a la resolución del diecinueve de agosto de dos mil veinte, emitida en el recurso de revisión 01337/INFOEM/IP/RR/2020.</w:t>
      </w:r>
    </w:p>
    <w:p w:rsidR="006F53D4" w:rsidRDefault="005A7111">
      <w:pPr>
        <w:spacing w:beforeAutospacing="1" w:afterAutospacing="1" w:line="360" w:lineRule="auto"/>
        <w:ind w:right="49"/>
        <w:jc w:val="both"/>
        <w:rPr>
          <w:rFonts w:ascii="Palatino Linotype" w:hAnsi="Palatino Linotype" w:cs="Arial"/>
        </w:rPr>
      </w:pPr>
      <w:r>
        <w:rPr>
          <w:rFonts w:ascii="Palatino Linotype" w:hAnsi="Palatino Linotype" w:cs="Arial"/>
          <w:sz w:val="20"/>
          <w:szCs w:val="20"/>
          <w:lang w:val="es-ES_tradnl"/>
        </w:rPr>
        <w:t>YSM/LAGO</w:t>
      </w:r>
    </w:p>
    <w:sectPr w:rsidR="006F53D4">
      <w:headerReference w:type="default" r:id="rId12"/>
      <w:footerReference w:type="default" r:id="rId13"/>
      <w:headerReference w:type="first" r:id="rId14"/>
      <w:footerReference w:type="first" r:id="rId1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111" w:rsidRDefault="005A7111">
      <w:r>
        <w:separator/>
      </w:r>
    </w:p>
  </w:endnote>
  <w:endnote w:type="continuationSeparator" w:id="0">
    <w:p w:rsidR="005A7111" w:rsidRDefault="005A7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3D4" w:rsidRDefault="005A7111">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F32BF">
      <w:rPr>
        <w:rFonts w:ascii="Palatino Linotype" w:hAnsi="Palatino Linotype" w:cs="Arial"/>
        <w:bCs/>
        <w:noProof/>
        <w:sz w:val="22"/>
        <w:szCs w:val="22"/>
      </w:rPr>
      <w:t>32</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F32BF">
      <w:rPr>
        <w:rFonts w:ascii="Palatino Linotype" w:hAnsi="Palatino Linotype" w:cs="Arial"/>
        <w:bCs/>
        <w:noProof/>
        <w:sz w:val="22"/>
        <w:szCs w:val="22"/>
      </w:rPr>
      <w:t>34</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3D4" w:rsidRDefault="005A7111">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F32BF">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F32BF">
      <w:rPr>
        <w:rFonts w:ascii="Palatino Linotype" w:hAnsi="Palatino Linotype" w:cs="Arial"/>
        <w:bCs/>
        <w:noProof/>
        <w:sz w:val="22"/>
        <w:szCs w:val="22"/>
      </w:rPr>
      <w:t>34</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111" w:rsidRDefault="005A7111">
      <w:r>
        <w:separator/>
      </w:r>
    </w:p>
  </w:footnote>
  <w:footnote w:type="continuationSeparator" w:id="0">
    <w:p w:rsidR="005A7111" w:rsidRDefault="005A7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3D4" w:rsidRDefault="005A7111">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3" behindDoc="1" locked="0" layoutInCell="1" allowOverlap="1">
          <wp:simplePos x="0" y="0"/>
          <wp:positionH relativeFrom="column">
            <wp:align>center</wp:align>
          </wp:positionH>
          <wp:positionV relativeFrom="margin">
            <wp:align>center</wp:align>
          </wp:positionV>
          <wp:extent cx="6858635" cy="9144635"/>
          <wp:effectExtent l="0" t="0" r="0" b="0"/>
          <wp:wrapNone/>
          <wp:docPr id="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3"/>
      <w:gridCol w:w="2557"/>
      <w:gridCol w:w="3724"/>
    </w:tblGrid>
    <w:tr w:rsidR="006F53D4">
      <w:tc>
        <w:tcPr>
          <w:tcW w:w="3253" w:type="dxa"/>
          <w:vMerge w:val="restart"/>
        </w:tcPr>
        <w:p w:rsidR="006F53D4" w:rsidRDefault="005A7111">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rsidR="006F53D4" w:rsidRDefault="005A711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6F53D4" w:rsidRDefault="005A7111">
          <w:pPr>
            <w:rPr>
              <w:rFonts w:ascii="Palatino Linotype" w:hAnsi="Palatino Linotype"/>
              <w:b/>
              <w:color w:val="808080" w:themeColor="background1" w:themeShade="80"/>
              <w:lang w:val="es-ES_tradnl"/>
            </w:rPr>
          </w:pPr>
          <w:r>
            <w:rPr>
              <w:rFonts w:ascii="Palatino Linotype" w:hAnsi="Palatino Linotype"/>
              <w:b/>
              <w:lang w:val="es-ES_tradnl"/>
            </w:rPr>
            <w:t>01337/INFOEM/IP/RR/2020</w:t>
          </w:r>
        </w:p>
      </w:tc>
    </w:tr>
    <w:tr w:rsidR="006F53D4">
      <w:tc>
        <w:tcPr>
          <w:tcW w:w="3253" w:type="dxa"/>
          <w:vMerge/>
        </w:tcPr>
        <w:p w:rsidR="006F53D4" w:rsidRDefault="006F53D4">
          <w:pPr>
            <w:rPr>
              <w:rFonts w:ascii="Palatino Linotype" w:hAnsi="Palatino Linotype"/>
              <w:b/>
              <w:sz w:val="22"/>
              <w:szCs w:val="22"/>
              <w:lang w:val="es-ES_tradnl"/>
            </w:rPr>
          </w:pPr>
        </w:p>
      </w:tc>
      <w:tc>
        <w:tcPr>
          <w:tcW w:w="2557" w:type="dxa"/>
          <w:shd w:val="clear" w:color="auto" w:fill="auto"/>
        </w:tcPr>
        <w:p w:rsidR="006F53D4" w:rsidRDefault="005A711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6F53D4" w:rsidRDefault="005A7111">
          <w:pPr>
            <w:rPr>
              <w:rFonts w:ascii="Palatino Linotype" w:hAnsi="Palatino Linotype"/>
              <w:b/>
              <w:color w:val="808080" w:themeColor="background1" w:themeShade="80"/>
              <w:lang w:val="es-ES_tradnl"/>
            </w:rPr>
          </w:pPr>
          <w:r>
            <w:rPr>
              <w:rFonts w:ascii="Palatino Linotype" w:hAnsi="Palatino Linotype"/>
              <w:b/>
              <w:lang w:val="es-ES_tradnl"/>
            </w:rPr>
            <w:t>Universidad Autónoma del Estado de México</w:t>
          </w:r>
        </w:p>
      </w:tc>
    </w:tr>
    <w:tr w:rsidR="006F53D4">
      <w:trPr>
        <w:trHeight w:val="228"/>
      </w:trPr>
      <w:tc>
        <w:tcPr>
          <w:tcW w:w="3253" w:type="dxa"/>
          <w:vMerge/>
        </w:tcPr>
        <w:p w:rsidR="006F53D4" w:rsidRDefault="006F53D4">
          <w:pPr>
            <w:rPr>
              <w:rFonts w:ascii="Palatino Linotype" w:hAnsi="Palatino Linotype"/>
              <w:b/>
              <w:sz w:val="22"/>
              <w:szCs w:val="22"/>
              <w:lang w:val="es-ES_tradnl"/>
            </w:rPr>
          </w:pPr>
        </w:p>
      </w:tc>
      <w:tc>
        <w:tcPr>
          <w:tcW w:w="2557" w:type="dxa"/>
          <w:shd w:val="clear" w:color="auto" w:fill="auto"/>
        </w:tcPr>
        <w:p w:rsidR="006F53D4" w:rsidRDefault="005A711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6F53D4" w:rsidRDefault="005A7111">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F53D4" w:rsidRDefault="006F53D4">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3D4" w:rsidRDefault="005A7111">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34"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6F53D4">
      <w:tc>
        <w:tcPr>
          <w:tcW w:w="4250" w:type="dxa"/>
          <w:vMerge w:val="restart"/>
          <w:shd w:val="clear" w:color="auto" w:fill="auto"/>
        </w:tcPr>
        <w:p w:rsidR="006F53D4" w:rsidRDefault="005A7111">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6F53D4" w:rsidRDefault="005A711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6F53D4" w:rsidRDefault="005A7111">
          <w:pPr>
            <w:rPr>
              <w:rFonts w:ascii="Palatino Linotype" w:hAnsi="Palatino Linotype"/>
              <w:b/>
              <w:color w:val="808080" w:themeColor="background1" w:themeShade="80"/>
              <w:lang w:val="es-ES_tradnl"/>
            </w:rPr>
          </w:pPr>
          <w:r>
            <w:rPr>
              <w:rFonts w:ascii="Palatino Linotype" w:hAnsi="Palatino Linotype"/>
              <w:b/>
              <w:lang w:val="es-ES_tradnl"/>
            </w:rPr>
            <w:t xml:space="preserve">01337/INFOEM/IP/RR/2020 </w:t>
          </w:r>
        </w:p>
      </w:tc>
    </w:tr>
    <w:tr w:rsidR="006F53D4">
      <w:tc>
        <w:tcPr>
          <w:tcW w:w="4250" w:type="dxa"/>
          <w:vMerge/>
          <w:shd w:val="clear" w:color="auto" w:fill="auto"/>
        </w:tcPr>
        <w:p w:rsidR="006F53D4" w:rsidRDefault="006F53D4">
          <w:pPr>
            <w:rPr>
              <w:rFonts w:ascii="Palatino Linotype" w:hAnsi="Palatino Linotype"/>
              <w:b/>
              <w:sz w:val="22"/>
              <w:szCs w:val="22"/>
              <w:lang w:val="es-ES_tradnl"/>
            </w:rPr>
          </w:pPr>
        </w:p>
      </w:tc>
      <w:tc>
        <w:tcPr>
          <w:tcW w:w="2548" w:type="dxa"/>
          <w:shd w:val="clear" w:color="auto" w:fill="auto"/>
        </w:tcPr>
        <w:p w:rsidR="006F53D4" w:rsidRDefault="005A7111">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6F53D4" w:rsidRDefault="009F32BF">
          <w:pPr>
            <w:rPr>
              <w:rFonts w:ascii="Palatino Linotype" w:hAnsi="Palatino Linotype"/>
              <w:b/>
              <w:color w:val="808080" w:themeColor="background1" w:themeShade="80"/>
              <w:lang w:val="es-ES_tradnl"/>
            </w:rPr>
          </w:pPr>
          <w:r>
            <w:rPr>
              <w:rFonts w:ascii="Palatino Linotype" w:hAnsi="Palatino Linotype"/>
              <w:b/>
              <w:lang w:val="es-ES_tradnl"/>
            </w:rPr>
            <w:t>Xxxxxx</w:t>
          </w:r>
          <w:r w:rsidR="005A7111">
            <w:rPr>
              <w:rFonts w:ascii="Palatino Linotype" w:hAnsi="Palatino Linotype"/>
              <w:b/>
              <w:lang w:val="es-ES_tradnl"/>
            </w:rPr>
            <w:t xml:space="preserve"> </w:t>
          </w:r>
          <w:r>
            <w:rPr>
              <w:rFonts w:ascii="Palatino Linotype" w:hAnsi="Palatino Linotype"/>
              <w:b/>
              <w:lang w:val="es-ES_tradnl"/>
            </w:rPr>
            <w:t>Xxxxxxxx</w:t>
          </w:r>
          <w:r w:rsidR="005A7111">
            <w:rPr>
              <w:rFonts w:ascii="Palatino Linotype" w:hAnsi="Palatino Linotype"/>
              <w:b/>
              <w:lang w:val="es-ES_tradnl"/>
            </w:rPr>
            <w:t xml:space="preserve"> </w:t>
          </w:r>
          <w:r>
            <w:rPr>
              <w:rFonts w:ascii="Palatino Linotype" w:hAnsi="Palatino Linotype"/>
              <w:b/>
              <w:lang w:val="es-ES_tradnl"/>
            </w:rPr>
            <w:t>Xxxxx</w:t>
          </w:r>
        </w:p>
      </w:tc>
    </w:tr>
    <w:tr w:rsidR="006F53D4">
      <w:trPr>
        <w:trHeight w:val="228"/>
      </w:trPr>
      <w:tc>
        <w:tcPr>
          <w:tcW w:w="4250" w:type="dxa"/>
          <w:vMerge/>
          <w:shd w:val="clear" w:color="auto" w:fill="auto"/>
        </w:tcPr>
        <w:p w:rsidR="006F53D4" w:rsidRDefault="006F53D4">
          <w:pPr>
            <w:rPr>
              <w:rFonts w:ascii="Palatino Linotype" w:hAnsi="Palatino Linotype"/>
              <w:b/>
              <w:sz w:val="22"/>
              <w:szCs w:val="22"/>
              <w:lang w:val="es-ES_tradnl"/>
            </w:rPr>
          </w:pPr>
        </w:p>
      </w:tc>
      <w:tc>
        <w:tcPr>
          <w:tcW w:w="2548" w:type="dxa"/>
          <w:shd w:val="clear" w:color="auto" w:fill="auto"/>
        </w:tcPr>
        <w:p w:rsidR="006F53D4" w:rsidRDefault="005A711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6F53D4" w:rsidRDefault="005A7111">
          <w:pPr>
            <w:ind w:right="181"/>
            <w:jc w:val="both"/>
            <w:rPr>
              <w:rFonts w:ascii="Palatino Linotype" w:hAnsi="Palatino Linotype"/>
              <w:b/>
              <w:color w:val="808080" w:themeColor="background1" w:themeShade="80"/>
              <w:lang w:val="es-ES_tradnl"/>
            </w:rPr>
          </w:pPr>
          <w:r>
            <w:rPr>
              <w:rFonts w:ascii="Palatino Linotype" w:hAnsi="Palatino Linotype"/>
              <w:b/>
              <w:lang w:val="es-ES_tradnl"/>
            </w:rPr>
            <w:t>Universidad Autónoma del Estado de México</w:t>
          </w:r>
        </w:p>
      </w:tc>
    </w:tr>
    <w:tr w:rsidR="006F53D4">
      <w:tc>
        <w:tcPr>
          <w:tcW w:w="4250" w:type="dxa"/>
          <w:vMerge/>
          <w:shd w:val="clear" w:color="auto" w:fill="auto"/>
        </w:tcPr>
        <w:p w:rsidR="006F53D4" w:rsidRDefault="006F53D4">
          <w:pPr>
            <w:rPr>
              <w:rFonts w:ascii="Palatino Linotype" w:hAnsi="Palatino Linotype"/>
              <w:b/>
              <w:sz w:val="22"/>
              <w:szCs w:val="22"/>
              <w:lang w:val="es-ES_tradnl"/>
            </w:rPr>
          </w:pPr>
        </w:p>
      </w:tc>
      <w:tc>
        <w:tcPr>
          <w:tcW w:w="2548" w:type="dxa"/>
          <w:shd w:val="clear" w:color="auto" w:fill="auto"/>
        </w:tcPr>
        <w:p w:rsidR="006F53D4" w:rsidRDefault="005A711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6F53D4" w:rsidRDefault="005A7111">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F53D4" w:rsidRDefault="006F53D4">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627FC"/>
    <w:multiLevelType w:val="multilevel"/>
    <w:tmpl w:val="3C7836C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7072084"/>
    <w:multiLevelType w:val="multilevel"/>
    <w:tmpl w:val="401E4E9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3D4"/>
    <w:rsid w:val="005A7111"/>
    <w:rsid w:val="006F53D4"/>
    <w:rsid w:val="009F32BF"/>
    <w:rsid w:val="00E25032"/>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686EBE-ADBE-4CC0-8127-2C1CA5F9D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EFA0D-95AD-4197-9E32-32CA31822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7799</Words>
  <Characters>42900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50598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 alberto guadarrama olivares</cp:lastModifiedBy>
  <cp:revision>2</cp:revision>
  <cp:lastPrinted>2020-01-22T19:55:00Z</cp:lastPrinted>
  <dcterms:created xsi:type="dcterms:W3CDTF">2020-08-27T19:43:00Z</dcterms:created>
  <dcterms:modified xsi:type="dcterms:W3CDTF">2020-08-27T19:43:00Z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