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4081" w14:textId="27D105DB" w:rsidR="009B6274" w:rsidRPr="00E42F34" w:rsidRDefault="00554DF4" w:rsidP="00864DD8">
      <w:pPr>
        <w:tabs>
          <w:tab w:val="center" w:pos="4394"/>
        </w:tabs>
        <w:spacing w:line="360" w:lineRule="auto"/>
        <w:rPr>
          <w:rFonts w:ascii="Palatino Linotype" w:eastAsia="Times New Roman" w:hAnsi="Palatino Linotype" w:cs="Times New Roman"/>
          <w:b/>
        </w:rPr>
      </w:pPr>
      <w:r w:rsidRPr="00E42F34">
        <w:rPr>
          <w:rFonts w:ascii="Palatino Linotype" w:eastAsia="Times New Roman" w:hAnsi="Palatino Linotype" w:cs="Times New Roman"/>
          <w:b/>
        </w:rPr>
        <w:t>LÍNEAS ARGUMENTATIVAS</w:t>
      </w:r>
      <w:r w:rsidR="00864DD8" w:rsidRPr="00E42F34">
        <w:rPr>
          <w:rFonts w:ascii="Palatino Linotype" w:eastAsia="Times New Roman" w:hAnsi="Palatino Linotype" w:cs="Times New Roman"/>
          <w:b/>
        </w:rPr>
        <w:tab/>
      </w:r>
    </w:p>
    <w:p w14:paraId="18DA5DC1" w14:textId="77777777" w:rsidR="00864DD8" w:rsidRPr="00E42F34" w:rsidRDefault="00864DD8" w:rsidP="00864DD8">
      <w:pPr>
        <w:tabs>
          <w:tab w:val="center" w:pos="4394"/>
        </w:tabs>
        <w:spacing w:line="360" w:lineRule="auto"/>
        <w:rPr>
          <w:rFonts w:ascii="Palatino Linotype" w:eastAsia="Times New Roman" w:hAnsi="Palatino Linotype" w:cs="Times New Roman"/>
          <w:b/>
        </w:rPr>
      </w:pPr>
    </w:p>
    <w:p w14:paraId="41D94322" w14:textId="77777777" w:rsidR="00864DD8" w:rsidRPr="00E42F34" w:rsidRDefault="00864DD8" w:rsidP="00864DD8">
      <w:pPr>
        <w:spacing w:line="360" w:lineRule="auto"/>
        <w:jc w:val="both"/>
        <w:rPr>
          <w:rFonts w:ascii="Palatino Linotype" w:eastAsia="Arial Unicode MS" w:hAnsi="Palatino Linotype" w:cs="Arial"/>
        </w:rPr>
      </w:pPr>
      <w:r w:rsidRPr="00E42F34">
        <w:rPr>
          <w:rFonts w:ascii="Palatino Linotype" w:hAnsi="Palatino Linotype"/>
          <w:b/>
        </w:rPr>
        <w:t>DEBER DE EXPLICAR LA INEXISTENCIA DE INFORMACIÓN</w:t>
      </w:r>
      <w:r w:rsidRPr="00E42F34">
        <w:rPr>
          <w:rFonts w:ascii="Palatino Linotype" w:hAnsi="Palatino Linotype"/>
        </w:rPr>
        <w:t>.</w:t>
      </w:r>
      <w:r w:rsidRPr="00E42F34">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35F4AF39" w14:textId="08D58D76" w:rsidR="001D1714" w:rsidRPr="00E42F34" w:rsidRDefault="009B6274" w:rsidP="009B6274">
      <w:pPr>
        <w:spacing w:before="240" w:after="240" w:line="360" w:lineRule="auto"/>
        <w:jc w:val="both"/>
        <w:rPr>
          <w:rFonts w:ascii="Palatino Linotype" w:eastAsia="Times New Roman" w:hAnsi="Palatino Linotype" w:cs="Times New Roman"/>
          <w:b/>
        </w:rPr>
      </w:pPr>
      <w:r w:rsidRPr="00E42F34">
        <w:rPr>
          <w:rFonts w:ascii="Palatino Linotype" w:eastAsia="Calibri" w:hAnsi="Palatino Linotype" w:cs="Arial"/>
          <w:b/>
          <w:szCs w:val="22"/>
          <w:lang w:val="es-ES" w:eastAsia="es-MX"/>
        </w:rPr>
        <w:t>DE LAS FORMALIDADES LEGALES DE LA CLASIFICACIÓN DE LA INFORMACIÓN.</w:t>
      </w:r>
      <w:r w:rsidRPr="00E42F34">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42F34">
        <w:rPr>
          <w:rFonts w:ascii="Palatino Linotype" w:eastAsia="Calibri" w:hAnsi="Palatino Linotype" w:cs="Arial"/>
          <w:bCs/>
          <w:lang w:val="es-MX" w:eastAsia="en-US"/>
        </w:rPr>
        <w:t xml:space="preserve"> VIII,</w:t>
      </w:r>
      <w:r w:rsidRPr="00E42F34">
        <w:rPr>
          <w:rFonts w:ascii="Palatino Linotype" w:eastAsia="Calibri" w:hAnsi="Palatino Linotype" w:cs="Arial"/>
          <w:szCs w:val="22"/>
          <w:lang w:val="es-ES" w:eastAsia="es-MX"/>
        </w:rPr>
        <w:t xml:space="preserve"> 122, 135 </w:t>
      </w:r>
      <w:r w:rsidRPr="00E42F34">
        <w:rPr>
          <w:rFonts w:ascii="Palatino Linotype" w:hAnsi="Palatino Linotype" w:cs="Arial"/>
        </w:rPr>
        <w:t>143 y 149, así como los establecido en los Lineamientos Generales en Materia de Clasificación</w:t>
      </w:r>
      <w:r w:rsidRPr="00E42F34">
        <w:rPr>
          <w:rFonts w:ascii="Palatino Linotype" w:hAnsi="Palatino Linotype"/>
        </w:rPr>
        <w:t xml:space="preserve"> </w:t>
      </w:r>
      <w:r w:rsidRPr="00E42F34">
        <w:rPr>
          <w:rFonts w:ascii="Palatino Linotype" w:hAnsi="Palatino Linotype" w:cs="Arial"/>
        </w:rPr>
        <w:t>y Desclasificación de la Información.</w:t>
      </w:r>
    </w:p>
    <w:p w14:paraId="2F3E07FE" w14:textId="77777777" w:rsidR="001D1714" w:rsidRPr="00E42F34" w:rsidRDefault="001D1714" w:rsidP="00554DF4">
      <w:pPr>
        <w:spacing w:line="360" w:lineRule="auto"/>
        <w:rPr>
          <w:rFonts w:ascii="Palatino Linotype" w:eastAsia="Times New Roman" w:hAnsi="Palatino Linotype" w:cs="Times New Roman"/>
          <w:b/>
        </w:rPr>
      </w:pPr>
    </w:p>
    <w:p w14:paraId="79C5733C" w14:textId="34EBBC6F" w:rsidR="001D1714" w:rsidRPr="00E42F34" w:rsidRDefault="001D1714" w:rsidP="00554DF4">
      <w:pPr>
        <w:spacing w:line="360" w:lineRule="auto"/>
        <w:rPr>
          <w:rFonts w:ascii="Palatino Linotype" w:eastAsia="Times New Roman" w:hAnsi="Palatino Linotype" w:cs="Times New Roman"/>
          <w:b/>
        </w:rPr>
      </w:pPr>
    </w:p>
    <w:p w14:paraId="52A8ACE3" w14:textId="71A6E207" w:rsidR="00A87192" w:rsidRPr="00E42F34" w:rsidRDefault="00A87192" w:rsidP="00554DF4">
      <w:pPr>
        <w:spacing w:line="360" w:lineRule="auto"/>
        <w:rPr>
          <w:rFonts w:ascii="Palatino Linotype" w:eastAsia="Times New Roman" w:hAnsi="Palatino Linotype" w:cs="Times New Roman"/>
          <w:b/>
        </w:rPr>
      </w:pPr>
    </w:p>
    <w:p w14:paraId="2A3A23C0" w14:textId="655C171C" w:rsidR="00825057" w:rsidRPr="00E42F34" w:rsidRDefault="00825057" w:rsidP="00554DF4">
      <w:pPr>
        <w:spacing w:line="360" w:lineRule="auto"/>
        <w:rPr>
          <w:rFonts w:ascii="Palatino Linotype" w:eastAsia="Times New Roman" w:hAnsi="Palatino Linotype" w:cs="Times New Roman"/>
          <w:b/>
        </w:rPr>
      </w:pPr>
    </w:p>
    <w:p w14:paraId="18EF7314" w14:textId="351E7AF1" w:rsidR="00825057" w:rsidRPr="00E42F34" w:rsidRDefault="00825057" w:rsidP="00554DF4">
      <w:pPr>
        <w:spacing w:line="360" w:lineRule="auto"/>
        <w:rPr>
          <w:rFonts w:ascii="Palatino Linotype" w:eastAsia="Times New Roman" w:hAnsi="Palatino Linotype" w:cs="Times New Roman"/>
          <w:b/>
        </w:rPr>
      </w:pPr>
    </w:p>
    <w:p w14:paraId="6D5F3DA0" w14:textId="79CC074D" w:rsidR="00825057" w:rsidRPr="00E42F34" w:rsidRDefault="00825057" w:rsidP="00554DF4">
      <w:pPr>
        <w:spacing w:line="360" w:lineRule="auto"/>
        <w:rPr>
          <w:rFonts w:ascii="Palatino Linotype" w:eastAsia="Times New Roman" w:hAnsi="Palatino Linotype" w:cs="Times New Roman"/>
          <w:b/>
        </w:rPr>
      </w:pPr>
    </w:p>
    <w:p w14:paraId="23410FA2" w14:textId="77777777" w:rsidR="00825057" w:rsidRPr="00E42F34" w:rsidRDefault="00825057" w:rsidP="00554DF4">
      <w:pPr>
        <w:spacing w:line="360" w:lineRule="auto"/>
        <w:rPr>
          <w:rFonts w:ascii="Palatino Linotype" w:eastAsia="Times New Roman" w:hAnsi="Palatino Linotype" w:cs="Times New Roman"/>
          <w:b/>
        </w:rPr>
      </w:pPr>
    </w:p>
    <w:p w14:paraId="223664AD" w14:textId="1BC0F9F2" w:rsidR="00A87192" w:rsidRPr="00E42F34" w:rsidRDefault="00A87192" w:rsidP="00554DF4">
      <w:pPr>
        <w:spacing w:line="360" w:lineRule="auto"/>
        <w:rPr>
          <w:rFonts w:ascii="Palatino Linotype" w:eastAsia="Times New Roman" w:hAnsi="Palatino Linotype" w:cs="Times New Roman"/>
          <w:b/>
        </w:rPr>
      </w:pPr>
    </w:p>
    <w:p w14:paraId="2F58F80A" w14:textId="77777777" w:rsidR="00554DF4" w:rsidRPr="00E42F34" w:rsidRDefault="00554DF4" w:rsidP="00554DF4">
      <w:pPr>
        <w:spacing w:before="240" w:after="240" w:line="360" w:lineRule="auto"/>
        <w:jc w:val="center"/>
        <w:rPr>
          <w:rFonts w:ascii="Palatino Linotype" w:hAnsi="Palatino Linotype"/>
        </w:rPr>
      </w:pPr>
      <w:r w:rsidRPr="00E42F34">
        <w:rPr>
          <w:rFonts w:ascii="Palatino Linotype" w:hAnsi="Palatino Linotype"/>
          <w:b/>
        </w:rPr>
        <w:lastRenderedPageBreak/>
        <w:t>Índice</w:t>
      </w:r>
      <w:r w:rsidRPr="00E42F3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E42F34" w:rsidRDefault="00554DF4" w:rsidP="00554DF4">
          <w:pPr>
            <w:pStyle w:val="TtuloTDC"/>
            <w:spacing w:line="480" w:lineRule="auto"/>
          </w:pPr>
        </w:p>
        <w:p w14:paraId="059A90D9" w14:textId="09504170" w:rsidR="00C93593" w:rsidRPr="00E42F34" w:rsidRDefault="00554DF4">
          <w:pPr>
            <w:pStyle w:val="TDC1"/>
            <w:tabs>
              <w:tab w:val="right" w:leader="dot" w:pos="8779"/>
            </w:tabs>
            <w:rPr>
              <w:noProof/>
              <w:sz w:val="22"/>
              <w:szCs w:val="22"/>
              <w:lang w:val="es-MX" w:eastAsia="es-MX"/>
            </w:rPr>
          </w:pPr>
          <w:r w:rsidRPr="00E42F34">
            <w:rPr>
              <w:rFonts w:ascii="Palatino Linotype" w:hAnsi="Palatino Linotype"/>
              <w:b/>
            </w:rPr>
            <w:fldChar w:fldCharType="begin"/>
          </w:r>
          <w:r w:rsidRPr="00E42F34">
            <w:rPr>
              <w:rFonts w:ascii="Palatino Linotype" w:hAnsi="Palatino Linotype"/>
              <w:b/>
            </w:rPr>
            <w:instrText xml:space="preserve"> TOC \o "1-3" \h \z \u </w:instrText>
          </w:r>
          <w:r w:rsidRPr="00E42F34">
            <w:rPr>
              <w:rFonts w:ascii="Palatino Linotype" w:hAnsi="Palatino Linotype"/>
              <w:b/>
            </w:rPr>
            <w:fldChar w:fldCharType="separate"/>
          </w:r>
          <w:hyperlink w:anchor="_Toc62756287" w:history="1">
            <w:r w:rsidR="00C93593" w:rsidRPr="00E42F34">
              <w:rPr>
                <w:rStyle w:val="Hipervnculo"/>
                <w:noProof/>
              </w:rPr>
              <w:t>ANTECEDENTES</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_Toc62756287 \h </w:instrText>
            </w:r>
            <w:r w:rsidR="00C93593" w:rsidRPr="00E42F34">
              <w:rPr>
                <w:noProof/>
                <w:webHidden/>
              </w:rPr>
            </w:r>
            <w:r w:rsidR="00C93593" w:rsidRPr="00E42F34">
              <w:rPr>
                <w:noProof/>
                <w:webHidden/>
              </w:rPr>
              <w:fldChar w:fldCharType="separate"/>
            </w:r>
            <w:r w:rsidR="00C93593" w:rsidRPr="00E42F34">
              <w:rPr>
                <w:noProof/>
                <w:webHidden/>
              </w:rPr>
              <w:t>3</w:t>
            </w:r>
            <w:r w:rsidR="00C93593" w:rsidRPr="00E42F34">
              <w:rPr>
                <w:noProof/>
                <w:webHidden/>
              </w:rPr>
              <w:fldChar w:fldCharType="end"/>
            </w:r>
          </w:hyperlink>
        </w:p>
        <w:p w14:paraId="15B394AD" w14:textId="45511DF5" w:rsidR="00C93593" w:rsidRPr="00E42F34" w:rsidRDefault="002C1C3C">
          <w:pPr>
            <w:pStyle w:val="TDC1"/>
            <w:tabs>
              <w:tab w:val="right" w:leader="dot" w:pos="8779"/>
            </w:tabs>
            <w:rPr>
              <w:noProof/>
              <w:sz w:val="22"/>
              <w:szCs w:val="22"/>
              <w:lang w:val="es-MX" w:eastAsia="es-MX"/>
            </w:rPr>
          </w:pPr>
          <w:hyperlink w:anchor="_Toc62756288" w:history="1">
            <w:r w:rsidR="00C93593" w:rsidRPr="00E42F34">
              <w:rPr>
                <w:rStyle w:val="Hipervnculo"/>
                <w:noProof/>
              </w:rPr>
              <w:t>CONSIDERANDO</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_Toc62756288 \h </w:instrText>
            </w:r>
            <w:r w:rsidR="00C93593" w:rsidRPr="00E42F34">
              <w:rPr>
                <w:noProof/>
                <w:webHidden/>
              </w:rPr>
            </w:r>
            <w:r w:rsidR="00C93593" w:rsidRPr="00E42F34">
              <w:rPr>
                <w:noProof/>
                <w:webHidden/>
              </w:rPr>
              <w:fldChar w:fldCharType="separate"/>
            </w:r>
            <w:r w:rsidR="00C93593" w:rsidRPr="00E42F34">
              <w:rPr>
                <w:noProof/>
                <w:webHidden/>
              </w:rPr>
              <w:t>7</w:t>
            </w:r>
            <w:r w:rsidR="00C93593" w:rsidRPr="00E42F34">
              <w:rPr>
                <w:noProof/>
                <w:webHidden/>
              </w:rPr>
              <w:fldChar w:fldCharType="end"/>
            </w:r>
          </w:hyperlink>
        </w:p>
        <w:p w14:paraId="255B5B09" w14:textId="09C663FE" w:rsidR="00C93593" w:rsidRPr="00E42F34" w:rsidRDefault="002C1C3C">
          <w:pPr>
            <w:pStyle w:val="TDC2"/>
            <w:rPr>
              <w:noProof/>
              <w:sz w:val="22"/>
              <w:szCs w:val="22"/>
              <w:lang w:val="es-MX" w:eastAsia="es-MX"/>
            </w:rPr>
          </w:pPr>
          <w:hyperlink w:anchor="_Toc62756289" w:history="1">
            <w:r w:rsidR="00C93593" w:rsidRPr="00E42F34">
              <w:rPr>
                <w:rStyle w:val="Hipervnculo"/>
                <w:rFonts w:ascii="Palatino Linotype" w:hAnsi="Palatino Linotype"/>
                <w:b/>
                <w:noProof/>
              </w:rPr>
              <w:t>PRIMERO. De la competencia</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_Toc62756289 \h </w:instrText>
            </w:r>
            <w:r w:rsidR="00C93593" w:rsidRPr="00E42F34">
              <w:rPr>
                <w:noProof/>
                <w:webHidden/>
              </w:rPr>
            </w:r>
            <w:r w:rsidR="00C93593" w:rsidRPr="00E42F34">
              <w:rPr>
                <w:noProof/>
                <w:webHidden/>
              </w:rPr>
              <w:fldChar w:fldCharType="separate"/>
            </w:r>
            <w:r w:rsidR="00C93593" w:rsidRPr="00E42F34">
              <w:rPr>
                <w:noProof/>
                <w:webHidden/>
              </w:rPr>
              <w:t>7</w:t>
            </w:r>
            <w:r w:rsidR="00C93593" w:rsidRPr="00E42F34">
              <w:rPr>
                <w:noProof/>
                <w:webHidden/>
              </w:rPr>
              <w:fldChar w:fldCharType="end"/>
            </w:r>
          </w:hyperlink>
        </w:p>
        <w:p w14:paraId="3CC025DC" w14:textId="2CD551FB" w:rsidR="00C93593" w:rsidRPr="00E42F34" w:rsidRDefault="002C1C3C">
          <w:pPr>
            <w:pStyle w:val="TDC2"/>
            <w:rPr>
              <w:noProof/>
              <w:sz w:val="22"/>
              <w:szCs w:val="22"/>
              <w:lang w:val="es-MX" w:eastAsia="es-MX"/>
            </w:rPr>
          </w:pPr>
          <w:hyperlink w:anchor="_Toc62756290" w:history="1">
            <w:r w:rsidR="00C93593" w:rsidRPr="00E42F34">
              <w:rPr>
                <w:rStyle w:val="Hipervnculo"/>
                <w:rFonts w:ascii="Palatino Linotype" w:hAnsi="Palatino Linotype"/>
                <w:b/>
                <w:noProof/>
              </w:rPr>
              <w:t>SEGUNDO. De la oportunidad y procedencia.</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_Toc62756290 \h </w:instrText>
            </w:r>
            <w:r w:rsidR="00C93593" w:rsidRPr="00E42F34">
              <w:rPr>
                <w:noProof/>
                <w:webHidden/>
              </w:rPr>
            </w:r>
            <w:r w:rsidR="00C93593" w:rsidRPr="00E42F34">
              <w:rPr>
                <w:noProof/>
                <w:webHidden/>
              </w:rPr>
              <w:fldChar w:fldCharType="separate"/>
            </w:r>
            <w:r w:rsidR="00C93593" w:rsidRPr="00E42F34">
              <w:rPr>
                <w:noProof/>
                <w:webHidden/>
              </w:rPr>
              <w:t>8</w:t>
            </w:r>
            <w:r w:rsidR="00C93593" w:rsidRPr="00E42F34">
              <w:rPr>
                <w:noProof/>
                <w:webHidden/>
              </w:rPr>
              <w:fldChar w:fldCharType="end"/>
            </w:r>
          </w:hyperlink>
        </w:p>
        <w:p w14:paraId="32794E9A" w14:textId="160C22A8" w:rsidR="00C93593" w:rsidRPr="00E42F34" w:rsidRDefault="002C1C3C">
          <w:pPr>
            <w:pStyle w:val="TDC1"/>
            <w:tabs>
              <w:tab w:val="right" w:leader="dot" w:pos="8779"/>
            </w:tabs>
            <w:rPr>
              <w:noProof/>
              <w:sz w:val="22"/>
              <w:szCs w:val="22"/>
              <w:lang w:val="es-MX" w:eastAsia="es-MX"/>
            </w:rPr>
          </w:pPr>
          <w:hyperlink w:anchor="_Toc62756291" w:history="1">
            <w:r w:rsidR="00C93593" w:rsidRPr="00E42F34">
              <w:rPr>
                <w:rStyle w:val="Hipervnculo"/>
                <w:noProof/>
              </w:rPr>
              <w:t>TERCERO. Planteamiento de la Litis.</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_Toc62756291 \h </w:instrText>
            </w:r>
            <w:r w:rsidR="00C93593" w:rsidRPr="00E42F34">
              <w:rPr>
                <w:noProof/>
                <w:webHidden/>
              </w:rPr>
            </w:r>
            <w:r w:rsidR="00C93593" w:rsidRPr="00E42F34">
              <w:rPr>
                <w:noProof/>
                <w:webHidden/>
              </w:rPr>
              <w:fldChar w:fldCharType="separate"/>
            </w:r>
            <w:r w:rsidR="00C93593" w:rsidRPr="00E42F34">
              <w:rPr>
                <w:noProof/>
                <w:webHidden/>
              </w:rPr>
              <w:t>10</w:t>
            </w:r>
            <w:r w:rsidR="00C93593" w:rsidRPr="00E42F34">
              <w:rPr>
                <w:noProof/>
                <w:webHidden/>
              </w:rPr>
              <w:fldChar w:fldCharType="end"/>
            </w:r>
          </w:hyperlink>
        </w:p>
        <w:p w14:paraId="72C93013" w14:textId="260304D6" w:rsidR="00C93593" w:rsidRPr="00E42F34" w:rsidRDefault="002C1C3C">
          <w:pPr>
            <w:pStyle w:val="TDC1"/>
            <w:tabs>
              <w:tab w:val="right" w:leader="dot" w:pos="8779"/>
            </w:tabs>
            <w:rPr>
              <w:noProof/>
              <w:sz w:val="22"/>
              <w:szCs w:val="22"/>
              <w:lang w:val="es-MX" w:eastAsia="es-MX"/>
            </w:rPr>
          </w:pPr>
          <w:hyperlink w:anchor="_Toc62756292" w:history="1">
            <w:r w:rsidR="00C93593" w:rsidRPr="00E42F34">
              <w:rPr>
                <w:rStyle w:val="Hipervnculo"/>
                <w:noProof/>
              </w:rPr>
              <w:t>CUARTO. De previo y especial pronunciamiento.</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_Toc62756292 \h </w:instrText>
            </w:r>
            <w:r w:rsidR="00C93593" w:rsidRPr="00E42F34">
              <w:rPr>
                <w:noProof/>
                <w:webHidden/>
              </w:rPr>
            </w:r>
            <w:r w:rsidR="00C93593" w:rsidRPr="00E42F34">
              <w:rPr>
                <w:noProof/>
                <w:webHidden/>
              </w:rPr>
              <w:fldChar w:fldCharType="separate"/>
            </w:r>
            <w:r w:rsidR="00C93593" w:rsidRPr="00E42F34">
              <w:rPr>
                <w:noProof/>
                <w:webHidden/>
              </w:rPr>
              <w:t>11</w:t>
            </w:r>
            <w:r w:rsidR="00C93593" w:rsidRPr="00E42F34">
              <w:rPr>
                <w:noProof/>
                <w:webHidden/>
              </w:rPr>
              <w:fldChar w:fldCharType="end"/>
            </w:r>
          </w:hyperlink>
        </w:p>
        <w:p w14:paraId="2B4649B5" w14:textId="085CD009" w:rsidR="00C93593" w:rsidRPr="00E42F34" w:rsidRDefault="002C1C3C">
          <w:pPr>
            <w:pStyle w:val="TDC1"/>
            <w:tabs>
              <w:tab w:val="right" w:leader="dot" w:pos="8779"/>
            </w:tabs>
            <w:rPr>
              <w:noProof/>
              <w:sz w:val="22"/>
              <w:szCs w:val="22"/>
              <w:lang w:val="es-MX" w:eastAsia="es-MX"/>
            </w:rPr>
          </w:pPr>
          <w:hyperlink w:anchor="_Toc62756293" w:history="1">
            <w:r w:rsidR="00C93593" w:rsidRPr="00E42F34">
              <w:rPr>
                <w:rStyle w:val="Hipervnculo"/>
                <w:noProof/>
              </w:rPr>
              <w:t>QUINTO. Estudio y resolución del asunto</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_Toc62756293 \h </w:instrText>
            </w:r>
            <w:r w:rsidR="00C93593" w:rsidRPr="00E42F34">
              <w:rPr>
                <w:noProof/>
                <w:webHidden/>
              </w:rPr>
            </w:r>
            <w:r w:rsidR="00C93593" w:rsidRPr="00E42F34">
              <w:rPr>
                <w:noProof/>
                <w:webHidden/>
              </w:rPr>
              <w:fldChar w:fldCharType="separate"/>
            </w:r>
            <w:r w:rsidR="00C93593" w:rsidRPr="00E42F34">
              <w:rPr>
                <w:noProof/>
                <w:webHidden/>
              </w:rPr>
              <w:t>16</w:t>
            </w:r>
            <w:r w:rsidR="00C93593" w:rsidRPr="00E42F34">
              <w:rPr>
                <w:noProof/>
                <w:webHidden/>
              </w:rPr>
              <w:fldChar w:fldCharType="end"/>
            </w:r>
          </w:hyperlink>
        </w:p>
        <w:p w14:paraId="42866185" w14:textId="6B2EE6C0" w:rsidR="00C93593" w:rsidRPr="00E42F34" w:rsidRDefault="002C1C3C">
          <w:pPr>
            <w:pStyle w:val="TDC3"/>
            <w:tabs>
              <w:tab w:val="right" w:leader="dot" w:pos="8779"/>
            </w:tabs>
            <w:rPr>
              <w:noProof/>
              <w:sz w:val="22"/>
              <w:szCs w:val="22"/>
              <w:lang w:val="es-MX" w:eastAsia="es-MX"/>
            </w:rPr>
          </w:pPr>
          <w:hyperlink w:anchor="_Toc62756294" w:history="1">
            <w:r w:rsidR="00C93593" w:rsidRPr="00E42F34">
              <w:rPr>
                <w:rStyle w:val="Hipervnculo"/>
                <w:rFonts w:ascii="Palatino Linotype" w:hAnsi="Palatino Linotype"/>
                <w:b/>
                <w:noProof/>
              </w:rPr>
              <w:t>I. De la manifestación del Sujeto Obligado.</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_Toc62756294 \h </w:instrText>
            </w:r>
            <w:r w:rsidR="00C93593" w:rsidRPr="00E42F34">
              <w:rPr>
                <w:noProof/>
                <w:webHidden/>
              </w:rPr>
            </w:r>
            <w:r w:rsidR="00C93593" w:rsidRPr="00E42F34">
              <w:rPr>
                <w:noProof/>
                <w:webHidden/>
              </w:rPr>
              <w:fldChar w:fldCharType="separate"/>
            </w:r>
            <w:r w:rsidR="00C93593" w:rsidRPr="00E42F34">
              <w:rPr>
                <w:noProof/>
                <w:webHidden/>
              </w:rPr>
              <w:t>16</w:t>
            </w:r>
            <w:r w:rsidR="00C93593" w:rsidRPr="00E42F34">
              <w:rPr>
                <w:noProof/>
                <w:webHidden/>
              </w:rPr>
              <w:fldChar w:fldCharType="end"/>
            </w:r>
          </w:hyperlink>
        </w:p>
        <w:p w14:paraId="38581112" w14:textId="6EA30EFF" w:rsidR="00C93593" w:rsidRPr="00E42F34" w:rsidRDefault="002C1C3C">
          <w:pPr>
            <w:pStyle w:val="TDC3"/>
            <w:tabs>
              <w:tab w:val="right" w:leader="dot" w:pos="8779"/>
            </w:tabs>
            <w:rPr>
              <w:noProof/>
              <w:sz w:val="22"/>
              <w:szCs w:val="22"/>
              <w:lang w:val="es-MX" w:eastAsia="es-MX"/>
            </w:rPr>
          </w:pPr>
          <w:hyperlink w:anchor="_Toc62756295" w:history="1">
            <w:r w:rsidR="00C93593" w:rsidRPr="00E42F34">
              <w:rPr>
                <w:rStyle w:val="Hipervnculo"/>
                <w:rFonts w:ascii="Palatino Linotype" w:hAnsi="Palatino Linotype"/>
                <w:b/>
                <w:bCs/>
                <w:noProof/>
              </w:rPr>
              <w:t>II. De la fuente obligacional.</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_Toc62756295 \h </w:instrText>
            </w:r>
            <w:r w:rsidR="00C93593" w:rsidRPr="00E42F34">
              <w:rPr>
                <w:noProof/>
                <w:webHidden/>
              </w:rPr>
            </w:r>
            <w:r w:rsidR="00C93593" w:rsidRPr="00E42F34">
              <w:rPr>
                <w:noProof/>
                <w:webHidden/>
              </w:rPr>
              <w:fldChar w:fldCharType="separate"/>
            </w:r>
            <w:r w:rsidR="00C93593" w:rsidRPr="00E42F34">
              <w:rPr>
                <w:noProof/>
                <w:webHidden/>
              </w:rPr>
              <w:t>17</w:t>
            </w:r>
            <w:r w:rsidR="00C93593" w:rsidRPr="00E42F34">
              <w:rPr>
                <w:noProof/>
                <w:webHidden/>
              </w:rPr>
              <w:fldChar w:fldCharType="end"/>
            </w:r>
          </w:hyperlink>
        </w:p>
        <w:p w14:paraId="2593ACA4" w14:textId="102FE33C" w:rsidR="00C93593" w:rsidRPr="00E42F34" w:rsidRDefault="002C1C3C">
          <w:pPr>
            <w:pStyle w:val="TDC3"/>
            <w:tabs>
              <w:tab w:val="right" w:leader="dot" w:pos="8779"/>
            </w:tabs>
            <w:rPr>
              <w:noProof/>
              <w:sz w:val="22"/>
              <w:szCs w:val="22"/>
              <w:lang w:val="es-MX" w:eastAsia="es-MX"/>
            </w:rPr>
          </w:pPr>
          <w:hyperlink w:anchor="_Toc62756296" w:history="1">
            <w:r w:rsidR="00C93593" w:rsidRPr="00E42F34">
              <w:rPr>
                <w:rStyle w:val="Hipervnculo"/>
                <w:rFonts w:ascii="Palatino Linotype" w:hAnsi="Palatino Linotype"/>
                <w:b/>
                <w:noProof/>
              </w:rPr>
              <w:t>III. De la inexistencia.</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_Toc62756296 \h </w:instrText>
            </w:r>
            <w:r w:rsidR="00C93593" w:rsidRPr="00E42F34">
              <w:rPr>
                <w:noProof/>
                <w:webHidden/>
              </w:rPr>
            </w:r>
            <w:r w:rsidR="00C93593" w:rsidRPr="00E42F34">
              <w:rPr>
                <w:noProof/>
                <w:webHidden/>
              </w:rPr>
              <w:fldChar w:fldCharType="separate"/>
            </w:r>
            <w:r w:rsidR="00C93593" w:rsidRPr="00E42F34">
              <w:rPr>
                <w:noProof/>
                <w:webHidden/>
              </w:rPr>
              <w:t>26</w:t>
            </w:r>
            <w:r w:rsidR="00C93593" w:rsidRPr="00E42F34">
              <w:rPr>
                <w:noProof/>
                <w:webHidden/>
              </w:rPr>
              <w:fldChar w:fldCharType="end"/>
            </w:r>
          </w:hyperlink>
        </w:p>
        <w:p w14:paraId="2D52E5E6" w14:textId="1A5149A5" w:rsidR="00C93593" w:rsidRPr="00E42F34" w:rsidRDefault="002C1C3C">
          <w:pPr>
            <w:pStyle w:val="TDC2"/>
            <w:rPr>
              <w:noProof/>
              <w:sz w:val="22"/>
              <w:szCs w:val="22"/>
              <w:lang w:val="es-MX" w:eastAsia="es-MX"/>
            </w:rPr>
          </w:pPr>
          <w:hyperlink w:anchor="_Toc62756297" w:history="1">
            <w:r w:rsidR="00C93593" w:rsidRPr="00E42F34">
              <w:rPr>
                <w:rStyle w:val="Hipervnculo"/>
                <w:rFonts w:ascii="Palatino Linotype" w:hAnsi="Palatino Linotype"/>
                <w:b/>
                <w:noProof/>
              </w:rPr>
              <w:t>SEXTO. De la Versión Pública</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_Toc62756297 \h </w:instrText>
            </w:r>
            <w:r w:rsidR="00C93593" w:rsidRPr="00E42F34">
              <w:rPr>
                <w:noProof/>
                <w:webHidden/>
              </w:rPr>
            </w:r>
            <w:r w:rsidR="00C93593" w:rsidRPr="00E42F34">
              <w:rPr>
                <w:noProof/>
                <w:webHidden/>
              </w:rPr>
              <w:fldChar w:fldCharType="separate"/>
            </w:r>
            <w:r w:rsidR="00C93593" w:rsidRPr="00E42F34">
              <w:rPr>
                <w:noProof/>
                <w:webHidden/>
              </w:rPr>
              <w:t>34</w:t>
            </w:r>
            <w:r w:rsidR="00C93593" w:rsidRPr="00E42F34">
              <w:rPr>
                <w:noProof/>
                <w:webHidden/>
              </w:rPr>
              <w:fldChar w:fldCharType="end"/>
            </w:r>
          </w:hyperlink>
        </w:p>
        <w:p w14:paraId="604A659F" w14:textId="23BFF10A" w:rsidR="00C93593" w:rsidRPr="00E42F34" w:rsidRDefault="002C1C3C">
          <w:pPr>
            <w:pStyle w:val="TDC3"/>
            <w:tabs>
              <w:tab w:val="left" w:pos="1100"/>
              <w:tab w:val="right" w:leader="dot" w:pos="8779"/>
            </w:tabs>
            <w:rPr>
              <w:noProof/>
              <w:sz w:val="22"/>
              <w:szCs w:val="22"/>
              <w:lang w:val="es-MX" w:eastAsia="es-MX"/>
            </w:rPr>
          </w:pPr>
          <w:hyperlink w:anchor="_Toc62756298" w:history="1">
            <w:r w:rsidR="00C93593" w:rsidRPr="00E42F34">
              <w:rPr>
                <w:rStyle w:val="Hipervnculo"/>
                <w:rFonts w:ascii="Palatino Linotype" w:hAnsi="Palatino Linotype"/>
                <w:b/>
                <w:noProof/>
              </w:rPr>
              <w:t>a.</w:t>
            </w:r>
            <w:r w:rsidR="00C93593" w:rsidRPr="00E42F34">
              <w:rPr>
                <w:noProof/>
                <w:sz w:val="22"/>
                <w:szCs w:val="22"/>
                <w:lang w:val="es-MX" w:eastAsia="es-MX"/>
              </w:rPr>
              <w:tab/>
            </w:r>
            <w:r w:rsidR="00C93593" w:rsidRPr="00E42F34">
              <w:rPr>
                <w:rStyle w:val="Hipervnculo"/>
                <w:rFonts w:ascii="Palatino Linotype" w:hAnsi="Palatino Linotype"/>
                <w:b/>
                <w:noProof/>
              </w:rPr>
              <w:t>Requisitos previos.</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_Toc62756298 \h </w:instrText>
            </w:r>
            <w:r w:rsidR="00C93593" w:rsidRPr="00E42F34">
              <w:rPr>
                <w:noProof/>
                <w:webHidden/>
              </w:rPr>
            </w:r>
            <w:r w:rsidR="00C93593" w:rsidRPr="00E42F34">
              <w:rPr>
                <w:noProof/>
                <w:webHidden/>
              </w:rPr>
              <w:fldChar w:fldCharType="separate"/>
            </w:r>
            <w:r w:rsidR="00C93593" w:rsidRPr="00E42F34">
              <w:rPr>
                <w:noProof/>
                <w:webHidden/>
              </w:rPr>
              <w:t>35</w:t>
            </w:r>
            <w:r w:rsidR="00C93593" w:rsidRPr="00E42F34">
              <w:rPr>
                <w:noProof/>
                <w:webHidden/>
              </w:rPr>
              <w:fldChar w:fldCharType="end"/>
            </w:r>
          </w:hyperlink>
        </w:p>
        <w:p w14:paraId="21296007" w14:textId="21F47208" w:rsidR="00C93593" w:rsidRPr="00E42F34" w:rsidRDefault="002C1C3C">
          <w:pPr>
            <w:pStyle w:val="TDC3"/>
            <w:tabs>
              <w:tab w:val="left" w:pos="1100"/>
              <w:tab w:val="right" w:leader="dot" w:pos="8779"/>
            </w:tabs>
            <w:rPr>
              <w:noProof/>
              <w:sz w:val="22"/>
              <w:szCs w:val="22"/>
              <w:lang w:val="es-MX" w:eastAsia="es-MX"/>
            </w:rPr>
          </w:pPr>
          <w:hyperlink w:anchor="_Toc62756299" w:history="1">
            <w:r w:rsidR="00C93593" w:rsidRPr="00E42F34">
              <w:rPr>
                <w:rStyle w:val="Hipervnculo"/>
                <w:rFonts w:ascii="Palatino Linotype" w:hAnsi="Palatino Linotype"/>
                <w:b/>
                <w:noProof/>
              </w:rPr>
              <w:t>b.</w:t>
            </w:r>
            <w:r w:rsidR="00C93593" w:rsidRPr="00E42F34">
              <w:rPr>
                <w:noProof/>
                <w:sz w:val="22"/>
                <w:szCs w:val="22"/>
                <w:lang w:val="es-MX" w:eastAsia="es-MX"/>
              </w:rPr>
              <w:tab/>
            </w:r>
            <w:r w:rsidR="00C93593" w:rsidRPr="00E42F34">
              <w:rPr>
                <w:rStyle w:val="Hipervnculo"/>
                <w:rFonts w:ascii="Palatino Linotype" w:hAnsi="Palatino Linotype"/>
                <w:b/>
                <w:noProof/>
              </w:rPr>
              <w:t>Supuesto de clasificación.</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_Toc62756299 \h </w:instrText>
            </w:r>
            <w:r w:rsidR="00C93593" w:rsidRPr="00E42F34">
              <w:rPr>
                <w:noProof/>
                <w:webHidden/>
              </w:rPr>
            </w:r>
            <w:r w:rsidR="00C93593" w:rsidRPr="00E42F34">
              <w:rPr>
                <w:noProof/>
                <w:webHidden/>
              </w:rPr>
              <w:fldChar w:fldCharType="separate"/>
            </w:r>
            <w:r w:rsidR="00C93593" w:rsidRPr="00E42F34">
              <w:rPr>
                <w:noProof/>
                <w:webHidden/>
              </w:rPr>
              <w:t>35</w:t>
            </w:r>
            <w:r w:rsidR="00C93593" w:rsidRPr="00E42F34">
              <w:rPr>
                <w:noProof/>
                <w:webHidden/>
              </w:rPr>
              <w:fldChar w:fldCharType="end"/>
            </w:r>
          </w:hyperlink>
        </w:p>
        <w:p w14:paraId="4B55A929" w14:textId="5CA50C2F" w:rsidR="00C93593" w:rsidRPr="00E42F34" w:rsidRDefault="002C1C3C">
          <w:pPr>
            <w:pStyle w:val="TDC3"/>
            <w:tabs>
              <w:tab w:val="left" w:pos="880"/>
              <w:tab w:val="right" w:leader="dot" w:pos="8779"/>
            </w:tabs>
            <w:rPr>
              <w:noProof/>
              <w:sz w:val="22"/>
              <w:szCs w:val="22"/>
              <w:lang w:val="es-MX" w:eastAsia="es-MX"/>
            </w:rPr>
          </w:pPr>
          <w:hyperlink w:anchor="_Toc62756300" w:history="1">
            <w:r w:rsidR="00C93593" w:rsidRPr="00E42F34">
              <w:rPr>
                <w:rStyle w:val="Hipervnculo"/>
                <w:rFonts w:ascii="Palatino Linotype" w:hAnsi="Palatino Linotype"/>
                <w:b/>
                <w:noProof/>
              </w:rPr>
              <w:t>c.</w:t>
            </w:r>
            <w:r w:rsidR="00C93593" w:rsidRPr="00E42F34">
              <w:rPr>
                <w:noProof/>
                <w:sz w:val="22"/>
                <w:szCs w:val="22"/>
                <w:lang w:val="es-MX" w:eastAsia="es-MX"/>
              </w:rPr>
              <w:tab/>
            </w:r>
            <w:r w:rsidR="00C93593" w:rsidRPr="00E42F34">
              <w:rPr>
                <w:rStyle w:val="Hipervnculo"/>
                <w:rFonts w:ascii="Palatino Linotype" w:hAnsi="Palatino Linotype"/>
                <w:b/>
                <w:noProof/>
              </w:rPr>
              <w:t>La intervención del Comité de Transparencia.</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_Toc62756300 \h </w:instrText>
            </w:r>
            <w:r w:rsidR="00C93593" w:rsidRPr="00E42F34">
              <w:rPr>
                <w:noProof/>
                <w:webHidden/>
              </w:rPr>
            </w:r>
            <w:r w:rsidR="00C93593" w:rsidRPr="00E42F34">
              <w:rPr>
                <w:noProof/>
                <w:webHidden/>
              </w:rPr>
              <w:fldChar w:fldCharType="separate"/>
            </w:r>
            <w:r w:rsidR="00C93593" w:rsidRPr="00E42F34">
              <w:rPr>
                <w:noProof/>
                <w:webHidden/>
              </w:rPr>
              <w:t>38</w:t>
            </w:r>
            <w:r w:rsidR="00C93593" w:rsidRPr="00E42F34">
              <w:rPr>
                <w:noProof/>
                <w:webHidden/>
              </w:rPr>
              <w:fldChar w:fldCharType="end"/>
            </w:r>
          </w:hyperlink>
        </w:p>
        <w:p w14:paraId="304761B6" w14:textId="066450DB" w:rsidR="00C93593" w:rsidRPr="00E42F34" w:rsidRDefault="002C1C3C">
          <w:pPr>
            <w:pStyle w:val="TDC1"/>
            <w:tabs>
              <w:tab w:val="right" w:leader="dot" w:pos="8779"/>
            </w:tabs>
            <w:rPr>
              <w:noProof/>
              <w:sz w:val="22"/>
              <w:szCs w:val="22"/>
              <w:lang w:val="es-MX" w:eastAsia="es-MX"/>
            </w:rPr>
          </w:pPr>
          <w:hyperlink w:anchor="_Toc62756301" w:history="1">
            <w:r w:rsidR="00C93593" w:rsidRPr="00E42F34">
              <w:rPr>
                <w:rStyle w:val="Hipervnculo"/>
                <w:rFonts w:ascii="Palatino Linotype" w:eastAsia="Times New Roman" w:hAnsi="Palatino Linotype" w:cstheme="majorBidi"/>
                <w:b/>
                <w:bCs/>
                <w:noProof/>
              </w:rPr>
              <w:t>R E S O L U T I V O S</w:t>
            </w:r>
            <w:r w:rsidR="00C93593" w:rsidRPr="00E42F34">
              <w:rPr>
                <w:noProof/>
                <w:webHidden/>
              </w:rPr>
              <w:tab/>
            </w:r>
            <w:r w:rsidR="00C93593" w:rsidRPr="00E42F34">
              <w:rPr>
                <w:noProof/>
                <w:webHidden/>
              </w:rPr>
              <w:fldChar w:fldCharType="begin"/>
            </w:r>
            <w:r w:rsidR="00C93593" w:rsidRPr="00E42F34">
              <w:rPr>
                <w:noProof/>
                <w:webHidden/>
              </w:rPr>
              <w:instrText xml:space="preserve"> PAGEREF _Toc62756301 \h </w:instrText>
            </w:r>
            <w:r w:rsidR="00C93593" w:rsidRPr="00E42F34">
              <w:rPr>
                <w:noProof/>
                <w:webHidden/>
              </w:rPr>
            </w:r>
            <w:r w:rsidR="00C93593" w:rsidRPr="00E42F34">
              <w:rPr>
                <w:noProof/>
                <w:webHidden/>
              </w:rPr>
              <w:fldChar w:fldCharType="separate"/>
            </w:r>
            <w:r w:rsidR="00C93593" w:rsidRPr="00E42F34">
              <w:rPr>
                <w:noProof/>
                <w:webHidden/>
              </w:rPr>
              <w:t>44</w:t>
            </w:r>
            <w:r w:rsidR="00C93593" w:rsidRPr="00E42F34">
              <w:rPr>
                <w:noProof/>
                <w:webHidden/>
              </w:rPr>
              <w:fldChar w:fldCharType="end"/>
            </w:r>
          </w:hyperlink>
        </w:p>
        <w:p w14:paraId="44970536" w14:textId="3D7C5876" w:rsidR="00554DF4" w:rsidRPr="00E42F34" w:rsidRDefault="00554DF4" w:rsidP="00554DF4">
          <w:pPr>
            <w:spacing w:line="480" w:lineRule="auto"/>
          </w:pPr>
          <w:r w:rsidRPr="00E42F34">
            <w:rPr>
              <w:rFonts w:ascii="Palatino Linotype" w:hAnsi="Palatino Linotype"/>
              <w:b/>
              <w:bCs/>
              <w:lang w:val="es-ES"/>
            </w:rPr>
            <w:fldChar w:fldCharType="end"/>
          </w:r>
        </w:p>
      </w:sdtContent>
    </w:sdt>
    <w:p w14:paraId="70AFB617" w14:textId="77777777" w:rsidR="009D4B58" w:rsidRPr="00E42F34" w:rsidRDefault="009D4B58" w:rsidP="00554DF4">
      <w:pPr>
        <w:spacing w:before="240" w:after="240" w:line="360" w:lineRule="auto"/>
        <w:jc w:val="both"/>
        <w:rPr>
          <w:rFonts w:ascii="Palatino Linotype" w:hAnsi="Palatino Linotype"/>
        </w:rPr>
      </w:pPr>
    </w:p>
    <w:p w14:paraId="1FE98984" w14:textId="7B3459F7" w:rsidR="001D1714" w:rsidRPr="00E42F34" w:rsidRDefault="001D1714" w:rsidP="00554DF4">
      <w:pPr>
        <w:spacing w:before="240" w:after="240" w:line="360" w:lineRule="auto"/>
        <w:jc w:val="both"/>
        <w:rPr>
          <w:rFonts w:ascii="Palatino Linotype" w:hAnsi="Palatino Linotype"/>
        </w:rPr>
      </w:pPr>
    </w:p>
    <w:p w14:paraId="226C4A2D" w14:textId="2F665420" w:rsidR="00746061" w:rsidRPr="00E42F34" w:rsidRDefault="00746061" w:rsidP="00554DF4">
      <w:pPr>
        <w:spacing w:before="240" w:after="240" w:line="360" w:lineRule="auto"/>
        <w:jc w:val="both"/>
        <w:rPr>
          <w:rFonts w:ascii="Palatino Linotype" w:hAnsi="Palatino Linotype"/>
        </w:rPr>
      </w:pPr>
    </w:p>
    <w:p w14:paraId="03B616D0" w14:textId="7B95CC1A" w:rsidR="00746061" w:rsidRPr="00E42F34" w:rsidRDefault="00746061" w:rsidP="00554DF4">
      <w:pPr>
        <w:spacing w:before="240" w:after="240" w:line="360" w:lineRule="auto"/>
        <w:jc w:val="both"/>
        <w:rPr>
          <w:rFonts w:ascii="Palatino Linotype" w:hAnsi="Palatino Linotype"/>
        </w:rPr>
      </w:pPr>
    </w:p>
    <w:p w14:paraId="3CC3F788" w14:textId="77777777" w:rsidR="00746061" w:rsidRPr="00E42F34" w:rsidRDefault="00746061" w:rsidP="00554DF4">
      <w:pPr>
        <w:spacing w:before="240" w:after="240" w:line="360" w:lineRule="auto"/>
        <w:jc w:val="both"/>
        <w:rPr>
          <w:rFonts w:ascii="Palatino Linotype" w:hAnsi="Palatino Linotype"/>
        </w:rPr>
      </w:pPr>
    </w:p>
    <w:p w14:paraId="7BC99E4C" w14:textId="64B7729B" w:rsidR="00554DF4" w:rsidRPr="00E42F34" w:rsidRDefault="00554DF4" w:rsidP="00554DF4">
      <w:pPr>
        <w:spacing w:before="240" w:after="240" w:line="360" w:lineRule="auto"/>
        <w:jc w:val="both"/>
        <w:rPr>
          <w:rFonts w:ascii="Palatino Linotype" w:hAnsi="Palatino Linotype"/>
        </w:rPr>
      </w:pPr>
      <w:r w:rsidRPr="00E42F34">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w:t>
      </w:r>
      <w:r w:rsidR="00E42F34" w:rsidRPr="00E42F34">
        <w:rPr>
          <w:rFonts w:ascii="Palatino Linotype" w:eastAsia="MS Mincho" w:hAnsi="Palatino Linotype" w:cs="Times New Roman"/>
        </w:rPr>
        <w:t xml:space="preserve"> </w:t>
      </w:r>
      <w:r w:rsidR="00E42F34">
        <w:rPr>
          <w:rFonts w:ascii="Palatino Linotype" w:eastAsia="MS Mincho" w:hAnsi="Palatino Linotype" w:cs="Times New Roman"/>
        </w:rPr>
        <w:t>de fecha cuatro (04) de febrero de dos mil veintiuno</w:t>
      </w:r>
    </w:p>
    <w:p w14:paraId="00CABD3A" w14:textId="040F8D4E" w:rsidR="00554DF4" w:rsidRPr="00E42F34" w:rsidRDefault="00554DF4" w:rsidP="00353EB6">
      <w:pPr>
        <w:pStyle w:val="Encabezado"/>
        <w:spacing w:line="360" w:lineRule="auto"/>
        <w:jc w:val="both"/>
        <w:rPr>
          <w:rFonts w:ascii="Palatino Linotype" w:hAnsi="Palatino Linotype"/>
        </w:rPr>
      </w:pPr>
      <w:r w:rsidRPr="00E42F34">
        <w:rPr>
          <w:rFonts w:ascii="Palatino Linotype" w:hAnsi="Palatino Linotype"/>
          <w:b/>
        </w:rPr>
        <w:t>VISTO el</w:t>
      </w:r>
      <w:r w:rsidRPr="00E42F34">
        <w:rPr>
          <w:rFonts w:ascii="Palatino Linotype" w:hAnsi="Palatino Linotype"/>
        </w:rPr>
        <w:t xml:space="preserve"> expediente electrónico formado con</w:t>
      </w:r>
      <w:r w:rsidR="00353EB6" w:rsidRPr="00E42F34">
        <w:rPr>
          <w:rFonts w:ascii="Palatino Linotype" w:hAnsi="Palatino Linotype"/>
        </w:rPr>
        <w:t xml:space="preserve"> motivo del recurso de revisión</w:t>
      </w:r>
      <w:r w:rsidR="00353EB6" w:rsidRPr="00E42F34">
        <w:rPr>
          <w:rFonts w:ascii="Palatino Linotype" w:hAnsi="Palatino Linotype"/>
          <w:sz w:val="28"/>
        </w:rPr>
        <w:t xml:space="preserve"> </w:t>
      </w:r>
      <w:r w:rsidR="00F1131F" w:rsidRPr="00E42F34">
        <w:rPr>
          <w:rFonts w:ascii="Palatino Linotype" w:hAnsi="Palatino Linotype" w:cs="Arial"/>
          <w:b/>
          <w:bCs/>
          <w:lang w:eastAsia="es-MX"/>
        </w:rPr>
        <w:t>05973/INFOEM/IP/RR/2020</w:t>
      </w:r>
      <w:r w:rsidRPr="00E42F34">
        <w:rPr>
          <w:rFonts w:ascii="Palatino Linotype" w:hAnsi="Palatino Linotype" w:cs="Arial"/>
          <w:b/>
          <w:bCs/>
        </w:rPr>
        <w:t xml:space="preserve">, </w:t>
      </w:r>
      <w:r w:rsidR="00953702" w:rsidRPr="00E42F34">
        <w:rPr>
          <w:rFonts w:ascii="Palatino Linotype" w:hAnsi="Palatino Linotype"/>
        </w:rPr>
        <w:t xml:space="preserve">promovido por </w:t>
      </w:r>
      <w:r w:rsidR="00765A66" w:rsidRPr="00765A66">
        <w:rPr>
          <w:rFonts w:ascii="Palatino Linotype" w:hAnsi="Palatino Linotype"/>
          <w:b/>
          <w:highlight w:val="black"/>
        </w:rPr>
        <w:t>------------------------------------------------------------------</w:t>
      </w:r>
      <w:r w:rsidR="00B23C9B" w:rsidRPr="00E42F34">
        <w:rPr>
          <w:rFonts w:ascii="Palatino Linotype" w:hAnsi="Palatino Linotype"/>
        </w:rPr>
        <w:t>,</w:t>
      </w:r>
      <w:r w:rsidR="0026533C" w:rsidRPr="00E42F34">
        <w:rPr>
          <w:rFonts w:ascii="Palatino Linotype" w:hAnsi="Palatino Linotype"/>
        </w:rPr>
        <w:t xml:space="preserve"> </w:t>
      </w:r>
      <w:r w:rsidRPr="00E42F34">
        <w:rPr>
          <w:rFonts w:ascii="Palatino Linotype" w:hAnsi="Palatino Linotype"/>
        </w:rPr>
        <w:t xml:space="preserve">en su calidad de </w:t>
      </w:r>
      <w:r w:rsidRPr="00E42F34">
        <w:rPr>
          <w:rFonts w:ascii="Palatino Linotype" w:hAnsi="Palatino Linotype"/>
          <w:b/>
        </w:rPr>
        <w:t>RECURRENTE</w:t>
      </w:r>
      <w:r w:rsidRPr="00E42F34">
        <w:rPr>
          <w:rFonts w:ascii="Palatino Linotype" w:hAnsi="Palatino Linotype" w:cs="Arial"/>
        </w:rPr>
        <w:t xml:space="preserve">, en contra de la respuesta del </w:t>
      </w:r>
      <w:r w:rsidR="00ED0FD7" w:rsidRPr="00E42F34">
        <w:rPr>
          <w:rFonts w:ascii="Palatino Linotype" w:hAnsi="Palatino Linotype" w:cs="Arial"/>
          <w:b/>
          <w:bCs/>
        </w:rPr>
        <w:t>Ayuntamiento de Naucalpan de Juárez</w:t>
      </w:r>
      <w:r w:rsidRPr="00E42F34">
        <w:rPr>
          <w:rFonts w:ascii="Palatino Linotype" w:hAnsi="Palatino Linotype" w:cs="Arial"/>
        </w:rPr>
        <w:t>,</w:t>
      </w:r>
      <w:r w:rsidRPr="00E42F34">
        <w:rPr>
          <w:rFonts w:ascii="Palatino Linotype" w:hAnsi="Palatino Linotype"/>
          <w:b/>
        </w:rPr>
        <w:t xml:space="preserve"> </w:t>
      </w:r>
      <w:r w:rsidRPr="00E42F34">
        <w:rPr>
          <w:rFonts w:ascii="Palatino Linotype" w:hAnsi="Palatino Linotype"/>
        </w:rPr>
        <w:t>en lo sucesivo el</w:t>
      </w:r>
      <w:r w:rsidRPr="00E42F34">
        <w:rPr>
          <w:rFonts w:ascii="Palatino Linotype" w:hAnsi="Palatino Linotype"/>
          <w:b/>
        </w:rPr>
        <w:t xml:space="preserve"> SUJETO OBLIGADO, </w:t>
      </w:r>
      <w:r w:rsidRPr="00E42F34">
        <w:rPr>
          <w:rFonts w:ascii="Palatino Linotype" w:hAnsi="Palatino Linotype"/>
        </w:rPr>
        <w:t>se procede a dictar la presente resoluci</w:t>
      </w:r>
      <w:r w:rsidR="007E13CE" w:rsidRPr="00E42F34">
        <w:rPr>
          <w:rFonts w:ascii="Palatino Linotype" w:hAnsi="Palatino Linotype"/>
        </w:rPr>
        <w:t>ón, con base en los siguientes:</w:t>
      </w:r>
    </w:p>
    <w:p w14:paraId="70501975" w14:textId="4BED8F65" w:rsidR="004A6F44" w:rsidRPr="00E42F34" w:rsidRDefault="004A6F44" w:rsidP="00353EB6">
      <w:pPr>
        <w:pStyle w:val="Encabezado"/>
        <w:spacing w:line="360" w:lineRule="auto"/>
        <w:jc w:val="both"/>
        <w:rPr>
          <w:rFonts w:ascii="Palatino Linotype" w:hAnsi="Palatino Linotype"/>
        </w:rPr>
      </w:pPr>
    </w:p>
    <w:p w14:paraId="7CCA1808" w14:textId="77777777" w:rsidR="00554DF4" w:rsidRPr="00E42F34" w:rsidRDefault="00554DF4" w:rsidP="00554DF4">
      <w:pPr>
        <w:pStyle w:val="Ttulo1"/>
        <w:jc w:val="center"/>
      </w:pPr>
      <w:bookmarkStart w:id="0" w:name="_Toc62756287"/>
      <w:r w:rsidRPr="00E42F34">
        <w:t>ANTECEDENTES</w:t>
      </w:r>
      <w:bookmarkEnd w:id="0"/>
    </w:p>
    <w:p w14:paraId="7008F36D" w14:textId="77777777" w:rsidR="00554DF4" w:rsidRPr="00E42F34" w:rsidRDefault="00554DF4" w:rsidP="00554DF4">
      <w:pPr>
        <w:rPr>
          <w:lang w:val="es-MX" w:eastAsia="en-US"/>
        </w:rPr>
      </w:pPr>
    </w:p>
    <w:p w14:paraId="226F8008" w14:textId="2ED92F1F" w:rsidR="00554DF4" w:rsidRPr="00E42F3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42F34">
        <w:rPr>
          <w:rFonts w:ascii="Palatino Linotype" w:eastAsia="Calibri" w:hAnsi="Palatino Linotype" w:cs="Arial"/>
          <w:lang w:val="es-ES"/>
        </w:rPr>
        <w:t xml:space="preserve">El día </w:t>
      </w:r>
      <w:r w:rsidR="0001252F" w:rsidRPr="00E42F34">
        <w:rPr>
          <w:rFonts w:ascii="Palatino Linotype" w:eastAsia="Calibri" w:hAnsi="Palatino Linotype" w:cs="Arial"/>
          <w:lang w:val="es-ES"/>
        </w:rPr>
        <w:t>dieci</w:t>
      </w:r>
      <w:r w:rsidR="0025272D" w:rsidRPr="00E42F34">
        <w:rPr>
          <w:rFonts w:ascii="Palatino Linotype" w:eastAsia="Calibri" w:hAnsi="Palatino Linotype" w:cs="Arial"/>
          <w:lang w:val="es-ES"/>
        </w:rPr>
        <w:t>siete</w:t>
      </w:r>
      <w:r w:rsidR="007438EE" w:rsidRPr="00E42F34">
        <w:rPr>
          <w:rFonts w:ascii="Palatino Linotype" w:eastAsia="Calibri" w:hAnsi="Palatino Linotype" w:cs="Arial"/>
          <w:lang w:val="es-ES"/>
        </w:rPr>
        <w:t xml:space="preserve"> </w:t>
      </w:r>
      <w:r w:rsidRPr="00E42F34">
        <w:rPr>
          <w:rFonts w:ascii="Palatino Linotype" w:eastAsia="Calibri" w:hAnsi="Palatino Linotype" w:cs="Arial"/>
          <w:lang w:val="es-ES"/>
        </w:rPr>
        <w:t>(</w:t>
      </w:r>
      <w:r w:rsidR="0025272D" w:rsidRPr="00E42F34">
        <w:rPr>
          <w:rFonts w:ascii="Palatino Linotype" w:eastAsia="Calibri" w:hAnsi="Palatino Linotype" w:cs="Arial"/>
          <w:lang w:val="es-ES"/>
        </w:rPr>
        <w:t>17</w:t>
      </w:r>
      <w:r w:rsidRPr="00E42F34">
        <w:rPr>
          <w:rFonts w:ascii="Palatino Linotype" w:eastAsia="Calibri" w:hAnsi="Palatino Linotype" w:cs="Arial"/>
          <w:lang w:val="es-ES"/>
        </w:rPr>
        <w:t xml:space="preserve">) </w:t>
      </w:r>
      <w:r w:rsidRPr="00E42F34">
        <w:rPr>
          <w:rFonts w:ascii="Palatino Linotype" w:eastAsia="Calibri" w:hAnsi="Palatino Linotype" w:cs="Times New Roman"/>
          <w:lang w:val="es-ES"/>
        </w:rPr>
        <w:t>de</w:t>
      </w:r>
      <w:r w:rsidR="00DD65E4" w:rsidRPr="00E42F34">
        <w:rPr>
          <w:rFonts w:ascii="Palatino Linotype" w:eastAsia="Calibri" w:hAnsi="Palatino Linotype" w:cs="Times New Roman"/>
          <w:lang w:val="es-ES"/>
        </w:rPr>
        <w:t xml:space="preserve"> </w:t>
      </w:r>
      <w:r w:rsidR="0025272D" w:rsidRPr="00E42F34">
        <w:rPr>
          <w:rFonts w:ascii="Palatino Linotype" w:eastAsia="Calibri" w:hAnsi="Palatino Linotype" w:cs="Times New Roman"/>
          <w:lang w:val="es-ES"/>
        </w:rPr>
        <w:t>noviembre</w:t>
      </w:r>
      <w:r w:rsidRPr="00E42F34">
        <w:rPr>
          <w:rFonts w:ascii="Palatino Linotype" w:eastAsia="Calibri" w:hAnsi="Palatino Linotype" w:cs="Times New Roman"/>
          <w:lang w:val="es-ES"/>
        </w:rPr>
        <w:t xml:space="preserve"> de dos mil</w:t>
      </w:r>
      <w:r w:rsidR="001D7A5B" w:rsidRPr="00E42F34">
        <w:rPr>
          <w:rFonts w:ascii="Palatino Linotype" w:eastAsia="Calibri" w:hAnsi="Palatino Linotype" w:cs="Times New Roman"/>
          <w:lang w:val="es-ES"/>
        </w:rPr>
        <w:t xml:space="preserve"> veinte</w:t>
      </w:r>
      <w:r w:rsidRPr="00E42F34">
        <w:rPr>
          <w:rFonts w:ascii="Palatino Linotype" w:eastAsia="Calibri" w:hAnsi="Palatino Linotype" w:cs="Arial"/>
          <w:lang w:val="es-ES"/>
        </w:rPr>
        <w:t>,</w:t>
      </w:r>
      <w:r w:rsidRPr="00E42F34">
        <w:rPr>
          <w:rFonts w:ascii="Palatino Linotype" w:eastAsia="Calibri" w:hAnsi="Palatino Linotype" w:cs="Times New Roman"/>
          <w:lang w:val="es-ES"/>
        </w:rPr>
        <w:t xml:space="preserve"> </w:t>
      </w:r>
      <w:r w:rsidRPr="00E42F34">
        <w:rPr>
          <w:rFonts w:ascii="Palatino Linotype" w:eastAsia="Calibri" w:hAnsi="Palatino Linotype" w:cs="Times New Roman"/>
          <w:b/>
          <w:lang w:val="es-ES"/>
        </w:rPr>
        <w:t>EL RECURRENTE</w:t>
      </w:r>
      <w:r w:rsidRPr="00E42F34">
        <w:rPr>
          <w:rFonts w:ascii="Palatino Linotype" w:hAnsi="Palatino Linotype"/>
          <w:b/>
        </w:rPr>
        <w:t>,</w:t>
      </w:r>
      <w:r w:rsidRPr="00E42F34">
        <w:rPr>
          <w:rFonts w:ascii="Palatino Linotype" w:eastAsia="Calibri" w:hAnsi="Palatino Linotype" w:cs="Arial"/>
          <w:lang w:val="es-ES"/>
        </w:rPr>
        <w:t xml:space="preserve"> ante el </w:t>
      </w:r>
      <w:r w:rsidRPr="00E42F34">
        <w:rPr>
          <w:rFonts w:ascii="Palatino Linotype" w:eastAsia="Calibri" w:hAnsi="Palatino Linotype" w:cs="Arial"/>
          <w:b/>
          <w:lang w:val="es-ES"/>
        </w:rPr>
        <w:t>SUJETO OBLIGADO</w:t>
      </w:r>
      <w:r w:rsidRPr="00E42F34">
        <w:rPr>
          <w:rFonts w:ascii="Palatino Linotype" w:eastAsia="Calibri" w:hAnsi="Palatino Linotype" w:cs="Arial"/>
        </w:rPr>
        <w:t xml:space="preserve"> vía </w:t>
      </w:r>
      <w:r w:rsidRPr="00E42F34">
        <w:rPr>
          <w:rFonts w:ascii="Palatino Linotype" w:eastAsia="Calibri" w:hAnsi="Palatino Linotype" w:cs="Arial"/>
          <w:lang w:val="es-ES"/>
        </w:rPr>
        <w:t>Sistema de Acceso a la Información Mexiquense (</w:t>
      </w:r>
      <w:r w:rsidRPr="00E42F34">
        <w:rPr>
          <w:rFonts w:ascii="Palatino Linotype" w:eastAsia="Calibri" w:hAnsi="Palatino Linotype" w:cs="Arial"/>
          <w:b/>
          <w:lang w:val="es-ES"/>
        </w:rPr>
        <w:t>SAIMEX)</w:t>
      </w:r>
      <w:r w:rsidRPr="00E42F34">
        <w:rPr>
          <w:rFonts w:ascii="Palatino Linotype" w:eastAsia="Calibri" w:hAnsi="Palatino Linotype" w:cs="Arial"/>
          <w:lang w:val="es-ES"/>
        </w:rPr>
        <w:t xml:space="preserve">, presentó la solicitud de información pública registrada con el número </w:t>
      </w:r>
      <w:r w:rsidR="00B12E16" w:rsidRPr="00E42F34">
        <w:rPr>
          <w:rFonts w:ascii="Palatino Linotype" w:eastAsia="Calibri" w:hAnsi="Palatino Linotype" w:cs="Arial"/>
          <w:b/>
          <w:lang w:val="es-ES"/>
        </w:rPr>
        <w:t>00</w:t>
      </w:r>
      <w:r w:rsidR="00092AE6" w:rsidRPr="00E42F34">
        <w:rPr>
          <w:rFonts w:ascii="Palatino Linotype" w:eastAsia="Calibri" w:hAnsi="Palatino Linotype" w:cs="Arial"/>
          <w:b/>
          <w:lang w:val="es-ES"/>
        </w:rPr>
        <w:t>872</w:t>
      </w:r>
      <w:r w:rsidR="00B12E16" w:rsidRPr="00E42F34">
        <w:rPr>
          <w:rFonts w:ascii="Palatino Linotype" w:eastAsia="Calibri" w:hAnsi="Palatino Linotype" w:cs="Arial"/>
          <w:b/>
          <w:lang w:val="es-ES"/>
        </w:rPr>
        <w:t>/</w:t>
      </w:r>
      <w:r w:rsidR="00092AE6" w:rsidRPr="00E42F34">
        <w:rPr>
          <w:rFonts w:ascii="Palatino Linotype" w:eastAsia="Calibri" w:hAnsi="Palatino Linotype" w:cs="Arial"/>
          <w:b/>
          <w:lang w:val="es-ES"/>
        </w:rPr>
        <w:t>NAUCALPA</w:t>
      </w:r>
      <w:r w:rsidR="00B12E16" w:rsidRPr="00E42F34">
        <w:rPr>
          <w:rFonts w:ascii="Palatino Linotype" w:eastAsia="Calibri" w:hAnsi="Palatino Linotype" w:cs="Arial"/>
          <w:b/>
          <w:lang w:val="es-ES"/>
        </w:rPr>
        <w:t>/IP/2020</w:t>
      </w:r>
      <w:r w:rsidRPr="00E42F34">
        <w:rPr>
          <w:rFonts w:ascii="Palatino Linotype" w:hAnsi="Palatino Linotype"/>
          <w:b/>
        </w:rPr>
        <w:t xml:space="preserve"> </w:t>
      </w:r>
      <w:r w:rsidRPr="00E42F34">
        <w:rPr>
          <w:rFonts w:ascii="Palatino Linotype" w:eastAsia="Calibri" w:hAnsi="Palatino Linotype" w:cs="Arial"/>
          <w:lang w:val="es-ES"/>
        </w:rPr>
        <w:t>mediante la cual solicitó lo siguiente:</w:t>
      </w:r>
    </w:p>
    <w:p w14:paraId="2A8F67E2" w14:textId="77777777" w:rsidR="00554DF4" w:rsidRPr="00E42F34" w:rsidRDefault="00554DF4" w:rsidP="00554DF4">
      <w:pPr>
        <w:pStyle w:val="Prrafodelista"/>
        <w:spacing w:line="360" w:lineRule="auto"/>
        <w:ind w:left="0"/>
        <w:jc w:val="both"/>
        <w:rPr>
          <w:rFonts w:ascii="Palatino Linotype" w:eastAsia="Times New Roman" w:hAnsi="Palatino Linotype" w:cs="Arial"/>
          <w:lang w:val="es-ES"/>
        </w:rPr>
      </w:pPr>
    </w:p>
    <w:p w14:paraId="5A910CB0" w14:textId="39180EF7" w:rsidR="00554DF4" w:rsidRPr="00E42F34" w:rsidRDefault="00554DF4" w:rsidP="00C11A40">
      <w:pPr>
        <w:ind w:left="567" w:right="567"/>
        <w:jc w:val="both"/>
        <w:rPr>
          <w:rFonts w:ascii="Palatino Linotype" w:eastAsia="Calibri" w:hAnsi="Palatino Linotype" w:cs="Arial"/>
          <w:i/>
          <w:sz w:val="22"/>
          <w:szCs w:val="22"/>
          <w:lang w:val="es-ES"/>
        </w:rPr>
      </w:pPr>
      <w:r w:rsidRPr="00E42F34">
        <w:rPr>
          <w:rFonts w:ascii="Palatino Linotype" w:eastAsia="Calibri" w:hAnsi="Palatino Linotype" w:cs="Arial"/>
          <w:i/>
          <w:sz w:val="22"/>
          <w:szCs w:val="22"/>
          <w:lang w:val="es-ES"/>
        </w:rPr>
        <w:t>“</w:t>
      </w:r>
      <w:r w:rsidR="00092AE6" w:rsidRPr="00E42F34">
        <w:rPr>
          <w:rFonts w:ascii="Palatino Linotype" w:hAnsi="Palatino Linotype"/>
          <w:i/>
          <w:sz w:val="22"/>
          <w:szCs w:val="22"/>
        </w:rPr>
        <w:t>Solicito una relación en formato abierto (.xlsx o .</w:t>
      </w:r>
      <w:proofErr w:type="spellStart"/>
      <w:r w:rsidR="00092AE6" w:rsidRPr="00E42F34">
        <w:rPr>
          <w:rFonts w:ascii="Palatino Linotype" w:hAnsi="Palatino Linotype"/>
          <w:i/>
          <w:sz w:val="22"/>
          <w:szCs w:val="22"/>
        </w:rPr>
        <w:t>csv</w:t>
      </w:r>
      <w:proofErr w:type="spellEnd"/>
      <w:r w:rsidR="00092AE6" w:rsidRPr="00E42F34">
        <w:rPr>
          <w:rFonts w:ascii="Palatino Linotype" w:hAnsi="Palatino Linotype"/>
          <w:i/>
          <w:sz w:val="22"/>
          <w:szCs w:val="22"/>
        </w:rPr>
        <w:t>) de todas las erogaciones realizadas para atender la Alerta de Violencia de Género contra las Mujeres. Pido que la información entregada corresponda al periodo comprendido desde que exista registro de estos gastos hasta la fecha de recepción de esta solicitud. Asimismo, solicito la copia de la versión pública en formato digital de todos los documentos (facturas, contratos, tickets, órdenes de compra u otro) que comprueben estas erogaciones.</w:t>
      </w:r>
      <w:r w:rsidRPr="00E42F34">
        <w:rPr>
          <w:rFonts w:ascii="Palatino Linotype" w:eastAsia="Calibri" w:hAnsi="Palatino Linotype" w:cs="Arial"/>
          <w:i/>
          <w:sz w:val="22"/>
          <w:szCs w:val="22"/>
          <w:lang w:val="es-ES"/>
        </w:rPr>
        <w:t>”</w:t>
      </w:r>
      <w:r w:rsidR="006A2EE7" w:rsidRPr="00E42F34">
        <w:rPr>
          <w:rFonts w:ascii="Palatino Linotype" w:eastAsia="Calibri" w:hAnsi="Palatino Linotype" w:cs="Arial"/>
          <w:i/>
          <w:sz w:val="22"/>
          <w:szCs w:val="22"/>
          <w:lang w:val="es-ES"/>
        </w:rPr>
        <w:t xml:space="preserve"> </w:t>
      </w:r>
      <w:r w:rsidRPr="00E42F34">
        <w:rPr>
          <w:rFonts w:ascii="Palatino Linotype" w:eastAsia="Calibri" w:hAnsi="Palatino Linotype" w:cs="Arial"/>
          <w:i/>
          <w:sz w:val="22"/>
          <w:szCs w:val="22"/>
          <w:lang w:val="es-ES"/>
        </w:rPr>
        <w:t>(Sic)</w:t>
      </w:r>
    </w:p>
    <w:p w14:paraId="09A08FA3" w14:textId="77777777" w:rsidR="00F76C2F" w:rsidRPr="00E42F34" w:rsidRDefault="00F76C2F" w:rsidP="006D6CCC">
      <w:pPr>
        <w:jc w:val="both"/>
        <w:rPr>
          <w:rFonts w:ascii="Palatino Linotype" w:eastAsia="Calibri" w:hAnsi="Palatino Linotype" w:cs="Arial"/>
          <w:i/>
          <w:sz w:val="22"/>
          <w:lang w:val="es-ES"/>
        </w:rPr>
      </w:pPr>
    </w:p>
    <w:p w14:paraId="6FB30F91" w14:textId="77777777" w:rsidR="006D6CCC" w:rsidRPr="00E42F34" w:rsidRDefault="006D6CCC" w:rsidP="006D6CCC">
      <w:pPr>
        <w:jc w:val="both"/>
        <w:rPr>
          <w:rFonts w:ascii="Palatino Linotype" w:eastAsia="Calibri" w:hAnsi="Palatino Linotype" w:cs="Arial"/>
          <w:i/>
          <w:sz w:val="22"/>
          <w:lang w:val="es-ES"/>
        </w:rPr>
      </w:pPr>
    </w:p>
    <w:p w14:paraId="43692616" w14:textId="7D0C114E" w:rsidR="00554DF4" w:rsidRPr="00E42F3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42F34">
        <w:rPr>
          <w:rFonts w:ascii="Palatino Linotype" w:eastAsia="Times New Roman" w:hAnsi="Palatino Linotype" w:cs="Arial"/>
          <w:lang w:val="es-ES"/>
        </w:rPr>
        <w:t>Señaló como modalidad de entrega de la información a través de</w:t>
      </w:r>
      <w:r w:rsidR="00092AE6" w:rsidRPr="00E42F34">
        <w:rPr>
          <w:rFonts w:ascii="Palatino Linotype" w:eastAsia="Times New Roman" w:hAnsi="Palatino Linotype" w:cs="Arial"/>
          <w:lang w:val="es-ES"/>
        </w:rPr>
        <w:t xml:space="preserve"> Correo Electrónico</w:t>
      </w:r>
      <w:r w:rsidRPr="00E42F34">
        <w:rPr>
          <w:rFonts w:ascii="Palatino Linotype" w:eastAsia="Times New Roman" w:hAnsi="Palatino Linotype" w:cs="Arial"/>
          <w:b/>
          <w:lang w:val="es-ES"/>
        </w:rPr>
        <w:t>.</w:t>
      </w:r>
    </w:p>
    <w:p w14:paraId="33E6EFF0" w14:textId="77777777" w:rsidR="00B12E16" w:rsidRPr="00E42F34" w:rsidRDefault="00B12E16" w:rsidP="00B12E16">
      <w:pPr>
        <w:pStyle w:val="Prrafodelista"/>
        <w:spacing w:line="360" w:lineRule="auto"/>
        <w:ind w:left="0"/>
        <w:jc w:val="both"/>
        <w:rPr>
          <w:rFonts w:ascii="Palatino Linotype" w:eastAsia="Times New Roman" w:hAnsi="Palatino Linotype" w:cs="Arial"/>
          <w:lang w:val="es-ES"/>
        </w:rPr>
      </w:pPr>
    </w:p>
    <w:p w14:paraId="2CD475DE" w14:textId="43FAD4E6" w:rsidR="0025272D" w:rsidRPr="00E42F34" w:rsidRDefault="00554DF4" w:rsidP="0025272D">
      <w:pPr>
        <w:pStyle w:val="Prrafodelista"/>
        <w:numPr>
          <w:ilvl w:val="0"/>
          <w:numId w:val="1"/>
        </w:numPr>
        <w:spacing w:before="240" w:after="240" w:line="360" w:lineRule="auto"/>
        <w:ind w:left="0" w:firstLine="0"/>
        <w:jc w:val="both"/>
        <w:rPr>
          <w:rFonts w:ascii="Palatino Linotype" w:eastAsia="Times New Roman" w:hAnsi="Palatino Linotype" w:cs="Arial"/>
          <w:b/>
          <w:bCs/>
          <w:lang w:val="es-ES"/>
        </w:rPr>
      </w:pPr>
      <w:r w:rsidRPr="00E42F34">
        <w:rPr>
          <w:rFonts w:ascii="Palatino Linotype" w:eastAsia="Calibri" w:hAnsi="Palatino Linotype" w:cs="Times New Roman"/>
          <w:lang w:val="es-ES"/>
        </w:rPr>
        <w:t xml:space="preserve">El </w:t>
      </w:r>
      <w:r w:rsidR="0001252F" w:rsidRPr="00E42F34">
        <w:rPr>
          <w:rFonts w:ascii="Palatino Linotype" w:eastAsia="Calibri" w:hAnsi="Palatino Linotype" w:cs="Times New Roman"/>
          <w:lang w:val="es-ES"/>
        </w:rPr>
        <w:t>d</w:t>
      </w:r>
      <w:r w:rsidR="00092AE6" w:rsidRPr="00E42F34">
        <w:rPr>
          <w:rFonts w:ascii="Palatino Linotype" w:eastAsia="Calibri" w:hAnsi="Palatino Linotype" w:cs="Times New Roman"/>
          <w:lang w:val="es-ES"/>
        </w:rPr>
        <w:t xml:space="preserve">ieciocho </w:t>
      </w:r>
      <w:r w:rsidR="006D6CCC" w:rsidRPr="00E42F34">
        <w:rPr>
          <w:rFonts w:ascii="Palatino Linotype" w:eastAsia="Calibri" w:hAnsi="Palatino Linotype" w:cs="Arial"/>
          <w:lang w:val="es-ES"/>
        </w:rPr>
        <w:t>(</w:t>
      </w:r>
      <w:r w:rsidR="00092AE6" w:rsidRPr="00E42F34">
        <w:rPr>
          <w:rFonts w:ascii="Palatino Linotype" w:eastAsia="Calibri" w:hAnsi="Palatino Linotype" w:cs="Arial"/>
          <w:lang w:val="es-ES"/>
        </w:rPr>
        <w:t>18</w:t>
      </w:r>
      <w:r w:rsidR="006D6CCC" w:rsidRPr="00E42F34">
        <w:rPr>
          <w:rFonts w:ascii="Palatino Linotype" w:eastAsia="Calibri" w:hAnsi="Palatino Linotype" w:cs="Arial"/>
          <w:lang w:val="es-ES"/>
        </w:rPr>
        <w:t xml:space="preserve">) </w:t>
      </w:r>
      <w:r w:rsidR="006D6CCC" w:rsidRPr="00E42F34">
        <w:rPr>
          <w:rFonts w:ascii="Palatino Linotype" w:eastAsia="Calibri" w:hAnsi="Palatino Linotype" w:cs="Times New Roman"/>
          <w:lang w:val="es-ES"/>
        </w:rPr>
        <w:t xml:space="preserve">de </w:t>
      </w:r>
      <w:r w:rsidR="00092AE6" w:rsidRPr="00E42F34">
        <w:rPr>
          <w:rFonts w:ascii="Palatino Linotype" w:eastAsia="Calibri" w:hAnsi="Palatino Linotype" w:cs="Times New Roman"/>
          <w:lang w:val="es-ES"/>
        </w:rPr>
        <w:t>noviembre</w:t>
      </w:r>
      <w:r w:rsidR="007838C0" w:rsidRPr="00E42F34">
        <w:rPr>
          <w:rFonts w:ascii="Palatino Linotype" w:eastAsia="Calibri" w:hAnsi="Palatino Linotype" w:cs="Times New Roman"/>
          <w:lang w:val="es-ES"/>
        </w:rPr>
        <w:t xml:space="preserve"> de dos mil veinte</w:t>
      </w:r>
      <w:r w:rsidRPr="00E42F34">
        <w:rPr>
          <w:rFonts w:ascii="Palatino Linotype" w:eastAsia="Calibri" w:hAnsi="Palatino Linotype" w:cs="Times New Roman"/>
          <w:lang w:val="es-ES"/>
        </w:rPr>
        <w:t xml:space="preserve">, el </w:t>
      </w:r>
      <w:r w:rsidRPr="00E42F34">
        <w:rPr>
          <w:rFonts w:ascii="Palatino Linotype" w:eastAsia="Calibri" w:hAnsi="Palatino Linotype" w:cs="Arial"/>
          <w:b/>
          <w:lang w:val="es-AR"/>
        </w:rPr>
        <w:t>SUJETO OBLIGADO</w:t>
      </w:r>
      <w:r w:rsidRPr="00E42F34">
        <w:rPr>
          <w:rFonts w:ascii="Palatino Linotype" w:eastAsia="Calibri" w:hAnsi="Palatino Linotype" w:cs="Arial"/>
          <w:b/>
          <w:i/>
          <w:lang w:val="es-AR"/>
        </w:rPr>
        <w:t xml:space="preserve"> </w:t>
      </w:r>
      <w:r w:rsidRPr="00E42F34">
        <w:rPr>
          <w:rFonts w:ascii="Palatino Linotype" w:eastAsia="Times New Roman" w:hAnsi="Palatino Linotype" w:cs="Arial"/>
          <w:lang w:val="es-ES"/>
        </w:rPr>
        <w:t>dio respuest</w:t>
      </w:r>
      <w:r w:rsidR="00CE5D17" w:rsidRPr="00E42F34">
        <w:rPr>
          <w:rFonts w:ascii="Palatino Linotype" w:eastAsia="Times New Roman" w:hAnsi="Palatino Linotype" w:cs="Arial"/>
          <w:lang w:val="es-ES"/>
        </w:rPr>
        <w:t>a a la solicitud de información</w:t>
      </w:r>
      <w:r w:rsidR="004900C9" w:rsidRPr="00E42F34">
        <w:rPr>
          <w:rFonts w:ascii="Palatino Linotype" w:eastAsia="Times New Roman" w:hAnsi="Palatino Linotype" w:cs="Arial"/>
          <w:lang w:val="es-ES"/>
        </w:rPr>
        <w:t>, adjuntando</w:t>
      </w:r>
      <w:r w:rsidR="00092AE6" w:rsidRPr="00E42F34">
        <w:rPr>
          <w:rFonts w:ascii="Palatino Linotype" w:eastAsia="Times New Roman" w:hAnsi="Palatino Linotype" w:cs="Arial"/>
          <w:lang w:val="es-ES"/>
        </w:rPr>
        <w:t xml:space="preserve"> el documento electrónico denominado </w:t>
      </w:r>
      <w:r w:rsidR="00092AE6" w:rsidRPr="00E42F34">
        <w:rPr>
          <w:rFonts w:ascii="Palatino Linotype" w:eastAsia="Times New Roman" w:hAnsi="Palatino Linotype" w:cs="Arial"/>
          <w:b/>
          <w:bCs/>
          <w:lang w:val="es-ES"/>
        </w:rPr>
        <w:t>872_202011181002.pdf</w:t>
      </w:r>
      <w:r w:rsidR="0025272D" w:rsidRPr="00E42F34">
        <w:rPr>
          <w:rFonts w:ascii="Palatino Linotype" w:eastAsia="Times New Roman" w:hAnsi="Palatino Linotype" w:cs="Arial"/>
          <w:b/>
          <w:bCs/>
          <w:lang w:val="es-ES"/>
        </w:rPr>
        <w:t xml:space="preserve"> </w:t>
      </w:r>
      <w:r w:rsidR="0025272D" w:rsidRPr="00E42F34">
        <w:rPr>
          <w:rFonts w:ascii="Palatino Linotype" w:eastAsia="Times New Roman" w:hAnsi="Palatino Linotype" w:cs="Arial"/>
          <w:lang w:val="es-ES"/>
        </w:rPr>
        <w:t>y en los siguientes términos:</w:t>
      </w:r>
    </w:p>
    <w:p w14:paraId="3D92C0AC" w14:textId="77777777" w:rsidR="0025272D" w:rsidRPr="00E42F34" w:rsidRDefault="0025272D" w:rsidP="0025272D">
      <w:pPr>
        <w:pStyle w:val="Prrafodelista"/>
        <w:rPr>
          <w:rFonts w:ascii="Palatino Linotype" w:eastAsia="Times New Roman" w:hAnsi="Palatino Linotype" w:cs="Arial"/>
          <w:b/>
          <w:bCs/>
          <w:lang w:val="es-ES"/>
        </w:rPr>
      </w:pPr>
    </w:p>
    <w:p w14:paraId="0D79A6E4" w14:textId="77777777" w:rsidR="002C5D51" w:rsidRPr="00E42F34" w:rsidRDefault="00554DF4" w:rsidP="002C5D51">
      <w:pPr>
        <w:pStyle w:val="Prrafodelista"/>
        <w:spacing w:before="240" w:after="240" w:line="360" w:lineRule="auto"/>
        <w:ind w:left="567" w:right="567"/>
        <w:jc w:val="both"/>
        <w:rPr>
          <w:rFonts w:ascii="Palatino Linotype" w:hAnsi="Palatino Linotype"/>
          <w:i/>
          <w:color w:val="000000"/>
          <w:sz w:val="22"/>
          <w:szCs w:val="22"/>
        </w:rPr>
      </w:pPr>
      <w:r w:rsidRPr="00E42F34">
        <w:rPr>
          <w:rFonts w:ascii="Palatino Linotype" w:eastAsia="Calibri" w:hAnsi="Palatino Linotype" w:cs="Times New Roman"/>
          <w:i/>
          <w:sz w:val="22"/>
          <w:szCs w:val="22"/>
          <w:lang w:val="es-ES"/>
        </w:rPr>
        <w:t>“</w:t>
      </w:r>
      <w:r w:rsidR="002C5D51" w:rsidRPr="00E42F34">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4257D" w14:textId="77777777" w:rsidR="002C5D51" w:rsidRPr="00E42F34" w:rsidRDefault="002C5D51" w:rsidP="002C5D51">
      <w:pPr>
        <w:pStyle w:val="Prrafodelista"/>
        <w:spacing w:before="240" w:after="240" w:line="360" w:lineRule="auto"/>
        <w:ind w:left="567" w:right="567"/>
        <w:jc w:val="both"/>
        <w:rPr>
          <w:rFonts w:ascii="Palatino Linotype" w:hAnsi="Palatino Linotype"/>
          <w:i/>
          <w:color w:val="000000"/>
          <w:sz w:val="22"/>
          <w:szCs w:val="22"/>
        </w:rPr>
      </w:pPr>
      <w:r w:rsidRPr="00E42F34">
        <w:rPr>
          <w:rFonts w:ascii="Palatino Linotype" w:hAnsi="Palatino Linotype"/>
          <w:i/>
          <w:color w:val="000000"/>
          <w:sz w:val="22"/>
          <w:szCs w:val="22"/>
        </w:rPr>
        <w:t>se proporciona información solicitada se proporciona información solicitada a la solicitud de información</w:t>
      </w:r>
    </w:p>
    <w:p w14:paraId="2D1EE9C7" w14:textId="77777777" w:rsidR="002C5D51" w:rsidRPr="00E42F34" w:rsidRDefault="002C5D51" w:rsidP="002C5D51">
      <w:pPr>
        <w:pStyle w:val="Prrafodelista"/>
        <w:spacing w:before="240" w:after="240" w:line="360" w:lineRule="auto"/>
        <w:ind w:left="567" w:right="567"/>
        <w:jc w:val="both"/>
        <w:rPr>
          <w:rFonts w:ascii="Palatino Linotype" w:hAnsi="Palatino Linotype"/>
          <w:i/>
          <w:color w:val="000000"/>
          <w:sz w:val="22"/>
          <w:szCs w:val="22"/>
        </w:rPr>
      </w:pPr>
      <w:r w:rsidRPr="00E42F34">
        <w:rPr>
          <w:rFonts w:ascii="Palatino Linotype" w:hAnsi="Palatino Linotype"/>
          <w:i/>
          <w:color w:val="000000"/>
          <w:sz w:val="22"/>
          <w:szCs w:val="22"/>
        </w:rPr>
        <w:t>ATENTAMENTE</w:t>
      </w:r>
    </w:p>
    <w:p w14:paraId="2977889F" w14:textId="5F0D36A8" w:rsidR="00554DF4" w:rsidRPr="00E42F34" w:rsidRDefault="002C5D51" w:rsidP="002C5D51">
      <w:pPr>
        <w:pStyle w:val="Prrafodelista"/>
        <w:spacing w:before="240" w:after="240" w:line="360" w:lineRule="auto"/>
        <w:ind w:left="567" w:right="567"/>
        <w:jc w:val="both"/>
        <w:rPr>
          <w:rFonts w:ascii="Palatino Linotype" w:hAnsi="Palatino Linotype"/>
          <w:i/>
          <w:color w:val="000000"/>
          <w:sz w:val="22"/>
          <w:szCs w:val="22"/>
        </w:rPr>
      </w:pPr>
      <w:r w:rsidRPr="00E42F34">
        <w:rPr>
          <w:rFonts w:ascii="Palatino Linotype" w:hAnsi="Palatino Linotype"/>
          <w:i/>
          <w:color w:val="000000"/>
          <w:sz w:val="22"/>
          <w:szCs w:val="22"/>
        </w:rPr>
        <w:t>C.P. GIOVANNI LA FAYETTE CARMONA VENTURA</w:t>
      </w:r>
      <w:r w:rsidR="00554DF4" w:rsidRPr="00E42F34">
        <w:rPr>
          <w:rFonts w:ascii="Palatino Linotype" w:hAnsi="Palatino Linotype"/>
          <w:i/>
          <w:color w:val="000000"/>
          <w:sz w:val="22"/>
          <w:szCs w:val="22"/>
        </w:rPr>
        <w:t>” (sic)</w:t>
      </w:r>
    </w:p>
    <w:p w14:paraId="18F6C16C" w14:textId="77777777" w:rsidR="004D33F9" w:rsidRPr="00E42F34" w:rsidRDefault="004D33F9" w:rsidP="002C5D51">
      <w:pPr>
        <w:pStyle w:val="Prrafodelista"/>
        <w:spacing w:before="240" w:after="240" w:line="360" w:lineRule="auto"/>
        <w:ind w:left="567" w:right="567"/>
        <w:jc w:val="both"/>
        <w:rPr>
          <w:rFonts w:ascii="Palatino Linotype" w:hAnsi="Palatino Linotype"/>
          <w:i/>
          <w:color w:val="000000"/>
          <w:sz w:val="22"/>
          <w:szCs w:val="22"/>
        </w:rPr>
      </w:pPr>
    </w:p>
    <w:p w14:paraId="69C0FBAC" w14:textId="455BDF53" w:rsidR="004900C9" w:rsidRPr="00E42F34" w:rsidRDefault="0025272D" w:rsidP="004D33F9">
      <w:pPr>
        <w:pStyle w:val="Prrafodelista"/>
        <w:numPr>
          <w:ilvl w:val="0"/>
          <w:numId w:val="23"/>
        </w:numPr>
        <w:spacing w:before="240" w:after="240" w:line="360" w:lineRule="auto"/>
        <w:ind w:left="426" w:right="567"/>
        <w:jc w:val="both"/>
        <w:rPr>
          <w:rFonts w:ascii="Palatino Linotype" w:hAnsi="Palatino Linotype"/>
          <w:i/>
          <w:color w:val="000000"/>
          <w:sz w:val="22"/>
          <w:szCs w:val="22"/>
        </w:rPr>
      </w:pPr>
      <w:r w:rsidRPr="00E42F34">
        <w:rPr>
          <w:rFonts w:ascii="Palatino Linotype" w:eastAsia="Times New Roman" w:hAnsi="Palatino Linotype" w:cs="Arial"/>
          <w:b/>
          <w:bCs/>
          <w:lang w:val="es-ES"/>
        </w:rPr>
        <w:t xml:space="preserve">872_202011181002.pdf: </w:t>
      </w:r>
      <w:r w:rsidRPr="00E42F34">
        <w:rPr>
          <w:rFonts w:ascii="Palatino Linotype" w:eastAsia="Times New Roman" w:hAnsi="Palatino Linotype" w:cs="Arial"/>
          <w:lang w:val="es-ES"/>
        </w:rPr>
        <w:t>Documento suscrito por el Titular de la Unidad de Transparencia mediante el cual refiere que el Ayuntamiento de Naucalpan de Juárez es incompetente para entregar la información, por lo que debe dirigirse a la Comisión Estatal de Atención a Víctimas del Estado de México dependiente de la Secretaría de Justicia y Derechos Humanos del Estado de México.</w:t>
      </w:r>
    </w:p>
    <w:p w14:paraId="663F9C9B" w14:textId="77777777" w:rsidR="004D33F9" w:rsidRPr="00E42F34" w:rsidRDefault="004D33F9" w:rsidP="004D33F9">
      <w:pPr>
        <w:pStyle w:val="Prrafodelista"/>
        <w:spacing w:before="240" w:after="240" w:line="360" w:lineRule="auto"/>
        <w:ind w:left="0"/>
        <w:jc w:val="both"/>
        <w:rPr>
          <w:rFonts w:ascii="Palatino Linotype" w:hAnsi="Palatino Linotype" w:cs="Arial"/>
          <w:i/>
          <w:sz w:val="22"/>
          <w:szCs w:val="22"/>
        </w:rPr>
      </w:pPr>
    </w:p>
    <w:p w14:paraId="7F6FAD54" w14:textId="516224BB" w:rsidR="00554DF4" w:rsidRPr="00E42F34"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E42F34">
        <w:rPr>
          <w:rFonts w:ascii="Palatino Linotype" w:eastAsia="Calibri" w:hAnsi="Palatino Linotype" w:cs="Arial"/>
          <w:lang w:val="es-AR"/>
        </w:rPr>
        <w:t>El</w:t>
      </w:r>
      <w:r w:rsidR="007B3254" w:rsidRPr="00E42F34">
        <w:rPr>
          <w:rFonts w:ascii="Palatino Linotype" w:eastAsia="Calibri" w:hAnsi="Palatino Linotype" w:cs="Arial"/>
          <w:lang w:val="es-AR"/>
        </w:rPr>
        <w:t xml:space="preserve"> </w:t>
      </w:r>
      <w:r w:rsidR="00D51107" w:rsidRPr="00E42F34">
        <w:rPr>
          <w:rFonts w:ascii="Palatino Linotype" w:eastAsia="Calibri" w:hAnsi="Palatino Linotype" w:cs="Arial"/>
          <w:lang w:val="es-AR"/>
        </w:rPr>
        <w:t>tr</w:t>
      </w:r>
      <w:r w:rsidR="004D33F9" w:rsidRPr="00E42F34">
        <w:rPr>
          <w:rFonts w:ascii="Palatino Linotype" w:eastAsia="Calibri" w:hAnsi="Palatino Linotype" w:cs="Arial"/>
          <w:lang w:val="es-AR"/>
        </w:rPr>
        <w:t>es</w:t>
      </w:r>
      <w:r w:rsidR="00CE5D17" w:rsidRPr="00E42F34">
        <w:rPr>
          <w:rFonts w:ascii="Palatino Linotype" w:eastAsia="Calibri" w:hAnsi="Palatino Linotype" w:cs="Arial"/>
          <w:lang w:val="es-AR"/>
        </w:rPr>
        <w:t xml:space="preserve"> </w:t>
      </w:r>
      <w:r w:rsidR="00554DF4" w:rsidRPr="00E42F34">
        <w:rPr>
          <w:rFonts w:ascii="Palatino Linotype" w:eastAsia="Calibri" w:hAnsi="Palatino Linotype" w:cs="Arial"/>
          <w:lang w:val="es-AR"/>
        </w:rPr>
        <w:t>(</w:t>
      </w:r>
      <w:r w:rsidR="00D51107" w:rsidRPr="00E42F34">
        <w:rPr>
          <w:rFonts w:ascii="Palatino Linotype" w:eastAsia="Calibri" w:hAnsi="Palatino Linotype" w:cs="Arial"/>
          <w:lang w:val="es-AR"/>
        </w:rPr>
        <w:t>3</w:t>
      </w:r>
      <w:r w:rsidR="001106D0" w:rsidRPr="00E42F34">
        <w:rPr>
          <w:rFonts w:ascii="Palatino Linotype" w:eastAsia="Calibri" w:hAnsi="Palatino Linotype" w:cs="Arial"/>
          <w:lang w:val="es-AR"/>
        </w:rPr>
        <w:t>)</w:t>
      </w:r>
      <w:r w:rsidR="00554DF4" w:rsidRPr="00E42F34">
        <w:rPr>
          <w:rFonts w:ascii="Palatino Linotype" w:eastAsia="Calibri" w:hAnsi="Palatino Linotype" w:cs="Arial"/>
          <w:lang w:val="es-AR"/>
        </w:rPr>
        <w:t xml:space="preserve"> de </w:t>
      </w:r>
      <w:r w:rsidR="004D33F9" w:rsidRPr="00E42F34">
        <w:rPr>
          <w:rFonts w:ascii="Palatino Linotype" w:eastAsia="Calibri" w:hAnsi="Palatino Linotype" w:cs="Arial"/>
          <w:lang w:val="es-AR"/>
        </w:rPr>
        <w:t>diciembre</w:t>
      </w:r>
      <w:r w:rsidR="00554DF4" w:rsidRPr="00E42F34">
        <w:rPr>
          <w:rFonts w:ascii="Palatino Linotype" w:eastAsia="Calibri" w:hAnsi="Palatino Linotype" w:cs="Arial"/>
          <w:lang w:val="es-AR"/>
        </w:rPr>
        <w:t xml:space="preserve"> de</w:t>
      </w:r>
      <w:r w:rsidR="00554DF4" w:rsidRPr="00E42F34">
        <w:rPr>
          <w:rFonts w:ascii="Palatino Linotype" w:eastAsia="Times New Roman" w:hAnsi="Palatino Linotype" w:cs="Arial"/>
          <w:lang w:val="es-ES"/>
        </w:rPr>
        <w:t xml:space="preserve"> dos mil </w:t>
      </w:r>
      <w:r w:rsidR="004536FA" w:rsidRPr="00E42F34">
        <w:rPr>
          <w:rFonts w:ascii="Palatino Linotype" w:eastAsia="Times New Roman" w:hAnsi="Palatino Linotype" w:cs="Arial"/>
          <w:lang w:val="es-ES"/>
        </w:rPr>
        <w:t>veinte</w:t>
      </w:r>
      <w:r w:rsidR="00554DF4" w:rsidRPr="00E42F34">
        <w:rPr>
          <w:rFonts w:ascii="Palatino Linotype" w:eastAsia="Times New Roman" w:hAnsi="Palatino Linotype" w:cs="Arial"/>
          <w:lang w:val="es-ES"/>
        </w:rPr>
        <w:t xml:space="preserve">, </w:t>
      </w:r>
      <w:r w:rsidR="00554DF4" w:rsidRPr="00E42F34">
        <w:rPr>
          <w:rFonts w:ascii="Palatino Linotype" w:hAnsi="Palatino Linotype"/>
          <w:b/>
        </w:rPr>
        <w:t>EL RECURRENTE</w:t>
      </w:r>
      <w:r w:rsidR="00554DF4" w:rsidRPr="00E42F34">
        <w:rPr>
          <w:rFonts w:ascii="Palatino Linotype" w:eastAsia="Times New Roman" w:hAnsi="Palatino Linotype" w:cs="Arial"/>
          <w:lang w:val="es-ES"/>
        </w:rPr>
        <w:t xml:space="preserve"> interpuso el recurso de revis</w:t>
      </w:r>
      <w:r w:rsidR="007B3254" w:rsidRPr="00E42F34">
        <w:rPr>
          <w:rFonts w:ascii="Palatino Linotype" w:eastAsia="Times New Roman" w:hAnsi="Palatino Linotype" w:cs="Arial"/>
          <w:lang w:val="es-ES"/>
        </w:rPr>
        <w:t xml:space="preserve">ión, en contra de la respuesta </w:t>
      </w:r>
      <w:r w:rsidR="001C401F" w:rsidRPr="00E42F34">
        <w:rPr>
          <w:rFonts w:ascii="Palatino Linotype" w:eastAsia="Times New Roman" w:hAnsi="Palatino Linotype" w:cs="Arial"/>
          <w:lang w:val="es-ES"/>
        </w:rPr>
        <w:t>y</w:t>
      </w:r>
      <w:r w:rsidR="001A4BC9" w:rsidRPr="00E42F34">
        <w:rPr>
          <w:rFonts w:ascii="Palatino Linotype" w:eastAsia="Times New Roman" w:hAnsi="Palatino Linotype" w:cs="Arial"/>
          <w:lang w:val="es-ES"/>
        </w:rPr>
        <w:t>,</w:t>
      </w:r>
      <w:r w:rsidR="001C401F" w:rsidRPr="00E42F34">
        <w:rPr>
          <w:rFonts w:ascii="Palatino Linotype" w:eastAsia="Times New Roman" w:hAnsi="Palatino Linotype" w:cs="Arial"/>
          <w:lang w:val="es-ES"/>
        </w:rPr>
        <w:t xml:space="preserve"> </w:t>
      </w:r>
      <w:r w:rsidR="00554DF4" w:rsidRPr="00E42F34">
        <w:rPr>
          <w:rFonts w:ascii="Palatino Linotype" w:eastAsia="Times New Roman" w:hAnsi="Palatino Linotype" w:cs="Arial"/>
          <w:lang w:val="es-ES"/>
        </w:rPr>
        <w:t>señal</w:t>
      </w:r>
      <w:r w:rsidR="001C401F" w:rsidRPr="00E42F34">
        <w:rPr>
          <w:rFonts w:ascii="Palatino Linotype" w:eastAsia="Times New Roman" w:hAnsi="Palatino Linotype" w:cs="Arial"/>
          <w:lang w:val="es-ES"/>
        </w:rPr>
        <w:t>ó</w:t>
      </w:r>
      <w:r w:rsidR="00554DF4" w:rsidRPr="00E42F34">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E42F34" w:rsidRDefault="00554DF4" w:rsidP="00554DF4">
      <w:pPr>
        <w:pStyle w:val="Prrafodelista"/>
        <w:rPr>
          <w:rFonts w:ascii="Palatino Linotype" w:hAnsi="Palatino Linotype" w:cs="Arial"/>
          <w:i/>
          <w:sz w:val="22"/>
          <w:szCs w:val="22"/>
        </w:rPr>
      </w:pPr>
    </w:p>
    <w:p w14:paraId="55112CBA" w14:textId="5A50BD7B" w:rsidR="003236DE" w:rsidRPr="00E42F34" w:rsidRDefault="00554DF4" w:rsidP="003236DE">
      <w:pPr>
        <w:pStyle w:val="Prrafodelista"/>
        <w:spacing w:line="360" w:lineRule="auto"/>
        <w:jc w:val="both"/>
        <w:rPr>
          <w:rFonts w:ascii="Palatino Linotype" w:eastAsia="Calibri" w:hAnsi="Palatino Linotype" w:cs="Arial"/>
          <w:szCs w:val="22"/>
          <w:lang w:val="es-ES"/>
        </w:rPr>
      </w:pPr>
      <w:r w:rsidRPr="00E42F34">
        <w:rPr>
          <w:rFonts w:ascii="Palatino Linotype" w:hAnsi="Palatino Linotype"/>
          <w:b/>
        </w:rPr>
        <w:t>Acto impugnado:</w:t>
      </w:r>
      <w:r w:rsidRPr="00E42F34">
        <w:rPr>
          <w:rStyle w:val="Ttulo2Car"/>
          <w:rFonts w:ascii="Palatino Linotype" w:hAnsi="Palatino Linotype"/>
          <w:b/>
          <w:i/>
          <w:lang w:val="es-ES"/>
        </w:rPr>
        <w:t xml:space="preserve"> </w:t>
      </w:r>
      <w:r w:rsidRPr="00E42F34">
        <w:rPr>
          <w:rFonts w:ascii="Palatino Linotype" w:hAnsi="Palatino Linotype"/>
        </w:rPr>
        <w:t>“</w:t>
      </w:r>
      <w:r w:rsidR="004D33F9" w:rsidRPr="00E42F34">
        <w:rPr>
          <w:rFonts w:ascii="Palatino Linotype" w:hAnsi="Palatino Linotype"/>
          <w:i/>
          <w:sz w:val="22"/>
        </w:rPr>
        <w:t xml:space="preserve">Interpongo el presente recurso de revisión en contra de la respuesta otorgada por el Ayuntamiento Constitucional de Naucalpan de Juárez a la solicitud de información con número de folio 00872/NAUCALPA/IP/2020 el 18 de noviembre de 2020, </w:t>
      </w:r>
      <w:r w:rsidR="004D33F9" w:rsidRPr="00E42F34">
        <w:rPr>
          <w:rFonts w:ascii="Palatino Linotype" w:hAnsi="Palatino Linotype"/>
          <w:i/>
          <w:sz w:val="22"/>
        </w:rPr>
        <w:lastRenderedPageBreak/>
        <w:t xml:space="preserve">de la cual tuve conocimiento el día 2 de diciembre de 2020. El motivo de mi inconformidad es que el sujeto obligado contestó que “no es la autoridad competente para hacer la entrega de la información” solicitada debido a que no genera, obtiene, transforma, administra o posee la documentación que solicito y me sugirió que me dirija a la Comisión Estatal de Atención a Víctimas del Estado de México, que depende de la Secretaría de Justicia y Derechos Humanos del Estado de México. Sin embargo, yo realice la misma petición al Sistema Municipal DIF de Naucalpan de Juárez y en su respuesta el sujeto obligado mencionó que “si existe una partida presupuestal a ejercer para atender la Alerta de Violencia de Género contra las Mujeres, sería la Secretaría [de las Mujeres y la Igualdad Sustantiva del Ayuntamiento de Naucalpan de Juárez] quien tendría que presupuestar las posibles erogaciones para atender este problema social, así como el soporte de los gastos”. Además de que el Sistema Municipal DIF de Naucalpan de Juárez señaló al Ayuntamiento de Naucalpan de Juárez como el sujeto obligado competente para responder a mi solicitud, en la Plataforma Nacional de Transparencia no aparecen los sujetos obligados a los que el Ayuntamiento de Naucalpan de Juárez dirige en su respuesta a mi solicitud (la Secretaría de Justicia y Derechos Humanos del Estado de México o la Comisión Estatal de Atención a Víctimas del Estado de México) y tampoco aparece la Secretaría de las Mujeres y la Igualdad Sustantiva que menciona el Sistema Municipal DIF de Naucalpan de Juárez; por lo que no puedo realizar mi solicitud de acceso a la información a los sujetos obligados que me indican. </w:t>
      </w:r>
      <w:r w:rsidRPr="00E42F34">
        <w:rPr>
          <w:rFonts w:ascii="Palatino Linotype" w:hAnsi="Palatino Linotype"/>
        </w:rPr>
        <w:t>"</w:t>
      </w:r>
      <w:r w:rsidRPr="00E42F34">
        <w:rPr>
          <w:rFonts w:ascii="Palatino Linotype" w:eastAsia="Calibri" w:hAnsi="Palatino Linotype" w:cs="Arial"/>
          <w:sz w:val="20"/>
          <w:szCs w:val="22"/>
          <w:lang w:val="es-ES"/>
        </w:rPr>
        <w:t xml:space="preserve"> </w:t>
      </w:r>
      <w:r w:rsidR="003236DE" w:rsidRPr="00E42F34">
        <w:rPr>
          <w:rFonts w:ascii="Palatino Linotype" w:eastAsia="Calibri" w:hAnsi="Palatino Linotype" w:cs="Arial"/>
          <w:szCs w:val="22"/>
          <w:lang w:val="es-ES"/>
        </w:rPr>
        <w:t>(Sic); y</w:t>
      </w:r>
    </w:p>
    <w:p w14:paraId="512FC4FD" w14:textId="56C26791" w:rsidR="00554DF4" w:rsidRPr="00E42F34" w:rsidRDefault="00554DF4" w:rsidP="003236DE">
      <w:pPr>
        <w:pStyle w:val="Prrafodelista"/>
        <w:spacing w:line="360" w:lineRule="auto"/>
        <w:jc w:val="both"/>
        <w:rPr>
          <w:rFonts w:ascii="Times New Roman" w:eastAsia="Times New Roman" w:hAnsi="Times New Roman" w:cs="Times New Roman"/>
          <w:lang w:val="es-MX" w:eastAsia="es-MX"/>
        </w:rPr>
      </w:pPr>
      <w:r w:rsidRPr="00E42F34">
        <w:rPr>
          <w:rFonts w:ascii="Palatino Linotype" w:hAnsi="Palatino Linotype"/>
          <w:b/>
        </w:rPr>
        <w:t>Razones o Motivos de inconformidad:</w:t>
      </w:r>
      <w:r w:rsidRPr="00E42F34">
        <w:rPr>
          <w:rStyle w:val="Ttulo2Car"/>
          <w:rFonts w:ascii="Palatino Linotype" w:hAnsi="Palatino Linotype"/>
          <w:b/>
          <w:lang w:val="es-ES"/>
        </w:rPr>
        <w:t xml:space="preserve"> </w:t>
      </w:r>
      <w:r w:rsidRPr="00E42F34">
        <w:rPr>
          <w:rFonts w:ascii="Palatino Linotype" w:hAnsi="Palatino Linotype"/>
          <w:i/>
          <w:szCs w:val="22"/>
        </w:rPr>
        <w:t>“</w:t>
      </w:r>
      <w:r w:rsidR="004D33F9" w:rsidRPr="00E42F34">
        <w:rPr>
          <w:rFonts w:ascii="Palatino Linotype" w:eastAsia="Times New Roman" w:hAnsi="Palatino Linotype" w:cs="Times New Roman"/>
          <w:i/>
          <w:sz w:val="22"/>
          <w:szCs w:val="14"/>
          <w:lang w:val="es-MX" w:eastAsia="es-MX"/>
        </w:rPr>
        <w:t xml:space="preserve">Interpongo el presente recurso de revisión en contra de la respuesta otorgada por el Ayuntamiento Constitucional de Naucalpan de Juárez a la solicitud de información con número de folio 00872/NAUCALPA/IP/2020 el 18 de noviembre de 2020, de la cual tuve conocimiento el día 2 de diciembre de 2020. El motivo de mi inconformidad es que el sujeto obligado contestó que “no es la autoridad competente para hacer la entrega de la información” solicitada debido a que no genera, obtiene, </w:t>
      </w:r>
      <w:r w:rsidR="004D33F9" w:rsidRPr="00E42F34">
        <w:rPr>
          <w:rFonts w:ascii="Palatino Linotype" w:eastAsia="Times New Roman" w:hAnsi="Palatino Linotype" w:cs="Times New Roman"/>
          <w:i/>
          <w:sz w:val="22"/>
          <w:szCs w:val="14"/>
          <w:lang w:val="es-MX" w:eastAsia="es-MX"/>
        </w:rPr>
        <w:lastRenderedPageBreak/>
        <w:t>transforma, administra o posee la documentación que solicito y me sugirió que me dirija a la Comisión Estatal de Atención a Víctimas del Estado de México, que depende de la Secretaría de Justicia y Derechos Humanos del Estado de México. Sin embargo, yo realice la misma petición al Sistema Municipal DIF de Naucalpan de Juárez y en su respuesta el sujeto obligado mencionó que “si existe una partida presupuestal a ejercer para atender la Alerta de Violencia de Género contra las Mujeres, sería la Secretaría [de las Mujeres y la Igualdad Sustantiva del Ayuntamiento de Naucalpan de Juárez] quien tendría que presupuestar las posibles erogaciones para atender este problema social, así como el soporte de los gastos”. Además de que el Sistema Municipal DIF de Naucalpan de Juárez señaló al Ayuntamiento de Naucalpan de Juárez como el sujeto obligado competente para responder a mi solicitud, en la Plataforma Nacional de Transparencia no aparecen los sujetos obligados a los que el Ayuntamiento de Naucalpan de Juárez dirige en su respuesta a mi solicitud (la Secretaría de Justicia y Derechos Humanos del Estado de México o la Comisión Estatal de Atención a Víctimas del Estado de México) y tampoco aparece la Secretaría de las Mujeres y la Igualdad Sustantiva que menciona el Sistema Municipal DIF de Naucalpan de Juárez; por lo que no puedo realizar mi solicitud de acceso a la información a los sujetos obligados que me indican.</w:t>
      </w:r>
      <w:r w:rsidRPr="00E42F34">
        <w:rPr>
          <w:rFonts w:ascii="Palatino Linotype" w:hAnsi="Palatino Linotype"/>
          <w:i/>
          <w:sz w:val="22"/>
          <w:szCs w:val="22"/>
        </w:rPr>
        <w:t xml:space="preserve">” </w:t>
      </w:r>
      <w:r w:rsidRPr="00E42F34">
        <w:rPr>
          <w:rFonts w:ascii="Palatino Linotype" w:hAnsi="Palatino Linotype" w:cs="Arial"/>
          <w:i/>
          <w:sz w:val="22"/>
          <w:szCs w:val="22"/>
        </w:rPr>
        <w:t>(Sic)</w:t>
      </w:r>
      <w:r w:rsidRPr="00E42F34">
        <w:rPr>
          <w:rFonts w:ascii="Palatino Linotype" w:hAnsi="Palatino Linotype" w:cs="Arial"/>
          <w:sz w:val="22"/>
          <w:szCs w:val="22"/>
        </w:rPr>
        <w:t xml:space="preserve"> </w:t>
      </w:r>
    </w:p>
    <w:p w14:paraId="30A4F102" w14:textId="77777777" w:rsidR="00554DF4" w:rsidRPr="00E42F34"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E42F3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42F34">
        <w:rPr>
          <w:rFonts w:ascii="Palatino Linotype" w:eastAsia="Times New Roman" w:hAnsi="Palatino Linotype" w:cs="Arial"/>
          <w:lang w:val="es-ES"/>
        </w:rPr>
        <w:t xml:space="preserve">Se registró el recurso de revisión bajo el número de expediente </w:t>
      </w:r>
      <w:r w:rsidRPr="00E42F34">
        <w:rPr>
          <w:rFonts w:ascii="Palatino Linotype" w:hAnsi="Palatino Linotype" w:cs="Arial"/>
          <w:bCs/>
        </w:rPr>
        <w:t xml:space="preserve">al rubro indicado, asimismo con fundamento en lo dispuesto por el </w:t>
      </w:r>
      <w:r w:rsidRPr="00E42F34">
        <w:rPr>
          <w:rFonts w:ascii="Palatino Linotype" w:eastAsia="Calibri" w:hAnsi="Palatino Linotype" w:cs="Arial"/>
          <w:lang w:val="es-ES"/>
        </w:rPr>
        <w:t xml:space="preserve">artículo 185 fracción I de la </w:t>
      </w:r>
      <w:r w:rsidRPr="00E42F34">
        <w:rPr>
          <w:rFonts w:ascii="Palatino Linotype" w:eastAsia="Calibri" w:hAnsi="Palatino Linotype" w:cs="Arial"/>
          <w:b/>
          <w:lang w:val="es-ES"/>
        </w:rPr>
        <w:t xml:space="preserve">Ley de Transparencia y Acceso a la Información Pública del Estado de México y Municipios </w:t>
      </w:r>
      <w:r w:rsidRPr="00E42F34">
        <w:rPr>
          <w:rFonts w:ascii="Palatino Linotype" w:eastAsia="Times New Roman" w:hAnsi="Palatino Linotype" w:cs="Arial"/>
          <w:lang w:val="es-ES"/>
        </w:rPr>
        <w:t xml:space="preserve">se turnó al </w:t>
      </w:r>
      <w:r w:rsidRPr="00E42F34">
        <w:rPr>
          <w:rFonts w:ascii="Palatino Linotype" w:eastAsia="Times New Roman" w:hAnsi="Palatino Linotype" w:cs="Arial"/>
          <w:b/>
          <w:lang w:val="es-ES"/>
        </w:rPr>
        <w:t xml:space="preserve">Comisionado José Guadalupe Luna Hernández, </w:t>
      </w:r>
      <w:r w:rsidRPr="00E42F34">
        <w:rPr>
          <w:rFonts w:ascii="Palatino Linotype" w:eastAsia="Times New Roman" w:hAnsi="Palatino Linotype" w:cs="Arial"/>
          <w:lang w:val="es-ES"/>
        </w:rPr>
        <w:t xml:space="preserve">con el objeto de </w:t>
      </w:r>
      <w:r w:rsidRPr="00E42F34">
        <w:rPr>
          <w:rFonts w:ascii="Palatino Linotype" w:eastAsia="Times New Roman" w:hAnsi="Palatino Linotype" w:cs="Arial"/>
          <w:lang w:val="es-MX"/>
        </w:rPr>
        <w:t xml:space="preserve">su análisis. </w:t>
      </w:r>
    </w:p>
    <w:p w14:paraId="35933551" w14:textId="77777777" w:rsidR="00B62C0A" w:rsidRPr="00E42F34"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352EABC0" w:rsidR="00554DF4" w:rsidRPr="00E42F3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E42F34">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D51107" w:rsidRPr="00E42F34">
        <w:rPr>
          <w:rFonts w:ascii="Palatino Linotype" w:eastAsia="Calibri" w:hAnsi="Palatino Linotype" w:cs="Arial"/>
          <w:lang w:val="es-ES"/>
        </w:rPr>
        <w:t>fecha nueve</w:t>
      </w:r>
      <w:r w:rsidRPr="00E42F34">
        <w:rPr>
          <w:rFonts w:ascii="Palatino Linotype" w:eastAsia="Calibri" w:hAnsi="Palatino Linotype" w:cs="Arial"/>
          <w:lang w:val="es-ES"/>
        </w:rPr>
        <w:t xml:space="preserve"> </w:t>
      </w:r>
      <w:r w:rsidR="00D51107" w:rsidRPr="00E42F34">
        <w:rPr>
          <w:rFonts w:ascii="Palatino Linotype" w:eastAsia="Calibri" w:hAnsi="Palatino Linotype" w:cs="Arial"/>
          <w:lang w:val="es-ES"/>
        </w:rPr>
        <w:lastRenderedPageBreak/>
        <w:t>(</w:t>
      </w:r>
      <w:r w:rsidR="004D33F9" w:rsidRPr="00E42F34">
        <w:rPr>
          <w:rFonts w:ascii="Palatino Linotype" w:eastAsia="Calibri" w:hAnsi="Palatino Linotype" w:cs="Arial"/>
          <w:lang w:val="es-ES"/>
        </w:rPr>
        <w:t>9</w:t>
      </w:r>
      <w:r w:rsidR="00D51107" w:rsidRPr="00E42F34">
        <w:rPr>
          <w:rFonts w:ascii="Palatino Linotype" w:eastAsia="Calibri" w:hAnsi="Palatino Linotype" w:cs="Arial"/>
          <w:lang w:val="es-ES"/>
        </w:rPr>
        <w:t xml:space="preserve">) </w:t>
      </w:r>
      <w:r w:rsidRPr="00E42F34">
        <w:rPr>
          <w:rFonts w:ascii="Palatino Linotype" w:eastAsia="Calibri" w:hAnsi="Palatino Linotype" w:cs="Arial"/>
          <w:lang w:val="es-ES"/>
        </w:rPr>
        <w:t xml:space="preserve">de </w:t>
      </w:r>
      <w:r w:rsidR="004D33F9" w:rsidRPr="00E42F34">
        <w:rPr>
          <w:rFonts w:ascii="Palatino Linotype" w:eastAsia="Calibri" w:hAnsi="Palatino Linotype" w:cs="Arial"/>
          <w:lang w:val="es-ES"/>
        </w:rPr>
        <w:t>diciembre</w:t>
      </w:r>
      <w:r w:rsidRPr="00E42F34">
        <w:rPr>
          <w:rFonts w:ascii="Palatino Linotype" w:eastAsia="Calibri" w:hAnsi="Palatino Linotype" w:cs="Arial"/>
          <w:lang w:val="es-ES"/>
        </w:rPr>
        <w:t xml:space="preserve"> de dos mil </w:t>
      </w:r>
      <w:r w:rsidR="006A2EE7" w:rsidRPr="00E42F34">
        <w:rPr>
          <w:rFonts w:ascii="Palatino Linotype" w:eastAsia="Calibri" w:hAnsi="Palatino Linotype" w:cs="Arial"/>
          <w:lang w:val="es-ES"/>
        </w:rPr>
        <w:t>veinte</w:t>
      </w:r>
      <w:r w:rsidRPr="00E42F34">
        <w:rPr>
          <w:rFonts w:ascii="Palatino Linotype" w:eastAsia="Calibri" w:hAnsi="Palatino Linotype" w:cs="Arial"/>
          <w:lang w:val="es-ES"/>
        </w:rPr>
        <w:t xml:space="preserve">, puso a disposición de las partes el expediente electrónico </w:t>
      </w:r>
      <w:r w:rsidRPr="00E42F34">
        <w:rPr>
          <w:rFonts w:ascii="Palatino Linotype" w:eastAsia="Calibri" w:hAnsi="Palatino Linotype" w:cs="Arial"/>
        </w:rPr>
        <w:t xml:space="preserve">vía </w:t>
      </w:r>
      <w:r w:rsidRPr="00E42F34">
        <w:rPr>
          <w:rFonts w:ascii="Palatino Linotype" w:eastAsia="Calibri" w:hAnsi="Palatino Linotype" w:cs="Arial"/>
          <w:b/>
          <w:lang w:val="es-ES"/>
        </w:rPr>
        <w:t xml:space="preserve">SAIMEX </w:t>
      </w:r>
      <w:r w:rsidRPr="00E42F3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42F34">
        <w:rPr>
          <w:rFonts w:ascii="Palatino Linotype" w:eastAsia="Calibri" w:hAnsi="Palatino Linotype" w:cs="Arial"/>
          <w:b/>
          <w:lang w:val="es-ES"/>
        </w:rPr>
        <w:t>SUJETO OBLIGADO</w:t>
      </w:r>
      <w:r w:rsidRPr="00E42F34">
        <w:rPr>
          <w:rFonts w:ascii="Palatino Linotype" w:eastAsia="Calibri" w:hAnsi="Palatino Linotype" w:cs="Arial"/>
          <w:lang w:val="es-ES"/>
        </w:rPr>
        <w:t xml:space="preserve"> presentara el informe justificado procedente.</w:t>
      </w:r>
    </w:p>
    <w:p w14:paraId="355FE01A" w14:textId="77777777" w:rsidR="007838C0" w:rsidRPr="00E42F34" w:rsidRDefault="007838C0" w:rsidP="007838C0">
      <w:pPr>
        <w:pStyle w:val="Prrafodelista"/>
        <w:rPr>
          <w:rFonts w:ascii="Palatino Linotype" w:hAnsi="Palatino Linotype"/>
          <w:i/>
          <w:color w:val="000000"/>
          <w:sz w:val="22"/>
          <w:szCs w:val="22"/>
        </w:rPr>
      </w:pPr>
    </w:p>
    <w:p w14:paraId="0E044936" w14:textId="73AAB9A6" w:rsidR="004D33F9" w:rsidRPr="00E42F34" w:rsidRDefault="004D33F9"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E42F34">
        <w:rPr>
          <w:rFonts w:ascii="Palatino Linotype" w:eastAsia="Calibri" w:hAnsi="Palatino Linotype" w:cs="Arial"/>
          <w:lang w:val="es-ES"/>
        </w:rPr>
        <w:t xml:space="preserve">El veintiuno (21) de diciembre de dos mil veinte, el Sujeto Obligado </w:t>
      </w:r>
      <w:r w:rsidR="00F363D1" w:rsidRPr="00E42F34">
        <w:rPr>
          <w:rFonts w:ascii="Palatino Linotype" w:eastAsia="Calibri" w:hAnsi="Palatino Linotype" w:cs="Arial"/>
          <w:lang w:val="es-ES"/>
        </w:rPr>
        <w:t xml:space="preserve">remitió el documento electrónico denominado </w:t>
      </w:r>
      <w:proofErr w:type="gramStart"/>
      <w:r w:rsidR="00F363D1" w:rsidRPr="00E42F34">
        <w:rPr>
          <w:rFonts w:ascii="Palatino Linotype" w:eastAsia="Calibri" w:hAnsi="Palatino Linotype" w:cs="Arial"/>
          <w:b/>
          <w:bCs/>
          <w:i/>
          <w:iCs/>
          <w:lang w:val="es-ES"/>
        </w:rPr>
        <w:t xml:space="preserve">RR-5973-2020_202012181318.pdf </w:t>
      </w:r>
      <w:r w:rsidR="008D4254" w:rsidRPr="00E42F34">
        <w:rPr>
          <w:rFonts w:ascii="Palatino Linotype" w:eastAsia="Calibri" w:hAnsi="Palatino Linotype" w:cs="Arial"/>
          <w:lang w:val="es-ES"/>
        </w:rPr>
        <w:t xml:space="preserve"> mediante</w:t>
      </w:r>
      <w:proofErr w:type="gramEnd"/>
      <w:r w:rsidR="008D4254" w:rsidRPr="00E42F34">
        <w:rPr>
          <w:rFonts w:ascii="Palatino Linotype" w:eastAsia="Calibri" w:hAnsi="Palatino Linotype" w:cs="Arial"/>
          <w:lang w:val="es-ES"/>
        </w:rPr>
        <w:t xml:space="preserve"> el cual ratifica su respuesta inicial, por lo que no se puso a la vista del recurrente; no obstante, será de su conocimiento al momento en el que se notifique la presente resolución.</w:t>
      </w:r>
    </w:p>
    <w:p w14:paraId="7A330900" w14:textId="77777777" w:rsidR="00D4135C" w:rsidRPr="00E42F34" w:rsidRDefault="00D4135C" w:rsidP="00D4135C">
      <w:pPr>
        <w:pStyle w:val="Prrafodelista"/>
        <w:rPr>
          <w:rFonts w:ascii="Palatino Linotype" w:eastAsia="Calibri" w:hAnsi="Palatino Linotype" w:cs="Arial"/>
          <w:lang w:val="es-ES"/>
        </w:rPr>
      </w:pPr>
    </w:p>
    <w:p w14:paraId="557960CD" w14:textId="57EA38FE" w:rsidR="004D33F9" w:rsidRPr="00E42F34" w:rsidRDefault="00D4135C" w:rsidP="00DB1271">
      <w:pPr>
        <w:pStyle w:val="Prrafodelista"/>
        <w:numPr>
          <w:ilvl w:val="0"/>
          <w:numId w:val="1"/>
        </w:numPr>
        <w:spacing w:line="360" w:lineRule="auto"/>
        <w:ind w:left="0" w:firstLine="0"/>
        <w:jc w:val="both"/>
        <w:rPr>
          <w:rFonts w:ascii="Palatino Linotype" w:eastAsia="Calibri" w:hAnsi="Palatino Linotype" w:cs="Arial"/>
          <w:lang w:val="es-ES"/>
        </w:rPr>
      </w:pPr>
      <w:r w:rsidRPr="00E42F34">
        <w:rPr>
          <w:rFonts w:ascii="Palatino Linotype" w:eastAsia="Calibri" w:hAnsi="Palatino Linotype" w:cs="Arial"/>
          <w:lang w:val="es-ES"/>
        </w:rPr>
        <w:t>El recurrente fue omiso en realizar manifestaciones o presentar pruebas o alegatos.</w:t>
      </w:r>
    </w:p>
    <w:p w14:paraId="6C7FD435" w14:textId="77777777" w:rsidR="001106D0" w:rsidRPr="00E42F34" w:rsidRDefault="001106D0" w:rsidP="001106D0">
      <w:pPr>
        <w:pStyle w:val="Prrafodelista"/>
        <w:spacing w:line="360" w:lineRule="auto"/>
        <w:ind w:left="0"/>
        <w:jc w:val="both"/>
        <w:rPr>
          <w:rFonts w:ascii="Palatino Linotype" w:eastAsia="Calibri" w:hAnsi="Palatino Linotype" w:cs="Arial"/>
          <w:lang w:val="es-ES"/>
        </w:rPr>
      </w:pPr>
    </w:p>
    <w:p w14:paraId="021B3571" w14:textId="3F800CEC" w:rsidR="00DB779D" w:rsidRPr="00E42F34" w:rsidRDefault="00443AB4" w:rsidP="00DB779D">
      <w:pPr>
        <w:pStyle w:val="Prrafodelista"/>
        <w:numPr>
          <w:ilvl w:val="0"/>
          <w:numId w:val="1"/>
        </w:numPr>
        <w:spacing w:line="360" w:lineRule="auto"/>
        <w:ind w:left="0" w:firstLine="0"/>
        <w:jc w:val="both"/>
        <w:rPr>
          <w:rFonts w:ascii="Tahoma" w:hAnsi="Tahoma" w:cs="Tahoma"/>
        </w:rPr>
      </w:pPr>
      <w:r w:rsidRPr="00E42F34">
        <w:rPr>
          <w:rFonts w:ascii="Palatino Linotype" w:eastAsia="Calibri" w:hAnsi="Palatino Linotype" w:cs="Arial"/>
          <w:lang w:val="es-ES"/>
        </w:rPr>
        <w:t xml:space="preserve">El día </w:t>
      </w:r>
      <w:r w:rsidR="00D4135C" w:rsidRPr="00E42F34">
        <w:rPr>
          <w:rFonts w:ascii="Palatino Linotype" w:eastAsia="Calibri" w:hAnsi="Palatino Linotype" w:cs="Arial"/>
          <w:lang w:val="es-ES"/>
        </w:rPr>
        <w:t>veinti</w:t>
      </w:r>
      <w:r w:rsidR="00E00B88" w:rsidRPr="00E42F34">
        <w:rPr>
          <w:rFonts w:ascii="Palatino Linotype" w:eastAsia="Calibri" w:hAnsi="Palatino Linotype" w:cs="Arial"/>
          <w:lang w:val="es-ES"/>
        </w:rPr>
        <w:t>cinco</w:t>
      </w:r>
      <w:r w:rsidR="004F2918" w:rsidRPr="00E42F34">
        <w:rPr>
          <w:rFonts w:ascii="Palatino Linotype" w:eastAsia="Calibri" w:hAnsi="Palatino Linotype" w:cs="Arial"/>
          <w:lang w:val="es-ES"/>
        </w:rPr>
        <w:t xml:space="preserve"> (</w:t>
      </w:r>
      <w:r w:rsidR="00E00B88" w:rsidRPr="00E42F34">
        <w:rPr>
          <w:rFonts w:ascii="Palatino Linotype" w:eastAsia="Calibri" w:hAnsi="Palatino Linotype" w:cs="Arial"/>
          <w:lang w:val="es-ES"/>
        </w:rPr>
        <w:t>25</w:t>
      </w:r>
      <w:r w:rsidR="004F2918" w:rsidRPr="00E42F34">
        <w:rPr>
          <w:rFonts w:ascii="Palatino Linotype" w:eastAsia="Calibri" w:hAnsi="Palatino Linotype" w:cs="Arial"/>
          <w:lang w:val="es-ES"/>
        </w:rPr>
        <w:t xml:space="preserve">) de </w:t>
      </w:r>
      <w:r w:rsidR="00D4135C" w:rsidRPr="00E42F34">
        <w:rPr>
          <w:rFonts w:ascii="Palatino Linotype" w:eastAsia="Calibri" w:hAnsi="Palatino Linotype" w:cs="Arial"/>
          <w:lang w:val="es-ES"/>
        </w:rPr>
        <w:t>enero de dos mil veintiuno</w:t>
      </w:r>
      <w:r w:rsidR="00512189" w:rsidRPr="00E42F34">
        <w:rPr>
          <w:rFonts w:ascii="Palatino Linotype" w:eastAsia="Calibri" w:hAnsi="Palatino Linotype" w:cs="Arial"/>
          <w:lang w:val="es-ES"/>
        </w:rPr>
        <w:t>,</w:t>
      </w:r>
      <w:r w:rsidRPr="00E42F34">
        <w:rPr>
          <w:rFonts w:ascii="Palatino Linotype" w:eastAsia="Calibri" w:hAnsi="Palatino Linotype" w:cs="Arial"/>
          <w:lang w:val="es-ES"/>
        </w:rPr>
        <w:t xml:space="preserve"> </w:t>
      </w:r>
      <w:r w:rsidR="001A4BC9" w:rsidRPr="00E42F34">
        <w:rPr>
          <w:rFonts w:ascii="Palatino Linotype" w:eastAsia="Calibri" w:hAnsi="Palatino Linotype" w:cs="Arial"/>
          <w:lang w:val="es-ES"/>
        </w:rPr>
        <w:t>e</w:t>
      </w:r>
      <w:r w:rsidR="00554DF4" w:rsidRPr="00E42F34">
        <w:rPr>
          <w:rFonts w:ascii="Palatino Linotype" w:hAnsi="Palatino Linotype"/>
        </w:rPr>
        <w:t>l Comisionado Ponente decretó el cierre de instrucción</w:t>
      </w:r>
      <w:r w:rsidR="00D4135C" w:rsidRPr="00E42F34">
        <w:rPr>
          <w:rFonts w:ascii="Palatino Linotype" w:hAnsi="Palatino Linotype" w:cs="Arial"/>
        </w:rPr>
        <w:t>,</w:t>
      </w:r>
      <w:r w:rsidR="00F81283" w:rsidRPr="00E42F34">
        <w:rPr>
          <w:rFonts w:ascii="Palatino Linotype" w:hAnsi="Palatino Linotype" w:cs="Arial"/>
        </w:rPr>
        <w:t xml:space="preserve"> </w:t>
      </w:r>
      <w:r w:rsidR="00554DF4" w:rsidRPr="00E42F34">
        <w:rPr>
          <w:rFonts w:ascii="Palatino Linotype" w:hAnsi="Palatino Linotype" w:cs="Arial"/>
          <w:color w:val="000000" w:themeColor="text1"/>
        </w:rPr>
        <w:t xml:space="preserve">por lo que ordenó turnar el expediente para su resolución, misma que ahora se pronuncia; </w:t>
      </w:r>
      <w:r w:rsidR="00A131BA" w:rsidRPr="00E42F34">
        <w:rPr>
          <w:rFonts w:ascii="Palatino Linotype" w:hAnsi="Palatino Linotype" w:cs="Arial"/>
          <w:color w:val="000000" w:themeColor="text1"/>
        </w:rPr>
        <w:t>y -</w:t>
      </w:r>
      <w:r w:rsidR="00554DF4" w:rsidRPr="00E42F34">
        <w:rPr>
          <w:rFonts w:ascii="Palatino Linotype" w:hAnsi="Palatino Linotype" w:cs="Arial"/>
          <w:color w:val="000000" w:themeColor="text1"/>
        </w:rPr>
        <w:t xml:space="preserve"> - - - - - - - - - - </w:t>
      </w:r>
      <w:r w:rsidR="00554DF4" w:rsidRPr="00E42F34">
        <w:rPr>
          <w:rFonts w:ascii="Palatino Linotype" w:hAnsi="Palatino Linotype" w:cs="Arial"/>
        </w:rPr>
        <w:t xml:space="preserve">- </w:t>
      </w:r>
      <w:r w:rsidR="00A56957" w:rsidRPr="00E42F34">
        <w:rPr>
          <w:rFonts w:ascii="Palatino Linotype" w:hAnsi="Palatino Linotype" w:cs="Arial"/>
        </w:rPr>
        <w:t xml:space="preserve">- - </w:t>
      </w:r>
      <w:r w:rsidR="00F81283" w:rsidRPr="00E42F34">
        <w:rPr>
          <w:rFonts w:ascii="Palatino Linotype" w:hAnsi="Palatino Linotype" w:cs="Arial"/>
        </w:rPr>
        <w:t xml:space="preserve">- - - - - - - - - - - - - - - </w:t>
      </w:r>
    </w:p>
    <w:p w14:paraId="2AE09E9D" w14:textId="5A8AC9A9" w:rsidR="00D51107" w:rsidRPr="00E42F34" w:rsidRDefault="00D51107" w:rsidP="00D51107">
      <w:pPr>
        <w:spacing w:line="360" w:lineRule="auto"/>
        <w:jc w:val="both"/>
        <w:rPr>
          <w:rFonts w:ascii="Tahoma" w:hAnsi="Tahoma" w:cs="Tahoma"/>
        </w:rPr>
      </w:pPr>
    </w:p>
    <w:p w14:paraId="68DDE087" w14:textId="77777777" w:rsidR="00554DF4" w:rsidRPr="00E42F34" w:rsidRDefault="00554DF4" w:rsidP="00554DF4">
      <w:pPr>
        <w:pStyle w:val="Ttulo1"/>
        <w:jc w:val="center"/>
        <w:rPr>
          <w:b w:val="0"/>
          <w:szCs w:val="24"/>
        </w:rPr>
      </w:pPr>
      <w:bookmarkStart w:id="4" w:name="_Toc62756288"/>
      <w:r w:rsidRPr="00E42F34">
        <w:rPr>
          <w:szCs w:val="24"/>
        </w:rPr>
        <w:t>CONSIDERANDO</w:t>
      </w:r>
      <w:bookmarkEnd w:id="4"/>
      <w:r w:rsidRPr="00E42F34">
        <w:rPr>
          <w:szCs w:val="24"/>
        </w:rPr>
        <w:t xml:space="preserve"> </w:t>
      </w:r>
    </w:p>
    <w:p w14:paraId="22FB88E4" w14:textId="77777777" w:rsidR="00554DF4" w:rsidRPr="00E42F34" w:rsidRDefault="00554DF4" w:rsidP="00554DF4">
      <w:pPr>
        <w:rPr>
          <w:rFonts w:ascii="Palatino Linotype" w:hAnsi="Palatino Linotype"/>
          <w:lang w:val="es-MX" w:eastAsia="en-US"/>
        </w:rPr>
      </w:pPr>
    </w:p>
    <w:p w14:paraId="26BF6840" w14:textId="77777777" w:rsidR="00554DF4" w:rsidRPr="00E42F34" w:rsidRDefault="00554DF4" w:rsidP="00554DF4">
      <w:pPr>
        <w:pStyle w:val="Ttulo2"/>
        <w:rPr>
          <w:rFonts w:ascii="Palatino Linotype" w:hAnsi="Palatino Linotype"/>
          <w:b/>
          <w:bCs/>
          <w:color w:val="auto"/>
          <w:spacing w:val="60"/>
          <w:sz w:val="24"/>
        </w:rPr>
      </w:pPr>
      <w:bookmarkStart w:id="5" w:name="_Toc62756289"/>
      <w:r w:rsidRPr="00E42F34">
        <w:rPr>
          <w:rFonts w:ascii="Palatino Linotype" w:hAnsi="Palatino Linotype"/>
          <w:b/>
          <w:color w:val="auto"/>
          <w:sz w:val="24"/>
        </w:rPr>
        <w:t>PRIMERO. De la competencia</w:t>
      </w:r>
      <w:bookmarkEnd w:id="5"/>
    </w:p>
    <w:p w14:paraId="180F156D" w14:textId="77777777" w:rsidR="00554DF4" w:rsidRPr="00E42F3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E42F3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E42F34">
        <w:rPr>
          <w:rFonts w:ascii="Palatino Linotype" w:eastAsia="Calibri" w:hAnsi="Palatino Linotype" w:cs="Times New Roman"/>
          <w:lang w:val="es-ES"/>
        </w:rPr>
        <w:lastRenderedPageBreak/>
        <w:t xml:space="preserve">A, fracción IV de la </w:t>
      </w:r>
      <w:r w:rsidRPr="00E42F34">
        <w:rPr>
          <w:rFonts w:ascii="Palatino Linotype" w:eastAsia="Calibri" w:hAnsi="Palatino Linotype" w:cs="Times New Roman"/>
          <w:b/>
          <w:lang w:val="es-ES"/>
        </w:rPr>
        <w:t>Constitución Política de los Estados Unidos Mexicanos</w:t>
      </w:r>
      <w:r w:rsidRPr="00E42F34">
        <w:rPr>
          <w:rFonts w:ascii="Palatino Linotype" w:eastAsia="Calibri" w:hAnsi="Palatino Linotype" w:cs="Times New Roman"/>
          <w:lang w:val="es-ES"/>
        </w:rPr>
        <w:t xml:space="preserve">; 5, párrafos </w:t>
      </w:r>
      <w:r w:rsidRPr="00E42F34">
        <w:rPr>
          <w:rFonts w:ascii="Palatino Linotype" w:hAnsi="Palatino Linotype" w:cs="Arial"/>
          <w:bCs/>
          <w:color w:val="222222"/>
          <w:lang w:val="es-ES"/>
        </w:rPr>
        <w:t xml:space="preserve">vigésimo, vigésimo primero y vigésimo segundo </w:t>
      </w:r>
      <w:r w:rsidRPr="00E42F34">
        <w:rPr>
          <w:rFonts w:ascii="Palatino Linotype" w:eastAsia="Calibri" w:hAnsi="Palatino Linotype" w:cs="Times New Roman"/>
          <w:lang w:val="es-ES"/>
        </w:rPr>
        <w:t xml:space="preserve">fracciones IV y V de la </w:t>
      </w:r>
      <w:r w:rsidRPr="00E42F34">
        <w:rPr>
          <w:rFonts w:ascii="Palatino Linotype" w:eastAsia="Calibri" w:hAnsi="Palatino Linotype" w:cs="Times New Roman"/>
          <w:b/>
          <w:lang w:val="es-ES"/>
        </w:rPr>
        <w:t>Constitución Política del Estado Libre y Soberano de México</w:t>
      </w:r>
      <w:r w:rsidRPr="00E42F34">
        <w:rPr>
          <w:rFonts w:ascii="Palatino Linotype" w:eastAsia="Calibri" w:hAnsi="Palatino Linotype" w:cs="Times New Roman"/>
          <w:lang w:val="es-ES"/>
        </w:rPr>
        <w:t xml:space="preserve">; artículos 1, 2 fracción II, 13, 29, 36 fracciones I y II, 176, 178, 179, 181 párrafo tercero y 185 </w:t>
      </w:r>
      <w:r w:rsidRPr="00E42F34">
        <w:rPr>
          <w:rFonts w:ascii="Palatino Linotype" w:eastAsia="Calibri" w:hAnsi="Palatino Linotype" w:cs="Arial"/>
          <w:lang w:val="es-ES"/>
        </w:rPr>
        <w:t xml:space="preserve">de la </w:t>
      </w:r>
      <w:r w:rsidRPr="00E42F34">
        <w:rPr>
          <w:rFonts w:ascii="Palatino Linotype" w:eastAsia="Calibri" w:hAnsi="Palatino Linotype" w:cs="Arial"/>
          <w:b/>
          <w:lang w:val="es-ES"/>
        </w:rPr>
        <w:t>Ley de Transparencia y Acceso a la Información Pública del Estado de México y Municipios</w:t>
      </w:r>
      <w:r w:rsidRPr="00E42F34">
        <w:rPr>
          <w:rFonts w:ascii="Palatino Linotype" w:eastAsia="Calibri" w:hAnsi="Palatino Linotype" w:cs="Arial"/>
          <w:lang w:val="es-ES"/>
        </w:rPr>
        <w:t xml:space="preserve">; y 7, 9 fracciones I y XXIV, y 11 del </w:t>
      </w:r>
      <w:r w:rsidRPr="00E42F3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42F34">
        <w:rPr>
          <w:rFonts w:ascii="Palatino Linotype" w:hAnsi="Palatino Linotype"/>
        </w:rPr>
        <w:t>.</w:t>
      </w:r>
    </w:p>
    <w:p w14:paraId="15B5B697" w14:textId="77777777" w:rsidR="00554DF4" w:rsidRPr="00E42F34" w:rsidRDefault="00554DF4" w:rsidP="00554DF4">
      <w:pPr>
        <w:pStyle w:val="Ttulo2"/>
        <w:rPr>
          <w:rFonts w:ascii="Palatino Linotype" w:hAnsi="Palatino Linotype"/>
          <w:b/>
          <w:color w:val="auto"/>
          <w:sz w:val="24"/>
        </w:rPr>
      </w:pPr>
      <w:bookmarkStart w:id="6" w:name="_Toc62756290"/>
      <w:r w:rsidRPr="00E42F34">
        <w:rPr>
          <w:rFonts w:ascii="Palatino Linotype" w:hAnsi="Palatino Linotype"/>
          <w:b/>
          <w:color w:val="auto"/>
          <w:sz w:val="24"/>
        </w:rPr>
        <w:t>SEGUNDO. De la oportunidad y procedencia.</w:t>
      </w:r>
      <w:bookmarkEnd w:id="6"/>
    </w:p>
    <w:p w14:paraId="50CF9C3E" w14:textId="34D434D4" w:rsidR="00D51107" w:rsidRPr="00E42F34" w:rsidRDefault="00554DF4" w:rsidP="00D51107">
      <w:pPr>
        <w:pStyle w:val="Prrafodelista"/>
        <w:numPr>
          <w:ilvl w:val="0"/>
          <w:numId w:val="1"/>
        </w:numPr>
        <w:spacing w:before="240" w:after="240" w:line="360" w:lineRule="auto"/>
        <w:ind w:left="0" w:right="49" w:firstLine="0"/>
        <w:jc w:val="both"/>
        <w:rPr>
          <w:rFonts w:ascii="Palatino Linotype" w:hAnsi="Palatino Linotype"/>
        </w:rPr>
      </w:pPr>
      <w:r w:rsidRPr="00E42F34">
        <w:rPr>
          <w:rFonts w:ascii="Palatino Linotype" w:eastAsia="Calibri" w:hAnsi="Palatino Linotype" w:cs="Arial"/>
        </w:rPr>
        <w:t xml:space="preserve">El medio de impugnación fue presentado a través del </w:t>
      </w:r>
      <w:r w:rsidRPr="00E42F34">
        <w:rPr>
          <w:rFonts w:ascii="Palatino Linotype" w:eastAsia="Calibri" w:hAnsi="Palatino Linotype" w:cs="Arial"/>
          <w:b/>
        </w:rPr>
        <w:t>SAIMEX,</w:t>
      </w:r>
      <w:r w:rsidRPr="00E42F34">
        <w:rPr>
          <w:rFonts w:ascii="Palatino Linotype" w:eastAsia="Calibri" w:hAnsi="Palatino Linotype" w:cs="Arial"/>
        </w:rPr>
        <w:t xml:space="preserve"> en el formato previamente aprobado para tal efecto y dentro del plazo legal de quince días hábiles otorgados; siendo así que el </w:t>
      </w:r>
      <w:r w:rsidRPr="00E42F34">
        <w:rPr>
          <w:rFonts w:ascii="Palatino Linotype" w:eastAsia="Calibri" w:hAnsi="Palatino Linotype" w:cs="Arial"/>
          <w:b/>
        </w:rPr>
        <w:t>SUJETO OBLIGADO</w:t>
      </w:r>
      <w:r w:rsidRPr="00E42F34">
        <w:rPr>
          <w:rFonts w:ascii="Palatino Linotype" w:eastAsia="Calibri" w:hAnsi="Palatino Linotype" w:cs="Arial"/>
        </w:rPr>
        <w:t xml:space="preserve"> entregó</w:t>
      </w:r>
      <w:r w:rsidR="00AF705E" w:rsidRPr="00E42F34">
        <w:rPr>
          <w:rFonts w:ascii="Palatino Linotype" w:eastAsia="Calibri" w:hAnsi="Palatino Linotype" w:cs="Arial"/>
        </w:rPr>
        <w:t xml:space="preserve"> respuesta a la solicitud el </w:t>
      </w:r>
      <w:r w:rsidR="00324304" w:rsidRPr="00E42F34">
        <w:rPr>
          <w:rFonts w:ascii="Palatino Linotype" w:eastAsia="Calibri" w:hAnsi="Palatino Linotype" w:cs="Arial"/>
        </w:rPr>
        <w:t>d</w:t>
      </w:r>
      <w:r w:rsidR="00D4135C" w:rsidRPr="00E42F34">
        <w:rPr>
          <w:rFonts w:ascii="Palatino Linotype" w:eastAsia="Calibri" w:hAnsi="Palatino Linotype" w:cs="Arial"/>
        </w:rPr>
        <w:t>ie</w:t>
      </w:r>
      <w:r w:rsidR="00324304" w:rsidRPr="00E42F34">
        <w:rPr>
          <w:rFonts w:ascii="Palatino Linotype" w:eastAsia="Calibri" w:hAnsi="Palatino Linotype" w:cs="Arial"/>
        </w:rPr>
        <w:t>c</w:t>
      </w:r>
      <w:r w:rsidR="00D4135C" w:rsidRPr="00E42F34">
        <w:rPr>
          <w:rFonts w:ascii="Palatino Linotype" w:eastAsia="Calibri" w:hAnsi="Palatino Linotype" w:cs="Arial"/>
        </w:rPr>
        <w:t>iocho</w:t>
      </w:r>
      <w:r w:rsidR="00D51107" w:rsidRPr="00E42F34">
        <w:rPr>
          <w:rFonts w:ascii="Palatino Linotype" w:eastAsia="Calibri" w:hAnsi="Palatino Linotype" w:cs="Arial"/>
        </w:rPr>
        <w:t xml:space="preserve"> </w:t>
      </w:r>
      <w:r w:rsidRPr="00E42F34">
        <w:rPr>
          <w:rFonts w:ascii="Palatino Linotype" w:eastAsia="Calibri" w:hAnsi="Palatino Linotype" w:cs="Arial"/>
        </w:rPr>
        <w:t>(</w:t>
      </w:r>
      <w:r w:rsidR="00D51107" w:rsidRPr="00E42F34">
        <w:rPr>
          <w:rFonts w:ascii="Palatino Linotype" w:eastAsia="Calibri" w:hAnsi="Palatino Linotype" w:cs="Arial"/>
        </w:rPr>
        <w:t>1</w:t>
      </w:r>
      <w:r w:rsidR="00D4135C" w:rsidRPr="00E42F34">
        <w:rPr>
          <w:rFonts w:ascii="Palatino Linotype" w:eastAsia="Calibri" w:hAnsi="Palatino Linotype" w:cs="Arial"/>
        </w:rPr>
        <w:t>8</w:t>
      </w:r>
      <w:r w:rsidR="00135E7D" w:rsidRPr="00E42F34">
        <w:rPr>
          <w:rFonts w:ascii="Palatino Linotype" w:eastAsia="Calibri" w:hAnsi="Palatino Linotype" w:cs="Arial"/>
        </w:rPr>
        <w:t>)</w:t>
      </w:r>
      <w:r w:rsidRPr="00E42F34">
        <w:rPr>
          <w:rFonts w:ascii="Palatino Linotype" w:eastAsia="Calibri" w:hAnsi="Palatino Linotype" w:cs="Arial"/>
        </w:rPr>
        <w:t xml:space="preserve"> de </w:t>
      </w:r>
      <w:r w:rsidR="00D4135C" w:rsidRPr="00E42F34">
        <w:rPr>
          <w:rFonts w:ascii="Palatino Linotype" w:eastAsia="Calibri" w:hAnsi="Palatino Linotype" w:cs="Arial"/>
        </w:rPr>
        <w:t>noviembre</w:t>
      </w:r>
      <w:r w:rsidRPr="00E42F34">
        <w:rPr>
          <w:rFonts w:ascii="Palatino Linotype" w:eastAsia="Calibri" w:hAnsi="Palatino Linotype" w:cs="Arial"/>
        </w:rPr>
        <w:t xml:space="preserve"> de dos mil </w:t>
      </w:r>
      <w:r w:rsidR="00A14C74" w:rsidRPr="00E42F34">
        <w:rPr>
          <w:rFonts w:ascii="Palatino Linotype" w:eastAsia="Calibri" w:hAnsi="Palatino Linotype" w:cs="Arial"/>
        </w:rPr>
        <w:t>veinte</w:t>
      </w:r>
      <w:r w:rsidRPr="00E42F34">
        <w:rPr>
          <w:rFonts w:ascii="Palatino Linotype" w:eastAsia="Calibri" w:hAnsi="Palatino Linotype" w:cs="Arial"/>
        </w:rPr>
        <w:t xml:space="preserve">, </w:t>
      </w:r>
      <w:r w:rsidRPr="00E42F34">
        <w:rPr>
          <w:rFonts w:ascii="Palatino Linotype" w:hAnsi="Palatino Linotype" w:cs="Arial"/>
        </w:rPr>
        <w:t>de tal forma que el plazo para interponer el recu</w:t>
      </w:r>
      <w:r w:rsidR="00D928CA" w:rsidRPr="00E42F34">
        <w:rPr>
          <w:rFonts w:ascii="Palatino Linotype" w:hAnsi="Palatino Linotype" w:cs="Arial"/>
        </w:rPr>
        <w:t>rso de revisión transcurrió del</w:t>
      </w:r>
      <w:r w:rsidR="00AA15CC" w:rsidRPr="00E42F34">
        <w:rPr>
          <w:rFonts w:ascii="Palatino Linotype" w:hAnsi="Palatino Linotype" w:cs="Arial"/>
        </w:rPr>
        <w:t xml:space="preserve"> </w:t>
      </w:r>
      <w:r w:rsidR="00D4135C" w:rsidRPr="00E42F34">
        <w:rPr>
          <w:rFonts w:ascii="Palatino Linotype" w:hAnsi="Palatino Linotype" w:cs="Arial"/>
        </w:rPr>
        <w:t>diecinueve</w:t>
      </w:r>
      <w:r w:rsidR="00C76369" w:rsidRPr="00E42F34">
        <w:rPr>
          <w:rFonts w:ascii="Palatino Linotype" w:hAnsi="Palatino Linotype" w:cs="Arial"/>
        </w:rPr>
        <w:t xml:space="preserve"> </w:t>
      </w:r>
      <w:r w:rsidRPr="00E42F34">
        <w:rPr>
          <w:rFonts w:ascii="Palatino Linotype" w:hAnsi="Palatino Linotype" w:cs="Arial"/>
        </w:rPr>
        <w:t>(</w:t>
      </w:r>
      <w:r w:rsidR="00D4135C" w:rsidRPr="00E42F34">
        <w:rPr>
          <w:rFonts w:ascii="Palatino Linotype" w:hAnsi="Palatino Linotype" w:cs="Arial"/>
        </w:rPr>
        <w:t>19</w:t>
      </w:r>
      <w:r w:rsidRPr="00E42F34">
        <w:rPr>
          <w:rFonts w:ascii="Palatino Linotype" w:hAnsi="Palatino Linotype" w:cs="Arial"/>
        </w:rPr>
        <w:t>)</w:t>
      </w:r>
      <w:r w:rsidR="00DE1158" w:rsidRPr="00E42F34">
        <w:rPr>
          <w:rFonts w:ascii="Palatino Linotype" w:hAnsi="Palatino Linotype" w:cs="Arial"/>
        </w:rPr>
        <w:t xml:space="preserve"> </w:t>
      </w:r>
      <w:r w:rsidR="007B4006" w:rsidRPr="00E42F34">
        <w:rPr>
          <w:rFonts w:ascii="Palatino Linotype" w:hAnsi="Palatino Linotype" w:cs="Arial"/>
        </w:rPr>
        <w:t xml:space="preserve">de </w:t>
      </w:r>
      <w:r w:rsidR="00D4135C" w:rsidRPr="00E42F34">
        <w:rPr>
          <w:rFonts w:ascii="Palatino Linotype" w:hAnsi="Palatino Linotype" w:cs="Arial"/>
        </w:rPr>
        <w:t>noviembre</w:t>
      </w:r>
      <w:r w:rsidR="007B4006" w:rsidRPr="00E42F34">
        <w:rPr>
          <w:rFonts w:ascii="Palatino Linotype" w:hAnsi="Palatino Linotype" w:cs="Arial"/>
        </w:rPr>
        <w:t xml:space="preserve"> al </w:t>
      </w:r>
      <w:r w:rsidR="00D4135C" w:rsidRPr="00E42F34">
        <w:rPr>
          <w:rFonts w:ascii="Palatino Linotype" w:hAnsi="Palatino Linotype" w:cs="Arial"/>
        </w:rPr>
        <w:t>nueve</w:t>
      </w:r>
      <w:r w:rsidR="00DE1158" w:rsidRPr="00E42F34">
        <w:rPr>
          <w:rFonts w:ascii="Palatino Linotype" w:hAnsi="Palatino Linotype" w:cs="Arial"/>
        </w:rPr>
        <w:t xml:space="preserve"> (</w:t>
      </w:r>
      <w:r w:rsidR="00D4135C" w:rsidRPr="00E42F34">
        <w:rPr>
          <w:rFonts w:ascii="Palatino Linotype" w:hAnsi="Palatino Linotype" w:cs="Arial"/>
        </w:rPr>
        <w:t>9</w:t>
      </w:r>
      <w:r w:rsidR="00324304" w:rsidRPr="00E42F34">
        <w:rPr>
          <w:rFonts w:ascii="Palatino Linotype" w:hAnsi="Palatino Linotype" w:cs="Arial"/>
        </w:rPr>
        <w:t>)</w:t>
      </w:r>
      <w:r w:rsidR="00D928CA" w:rsidRPr="00E42F34">
        <w:rPr>
          <w:rFonts w:ascii="Palatino Linotype" w:hAnsi="Palatino Linotype" w:cs="Arial"/>
        </w:rPr>
        <w:t xml:space="preserve"> </w:t>
      </w:r>
      <w:r w:rsidR="00C76369" w:rsidRPr="00E42F34">
        <w:rPr>
          <w:rFonts w:ascii="Palatino Linotype" w:hAnsi="Palatino Linotype" w:cs="Arial"/>
        </w:rPr>
        <w:t xml:space="preserve">de </w:t>
      </w:r>
      <w:r w:rsidR="00D4135C" w:rsidRPr="00E42F34">
        <w:rPr>
          <w:rFonts w:ascii="Palatino Linotype" w:hAnsi="Palatino Linotype" w:cs="Arial"/>
        </w:rPr>
        <w:t>diciembre</w:t>
      </w:r>
      <w:r w:rsidR="00C76369" w:rsidRPr="00E42F34">
        <w:rPr>
          <w:rFonts w:ascii="Palatino Linotype" w:hAnsi="Palatino Linotype" w:cs="Arial"/>
        </w:rPr>
        <w:t xml:space="preserve"> </w:t>
      </w:r>
      <w:r w:rsidR="00D928CA" w:rsidRPr="00E42F34">
        <w:rPr>
          <w:rFonts w:ascii="Palatino Linotype" w:hAnsi="Palatino Linotype" w:cs="Arial"/>
        </w:rPr>
        <w:t xml:space="preserve">de </w:t>
      </w:r>
      <w:r w:rsidR="00CE5D17" w:rsidRPr="00E42F34">
        <w:rPr>
          <w:rFonts w:ascii="Palatino Linotype" w:hAnsi="Palatino Linotype" w:cs="Arial"/>
        </w:rPr>
        <w:t xml:space="preserve">dos mil </w:t>
      </w:r>
      <w:r w:rsidR="00A14C74" w:rsidRPr="00E42F34">
        <w:rPr>
          <w:rFonts w:ascii="Palatino Linotype" w:hAnsi="Palatino Linotype" w:cs="Arial"/>
        </w:rPr>
        <w:t>veinte</w:t>
      </w:r>
      <w:r w:rsidRPr="00E42F34">
        <w:rPr>
          <w:rFonts w:ascii="Palatino Linotype" w:hAnsi="Palatino Linotype" w:cs="Arial"/>
        </w:rPr>
        <w:t>; en consecuencia, presen</w:t>
      </w:r>
      <w:r w:rsidR="006B009B" w:rsidRPr="00E42F34">
        <w:rPr>
          <w:rFonts w:ascii="Palatino Linotype" w:hAnsi="Palatino Linotype" w:cs="Arial"/>
        </w:rPr>
        <w:t>tó su inconformidad el día</w:t>
      </w:r>
      <w:r w:rsidR="00DB779D" w:rsidRPr="00E42F34">
        <w:rPr>
          <w:rFonts w:ascii="Palatino Linotype" w:hAnsi="Palatino Linotype" w:cs="Arial"/>
        </w:rPr>
        <w:t xml:space="preserve"> </w:t>
      </w:r>
      <w:r w:rsidR="00D4135C" w:rsidRPr="00E42F34">
        <w:rPr>
          <w:rFonts w:ascii="Palatino Linotype" w:hAnsi="Palatino Linotype" w:cs="Arial"/>
        </w:rPr>
        <w:t>tres</w:t>
      </w:r>
      <w:r w:rsidR="00135E7D" w:rsidRPr="00E42F34">
        <w:rPr>
          <w:rFonts w:ascii="Palatino Linotype" w:hAnsi="Palatino Linotype" w:cs="Arial"/>
        </w:rPr>
        <w:t xml:space="preserve"> </w:t>
      </w:r>
      <w:r w:rsidR="00324304" w:rsidRPr="00E42F34">
        <w:rPr>
          <w:rFonts w:ascii="Palatino Linotype" w:eastAsia="Calibri" w:hAnsi="Palatino Linotype" w:cs="Arial"/>
        </w:rPr>
        <w:t>(</w:t>
      </w:r>
      <w:r w:rsidR="00D4135C" w:rsidRPr="00E42F34">
        <w:rPr>
          <w:rFonts w:ascii="Palatino Linotype" w:eastAsia="Calibri" w:hAnsi="Palatino Linotype" w:cs="Arial"/>
        </w:rPr>
        <w:t>3</w:t>
      </w:r>
      <w:r w:rsidR="00CE5D17" w:rsidRPr="00E42F34">
        <w:rPr>
          <w:rFonts w:ascii="Palatino Linotype" w:eastAsia="Calibri" w:hAnsi="Palatino Linotype" w:cs="Arial"/>
        </w:rPr>
        <w:t xml:space="preserve">) de </w:t>
      </w:r>
      <w:r w:rsidR="00D4135C" w:rsidRPr="00E42F34">
        <w:rPr>
          <w:rFonts w:ascii="Palatino Linotype" w:eastAsia="Calibri" w:hAnsi="Palatino Linotype" w:cs="Arial"/>
        </w:rPr>
        <w:t>diciembre</w:t>
      </w:r>
      <w:r w:rsidR="00CE5D17" w:rsidRPr="00E42F34">
        <w:rPr>
          <w:rFonts w:ascii="Palatino Linotype" w:eastAsia="Calibri" w:hAnsi="Palatino Linotype" w:cs="Arial"/>
        </w:rPr>
        <w:t xml:space="preserve"> </w:t>
      </w:r>
      <w:r w:rsidRPr="00E42F34">
        <w:rPr>
          <w:rFonts w:ascii="Palatino Linotype" w:eastAsia="Calibri" w:hAnsi="Palatino Linotype" w:cs="Arial"/>
        </w:rPr>
        <w:t xml:space="preserve">de dos mil </w:t>
      </w:r>
      <w:r w:rsidR="00DB779D" w:rsidRPr="00E42F34">
        <w:rPr>
          <w:rFonts w:ascii="Palatino Linotype" w:eastAsia="Calibri" w:hAnsi="Palatino Linotype" w:cs="Arial"/>
        </w:rPr>
        <w:t>veinte</w:t>
      </w:r>
      <w:r w:rsidRPr="00E42F34">
        <w:rPr>
          <w:rFonts w:ascii="Palatino Linotype" w:hAnsi="Palatino Linotype" w:cs="Arial"/>
        </w:rPr>
        <w:t xml:space="preserve">, por lo que se encuentra dentro de los márgenes temporales previstos en el artículo 178 de la </w:t>
      </w:r>
      <w:r w:rsidRPr="00E42F34">
        <w:rPr>
          <w:rFonts w:ascii="Palatino Linotype" w:hAnsi="Palatino Linotype" w:cs="Arial"/>
          <w:b/>
        </w:rPr>
        <w:t>Ley de Transparencia y Acceso a la Información Pública del Estado de México y Municipios vigente.</w:t>
      </w:r>
    </w:p>
    <w:p w14:paraId="4BFB8028" w14:textId="77777777" w:rsidR="00746061" w:rsidRPr="00E42F34" w:rsidRDefault="00746061" w:rsidP="00746061">
      <w:pPr>
        <w:pStyle w:val="Prrafodelista"/>
        <w:spacing w:before="240" w:after="240" w:line="360" w:lineRule="auto"/>
        <w:ind w:left="0" w:right="49"/>
        <w:jc w:val="both"/>
        <w:rPr>
          <w:rFonts w:ascii="Palatino Linotype" w:hAnsi="Palatino Linotype"/>
        </w:rPr>
      </w:pPr>
    </w:p>
    <w:p w14:paraId="5A6CAF1D" w14:textId="77777777" w:rsidR="00746061" w:rsidRPr="00E42F34" w:rsidRDefault="00746061" w:rsidP="00746061">
      <w:pPr>
        <w:pStyle w:val="Prrafodelista"/>
        <w:numPr>
          <w:ilvl w:val="0"/>
          <w:numId w:val="1"/>
        </w:numPr>
        <w:spacing w:before="240" w:after="240" w:line="360" w:lineRule="auto"/>
        <w:ind w:left="0" w:firstLine="0"/>
        <w:jc w:val="both"/>
        <w:rPr>
          <w:rFonts w:ascii="Palatino Linotype" w:hAnsi="Palatino Linotype"/>
        </w:rPr>
      </w:pPr>
      <w:r w:rsidRPr="00E42F34">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E42F34">
        <w:rPr>
          <w:rFonts w:ascii="Palatino Linotype" w:eastAsia="Calibri" w:hAnsi="Palatino Linotype" w:cs="Times New Roman"/>
          <w:b/>
          <w:lang w:val="es-ES"/>
        </w:rPr>
        <w:t xml:space="preserve">no proporciona su nombre completo </w:t>
      </w:r>
      <w:r w:rsidRPr="00E42F34">
        <w:rPr>
          <w:rFonts w:ascii="Palatino Linotype" w:eastAsia="Calibri" w:hAnsi="Palatino Linotype" w:cs="Times New Roman"/>
          <w:b/>
          <w:lang w:val="es-ES"/>
        </w:rPr>
        <w:lastRenderedPageBreak/>
        <w:t xml:space="preserve">para que sea </w:t>
      </w:r>
      <w:r w:rsidRPr="00E42F34">
        <w:rPr>
          <w:rFonts w:ascii="Palatino Linotype" w:eastAsia="Calibri" w:hAnsi="Palatino Linotype" w:cs="Times New Roman"/>
          <w:b/>
          <w:u w:val="single"/>
          <w:lang w:val="es-ES"/>
        </w:rPr>
        <w:t>identificado</w:t>
      </w:r>
      <w:r w:rsidRPr="00E42F34">
        <w:rPr>
          <w:rFonts w:ascii="Palatino Linotype" w:eastAsia="Calibri" w:hAnsi="Palatino Linotype" w:cs="Times New Roman"/>
          <w:b/>
          <w:lang w:val="es-ES"/>
        </w:rPr>
        <w:t>,</w:t>
      </w:r>
      <w:r w:rsidRPr="00E42F34">
        <w:rPr>
          <w:rFonts w:ascii="Palatino Linotype" w:eastAsia="Calibri" w:hAnsi="Palatino Linotype" w:cs="Times New Roman"/>
          <w:lang w:val="es-ES"/>
        </w:rPr>
        <w:t xml:space="preserve"> ni se tiene la certeza sobre su identidad, sin embargo, es importante señalar también que </w:t>
      </w:r>
      <w:r w:rsidRPr="00E42F34">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686DE8E" w14:textId="77777777" w:rsidR="00746061" w:rsidRPr="00E42F34" w:rsidRDefault="00746061" w:rsidP="00746061">
      <w:pPr>
        <w:pStyle w:val="Prrafodelista"/>
        <w:rPr>
          <w:rFonts w:ascii="Palatino Linotype" w:hAnsi="Palatino Linotype"/>
        </w:rPr>
      </w:pPr>
    </w:p>
    <w:p w14:paraId="4F149A18" w14:textId="0A7061E4" w:rsidR="00746061" w:rsidRPr="00E42F34" w:rsidRDefault="00746061" w:rsidP="00746061">
      <w:pPr>
        <w:pStyle w:val="Prrafodelista"/>
        <w:numPr>
          <w:ilvl w:val="0"/>
          <w:numId w:val="1"/>
        </w:numPr>
        <w:spacing w:before="240" w:after="240" w:line="360" w:lineRule="auto"/>
        <w:ind w:left="0" w:firstLine="0"/>
        <w:jc w:val="both"/>
        <w:rPr>
          <w:rFonts w:ascii="Palatino Linotype" w:hAnsi="Palatino Linotype"/>
        </w:rPr>
      </w:pPr>
      <w:r w:rsidRPr="00E42F34">
        <w:rPr>
          <w:rFonts w:ascii="Palatino Linotype" w:eastAsia="Calibri" w:hAnsi="Palatino Linotype" w:cs="Times New Roman"/>
          <w:lang w:val="es-ES"/>
        </w:rPr>
        <w:t xml:space="preserve">Esto es así, ya que de conformidad con los artículos 6, apartado A, fracciones III y IV de la </w:t>
      </w:r>
      <w:r w:rsidRPr="00E42F34">
        <w:rPr>
          <w:rFonts w:ascii="Palatino Linotype" w:eastAsia="Calibri" w:hAnsi="Palatino Linotype" w:cs="Times New Roman"/>
          <w:b/>
          <w:lang w:val="es-ES"/>
        </w:rPr>
        <w:t>Constitución Política de los Estados Unidos Mexicanos</w:t>
      </w:r>
      <w:r w:rsidRPr="00E42F34">
        <w:rPr>
          <w:rFonts w:ascii="Palatino Linotype" w:eastAsia="Calibri" w:hAnsi="Palatino Linotype" w:cs="Times New Roman"/>
          <w:lang w:val="es-ES"/>
        </w:rPr>
        <w:t xml:space="preserve">; 5, párrafos vigésimo, vigésimo primero y vigésimo segundo fracciones III, IV y V de la </w:t>
      </w:r>
      <w:r w:rsidRPr="00E42F34">
        <w:rPr>
          <w:rFonts w:ascii="Palatino Linotype" w:eastAsia="Calibri" w:hAnsi="Palatino Linotype" w:cs="Times New Roman"/>
          <w:b/>
          <w:lang w:val="es-ES"/>
        </w:rPr>
        <w:t>Constitución Política del Estado Libre y Soberano de México</w:t>
      </w:r>
      <w:r w:rsidRPr="00E42F34">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8179A93" w14:textId="77777777" w:rsidR="00746061" w:rsidRPr="00E42F34" w:rsidRDefault="00746061" w:rsidP="00746061">
      <w:pPr>
        <w:pStyle w:val="Prrafodelista"/>
        <w:rPr>
          <w:rFonts w:ascii="Palatino Linotype" w:hAnsi="Palatino Linotype"/>
        </w:rPr>
      </w:pPr>
    </w:p>
    <w:p w14:paraId="64686082" w14:textId="77777777" w:rsidR="00746061" w:rsidRPr="00E42F34" w:rsidRDefault="00746061" w:rsidP="00746061">
      <w:pPr>
        <w:pStyle w:val="Prrafodelista"/>
        <w:numPr>
          <w:ilvl w:val="0"/>
          <w:numId w:val="1"/>
        </w:numPr>
        <w:spacing w:before="240" w:after="240" w:line="360" w:lineRule="auto"/>
        <w:ind w:left="0" w:firstLine="0"/>
        <w:jc w:val="both"/>
        <w:rPr>
          <w:rFonts w:ascii="Palatino Linotype" w:hAnsi="Palatino Linotype"/>
        </w:rPr>
      </w:pPr>
      <w:r w:rsidRPr="00E42F34">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4B5A9C" w14:textId="77777777" w:rsidR="00746061" w:rsidRPr="00E42F34" w:rsidRDefault="00746061" w:rsidP="00746061">
      <w:pPr>
        <w:pStyle w:val="Prrafodelista"/>
        <w:spacing w:line="360" w:lineRule="auto"/>
        <w:ind w:left="0"/>
        <w:rPr>
          <w:rFonts w:ascii="Palatino Linotype" w:hAnsi="Palatino Linotype"/>
        </w:rPr>
      </w:pPr>
    </w:p>
    <w:p w14:paraId="4CDFBE0E" w14:textId="200057DE" w:rsidR="00746061" w:rsidRPr="00E42F34" w:rsidRDefault="00746061" w:rsidP="00746061">
      <w:pPr>
        <w:pStyle w:val="Prrafodelista"/>
        <w:numPr>
          <w:ilvl w:val="0"/>
          <w:numId w:val="1"/>
        </w:numPr>
        <w:spacing w:before="240" w:after="240" w:line="360" w:lineRule="auto"/>
        <w:ind w:left="0" w:firstLine="0"/>
        <w:jc w:val="both"/>
        <w:rPr>
          <w:rFonts w:ascii="Palatino Linotype" w:hAnsi="Palatino Linotype"/>
        </w:rPr>
      </w:pPr>
      <w:r w:rsidRPr="00E42F3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78F9EBD" w14:textId="77777777" w:rsidR="00746061" w:rsidRPr="00E42F34" w:rsidRDefault="00746061" w:rsidP="00746061">
      <w:pPr>
        <w:pStyle w:val="Prrafodelista"/>
        <w:rPr>
          <w:rFonts w:ascii="Palatino Linotype" w:hAnsi="Palatino Linotype"/>
        </w:rPr>
      </w:pPr>
    </w:p>
    <w:p w14:paraId="12A98EF9" w14:textId="75768284" w:rsidR="00746061" w:rsidRPr="00E42F34" w:rsidRDefault="00746061" w:rsidP="00746061">
      <w:pPr>
        <w:pStyle w:val="Prrafodelista"/>
        <w:numPr>
          <w:ilvl w:val="0"/>
          <w:numId w:val="1"/>
        </w:numPr>
        <w:spacing w:before="240" w:after="240" w:line="360" w:lineRule="auto"/>
        <w:ind w:left="0" w:firstLine="0"/>
        <w:jc w:val="both"/>
        <w:rPr>
          <w:rFonts w:ascii="Palatino Linotype" w:hAnsi="Palatino Linotype"/>
        </w:rPr>
      </w:pPr>
      <w:r w:rsidRPr="00E42F34">
        <w:rPr>
          <w:rFonts w:ascii="Palatino Linotype" w:eastAsia="Calibri" w:hAnsi="Palatino Linotype" w:cs="Times New Roman"/>
          <w:lang w:val="es-ES"/>
        </w:rPr>
        <w:t>Por</w:t>
      </w:r>
      <w:r w:rsidRPr="00E42F34">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BD62929" w14:textId="77777777" w:rsidR="003762DC" w:rsidRPr="00E42F34" w:rsidRDefault="003762DC" w:rsidP="003762DC">
      <w:pPr>
        <w:pStyle w:val="Prrafodelista"/>
        <w:spacing w:before="240" w:after="240" w:line="360" w:lineRule="auto"/>
        <w:ind w:left="0" w:right="49"/>
        <w:jc w:val="both"/>
        <w:rPr>
          <w:rFonts w:ascii="Palatino Linotype" w:hAnsi="Palatino Linotype"/>
        </w:rPr>
      </w:pPr>
    </w:p>
    <w:p w14:paraId="6809B7D5" w14:textId="3E00EE05" w:rsidR="00554DF4" w:rsidRPr="00E42F3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E42F3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E42F34" w:rsidRDefault="00D928CA" w:rsidP="0062596E">
      <w:pPr>
        <w:pStyle w:val="Ttulo1"/>
      </w:pPr>
      <w:bookmarkStart w:id="7" w:name="_Toc62756291"/>
      <w:r w:rsidRPr="00E42F34">
        <w:t xml:space="preserve">TERCERO. </w:t>
      </w:r>
      <w:r w:rsidR="00A86EBA" w:rsidRPr="00E42F34">
        <w:t>Planteamiento de la Litis.</w:t>
      </w:r>
      <w:bookmarkEnd w:id="7"/>
      <w:r w:rsidR="000F05A0" w:rsidRPr="00E42F34">
        <w:t xml:space="preserve"> </w:t>
      </w:r>
    </w:p>
    <w:p w14:paraId="1336F9FD" w14:textId="4ABD063F" w:rsidR="00DB1271" w:rsidRPr="00E42F34" w:rsidRDefault="00D4135C" w:rsidP="00A86EBA">
      <w:pPr>
        <w:pStyle w:val="Prrafodelista"/>
        <w:numPr>
          <w:ilvl w:val="0"/>
          <w:numId w:val="1"/>
        </w:numPr>
        <w:spacing w:before="240" w:after="240" w:line="360" w:lineRule="auto"/>
        <w:ind w:left="0" w:right="49" w:firstLine="0"/>
        <w:jc w:val="both"/>
        <w:rPr>
          <w:rFonts w:ascii="Palatino Linotype" w:hAnsi="Palatino Linotype"/>
          <w:bCs/>
        </w:rPr>
      </w:pPr>
      <w:r w:rsidRPr="00E42F34">
        <w:rPr>
          <w:rFonts w:ascii="Palatino Linotype" w:hAnsi="Palatino Linotype"/>
          <w:bCs/>
        </w:rPr>
        <w:t xml:space="preserve">Se solicitó en formato abierto </w:t>
      </w:r>
      <w:r w:rsidR="00DB1271" w:rsidRPr="00E42F34">
        <w:rPr>
          <w:rFonts w:ascii="Palatino Linotype" w:hAnsi="Palatino Linotype"/>
          <w:bCs/>
        </w:rPr>
        <w:t>todas las erogaciones realizadas para atender la Alerta de Género contra las Mujeres, así como su soporte documental, desde que se tenga registro a la fecha en que se presentó la solicitud, es decir, 17 de noviembre de 2020.</w:t>
      </w:r>
    </w:p>
    <w:p w14:paraId="732FCD1C" w14:textId="0BDC8DC8" w:rsidR="00DB1271" w:rsidRPr="00E42F34" w:rsidRDefault="00DB1271" w:rsidP="00DB1271">
      <w:pPr>
        <w:pStyle w:val="Prrafodelista"/>
        <w:spacing w:before="240" w:after="240" w:line="360" w:lineRule="auto"/>
        <w:ind w:left="0" w:right="49"/>
        <w:jc w:val="both"/>
        <w:rPr>
          <w:rFonts w:ascii="Palatino Linotype" w:hAnsi="Palatino Linotype"/>
          <w:bCs/>
        </w:rPr>
      </w:pPr>
    </w:p>
    <w:p w14:paraId="37905671" w14:textId="2D0B01F0" w:rsidR="00324304" w:rsidRPr="00E42F34"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E42F34">
        <w:rPr>
          <w:rFonts w:ascii="Palatino Linotype" w:hAnsi="Palatino Linotype"/>
          <w:bCs/>
        </w:rPr>
        <w:lastRenderedPageBreak/>
        <w:t>E</w:t>
      </w:r>
      <w:r w:rsidR="00DB1271" w:rsidRPr="00E42F34">
        <w:rPr>
          <w:rFonts w:ascii="Palatino Linotype" w:hAnsi="Palatino Linotype"/>
          <w:bCs/>
        </w:rPr>
        <w:t>l Sujeto Obligado manifestó ser incompetente para atender la solicitud de información.</w:t>
      </w:r>
    </w:p>
    <w:p w14:paraId="2D83326A" w14:textId="77777777" w:rsidR="00324304" w:rsidRPr="00E42F34" w:rsidRDefault="00324304" w:rsidP="00324304">
      <w:pPr>
        <w:pStyle w:val="Prrafodelista"/>
        <w:spacing w:before="240" w:after="240" w:line="360" w:lineRule="auto"/>
        <w:ind w:left="0" w:right="49"/>
        <w:jc w:val="both"/>
        <w:rPr>
          <w:rFonts w:ascii="Palatino Linotype" w:hAnsi="Palatino Linotype"/>
          <w:bCs/>
        </w:rPr>
      </w:pPr>
    </w:p>
    <w:p w14:paraId="67240659" w14:textId="0B889BA9" w:rsidR="00C24D0E" w:rsidRPr="00E42F34" w:rsidRDefault="00C24D0E" w:rsidP="00BF0E05">
      <w:pPr>
        <w:pStyle w:val="Prrafodelista"/>
        <w:numPr>
          <w:ilvl w:val="0"/>
          <w:numId w:val="1"/>
        </w:numPr>
        <w:spacing w:before="240" w:after="240" w:line="360" w:lineRule="auto"/>
        <w:ind w:left="0" w:right="49" w:firstLine="0"/>
        <w:jc w:val="both"/>
        <w:rPr>
          <w:rFonts w:ascii="Palatino Linotype" w:hAnsi="Palatino Linotype"/>
          <w:bCs/>
        </w:rPr>
      </w:pPr>
      <w:r w:rsidRPr="00E42F34">
        <w:rPr>
          <w:rFonts w:ascii="Palatino Linotype" w:hAnsi="Palatino Linotype"/>
          <w:bCs/>
        </w:rPr>
        <w:t>EL recurrente se inconformó por la incompetencia, argumentando que el Sujeto Obligado si tiene competencia para atender la solicitud.</w:t>
      </w:r>
    </w:p>
    <w:p w14:paraId="6C1478D8" w14:textId="77777777" w:rsidR="00C24D0E" w:rsidRPr="00E42F34" w:rsidRDefault="00C24D0E" w:rsidP="00C24D0E">
      <w:pPr>
        <w:pStyle w:val="Prrafodelista"/>
        <w:rPr>
          <w:rFonts w:ascii="Palatino Linotype" w:hAnsi="Palatino Linotype"/>
          <w:bCs/>
        </w:rPr>
      </w:pPr>
    </w:p>
    <w:p w14:paraId="7E71BF9E" w14:textId="0147CCFE" w:rsidR="00A86EBA" w:rsidRPr="00E42F34"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E42F34">
        <w:rPr>
          <w:rFonts w:ascii="Palatino Linotype" w:hAnsi="Palatino Linotype"/>
        </w:rPr>
        <w:t xml:space="preserve">Por lo anterior, en el presente recurso de revisión se analizará si se </w:t>
      </w:r>
      <w:r w:rsidR="00A86EBA" w:rsidRPr="00E42F34">
        <w:rPr>
          <w:rFonts w:ascii="Palatino Linotype" w:hAnsi="Palatino Linotype"/>
        </w:rPr>
        <w:t xml:space="preserve">actualiza la causal de procedencia contenida en la fracción I </w:t>
      </w:r>
      <w:r w:rsidR="00205B95" w:rsidRPr="00E42F34">
        <w:rPr>
          <w:rFonts w:ascii="Palatino Linotype" w:hAnsi="Palatino Linotype"/>
        </w:rPr>
        <w:t xml:space="preserve">y </w:t>
      </w:r>
      <w:r w:rsidR="00E00B88" w:rsidRPr="00E42F34">
        <w:rPr>
          <w:rFonts w:ascii="Palatino Linotype" w:hAnsi="Palatino Linotype"/>
        </w:rPr>
        <w:t>I</w:t>
      </w:r>
      <w:r w:rsidR="00A86EBA" w:rsidRPr="00E42F34">
        <w:rPr>
          <w:rFonts w:ascii="Palatino Linotype" w:hAnsi="Palatino Linotype"/>
        </w:rPr>
        <w:t>V del artículo 179 de la Ley de Transparencia, Acceso a la Información Pública del Estado de México y Municipios.</w:t>
      </w:r>
    </w:p>
    <w:p w14:paraId="6CD10FED" w14:textId="77777777" w:rsidR="00A86EBA" w:rsidRPr="00E42F34" w:rsidRDefault="00A86EBA" w:rsidP="00A86EBA">
      <w:pPr>
        <w:pStyle w:val="Prrafodelista"/>
        <w:rPr>
          <w:rFonts w:ascii="Palatino Linotype" w:hAnsi="Palatino Linotype"/>
        </w:rPr>
      </w:pPr>
    </w:p>
    <w:p w14:paraId="2B5CD6EF" w14:textId="3A8FD5EF" w:rsidR="00D928CA" w:rsidRPr="00E42F34"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E42F34">
        <w:rPr>
          <w:rFonts w:ascii="Palatino Linotype" w:hAnsi="Palatino Linotype"/>
        </w:rPr>
        <w:t xml:space="preserve">Por lo anterior, en este recurso de revisión se analizará si </w:t>
      </w:r>
      <w:r w:rsidR="00E00B88" w:rsidRPr="00E42F34">
        <w:rPr>
          <w:rFonts w:ascii="Palatino Linotype" w:hAnsi="Palatino Linotype"/>
        </w:rPr>
        <w:t>el Sujeto Obligado cuenta con atribuciones para administrar, generar o poseer la información solicitada por el particular.</w:t>
      </w:r>
      <w:bookmarkStart w:id="8" w:name="_Toc486525253"/>
    </w:p>
    <w:p w14:paraId="48F09C2A" w14:textId="77777777" w:rsidR="00E00B88" w:rsidRPr="00E42F34" w:rsidRDefault="00E00B88" w:rsidP="00E00B88">
      <w:pPr>
        <w:pStyle w:val="Prrafodelista"/>
        <w:rPr>
          <w:rFonts w:ascii="Palatino Linotype" w:hAnsi="Palatino Linotype"/>
        </w:rPr>
      </w:pPr>
    </w:p>
    <w:p w14:paraId="3B0F0B5E" w14:textId="77777777" w:rsidR="00E00B88" w:rsidRPr="00E42F34" w:rsidRDefault="00E00B88" w:rsidP="00E00B88">
      <w:pPr>
        <w:spacing w:before="240" w:after="240" w:line="360" w:lineRule="auto"/>
        <w:ind w:right="49"/>
        <w:jc w:val="both"/>
        <w:rPr>
          <w:rFonts w:ascii="Palatino Linotype" w:hAnsi="Palatino Linotype"/>
        </w:rPr>
      </w:pPr>
    </w:p>
    <w:p w14:paraId="0EA0DBF7" w14:textId="77777777" w:rsidR="00825057" w:rsidRPr="00E42F34" w:rsidRDefault="00825057" w:rsidP="00825057">
      <w:pPr>
        <w:pStyle w:val="Prrafodelista"/>
        <w:rPr>
          <w:rFonts w:ascii="Palatino Linotype" w:hAnsi="Palatino Linotype"/>
        </w:rPr>
      </w:pPr>
    </w:p>
    <w:p w14:paraId="68FE289A" w14:textId="77777777" w:rsidR="0051603E" w:rsidRPr="00E42F34" w:rsidRDefault="0051603E" w:rsidP="0051603E">
      <w:pPr>
        <w:pStyle w:val="Ttulo1"/>
        <w:spacing w:before="0" w:line="360" w:lineRule="auto"/>
      </w:pPr>
      <w:bookmarkStart w:id="9" w:name="_Toc62756292"/>
      <w:r w:rsidRPr="00E42F34">
        <w:t>CUARTO. De previo y especial pronunciamiento.</w:t>
      </w:r>
      <w:bookmarkEnd w:id="9"/>
    </w:p>
    <w:p w14:paraId="79689194" w14:textId="77777777" w:rsidR="0051603E" w:rsidRPr="00E42F34" w:rsidRDefault="0051603E" w:rsidP="0051603E">
      <w:pPr>
        <w:pStyle w:val="Prrafodelista"/>
        <w:ind w:left="0"/>
        <w:rPr>
          <w:lang w:val="es-MX" w:eastAsia="en-US"/>
        </w:rPr>
      </w:pPr>
    </w:p>
    <w:p w14:paraId="3BA5E1B6" w14:textId="77777777" w:rsidR="0051603E" w:rsidRPr="00E42F34"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E42F34">
        <w:rPr>
          <w:rFonts w:ascii="Palatino Linotype" w:hAnsi="Palatino Linotype"/>
          <w:lang w:val="es-ES"/>
        </w:rPr>
        <w:t xml:space="preserve">Desde que inició, a finales de 2019, la crisis generada por el virus </w:t>
      </w:r>
      <w:r w:rsidRPr="00E42F34">
        <w:rPr>
          <w:rFonts w:ascii="Palatino Linotype" w:hAnsi="Palatino Linotype"/>
          <w:b/>
          <w:lang w:val="es-ES"/>
        </w:rPr>
        <w:t xml:space="preserve">SARS-Cov-2 </w:t>
      </w:r>
      <w:proofErr w:type="gramStart"/>
      <w:r w:rsidRPr="00E42F34">
        <w:rPr>
          <w:rFonts w:ascii="Palatino Linotype" w:hAnsi="Palatino Linotype"/>
          <w:b/>
          <w:lang w:val="es-ES"/>
        </w:rPr>
        <w:t>-  COVID</w:t>
      </w:r>
      <w:proofErr w:type="gramEnd"/>
      <w:r w:rsidRPr="00E42F34">
        <w:rPr>
          <w:rFonts w:ascii="Palatino Linotype" w:hAnsi="Palatino Linotype"/>
          <w:b/>
          <w:lang w:val="es-ES"/>
        </w:rPr>
        <w:t>-19</w:t>
      </w:r>
      <w:r w:rsidRPr="00E42F34">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5D0E233" w14:textId="77777777" w:rsidR="0051603E" w:rsidRPr="00E42F34" w:rsidRDefault="0051603E" w:rsidP="0051603E">
      <w:pPr>
        <w:pStyle w:val="Prrafodelista"/>
        <w:rPr>
          <w:rFonts w:ascii="Palatino Linotype" w:eastAsia="MS Mincho" w:hAnsi="Palatino Linotype" w:cs="Times New Roman"/>
        </w:rPr>
      </w:pPr>
    </w:p>
    <w:p w14:paraId="1982ABA0" w14:textId="77777777" w:rsidR="0051603E" w:rsidRPr="00E42F34"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E42F34">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4FEDE95" w14:textId="77777777" w:rsidR="0051603E" w:rsidRPr="00E42F34" w:rsidRDefault="0051603E" w:rsidP="0051603E">
      <w:pPr>
        <w:pStyle w:val="Prrafodelista"/>
        <w:rPr>
          <w:rFonts w:ascii="Palatino Linotype" w:eastAsia="MS Mincho" w:hAnsi="Palatino Linotype" w:cs="Times New Roman"/>
        </w:rPr>
      </w:pPr>
    </w:p>
    <w:p w14:paraId="00ADE295" w14:textId="77777777" w:rsidR="0051603E" w:rsidRPr="00E42F34"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E42F34">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9DA298C" w14:textId="77777777" w:rsidR="0051603E" w:rsidRPr="00E42F34" w:rsidRDefault="0051603E" w:rsidP="0051603E">
      <w:pPr>
        <w:pStyle w:val="Prrafodelista"/>
        <w:rPr>
          <w:rFonts w:ascii="Palatino Linotype" w:eastAsia="MS Mincho" w:hAnsi="Palatino Linotype" w:cs="Times New Roman"/>
        </w:rPr>
      </w:pPr>
    </w:p>
    <w:p w14:paraId="3178BB46" w14:textId="77777777" w:rsidR="0051603E" w:rsidRPr="00E42F34"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E42F34">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FB5427B" w14:textId="77777777" w:rsidR="0051603E" w:rsidRPr="00E42F34" w:rsidRDefault="0051603E" w:rsidP="0051603E">
      <w:pPr>
        <w:pStyle w:val="Prrafodelista"/>
        <w:rPr>
          <w:rFonts w:ascii="Palatino Linotype" w:eastAsia="MS Mincho" w:hAnsi="Palatino Linotype" w:cs="Times New Roman"/>
        </w:rPr>
      </w:pPr>
    </w:p>
    <w:p w14:paraId="67C46D44" w14:textId="77777777" w:rsidR="0051603E" w:rsidRPr="00E42F34" w:rsidRDefault="0051603E" w:rsidP="0051603E">
      <w:pPr>
        <w:numPr>
          <w:ilvl w:val="0"/>
          <w:numId w:val="2"/>
        </w:numPr>
        <w:spacing w:line="360" w:lineRule="auto"/>
        <w:ind w:left="0" w:right="49" w:firstLine="0"/>
        <w:contextualSpacing/>
        <w:jc w:val="both"/>
        <w:rPr>
          <w:rFonts w:ascii="Palatino Linotype" w:hAnsi="Palatino Linotype"/>
          <w:lang w:val="es-ES"/>
        </w:rPr>
      </w:pPr>
      <w:r w:rsidRPr="00E42F34">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5A0C69B" w14:textId="77777777" w:rsidR="0051603E" w:rsidRPr="00E42F34" w:rsidRDefault="0051603E" w:rsidP="0051603E">
      <w:pPr>
        <w:pStyle w:val="Prrafodelista"/>
        <w:rPr>
          <w:rFonts w:ascii="Palatino Linotype" w:hAnsi="Palatino Linotype"/>
          <w:lang w:val="es-ES"/>
        </w:rPr>
      </w:pPr>
    </w:p>
    <w:p w14:paraId="33F020A5" w14:textId="77777777" w:rsidR="0051603E" w:rsidRPr="00E42F34" w:rsidRDefault="0051603E" w:rsidP="0051603E">
      <w:pPr>
        <w:numPr>
          <w:ilvl w:val="0"/>
          <w:numId w:val="2"/>
        </w:numPr>
        <w:spacing w:line="360" w:lineRule="auto"/>
        <w:ind w:left="0" w:right="49" w:firstLine="0"/>
        <w:contextualSpacing/>
        <w:jc w:val="both"/>
        <w:rPr>
          <w:rFonts w:ascii="Palatino Linotype" w:hAnsi="Palatino Linotype"/>
          <w:lang w:val="es-ES"/>
        </w:rPr>
      </w:pPr>
      <w:r w:rsidRPr="00E42F34">
        <w:rPr>
          <w:rFonts w:ascii="Palatino Linotype" w:hAnsi="Palatino Linotype"/>
          <w:lang w:val="es-ES"/>
        </w:rPr>
        <w:t xml:space="preserve">El </w:t>
      </w:r>
      <w:proofErr w:type="spellStart"/>
      <w:r w:rsidRPr="00E42F34">
        <w:rPr>
          <w:rFonts w:ascii="Palatino Linotype" w:hAnsi="Palatino Linotype"/>
          <w:lang w:val="es-ES"/>
        </w:rPr>
        <w:t>Infoem</w:t>
      </w:r>
      <w:proofErr w:type="spellEnd"/>
      <w:r w:rsidRPr="00E42F34">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E42F34">
        <w:rPr>
          <w:rFonts w:ascii="Palatino Linotype" w:hAnsi="Palatino Linotype"/>
          <w:lang w:val="es-ES"/>
        </w:rPr>
        <w:t>transito</w:t>
      </w:r>
      <w:proofErr w:type="spellEnd"/>
      <w:r w:rsidRPr="00E42F34">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1E2128FE" w14:textId="77777777" w:rsidR="0051603E" w:rsidRPr="00E42F34" w:rsidRDefault="0051603E" w:rsidP="0051603E">
      <w:pPr>
        <w:pStyle w:val="Prrafodelista"/>
        <w:rPr>
          <w:rFonts w:ascii="Palatino Linotype" w:hAnsi="Palatino Linotype"/>
          <w:lang w:val="es-ES"/>
        </w:rPr>
      </w:pPr>
    </w:p>
    <w:p w14:paraId="792E63F3" w14:textId="77777777" w:rsidR="0051603E" w:rsidRPr="00E42F34" w:rsidRDefault="0051603E" w:rsidP="0051603E">
      <w:pPr>
        <w:numPr>
          <w:ilvl w:val="0"/>
          <w:numId w:val="2"/>
        </w:numPr>
        <w:spacing w:line="360" w:lineRule="auto"/>
        <w:ind w:left="0" w:right="49" w:firstLine="0"/>
        <w:contextualSpacing/>
        <w:jc w:val="both"/>
        <w:rPr>
          <w:rFonts w:ascii="Palatino Linotype" w:hAnsi="Palatino Linotype"/>
          <w:lang w:val="es-ES"/>
        </w:rPr>
      </w:pPr>
      <w:r w:rsidRPr="00E42F34">
        <w:rPr>
          <w:rFonts w:ascii="Palatino Linotype" w:hAnsi="Palatino Linotype"/>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3BD4CA7" w14:textId="77777777" w:rsidR="0051603E" w:rsidRPr="00E42F34" w:rsidRDefault="0051603E" w:rsidP="0051603E">
      <w:pPr>
        <w:pStyle w:val="Prrafodelista"/>
        <w:rPr>
          <w:rFonts w:ascii="Palatino Linotype" w:hAnsi="Palatino Linotype"/>
          <w:lang w:val="es-ES"/>
        </w:rPr>
      </w:pPr>
    </w:p>
    <w:p w14:paraId="10326163" w14:textId="77777777" w:rsidR="0051603E" w:rsidRPr="00E42F34" w:rsidRDefault="0051603E" w:rsidP="0051603E">
      <w:pPr>
        <w:numPr>
          <w:ilvl w:val="0"/>
          <w:numId w:val="2"/>
        </w:numPr>
        <w:spacing w:line="360" w:lineRule="auto"/>
        <w:ind w:left="0" w:right="49" w:firstLine="0"/>
        <w:contextualSpacing/>
        <w:jc w:val="both"/>
        <w:rPr>
          <w:rFonts w:ascii="Palatino Linotype" w:hAnsi="Palatino Linotype"/>
          <w:lang w:val="es-ES"/>
        </w:rPr>
      </w:pPr>
      <w:r w:rsidRPr="00E42F34">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7CEC7B6" w14:textId="77777777" w:rsidR="0051603E" w:rsidRPr="00E42F34" w:rsidRDefault="0051603E" w:rsidP="0051603E">
      <w:pPr>
        <w:pStyle w:val="Prrafodelista"/>
        <w:rPr>
          <w:rFonts w:ascii="Palatino Linotype" w:hAnsi="Palatino Linotype"/>
          <w:lang w:val="es-ES"/>
        </w:rPr>
      </w:pPr>
    </w:p>
    <w:p w14:paraId="52D08C86" w14:textId="77777777" w:rsidR="0051603E" w:rsidRPr="00E42F34" w:rsidRDefault="0051603E" w:rsidP="0051603E">
      <w:pPr>
        <w:numPr>
          <w:ilvl w:val="0"/>
          <w:numId w:val="2"/>
        </w:numPr>
        <w:spacing w:line="360" w:lineRule="auto"/>
        <w:ind w:left="0" w:right="49" w:firstLine="0"/>
        <w:contextualSpacing/>
        <w:jc w:val="both"/>
        <w:rPr>
          <w:rFonts w:ascii="Palatino Linotype" w:hAnsi="Palatino Linotype"/>
          <w:lang w:val="es-ES"/>
        </w:rPr>
      </w:pPr>
      <w:r w:rsidRPr="00E42F34">
        <w:rPr>
          <w:rFonts w:ascii="Palatino Linotype" w:hAnsi="Palatino Linotype"/>
          <w:lang w:val="es-ES"/>
        </w:rPr>
        <w:t xml:space="preserve">Si bien esto podría considerarse como una nueva presión sobre el funcionamiento de los sujetos obligados, es muy importante destacar el papel e </w:t>
      </w:r>
      <w:r w:rsidRPr="00E42F34">
        <w:rPr>
          <w:rFonts w:ascii="Palatino Linotype" w:hAnsi="Palatino Linotype"/>
          <w:lang w:val="es-E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5ABD0D1" w14:textId="77777777" w:rsidR="0051603E" w:rsidRPr="00E42F34" w:rsidRDefault="0051603E" w:rsidP="0051603E">
      <w:pPr>
        <w:pStyle w:val="Prrafodelista"/>
        <w:rPr>
          <w:rFonts w:ascii="Palatino Linotype" w:hAnsi="Palatino Linotype"/>
          <w:lang w:val="es-ES"/>
        </w:rPr>
      </w:pPr>
    </w:p>
    <w:p w14:paraId="4B769720" w14:textId="77777777" w:rsidR="0051603E" w:rsidRPr="00E42F34" w:rsidRDefault="0051603E" w:rsidP="0051603E">
      <w:pPr>
        <w:numPr>
          <w:ilvl w:val="0"/>
          <w:numId w:val="2"/>
        </w:numPr>
        <w:spacing w:line="360" w:lineRule="auto"/>
        <w:ind w:left="0" w:right="49" w:firstLine="0"/>
        <w:contextualSpacing/>
        <w:jc w:val="both"/>
        <w:rPr>
          <w:rFonts w:ascii="Palatino Linotype" w:hAnsi="Palatino Linotype"/>
          <w:lang w:val="es-ES"/>
        </w:rPr>
      </w:pPr>
      <w:r w:rsidRPr="00E42F34">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F907F1E" w14:textId="77777777" w:rsidR="0051603E" w:rsidRPr="00E42F34" w:rsidRDefault="0051603E" w:rsidP="0051603E">
      <w:pPr>
        <w:pStyle w:val="Prrafodelista"/>
        <w:rPr>
          <w:rFonts w:ascii="Palatino Linotype" w:hAnsi="Palatino Linotype"/>
          <w:lang w:val="es-ES"/>
        </w:rPr>
      </w:pPr>
    </w:p>
    <w:p w14:paraId="0569693C" w14:textId="1252CAFA" w:rsidR="0051603E" w:rsidRPr="00E42F34"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E42F34">
        <w:rPr>
          <w:rFonts w:ascii="Palatino Linotype" w:hAnsi="Palatino Linotype"/>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A00445C" w14:textId="77777777" w:rsidR="00564FE5" w:rsidRPr="00E42F34" w:rsidRDefault="00564FE5" w:rsidP="00564FE5">
      <w:pPr>
        <w:pStyle w:val="Prrafodelista"/>
        <w:rPr>
          <w:rFonts w:ascii="Palatino Linotype" w:eastAsia="MS Mincho" w:hAnsi="Palatino Linotype" w:cs="Times New Roman"/>
        </w:rPr>
      </w:pPr>
    </w:p>
    <w:p w14:paraId="65F8A1D9" w14:textId="48EDB4F9" w:rsidR="005552BF" w:rsidRPr="00E42F34" w:rsidRDefault="0051603E" w:rsidP="005552BF">
      <w:pPr>
        <w:pStyle w:val="Ttulo1"/>
        <w:spacing w:before="0" w:line="360" w:lineRule="auto"/>
      </w:pPr>
      <w:bookmarkStart w:id="10" w:name="_Toc499201873"/>
      <w:bookmarkStart w:id="11" w:name="_Toc3372324"/>
      <w:bookmarkStart w:id="12" w:name="_Toc4061675"/>
      <w:bookmarkStart w:id="13" w:name="_Toc62756293"/>
      <w:bookmarkEnd w:id="8"/>
      <w:r w:rsidRPr="00E42F34">
        <w:t>QUINTO</w:t>
      </w:r>
      <w:r w:rsidR="005552BF" w:rsidRPr="00E42F34">
        <w:t>. Estudio y resolución del asunto</w:t>
      </w:r>
      <w:bookmarkEnd w:id="10"/>
      <w:bookmarkEnd w:id="11"/>
      <w:bookmarkEnd w:id="12"/>
      <w:bookmarkEnd w:id="13"/>
    </w:p>
    <w:p w14:paraId="0E65DD3F" w14:textId="77777777" w:rsidR="005552BF" w:rsidRPr="00E42F34" w:rsidRDefault="005552BF" w:rsidP="005552BF">
      <w:pPr>
        <w:rPr>
          <w:lang w:val="es-MX" w:eastAsia="en-US"/>
        </w:rPr>
      </w:pPr>
    </w:p>
    <w:p w14:paraId="0A175235" w14:textId="2FE279F1" w:rsidR="00825057" w:rsidRPr="00E42F34" w:rsidRDefault="005D60D8" w:rsidP="005D60D8">
      <w:pPr>
        <w:pStyle w:val="Ttulo3"/>
        <w:rPr>
          <w:rFonts w:ascii="Palatino Linotype" w:hAnsi="Palatino Linotype"/>
          <w:b/>
          <w:color w:val="auto"/>
        </w:rPr>
      </w:pPr>
      <w:bookmarkStart w:id="14" w:name="_Toc34911390"/>
      <w:bookmarkStart w:id="15" w:name="_Toc62756294"/>
      <w:r w:rsidRPr="00E42F34">
        <w:rPr>
          <w:rFonts w:ascii="Palatino Linotype" w:hAnsi="Palatino Linotype"/>
          <w:b/>
          <w:color w:val="auto"/>
        </w:rPr>
        <w:t xml:space="preserve">I. </w:t>
      </w:r>
      <w:bookmarkEnd w:id="14"/>
      <w:r w:rsidR="00ED0FD7" w:rsidRPr="00E42F34">
        <w:rPr>
          <w:rFonts w:ascii="Palatino Linotype" w:hAnsi="Palatino Linotype"/>
          <w:b/>
          <w:color w:val="auto"/>
        </w:rPr>
        <w:t>De la manifestación del Sujeto Obligado.</w:t>
      </w:r>
      <w:bookmarkEnd w:id="15"/>
    </w:p>
    <w:p w14:paraId="00440A97" w14:textId="77777777" w:rsidR="00825057" w:rsidRPr="00E42F34" w:rsidRDefault="00825057" w:rsidP="00825057">
      <w:pPr>
        <w:pStyle w:val="Prrafodelista"/>
        <w:spacing w:line="360" w:lineRule="auto"/>
        <w:ind w:left="0"/>
        <w:jc w:val="both"/>
        <w:rPr>
          <w:rFonts w:ascii="Palatino Linotype" w:hAnsi="Palatino Linotype"/>
          <w:color w:val="000000"/>
          <w:sz w:val="22"/>
          <w:szCs w:val="22"/>
        </w:rPr>
      </w:pPr>
    </w:p>
    <w:p w14:paraId="5F376B03" w14:textId="608D1879" w:rsidR="00ED0FD7" w:rsidRPr="00E42F34" w:rsidRDefault="00ED0FD7" w:rsidP="00ED0FD7">
      <w:pPr>
        <w:pStyle w:val="Prrafodelista"/>
        <w:numPr>
          <w:ilvl w:val="0"/>
          <w:numId w:val="2"/>
        </w:numPr>
        <w:spacing w:line="360" w:lineRule="auto"/>
        <w:ind w:left="0" w:firstLine="0"/>
        <w:jc w:val="both"/>
        <w:rPr>
          <w:rFonts w:ascii="Palatino Linotype" w:hAnsi="Palatino Linotype"/>
          <w:color w:val="000000"/>
          <w:sz w:val="22"/>
          <w:szCs w:val="22"/>
        </w:rPr>
      </w:pPr>
      <w:r w:rsidRPr="00E42F34">
        <w:rPr>
          <w:rFonts w:ascii="Palatino Linotype" w:eastAsia="Calibri" w:hAnsi="Palatino Linotype" w:cs="Arial"/>
        </w:rPr>
        <w:t xml:space="preserve">Ante la solicitud de información, el Sujeto Obligado manifestó, en un primer momento a través de un oficio firmado por el Titular de la Unidad de Transparencia que el Ayuntamiento de Naucalpan de Juárez es incompetente para atender los requerimientos, por corresponder a Sujeto Obligado diverso como lo es la Comisión Estatal de Atención a </w:t>
      </w:r>
      <w:proofErr w:type="spellStart"/>
      <w:r w:rsidRPr="00E42F34">
        <w:rPr>
          <w:rFonts w:ascii="Palatino Linotype" w:eastAsia="Calibri" w:hAnsi="Palatino Linotype" w:cs="Arial"/>
        </w:rPr>
        <w:t>Victimas</w:t>
      </w:r>
      <w:proofErr w:type="spellEnd"/>
      <w:r w:rsidRPr="00E42F34">
        <w:rPr>
          <w:rFonts w:ascii="Palatino Linotype" w:eastAsia="Calibri" w:hAnsi="Palatino Linotype" w:cs="Arial"/>
        </w:rPr>
        <w:t xml:space="preserve"> del Estado de México, dependiente de la Secretaría de Justicia y Derechos Humanos del Estado de México.</w:t>
      </w:r>
    </w:p>
    <w:p w14:paraId="4C20901A" w14:textId="77777777" w:rsidR="00ED0FD7" w:rsidRPr="00E42F34" w:rsidRDefault="00ED0FD7" w:rsidP="00ED0FD7">
      <w:pPr>
        <w:pStyle w:val="Prrafodelista"/>
        <w:spacing w:line="360" w:lineRule="auto"/>
        <w:ind w:left="0"/>
        <w:jc w:val="both"/>
        <w:rPr>
          <w:rFonts w:ascii="Palatino Linotype" w:hAnsi="Palatino Linotype"/>
          <w:color w:val="000000"/>
          <w:sz w:val="22"/>
          <w:szCs w:val="22"/>
        </w:rPr>
      </w:pPr>
    </w:p>
    <w:p w14:paraId="1D0DB05B" w14:textId="3A1D8758" w:rsidR="001254FE" w:rsidRPr="00E42F34" w:rsidRDefault="00ED0FD7" w:rsidP="001254FE">
      <w:pPr>
        <w:pStyle w:val="Prrafodelista"/>
        <w:numPr>
          <w:ilvl w:val="0"/>
          <w:numId w:val="2"/>
        </w:numPr>
        <w:spacing w:line="360" w:lineRule="auto"/>
        <w:ind w:left="0" w:firstLine="0"/>
        <w:jc w:val="both"/>
        <w:rPr>
          <w:rFonts w:ascii="Palatino Linotype" w:hAnsi="Palatino Linotype"/>
          <w:color w:val="000000"/>
          <w:sz w:val="22"/>
          <w:szCs w:val="22"/>
        </w:rPr>
      </w:pPr>
      <w:r w:rsidRPr="00E42F34">
        <w:rPr>
          <w:rFonts w:ascii="Palatino Linotype" w:eastAsia="Calibri" w:hAnsi="Palatino Linotype" w:cs="Arial"/>
        </w:rPr>
        <w:lastRenderedPageBreak/>
        <w:t xml:space="preserve">Además, a través de su informe justificado, ahora mediante un oficio suscrito por el Coordinador Técnico y Enlace de Transparencia de la Secretaría de las Mujeres Naucalpenses y la Igualdad Sustantiva, reiteró lo dicho por el Titular de la Unidad de Transparencia, argumentando más a fondo que, quien genera, administra y posee la información requerida por el particular es </w:t>
      </w:r>
      <w:r w:rsidR="001254FE" w:rsidRPr="00E42F34">
        <w:rPr>
          <w:rFonts w:ascii="Palatino Linotype" w:eastAsia="Calibri" w:hAnsi="Palatino Linotype" w:cs="Arial"/>
        </w:rPr>
        <w:t>la Comisión Estatal de Atención a Víctimas del Estado de México, dependiente de la Secretaría de Justicia y Derechos Humanos del Estado de México.</w:t>
      </w:r>
    </w:p>
    <w:p w14:paraId="549D3124" w14:textId="31334BA1" w:rsidR="00ED0FD7" w:rsidRPr="00E42F34" w:rsidRDefault="00ED0FD7" w:rsidP="001254FE">
      <w:pPr>
        <w:pStyle w:val="Prrafodelista"/>
        <w:spacing w:line="360" w:lineRule="auto"/>
        <w:ind w:left="0"/>
        <w:jc w:val="both"/>
        <w:rPr>
          <w:rFonts w:ascii="Palatino Linotype" w:hAnsi="Palatino Linotype"/>
          <w:color w:val="000000"/>
          <w:sz w:val="22"/>
          <w:szCs w:val="22"/>
        </w:rPr>
      </w:pPr>
    </w:p>
    <w:p w14:paraId="4D10AA3A" w14:textId="074B6161" w:rsidR="00ED0FD7" w:rsidRPr="00E42F34" w:rsidRDefault="001254FE" w:rsidP="00D71E4B">
      <w:pPr>
        <w:pStyle w:val="Prrafodelista"/>
        <w:numPr>
          <w:ilvl w:val="0"/>
          <w:numId w:val="2"/>
        </w:numPr>
        <w:spacing w:line="360" w:lineRule="auto"/>
        <w:ind w:left="0" w:firstLine="0"/>
        <w:jc w:val="both"/>
        <w:rPr>
          <w:rFonts w:ascii="Palatino Linotype" w:hAnsi="Palatino Linotype"/>
          <w:color w:val="000000"/>
        </w:rPr>
      </w:pPr>
      <w:r w:rsidRPr="00E42F34">
        <w:rPr>
          <w:rFonts w:ascii="Palatino Linotype" w:hAnsi="Palatino Linotype"/>
          <w:color w:val="000000"/>
        </w:rPr>
        <w:t>Contrario a lo anterior, el recurrente expuso, en sus motivos o razones de inconformidad que en una solicitud que formuló ante el DIF de Naucalpan de Juárez le contestaron que el Ayuntamiento de Naucalpan de Juárez es el Sujeto Obligado que debe generar, administrar y/o poseer la información, además de que los Sujetos Obligados que refiere el Ayuntamiento en su respuesta e informe justificado no aparecen en el catálogo de Sujetos Obligados.</w:t>
      </w:r>
    </w:p>
    <w:p w14:paraId="35A41436" w14:textId="77777777" w:rsidR="00564FE5" w:rsidRPr="00E42F34" w:rsidRDefault="00564FE5" w:rsidP="00564FE5">
      <w:pPr>
        <w:pStyle w:val="Prrafodelista"/>
        <w:rPr>
          <w:rFonts w:ascii="Palatino Linotype" w:hAnsi="Palatino Linotype"/>
          <w:color w:val="000000"/>
        </w:rPr>
      </w:pPr>
    </w:p>
    <w:p w14:paraId="4B3C1736" w14:textId="7713F5E6" w:rsidR="00ED0FD7" w:rsidRPr="00E42F34" w:rsidRDefault="00622710" w:rsidP="00622710">
      <w:pPr>
        <w:pStyle w:val="Ttulo3"/>
        <w:rPr>
          <w:rFonts w:ascii="Palatino Linotype" w:eastAsiaTheme="minorEastAsia" w:hAnsi="Palatino Linotype" w:cstheme="minorBidi"/>
          <w:b/>
          <w:bCs/>
          <w:color w:val="auto"/>
        </w:rPr>
      </w:pPr>
      <w:bookmarkStart w:id="16" w:name="_Toc62756295"/>
      <w:r w:rsidRPr="00E42F34">
        <w:rPr>
          <w:rFonts w:ascii="Palatino Linotype" w:hAnsi="Palatino Linotype"/>
          <w:b/>
          <w:bCs/>
          <w:color w:val="auto"/>
        </w:rPr>
        <w:t>II. De la fuente obligacional.</w:t>
      </w:r>
      <w:bookmarkEnd w:id="16"/>
    </w:p>
    <w:p w14:paraId="0304712A" w14:textId="77777777" w:rsidR="00622710" w:rsidRPr="00E42F34" w:rsidRDefault="00622710" w:rsidP="00622710">
      <w:pPr>
        <w:pStyle w:val="Prrafodelista"/>
        <w:spacing w:line="360" w:lineRule="auto"/>
        <w:ind w:left="0"/>
        <w:jc w:val="both"/>
        <w:rPr>
          <w:rFonts w:ascii="Palatino Linotype" w:hAnsi="Palatino Linotype"/>
          <w:color w:val="000000"/>
          <w:sz w:val="22"/>
          <w:szCs w:val="22"/>
        </w:rPr>
      </w:pPr>
    </w:p>
    <w:p w14:paraId="69F3A368" w14:textId="69AC9F65" w:rsidR="00622710" w:rsidRPr="00E42F34" w:rsidRDefault="00622710" w:rsidP="00D71E4B">
      <w:pPr>
        <w:pStyle w:val="Prrafodelista"/>
        <w:numPr>
          <w:ilvl w:val="0"/>
          <w:numId w:val="2"/>
        </w:numPr>
        <w:spacing w:line="360" w:lineRule="auto"/>
        <w:ind w:left="0" w:firstLine="0"/>
        <w:jc w:val="both"/>
        <w:rPr>
          <w:rFonts w:ascii="Palatino Linotype" w:hAnsi="Palatino Linotype"/>
          <w:color w:val="000000"/>
        </w:rPr>
      </w:pPr>
      <w:proofErr w:type="gramStart"/>
      <w:r w:rsidRPr="00E42F34">
        <w:rPr>
          <w:rFonts w:ascii="Palatino Linotype" w:hAnsi="Palatino Linotype"/>
          <w:color w:val="000000"/>
        </w:rPr>
        <w:t>Primeramente</w:t>
      </w:r>
      <w:proofErr w:type="gramEnd"/>
      <w:r w:rsidRPr="00E42F34">
        <w:rPr>
          <w:rFonts w:ascii="Palatino Linotype" w:hAnsi="Palatino Linotype"/>
          <w:color w:val="000000"/>
        </w:rPr>
        <w:t xml:space="preserve"> es necesario señalar que</w:t>
      </w:r>
      <w:r w:rsidR="00C632C5" w:rsidRPr="00E42F34">
        <w:rPr>
          <w:rFonts w:ascii="Palatino Linotype" w:hAnsi="Palatino Linotype"/>
          <w:color w:val="000000"/>
        </w:rPr>
        <w:t xml:space="preserve"> </w:t>
      </w:r>
      <w:r w:rsidR="00B81762" w:rsidRPr="00E42F34">
        <w:rPr>
          <w:rFonts w:ascii="Palatino Linotype" w:hAnsi="Palatino Linotype"/>
          <w:color w:val="000000"/>
        </w:rPr>
        <w:t>el 31 de julio de 2015</w:t>
      </w:r>
      <w:r w:rsidR="00B81762" w:rsidRPr="00E42F34">
        <w:rPr>
          <w:rStyle w:val="Refdenotaalpie"/>
          <w:rFonts w:ascii="Palatino Linotype" w:hAnsi="Palatino Linotype"/>
          <w:color w:val="000000"/>
        </w:rPr>
        <w:footnoteReference w:id="1"/>
      </w:r>
      <w:r w:rsidR="00B81762" w:rsidRPr="00E42F34">
        <w:rPr>
          <w:rFonts w:ascii="Palatino Linotype" w:hAnsi="Palatino Linotype"/>
          <w:color w:val="000000"/>
        </w:rPr>
        <w:t>, formalmente se declaró la alerta de género en 11 municipios del Estado de México</w:t>
      </w:r>
      <w:r w:rsidR="000536B3" w:rsidRPr="00E42F34">
        <w:rPr>
          <w:rFonts w:ascii="Palatino Linotype" w:hAnsi="Palatino Linotype"/>
          <w:color w:val="000000"/>
        </w:rPr>
        <w:t xml:space="preserve"> entre los cuales se encuentra Naucalpan de Juárez.</w:t>
      </w:r>
    </w:p>
    <w:p w14:paraId="1E6BDDBB" w14:textId="77777777" w:rsidR="000536B3" w:rsidRPr="00E42F34" w:rsidRDefault="000536B3" w:rsidP="000536B3">
      <w:pPr>
        <w:pStyle w:val="Prrafodelista"/>
        <w:spacing w:line="360" w:lineRule="auto"/>
        <w:ind w:left="0"/>
        <w:jc w:val="both"/>
        <w:rPr>
          <w:rFonts w:ascii="Palatino Linotype" w:hAnsi="Palatino Linotype"/>
          <w:color w:val="000000"/>
        </w:rPr>
      </w:pPr>
    </w:p>
    <w:p w14:paraId="62C2B801" w14:textId="7FB3B494" w:rsidR="000536B3" w:rsidRPr="00E42F34" w:rsidRDefault="000536B3" w:rsidP="00D71E4B">
      <w:pPr>
        <w:pStyle w:val="Prrafodelista"/>
        <w:numPr>
          <w:ilvl w:val="0"/>
          <w:numId w:val="2"/>
        </w:numPr>
        <w:spacing w:line="360" w:lineRule="auto"/>
        <w:ind w:left="0" w:firstLine="0"/>
        <w:jc w:val="both"/>
        <w:rPr>
          <w:rFonts w:ascii="Palatino Linotype" w:hAnsi="Palatino Linotype"/>
          <w:color w:val="000000"/>
        </w:rPr>
      </w:pPr>
      <w:r w:rsidRPr="00E42F34">
        <w:rPr>
          <w:rFonts w:ascii="Palatino Linotype" w:hAnsi="Palatino Linotype"/>
          <w:color w:val="000000"/>
        </w:rPr>
        <w:t>La Ley Orgánica Municipal establece en el Título III, Capítulo Primero, artículo 48 fracción XXIII lo siguiente:</w:t>
      </w:r>
    </w:p>
    <w:p w14:paraId="393F1EBE" w14:textId="458B3784" w:rsidR="000536B3" w:rsidRPr="00E42F34" w:rsidRDefault="000536B3" w:rsidP="00622710">
      <w:pPr>
        <w:pStyle w:val="Prrafodelista"/>
        <w:spacing w:line="360" w:lineRule="auto"/>
        <w:ind w:left="0"/>
        <w:jc w:val="both"/>
        <w:rPr>
          <w:rFonts w:ascii="Palatino Linotype" w:hAnsi="Palatino Linotype"/>
          <w:color w:val="000000"/>
          <w:sz w:val="22"/>
          <w:szCs w:val="22"/>
        </w:rPr>
      </w:pPr>
    </w:p>
    <w:p w14:paraId="6DA65F8B" w14:textId="0FBEBC9B" w:rsidR="000536B3" w:rsidRPr="00E42F34" w:rsidRDefault="000536B3" w:rsidP="000536B3">
      <w:pPr>
        <w:pStyle w:val="Prrafodelista"/>
        <w:spacing w:line="360" w:lineRule="auto"/>
        <w:ind w:left="0"/>
        <w:jc w:val="center"/>
        <w:rPr>
          <w:rFonts w:ascii="Palatino Linotype" w:hAnsi="Palatino Linotype"/>
          <w:i/>
          <w:iCs/>
          <w:sz w:val="22"/>
          <w:szCs w:val="22"/>
        </w:rPr>
      </w:pPr>
      <w:r w:rsidRPr="00E42F34">
        <w:rPr>
          <w:rFonts w:ascii="Palatino Linotype" w:hAnsi="Palatino Linotype"/>
          <w:i/>
          <w:iCs/>
          <w:sz w:val="22"/>
          <w:szCs w:val="22"/>
        </w:rPr>
        <w:lastRenderedPageBreak/>
        <w:t>TITULO III</w:t>
      </w:r>
    </w:p>
    <w:p w14:paraId="453AC767" w14:textId="23562CF9" w:rsidR="000536B3" w:rsidRPr="00E42F34" w:rsidRDefault="000536B3" w:rsidP="000536B3">
      <w:pPr>
        <w:pStyle w:val="Prrafodelista"/>
        <w:spacing w:line="360" w:lineRule="auto"/>
        <w:ind w:left="0"/>
        <w:jc w:val="center"/>
        <w:rPr>
          <w:rFonts w:ascii="Palatino Linotype" w:hAnsi="Palatino Linotype"/>
          <w:i/>
          <w:iCs/>
          <w:sz w:val="22"/>
          <w:szCs w:val="22"/>
        </w:rPr>
      </w:pPr>
      <w:r w:rsidRPr="00E42F34">
        <w:rPr>
          <w:rFonts w:ascii="Palatino Linotype" w:hAnsi="Palatino Linotype"/>
          <w:i/>
          <w:iCs/>
          <w:sz w:val="22"/>
          <w:szCs w:val="22"/>
        </w:rPr>
        <w:t>De las Atribuciones de los Miembros del Ayuntamiento, sus Comisiones, Autoridades Auxiliares y Órganos de Participación Ciudadana</w:t>
      </w:r>
    </w:p>
    <w:p w14:paraId="60139BD8" w14:textId="77777777" w:rsidR="000536B3" w:rsidRPr="00E42F34" w:rsidRDefault="000536B3" w:rsidP="000536B3">
      <w:pPr>
        <w:pStyle w:val="Prrafodelista"/>
        <w:spacing w:line="360" w:lineRule="auto"/>
        <w:ind w:left="0"/>
        <w:jc w:val="center"/>
        <w:rPr>
          <w:rFonts w:ascii="Palatino Linotype" w:hAnsi="Palatino Linotype"/>
          <w:i/>
          <w:iCs/>
          <w:sz w:val="22"/>
          <w:szCs w:val="22"/>
        </w:rPr>
      </w:pPr>
    </w:p>
    <w:p w14:paraId="1E187C09" w14:textId="3C081BCF" w:rsidR="000536B3" w:rsidRPr="00E42F34" w:rsidRDefault="000536B3" w:rsidP="00E51FD2">
      <w:pPr>
        <w:pStyle w:val="Prrafodelista"/>
        <w:spacing w:line="360" w:lineRule="auto"/>
        <w:ind w:left="567" w:right="567"/>
        <w:jc w:val="center"/>
        <w:rPr>
          <w:rFonts w:ascii="Palatino Linotype" w:hAnsi="Palatino Linotype"/>
          <w:i/>
          <w:iCs/>
          <w:sz w:val="22"/>
          <w:szCs w:val="22"/>
        </w:rPr>
      </w:pPr>
      <w:r w:rsidRPr="00E42F34">
        <w:rPr>
          <w:rFonts w:ascii="Palatino Linotype" w:hAnsi="Palatino Linotype"/>
          <w:i/>
          <w:iCs/>
          <w:sz w:val="22"/>
          <w:szCs w:val="22"/>
        </w:rPr>
        <w:t>CAPITULO PRIMERO</w:t>
      </w:r>
    </w:p>
    <w:p w14:paraId="435B3D50" w14:textId="1E1F9564" w:rsidR="000536B3" w:rsidRPr="00E42F34" w:rsidRDefault="000536B3" w:rsidP="00E51FD2">
      <w:pPr>
        <w:pStyle w:val="Prrafodelista"/>
        <w:spacing w:line="360" w:lineRule="auto"/>
        <w:ind w:left="567" w:right="567"/>
        <w:jc w:val="center"/>
        <w:rPr>
          <w:rFonts w:ascii="Palatino Linotype" w:hAnsi="Palatino Linotype"/>
          <w:i/>
          <w:iCs/>
          <w:sz w:val="22"/>
          <w:szCs w:val="22"/>
        </w:rPr>
      </w:pPr>
      <w:r w:rsidRPr="00E42F34">
        <w:rPr>
          <w:rFonts w:ascii="Palatino Linotype" w:hAnsi="Palatino Linotype"/>
          <w:i/>
          <w:iCs/>
          <w:sz w:val="22"/>
          <w:szCs w:val="22"/>
        </w:rPr>
        <w:t>DE LOS PRESIDENTES MUNICIPALES</w:t>
      </w:r>
    </w:p>
    <w:p w14:paraId="65238CE6" w14:textId="77777777" w:rsidR="000536B3" w:rsidRPr="00E42F34" w:rsidRDefault="000536B3" w:rsidP="00E51FD2">
      <w:pPr>
        <w:pStyle w:val="Prrafodelista"/>
        <w:spacing w:line="360" w:lineRule="auto"/>
        <w:ind w:left="567" w:right="567"/>
        <w:jc w:val="both"/>
        <w:rPr>
          <w:rFonts w:ascii="Palatino Linotype" w:hAnsi="Palatino Linotype"/>
          <w:i/>
          <w:iCs/>
          <w:sz w:val="22"/>
          <w:szCs w:val="22"/>
        </w:rPr>
      </w:pPr>
    </w:p>
    <w:p w14:paraId="08DD8A4A" w14:textId="3CB2D1DA" w:rsidR="000536B3" w:rsidRPr="00E42F34" w:rsidRDefault="000536B3" w:rsidP="00E51FD2">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Artículo 48.- El presidente municipal tiene las siguientes atribuciones:</w:t>
      </w:r>
    </w:p>
    <w:p w14:paraId="33297EB3" w14:textId="02E6553B" w:rsidR="000536B3" w:rsidRPr="00E42F34" w:rsidRDefault="000536B3" w:rsidP="00E51FD2">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7B3F4D09" w14:textId="3F4CCF3F" w:rsidR="00622710" w:rsidRPr="00E42F34" w:rsidRDefault="000536B3" w:rsidP="00E51FD2">
      <w:pPr>
        <w:pStyle w:val="Prrafodelista"/>
        <w:spacing w:line="360" w:lineRule="auto"/>
        <w:ind w:left="567" w:right="567"/>
        <w:jc w:val="both"/>
        <w:rPr>
          <w:rFonts w:ascii="Palatino Linotype" w:hAnsi="Palatino Linotype"/>
          <w:i/>
          <w:iCs/>
          <w:color w:val="000000"/>
          <w:sz w:val="20"/>
          <w:szCs w:val="20"/>
        </w:rPr>
      </w:pPr>
      <w:r w:rsidRPr="00E42F34">
        <w:rPr>
          <w:rFonts w:ascii="Palatino Linotype" w:hAnsi="Palatino Linotype"/>
          <w:i/>
          <w:iCs/>
          <w:sz w:val="22"/>
          <w:szCs w:val="22"/>
        </w:rPr>
        <w:t>XXIII. Rendir un informe anual sobre el cumplimiento de su Programa Municipal para la Igualdad de Trato y Oportunidades entre Mujeres y Hombres y para Prevenir, Atender, Sancionar y Erradicar la Violencia contra las Mujeres;</w:t>
      </w:r>
    </w:p>
    <w:p w14:paraId="01E4570E" w14:textId="77777777" w:rsidR="00622710" w:rsidRPr="00E42F34" w:rsidRDefault="00622710" w:rsidP="00622710">
      <w:pPr>
        <w:pStyle w:val="Prrafodelista"/>
        <w:spacing w:line="360" w:lineRule="auto"/>
        <w:ind w:left="0"/>
        <w:jc w:val="both"/>
        <w:rPr>
          <w:rFonts w:ascii="Palatino Linotype" w:hAnsi="Palatino Linotype"/>
          <w:color w:val="000000"/>
          <w:sz w:val="22"/>
          <w:szCs w:val="22"/>
        </w:rPr>
      </w:pPr>
    </w:p>
    <w:p w14:paraId="1EC89891" w14:textId="2570B471" w:rsidR="000536B3" w:rsidRPr="00E42F34" w:rsidRDefault="000536B3" w:rsidP="000536B3">
      <w:pPr>
        <w:pStyle w:val="Prrafodelista"/>
        <w:numPr>
          <w:ilvl w:val="0"/>
          <w:numId w:val="2"/>
        </w:numPr>
        <w:spacing w:line="360" w:lineRule="auto"/>
        <w:ind w:left="0" w:firstLine="0"/>
        <w:jc w:val="both"/>
        <w:rPr>
          <w:rFonts w:ascii="Palatino Linotype" w:hAnsi="Palatino Linotype"/>
          <w:color w:val="000000"/>
          <w:sz w:val="22"/>
          <w:szCs w:val="22"/>
        </w:rPr>
      </w:pPr>
      <w:r w:rsidRPr="00E42F34">
        <w:rPr>
          <w:rFonts w:ascii="Palatino Linotype" w:eastAsia="Calibri" w:hAnsi="Palatino Linotype" w:cs="Arial"/>
        </w:rPr>
        <w:t>Dicho precepto legal establece como atribución de los presidentes municipales el rendir un informe anual sobre el programa municipal para atender, sancionar y erradicar la violencia contra las mujeres. Posteriormente, en el artículo 119 del mismo ordenamiento legal, se encuentra lo siguiente:</w:t>
      </w:r>
    </w:p>
    <w:p w14:paraId="4F9871F1" w14:textId="26581207" w:rsidR="000536B3" w:rsidRPr="00E42F34" w:rsidRDefault="000536B3" w:rsidP="000536B3">
      <w:pPr>
        <w:spacing w:line="360" w:lineRule="auto"/>
        <w:jc w:val="both"/>
        <w:rPr>
          <w:rFonts w:ascii="Palatino Linotype" w:hAnsi="Palatino Linotype"/>
          <w:color w:val="000000"/>
          <w:sz w:val="22"/>
          <w:szCs w:val="22"/>
        </w:rPr>
      </w:pPr>
    </w:p>
    <w:p w14:paraId="29227BDF" w14:textId="77777777" w:rsidR="000536B3" w:rsidRPr="00E42F34" w:rsidRDefault="000536B3" w:rsidP="000536B3">
      <w:pPr>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Artículo 119.- El Plan de Desarrollo Municipal se complementará con programas anuales sectoriales de la administración municipal y con programas especiales de los organismos desconcentrados y descentralizados de carácter municipal. </w:t>
      </w:r>
    </w:p>
    <w:p w14:paraId="5E4C2B7F" w14:textId="77777777" w:rsidR="000536B3" w:rsidRPr="00E42F34" w:rsidRDefault="000536B3" w:rsidP="000536B3">
      <w:pPr>
        <w:spacing w:line="360" w:lineRule="auto"/>
        <w:ind w:left="567" w:right="567"/>
        <w:jc w:val="both"/>
        <w:rPr>
          <w:rFonts w:ascii="Palatino Linotype" w:hAnsi="Palatino Linotype"/>
          <w:i/>
          <w:iCs/>
          <w:sz w:val="22"/>
          <w:szCs w:val="22"/>
        </w:rPr>
      </w:pPr>
    </w:p>
    <w:p w14:paraId="1BB86A77" w14:textId="2AF6EF6E" w:rsidR="000536B3" w:rsidRPr="00E42F34" w:rsidRDefault="000536B3" w:rsidP="000536B3">
      <w:pPr>
        <w:spacing w:line="360" w:lineRule="auto"/>
        <w:ind w:left="567" w:right="567"/>
        <w:jc w:val="both"/>
        <w:rPr>
          <w:rFonts w:ascii="Palatino Linotype" w:hAnsi="Palatino Linotype"/>
          <w:b/>
          <w:bCs/>
          <w:i/>
          <w:iCs/>
          <w:color w:val="000000"/>
          <w:sz w:val="20"/>
          <w:szCs w:val="20"/>
        </w:rPr>
      </w:pPr>
      <w:r w:rsidRPr="00E42F34">
        <w:rPr>
          <w:rFonts w:ascii="Palatino Linotype" w:hAnsi="Palatino Linotype"/>
          <w:b/>
          <w:bCs/>
          <w:i/>
          <w:iCs/>
          <w:sz w:val="22"/>
          <w:szCs w:val="22"/>
        </w:rPr>
        <w:t xml:space="preserve">Asimismo, los ayuntamientos deberán formular, ejecutar, remitir y evaluar el Programa Municipal para la Igualdad de Trato y Oportunidades entre Mujeres y Hombres y para Prevenir, Atender, Sancionar y Erradicar la Violencia contra </w:t>
      </w:r>
      <w:r w:rsidRPr="00E42F34">
        <w:rPr>
          <w:rFonts w:ascii="Palatino Linotype" w:hAnsi="Palatino Linotype"/>
          <w:b/>
          <w:bCs/>
          <w:i/>
          <w:iCs/>
          <w:sz w:val="22"/>
          <w:szCs w:val="22"/>
        </w:rPr>
        <w:lastRenderedPageBreak/>
        <w:t>las Mujeres, así como las Estrategias respectivas, en los términos previstos por las disposiciones aplicables.</w:t>
      </w:r>
    </w:p>
    <w:p w14:paraId="68E536A2" w14:textId="77777777" w:rsidR="000536B3" w:rsidRPr="00E42F34" w:rsidRDefault="000536B3" w:rsidP="000536B3">
      <w:pPr>
        <w:pStyle w:val="Prrafodelista"/>
        <w:spacing w:line="360" w:lineRule="auto"/>
        <w:ind w:left="0"/>
        <w:jc w:val="both"/>
        <w:rPr>
          <w:rFonts w:ascii="Palatino Linotype" w:hAnsi="Palatino Linotype"/>
          <w:color w:val="000000"/>
          <w:sz w:val="22"/>
          <w:szCs w:val="22"/>
        </w:rPr>
      </w:pPr>
    </w:p>
    <w:p w14:paraId="74417C0A" w14:textId="69F4E758" w:rsidR="000536B3" w:rsidRPr="00E42F34" w:rsidRDefault="000536B3" w:rsidP="00D71E4B">
      <w:pPr>
        <w:pStyle w:val="Prrafodelista"/>
        <w:numPr>
          <w:ilvl w:val="0"/>
          <w:numId w:val="2"/>
        </w:numPr>
        <w:spacing w:line="360" w:lineRule="auto"/>
        <w:ind w:left="0" w:firstLine="0"/>
        <w:jc w:val="both"/>
        <w:rPr>
          <w:rFonts w:ascii="Palatino Linotype" w:hAnsi="Palatino Linotype"/>
          <w:color w:val="000000"/>
          <w:sz w:val="22"/>
          <w:szCs w:val="22"/>
        </w:rPr>
      </w:pPr>
      <w:r w:rsidRPr="00E42F34">
        <w:rPr>
          <w:rFonts w:ascii="Palatino Linotype" w:hAnsi="Palatino Linotype"/>
          <w:color w:val="000000"/>
          <w:sz w:val="22"/>
          <w:szCs w:val="22"/>
        </w:rPr>
        <w:t>Tal como se aprecia, se menciona que los Ayuntamientos deben formular y ejecutar un plan municipal para prevenir, atender, sancionar y erradicar la violencia contra las mujeres, del cual deben rendir un informe anual, como se ha señalado en líneas anteriores.</w:t>
      </w:r>
    </w:p>
    <w:p w14:paraId="735C04EA" w14:textId="77777777" w:rsidR="000536B3" w:rsidRPr="00E42F34" w:rsidRDefault="000536B3" w:rsidP="000536B3">
      <w:pPr>
        <w:pStyle w:val="Prrafodelista"/>
        <w:spacing w:line="360" w:lineRule="auto"/>
        <w:ind w:left="0"/>
        <w:jc w:val="both"/>
        <w:rPr>
          <w:rFonts w:ascii="Palatino Linotype" w:hAnsi="Palatino Linotype"/>
          <w:color w:val="000000"/>
          <w:sz w:val="22"/>
          <w:szCs w:val="22"/>
        </w:rPr>
      </w:pPr>
    </w:p>
    <w:p w14:paraId="48A4DF23" w14:textId="5E913DF7" w:rsidR="000536B3" w:rsidRPr="00E42F34" w:rsidRDefault="000536B3" w:rsidP="00D71E4B">
      <w:pPr>
        <w:pStyle w:val="Prrafodelista"/>
        <w:numPr>
          <w:ilvl w:val="0"/>
          <w:numId w:val="2"/>
        </w:numPr>
        <w:spacing w:line="360" w:lineRule="auto"/>
        <w:ind w:left="0" w:firstLine="0"/>
        <w:jc w:val="both"/>
        <w:rPr>
          <w:rFonts w:ascii="Palatino Linotype" w:hAnsi="Palatino Linotype"/>
          <w:color w:val="000000"/>
          <w:sz w:val="22"/>
          <w:szCs w:val="22"/>
        </w:rPr>
      </w:pPr>
      <w:r w:rsidRPr="00E42F34">
        <w:rPr>
          <w:rFonts w:ascii="Palatino Linotype" w:eastAsia="Calibri" w:hAnsi="Palatino Linotype" w:cs="Arial"/>
        </w:rPr>
        <w:t xml:space="preserve">Se aprecia que, dentro de la estructura orgánica del Sujeto Obligado se cuenta con la </w:t>
      </w:r>
      <w:r w:rsidRPr="00E42F34">
        <w:rPr>
          <w:rFonts w:ascii="Palatino Linotype" w:eastAsia="Calibri" w:hAnsi="Palatino Linotype" w:cs="Arial"/>
          <w:b/>
          <w:bCs/>
        </w:rPr>
        <w:t xml:space="preserve">secretaria de las Mujeres Naucalpenses y la Igualdad Sustantiva, </w:t>
      </w:r>
      <w:r w:rsidRPr="00E42F34">
        <w:rPr>
          <w:rFonts w:ascii="Palatino Linotype" w:eastAsia="Calibri" w:hAnsi="Palatino Linotype" w:cs="Arial"/>
        </w:rPr>
        <w:t>misma que de acuerdo al Reglamento Orgánico de la Administración Pública Municipal de Naucalpan de Juárez</w:t>
      </w:r>
      <w:r w:rsidRPr="00E42F34">
        <w:rPr>
          <w:rStyle w:val="Refdenotaalpie"/>
          <w:rFonts w:ascii="Palatino Linotype" w:eastAsia="Calibri" w:hAnsi="Palatino Linotype" w:cs="Arial"/>
        </w:rPr>
        <w:footnoteReference w:id="2"/>
      </w:r>
      <w:r w:rsidR="005F4804" w:rsidRPr="00E42F34">
        <w:rPr>
          <w:rFonts w:ascii="Palatino Linotype" w:eastAsia="Calibri" w:hAnsi="Palatino Linotype" w:cs="Arial"/>
        </w:rPr>
        <w:t xml:space="preserve"> en su artículo 12.4 tiene las siguientes atribuciones:</w:t>
      </w:r>
    </w:p>
    <w:p w14:paraId="626D2633" w14:textId="77777777" w:rsidR="005F4804" w:rsidRPr="00E42F34" w:rsidRDefault="005F4804" w:rsidP="005F4804">
      <w:pPr>
        <w:pStyle w:val="Prrafodelista"/>
        <w:rPr>
          <w:rFonts w:ascii="Palatino Linotype" w:hAnsi="Palatino Linotype"/>
          <w:color w:val="000000"/>
          <w:sz w:val="22"/>
          <w:szCs w:val="22"/>
        </w:rPr>
      </w:pPr>
    </w:p>
    <w:p w14:paraId="050315EF" w14:textId="00841437"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Artículo 12.4.- En cumplimiento de sus objetivos, la Secretaría tendrá las siguientes atribuciones:</w:t>
      </w:r>
    </w:p>
    <w:p w14:paraId="66084437" w14:textId="7CF0E68D"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40C9B98A" w14:textId="68643E65"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II. Desarrollar políticas y acciones para la prevención, atención, sanción y erradicación de la violencia contra las mujeres en el ámbito municipal;</w:t>
      </w:r>
    </w:p>
    <w:p w14:paraId="68BAA8D1" w14:textId="3D724058"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631B5678" w14:textId="6B0A617D"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IV. Fomentar una cultura institucional para la igualdad entre mujeres y hombres y la prevención y atención de la violencia contra las mujeres en la administración municipal;</w:t>
      </w:r>
    </w:p>
    <w:p w14:paraId="084AE0CA" w14:textId="08A7257A"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0A55391F" w14:textId="2933C2EA"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XIX. Coadyuvar a la eliminación de todas las formas de violencia contra las mujeres, dentro o fuera de la familia;</w:t>
      </w:r>
    </w:p>
    <w:p w14:paraId="41C948F9" w14:textId="1AC274C8"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5BEDD7C3" w14:textId="4AB0C5F1"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lastRenderedPageBreak/>
        <w:t>XXI. Impulsar, promover y difundir todas las acciones implementadas por las diferentes Unidades Administrativas del gobierno municipal para atender la Declaratoria de Alerta de Violencia de Género contra las Mujeres.</w:t>
      </w:r>
    </w:p>
    <w:p w14:paraId="7AA69BCB" w14:textId="0D7AD963"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3CF26F9A" w14:textId="2420133A"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XXIV. Proponer a la Presidencia Municipal el programa de trabajo y presupuesto que se ejercerá en el ejercicio fiscal del año siguiente para su integración en el presupuesto de Egresos correspondiente;</w:t>
      </w:r>
    </w:p>
    <w:p w14:paraId="7D8E51B0" w14:textId="487BB595" w:rsidR="005F4804" w:rsidRPr="00E42F34" w:rsidRDefault="005F4804" w:rsidP="005F4804">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w:t>
      </w:r>
    </w:p>
    <w:p w14:paraId="4CF1F796" w14:textId="1B1ED1B1" w:rsidR="005F4804" w:rsidRPr="00E42F34" w:rsidRDefault="005F4804" w:rsidP="005F4804">
      <w:pPr>
        <w:pStyle w:val="Prrafodelista"/>
        <w:spacing w:line="360" w:lineRule="auto"/>
        <w:ind w:left="567" w:right="567"/>
        <w:jc w:val="both"/>
        <w:rPr>
          <w:rFonts w:ascii="Palatino Linotype" w:hAnsi="Palatino Linotype"/>
          <w:i/>
          <w:iCs/>
          <w:color w:val="000000"/>
          <w:sz w:val="20"/>
          <w:szCs w:val="20"/>
        </w:rPr>
      </w:pPr>
      <w:r w:rsidRPr="00E42F34">
        <w:rPr>
          <w:rFonts w:ascii="Palatino Linotype" w:hAnsi="Palatino Linotype"/>
          <w:i/>
          <w:iCs/>
          <w:sz w:val="22"/>
          <w:szCs w:val="22"/>
        </w:rPr>
        <w:t>XXVI. Llevar a cabo las acciones necesarias para acceder a los recursos financieros de los fondos y aportaciones de los programas federales y estatales, en el cumplimiento de los objetivos de la Secretaría;</w:t>
      </w:r>
    </w:p>
    <w:p w14:paraId="7811290A" w14:textId="77777777" w:rsidR="000536B3" w:rsidRPr="00E42F34" w:rsidRDefault="000536B3" w:rsidP="000536B3">
      <w:pPr>
        <w:pStyle w:val="Prrafodelista"/>
        <w:rPr>
          <w:rFonts w:ascii="Palatino Linotype" w:eastAsia="Calibri" w:hAnsi="Palatino Linotype" w:cs="Arial"/>
        </w:rPr>
      </w:pPr>
    </w:p>
    <w:p w14:paraId="726A50D6" w14:textId="23FD4D21" w:rsidR="002478B6" w:rsidRPr="00E42F34" w:rsidRDefault="002478B6" w:rsidP="002478B6">
      <w:pPr>
        <w:pStyle w:val="Prrafodelista"/>
        <w:numPr>
          <w:ilvl w:val="0"/>
          <w:numId w:val="2"/>
        </w:numPr>
        <w:spacing w:line="360" w:lineRule="auto"/>
        <w:ind w:left="0" w:firstLine="0"/>
        <w:jc w:val="both"/>
        <w:rPr>
          <w:rFonts w:ascii="Palatino Linotype" w:hAnsi="Palatino Linotype"/>
          <w:color w:val="000000"/>
        </w:rPr>
      </w:pPr>
      <w:r w:rsidRPr="00E42F34">
        <w:rPr>
          <w:rFonts w:ascii="Palatino Linotype" w:hAnsi="Palatino Linotype"/>
          <w:color w:val="000000"/>
        </w:rPr>
        <w:t xml:space="preserve">Es así que, la Secretaría de las Mujeres Naucalpenses y la Igualdad Sustantiva, tiene atribuciones para desarrollar acciones y programas para la prevención, </w:t>
      </w:r>
      <w:r w:rsidRPr="00E42F34">
        <w:rPr>
          <w:rFonts w:ascii="Palatino Linotype" w:hAnsi="Palatino Linotype"/>
          <w:b/>
          <w:bCs/>
          <w:color w:val="000000"/>
        </w:rPr>
        <w:t>atención</w:t>
      </w:r>
      <w:r w:rsidRPr="00E42F34">
        <w:rPr>
          <w:rFonts w:ascii="Palatino Linotype" w:hAnsi="Palatino Linotype"/>
          <w:color w:val="000000"/>
        </w:rPr>
        <w:t xml:space="preserve">, sanción y erradicación de la violencia contra las mujeres, así como de promover, impulsar y difundir las acciones para atender la Declaratoria de Alerta de Violencia de Género contra las Mujeres, a través de las cuales se puede ejercer presupuesto para su cabal cumplimiento. </w:t>
      </w:r>
    </w:p>
    <w:p w14:paraId="4784AD4D" w14:textId="77777777" w:rsidR="002478B6" w:rsidRPr="00E42F34" w:rsidRDefault="002478B6" w:rsidP="002478B6">
      <w:pPr>
        <w:pStyle w:val="Prrafodelista"/>
        <w:spacing w:line="360" w:lineRule="auto"/>
        <w:ind w:left="0"/>
        <w:jc w:val="both"/>
        <w:rPr>
          <w:rFonts w:ascii="Palatino Linotype" w:hAnsi="Palatino Linotype"/>
          <w:color w:val="000000"/>
        </w:rPr>
      </w:pPr>
    </w:p>
    <w:p w14:paraId="36904B21" w14:textId="45D88E9F" w:rsidR="002478B6" w:rsidRPr="00E42F34" w:rsidRDefault="002478B6" w:rsidP="002478B6">
      <w:pPr>
        <w:pStyle w:val="Prrafodelista"/>
        <w:numPr>
          <w:ilvl w:val="0"/>
          <w:numId w:val="2"/>
        </w:numPr>
        <w:spacing w:line="360" w:lineRule="auto"/>
        <w:ind w:left="0" w:firstLine="0"/>
        <w:jc w:val="both"/>
        <w:rPr>
          <w:rFonts w:ascii="Palatino Linotype" w:hAnsi="Palatino Linotype"/>
          <w:color w:val="000000"/>
        </w:rPr>
      </w:pPr>
      <w:r w:rsidRPr="00E42F34">
        <w:rPr>
          <w:rFonts w:ascii="Palatino Linotype" w:hAnsi="Palatino Linotype"/>
          <w:color w:val="000000"/>
        </w:rPr>
        <w:t>Aunado a lo anterior, dentro de la estructura orgánica del Sujeto Obligado se encuentra la Dirección del Centro de Desarrollo Integral para las Mujeres Naucalpenses, la cual, de acuerdo al artículo 12.9 cuenta con las siguientes atribuciones:</w:t>
      </w:r>
    </w:p>
    <w:p w14:paraId="10B7D701" w14:textId="77777777" w:rsidR="002478B6" w:rsidRPr="00E42F34" w:rsidRDefault="002478B6" w:rsidP="002478B6">
      <w:pPr>
        <w:pStyle w:val="Prrafodelista"/>
        <w:rPr>
          <w:rFonts w:ascii="Palatino Linotype" w:hAnsi="Palatino Linotype"/>
          <w:color w:val="000000"/>
          <w:sz w:val="22"/>
          <w:szCs w:val="22"/>
        </w:rPr>
      </w:pPr>
    </w:p>
    <w:p w14:paraId="1F191C20" w14:textId="66BEFB88"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Artículo 12.9.- Corresponde a la Dirección del Centro de Desarrollo Integral para las Mujeres Naucalpenses, las siguientes atribuciones:</w:t>
      </w:r>
    </w:p>
    <w:p w14:paraId="392AB96A" w14:textId="19F4E7EC"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lastRenderedPageBreak/>
        <w:t>I. …</w:t>
      </w:r>
    </w:p>
    <w:p w14:paraId="5A44F54E" w14:textId="572695CA"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II. Promover que el personal del Centro, así como de otras áreas de atención al público por parte del gobierno municipal cuenten con la certificación EC0539 “Atención Presencial de Primer Contacto a Mujeres Víctimas de Violencia de Género”, para la adecuada atención, canalización, trato digno y no revictimización;</w:t>
      </w:r>
    </w:p>
    <w:p w14:paraId="63720DE4" w14:textId="1DBD4B3A"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III. Otorgar servicios gratuitos de primer nivel para la atención psicológica con perspectiva de género, canalización y seguimiento a mujeres en situación de violencia de género con calidad, oportunidad y calidez;</w:t>
      </w:r>
    </w:p>
    <w:p w14:paraId="01FBB7A2" w14:textId="45C4D04C"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IV. Brindar servicios de asesoría y en su caso defensoría jurídica con perspectiva de género, canalización y seguimiento legal a mujeres en situación de violencia de género; V. Fomentar conjuntamente con las dependencias estatales y municipales, las campañas sobre derechos sexuales reproductivos y embarazos no planeados</w:t>
      </w:r>
    </w:p>
    <w:p w14:paraId="422374EB" w14:textId="77777777"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 xml:space="preserve">VI. Brindar servicios de orientación a las mujeres y población en general en materia de derechos sexuales y reproductivos, prevención de embarazos no planeados, prevención de Enfermedades de Transmisión Sexual, entre otras; </w:t>
      </w:r>
    </w:p>
    <w:p w14:paraId="43C4D336" w14:textId="77777777"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 xml:space="preserve">VII. Dirigir y dar seguimiento a las actividades que se efectúen en los espacios lúdicos de atención a hijas e hijos de mujeres que estén siendo atendidas en el Centro; </w:t>
      </w:r>
    </w:p>
    <w:p w14:paraId="021DD7AB" w14:textId="77777777"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 xml:space="preserve">VIII. Dirigir y dar seguimiento a las actividades del refugio temporal para mujeres víctimas de violencia; </w:t>
      </w:r>
    </w:p>
    <w:p w14:paraId="0508601E" w14:textId="77777777"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w:t>
      </w:r>
    </w:p>
    <w:p w14:paraId="1B8134AB" w14:textId="63E5E17D" w:rsidR="002478B6" w:rsidRPr="00E42F34" w:rsidRDefault="002478B6" w:rsidP="00F13F8A">
      <w:pPr>
        <w:pStyle w:val="Prrafodelista"/>
        <w:spacing w:line="360" w:lineRule="auto"/>
        <w:ind w:left="567" w:right="567"/>
        <w:jc w:val="both"/>
        <w:rPr>
          <w:rFonts w:ascii="Palatino Linotype" w:hAnsi="Palatino Linotype"/>
          <w:i/>
          <w:iCs/>
          <w:sz w:val="20"/>
          <w:szCs w:val="20"/>
        </w:rPr>
      </w:pPr>
      <w:r w:rsidRPr="00E42F34">
        <w:rPr>
          <w:rFonts w:ascii="Palatino Linotype" w:hAnsi="Palatino Linotype"/>
          <w:i/>
          <w:iCs/>
          <w:sz w:val="20"/>
          <w:szCs w:val="20"/>
        </w:rPr>
        <w:t xml:space="preserve">XII. Dirigir y evaluar al personal operativo de la línea de atención telefónica gratuita de emergencia en casos de violencia de género; </w:t>
      </w:r>
    </w:p>
    <w:p w14:paraId="74930813" w14:textId="77777777" w:rsidR="002478B6" w:rsidRPr="00E42F34" w:rsidRDefault="002478B6" w:rsidP="00F13F8A">
      <w:pPr>
        <w:pStyle w:val="Prrafodelista"/>
        <w:spacing w:line="360" w:lineRule="auto"/>
        <w:ind w:left="567" w:right="567"/>
        <w:jc w:val="both"/>
        <w:rPr>
          <w:rFonts w:ascii="Palatino Linotype" w:hAnsi="Palatino Linotype"/>
          <w:b/>
          <w:bCs/>
          <w:i/>
          <w:iCs/>
          <w:sz w:val="20"/>
          <w:szCs w:val="20"/>
        </w:rPr>
      </w:pPr>
      <w:r w:rsidRPr="00E42F34">
        <w:rPr>
          <w:rFonts w:ascii="Palatino Linotype" w:hAnsi="Palatino Linotype"/>
          <w:b/>
          <w:bCs/>
          <w:i/>
          <w:iCs/>
          <w:sz w:val="20"/>
          <w:szCs w:val="20"/>
        </w:rPr>
        <w:t xml:space="preserve">XIII. Reunirse periódicamente con la persona titular de la Secretaría con el objetivo de mostrar avances y gestionar la obtención de recursos para el desarrollo de programas; </w:t>
      </w:r>
    </w:p>
    <w:p w14:paraId="15CA77D7" w14:textId="77777777" w:rsidR="002478B6" w:rsidRPr="00E42F34" w:rsidRDefault="002478B6" w:rsidP="002478B6">
      <w:pPr>
        <w:pStyle w:val="Prrafodelista"/>
        <w:spacing w:line="360" w:lineRule="auto"/>
        <w:ind w:left="0"/>
        <w:jc w:val="both"/>
      </w:pPr>
    </w:p>
    <w:p w14:paraId="425E3600" w14:textId="2A9BD424" w:rsidR="000536B3" w:rsidRPr="00E42F34" w:rsidRDefault="002478B6" w:rsidP="00D71E4B">
      <w:pPr>
        <w:pStyle w:val="Prrafodelista"/>
        <w:numPr>
          <w:ilvl w:val="0"/>
          <w:numId w:val="2"/>
        </w:numPr>
        <w:spacing w:line="360" w:lineRule="auto"/>
        <w:ind w:left="0" w:firstLine="0"/>
        <w:jc w:val="both"/>
        <w:rPr>
          <w:rFonts w:ascii="Palatino Linotype" w:hAnsi="Palatino Linotype"/>
          <w:color w:val="000000"/>
        </w:rPr>
      </w:pPr>
      <w:r w:rsidRPr="00E42F34">
        <w:rPr>
          <w:rFonts w:ascii="Palatino Linotype" w:hAnsi="Palatino Linotype"/>
          <w:color w:val="000000"/>
        </w:rPr>
        <w:t>Asimismo, la Dirección se integra por</w:t>
      </w:r>
      <w:r w:rsidR="00F13F8A" w:rsidRPr="00E42F34">
        <w:rPr>
          <w:rFonts w:ascii="Palatino Linotype" w:hAnsi="Palatino Linotype"/>
          <w:color w:val="000000"/>
        </w:rPr>
        <w:t xml:space="preserve"> las siguientes unidades administrativas:</w:t>
      </w:r>
    </w:p>
    <w:p w14:paraId="37261FB4" w14:textId="53AD7029" w:rsidR="00F13F8A" w:rsidRPr="00E42F34" w:rsidRDefault="00F13F8A" w:rsidP="00F13F8A">
      <w:pPr>
        <w:pStyle w:val="Prrafodelista"/>
        <w:spacing w:line="360" w:lineRule="auto"/>
        <w:ind w:left="0"/>
        <w:jc w:val="both"/>
        <w:rPr>
          <w:rFonts w:ascii="Palatino Linotype" w:hAnsi="Palatino Linotype"/>
          <w:color w:val="000000"/>
          <w:sz w:val="22"/>
          <w:szCs w:val="22"/>
        </w:rPr>
      </w:pPr>
    </w:p>
    <w:p w14:paraId="3FB4ABA9" w14:textId="4A2BD4FB" w:rsidR="00F13F8A" w:rsidRPr="00E42F34" w:rsidRDefault="00F13F8A" w:rsidP="00F13F8A">
      <w:pPr>
        <w:pStyle w:val="Prrafodelista"/>
        <w:spacing w:line="360" w:lineRule="auto"/>
        <w:ind w:left="567" w:right="567"/>
        <w:jc w:val="both"/>
        <w:rPr>
          <w:rFonts w:ascii="Palatino Linotype" w:hAnsi="Palatino Linotype"/>
          <w:i/>
          <w:iCs/>
          <w:color w:val="000000"/>
          <w:sz w:val="20"/>
          <w:szCs w:val="20"/>
        </w:rPr>
      </w:pPr>
      <w:r w:rsidRPr="00E42F34">
        <w:rPr>
          <w:rFonts w:ascii="Palatino Linotype" w:hAnsi="Palatino Linotype"/>
          <w:i/>
          <w:iCs/>
          <w:sz w:val="22"/>
          <w:szCs w:val="22"/>
        </w:rPr>
        <w:lastRenderedPageBreak/>
        <w:t>Artículo 12.10.- La Dirección del Centro de Desarrollo Integral para las Mujeres Naucalpenses para el desempeño de sus funciones se auxiliará de las Unidades Administrativas siguientes:</w:t>
      </w:r>
    </w:p>
    <w:p w14:paraId="09A622D1"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 Subdirección de Desarrollo Integral de las Mujeres y Prevención de la Violencia de Género; </w:t>
      </w:r>
    </w:p>
    <w:p w14:paraId="70325DFC"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II. Departamento de Asesoría Jurídica para las Mujeres; </w:t>
      </w:r>
    </w:p>
    <w:p w14:paraId="2BEC1417"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III. Departamento de Atención Psicológica para las Mujeres; </w:t>
      </w:r>
    </w:p>
    <w:p w14:paraId="0A097226"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IV. Departamento de Desarrollo Social Comunitario para Mujeres; </w:t>
      </w:r>
    </w:p>
    <w:p w14:paraId="71552DC5" w14:textId="1ACB730D" w:rsidR="00F13F8A" w:rsidRPr="00E42F34" w:rsidRDefault="00F13F8A" w:rsidP="00F13F8A">
      <w:pPr>
        <w:pStyle w:val="Prrafodelista"/>
        <w:spacing w:line="360" w:lineRule="auto"/>
        <w:ind w:left="567" w:right="567"/>
        <w:jc w:val="both"/>
        <w:rPr>
          <w:rFonts w:ascii="Palatino Linotype" w:hAnsi="Palatino Linotype"/>
          <w:i/>
          <w:iCs/>
          <w:color w:val="000000"/>
          <w:sz w:val="20"/>
          <w:szCs w:val="20"/>
        </w:rPr>
      </w:pPr>
      <w:r w:rsidRPr="00E42F34">
        <w:rPr>
          <w:rFonts w:ascii="Palatino Linotype" w:hAnsi="Palatino Linotype"/>
          <w:i/>
          <w:iCs/>
          <w:sz w:val="22"/>
          <w:szCs w:val="22"/>
        </w:rPr>
        <w:t>V. Departamento de Atención a víctimas de Violencia de Género.</w:t>
      </w:r>
    </w:p>
    <w:p w14:paraId="3B121647" w14:textId="77777777" w:rsidR="00F13F8A" w:rsidRPr="00E42F34" w:rsidRDefault="00F13F8A" w:rsidP="00F13F8A">
      <w:pPr>
        <w:pStyle w:val="Prrafodelista"/>
        <w:spacing w:line="360" w:lineRule="auto"/>
        <w:ind w:left="0"/>
        <w:jc w:val="both"/>
        <w:rPr>
          <w:rFonts w:ascii="Palatino Linotype" w:hAnsi="Palatino Linotype"/>
          <w:color w:val="000000"/>
          <w:sz w:val="22"/>
          <w:szCs w:val="22"/>
        </w:rPr>
      </w:pPr>
    </w:p>
    <w:p w14:paraId="434B6828" w14:textId="77777777" w:rsidR="00F13F8A" w:rsidRPr="00E42F34" w:rsidRDefault="00F13F8A" w:rsidP="00D71E4B">
      <w:pPr>
        <w:pStyle w:val="Prrafodelista"/>
        <w:numPr>
          <w:ilvl w:val="0"/>
          <w:numId w:val="2"/>
        </w:numPr>
        <w:spacing w:line="360" w:lineRule="auto"/>
        <w:ind w:left="0" w:firstLine="0"/>
        <w:jc w:val="both"/>
        <w:rPr>
          <w:rFonts w:ascii="Palatino Linotype" w:hAnsi="Palatino Linotype"/>
          <w:color w:val="000000"/>
        </w:rPr>
      </w:pPr>
      <w:r w:rsidRPr="00E42F34">
        <w:rPr>
          <w:rFonts w:ascii="Palatino Linotype" w:hAnsi="Palatino Linotype"/>
          <w:color w:val="000000"/>
        </w:rPr>
        <w:t xml:space="preserve">De dichas áreas, destaca el departamento de atención a víctimas de violencia de género, que de acuerdo al artículo 12.15 de la normatividad en comento, tiene </w:t>
      </w:r>
      <w:proofErr w:type="spellStart"/>
      <w:r w:rsidRPr="00E42F34">
        <w:rPr>
          <w:rFonts w:ascii="Palatino Linotype" w:hAnsi="Palatino Linotype"/>
          <w:color w:val="000000"/>
        </w:rPr>
        <w:t>ls</w:t>
      </w:r>
      <w:proofErr w:type="spellEnd"/>
      <w:r w:rsidRPr="00E42F34">
        <w:rPr>
          <w:rFonts w:ascii="Palatino Linotype" w:hAnsi="Palatino Linotype"/>
          <w:color w:val="000000"/>
        </w:rPr>
        <w:t xml:space="preserve"> siguientes atribuciones:</w:t>
      </w:r>
    </w:p>
    <w:p w14:paraId="55879F20" w14:textId="77777777" w:rsidR="00F13F8A" w:rsidRPr="00E42F34" w:rsidRDefault="00F13F8A" w:rsidP="00F13F8A">
      <w:pPr>
        <w:pStyle w:val="Prrafodelista"/>
        <w:spacing w:line="360" w:lineRule="auto"/>
        <w:ind w:left="0"/>
        <w:jc w:val="both"/>
        <w:rPr>
          <w:rFonts w:ascii="Palatino Linotype" w:hAnsi="Palatino Linotype"/>
          <w:color w:val="000000"/>
          <w:sz w:val="22"/>
          <w:szCs w:val="22"/>
        </w:rPr>
      </w:pPr>
    </w:p>
    <w:p w14:paraId="47F5BE5F"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Artículo 12.15.- Corresponde al Departamento de Atención a Víctimas de Violencia de Género, a través de su titular, las siguientes atribuciones: </w:t>
      </w:r>
    </w:p>
    <w:p w14:paraId="263733D9"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 Garantizar que </w:t>
      </w:r>
      <w:proofErr w:type="gramStart"/>
      <w:r w:rsidRPr="00E42F34">
        <w:rPr>
          <w:rFonts w:ascii="Palatino Linotype" w:hAnsi="Palatino Linotype"/>
          <w:i/>
          <w:iCs/>
          <w:sz w:val="22"/>
          <w:szCs w:val="22"/>
        </w:rPr>
        <w:t xml:space="preserve">el </w:t>
      </w:r>
      <w:proofErr w:type="spellStart"/>
      <w:r w:rsidRPr="00E42F34">
        <w:rPr>
          <w:rFonts w:ascii="Palatino Linotype" w:hAnsi="Palatino Linotype"/>
          <w:i/>
          <w:iCs/>
          <w:sz w:val="22"/>
          <w:szCs w:val="22"/>
        </w:rPr>
        <w:t>personas</w:t>
      </w:r>
      <w:proofErr w:type="spellEnd"/>
      <w:proofErr w:type="gramEnd"/>
      <w:r w:rsidRPr="00E42F34">
        <w:rPr>
          <w:rFonts w:ascii="Palatino Linotype" w:hAnsi="Palatino Linotype"/>
          <w:i/>
          <w:iCs/>
          <w:sz w:val="22"/>
          <w:szCs w:val="22"/>
        </w:rPr>
        <w:t xml:space="preserve"> del área de Atención a Víctimas de Violencia de Género, así como de otras áreas de atención al público por parte del gobierno municipal cuenten con la certificación EC0539 “Atención Presencial de Primer Contacto a Mujeres Víctimas de Violencia de Género”, para la adecuada atención, canalización, trato digno y no revictimización; </w:t>
      </w:r>
    </w:p>
    <w:p w14:paraId="2E361A1C"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II. Operar el espacio asignado como albergue temporal para mujeres víctimas de violencia; </w:t>
      </w:r>
    </w:p>
    <w:p w14:paraId="15C33113"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III. Operar las actividades que se efectúen en los espacios lúdicos de atención a hijas e hijos de personas que estén siendo atendidas en el Centro; </w:t>
      </w:r>
    </w:p>
    <w:p w14:paraId="7F146E9D"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lastRenderedPageBreak/>
        <w:t xml:space="preserve">IV. Brindar atención prioritaria a mujeres con discapacidad, mujeres adultas mayores y comunidad LGBTTTI; </w:t>
      </w:r>
    </w:p>
    <w:p w14:paraId="5126E499" w14:textId="77777777" w:rsidR="00F13F8A" w:rsidRPr="00E42F34" w:rsidRDefault="00F13F8A" w:rsidP="00F13F8A">
      <w:pPr>
        <w:pStyle w:val="Prrafodelista"/>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V. Canalizar a víctimas de violencia de género a las áreas del centro que puedan auxiliar o a dependencias estatales o federales con la capacidad de brindar el servicio adecuado; </w:t>
      </w:r>
    </w:p>
    <w:p w14:paraId="783D8AE4" w14:textId="4DE479F1" w:rsidR="00F13F8A" w:rsidRPr="00E42F34" w:rsidRDefault="00F13F8A" w:rsidP="00F13F8A">
      <w:pPr>
        <w:pStyle w:val="Prrafodelista"/>
        <w:spacing w:line="360" w:lineRule="auto"/>
        <w:ind w:left="567" w:right="567"/>
        <w:jc w:val="both"/>
        <w:rPr>
          <w:rFonts w:ascii="Palatino Linotype" w:hAnsi="Palatino Linotype"/>
          <w:i/>
          <w:iCs/>
          <w:color w:val="000000"/>
          <w:sz w:val="20"/>
          <w:szCs w:val="20"/>
        </w:rPr>
      </w:pPr>
      <w:r w:rsidRPr="00E42F34">
        <w:rPr>
          <w:rFonts w:ascii="Palatino Linotype" w:hAnsi="Palatino Linotype"/>
          <w:i/>
          <w:iCs/>
          <w:sz w:val="22"/>
          <w:szCs w:val="22"/>
        </w:rPr>
        <w:t>VI. Las demás que en el ámbito de su competencia le asignen sus superiores jerárquicos o la persona titular de la Secretaría.</w:t>
      </w:r>
    </w:p>
    <w:p w14:paraId="46CEF436" w14:textId="77777777" w:rsidR="00F13F8A" w:rsidRPr="00E42F34" w:rsidRDefault="00F13F8A" w:rsidP="00F13F8A">
      <w:pPr>
        <w:pStyle w:val="Prrafodelista"/>
        <w:spacing w:line="360" w:lineRule="auto"/>
        <w:ind w:left="0"/>
        <w:jc w:val="both"/>
        <w:rPr>
          <w:rFonts w:ascii="Palatino Linotype" w:hAnsi="Palatino Linotype"/>
          <w:color w:val="000000"/>
          <w:sz w:val="22"/>
          <w:szCs w:val="22"/>
        </w:rPr>
      </w:pPr>
    </w:p>
    <w:p w14:paraId="30D8FBCA" w14:textId="5C4CDCED" w:rsidR="00E35370" w:rsidRPr="00E42F34" w:rsidRDefault="00E35370" w:rsidP="00D71E4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E42F34">
        <w:rPr>
          <w:rFonts w:ascii="Palatino Linotype" w:eastAsia="Calibri" w:hAnsi="Palatino Linotype" w:cs="Arial"/>
        </w:rPr>
        <w:t xml:space="preserve">Resultando de lo anterior que, el Sujeto Obligado tiene atribuciones necesarias para atender a víctimas de violencia de género, así como implementar acciones para prevenir, atender y sancionar y erradicar la violencia contra las mujeres, por lo que se determina que </w:t>
      </w:r>
      <w:proofErr w:type="spellStart"/>
      <w:r w:rsidRPr="00E42F34">
        <w:rPr>
          <w:rFonts w:ascii="Palatino Linotype" w:eastAsia="Calibri" w:hAnsi="Palatino Linotype" w:cs="Arial"/>
        </w:rPr>
        <w:t>esta</w:t>
      </w:r>
      <w:proofErr w:type="spellEnd"/>
      <w:r w:rsidRPr="00E42F34">
        <w:rPr>
          <w:rFonts w:ascii="Palatino Linotype" w:eastAsia="Calibri" w:hAnsi="Palatino Linotype" w:cs="Arial"/>
        </w:rPr>
        <w:t xml:space="preserve"> en condiciones para generar, administrar y/o poseer la información solicitada por el Recurrente.</w:t>
      </w:r>
    </w:p>
    <w:p w14:paraId="299ABAB7" w14:textId="77777777" w:rsidR="00E35370" w:rsidRPr="00E42F34" w:rsidRDefault="00E35370" w:rsidP="00E35370">
      <w:pPr>
        <w:pStyle w:val="Prrafodelista"/>
        <w:tabs>
          <w:tab w:val="left" w:pos="851"/>
        </w:tabs>
        <w:spacing w:line="360" w:lineRule="auto"/>
        <w:ind w:left="0" w:right="49"/>
        <w:jc w:val="both"/>
        <w:rPr>
          <w:rFonts w:ascii="Palatino Linotype" w:eastAsia="Calibri" w:hAnsi="Palatino Linotype" w:cs="Arial"/>
        </w:rPr>
      </w:pPr>
    </w:p>
    <w:p w14:paraId="2F9E798D" w14:textId="2D1DA7A4" w:rsidR="00E35370" w:rsidRPr="00E42F34" w:rsidRDefault="00E35370" w:rsidP="0051603E">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E42F34">
        <w:rPr>
          <w:rFonts w:ascii="Palatino Linotype" w:eastAsia="Calibri" w:hAnsi="Palatino Linotype" w:cs="Arial"/>
        </w:rPr>
        <w:t>Robusteciendo lo anterior, es necesario verificar el primer informe</w:t>
      </w:r>
      <w:r w:rsidRPr="00E42F34">
        <w:rPr>
          <w:rStyle w:val="Refdenotaalpie"/>
          <w:rFonts w:ascii="Palatino Linotype" w:eastAsia="Calibri" w:hAnsi="Palatino Linotype" w:cs="Arial"/>
        </w:rPr>
        <w:footnoteReference w:id="3"/>
      </w:r>
      <w:r w:rsidRPr="00E42F34">
        <w:rPr>
          <w:rFonts w:ascii="Palatino Linotype" w:eastAsia="Calibri" w:hAnsi="Palatino Linotype" w:cs="Arial"/>
        </w:rPr>
        <w:t xml:space="preserve"> de resultados de la Presidenta Municipal 2019-2021, el cual, a partir de la página 205, localiza el eje transversal 1: Igualdad de Género mediante el Programa Igualdad de Trato y Oportunidades para la Mujer, mismo que tiene por objeto reducir los tipos de violencia contra las mujeres y niñas.</w:t>
      </w:r>
    </w:p>
    <w:p w14:paraId="6EC45A8F" w14:textId="77777777" w:rsidR="00E35370" w:rsidRPr="00E42F34" w:rsidRDefault="00E35370" w:rsidP="00E35370">
      <w:pPr>
        <w:pStyle w:val="Prrafodelista"/>
        <w:rPr>
          <w:rFonts w:ascii="Palatino Linotype" w:eastAsia="Calibri" w:hAnsi="Palatino Linotype" w:cs="Arial"/>
        </w:rPr>
      </w:pPr>
    </w:p>
    <w:p w14:paraId="65B513C5" w14:textId="0401D17E" w:rsidR="00E35370" w:rsidRPr="00E42F34" w:rsidRDefault="00E35370" w:rsidP="0051603E">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E42F34">
        <w:rPr>
          <w:rFonts w:ascii="Palatino Linotype" w:eastAsia="Calibri" w:hAnsi="Palatino Linotype" w:cs="Arial"/>
        </w:rPr>
        <w:t>Establece que, como parte del programa se realizaron:</w:t>
      </w:r>
    </w:p>
    <w:p w14:paraId="0FC9B58C" w14:textId="77777777" w:rsidR="00E35370" w:rsidRPr="00E42F34" w:rsidRDefault="00E35370" w:rsidP="00E35370">
      <w:pPr>
        <w:pStyle w:val="Prrafodelista"/>
        <w:rPr>
          <w:rFonts w:ascii="Palatino Linotype" w:eastAsia="Calibri" w:hAnsi="Palatino Linotype" w:cs="Arial"/>
        </w:rPr>
      </w:pPr>
    </w:p>
    <w:p w14:paraId="2648469E" w14:textId="266F2886" w:rsidR="00E35370" w:rsidRPr="00E42F34" w:rsidRDefault="00E35370" w:rsidP="00417AE3">
      <w:pPr>
        <w:pStyle w:val="Prrafodelista"/>
        <w:numPr>
          <w:ilvl w:val="0"/>
          <w:numId w:val="23"/>
        </w:numPr>
        <w:tabs>
          <w:tab w:val="left" w:pos="851"/>
        </w:tabs>
        <w:spacing w:line="360" w:lineRule="auto"/>
        <w:ind w:right="49"/>
        <w:jc w:val="both"/>
        <w:rPr>
          <w:rFonts w:ascii="Palatino Linotype" w:eastAsia="Calibri" w:hAnsi="Palatino Linotype" w:cs="Arial"/>
          <w:i/>
          <w:iCs/>
        </w:rPr>
      </w:pPr>
      <w:r w:rsidRPr="00E42F34">
        <w:rPr>
          <w:rFonts w:ascii="Palatino Linotype" w:eastAsia="Calibri" w:hAnsi="Palatino Linotype" w:cs="Arial"/>
          <w:i/>
          <w:iCs/>
        </w:rPr>
        <w:t>Servicios gratuitos de atención psicológica y asesoría jurídica atendiendo a 1282 personas.</w:t>
      </w:r>
    </w:p>
    <w:p w14:paraId="11726823" w14:textId="29A3009D" w:rsidR="00417AE3" w:rsidRPr="00E42F34" w:rsidRDefault="00417AE3" w:rsidP="00417AE3">
      <w:pPr>
        <w:pStyle w:val="Prrafodelista"/>
        <w:numPr>
          <w:ilvl w:val="0"/>
          <w:numId w:val="23"/>
        </w:numPr>
        <w:tabs>
          <w:tab w:val="left" w:pos="851"/>
        </w:tabs>
        <w:spacing w:line="360" w:lineRule="auto"/>
        <w:ind w:right="49"/>
        <w:jc w:val="both"/>
        <w:rPr>
          <w:rFonts w:ascii="Palatino Linotype" w:eastAsia="Calibri" w:hAnsi="Palatino Linotype" w:cs="Arial"/>
          <w:i/>
          <w:iCs/>
        </w:rPr>
      </w:pPr>
      <w:r w:rsidRPr="00E42F34">
        <w:rPr>
          <w:rFonts w:ascii="Palatino Linotype" w:eastAsia="Calibri" w:hAnsi="Palatino Linotype" w:cs="Arial"/>
          <w:i/>
          <w:iCs/>
        </w:rPr>
        <w:t>Atención telefónica a víctimas;</w:t>
      </w:r>
    </w:p>
    <w:p w14:paraId="08311198" w14:textId="78ACA77D" w:rsidR="00417AE3" w:rsidRPr="00E42F34" w:rsidRDefault="00417AE3" w:rsidP="00417AE3">
      <w:pPr>
        <w:pStyle w:val="Prrafodelista"/>
        <w:numPr>
          <w:ilvl w:val="0"/>
          <w:numId w:val="23"/>
        </w:numPr>
        <w:tabs>
          <w:tab w:val="left" w:pos="851"/>
        </w:tabs>
        <w:spacing w:line="360" w:lineRule="auto"/>
        <w:ind w:right="49"/>
        <w:jc w:val="both"/>
        <w:rPr>
          <w:rFonts w:ascii="Palatino Linotype" w:eastAsia="Calibri" w:hAnsi="Palatino Linotype" w:cs="Arial"/>
          <w:i/>
          <w:iCs/>
        </w:rPr>
      </w:pPr>
      <w:r w:rsidRPr="00E42F34">
        <w:rPr>
          <w:rFonts w:ascii="Palatino Linotype" w:eastAsia="Calibri" w:hAnsi="Palatino Linotype" w:cs="Arial"/>
          <w:i/>
          <w:iCs/>
        </w:rPr>
        <w:lastRenderedPageBreak/>
        <w:t>Brindar seguimiento, acompañamiento terapéutico y físico;</w:t>
      </w:r>
    </w:p>
    <w:p w14:paraId="3812E775" w14:textId="06672D1A" w:rsidR="00417AE3" w:rsidRPr="00E42F34" w:rsidRDefault="00417AE3" w:rsidP="00417AE3">
      <w:pPr>
        <w:pStyle w:val="Prrafodelista"/>
        <w:numPr>
          <w:ilvl w:val="0"/>
          <w:numId w:val="23"/>
        </w:numPr>
        <w:tabs>
          <w:tab w:val="left" w:pos="851"/>
        </w:tabs>
        <w:spacing w:line="360" w:lineRule="auto"/>
        <w:ind w:right="49"/>
        <w:jc w:val="both"/>
        <w:rPr>
          <w:rFonts w:ascii="Palatino Linotype" w:eastAsia="Calibri" w:hAnsi="Palatino Linotype" w:cs="Arial"/>
          <w:i/>
          <w:iCs/>
        </w:rPr>
      </w:pPr>
      <w:r w:rsidRPr="00E42F34">
        <w:rPr>
          <w:rFonts w:ascii="Palatino Linotype" w:eastAsia="Calibri" w:hAnsi="Palatino Linotype" w:cs="Arial"/>
          <w:i/>
          <w:iCs/>
        </w:rPr>
        <w:t>Se creo una Casa de Transición donde se han dado 74 talleres y se han beneficiado a 720 asistentes</w:t>
      </w:r>
      <w:r w:rsidR="00280D89" w:rsidRPr="00E42F34">
        <w:rPr>
          <w:rFonts w:ascii="Palatino Linotype" w:eastAsia="Calibri" w:hAnsi="Palatino Linotype" w:cs="Arial"/>
          <w:i/>
          <w:iCs/>
        </w:rPr>
        <w:t>;</w:t>
      </w:r>
    </w:p>
    <w:p w14:paraId="1E3CC129" w14:textId="3F3A04F4" w:rsidR="00280D89" w:rsidRPr="00E42F34" w:rsidRDefault="00280D89" w:rsidP="00417AE3">
      <w:pPr>
        <w:pStyle w:val="Prrafodelista"/>
        <w:numPr>
          <w:ilvl w:val="0"/>
          <w:numId w:val="23"/>
        </w:numPr>
        <w:tabs>
          <w:tab w:val="left" w:pos="851"/>
        </w:tabs>
        <w:spacing w:line="360" w:lineRule="auto"/>
        <w:ind w:right="49"/>
        <w:jc w:val="both"/>
        <w:rPr>
          <w:rFonts w:ascii="Palatino Linotype" w:eastAsia="Calibri" w:hAnsi="Palatino Linotype" w:cs="Arial"/>
          <w:i/>
          <w:iCs/>
        </w:rPr>
      </w:pPr>
      <w:r w:rsidRPr="00E42F34">
        <w:rPr>
          <w:rFonts w:ascii="Palatino Linotype" w:eastAsia="Calibri" w:hAnsi="Palatino Linotype" w:cs="Arial"/>
          <w:i/>
          <w:iCs/>
        </w:rPr>
        <w:t>Contenidos impresos (2,000) ejemplares.</w:t>
      </w:r>
    </w:p>
    <w:p w14:paraId="2FDCDB8F" w14:textId="70D30A7E" w:rsidR="00280D89" w:rsidRPr="00E42F34" w:rsidRDefault="00280D89" w:rsidP="00417AE3">
      <w:pPr>
        <w:pStyle w:val="Prrafodelista"/>
        <w:numPr>
          <w:ilvl w:val="0"/>
          <w:numId w:val="23"/>
        </w:numPr>
        <w:tabs>
          <w:tab w:val="left" w:pos="851"/>
        </w:tabs>
        <w:spacing w:line="360" w:lineRule="auto"/>
        <w:ind w:right="49"/>
        <w:jc w:val="both"/>
        <w:rPr>
          <w:rFonts w:ascii="Palatino Linotype" w:eastAsia="Calibri" w:hAnsi="Palatino Linotype" w:cs="Arial"/>
          <w:i/>
          <w:iCs/>
        </w:rPr>
      </w:pPr>
      <w:r w:rsidRPr="00E42F34">
        <w:rPr>
          <w:i/>
          <w:iCs/>
        </w:rPr>
        <w:t>En respuesta a la declaratoria de alerta de género, se brindó contención psicológica, orientación legal y atención a llamados de violencia a 3,475 personas.</w:t>
      </w:r>
    </w:p>
    <w:p w14:paraId="38D1116D" w14:textId="77777777" w:rsidR="00E35370" w:rsidRPr="00E42F34" w:rsidRDefault="00E35370" w:rsidP="00E35370">
      <w:pPr>
        <w:pStyle w:val="Prrafodelista"/>
        <w:tabs>
          <w:tab w:val="left" w:pos="851"/>
        </w:tabs>
        <w:spacing w:line="360" w:lineRule="auto"/>
        <w:ind w:left="0" w:right="49"/>
        <w:jc w:val="both"/>
        <w:rPr>
          <w:rFonts w:ascii="Palatino Linotype" w:eastAsia="Calibri" w:hAnsi="Palatino Linotype" w:cs="Arial"/>
        </w:rPr>
      </w:pPr>
    </w:p>
    <w:p w14:paraId="322E1233" w14:textId="233F4596" w:rsidR="00417AE3" w:rsidRPr="00E42F34" w:rsidRDefault="00417AE3" w:rsidP="00417AE3">
      <w:pPr>
        <w:pStyle w:val="Prrafodelista"/>
        <w:numPr>
          <w:ilvl w:val="0"/>
          <w:numId w:val="2"/>
        </w:numPr>
        <w:tabs>
          <w:tab w:val="left" w:pos="851"/>
        </w:tabs>
        <w:spacing w:line="360" w:lineRule="auto"/>
        <w:ind w:left="0" w:right="49" w:firstLine="0"/>
        <w:jc w:val="both"/>
        <w:rPr>
          <w:rFonts w:ascii="Palatino Linotype" w:eastAsia="Calibri" w:hAnsi="Palatino Linotype" w:cs="Arial"/>
          <w:i/>
          <w:iCs/>
          <w:sz w:val="22"/>
          <w:szCs w:val="22"/>
        </w:rPr>
      </w:pPr>
      <w:r w:rsidRPr="00E42F34">
        <w:rPr>
          <w:rFonts w:ascii="Palatino Linotype" w:eastAsia="Calibri" w:hAnsi="Palatino Linotype" w:cs="Arial"/>
        </w:rPr>
        <w:t xml:space="preserve">Además de lo anterior, en el informe se menciona </w:t>
      </w:r>
      <w:proofErr w:type="gramStart"/>
      <w:r w:rsidRPr="00E42F34">
        <w:rPr>
          <w:rFonts w:ascii="Palatino Linotype" w:eastAsia="Calibri" w:hAnsi="Palatino Linotype" w:cs="Arial"/>
        </w:rPr>
        <w:t>que</w:t>
      </w:r>
      <w:proofErr w:type="gramEnd"/>
      <w:r w:rsidRPr="00E42F34">
        <w:rPr>
          <w:rFonts w:ascii="Palatino Linotype" w:eastAsia="Calibri" w:hAnsi="Palatino Linotype" w:cs="Arial"/>
        </w:rPr>
        <w:t xml:space="preserve"> e</w:t>
      </w:r>
      <w:r w:rsidRPr="00E42F34">
        <w:rPr>
          <w:rFonts w:ascii="Palatino Linotype" w:hAnsi="Palatino Linotype"/>
          <w:i/>
          <w:iCs/>
          <w:sz w:val="22"/>
          <w:szCs w:val="22"/>
        </w:rPr>
        <w:t xml:space="preserve">n estrecha coordinación con el Gobierno del Estado de México, a través del Consejo Estatal de la Mujer y Bienestar Social, </w:t>
      </w:r>
      <w:r w:rsidRPr="00E42F34">
        <w:rPr>
          <w:rFonts w:ascii="Palatino Linotype" w:hAnsi="Palatino Linotype"/>
          <w:b/>
          <w:bCs/>
          <w:i/>
          <w:iCs/>
          <w:sz w:val="22"/>
          <w:szCs w:val="22"/>
        </w:rPr>
        <w:t>el Municipio de Naucalpan cuenta con una Casa de Transición, la primera en su clase, cuyas instalaciones y equipamiento fueron aportadas por el Municipio</w:t>
      </w:r>
      <w:r w:rsidRPr="00E42F34">
        <w:rPr>
          <w:rFonts w:ascii="Palatino Linotype" w:hAnsi="Palatino Linotype"/>
          <w:i/>
          <w:iCs/>
          <w:sz w:val="22"/>
          <w:szCs w:val="22"/>
        </w:rPr>
        <w:t>, para que el Consejo Estatal la opere mediante su Red de Refugios.</w:t>
      </w:r>
      <w:r w:rsidRPr="00E42F34">
        <w:rPr>
          <w:rFonts w:ascii="Palatino Linotype" w:hAnsi="Palatino Linotype"/>
        </w:rPr>
        <w:t xml:space="preserve"> </w:t>
      </w:r>
      <w:r w:rsidRPr="00E42F34">
        <w:rPr>
          <w:rFonts w:ascii="Palatino Linotype" w:hAnsi="Palatino Linotype"/>
          <w:b/>
          <w:bCs/>
          <w:i/>
          <w:iCs/>
          <w:sz w:val="22"/>
          <w:szCs w:val="22"/>
        </w:rPr>
        <w:t>Este espacio está destinado a la atención integral de mujeres y sus menores hijas e hijos que requieran de un resguardo temporal y protección física, así como de alimentación, cuidados médicos, atención psicológica, trabajo social y asistencia jurídica</w:t>
      </w:r>
      <w:r w:rsidRPr="00E42F34">
        <w:rPr>
          <w:rFonts w:ascii="Palatino Linotype" w:hAnsi="Palatino Linotype"/>
          <w:i/>
          <w:iCs/>
          <w:sz w:val="22"/>
          <w:szCs w:val="22"/>
        </w:rPr>
        <w:t>, pudiendo permanecer hasta por 9 meses, en la modalidad de puertas abiertas, permitiendo que se vuelvan económicamente suficientes e independientes, además de contar con un lugar seguro para vivir.</w:t>
      </w:r>
    </w:p>
    <w:p w14:paraId="08430416" w14:textId="0E007AF7" w:rsidR="00417AE3" w:rsidRPr="00E42F34" w:rsidRDefault="00417AE3" w:rsidP="00417AE3">
      <w:pPr>
        <w:tabs>
          <w:tab w:val="left" w:pos="851"/>
        </w:tabs>
        <w:spacing w:line="360" w:lineRule="auto"/>
        <w:ind w:right="49"/>
        <w:jc w:val="both"/>
        <w:rPr>
          <w:rFonts w:ascii="Palatino Linotype" w:eastAsia="Calibri" w:hAnsi="Palatino Linotype" w:cs="Arial"/>
        </w:rPr>
      </w:pPr>
    </w:p>
    <w:p w14:paraId="60BF22BA" w14:textId="3B34EE74" w:rsidR="00417AE3" w:rsidRPr="00E42F34" w:rsidRDefault="00417AE3" w:rsidP="00D71E4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E42F34">
        <w:rPr>
          <w:rFonts w:ascii="Palatino Linotype" w:eastAsia="Calibri" w:hAnsi="Palatino Linotype" w:cs="Arial"/>
        </w:rPr>
        <w:t>En el informe de actividades se menciona que el Municipio de Naucalpan cuenta con una casa de transición que fue aportada por el Municipio, tanto instalaciones como equipamiento, lo cual en obviedad de circunstancias debe generar egresos económicos, así como los servicios que ofrece, tales como alimentos y demás cuidados.</w:t>
      </w:r>
    </w:p>
    <w:p w14:paraId="1FA4344E" w14:textId="77777777" w:rsidR="00417AE3" w:rsidRPr="00E42F34" w:rsidRDefault="00417AE3" w:rsidP="00417AE3">
      <w:pPr>
        <w:pStyle w:val="Prrafodelista"/>
        <w:rPr>
          <w:rFonts w:ascii="Palatino Linotype" w:eastAsia="Calibri" w:hAnsi="Palatino Linotype" w:cs="Arial"/>
        </w:rPr>
      </w:pPr>
    </w:p>
    <w:p w14:paraId="55110577" w14:textId="0676B502" w:rsidR="00417AE3" w:rsidRPr="00E42F34" w:rsidRDefault="00280D89" w:rsidP="00D71E4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E42F34">
        <w:rPr>
          <w:rFonts w:ascii="Palatino Linotype" w:eastAsia="Calibri" w:hAnsi="Palatino Linotype" w:cs="Arial"/>
        </w:rPr>
        <w:t>Por último, en la página 224 del referido primer informe, se establece lo siguiente:</w:t>
      </w:r>
    </w:p>
    <w:p w14:paraId="1E243F41" w14:textId="77777777" w:rsidR="00280D89" w:rsidRPr="00E42F34" w:rsidRDefault="00280D89" w:rsidP="00280D89">
      <w:pPr>
        <w:pStyle w:val="Prrafodelista"/>
        <w:rPr>
          <w:rFonts w:ascii="Palatino Linotype" w:eastAsia="Calibri" w:hAnsi="Palatino Linotype" w:cs="Arial"/>
        </w:rPr>
      </w:pPr>
    </w:p>
    <w:p w14:paraId="4316BB3B"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Como resultado de las sesiones ordinarias del “Mecanismo de Seguimiento de las Medidas de Seguridad, Prevención y Justicia para Atender y Erradicar la Violencia contra las Niñas, Adolescentes y Mujeres”, compartimos puntos de vista y propuestas de acción entre la Secretaría de Justicia y Derechos Humanos; la Comisión Ejecutiva de Atención a Víctimas, ambos del Estado de México; la Fiscalía Central de Delitos vinculados a la Violencia de Género; el Consejo Estatal de la Mujer; y la Comisión Especial para Combatir y Erradicar la Violencia Vinculada a los Feminicidios en el Estado de México.</w:t>
      </w:r>
    </w:p>
    <w:p w14:paraId="1D2B4E9A"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p>
    <w:p w14:paraId="130ABDE9" w14:textId="57C6AF35" w:rsidR="00280D89" w:rsidRPr="00E42F34" w:rsidRDefault="00280D89" w:rsidP="00280D89">
      <w:pPr>
        <w:pStyle w:val="Prrafodelista"/>
        <w:tabs>
          <w:tab w:val="left" w:pos="851"/>
        </w:tabs>
        <w:spacing w:line="360" w:lineRule="auto"/>
        <w:ind w:left="567" w:right="567"/>
        <w:jc w:val="both"/>
        <w:rPr>
          <w:rFonts w:ascii="Palatino Linotype" w:eastAsia="Calibri" w:hAnsi="Palatino Linotype" w:cs="Arial"/>
          <w:i/>
          <w:iCs/>
          <w:sz w:val="22"/>
          <w:szCs w:val="22"/>
        </w:rPr>
      </w:pPr>
      <w:r w:rsidRPr="00E42F34">
        <w:rPr>
          <w:rFonts w:ascii="Palatino Linotype" w:hAnsi="Palatino Linotype"/>
          <w:i/>
          <w:iCs/>
          <w:sz w:val="22"/>
          <w:szCs w:val="22"/>
        </w:rPr>
        <w:t>Con la colocación del primer punto de seguridad, se inició la Campaña contra la Violencia a las Mujeres, con 51 puntos de seguridad en los establecimientos del Pueblo de Los Remedios, como estrategia para capacitar a locatarios y dueños de establecimientos comerciales, para apoyar a las mujeres en caso de que se sientan amenazadas en las vialidades.</w:t>
      </w:r>
    </w:p>
    <w:p w14:paraId="1E7E5AC1" w14:textId="706C5050" w:rsidR="00280D89" w:rsidRPr="00E42F34" w:rsidRDefault="00280D89" w:rsidP="00280D89">
      <w:pPr>
        <w:pStyle w:val="Prrafodelista"/>
        <w:tabs>
          <w:tab w:val="left" w:pos="851"/>
        </w:tabs>
        <w:spacing w:line="360" w:lineRule="auto"/>
        <w:ind w:left="567" w:right="567"/>
        <w:jc w:val="both"/>
        <w:rPr>
          <w:rFonts w:ascii="Palatino Linotype" w:eastAsia="Calibri" w:hAnsi="Palatino Linotype" w:cs="Arial"/>
          <w:i/>
          <w:iCs/>
          <w:sz w:val="22"/>
          <w:szCs w:val="22"/>
        </w:rPr>
      </w:pPr>
    </w:p>
    <w:p w14:paraId="04A472B7"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Se presentó la Propuesta Económica y el Plan de Trabajo específico al Comité Técnico para la Operación de Recursos para la Mitigación de la Alerta de Violencia de Género, la cual fue aprobada por unanimidad de votos, </w:t>
      </w:r>
      <w:r w:rsidRPr="00E42F34">
        <w:rPr>
          <w:rFonts w:ascii="Palatino Linotype" w:hAnsi="Palatino Linotype"/>
          <w:b/>
          <w:bCs/>
          <w:i/>
          <w:iCs/>
          <w:sz w:val="22"/>
          <w:szCs w:val="22"/>
        </w:rPr>
        <w:t>otorgándonos $2’336,307.14 pesos</w:t>
      </w:r>
      <w:r w:rsidRPr="00E42F34">
        <w:rPr>
          <w:rFonts w:ascii="Palatino Linotype" w:hAnsi="Palatino Linotype"/>
          <w:i/>
          <w:iCs/>
          <w:sz w:val="22"/>
          <w:szCs w:val="22"/>
        </w:rPr>
        <w:t xml:space="preserve">, que se están aplicando para dar continuidad y atención a las Recomendaciones de la Alerta de Violencia de Género, entre las acciones realizadas se encuentran: </w:t>
      </w:r>
    </w:p>
    <w:p w14:paraId="0B1051E0"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 Compra de 3 vehículos para la Policía de Género y las Células de Búsqueda. </w:t>
      </w:r>
    </w:p>
    <w:p w14:paraId="0312B0FC"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 Capacitación en seguridad ciudadana con enfoque de género; atención a víctimas de violencia, tortura, desaparición forzada y detenciones arbitrarias, feminicidios. </w:t>
      </w:r>
    </w:p>
    <w:p w14:paraId="7F10C9B4"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t xml:space="preserve">• Contención para personal de la Secretaría, policía de género y células. </w:t>
      </w:r>
    </w:p>
    <w:p w14:paraId="08CFCC59" w14:textId="77777777" w:rsidR="00280D89" w:rsidRPr="00E42F34" w:rsidRDefault="00280D89" w:rsidP="00280D89">
      <w:pPr>
        <w:pStyle w:val="Prrafodelista"/>
        <w:tabs>
          <w:tab w:val="left" w:pos="851"/>
        </w:tabs>
        <w:spacing w:line="360" w:lineRule="auto"/>
        <w:ind w:left="567" w:right="567"/>
        <w:jc w:val="both"/>
        <w:rPr>
          <w:rFonts w:ascii="Palatino Linotype" w:hAnsi="Palatino Linotype"/>
          <w:i/>
          <w:iCs/>
          <w:sz w:val="22"/>
          <w:szCs w:val="22"/>
        </w:rPr>
      </w:pPr>
      <w:r w:rsidRPr="00E42F34">
        <w:rPr>
          <w:rFonts w:ascii="Palatino Linotype" w:hAnsi="Palatino Linotype"/>
          <w:i/>
          <w:iCs/>
          <w:sz w:val="22"/>
          <w:szCs w:val="22"/>
        </w:rPr>
        <w:lastRenderedPageBreak/>
        <w:t xml:space="preserve">• Certificación en ECO539 del Instituto Nacional de las Mujeres, en el estándar de competencia en atención de primer contacto a mujeres víctimas a los servidores públicos de la Secretaría. </w:t>
      </w:r>
    </w:p>
    <w:p w14:paraId="065201BB" w14:textId="42170962" w:rsidR="00280D89" w:rsidRPr="00E42F34" w:rsidRDefault="00280D89" w:rsidP="00280D89">
      <w:pPr>
        <w:pStyle w:val="Prrafodelista"/>
        <w:tabs>
          <w:tab w:val="left" w:pos="851"/>
        </w:tabs>
        <w:spacing w:line="360" w:lineRule="auto"/>
        <w:ind w:left="567" w:right="567"/>
        <w:jc w:val="both"/>
        <w:rPr>
          <w:rFonts w:ascii="Palatino Linotype" w:eastAsia="Calibri" w:hAnsi="Palatino Linotype" w:cs="Arial"/>
          <w:i/>
          <w:iCs/>
          <w:sz w:val="22"/>
          <w:szCs w:val="22"/>
        </w:rPr>
      </w:pPr>
      <w:r w:rsidRPr="00E42F34">
        <w:rPr>
          <w:rFonts w:ascii="Palatino Linotype" w:hAnsi="Palatino Linotype"/>
          <w:i/>
          <w:iCs/>
          <w:sz w:val="22"/>
          <w:szCs w:val="22"/>
        </w:rPr>
        <w:t>• Difusión de servicios y programas de atención de la Secretaría para mujeres en situación de vulnerabilidad, a través de una revista física y electrónica</w:t>
      </w:r>
    </w:p>
    <w:p w14:paraId="090B7A14" w14:textId="77777777" w:rsidR="00417AE3" w:rsidRPr="00E42F34" w:rsidRDefault="00417AE3" w:rsidP="00417AE3">
      <w:pPr>
        <w:pStyle w:val="Prrafodelista"/>
        <w:rPr>
          <w:rFonts w:ascii="Palatino Linotype" w:eastAsia="Calibri" w:hAnsi="Palatino Linotype" w:cs="Arial"/>
        </w:rPr>
      </w:pPr>
    </w:p>
    <w:p w14:paraId="388DACA6" w14:textId="0A35DCFF" w:rsidR="00280D89" w:rsidRPr="00E42F34" w:rsidRDefault="00280D89" w:rsidP="00280D89">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E42F34">
        <w:rPr>
          <w:rFonts w:ascii="Palatino Linotype" w:eastAsia="Calibri" w:hAnsi="Palatino Linotype" w:cs="Arial"/>
        </w:rPr>
        <w:t xml:space="preserve">Es así que, en el cuerpo del documento que contiene el primer informe, se manifestó que se le otorgó un monto </w:t>
      </w:r>
      <w:r w:rsidRPr="00E42F34">
        <w:rPr>
          <w:rFonts w:ascii="Palatino Linotype" w:hAnsi="Palatino Linotype"/>
          <w:b/>
          <w:bCs/>
        </w:rPr>
        <w:t>$2’336,307.14 pesos</w:t>
      </w:r>
      <w:r w:rsidRPr="00E42F34">
        <w:rPr>
          <w:rFonts w:ascii="Palatino Linotype" w:hAnsi="Palatino Linotype"/>
        </w:rPr>
        <w:t>, que se están aplicando para dar continuidad y atención a las Recomendaciones de la Alerta de Violencia de Género. En consecuencia, de dicha manifestación es que se considera que el Sujeto Obligado genera, administra y/o posee la información solicitada por el recurrente, en consecuencia</w:t>
      </w:r>
      <w:r w:rsidR="00864DD8" w:rsidRPr="00E42F34">
        <w:rPr>
          <w:rFonts w:ascii="Palatino Linotype" w:hAnsi="Palatino Linotype"/>
        </w:rPr>
        <w:t>,</w:t>
      </w:r>
      <w:r w:rsidRPr="00E42F34">
        <w:rPr>
          <w:rFonts w:ascii="Palatino Linotype" w:hAnsi="Palatino Linotype"/>
        </w:rPr>
        <w:t xml:space="preserve"> debe ser proporcionada.</w:t>
      </w:r>
    </w:p>
    <w:p w14:paraId="4F6BEA1E" w14:textId="77777777" w:rsidR="00864DD8" w:rsidRPr="00E42F34" w:rsidRDefault="00864DD8" w:rsidP="00864DD8">
      <w:pPr>
        <w:pStyle w:val="Prrafodelista"/>
        <w:tabs>
          <w:tab w:val="left" w:pos="851"/>
        </w:tabs>
        <w:spacing w:line="360" w:lineRule="auto"/>
        <w:ind w:left="0" w:right="49"/>
        <w:jc w:val="both"/>
        <w:rPr>
          <w:rFonts w:ascii="Palatino Linotype" w:eastAsia="Calibri" w:hAnsi="Palatino Linotype" w:cs="Arial"/>
        </w:rPr>
      </w:pPr>
    </w:p>
    <w:p w14:paraId="1D566E5B" w14:textId="59D98E53" w:rsidR="00864DD8" w:rsidRPr="00E42F34" w:rsidRDefault="00864DD8" w:rsidP="00864DD8">
      <w:pPr>
        <w:pStyle w:val="Ttulo3"/>
        <w:rPr>
          <w:i/>
          <w:iCs/>
          <w:noProof/>
          <w:lang w:eastAsia="es-MX"/>
        </w:rPr>
      </w:pPr>
      <w:bookmarkStart w:id="17" w:name="_Toc57918931"/>
      <w:bookmarkStart w:id="18" w:name="_Toc62756296"/>
      <w:r w:rsidRPr="00E42F34">
        <w:rPr>
          <w:rStyle w:val="Ttulo2Car"/>
          <w:rFonts w:ascii="Palatino Linotype" w:hAnsi="Palatino Linotype"/>
          <w:b/>
          <w:color w:val="auto"/>
          <w:sz w:val="24"/>
          <w:szCs w:val="24"/>
        </w:rPr>
        <w:t>III. De la inexistencia.</w:t>
      </w:r>
      <w:bookmarkEnd w:id="17"/>
      <w:bookmarkEnd w:id="18"/>
    </w:p>
    <w:p w14:paraId="17D46A0F" w14:textId="77777777" w:rsidR="00864DD8" w:rsidRPr="00E42F34" w:rsidRDefault="00864DD8" w:rsidP="00864DD8"/>
    <w:p w14:paraId="4AF5827D" w14:textId="77777777" w:rsidR="00864DD8" w:rsidRPr="00E42F34" w:rsidRDefault="00864DD8" w:rsidP="00864DD8">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E42F34">
        <w:rPr>
          <w:rFonts w:ascii="Palatino Linotype" w:hAnsi="Palatino Linotype"/>
          <w:color w:val="222222"/>
        </w:rPr>
        <w:t>Ahora bien, de ser el caso de que el Sujeto Obligado no cuente con la información relacionada en el apartado anterior, deberá observar lo siguiente.</w:t>
      </w:r>
    </w:p>
    <w:p w14:paraId="479BC25D" w14:textId="77777777" w:rsidR="00864DD8" w:rsidRPr="00E42F34" w:rsidRDefault="00864DD8" w:rsidP="00864DD8">
      <w:pPr>
        <w:pStyle w:val="Prrafodelista"/>
        <w:spacing w:before="100" w:beforeAutospacing="1" w:after="100" w:afterAutospacing="1" w:line="360" w:lineRule="auto"/>
        <w:ind w:left="0"/>
        <w:jc w:val="both"/>
        <w:rPr>
          <w:rFonts w:ascii="Palatino Linotype" w:hAnsi="Palatino Linotype" w:cs="Segoe UI"/>
        </w:rPr>
      </w:pPr>
      <w:r w:rsidRPr="00E42F34">
        <w:rPr>
          <w:rFonts w:ascii="Palatino Linotype" w:hAnsi="Palatino Linotype" w:cs="Segoe UI"/>
        </w:rPr>
        <w:t xml:space="preserve"> </w:t>
      </w:r>
    </w:p>
    <w:p w14:paraId="3D7C322B" w14:textId="77777777" w:rsidR="00864DD8" w:rsidRPr="00E42F34" w:rsidRDefault="00864DD8" w:rsidP="00864DD8">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E42F34">
        <w:rPr>
          <w:rFonts w:ascii="Palatino Linotype" w:hAnsi="Palatino Linotype"/>
          <w:color w:val="222222"/>
        </w:rPr>
        <w:t>La </w:t>
      </w:r>
      <w:r w:rsidRPr="00E42F34">
        <w:rPr>
          <w:rFonts w:ascii="Palatino Linotype" w:hAnsi="Palatino Linotype"/>
          <w:b/>
          <w:bCs/>
          <w:color w:val="222222"/>
        </w:rPr>
        <w:t>Ley General de Transparencia y Acceso a la Información Pública</w:t>
      </w:r>
      <w:r w:rsidRPr="00E42F34">
        <w:rPr>
          <w:rFonts w:ascii="Palatino Linotype" w:hAnsi="Palatino Linotype"/>
          <w:color w:val="222222"/>
        </w:rPr>
        <w:t>, en específico en su artículo 65 fracción III:</w:t>
      </w:r>
    </w:p>
    <w:p w14:paraId="609D60EE" w14:textId="77777777" w:rsidR="00864DD8" w:rsidRPr="00E42F34" w:rsidRDefault="00864DD8" w:rsidP="00864DD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E42F34">
        <w:rPr>
          <w:rFonts w:ascii="Palatino Linotype" w:hAnsi="Palatino Linotype"/>
          <w:b/>
          <w:bCs/>
          <w:i/>
          <w:iCs/>
          <w:color w:val="000000"/>
          <w:sz w:val="22"/>
        </w:rPr>
        <w:t xml:space="preserve">Artículo 65. Los Comités de Transparencia tendrán las facultades y atribuciones siguientes: </w:t>
      </w:r>
    </w:p>
    <w:p w14:paraId="109C64FA" w14:textId="77777777" w:rsidR="00864DD8" w:rsidRPr="00E42F34" w:rsidRDefault="00864DD8" w:rsidP="00864DD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E42F34">
        <w:rPr>
          <w:rFonts w:ascii="Palatino Linotype" w:hAnsi="Palatino Linotype"/>
          <w:b/>
          <w:bCs/>
          <w:i/>
          <w:iCs/>
          <w:color w:val="000000"/>
          <w:sz w:val="22"/>
        </w:rPr>
        <w:t>…</w:t>
      </w:r>
    </w:p>
    <w:p w14:paraId="5ADA8E7B" w14:textId="77777777" w:rsidR="00864DD8" w:rsidRPr="00E42F34" w:rsidRDefault="00864DD8" w:rsidP="00864DD8">
      <w:pPr>
        <w:shd w:val="clear" w:color="auto" w:fill="FFFFFF"/>
        <w:spacing w:before="240" w:after="240" w:line="360" w:lineRule="auto"/>
        <w:ind w:left="567" w:right="567"/>
        <w:jc w:val="both"/>
        <w:rPr>
          <w:rFonts w:ascii="Palatino Linotype" w:hAnsi="Palatino Linotype"/>
          <w:color w:val="222222"/>
          <w:sz w:val="22"/>
        </w:rPr>
      </w:pPr>
      <w:r w:rsidRPr="00E42F34">
        <w:rPr>
          <w:rFonts w:ascii="Palatino Linotype" w:hAnsi="Palatino Linotype"/>
          <w:b/>
          <w:bCs/>
          <w:i/>
          <w:iCs/>
          <w:color w:val="222222"/>
          <w:sz w:val="22"/>
          <w:u w:val="single"/>
        </w:rPr>
        <w:t xml:space="preserve">III. Ordenar, en su caso, a las Áreas competentes que generen la información que derivado de sus facultades, competencias y funciones deban tener en </w:t>
      </w:r>
      <w:r w:rsidRPr="00E42F34">
        <w:rPr>
          <w:rFonts w:ascii="Palatino Linotype" w:hAnsi="Palatino Linotype"/>
          <w:b/>
          <w:bCs/>
          <w:i/>
          <w:iCs/>
          <w:color w:val="222222"/>
          <w:sz w:val="22"/>
          <w:u w:val="single"/>
        </w:rPr>
        <w:lastRenderedPageBreak/>
        <w:t>posesión o que previa acreditación de la imposibilidad de su generación, exponga, de forma fundada y motivada, las razones por las cuales, en el caso particular, no ejercieron dichas facultades, competencias o funciones;</w:t>
      </w:r>
    </w:p>
    <w:p w14:paraId="0D98DF5A" w14:textId="77777777" w:rsidR="00864DD8" w:rsidRPr="00E42F34" w:rsidRDefault="00864DD8" w:rsidP="00864DD8">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E42F34">
        <w:rPr>
          <w:rFonts w:ascii="Palatino Linotype" w:hAnsi="Palatino Linotype"/>
          <w:color w:val="222222"/>
        </w:rPr>
        <w:t>Así mismo, la </w:t>
      </w:r>
      <w:r w:rsidRPr="00E42F34">
        <w:rPr>
          <w:rFonts w:ascii="Palatino Linotype" w:hAnsi="Palatino Linotype"/>
          <w:b/>
          <w:bCs/>
          <w:color w:val="222222"/>
        </w:rPr>
        <w:t>Ley de Trasparencia y Acceso a la Información Pública del Estado de México y Municipios</w:t>
      </w:r>
      <w:r w:rsidRPr="00E42F34">
        <w:rPr>
          <w:rFonts w:ascii="Palatino Linotype" w:hAnsi="Palatino Linotype"/>
          <w:color w:val="222222"/>
        </w:rPr>
        <w:t> en su 169, fracción III, señala:</w:t>
      </w:r>
    </w:p>
    <w:p w14:paraId="3CBD2AEE" w14:textId="77777777" w:rsidR="00864DD8" w:rsidRPr="00E42F34" w:rsidRDefault="00864DD8" w:rsidP="00864DD8">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E42F34">
        <w:rPr>
          <w:rFonts w:ascii="Palatino Linotype" w:hAnsi="Palatino Linotype"/>
          <w:color w:val="222222"/>
          <w:lang w:val="es-ES_tradnl"/>
        </w:rPr>
        <w:t> </w:t>
      </w:r>
      <w:r w:rsidRPr="00E42F34">
        <w:rPr>
          <w:rFonts w:ascii="Palatino Linotype" w:hAnsi="Palatino Linotype" w:cs="Bookman Old Style,Bold"/>
          <w:b/>
          <w:bCs/>
          <w:i/>
          <w:sz w:val="22"/>
          <w:szCs w:val="20"/>
        </w:rPr>
        <w:t xml:space="preserve">Artículo 169. </w:t>
      </w:r>
      <w:r w:rsidRPr="00E42F34">
        <w:rPr>
          <w:rFonts w:ascii="Palatino Linotype" w:hAnsi="Palatino Linotype" w:cs="Bookman Old Style"/>
          <w:i/>
          <w:sz w:val="22"/>
          <w:szCs w:val="20"/>
        </w:rPr>
        <w:t>Cuando la información no se encuentre en los archivos del sujeto obligado, el Comité de Transparencia:</w:t>
      </w:r>
    </w:p>
    <w:p w14:paraId="4024BEE2"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2F34">
        <w:rPr>
          <w:rFonts w:ascii="Palatino Linotype" w:hAnsi="Palatino Linotype" w:cs="Bookman Old Style,Bold"/>
          <w:b/>
          <w:bCs/>
          <w:i/>
          <w:sz w:val="22"/>
          <w:szCs w:val="20"/>
          <w:lang w:val="es-MX"/>
        </w:rPr>
        <w:t xml:space="preserve">I. </w:t>
      </w:r>
      <w:r w:rsidRPr="00E42F34">
        <w:rPr>
          <w:rFonts w:ascii="Palatino Linotype" w:hAnsi="Palatino Linotype" w:cs="Bookman Old Style"/>
          <w:i/>
          <w:sz w:val="22"/>
          <w:szCs w:val="20"/>
          <w:lang w:val="es-MX"/>
        </w:rPr>
        <w:t>Analizará el caso y tomará las medidas necesarias para localizar la información;</w:t>
      </w:r>
    </w:p>
    <w:p w14:paraId="5CBBB672"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2F34">
        <w:rPr>
          <w:rFonts w:ascii="Palatino Linotype" w:hAnsi="Palatino Linotype" w:cs="Bookman Old Style,Bold"/>
          <w:b/>
          <w:bCs/>
          <w:i/>
          <w:sz w:val="22"/>
          <w:szCs w:val="20"/>
          <w:lang w:val="es-MX"/>
        </w:rPr>
        <w:t xml:space="preserve">II. </w:t>
      </w:r>
      <w:r w:rsidRPr="00E42F34">
        <w:rPr>
          <w:rFonts w:ascii="Palatino Linotype" w:hAnsi="Palatino Linotype" w:cs="Bookman Old Style"/>
          <w:i/>
          <w:sz w:val="22"/>
          <w:szCs w:val="20"/>
          <w:lang w:val="es-MX"/>
        </w:rPr>
        <w:t>Expedirá una resolución que confirme la inexistencia del documento;</w:t>
      </w:r>
    </w:p>
    <w:p w14:paraId="28532528"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2F34">
        <w:rPr>
          <w:rFonts w:ascii="Palatino Linotype" w:hAnsi="Palatino Linotype" w:cs="Bookman Old Style,Bold"/>
          <w:b/>
          <w:bCs/>
          <w:i/>
          <w:sz w:val="22"/>
          <w:szCs w:val="20"/>
          <w:lang w:val="es-MX"/>
        </w:rPr>
        <w:t xml:space="preserve">III. </w:t>
      </w:r>
      <w:r w:rsidRPr="00E42F34">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8C53F08"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2F34">
        <w:rPr>
          <w:rFonts w:ascii="Palatino Linotype" w:hAnsi="Palatino Linotype" w:cs="Bookman Old Style,Bold"/>
          <w:b/>
          <w:bCs/>
          <w:i/>
          <w:sz w:val="22"/>
          <w:szCs w:val="20"/>
          <w:lang w:val="es-MX"/>
        </w:rPr>
        <w:t xml:space="preserve">IV. </w:t>
      </w:r>
      <w:r w:rsidRPr="00E42F34">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620FE507"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16D2368E"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2F34">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1983A67A"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965555" w14:textId="77777777" w:rsidR="00864DD8" w:rsidRPr="00E42F34" w:rsidRDefault="00864DD8" w:rsidP="00864DD8">
      <w:pPr>
        <w:autoSpaceDE w:val="0"/>
        <w:autoSpaceDN w:val="0"/>
        <w:adjustRightInd w:val="0"/>
        <w:spacing w:line="360" w:lineRule="auto"/>
        <w:ind w:left="567" w:right="567"/>
        <w:jc w:val="both"/>
        <w:rPr>
          <w:rFonts w:ascii="Palatino Linotype" w:hAnsi="Palatino Linotype"/>
          <w:i/>
          <w:iCs/>
          <w:color w:val="222222"/>
          <w:sz w:val="28"/>
        </w:rPr>
      </w:pPr>
      <w:r w:rsidRPr="00E42F34">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245494DE"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42F34">
        <w:rPr>
          <w:rFonts w:ascii="Palatino Linotype" w:hAnsi="Palatino Linotype"/>
          <w:color w:val="222222"/>
          <w:lang w:val="es-ES_tradnl"/>
        </w:rPr>
        <w:lastRenderedPageBreak/>
        <w:t>De los preceptos antes transcritos se advierte claramente que </w:t>
      </w:r>
      <w:r w:rsidRPr="00E42F34">
        <w:rPr>
          <w:rFonts w:ascii="Palatino Linotype" w:hAnsi="Palatino Linotype"/>
          <w:color w:val="222222"/>
        </w:rPr>
        <w:t>cuando la información no se encuentre en los archivos del Sujeto Obligado, el Comité de Transparencia deberá ordenar </w:t>
      </w:r>
      <w:r w:rsidRPr="00E42F34">
        <w:rPr>
          <w:rFonts w:ascii="Palatino Linotype" w:hAnsi="Palatino Linotype"/>
          <w:color w:val="222222"/>
          <w:u w:val="single"/>
        </w:rPr>
        <w:t>que se genere la información en caso de que ésta tuviera que existir en la medida que deriva del ejercicio de sus facultades, competencias o funciones</w:t>
      </w:r>
      <w:r w:rsidRPr="00E42F34">
        <w:rPr>
          <w:rFonts w:ascii="Palatino Linotype" w:hAnsi="Palatino Linotype"/>
          <w:color w:val="222222"/>
        </w:rPr>
        <w:t>.</w:t>
      </w:r>
    </w:p>
    <w:p w14:paraId="5BDFCD35" w14:textId="1E451135"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42F34">
        <w:rPr>
          <w:rFonts w:ascii="Palatino Linotype" w:hAnsi="Palatino Linotype"/>
          <w:color w:val="222222"/>
          <w:lang w:val="es-ES_tradnl"/>
        </w:rPr>
        <w:t xml:space="preserve">Ahora bien, es importante señalar que en el caso de que no se </w:t>
      </w:r>
      <w:r w:rsidR="00BA1600" w:rsidRPr="00E42F34">
        <w:rPr>
          <w:rFonts w:ascii="Palatino Linotype" w:hAnsi="Palatino Linotype"/>
          <w:color w:val="222222"/>
          <w:lang w:val="es-ES_tradnl"/>
        </w:rPr>
        <w:t xml:space="preserve">cuente con a información, </w:t>
      </w:r>
      <w:r w:rsidRPr="00E42F34">
        <w:rPr>
          <w:rFonts w:ascii="Palatino Linotype" w:hAnsi="Palatino Linotype"/>
          <w:b/>
          <w:bCs/>
          <w:color w:val="222222"/>
          <w:lang w:val="es-ES_tradnl"/>
        </w:rPr>
        <w:t xml:space="preserve">SE ORDENA </w:t>
      </w:r>
      <w:r w:rsidRPr="00E42F34">
        <w:rPr>
          <w:rFonts w:ascii="Palatino Linotype" w:hAnsi="Palatino Linotype"/>
          <w:bCs/>
          <w:color w:val="222222"/>
          <w:lang w:val="es-ES_tradnl"/>
        </w:rPr>
        <w:t>al</w:t>
      </w:r>
      <w:r w:rsidRPr="00E42F34">
        <w:rPr>
          <w:rFonts w:ascii="Palatino Linotype" w:hAnsi="Palatino Linotype"/>
          <w:b/>
          <w:bCs/>
          <w:color w:val="222222"/>
          <w:lang w:val="es-ES_tradnl"/>
        </w:rPr>
        <w:t xml:space="preserve"> SUJETO OBLIGADO </w:t>
      </w:r>
      <w:r w:rsidRPr="00E42F34">
        <w:rPr>
          <w:rFonts w:ascii="Palatino Linotype" w:hAnsi="Palatino Linotype"/>
          <w:color w:val="222222"/>
          <w:lang w:val="es-ES_tradnl"/>
        </w:rPr>
        <w:t>hacer entrega de un Acuerdo de su Comité de Transparencia en donde conste la declaratoria de inexistencia de la información.</w:t>
      </w:r>
    </w:p>
    <w:p w14:paraId="33D04BD0"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42F34">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E42F34">
        <w:rPr>
          <w:rFonts w:ascii="Palatino Linotype" w:hAnsi="Palatino Linotype"/>
          <w:color w:val="222222"/>
          <w:shd w:val="clear" w:color="auto" w:fill="FFFFFF"/>
          <w:lang w:val="es-ES_tradnl"/>
        </w:rPr>
        <w:t>Instituto Nacional de Transparencia, Acceso a la Información y Protección de Datos Personales </w:t>
      </w:r>
      <w:r w:rsidRPr="00E42F34">
        <w:rPr>
          <w:rFonts w:ascii="Palatino Linotype" w:hAnsi="Palatino Linotype"/>
          <w:color w:val="222222"/>
          <w:lang w:val="es-ES_tradnl"/>
        </w:rPr>
        <w:t>emitió el criterio número 14-17, que es de la literalidad siguiente:</w:t>
      </w:r>
    </w:p>
    <w:p w14:paraId="58F93112" w14:textId="77777777" w:rsidR="00864DD8" w:rsidRPr="00E42F34" w:rsidRDefault="00864DD8" w:rsidP="00864DD8">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E42F34">
        <w:rPr>
          <w:rFonts w:ascii="Palatino Linotype" w:hAnsi="Palatino Linotype"/>
          <w:b/>
          <w:bCs/>
          <w:i/>
          <w:iCs/>
          <w:color w:val="222222"/>
          <w:sz w:val="22"/>
          <w:lang w:val="es-ES_tradnl"/>
        </w:rPr>
        <w:t>Criterio 14/17</w:t>
      </w:r>
    </w:p>
    <w:p w14:paraId="6ADC5674"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b/>
          <w:i/>
          <w:iCs/>
          <w:color w:val="222222"/>
          <w:sz w:val="22"/>
        </w:rPr>
        <w:t>Inexistencia.</w:t>
      </w:r>
      <w:r w:rsidRPr="00E42F34">
        <w:rPr>
          <w:rFonts w:ascii="Palatino Linotype" w:hAnsi="Palatino Linotype"/>
          <w:i/>
          <w:iCs/>
          <w:color w:val="222222"/>
          <w:sz w:val="22"/>
        </w:rPr>
        <w:t xml:space="preserve"> La inexistencia es una cuestión de hecho que se atribuye a la información solicitada e implica que ésta </w:t>
      </w:r>
      <w:r w:rsidRPr="00E42F34">
        <w:rPr>
          <w:rFonts w:ascii="Palatino Linotype" w:hAnsi="Palatino Linotype"/>
          <w:b/>
          <w:bCs/>
          <w:i/>
          <w:iCs/>
          <w:color w:val="222222"/>
          <w:sz w:val="22"/>
          <w:u w:val="single"/>
        </w:rPr>
        <w:t>no se encuentra en los archivos del sujeto obligado, no obstante que cuenta con facultades para poseerla</w:t>
      </w:r>
      <w:r w:rsidRPr="00E42F34">
        <w:rPr>
          <w:rFonts w:ascii="Palatino Linotype" w:hAnsi="Palatino Linotype"/>
          <w:i/>
          <w:iCs/>
          <w:color w:val="222222"/>
          <w:sz w:val="22"/>
        </w:rPr>
        <w:t>.</w:t>
      </w:r>
    </w:p>
    <w:p w14:paraId="21ED94F5"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222222"/>
          <w:sz w:val="22"/>
        </w:rPr>
        <w:t> </w:t>
      </w:r>
    </w:p>
    <w:p w14:paraId="32783560"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222222"/>
          <w:sz w:val="22"/>
        </w:rPr>
        <w:t>Resoluciones: </w:t>
      </w:r>
      <w:r w:rsidRPr="00E42F34">
        <w:rPr>
          <w:rFonts w:ascii="Palatino Linotype" w:hAnsi="Palatino Linotype"/>
          <w:color w:val="222222"/>
          <w:sz w:val="22"/>
        </w:rPr>
        <w:t>·</w:t>
      </w:r>
      <w:r w:rsidRPr="00E42F34">
        <w:rPr>
          <w:rFonts w:ascii="Palatino Linotype" w:hAnsi="Palatino Linotype"/>
          <w:i/>
          <w:iCs/>
          <w:color w:val="222222"/>
          <w:sz w:val="22"/>
        </w:rPr>
        <w:t> RRA 4669/16. Instituto Nacional Electoral. 18 de enero de 2017. Por unanimidad. Comisionado Ponente Joel Salas Suárez. </w:t>
      </w:r>
      <w:r w:rsidRPr="00E42F34">
        <w:rPr>
          <w:rFonts w:ascii="Palatino Linotype" w:hAnsi="Palatino Linotype"/>
          <w:color w:val="222222"/>
          <w:sz w:val="22"/>
        </w:rPr>
        <w:t>·</w:t>
      </w:r>
      <w:r w:rsidRPr="00E42F34">
        <w:rPr>
          <w:rFonts w:ascii="Palatino Linotype" w:hAnsi="Palatino Linotype"/>
          <w:i/>
          <w:iCs/>
          <w:color w:val="222222"/>
          <w:sz w:val="22"/>
        </w:rPr>
        <w:t> RRA 0183/17. Nueva Alianza. 01 de febrero de 2017. Por unanimidad. Comisionado Ponente Francisco Javier Acuña Llamas. </w:t>
      </w:r>
      <w:r w:rsidRPr="00E42F34">
        <w:rPr>
          <w:rFonts w:ascii="Palatino Linotype" w:hAnsi="Palatino Linotype"/>
          <w:color w:val="222222"/>
          <w:sz w:val="22"/>
        </w:rPr>
        <w:t>·</w:t>
      </w:r>
      <w:r w:rsidRPr="00E42F34">
        <w:rPr>
          <w:rFonts w:ascii="Palatino Linotype" w:hAnsi="Palatino Linotype"/>
          <w:i/>
          <w:iCs/>
          <w:color w:val="222222"/>
          <w:sz w:val="22"/>
        </w:rPr>
        <w:t xml:space="preserve"> RRA 4484/16. Instituto Nacional de Migración. 16 de febrero de 2017. Por </w:t>
      </w:r>
      <w:r w:rsidRPr="00E42F34">
        <w:rPr>
          <w:rFonts w:ascii="Palatino Linotype" w:hAnsi="Palatino Linotype"/>
          <w:i/>
          <w:iCs/>
          <w:color w:val="222222"/>
          <w:sz w:val="22"/>
        </w:rPr>
        <w:lastRenderedPageBreak/>
        <w:t xml:space="preserve">mayoría de seis votos a favor y uno en contra de la Comisionada Areli Cano Guadiana. Comisionada Ponente María Patricia </w:t>
      </w:r>
      <w:proofErr w:type="spellStart"/>
      <w:r w:rsidRPr="00E42F34">
        <w:rPr>
          <w:rFonts w:ascii="Palatino Linotype" w:hAnsi="Palatino Linotype"/>
          <w:i/>
          <w:iCs/>
          <w:color w:val="222222"/>
          <w:sz w:val="22"/>
        </w:rPr>
        <w:t>Kurczyn</w:t>
      </w:r>
      <w:proofErr w:type="spellEnd"/>
      <w:r w:rsidRPr="00E42F34">
        <w:rPr>
          <w:rFonts w:ascii="Palatino Linotype" w:hAnsi="Palatino Linotype"/>
          <w:i/>
          <w:iCs/>
          <w:color w:val="222222"/>
          <w:sz w:val="22"/>
        </w:rPr>
        <w:t xml:space="preserve"> Villalobos.</w:t>
      </w:r>
    </w:p>
    <w:p w14:paraId="48A46A75" w14:textId="77777777" w:rsidR="00864DD8" w:rsidRPr="00E42F34" w:rsidRDefault="00864DD8" w:rsidP="00864DD8">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E42F34">
        <w:rPr>
          <w:rFonts w:ascii="Palatino Linotype" w:hAnsi="Palatino Linotype"/>
          <w:color w:val="000000"/>
        </w:rPr>
        <w:t> </w:t>
      </w:r>
    </w:p>
    <w:p w14:paraId="6694E863" w14:textId="77777777" w:rsidR="00864DD8" w:rsidRPr="00E42F34" w:rsidRDefault="00864DD8" w:rsidP="00864DD8">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proofErr w:type="gramStart"/>
      <w:r w:rsidRPr="00E42F34">
        <w:rPr>
          <w:rFonts w:ascii="Palatino Linotype" w:hAnsi="Palatino Linotype"/>
          <w:color w:val="000000"/>
        </w:rPr>
        <w:t>Además</w:t>
      </w:r>
      <w:proofErr w:type="gramEnd"/>
      <w:r w:rsidRPr="00E42F34">
        <w:rPr>
          <w:rFonts w:ascii="Palatino Linotype" w:hAnsi="Palatino Linotype"/>
          <w:color w:val="000000"/>
        </w:rPr>
        <w:t xml:space="preserve"> como consecuencia de las disposiciones legales contenidas en la </w:t>
      </w:r>
      <w:r w:rsidRPr="00E42F34">
        <w:rPr>
          <w:rFonts w:ascii="Palatino Linotype" w:hAnsi="Palatino Linotype"/>
          <w:b/>
          <w:bCs/>
          <w:color w:val="000000"/>
        </w:rPr>
        <w:t>Ley General de Transparencia y Acceso a la Información Pública</w:t>
      </w:r>
      <w:r w:rsidRPr="00E42F34">
        <w:rPr>
          <w:rFonts w:ascii="Palatino Linotype" w:hAnsi="Palatino Linotype"/>
          <w:color w:val="000000"/>
        </w:rPr>
        <w:t>, es que existe el mandato expreso de que en caso de no </w:t>
      </w:r>
      <w:r w:rsidRPr="00E42F34">
        <w:rPr>
          <w:rFonts w:ascii="Palatino Linotype" w:hAnsi="Palatino Linotype"/>
          <w:color w:val="000000"/>
          <w:u w:val="single"/>
        </w:rPr>
        <w:t>existir la documentación que debió, por mandato de ley, generarse, administrarse o poseerse,</w:t>
      </w:r>
      <w:r w:rsidRPr="00E42F34">
        <w:rPr>
          <w:rFonts w:ascii="Palatino Linotype" w:hAnsi="Palatino Linotype"/>
          <w:color w:val="000000"/>
        </w:rPr>
        <w:t> es obligación de la autoridad emitir una declaratoria formal que debe reunir los requisitos señalados en la propia norma jurídica,</w:t>
      </w:r>
      <w:r w:rsidRPr="00E42F34">
        <w:rPr>
          <w:rStyle w:val="Refdenotaalpie"/>
          <w:rFonts w:ascii="Palatino Linotype" w:hAnsi="Palatino Linotype"/>
          <w:color w:val="000000"/>
        </w:rPr>
        <w:footnoteReference w:id="4"/>
      </w:r>
      <w:r w:rsidRPr="00E42F34">
        <w:rPr>
          <w:rFonts w:ascii="Palatino Linotype" w:hAnsi="Palatino Linotype"/>
          <w:color w:val="000000"/>
        </w:rPr>
        <w:t>según puede apreciarse a continuación:</w:t>
      </w:r>
    </w:p>
    <w:p w14:paraId="79A40EA7" w14:textId="77777777" w:rsidR="00864DD8" w:rsidRPr="00E42F34" w:rsidRDefault="00864DD8" w:rsidP="00864DD8">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E42F34">
        <w:rPr>
          <w:rFonts w:ascii="Palatino Linotype" w:hAnsi="Palatino Linotype"/>
          <w:b/>
          <w:bCs/>
          <w:i/>
          <w:iCs/>
          <w:color w:val="000000"/>
          <w:sz w:val="22"/>
        </w:rPr>
        <w:t>Artículo 19.</w:t>
      </w:r>
      <w:r w:rsidRPr="00E42F34">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25D32411" w14:textId="77777777" w:rsidR="00864DD8" w:rsidRPr="00E42F34" w:rsidRDefault="00864DD8" w:rsidP="00864DD8">
      <w:pPr>
        <w:shd w:val="clear" w:color="auto" w:fill="FFFFFF"/>
        <w:spacing w:before="240" w:after="240"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301B5C58" w14:textId="77777777" w:rsidR="00864DD8" w:rsidRPr="00E42F34" w:rsidRDefault="00864DD8" w:rsidP="00864DD8">
      <w:pPr>
        <w:shd w:val="clear" w:color="auto" w:fill="FFFFFF"/>
        <w:spacing w:before="240" w:after="240" w:line="360" w:lineRule="auto"/>
        <w:ind w:left="567" w:right="567"/>
        <w:jc w:val="both"/>
        <w:rPr>
          <w:rFonts w:ascii="Palatino Linotype" w:hAnsi="Palatino Linotype"/>
          <w:color w:val="222222"/>
          <w:sz w:val="22"/>
        </w:rPr>
      </w:pPr>
      <w:r w:rsidRPr="00E42F34">
        <w:rPr>
          <w:rFonts w:ascii="Palatino Linotype" w:hAnsi="Palatino Linotype"/>
          <w:b/>
          <w:bCs/>
          <w:i/>
          <w:iCs/>
          <w:color w:val="000000"/>
          <w:sz w:val="22"/>
        </w:rPr>
        <w:t>Artículo 20.</w:t>
      </w:r>
      <w:r w:rsidRPr="00E42F34">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4B27057" w14:textId="77777777" w:rsidR="00864DD8" w:rsidRPr="00E42F34" w:rsidRDefault="00864DD8" w:rsidP="00864DD8">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E42F34">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w:t>
      </w:r>
      <w:r w:rsidRPr="00E42F34">
        <w:rPr>
          <w:rFonts w:ascii="Palatino Linotype" w:hAnsi="Palatino Linotype"/>
          <w:color w:val="000000"/>
          <w:lang w:val="es-ES_tradnl"/>
        </w:rPr>
        <w:lastRenderedPageBreak/>
        <w:t>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6C8C814F" w14:textId="77777777" w:rsidR="00864DD8" w:rsidRPr="00E42F34" w:rsidRDefault="00864DD8" w:rsidP="00864DD8">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549AD61"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b/>
          <w:bCs/>
          <w:i/>
          <w:iCs/>
          <w:color w:val="000000"/>
          <w:sz w:val="22"/>
        </w:rPr>
        <w:t>“CRITERIO 0003-11</w:t>
      </w:r>
    </w:p>
    <w:p w14:paraId="568D61D7"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b/>
          <w:bCs/>
          <w:i/>
          <w:iCs/>
          <w:color w:val="000000"/>
          <w:sz w:val="22"/>
        </w:rPr>
        <w:t>INEXISTENCIA, CONCEPTO DE, EN MATERIA DE TRANSPARENCIA</w:t>
      </w:r>
      <w:r w:rsidRPr="00E42F34">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8EF5BC3"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19FF578"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5098EE2F"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 xml:space="preserve">En ambos casos, el Sujeto Obligado deberá hacer del conocimiento del solicitante las razones que explican la inexistencia, mediante el dictamen debidamente fundado y </w:t>
      </w:r>
      <w:r w:rsidRPr="00E42F34">
        <w:rPr>
          <w:rFonts w:ascii="Palatino Linotype" w:hAnsi="Palatino Linotype"/>
          <w:i/>
          <w:iCs/>
          <w:color w:val="000000"/>
          <w:sz w:val="22"/>
        </w:rPr>
        <w:lastRenderedPageBreak/>
        <w:t>motivado emitido por el Comité de Información y con las formalidades legales exigidas por la Ley de Transparencia.</w:t>
      </w:r>
    </w:p>
    <w:p w14:paraId="15F66901"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 </w:t>
      </w:r>
    </w:p>
    <w:p w14:paraId="2926FC5E"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b/>
          <w:bCs/>
          <w:i/>
          <w:iCs/>
          <w:color w:val="000000"/>
          <w:sz w:val="22"/>
        </w:rPr>
        <w:t>CRITERIO 0004-11</w:t>
      </w:r>
    </w:p>
    <w:p w14:paraId="57AC740B"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b/>
          <w:bCs/>
          <w:i/>
          <w:iCs/>
          <w:color w:val="000000"/>
          <w:sz w:val="22"/>
        </w:rPr>
        <w:t>INEXISTENCIA. DECLARATORIA DE LA. ALCANCES Y PROCEDIMIENTOS</w:t>
      </w:r>
      <w:r w:rsidRPr="00E42F34">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DECB84B"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Bajo el entendido de que dicha búsqueda exhaustiva permitirá dos determinaciones:</w:t>
      </w:r>
    </w:p>
    <w:p w14:paraId="4D66D71C"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7D571A0B"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lastRenderedPageBreak/>
        <w:t xml:space="preserve">2ª) Que no se haya encontrado documento alguno que contenga la información requerida, por lo </w:t>
      </w:r>
      <w:proofErr w:type="gramStart"/>
      <w:r w:rsidRPr="00E42F34">
        <w:rPr>
          <w:rFonts w:ascii="Palatino Linotype" w:hAnsi="Palatino Linotype"/>
          <w:i/>
          <w:iCs/>
          <w:color w:val="000000"/>
          <w:sz w:val="22"/>
        </w:rPr>
        <w:t>que</w:t>
      </w:r>
      <w:proofErr w:type="gramEnd"/>
      <w:r w:rsidRPr="00E42F34">
        <w:rPr>
          <w:rFonts w:ascii="Palatino Linotype" w:hAnsi="Palatino Linotype"/>
          <w:i/>
          <w:iCs/>
          <w:color w:val="000000"/>
          <w:sz w:val="22"/>
        </w:rPr>
        <w:t xml:space="preserve"> agotadas las medidas necesarias de búsqueda de la información y de no encontrarla, el Comité de Información deba emitir el dictamen de declaratoria de inexistencia y notificarlo al interesado.</w:t>
      </w:r>
    </w:p>
    <w:p w14:paraId="118F2623" w14:textId="77777777" w:rsidR="00864DD8" w:rsidRPr="00E42F34" w:rsidRDefault="00864DD8" w:rsidP="00864DD8">
      <w:pPr>
        <w:shd w:val="clear" w:color="auto" w:fill="FFFFFF"/>
        <w:spacing w:line="360" w:lineRule="auto"/>
        <w:ind w:left="567" w:right="567"/>
        <w:jc w:val="both"/>
        <w:rPr>
          <w:rFonts w:ascii="Palatino Linotype" w:hAnsi="Palatino Linotype"/>
          <w:color w:val="222222"/>
          <w:sz w:val="22"/>
        </w:rPr>
      </w:pPr>
      <w:r w:rsidRPr="00E42F34">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E42F34">
        <w:rPr>
          <w:rFonts w:ascii="Palatino Linotype" w:hAnsi="Palatino Linotype"/>
          <w:i/>
          <w:iCs/>
          <w:color w:val="000000"/>
          <w:sz w:val="22"/>
        </w:rPr>
        <w:t>aquéllas</w:t>
      </w:r>
      <w:proofErr w:type="gramEnd"/>
      <w:r w:rsidRPr="00E42F34">
        <w:rPr>
          <w:rFonts w:ascii="Palatino Linotype" w:hAnsi="Palatino Linotype"/>
          <w:i/>
          <w:iCs/>
          <w:color w:val="000000"/>
          <w:sz w:val="22"/>
        </w:rPr>
        <w:t xml:space="preserve"> circunstancias que se tomaron en cuenta para llegar a determinar que la información requerida no obra en los archivos a cargo.</w:t>
      </w:r>
    </w:p>
    <w:p w14:paraId="3BB6D638"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E42F34">
        <w:rPr>
          <w:rFonts w:ascii="Palatino Linotype" w:hAnsi="Palatino Linotype"/>
          <w:b/>
          <w:bCs/>
          <w:color w:val="000000"/>
          <w:lang w:val="es-ES_tradnl"/>
        </w:rPr>
        <w:t>SUJETO OBLIGADO</w:t>
      </w:r>
      <w:r w:rsidRPr="00E42F34">
        <w:rPr>
          <w:rFonts w:ascii="Palatino Linotype" w:hAnsi="Palatino Linotype"/>
          <w:color w:val="000000"/>
          <w:lang w:val="es-ES_tradnl"/>
        </w:rPr>
        <w:t>, esto es que la información se generó, poseyó o administró en el marco de las atribuciones conferidas a al Sujeto Obligado, </w:t>
      </w:r>
      <w:r w:rsidRPr="00E42F34">
        <w:rPr>
          <w:rFonts w:ascii="Palatino Linotype" w:hAnsi="Palatino Linotype"/>
          <w:color w:val="000000"/>
          <w:u w:val="single"/>
          <w:lang w:val="es-ES_tradnl"/>
        </w:rPr>
        <w:t>pero no la conserva</w:t>
      </w:r>
      <w:r w:rsidRPr="00E42F34">
        <w:rPr>
          <w:rFonts w:ascii="Palatino Linotype" w:hAnsi="Palatino Linotype"/>
          <w:color w:val="000000"/>
          <w:lang w:val="es-ES_tradnl"/>
        </w:rPr>
        <w:t> por diversas razones (destrucción física, desaparición física, sustracción ilícita, baja documental, etcétera).</w:t>
      </w:r>
    </w:p>
    <w:p w14:paraId="70450373"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color w:val="000000"/>
          <w:lang w:val="es-ES_tradnl"/>
        </w:rPr>
        <w:t>En consecuencia, </w:t>
      </w:r>
      <w:r w:rsidRPr="00E42F34">
        <w:rPr>
          <w:rFonts w:ascii="Palatino Linotype" w:hAnsi="Palatino Linotype"/>
          <w:b/>
          <w:bCs/>
          <w:color w:val="000000"/>
          <w:lang w:val="es-ES_tradnl"/>
        </w:rPr>
        <w:t>el SUJETO OBLIGADO </w:t>
      </w:r>
      <w:r w:rsidRPr="00E42F34">
        <w:rPr>
          <w:rFonts w:ascii="Palatino Linotype" w:hAnsi="Palatino Linotype"/>
          <w:color w:val="000000"/>
          <w:lang w:val="es-ES_tradnl"/>
        </w:rPr>
        <w:t>en todo tiempo debió cumplir con las formalidades exigidas por el marco jurídico implicando fundar y motivar su respuesta, por lo que deberá </w:t>
      </w:r>
      <w:r w:rsidRPr="00E42F34">
        <w:rPr>
          <w:rFonts w:ascii="Palatino Linotype" w:hAnsi="Palatino Linotype"/>
          <w:color w:val="000000"/>
          <w:u w:val="single"/>
          <w:lang w:val="es-ES_tradnl"/>
        </w:rPr>
        <w:t>emitir un nuevo</w:t>
      </w:r>
      <w:r w:rsidRPr="00E42F34">
        <w:rPr>
          <w:rFonts w:ascii="Palatino Linotype" w:hAnsi="Palatino Linotype"/>
          <w:color w:val="000000"/>
          <w:lang w:val="es-ES_tradnl"/>
        </w:rPr>
        <w:t> Acuerdo del Comité de Transparencia, que se hará del conocimiento del particular, pero, en los siguientes términos:</w:t>
      </w:r>
    </w:p>
    <w:p w14:paraId="22A23C34" w14:textId="77777777" w:rsidR="00864DD8" w:rsidRPr="00E42F34" w:rsidRDefault="00864DD8" w:rsidP="00864DD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42F34">
        <w:rPr>
          <w:rFonts w:ascii="Palatino Linotype" w:hAnsi="Palatino Linotype" w:cs="Arial"/>
          <w:color w:val="000000"/>
          <w:lang w:val="es-ES"/>
        </w:rPr>
        <w:t>·Deberá emitir el acuerdo de inexistencia respectivo, en el entendido, que el acto de autoridad debe estar </w:t>
      </w:r>
      <w:r w:rsidRPr="00E42F34">
        <w:rPr>
          <w:rFonts w:ascii="Palatino Linotype" w:hAnsi="Palatino Linotype" w:cs="Arial"/>
          <w:b/>
          <w:bCs/>
          <w:color w:val="000000"/>
          <w:u w:val="single"/>
          <w:lang w:val="es-ES"/>
        </w:rPr>
        <w:t>debidamente fundado y motivado.</w:t>
      </w:r>
    </w:p>
    <w:p w14:paraId="44EC603F" w14:textId="77777777" w:rsidR="00864DD8" w:rsidRPr="00E42F34" w:rsidRDefault="00864DD8" w:rsidP="00864DD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42F34">
        <w:rPr>
          <w:rFonts w:ascii="Palatino Linotype" w:hAnsi="Palatino Linotype" w:cs="Arial"/>
          <w:color w:val="000000"/>
          <w:lang w:val="es-ES"/>
        </w:rPr>
        <w:t> </w:t>
      </w:r>
    </w:p>
    <w:p w14:paraId="3B35240F" w14:textId="77777777" w:rsidR="00864DD8" w:rsidRPr="00E42F34" w:rsidRDefault="00864DD8" w:rsidP="00864DD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42F34">
        <w:rPr>
          <w:rFonts w:ascii="Palatino Linotype" w:hAnsi="Palatino Linotype" w:cs="Arial"/>
          <w:color w:val="000000"/>
          <w:lang w:val="es-ES"/>
        </w:rPr>
        <w:lastRenderedPageBreak/>
        <w:t>·</w:t>
      </w:r>
      <w:r w:rsidRPr="00E42F34">
        <w:rPr>
          <w:rFonts w:ascii="Palatino Linotype" w:hAnsi="Palatino Linotype"/>
          <w:color w:val="000000"/>
          <w:lang w:val="es-ES"/>
        </w:rPr>
        <w:t> </w:t>
      </w:r>
      <w:r w:rsidRPr="00E42F34">
        <w:rPr>
          <w:rFonts w:ascii="Palatino Linotype" w:hAnsi="Palatino Linotype" w:cs="Arial"/>
          <w:color w:val="000000"/>
          <w:lang w:val="es-ES"/>
        </w:rPr>
        <w:t>Señalando el lugar y fecha de la resolución, el nombre del solicitante, la información solicitada, </w:t>
      </w:r>
      <w:r w:rsidRPr="00E42F34">
        <w:rPr>
          <w:rFonts w:ascii="Palatino Linotype" w:hAnsi="Palatino Linotype" w:cs="Arial"/>
          <w:b/>
          <w:bCs/>
          <w:color w:val="000000"/>
          <w:u w:val="single"/>
          <w:lang w:val="es-ES"/>
        </w:rPr>
        <w:t>el fundamento y motivo por el cual se determina que la información solicitada no obra en sus archivos</w:t>
      </w:r>
      <w:r w:rsidRPr="00E42F34">
        <w:rPr>
          <w:rFonts w:ascii="Palatino Linotype" w:hAnsi="Palatino Linotype" w:cs="Arial"/>
          <w:color w:val="000000"/>
          <w:lang w:val="es-ES"/>
        </w:rPr>
        <w:t>, los nombres y firmas autógrafas de los integrantes del Comité de Información.</w:t>
      </w:r>
    </w:p>
    <w:p w14:paraId="00B51EC2" w14:textId="77777777" w:rsidR="00864DD8" w:rsidRPr="00E42F34" w:rsidRDefault="00864DD8" w:rsidP="00864DD8">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E42F34">
        <w:rPr>
          <w:rFonts w:ascii="Palatino Linotype" w:hAnsi="Palatino Linotype"/>
          <w:color w:val="000000"/>
          <w:lang w:val="es-ES_tradnl"/>
        </w:rPr>
        <w:t>Lo anterior es así, toda vez que </w:t>
      </w:r>
      <w:r w:rsidRPr="00E42F34">
        <w:rPr>
          <w:rFonts w:ascii="Palatino Linotype" w:hAnsi="Palatino Linotype"/>
          <w:b/>
          <w:bCs/>
          <w:color w:val="000000"/>
          <w:u w:val="single"/>
          <w:lang w:val="es-ES_tradnl"/>
        </w:rPr>
        <w:t>es necesaria</w:t>
      </w:r>
      <w:r w:rsidRPr="00E42F34">
        <w:rPr>
          <w:rFonts w:ascii="Palatino Linotype" w:hAnsi="Palatino Linotype"/>
          <w:color w:val="000000"/>
          <w:lang w:val="es-ES_tradnl"/>
        </w:rPr>
        <w:t> la emisión del acuerdo de inexistencia en aquellos casos en que el </w:t>
      </w:r>
      <w:r w:rsidRPr="00E42F34">
        <w:rPr>
          <w:rFonts w:ascii="Palatino Linotype" w:hAnsi="Palatino Linotype"/>
          <w:b/>
          <w:bCs/>
          <w:color w:val="000000"/>
          <w:lang w:val="es-ES_tradnl"/>
        </w:rPr>
        <w:t>SUJETO OBLIGADO </w:t>
      </w:r>
      <w:r w:rsidRPr="00E42F34">
        <w:rPr>
          <w:rFonts w:ascii="Palatino Linotype" w:hAnsi="Palatino Linotype"/>
          <w:b/>
          <w:bCs/>
          <w:color w:val="000000"/>
          <w:u w:val="single"/>
          <w:lang w:val="es-ES_tradnl"/>
        </w:rPr>
        <w:t>generó, administró o poseyó</w:t>
      </w:r>
      <w:r w:rsidRPr="00E42F34">
        <w:rPr>
          <w:rFonts w:ascii="Palatino Linotype" w:hAnsi="Palatino Linotype"/>
          <w:b/>
          <w:bCs/>
          <w:color w:val="000000"/>
          <w:lang w:val="es-ES_tradnl"/>
        </w:rPr>
        <w:t> </w:t>
      </w:r>
      <w:r w:rsidRPr="00E42F34">
        <w:rPr>
          <w:rFonts w:ascii="Palatino Linotype" w:hAnsi="Palatino Linotype"/>
          <w:color w:val="000000"/>
          <w:lang w:val="es-ES_tradnl"/>
        </w:rPr>
        <w:t>la información solicitada empero previa búsqueda exhaustiva y minuciosa de la misma, no localiza la información requerida.</w:t>
      </w:r>
    </w:p>
    <w:p w14:paraId="3F699AA5"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b/>
          <w:bCs/>
          <w:color w:val="000000"/>
          <w:u w:val="single"/>
          <w:lang w:val="es-ES_tradnl"/>
        </w:rPr>
        <w:t>En ese caso</w:t>
      </w:r>
      <w:r w:rsidRPr="00E42F34">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E42F34">
        <w:rPr>
          <w:rFonts w:ascii="Palatino Linotype" w:hAnsi="Palatino Linotype"/>
          <w:b/>
          <w:bCs/>
          <w:color w:val="000000"/>
          <w:lang w:val="es-ES_tradnl"/>
        </w:rPr>
        <w:t>SUJETO OBLIGADO</w:t>
      </w:r>
      <w:r w:rsidRPr="00E42F34">
        <w:rPr>
          <w:rFonts w:ascii="Palatino Linotype" w:hAnsi="Palatino Linotype"/>
          <w:color w:val="000000"/>
          <w:lang w:val="es-ES_tradnl"/>
        </w:rPr>
        <w:t> en el marco de las funciones de derecho público; sin embargo, éste no lo posee por la razones que se deben expresar </w:t>
      </w:r>
      <w:r w:rsidRPr="00E42F34">
        <w:rPr>
          <w:rFonts w:ascii="Palatino Linotype" w:hAnsi="Palatino Linotype"/>
          <w:b/>
          <w:bCs/>
          <w:color w:val="000000"/>
          <w:u w:val="single"/>
          <w:lang w:val="es-ES_tradnl"/>
        </w:rPr>
        <w:t>a través de un acuerdo debidamente fundado y motivado </w:t>
      </w:r>
      <w:r w:rsidRPr="00E42F34">
        <w:rPr>
          <w:rFonts w:ascii="Palatino Linotype" w:hAnsi="Palatino Linotype"/>
          <w:color w:val="000000"/>
          <w:lang w:val="es-ES_tradnl"/>
        </w:rPr>
        <w:t>esto en estricto apego a lo establecido en los artículos 169 y 170 de la ley de la materia situación que no ocurrió.</w:t>
      </w:r>
    </w:p>
    <w:p w14:paraId="515E7F30"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3142322D"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color w:val="000000"/>
          <w:lang w:val="es-ES_tradnl"/>
        </w:rPr>
        <w:lastRenderedPageBreak/>
        <w:t>Además, materialmente se trata de una negativa de la información válida con independencia de las responsabilidades administrativas que pudieran ser procedentes.</w:t>
      </w:r>
    </w:p>
    <w:p w14:paraId="538BA4BD"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color w:val="000000"/>
          <w:shd w:val="clear" w:color="auto" w:fill="FFFFFF"/>
          <w:lang w:val="es-ES_tradnl"/>
        </w:rPr>
        <w:t>Es menester señalar que la manifestación hecha por el</w:t>
      </w:r>
      <w:r w:rsidRPr="00E42F34">
        <w:rPr>
          <w:rStyle w:val="m-698976158124685028gmail-apple-converted-space"/>
          <w:rFonts w:ascii="Palatino Linotype" w:eastAsiaTheme="majorEastAsia" w:hAnsi="Palatino Linotype"/>
          <w:color w:val="000000"/>
          <w:shd w:val="clear" w:color="auto" w:fill="FFFFFF"/>
        </w:rPr>
        <w:t> </w:t>
      </w:r>
      <w:r w:rsidRPr="00E42F34">
        <w:rPr>
          <w:rFonts w:ascii="Palatino Linotype" w:hAnsi="Palatino Linotype"/>
          <w:b/>
          <w:bCs/>
          <w:color w:val="000000"/>
          <w:shd w:val="clear" w:color="auto" w:fill="FFFFFF"/>
          <w:lang w:val="es-ES_tradnl"/>
        </w:rPr>
        <w:t>Sujeto Obligado</w:t>
      </w:r>
      <w:r w:rsidRPr="00E42F34">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E42F34">
        <w:rPr>
          <w:rFonts w:ascii="Palatino Linotype" w:hAnsi="Palatino Linotype"/>
          <w:color w:val="000000"/>
          <w:shd w:val="clear" w:color="auto" w:fill="FFFFFF"/>
          <w:lang w:val="es-ES_tradnl"/>
        </w:rPr>
        <w:t>constituye una confesión expresa en virtud de que concurren las circunstancias dispuestas en el numeral 97 del </w:t>
      </w:r>
      <w:r w:rsidRPr="00E42F34">
        <w:rPr>
          <w:rFonts w:ascii="Palatino Linotype" w:hAnsi="Palatino Linotype"/>
          <w:b/>
          <w:bCs/>
          <w:color w:val="000000"/>
          <w:shd w:val="clear" w:color="auto" w:fill="FFFFFF"/>
          <w:lang w:val="es-ES_tradnl"/>
        </w:rPr>
        <w:t>Código de Procedimientos Administrativos del Estado de México</w:t>
      </w:r>
      <w:r w:rsidRPr="00E42F34">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2F3BCFF0" w14:textId="77777777" w:rsidR="00864DD8" w:rsidRPr="00E42F34"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2F34">
        <w:rPr>
          <w:rFonts w:ascii="Palatino Linotype" w:hAnsi="Palatino Linotype"/>
          <w:color w:val="000000"/>
          <w:shd w:val="clear" w:color="auto" w:fill="FFFFFF"/>
        </w:rPr>
        <w:t>Por lo anterior, no basta con que se manifieste que no se cuenta con la información, derivado de que hay fuente obligacional para administrar o poseer la información relativa al currículum vitae, ficha curricular, solicitud de empleo o documento análogo, por lo anterior, de ser el caso que de la búsqueda exhaustiva y razonable no se localice la información, el Sujeto Obligado deberá emitir el acuerdo mediante el cual se declare la inexistencia.</w:t>
      </w:r>
    </w:p>
    <w:p w14:paraId="5E5AA22A" w14:textId="7D2A446A" w:rsidR="008E5CCD" w:rsidRPr="00E42F34" w:rsidRDefault="0051603E" w:rsidP="008E5CCD">
      <w:pPr>
        <w:pStyle w:val="Ttulo2"/>
        <w:rPr>
          <w:rFonts w:ascii="Palatino Linotype" w:hAnsi="Palatino Linotype"/>
          <w:b/>
          <w:color w:val="auto"/>
          <w:sz w:val="24"/>
        </w:rPr>
      </w:pPr>
      <w:bookmarkStart w:id="19" w:name="_Toc531859120"/>
      <w:bookmarkStart w:id="20" w:name="_Toc2871952"/>
      <w:bookmarkStart w:id="21" w:name="_Toc4061687"/>
      <w:bookmarkStart w:id="22" w:name="_Toc62756297"/>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4000321"/>
      <w:r w:rsidRPr="00E42F34">
        <w:rPr>
          <w:rFonts w:ascii="Palatino Linotype" w:hAnsi="Palatino Linotype"/>
          <w:b/>
          <w:color w:val="auto"/>
          <w:sz w:val="24"/>
        </w:rPr>
        <w:t>SEXTO</w:t>
      </w:r>
      <w:r w:rsidR="008E5CCD" w:rsidRPr="00E42F34">
        <w:rPr>
          <w:rFonts w:ascii="Palatino Linotype" w:hAnsi="Palatino Linotype"/>
          <w:b/>
          <w:color w:val="auto"/>
          <w:sz w:val="24"/>
        </w:rPr>
        <w:t>. De la Versión Pública</w:t>
      </w:r>
      <w:bookmarkEnd w:id="19"/>
      <w:bookmarkEnd w:id="20"/>
      <w:bookmarkEnd w:id="21"/>
      <w:bookmarkEnd w:id="22"/>
      <w:r w:rsidR="008E5CCD" w:rsidRPr="00E42F34">
        <w:rPr>
          <w:rFonts w:ascii="Palatino Linotype" w:hAnsi="Palatino Linotype"/>
          <w:b/>
          <w:color w:val="auto"/>
          <w:sz w:val="24"/>
        </w:rPr>
        <w:t xml:space="preserve"> </w:t>
      </w:r>
    </w:p>
    <w:p w14:paraId="560C06BD" w14:textId="77777777" w:rsidR="008E5CCD" w:rsidRPr="00E42F34" w:rsidRDefault="008E5CCD" w:rsidP="008E5CCD">
      <w:pPr>
        <w:rPr>
          <w:lang w:val="es-MX" w:eastAsia="en-US"/>
        </w:rPr>
      </w:pPr>
    </w:p>
    <w:p w14:paraId="266B6691" w14:textId="64C44FBE" w:rsidR="008E5CCD" w:rsidRPr="00E42F34" w:rsidRDefault="008E5CCD" w:rsidP="0021569D">
      <w:pPr>
        <w:pStyle w:val="Prrafodelista"/>
        <w:numPr>
          <w:ilvl w:val="0"/>
          <w:numId w:val="2"/>
        </w:numPr>
        <w:spacing w:before="240" w:after="240" w:line="360" w:lineRule="auto"/>
        <w:ind w:left="0" w:right="49" w:firstLine="0"/>
        <w:jc w:val="both"/>
        <w:rPr>
          <w:rFonts w:ascii="Palatino Linotype" w:hAnsi="Palatino Linotype" w:cs="Bookman Old Style"/>
        </w:rPr>
      </w:pPr>
      <w:r w:rsidRPr="00E42F34">
        <w:rPr>
          <w:rFonts w:ascii="Palatino Linotype" w:eastAsia="Calibri" w:hAnsi="Palatino Linotype" w:cs="Arial"/>
          <w:szCs w:val="22"/>
          <w:lang w:val="es-ES" w:eastAsia="es-MX"/>
        </w:rPr>
        <w:t xml:space="preserve">Como ya se ha señalado en el considerando anterior el </w:t>
      </w:r>
      <w:r w:rsidRPr="00E42F34">
        <w:rPr>
          <w:rFonts w:ascii="Palatino Linotype" w:eastAsia="Calibri" w:hAnsi="Palatino Linotype" w:cs="Arial"/>
          <w:b/>
          <w:szCs w:val="22"/>
          <w:lang w:val="es-ES" w:eastAsia="es-MX"/>
        </w:rPr>
        <w:t>SUJETO OBLIGADO,</w:t>
      </w:r>
      <w:r w:rsidRPr="00E42F34">
        <w:rPr>
          <w:rFonts w:ascii="Palatino Linotype" w:eastAsia="Calibri" w:hAnsi="Palatino Linotype" w:cs="Arial"/>
          <w:szCs w:val="22"/>
          <w:lang w:val="es-ES" w:eastAsia="es-MX"/>
        </w:rPr>
        <w:t xml:space="preserve"> deberá entregar la información señalada en el considerando anterior.</w:t>
      </w:r>
      <w:r w:rsidRPr="00E42F34">
        <w:rPr>
          <w:rFonts w:ascii="Palatino Linotype" w:eastAsia="Times New Roman" w:hAnsi="Palatino Linotype" w:cs="Times New Roman"/>
          <w:b/>
          <w:szCs w:val="14"/>
          <w:lang w:val="es-ES"/>
        </w:rPr>
        <w:t xml:space="preserve"> </w:t>
      </w:r>
      <w:r w:rsidRPr="00E42F34">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E42F34">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E42F34" w:rsidRDefault="008E5CCD" w:rsidP="00FC72B7">
      <w:pPr>
        <w:pStyle w:val="Ttulo3"/>
        <w:numPr>
          <w:ilvl w:val="0"/>
          <w:numId w:val="4"/>
        </w:numPr>
        <w:rPr>
          <w:rFonts w:ascii="Palatino Linotype" w:eastAsia="Calibri" w:hAnsi="Palatino Linotype"/>
          <w:b/>
          <w:color w:val="auto"/>
        </w:rPr>
      </w:pPr>
      <w:bookmarkStart w:id="31" w:name="_Toc531859121"/>
      <w:bookmarkStart w:id="32" w:name="_Toc2871953"/>
      <w:bookmarkStart w:id="33" w:name="_Toc4061688"/>
      <w:bookmarkStart w:id="34" w:name="_Toc62756298"/>
      <w:r w:rsidRPr="00E42F34">
        <w:rPr>
          <w:rFonts w:ascii="Palatino Linotype" w:hAnsi="Palatino Linotype"/>
          <w:b/>
          <w:color w:val="auto"/>
        </w:rPr>
        <w:lastRenderedPageBreak/>
        <w:t>Requisitos previos.</w:t>
      </w:r>
      <w:bookmarkEnd w:id="31"/>
      <w:bookmarkEnd w:id="32"/>
      <w:bookmarkEnd w:id="33"/>
      <w:bookmarkEnd w:id="34"/>
    </w:p>
    <w:p w14:paraId="21B7B3C6" w14:textId="77777777" w:rsidR="008E5CCD" w:rsidRPr="00E42F3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E42F3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E42F34" w:rsidRDefault="008E5CCD" w:rsidP="008E5CCD">
      <w:pPr>
        <w:pStyle w:val="Prrafodelista"/>
        <w:spacing w:line="360" w:lineRule="auto"/>
        <w:rPr>
          <w:rFonts w:ascii="Palatino Linotype" w:eastAsia="Calibri" w:hAnsi="Palatino Linotype" w:cs="Arial"/>
          <w:szCs w:val="22"/>
          <w:lang w:val="es-ES" w:eastAsia="es-MX"/>
        </w:rPr>
      </w:pPr>
    </w:p>
    <w:p w14:paraId="50CB6196" w14:textId="760F7465"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6852D75" w14:textId="77777777" w:rsidR="0021569D" w:rsidRPr="00E42F34" w:rsidRDefault="0021569D" w:rsidP="0021569D">
      <w:pPr>
        <w:pStyle w:val="Prrafodelista"/>
        <w:rPr>
          <w:rFonts w:ascii="Palatino Linotype" w:eastAsia="Calibri" w:hAnsi="Palatino Linotype" w:cs="Arial"/>
          <w:szCs w:val="22"/>
          <w:lang w:val="es-ES" w:eastAsia="es-MX"/>
        </w:rPr>
      </w:pPr>
    </w:p>
    <w:p w14:paraId="09801D16" w14:textId="77777777" w:rsidR="008E5CCD" w:rsidRPr="00E42F34" w:rsidRDefault="008E5CCD" w:rsidP="00FC72B7">
      <w:pPr>
        <w:pStyle w:val="Ttulo3"/>
        <w:numPr>
          <w:ilvl w:val="0"/>
          <w:numId w:val="4"/>
        </w:numPr>
        <w:rPr>
          <w:rFonts w:ascii="Palatino Linotype" w:hAnsi="Palatino Linotype"/>
          <w:b/>
          <w:color w:val="auto"/>
        </w:rPr>
      </w:pPr>
      <w:bookmarkStart w:id="35" w:name="_Toc531859122"/>
      <w:bookmarkStart w:id="36" w:name="_Toc2871954"/>
      <w:bookmarkStart w:id="37" w:name="_Toc4061689"/>
      <w:bookmarkStart w:id="38" w:name="_Toc62756299"/>
      <w:r w:rsidRPr="00E42F34">
        <w:rPr>
          <w:rFonts w:ascii="Palatino Linotype" w:hAnsi="Palatino Linotype"/>
          <w:b/>
          <w:color w:val="auto"/>
        </w:rPr>
        <w:t>Supuesto de clasificación.</w:t>
      </w:r>
      <w:bookmarkEnd w:id="35"/>
      <w:bookmarkEnd w:id="36"/>
      <w:bookmarkEnd w:id="37"/>
      <w:bookmarkEnd w:id="38"/>
    </w:p>
    <w:p w14:paraId="12E8791C" w14:textId="77777777" w:rsidR="008E5CCD" w:rsidRPr="00E42F34" w:rsidRDefault="008E5CCD" w:rsidP="008E5CCD">
      <w:pPr>
        <w:rPr>
          <w:lang w:val="es-MX" w:eastAsia="en-US"/>
        </w:rPr>
      </w:pPr>
    </w:p>
    <w:p w14:paraId="7B7AEFC6"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eastAsia="Calibri" w:hAnsi="Palatino Linotype" w:cs="Arial"/>
          <w:szCs w:val="22"/>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E42F34"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E42F34">
        <w:rPr>
          <w:rFonts w:ascii="Palatino Linotype" w:hAnsi="Palatino Linotype" w:cs="Arial"/>
          <w:b/>
          <w:bCs/>
          <w:i/>
          <w:sz w:val="22"/>
          <w:lang w:val="es-MX"/>
        </w:rPr>
        <w:t xml:space="preserve">Artículo 3. </w:t>
      </w:r>
      <w:r w:rsidRPr="00E42F34">
        <w:rPr>
          <w:rFonts w:ascii="Palatino Linotype" w:hAnsi="Palatino Linotype" w:cs="Arial"/>
          <w:i/>
          <w:sz w:val="22"/>
          <w:lang w:val="es-MX"/>
        </w:rPr>
        <w:t>Para los efectos de la presente Ley se entenderá por:</w:t>
      </w:r>
    </w:p>
    <w:p w14:paraId="56216C60"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 xml:space="preserve"> (…)</w:t>
      </w:r>
    </w:p>
    <w:p w14:paraId="5B478A05"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w:t>
      </w:r>
    </w:p>
    <w:p w14:paraId="6A23FC4C"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w:t>
      </w:r>
    </w:p>
    <w:p w14:paraId="32D579D0"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w:t>
      </w:r>
    </w:p>
    <w:p w14:paraId="4C70229C"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lastRenderedPageBreak/>
        <w:t>(…)</w:t>
      </w:r>
    </w:p>
    <w:p w14:paraId="0257FF49"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w:t>
      </w:r>
    </w:p>
    <w:p w14:paraId="02500D98"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E42F3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2F34">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E42F34"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lastRenderedPageBreak/>
        <w:t>Como consecuencia de lo anterior, el sujeto obligado debe identificar claramente el tipo de información y hacer un juicio de subsunción o encaje</w:t>
      </w:r>
      <w:r w:rsidRPr="00E42F34">
        <w:rPr>
          <w:rStyle w:val="Refdenotaalpie"/>
          <w:rFonts w:ascii="Palatino Linotype" w:hAnsi="Palatino Linotype" w:cs="Arial"/>
        </w:rPr>
        <w:footnoteReference w:id="5"/>
      </w:r>
      <w:r w:rsidRPr="00E42F3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E42F34" w:rsidRDefault="008E5CCD" w:rsidP="008E5CCD">
      <w:pPr>
        <w:pStyle w:val="Prrafodelista"/>
        <w:rPr>
          <w:rFonts w:ascii="Palatino Linotype" w:eastAsia="Calibri" w:hAnsi="Palatino Linotype" w:cs="Arial"/>
          <w:szCs w:val="22"/>
          <w:lang w:val="es-ES" w:eastAsia="es-MX"/>
        </w:rPr>
      </w:pPr>
    </w:p>
    <w:p w14:paraId="557CE3D0"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E42F34" w:rsidRDefault="008E5CCD" w:rsidP="00FC72B7">
      <w:pPr>
        <w:pStyle w:val="Ttulo3"/>
        <w:numPr>
          <w:ilvl w:val="0"/>
          <w:numId w:val="4"/>
        </w:numPr>
        <w:rPr>
          <w:rFonts w:ascii="Palatino Linotype" w:hAnsi="Palatino Linotype"/>
          <w:b/>
          <w:color w:val="auto"/>
        </w:rPr>
      </w:pPr>
      <w:bookmarkStart w:id="39" w:name="_Toc531859123"/>
      <w:bookmarkStart w:id="40" w:name="_Toc2871955"/>
      <w:bookmarkStart w:id="41" w:name="_Toc4061690"/>
      <w:bookmarkStart w:id="42" w:name="_Toc62756300"/>
      <w:r w:rsidRPr="00E42F34">
        <w:rPr>
          <w:rFonts w:ascii="Palatino Linotype" w:hAnsi="Palatino Linotype"/>
          <w:b/>
          <w:color w:val="auto"/>
        </w:rPr>
        <w:t>La intervención del Comité de Transparencia.</w:t>
      </w:r>
      <w:bookmarkEnd w:id="39"/>
      <w:bookmarkEnd w:id="40"/>
      <w:bookmarkEnd w:id="41"/>
      <w:bookmarkEnd w:id="42"/>
    </w:p>
    <w:p w14:paraId="609730F3" w14:textId="77777777" w:rsidR="008E5CCD" w:rsidRPr="00E42F34" w:rsidRDefault="008E5CCD" w:rsidP="0021569D">
      <w:pPr>
        <w:pStyle w:val="Ttulo4"/>
        <w:numPr>
          <w:ilvl w:val="1"/>
          <w:numId w:val="2"/>
        </w:numPr>
        <w:rPr>
          <w:rFonts w:ascii="Palatino Linotype" w:hAnsi="Palatino Linotype"/>
          <w:b/>
          <w:i w:val="0"/>
          <w:color w:val="auto"/>
        </w:rPr>
      </w:pPr>
      <w:r w:rsidRPr="00E42F34">
        <w:rPr>
          <w:rFonts w:ascii="Palatino Linotype" w:hAnsi="Palatino Linotype"/>
          <w:b/>
          <w:i w:val="0"/>
          <w:color w:val="auto"/>
        </w:rPr>
        <w:t>Formalidades para emitir el acuerdo de clasificación.</w:t>
      </w:r>
    </w:p>
    <w:p w14:paraId="233DBC5C" w14:textId="77777777" w:rsidR="008E5CCD" w:rsidRPr="00E42F34" w:rsidRDefault="008E5CCD" w:rsidP="008E5CCD">
      <w:pPr>
        <w:spacing w:line="360" w:lineRule="auto"/>
        <w:rPr>
          <w:rFonts w:ascii="Palatino Linotype" w:hAnsi="Palatino Linotype"/>
          <w:lang w:val="es-MX" w:eastAsia="en-US"/>
        </w:rPr>
      </w:pPr>
    </w:p>
    <w:p w14:paraId="126FE659"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 xml:space="preserve">El Comité de Transparencia, según lo dispuesto en los artículos 128 y 103 de la Ley Estatal y de la Ley General, respectivamente, y </w:t>
      </w:r>
      <w:r w:rsidRPr="00E42F34">
        <w:rPr>
          <w:rFonts w:ascii="Palatino Linotype" w:hAnsi="Palatino Linotype"/>
        </w:rPr>
        <w:t xml:space="preserve">la fracción III del numeral Segundo de los </w:t>
      </w:r>
      <w:r w:rsidRPr="00E42F34">
        <w:rPr>
          <w:rFonts w:ascii="Palatino Linotype" w:hAnsi="Palatino Linotype" w:cs="Arial"/>
        </w:rPr>
        <w:t xml:space="preserve">Lineamientos generales en materia de clasificación y desclasificación de la información, así como para la elaboración de versiones </w:t>
      </w:r>
      <w:r w:rsidRPr="00E42F34">
        <w:rPr>
          <w:rFonts w:ascii="Palatino Linotype" w:hAnsi="Palatino Linotype" w:cs="Arial"/>
        </w:rPr>
        <w:lastRenderedPageBreak/>
        <w:t>públicas, en adelante los Lineamientos Generales,</w:t>
      </w:r>
      <w:r w:rsidRPr="00E42F34">
        <w:rPr>
          <w:rFonts w:ascii="Palatino Linotype" w:hAnsi="Palatino Linotype"/>
        </w:rPr>
        <w:t xml:space="preserve"> </w:t>
      </w:r>
      <w:r w:rsidRPr="00E42F3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E42F3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E42F34" w:rsidRDefault="008E5CCD" w:rsidP="008E5CCD">
      <w:pPr>
        <w:pStyle w:val="Prrafodelista"/>
        <w:rPr>
          <w:rFonts w:ascii="Palatino Linotype" w:eastAsia="Calibri" w:hAnsi="Palatino Linotype" w:cs="Arial"/>
          <w:szCs w:val="22"/>
          <w:lang w:val="es-ES" w:eastAsia="es-MX"/>
        </w:rPr>
      </w:pPr>
    </w:p>
    <w:p w14:paraId="74167C7C"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42F34">
        <w:rPr>
          <w:rFonts w:ascii="Palatino Linotype" w:hAnsi="Palatino Linotype"/>
        </w:rPr>
        <w:lastRenderedPageBreak/>
        <w:t xml:space="preserve">por los titulares de áreas y que son sujetas a control, en primera instancia, por el Comité de Transparencia. </w:t>
      </w:r>
    </w:p>
    <w:p w14:paraId="1DB2A73F" w14:textId="77777777" w:rsidR="008E5CCD" w:rsidRPr="00E42F34" w:rsidRDefault="008E5CCD" w:rsidP="008E5CCD"/>
    <w:p w14:paraId="69C6DBA6" w14:textId="77777777" w:rsidR="008E5CCD" w:rsidRPr="00E42F34" w:rsidRDefault="008E5CCD" w:rsidP="00FC72B7">
      <w:pPr>
        <w:pStyle w:val="Ttulo4"/>
        <w:numPr>
          <w:ilvl w:val="0"/>
          <w:numId w:val="5"/>
        </w:numPr>
        <w:rPr>
          <w:rFonts w:ascii="Palatino Linotype" w:hAnsi="Palatino Linotype"/>
          <w:b/>
          <w:i w:val="0"/>
          <w:sz w:val="22"/>
        </w:rPr>
      </w:pPr>
      <w:r w:rsidRPr="00E42F34">
        <w:rPr>
          <w:rFonts w:ascii="Palatino Linotype" w:hAnsi="Palatino Linotype"/>
          <w:b/>
          <w:i w:val="0"/>
          <w:color w:val="auto"/>
        </w:rPr>
        <w:t>Requisitos de fondo del acuerdo de clasificación</w:t>
      </w:r>
    </w:p>
    <w:p w14:paraId="0CE55F40" w14:textId="77777777" w:rsidR="008E5CCD" w:rsidRPr="00E42F34"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E42F34">
        <w:rPr>
          <w:rFonts w:ascii="Palatino Linotype" w:hAnsi="Palatino Linotype" w:cs="Arial"/>
        </w:rPr>
        <w:t>Generales, al</w:t>
      </w:r>
      <w:r w:rsidRPr="00E42F34">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E42F3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hAnsi="Palatino Linotype"/>
        </w:rPr>
        <w:t xml:space="preserve">De lo anterior, se desprende </w:t>
      </w:r>
      <w:r w:rsidR="005E51B0" w:rsidRPr="00E42F34">
        <w:rPr>
          <w:rFonts w:ascii="Palatino Linotype" w:hAnsi="Palatino Linotype"/>
        </w:rPr>
        <w:t>que,</w:t>
      </w:r>
      <w:r w:rsidRPr="00E42F34">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E42F34" w:rsidRDefault="008E5CCD" w:rsidP="008E5CCD">
      <w:pPr>
        <w:pStyle w:val="Prrafodelista"/>
        <w:rPr>
          <w:rFonts w:ascii="Palatino Linotype" w:eastAsia="Calibri" w:hAnsi="Palatino Linotype" w:cs="Arial"/>
          <w:szCs w:val="22"/>
          <w:lang w:val="es-ES" w:eastAsia="es-MX"/>
        </w:rPr>
      </w:pPr>
    </w:p>
    <w:p w14:paraId="3954F1A9"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E42F34">
        <w:rPr>
          <w:rFonts w:ascii="Palatino Linotype" w:eastAsia="Times New Roman" w:hAnsi="Palatino Linotype" w:cs="Arial"/>
          <w:lang w:eastAsia="es-MX"/>
        </w:rPr>
        <w:lastRenderedPageBreak/>
        <w:t xml:space="preserve">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42F34">
        <w:rPr>
          <w:rFonts w:ascii="Palatino Linotype" w:eastAsia="Times New Roman" w:hAnsi="Palatino Linotype" w:cs="Arial"/>
          <w:lang w:eastAsia="es-MX"/>
        </w:rPr>
        <w:t>hecho....</w:t>
      </w:r>
      <w:proofErr w:type="gramEnd"/>
      <w:r w:rsidRPr="00E42F34">
        <w:rPr>
          <w:rFonts w:ascii="Palatino Linotype" w:eastAsia="Times New Roman" w:hAnsi="Palatino Linotype" w:cs="Arial"/>
          <w:lang w:eastAsia="es-MX"/>
        </w:rPr>
        <w:t>”</w:t>
      </w:r>
      <w:r w:rsidRPr="00E42F34">
        <w:rPr>
          <w:rStyle w:val="Refdenotaalpie"/>
          <w:rFonts w:ascii="Palatino Linotype" w:eastAsia="Times New Roman" w:hAnsi="Palatino Linotype" w:cs="Arial"/>
          <w:lang w:eastAsia="es-MX"/>
        </w:rPr>
        <w:footnoteReference w:id="6"/>
      </w:r>
    </w:p>
    <w:p w14:paraId="0AC7AA6D" w14:textId="77777777" w:rsidR="008E5CCD" w:rsidRPr="00E42F34" w:rsidRDefault="008E5CCD" w:rsidP="008E5CCD">
      <w:pPr>
        <w:pStyle w:val="Prrafodelista"/>
        <w:rPr>
          <w:rFonts w:ascii="Palatino Linotype" w:eastAsia="Calibri" w:hAnsi="Palatino Linotype" w:cs="Arial"/>
          <w:szCs w:val="22"/>
          <w:lang w:val="es-ES" w:eastAsia="es-MX"/>
        </w:rPr>
      </w:pPr>
    </w:p>
    <w:p w14:paraId="28E1DCC2" w14:textId="77777777" w:rsidR="008E5CCD" w:rsidRPr="00E42F34"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2F3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b/>
          <w:i/>
          <w:sz w:val="22"/>
        </w:rPr>
        <w:t>FUNDAMENTACIÓN Y MOTIVACIÓN.</w:t>
      </w:r>
      <w:r w:rsidRPr="00E42F34">
        <w:rPr>
          <w:rFonts w:ascii="Palatino Linotype" w:hAnsi="Palatino Linotype" w:cs="Arial"/>
          <w:i/>
          <w:sz w:val="22"/>
        </w:rPr>
        <w:t xml:space="preserve"> La </w:t>
      </w:r>
      <w:r w:rsidRPr="00E42F34">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42F34">
        <w:rPr>
          <w:rFonts w:ascii="Palatino Linotype" w:hAnsi="Palatino Linotype" w:cs="Arial"/>
          <w:i/>
          <w:sz w:val="22"/>
        </w:rPr>
        <w:t>.</w:t>
      </w:r>
    </w:p>
    <w:p w14:paraId="2D20A3FD"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i/>
          <w:sz w:val="22"/>
        </w:rPr>
        <w:t>SEGUNDO TRIBUNAL COLEGIADO DEL SEXTO CIRCUITO.</w:t>
      </w:r>
    </w:p>
    <w:p w14:paraId="583FFAE6"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0DFD0169"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E42F34" w:rsidRDefault="008E5CCD" w:rsidP="008E5CCD">
      <w:pPr>
        <w:spacing w:line="360" w:lineRule="auto"/>
        <w:ind w:left="567" w:right="567"/>
        <w:contextualSpacing/>
        <w:jc w:val="both"/>
        <w:rPr>
          <w:rFonts w:ascii="Palatino Linotype" w:hAnsi="Palatino Linotype" w:cs="Arial"/>
          <w:i/>
          <w:sz w:val="22"/>
        </w:rPr>
      </w:pPr>
      <w:r w:rsidRPr="00E42F34">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42F34">
        <w:rPr>
          <w:rFonts w:ascii="Palatino Linotype" w:hAnsi="Palatino Linotype" w:cs="Arial"/>
          <w:i/>
          <w:sz w:val="22"/>
        </w:rPr>
        <w:t>Baigts</w:t>
      </w:r>
      <w:proofErr w:type="spellEnd"/>
      <w:r w:rsidRPr="00E42F34">
        <w:rPr>
          <w:rFonts w:ascii="Palatino Linotype" w:hAnsi="Palatino Linotype" w:cs="Arial"/>
          <w:i/>
          <w:sz w:val="22"/>
        </w:rPr>
        <w:t xml:space="preserve"> Muñoz.</w:t>
      </w:r>
    </w:p>
    <w:p w14:paraId="4C089E91" w14:textId="77777777" w:rsidR="008E5CCD" w:rsidRPr="00E42F34"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E42F34"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2F3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E42F34"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E42F34"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2F3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E42F34"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E42F34"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2F34">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448DA2F1" w14:textId="77777777" w:rsidR="008E5CCD" w:rsidRPr="00E42F34"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E42F34"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42F3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42F34">
        <w:rPr>
          <w:rFonts w:ascii="Palatino Linotype" w:hAnsi="Palatino Linotype"/>
        </w:rPr>
        <w:t xml:space="preserve"> </w:t>
      </w:r>
      <w:r w:rsidRPr="00E42F34">
        <w:rPr>
          <w:rFonts w:ascii="Palatino Linotype" w:eastAsia="Times New Roman" w:hAnsi="Palatino Linotype" w:cs="Arial"/>
          <w:lang w:eastAsia="es-MX"/>
        </w:rPr>
        <w:t>datos personales</w:t>
      </w:r>
      <w:r w:rsidRPr="00E42F34">
        <w:rPr>
          <w:rStyle w:val="Refdenotaalpie"/>
          <w:rFonts w:ascii="Palatino Linotype" w:eastAsia="Times New Roman" w:hAnsi="Palatino Linotype" w:cs="Arial"/>
          <w:lang w:eastAsia="es-MX"/>
        </w:rPr>
        <w:footnoteReference w:id="7"/>
      </w:r>
      <w:r w:rsidRPr="00E42F3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42F3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E42F34" w:rsidRDefault="00BB64A4" w:rsidP="00BB64A4">
      <w:pPr>
        <w:pStyle w:val="Prrafodelista"/>
        <w:rPr>
          <w:rFonts w:ascii="Palatino Linotype" w:eastAsia="Times New Roman" w:hAnsi="Palatino Linotype" w:cs="Arial"/>
          <w:lang w:eastAsia="es-MX"/>
        </w:rPr>
      </w:pPr>
    </w:p>
    <w:p w14:paraId="0042F245" w14:textId="6AF89B03" w:rsidR="008E5CCD" w:rsidRPr="00E42F34"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42F34">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E42F34">
        <w:rPr>
          <w:rFonts w:ascii="Palatino Linotype" w:eastAsia="Calibri" w:hAnsi="Palatino Linotype" w:cs="Arial"/>
          <w:lang w:val="es-ES" w:eastAsia="es-MX"/>
        </w:rPr>
        <w:lastRenderedPageBreak/>
        <w:t>cuando no involucren el ejercicio de recursos públicos, así lo define la fracción XXI del artículo 3 de la Ley Estatal.</w:t>
      </w:r>
    </w:p>
    <w:p w14:paraId="17E1C946" w14:textId="77777777" w:rsidR="00782D1B" w:rsidRPr="00E42F34" w:rsidRDefault="00782D1B" w:rsidP="00782D1B">
      <w:pPr>
        <w:pStyle w:val="Prrafodelista"/>
        <w:rPr>
          <w:rFonts w:ascii="Palatino Linotype" w:eastAsia="Times New Roman" w:hAnsi="Palatino Linotype" w:cs="Arial"/>
          <w:lang w:eastAsia="es-MX"/>
        </w:rPr>
      </w:pPr>
    </w:p>
    <w:bookmarkEnd w:id="23"/>
    <w:bookmarkEnd w:id="24"/>
    <w:bookmarkEnd w:id="25"/>
    <w:bookmarkEnd w:id="26"/>
    <w:bookmarkEnd w:id="27"/>
    <w:bookmarkEnd w:id="28"/>
    <w:bookmarkEnd w:id="29"/>
    <w:bookmarkEnd w:id="30"/>
    <w:p w14:paraId="14D00C02" w14:textId="165C69A3" w:rsidR="00904FC5" w:rsidRPr="00E42F34" w:rsidRDefault="00904FC5" w:rsidP="0021569D">
      <w:pPr>
        <w:pStyle w:val="Prrafodelista"/>
        <w:numPr>
          <w:ilvl w:val="0"/>
          <w:numId w:val="2"/>
        </w:numPr>
        <w:spacing w:line="360" w:lineRule="auto"/>
        <w:ind w:left="0" w:firstLine="0"/>
        <w:jc w:val="both"/>
        <w:rPr>
          <w:rFonts w:ascii="Palatino Linotype" w:hAnsi="Palatino Linotype" w:cs="Arial"/>
        </w:rPr>
      </w:pPr>
      <w:r w:rsidRPr="00E42F34">
        <w:rPr>
          <w:rFonts w:ascii="Palatino Linotype" w:eastAsia="Times New Roman" w:hAnsi="Palatino Linotype" w:cs="Arial"/>
          <w:color w:val="222222"/>
          <w:lang w:eastAsia="es-MX"/>
        </w:rPr>
        <w:t xml:space="preserve">Por lo anteriormente expuesto y fundado, este </w:t>
      </w:r>
      <w:r w:rsidRPr="00E42F34">
        <w:rPr>
          <w:rFonts w:ascii="Palatino Linotype" w:eastAsia="Times New Roman" w:hAnsi="Palatino Linotype" w:cs="Arial"/>
          <w:b/>
          <w:bCs/>
          <w:color w:val="222222"/>
          <w:lang w:eastAsia="es-MX"/>
        </w:rPr>
        <w:t>ÓRGANO GARANTE</w:t>
      </w:r>
      <w:r w:rsidRPr="00E42F34">
        <w:rPr>
          <w:rFonts w:ascii="Palatino Linotype" w:eastAsia="Times New Roman" w:hAnsi="Palatino Linotype" w:cs="Arial"/>
          <w:color w:val="222222"/>
          <w:lang w:eastAsia="es-MX"/>
        </w:rPr>
        <w:t xml:space="preserve"> emite los siguientes:</w:t>
      </w:r>
    </w:p>
    <w:p w14:paraId="6C28BBE0" w14:textId="77777777" w:rsidR="008E5CCD" w:rsidRPr="00E42F34" w:rsidRDefault="008E5CCD" w:rsidP="008E5CCD">
      <w:pPr>
        <w:keepNext/>
        <w:keepLines/>
        <w:spacing w:line="360" w:lineRule="auto"/>
        <w:jc w:val="center"/>
        <w:outlineLvl w:val="0"/>
        <w:rPr>
          <w:rFonts w:ascii="Palatino Linotype" w:eastAsia="Times New Roman" w:hAnsi="Palatino Linotype" w:cstheme="majorBidi"/>
          <w:b/>
          <w:bCs/>
        </w:rPr>
      </w:pPr>
      <w:bookmarkStart w:id="43" w:name="_Toc447699324"/>
      <w:bookmarkStart w:id="44" w:name="_Toc445745148"/>
      <w:bookmarkStart w:id="45" w:name="_Toc486525261"/>
      <w:bookmarkStart w:id="46" w:name="_Toc4061692"/>
      <w:bookmarkStart w:id="47" w:name="_Toc62756301"/>
      <w:r w:rsidRPr="00E42F34">
        <w:rPr>
          <w:rFonts w:ascii="Palatino Linotype" w:eastAsia="Times New Roman" w:hAnsi="Palatino Linotype" w:cstheme="majorBidi"/>
          <w:b/>
          <w:bCs/>
        </w:rPr>
        <w:t>R E S O L U T I V O S</w:t>
      </w:r>
      <w:bookmarkEnd w:id="43"/>
      <w:bookmarkEnd w:id="44"/>
      <w:bookmarkEnd w:id="45"/>
      <w:bookmarkEnd w:id="46"/>
      <w:bookmarkEnd w:id="47"/>
    </w:p>
    <w:p w14:paraId="71BC7B8E" w14:textId="77777777" w:rsidR="008E5CCD" w:rsidRPr="00E42F34"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0698F77A" w:rsidR="008E5CCD" w:rsidRPr="00E42F34" w:rsidRDefault="008E5CCD" w:rsidP="008E5CCD">
      <w:pPr>
        <w:spacing w:line="360" w:lineRule="auto"/>
        <w:jc w:val="both"/>
        <w:rPr>
          <w:rFonts w:ascii="Palatino Linotype" w:eastAsia="Times New Roman" w:hAnsi="Palatino Linotype" w:cs="Times New Roman"/>
        </w:rPr>
      </w:pPr>
      <w:r w:rsidRPr="00E42F34">
        <w:rPr>
          <w:rFonts w:ascii="Palatino Linotype" w:eastAsia="Times New Roman" w:hAnsi="Palatino Linotype" w:cs="Arial"/>
          <w:b/>
        </w:rPr>
        <w:t xml:space="preserve">PRIMERO. </w:t>
      </w:r>
      <w:r w:rsidRPr="00E42F34">
        <w:rPr>
          <w:rFonts w:ascii="Palatino Linotype" w:eastAsia="Times New Roman" w:hAnsi="Palatino Linotype" w:cs="Arial"/>
        </w:rPr>
        <w:t xml:space="preserve">Resultan </w:t>
      </w:r>
      <w:r w:rsidR="000E7E4E" w:rsidRPr="00E42F34">
        <w:rPr>
          <w:rFonts w:ascii="Palatino Linotype" w:eastAsia="Times New Roman" w:hAnsi="Palatino Linotype" w:cs="Arial"/>
        </w:rPr>
        <w:t>fundadas</w:t>
      </w:r>
      <w:r w:rsidRPr="00E42F34">
        <w:rPr>
          <w:rFonts w:ascii="Palatino Linotype" w:eastAsia="Times New Roman" w:hAnsi="Palatino Linotype" w:cs="Arial"/>
        </w:rPr>
        <w:t xml:space="preserve"> las</w:t>
      </w:r>
      <w:r w:rsidRPr="00E42F34">
        <w:rPr>
          <w:rFonts w:ascii="Palatino Linotype" w:eastAsia="Times New Roman" w:hAnsi="Palatino Linotype" w:cs="Arial"/>
          <w:b/>
        </w:rPr>
        <w:t xml:space="preserve"> </w:t>
      </w:r>
      <w:r w:rsidRPr="00E42F34">
        <w:rPr>
          <w:rFonts w:ascii="Palatino Linotype" w:eastAsia="Times New Roman" w:hAnsi="Palatino Linotype" w:cs="Arial"/>
          <w:lang w:val="es-ES"/>
        </w:rPr>
        <w:t xml:space="preserve">razones o motivos de inconformidad hechos valer </w:t>
      </w:r>
      <w:r w:rsidRPr="00E42F34">
        <w:rPr>
          <w:rFonts w:ascii="Palatino Linotype" w:eastAsia="Calibri" w:hAnsi="Palatino Linotype" w:cs="Arial"/>
          <w:lang w:val="es-ES"/>
        </w:rPr>
        <w:t>en los recursos de revisión</w:t>
      </w:r>
      <w:r w:rsidR="004E31A2" w:rsidRPr="00E42F34">
        <w:rPr>
          <w:rFonts w:ascii="Palatino Linotype" w:eastAsia="Calibri" w:hAnsi="Palatino Linotype" w:cs="Arial"/>
          <w:lang w:val="es-ES"/>
        </w:rPr>
        <w:t xml:space="preserve"> </w:t>
      </w:r>
      <w:r w:rsidR="00F1131F" w:rsidRPr="00E42F34">
        <w:rPr>
          <w:rFonts w:ascii="Palatino Linotype" w:hAnsi="Palatino Linotype" w:cs="Arial"/>
          <w:b/>
          <w:bCs/>
          <w:lang w:eastAsia="es-MX"/>
        </w:rPr>
        <w:t>05973/INFOEM/IP/RR/2020</w:t>
      </w:r>
      <w:r w:rsidRPr="00E42F34">
        <w:rPr>
          <w:rFonts w:ascii="Palatino Linotype" w:hAnsi="Palatino Linotype" w:cs="Arial"/>
          <w:b/>
          <w:bCs/>
        </w:rPr>
        <w:t xml:space="preserve"> </w:t>
      </w:r>
      <w:r w:rsidRPr="00E42F34">
        <w:rPr>
          <w:rFonts w:ascii="Palatino Linotype" w:hAnsi="Palatino Linotype" w:cs="Arial"/>
          <w:bCs/>
        </w:rPr>
        <w:t xml:space="preserve">en términos de los considerandos </w:t>
      </w:r>
      <w:r w:rsidRPr="00E42F34">
        <w:rPr>
          <w:rFonts w:ascii="Palatino Linotype" w:hAnsi="Palatino Linotype" w:cs="Arial"/>
          <w:b/>
          <w:bCs/>
        </w:rPr>
        <w:t xml:space="preserve">QUINTO </w:t>
      </w:r>
      <w:r w:rsidR="00AB3A31" w:rsidRPr="00E42F34">
        <w:rPr>
          <w:rFonts w:ascii="Palatino Linotype" w:hAnsi="Palatino Linotype" w:cs="Arial"/>
          <w:b/>
          <w:bCs/>
        </w:rPr>
        <w:t xml:space="preserve">y SEXTO </w:t>
      </w:r>
      <w:r w:rsidRPr="00E42F34">
        <w:rPr>
          <w:rFonts w:ascii="Palatino Linotype" w:hAnsi="Palatino Linotype" w:cs="Arial"/>
          <w:bCs/>
        </w:rPr>
        <w:t>de la presente resolución.</w:t>
      </w:r>
    </w:p>
    <w:p w14:paraId="43C10E7A" w14:textId="41F966F8" w:rsidR="008E5CCD" w:rsidRPr="00E42F34" w:rsidRDefault="008E5CCD" w:rsidP="008E5CCD">
      <w:pPr>
        <w:spacing w:before="240" w:after="240" w:line="360" w:lineRule="auto"/>
        <w:jc w:val="both"/>
        <w:rPr>
          <w:rFonts w:ascii="Palatino Linotype" w:eastAsia="Times New Roman" w:hAnsi="Palatino Linotype" w:cs="Arial"/>
          <w:lang w:val="es-E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E42F34">
        <w:rPr>
          <w:rFonts w:ascii="Palatino Linotype" w:hAnsi="Palatino Linotype"/>
          <w:b/>
        </w:rPr>
        <w:t>SEGUNDO.</w:t>
      </w:r>
      <w:r w:rsidRPr="00E42F34">
        <w:rPr>
          <w:rStyle w:val="Ttulo2Car"/>
          <w:rFonts w:ascii="Palatino Linotype" w:hAnsi="Palatino Linotype"/>
          <w:b/>
          <w:sz w:val="24"/>
          <w:szCs w:val="24"/>
        </w:rPr>
        <w:t xml:space="preserve"> </w:t>
      </w:r>
      <w:bookmarkEnd w:id="48"/>
      <w:bookmarkEnd w:id="49"/>
      <w:bookmarkEnd w:id="50"/>
      <w:bookmarkEnd w:id="51"/>
      <w:bookmarkEnd w:id="52"/>
      <w:bookmarkEnd w:id="53"/>
      <w:bookmarkEnd w:id="54"/>
      <w:r w:rsidRPr="00E42F34">
        <w:rPr>
          <w:rFonts w:ascii="Palatino Linotype" w:eastAsia="Calibri" w:hAnsi="Palatino Linotype" w:cs="Arial"/>
          <w:lang w:val="es-ES"/>
        </w:rPr>
        <w:t>Se</w:t>
      </w:r>
      <w:r w:rsidRPr="00E42F34">
        <w:rPr>
          <w:rFonts w:ascii="Palatino Linotype" w:eastAsia="Calibri" w:hAnsi="Palatino Linotype" w:cs="Arial"/>
          <w:b/>
          <w:lang w:val="es-ES"/>
        </w:rPr>
        <w:t xml:space="preserve"> </w:t>
      </w:r>
      <w:r w:rsidR="00ED0FD7" w:rsidRPr="00E42F34">
        <w:rPr>
          <w:rFonts w:ascii="Palatino Linotype" w:eastAsia="Calibri" w:hAnsi="Palatino Linotype" w:cs="Arial"/>
          <w:b/>
          <w:lang w:val="es-ES"/>
        </w:rPr>
        <w:t>REVOCA</w:t>
      </w:r>
      <w:r w:rsidRPr="00E42F34">
        <w:rPr>
          <w:rFonts w:ascii="Palatino Linotype" w:eastAsia="Calibri" w:hAnsi="Palatino Linotype" w:cs="Arial"/>
          <w:b/>
          <w:lang w:val="es-ES"/>
        </w:rPr>
        <w:t xml:space="preserve"> </w:t>
      </w:r>
      <w:r w:rsidRPr="00E42F34">
        <w:rPr>
          <w:rFonts w:ascii="Palatino Linotype" w:eastAsia="Calibri" w:hAnsi="Palatino Linotype" w:cs="Arial"/>
          <w:lang w:val="es-ES"/>
        </w:rPr>
        <w:t>la</w:t>
      </w:r>
      <w:r w:rsidR="005E51B0" w:rsidRPr="00E42F34">
        <w:rPr>
          <w:rFonts w:ascii="Palatino Linotype" w:eastAsia="Calibri" w:hAnsi="Palatino Linotype" w:cs="Arial"/>
          <w:lang w:val="es-ES"/>
        </w:rPr>
        <w:t xml:space="preserve"> </w:t>
      </w:r>
      <w:r w:rsidRPr="00E42F34">
        <w:rPr>
          <w:rFonts w:ascii="Palatino Linotype" w:eastAsia="Calibri" w:hAnsi="Palatino Linotype" w:cs="Arial"/>
          <w:lang w:val="es-ES"/>
        </w:rPr>
        <w:t xml:space="preserve">respuesta emitida por el </w:t>
      </w:r>
      <w:r w:rsidR="00ED0FD7" w:rsidRPr="00E42F34">
        <w:rPr>
          <w:rFonts w:ascii="Palatino Linotype" w:hAnsi="Palatino Linotype" w:cs="Arial"/>
          <w:b/>
          <w:bCs/>
        </w:rPr>
        <w:t>Ayuntamiento de Naucalpan de Juárez</w:t>
      </w:r>
      <w:r w:rsidRPr="00E42F34">
        <w:rPr>
          <w:rFonts w:ascii="Palatino Linotype" w:eastAsia="Times New Roman" w:hAnsi="Palatino Linotype" w:cs="Arial"/>
          <w:lang w:val="es-ES"/>
        </w:rPr>
        <w:t xml:space="preserve"> y se </w:t>
      </w:r>
      <w:r w:rsidRPr="00E42F34">
        <w:rPr>
          <w:rFonts w:ascii="Palatino Linotype" w:eastAsia="Times New Roman" w:hAnsi="Palatino Linotype" w:cs="Arial"/>
          <w:b/>
          <w:lang w:val="es-ES"/>
        </w:rPr>
        <w:t>ORDENA</w:t>
      </w:r>
      <w:r w:rsidRPr="00E42F34">
        <w:rPr>
          <w:rFonts w:ascii="Palatino Linotype" w:eastAsia="Times New Roman" w:hAnsi="Palatino Linotype" w:cs="Arial"/>
          <w:lang w:val="es-ES"/>
        </w:rPr>
        <w:t xml:space="preserve"> entregar, vía</w:t>
      </w:r>
      <w:r w:rsidR="00187F0D" w:rsidRPr="00E42F34">
        <w:rPr>
          <w:rFonts w:ascii="Palatino Linotype" w:eastAsia="Times New Roman" w:hAnsi="Palatino Linotype" w:cs="Arial"/>
          <w:lang w:val="es-ES"/>
        </w:rPr>
        <w:t xml:space="preserve"> </w:t>
      </w:r>
      <w:r w:rsidR="00187F0D" w:rsidRPr="00E42F34">
        <w:rPr>
          <w:rFonts w:ascii="Palatino Linotype" w:eastAsia="Times New Roman" w:hAnsi="Palatino Linotype" w:cs="Arial"/>
          <w:b/>
          <w:bCs/>
          <w:lang w:val="es-ES"/>
        </w:rPr>
        <w:t>Sistema de Acceso a la Información Mexiquense (SAIMEX)</w:t>
      </w:r>
      <w:r w:rsidR="00ED0FD7" w:rsidRPr="00E42F34">
        <w:rPr>
          <w:rFonts w:ascii="Palatino Linotype" w:eastAsia="Times New Roman" w:hAnsi="Palatino Linotype" w:cs="Arial"/>
          <w:b/>
          <w:bCs/>
          <w:lang w:val="es-ES"/>
        </w:rPr>
        <w:t xml:space="preserve"> y correo electrónico</w:t>
      </w:r>
      <w:r w:rsidR="001B0FB6" w:rsidRPr="00E42F34">
        <w:rPr>
          <w:rFonts w:ascii="Palatino Linotype" w:eastAsia="Times New Roman" w:hAnsi="Palatino Linotype" w:cs="Arial"/>
          <w:lang w:val="es-ES"/>
        </w:rPr>
        <w:t xml:space="preserve"> </w:t>
      </w:r>
      <w:r w:rsidRPr="00E42F34">
        <w:rPr>
          <w:rFonts w:ascii="Palatino Linotype" w:eastAsia="Times New Roman" w:hAnsi="Palatino Linotype" w:cs="Arial"/>
          <w:lang w:val="es-ES"/>
        </w:rPr>
        <w:t>en versión pública,</w:t>
      </w:r>
      <w:r w:rsidR="00825057" w:rsidRPr="00E42F34">
        <w:rPr>
          <w:rFonts w:ascii="Palatino Linotype" w:eastAsia="Times New Roman" w:hAnsi="Palatino Linotype" w:cs="Arial"/>
          <w:lang w:val="es-ES"/>
        </w:rPr>
        <w:t xml:space="preserve"> en formato xlsx, </w:t>
      </w:r>
      <w:proofErr w:type="spellStart"/>
      <w:r w:rsidR="00825057" w:rsidRPr="00E42F34">
        <w:rPr>
          <w:rFonts w:ascii="Palatino Linotype" w:eastAsia="Times New Roman" w:hAnsi="Palatino Linotype" w:cs="Arial"/>
          <w:lang w:val="es-ES"/>
        </w:rPr>
        <w:t>csv</w:t>
      </w:r>
      <w:proofErr w:type="spellEnd"/>
      <w:r w:rsidR="00825057" w:rsidRPr="00E42F34">
        <w:rPr>
          <w:rFonts w:ascii="Palatino Linotype" w:eastAsia="Times New Roman" w:hAnsi="Palatino Linotype" w:cs="Arial"/>
          <w:lang w:val="es-ES"/>
        </w:rPr>
        <w:t xml:space="preserve"> o en el formato en el que se genere </w:t>
      </w:r>
      <w:r w:rsidR="001B0FB6" w:rsidRPr="00E42F34">
        <w:rPr>
          <w:rFonts w:ascii="Palatino Linotype" w:eastAsia="Times New Roman" w:hAnsi="Palatino Linotype" w:cs="Arial"/>
          <w:lang w:val="es-ES"/>
        </w:rPr>
        <w:t>lo siguiente:</w:t>
      </w:r>
    </w:p>
    <w:p w14:paraId="51B3680C" w14:textId="24C11E02" w:rsidR="00825057" w:rsidRPr="00E42F34" w:rsidRDefault="00825057" w:rsidP="0054003B">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bookmarkStart w:id="55" w:name="_Toc460947013"/>
      <w:r w:rsidRPr="00E42F34">
        <w:rPr>
          <w:rFonts w:ascii="Palatino Linotype" w:hAnsi="Palatino Linotype" w:cs="Arial"/>
          <w:b/>
          <w:bCs/>
          <w:noProof/>
          <w:lang w:eastAsia="es-MX"/>
        </w:rPr>
        <w:t xml:space="preserve">Soporte documental de las erogaciones que ha realizado el municipio para atender la Alerta de Violencia de Género en contra de las mujeres, del treinta y uno (31) de julio de 2015 al diecisiete (17) de noviembre de 2020. </w:t>
      </w:r>
    </w:p>
    <w:p w14:paraId="6DF167AF" w14:textId="55726842" w:rsidR="00825057" w:rsidRPr="00E42F34" w:rsidRDefault="00825057" w:rsidP="00825057">
      <w:pPr>
        <w:autoSpaceDE w:val="0"/>
        <w:autoSpaceDN w:val="0"/>
        <w:adjustRightInd w:val="0"/>
        <w:spacing w:line="360" w:lineRule="auto"/>
        <w:jc w:val="both"/>
        <w:rPr>
          <w:rFonts w:ascii="Palatino Linotype" w:hAnsi="Palatino Linotype"/>
          <w:b/>
          <w:bCs/>
          <w:lang w:val="es-MX" w:eastAsia="en-US"/>
        </w:rPr>
      </w:pPr>
    </w:p>
    <w:p w14:paraId="4EE0F368" w14:textId="166675A3" w:rsidR="008E5CCD" w:rsidRPr="00E42F34" w:rsidRDefault="008E5CCD" w:rsidP="008E5CCD">
      <w:pPr>
        <w:spacing w:line="360" w:lineRule="auto"/>
        <w:jc w:val="both"/>
        <w:rPr>
          <w:rFonts w:ascii="Palatino Linotype" w:hAnsi="Palatino Linotype"/>
          <w:b/>
          <w:szCs w:val="22"/>
        </w:rPr>
      </w:pPr>
      <w:r w:rsidRPr="00E42F3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E42F34">
        <w:rPr>
          <w:rFonts w:ascii="Palatino Linotype" w:hAnsi="Palatino Linotype"/>
          <w:b/>
          <w:szCs w:val="22"/>
        </w:rPr>
        <w:t>.</w:t>
      </w:r>
    </w:p>
    <w:p w14:paraId="73BBB8D7" w14:textId="77777777" w:rsidR="00AD1126" w:rsidRPr="00E42F34" w:rsidRDefault="00AD1126" w:rsidP="008E5CCD">
      <w:pPr>
        <w:spacing w:line="360" w:lineRule="auto"/>
        <w:jc w:val="both"/>
        <w:rPr>
          <w:rFonts w:ascii="Palatino Linotype" w:hAnsi="Palatino Linotype"/>
          <w:b/>
          <w:szCs w:val="22"/>
        </w:rPr>
      </w:pPr>
    </w:p>
    <w:p w14:paraId="72DB103A" w14:textId="3993F3AE" w:rsidR="00DE414C" w:rsidRPr="00E42F34" w:rsidRDefault="00AD1126" w:rsidP="008E5CCD">
      <w:pPr>
        <w:tabs>
          <w:tab w:val="left" w:pos="8080"/>
        </w:tabs>
        <w:spacing w:line="360" w:lineRule="auto"/>
        <w:ind w:right="49"/>
        <w:contextualSpacing/>
        <w:jc w:val="both"/>
        <w:rPr>
          <w:rFonts w:ascii="Palatino Linotype" w:eastAsia="Palatino Linotype" w:hAnsi="Palatino Linotype" w:cs="Palatino Linotype"/>
        </w:rPr>
      </w:pPr>
      <w:r w:rsidRPr="00E42F34">
        <w:rPr>
          <w:rFonts w:ascii="Palatino Linotype" w:eastAsia="Palatino Linotype" w:hAnsi="Palatino Linotype" w:cs="Palatino Linotype"/>
        </w:rPr>
        <w:t>De ser</w:t>
      </w:r>
      <w:r w:rsidR="00BA1600" w:rsidRPr="00E42F34">
        <w:rPr>
          <w:rFonts w:ascii="Palatino Linotype" w:eastAsia="Palatino Linotype" w:hAnsi="Palatino Linotype" w:cs="Palatino Linotype"/>
        </w:rPr>
        <w:t xml:space="preserve"> el </w:t>
      </w:r>
      <w:r w:rsidR="00BA1600" w:rsidRPr="00E42F34">
        <w:rPr>
          <w:rFonts w:ascii="Palatino Linotype" w:eastAsia="Palatino Linotype" w:hAnsi="Palatino Linotype" w:cs="Palatino Linotype"/>
          <w:b/>
          <w:bCs/>
        </w:rPr>
        <w:t>SUJETO OBLIGADO</w:t>
      </w:r>
      <w:r w:rsidR="00BA1600" w:rsidRPr="00E42F34">
        <w:rPr>
          <w:rFonts w:ascii="Palatino Linotype" w:eastAsia="Palatino Linotype" w:hAnsi="Palatino Linotype" w:cs="Palatino Linotype"/>
        </w:rPr>
        <w:t xml:space="preserve">, no localiza la información señalada en el </w:t>
      </w:r>
      <w:r w:rsidR="00BA1600" w:rsidRPr="00E42F34">
        <w:rPr>
          <w:rFonts w:ascii="Palatino Linotype" w:eastAsia="Palatino Linotype" w:hAnsi="Palatino Linotype" w:cs="Palatino Linotype"/>
          <w:b/>
          <w:bCs/>
        </w:rPr>
        <w:t xml:space="preserve">inciso </w:t>
      </w:r>
      <w:r w:rsidRPr="00E42F34">
        <w:rPr>
          <w:rFonts w:ascii="Palatino Linotype" w:eastAsia="Palatino Linotype" w:hAnsi="Palatino Linotype" w:cs="Palatino Linotype"/>
          <w:b/>
          <w:bCs/>
        </w:rPr>
        <w:t>a</w:t>
      </w:r>
      <w:r w:rsidR="00BA1600" w:rsidRPr="00E42F34">
        <w:rPr>
          <w:rFonts w:ascii="Palatino Linotype" w:eastAsia="Palatino Linotype" w:hAnsi="Palatino Linotype" w:cs="Palatino Linotype"/>
          <w:b/>
          <w:bCs/>
        </w:rPr>
        <w:t xml:space="preserve">), </w:t>
      </w:r>
      <w:r w:rsidR="00BA1600" w:rsidRPr="00E42F34">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797C5EA0" w14:textId="77777777" w:rsidR="00BA1600" w:rsidRPr="00E42F34" w:rsidRDefault="00BA1600"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3A77F605" w:rsidR="008E5CCD" w:rsidRPr="00E42F34" w:rsidRDefault="008E5CCD" w:rsidP="008E5CCD">
      <w:pPr>
        <w:tabs>
          <w:tab w:val="left" w:pos="8080"/>
        </w:tabs>
        <w:spacing w:line="360" w:lineRule="auto"/>
        <w:ind w:right="49"/>
        <w:contextualSpacing/>
        <w:jc w:val="both"/>
        <w:rPr>
          <w:rFonts w:ascii="Palatino Linotype" w:hAnsi="Palatino Linotype"/>
          <w:color w:val="222222"/>
          <w:shd w:val="clear" w:color="auto" w:fill="FFFFFF"/>
        </w:rPr>
      </w:pPr>
      <w:r w:rsidRPr="00E42F34">
        <w:rPr>
          <w:rFonts w:ascii="Palatino Linotype" w:eastAsia="Palatino Linotype" w:hAnsi="Palatino Linotype" w:cs="Palatino Linotype"/>
          <w:b/>
        </w:rPr>
        <w:t xml:space="preserve">TERCERO. Notifíquese </w:t>
      </w:r>
      <w:r w:rsidRPr="00E42F34">
        <w:rPr>
          <w:rFonts w:ascii="Palatino Linotype" w:eastAsia="Palatino Linotype" w:hAnsi="Palatino Linotype" w:cs="Palatino Linotype"/>
        </w:rPr>
        <w:t xml:space="preserve">al Titular de la Unidad de Transparencia del </w:t>
      </w:r>
      <w:r w:rsidRPr="00E42F34">
        <w:rPr>
          <w:rFonts w:ascii="Palatino Linotype" w:eastAsia="Palatino Linotype" w:hAnsi="Palatino Linotype" w:cs="Palatino Linotype"/>
          <w:b/>
        </w:rPr>
        <w:t>SUJETO OBLIGADO</w:t>
      </w:r>
      <w:r w:rsidRPr="00E42F3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F3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725F2C9" w14:textId="75DFE21B" w:rsidR="005E7397" w:rsidRPr="00E42F34" w:rsidRDefault="005E7397" w:rsidP="008E5CCD">
      <w:pPr>
        <w:tabs>
          <w:tab w:val="left" w:pos="8080"/>
        </w:tabs>
        <w:spacing w:line="360" w:lineRule="auto"/>
        <w:ind w:right="49"/>
        <w:contextualSpacing/>
        <w:jc w:val="both"/>
        <w:rPr>
          <w:rFonts w:ascii="Palatino Linotype" w:hAnsi="Palatino Linotype"/>
          <w:color w:val="222222"/>
          <w:shd w:val="clear" w:color="auto" w:fill="FFFFFF"/>
        </w:rPr>
      </w:pPr>
    </w:p>
    <w:p w14:paraId="6C7DF4B3" w14:textId="77777777" w:rsidR="005E7397" w:rsidRPr="00E42F34" w:rsidRDefault="005E7397" w:rsidP="005E7397">
      <w:pPr>
        <w:spacing w:line="360" w:lineRule="auto"/>
        <w:jc w:val="both"/>
        <w:rPr>
          <w:rFonts w:ascii="Palatino Linotype" w:eastAsia="Calibri" w:hAnsi="Palatino Linotype" w:cs="Arial"/>
          <w:bCs/>
        </w:rPr>
      </w:pPr>
      <w:r w:rsidRPr="00E42F34">
        <w:rPr>
          <w:rFonts w:ascii="Palatino Linotype" w:eastAsia="Times New Roman" w:hAnsi="Palatino Linotype" w:cs="Arial"/>
          <w:b/>
        </w:rPr>
        <w:t xml:space="preserve">CUARTO. </w:t>
      </w:r>
      <w:r w:rsidRPr="00E42F3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360E00" w14:textId="77777777" w:rsidR="008E5CCD" w:rsidRPr="00E42F34" w:rsidRDefault="008E5CCD" w:rsidP="008E5CCD">
      <w:pPr>
        <w:shd w:val="clear" w:color="auto" w:fill="FFFFFF"/>
        <w:spacing w:line="360" w:lineRule="auto"/>
        <w:jc w:val="both"/>
        <w:rPr>
          <w:rFonts w:ascii="Palatino Linotype" w:eastAsia="Times New Roman" w:hAnsi="Palatino Linotype" w:cs="Arial"/>
          <w:b/>
        </w:rPr>
      </w:pPr>
    </w:p>
    <w:p w14:paraId="0DC3D8EA" w14:textId="2284E5B4" w:rsidR="008E5CCD" w:rsidRPr="00E42F34" w:rsidRDefault="005E7397" w:rsidP="008E5CCD">
      <w:pPr>
        <w:shd w:val="clear" w:color="auto" w:fill="FFFFFF"/>
        <w:spacing w:line="360" w:lineRule="auto"/>
        <w:jc w:val="both"/>
        <w:rPr>
          <w:rFonts w:ascii="Palatino Linotype" w:hAnsi="Palatino Linotype"/>
        </w:rPr>
      </w:pPr>
      <w:r w:rsidRPr="00E42F34">
        <w:rPr>
          <w:rFonts w:ascii="Palatino Linotype" w:eastAsia="Times New Roman" w:hAnsi="Palatino Linotype" w:cs="Arial"/>
          <w:b/>
        </w:rPr>
        <w:t>QUIN</w:t>
      </w:r>
      <w:r w:rsidR="008E5CCD" w:rsidRPr="00E42F34">
        <w:rPr>
          <w:rFonts w:ascii="Palatino Linotype" w:eastAsia="Times New Roman" w:hAnsi="Palatino Linotype" w:cs="Arial"/>
          <w:b/>
        </w:rPr>
        <w:t xml:space="preserve">TO. </w:t>
      </w:r>
      <w:r w:rsidR="008E5CCD" w:rsidRPr="00E42F34">
        <w:rPr>
          <w:rFonts w:ascii="Palatino Linotype" w:eastAsia="Times New Roman" w:hAnsi="Palatino Linotype" w:cs="Times New Roman"/>
          <w:b/>
          <w:bCs/>
          <w:color w:val="222222"/>
          <w:lang w:val="es-ES"/>
        </w:rPr>
        <w:t>Notifíquese a</w:t>
      </w:r>
      <w:r w:rsidR="008E5CCD" w:rsidRPr="00E42F34">
        <w:rPr>
          <w:rFonts w:ascii="Palatino Linotype" w:hAnsi="Palatino Linotype"/>
          <w:b/>
        </w:rPr>
        <w:t xml:space="preserve"> </w:t>
      </w:r>
      <w:r w:rsidR="00765A66" w:rsidRPr="00765A66">
        <w:rPr>
          <w:rFonts w:ascii="Palatino Linotype" w:hAnsi="Palatino Linotype"/>
          <w:b/>
          <w:highlight w:val="black"/>
        </w:rPr>
        <w:t>--------------------------------------------------------------</w:t>
      </w:r>
      <w:r w:rsidR="0054003B" w:rsidRPr="00E42F34">
        <w:rPr>
          <w:rFonts w:ascii="Palatino Linotype" w:hAnsi="Palatino Linotype"/>
          <w:b/>
          <w:sz w:val="22"/>
          <w:szCs w:val="22"/>
        </w:rPr>
        <w:t xml:space="preserve"> </w:t>
      </w:r>
      <w:r w:rsidR="008E5CCD" w:rsidRPr="00E42F34">
        <w:rPr>
          <w:rFonts w:ascii="Palatino Linotype" w:hAnsi="Palatino Linotype"/>
        </w:rPr>
        <w:t>la presente resolución</w:t>
      </w:r>
      <w:r w:rsidR="00641124" w:rsidRPr="00E42F34">
        <w:rPr>
          <w:rFonts w:ascii="Palatino Linotype" w:hAnsi="Palatino Linotype"/>
        </w:rPr>
        <w:t xml:space="preserve"> y su informe justificado</w:t>
      </w:r>
    </w:p>
    <w:p w14:paraId="2D65445A" w14:textId="77777777" w:rsidR="008E5CCD" w:rsidRPr="00E42F34" w:rsidRDefault="008E5CCD" w:rsidP="008E5CCD">
      <w:pPr>
        <w:shd w:val="clear" w:color="auto" w:fill="FFFFFF"/>
        <w:spacing w:line="360" w:lineRule="auto"/>
        <w:jc w:val="both"/>
        <w:rPr>
          <w:rFonts w:ascii="Palatino Linotype" w:hAnsi="Palatino Linotype"/>
        </w:rPr>
      </w:pPr>
    </w:p>
    <w:bookmarkEnd w:id="55"/>
    <w:p w14:paraId="20FC0524" w14:textId="369624ED" w:rsidR="008E5CCD" w:rsidRPr="00E42F34" w:rsidRDefault="005E7397" w:rsidP="008E5CCD">
      <w:pPr>
        <w:spacing w:line="360" w:lineRule="auto"/>
        <w:jc w:val="both"/>
        <w:rPr>
          <w:rFonts w:ascii="Palatino Linotype" w:eastAsia="MS Mincho" w:hAnsi="Palatino Linotype" w:cs="Times New Roman"/>
          <w:lang w:val="es-ES"/>
        </w:rPr>
      </w:pPr>
      <w:r w:rsidRPr="00E42F34">
        <w:rPr>
          <w:rFonts w:ascii="Palatino Linotype" w:eastAsia="MS Mincho" w:hAnsi="Palatino Linotype" w:cs="Times New Roman"/>
          <w:b/>
          <w:lang w:val="es-MX"/>
        </w:rPr>
        <w:t>SEX</w:t>
      </w:r>
      <w:r w:rsidR="008E5CCD" w:rsidRPr="00E42F34">
        <w:rPr>
          <w:rFonts w:ascii="Palatino Linotype" w:eastAsia="MS Mincho" w:hAnsi="Palatino Linotype" w:cs="Times New Roman"/>
          <w:b/>
          <w:lang w:val="es-MX"/>
        </w:rPr>
        <w:t>TO.</w:t>
      </w:r>
      <w:r w:rsidR="008E5CCD" w:rsidRPr="00E42F34">
        <w:rPr>
          <w:rFonts w:ascii="Palatino Linotype" w:eastAsia="MS Mincho" w:hAnsi="Palatino Linotype" w:cs="Times New Roman"/>
          <w:lang w:val="es-MX"/>
        </w:rPr>
        <w:t xml:space="preserve"> </w:t>
      </w:r>
      <w:r w:rsidR="008E5CCD" w:rsidRPr="00E42F34">
        <w:rPr>
          <w:rFonts w:ascii="Palatino Linotype" w:eastAsia="MS Mincho" w:hAnsi="Palatino Linotype" w:cs="Times New Roman"/>
          <w:lang w:val="es-ES"/>
        </w:rPr>
        <w:t xml:space="preserve">Se hace del conocimiento de </w:t>
      </w:r>
      <w:r w:rsidR="00765A66" w:rsidRPr="00765A66">
        <w:rPr>
          <w:rFonts w:ascii="Palatino Linotype" w:hAnsi="Palatino Linotype"/>
          <w:b/>
          <w:highlight w:val="black"/>
        </w:rPr>
        <w:t>--------------------------------------------------------------------------------</w:t>
      </w:r>
      <w:bookmarkStart w:id="56" w:name="_GoBack"/>
      <w:bookmarkEnd w:id="56"/>
      <w:r w:rsidR="00765A66">
        <w:rPr>
          <w:rFonts w:ascii="Palatino Linotype" w:hAnsi="Palatino Linotype"/>
          <w:b/>
        </w:rPr>
        <w:t xml:space="preserve"> </w:t>
      </w:r>
      <w:r w:rsidR="008E5CCD" w:rsidRPr="00E42F34">
        <w:rPr>
          <w:rFonts w:ascii="Palatino Linotype" w:eastAsia="MS Mincho" w:hAnsi="Palatino Linotype" w:cs="Times New Roman"/>
          <w:lang w:val="es-ES"/>
        </w:rPr>
        <w:t xml:space="preserve">que, de conformidad con lo establecido en el artículo 196 de la Ley </w:t>
      </w:r>
      <w:r w:rsidR="008E5CCD" w:rsidRPr="00E42F34">
        <w:rPr>
          <w:rFonts w:ascii="Palatino Linotype" w:eastAsia="MS Mincho" w:hAnsi="Palatino Linotype" w:cs="Times New Roman"/>
          <w:lang w:val="es-ES"/>
        </w:rPr>
        <w:lastRenderedPageBreak/>
        <w:t>de Transparencia y Acceso a la Información Pública del Estado de México y Municipios, en caso de que considere que la resolución le cause algún perjuicio podrá impugnarla </w:t>
      </w:r>
      <w:r w:rsidR="008E5CCD" w:rsidRPr="00E42F34">
        <w:rPr>
          <w:rFonts w:ascii="Palatino Linotype" w:eastAsia="MS Mincho" w:hAnsi="Palatino Linotype" w:cs="Times New Roman"/>
          <w:bCs/>
          <w:lang w:val="es-ES"/>
        </w:rPr>
        <w:t>vía juicio de amparo</w:t>
      </w:r>
      <w:r w:rsidR="008E5CCD" w:rsidRPr="00E42F34">
        <w:rPr>
          <w:rFonts w:ascii="Palatino Linotype" w:eastAsia="MS Mincho" w:hAnsi="Palatino Linotype" w:cs="Times New Roman"/>
          <w:lang w:val="es-ES"/>
        </w:rPr>
        <w:t> en los términos de las leyes aplicables.</w:t>
      </w:r>
    </w:p>
    <w:p w14:paraId="5A5A9A84" w14:textId="60E6A865" w:rsidR="00356275" w:rsidRPr="00E42F34" w:rsidRDefault="00356275" w:rsidP="008E5CCD">
      <w:pPr>
        <w:spacing w:line="360" w:lineRule="auto"/>
        <w:jc w:val="both"/>
        <w:rPr>
          <w:rFonts w:ascii="Palatino Linotype" w:eastAsia="MS Mincho" w:hAnsi="Palatino Linotype" w:cs="Times New Roman"/>
          <w:lang w:val="es-ES"/>
        </w:rPr>
      </w:pPr>
    </w:p>
    <w:p w14:paraId="09C058B4" w14:textId="00D3D3D1" w:rsidR="00AB62FA" w:rsidRDefault="00AB62FA" w:rsidP="008E5CCD">
      <w:pPr>
        <w:spacing w:line="360" w:lineRule="auto"/>
        <w:jc w:val="both"/>
        <w:rPr>
          <w:rFonts w:ascii="Palatino Linotype" w:hAnsi="Palatino Linotype"/>
          <w:color w:val="000000"/>
          <w:shd w:val="clear" w:color="auto" w:fill="FFFFFF"/>
        </w:rPr>
      </w:pPr>
      <w:r w:rsidRPr="00E42F34">
        <w:rPr>
          <w:rFonts w:ascii="Palatino Linotype" w:hAnsi="Palatino Linotype"/>
          <w:b/>
          <w:bCs/>
          <w:color w:val="000000"/>
          <w:shd w:val="clear" w:color="auto" w:fill="FFFFFF"/>
        </w:rPr>
        <w:t>S</w:t>
      </w:r>
      <w:r w:rsidR="00356275" w:rsidRPr="00E42F34">
        <w:rPr>
          <w:rFonts w:ascii="Palatino Linotype" w:hAnsi="Palatino Linotype"/>
          <w:b/>
          <w:bCs/>
          <w:color w:val="000000"/>
          <w:shd w:val="clear" w:color="auto" w:fill="FFFFFF"/>
        </w:rPr>
        <w:t>ÉPTIMO</w:t>
      </w:r>
      <w:r w:rsidRPr="00E42F34">
        <w:rPr>
          <w:rFonts w:ascii="Palatino Linotype" w:hAnsi="Palatino Linotype"/>
          <w:b/>
          <w:bCs/>
          <w:color w:val="000000"/>
          <w:shd w:val="clear" w:color="auto" w:fill="FFFFFF"/>
        </w:rPr>
        <w:t>.</w:t>
      </w:r>
      <w:r w:rsidRPr="00E42F3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E42F34">
        <w:rPr>
          <w:rFonts w:ascii="Palatino Linotype" w:hAnsi="Palatino Linotype"/>
          <w:b/>
          <w:bCs/>
          <w:color w:val="000000"/>
          <w:shd w:val="clear" w:color="auto" w:fill="FFFFFF"/>
        </w:rPr>
        <w:t>SUJETO OBLIGADO</w:t>
      </w:r>
      <w:r w:rsidRPr="00E42F3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6CB47F1F" w14:textId="77777777" w:rsidR="00E42F34" w:rsidRDefault="00E42F34" w:rsidP="008E5CCD">
      <w:pPr>
        <w:spacing w:line="360" w:lineRule="auto"/>
        <w:jc w:val="both"/>
        <w:rPr>
          <w:rFonts w:ascii="Palatino Linotype" w:hAnsi="Palatino Linotype"/>
          <w:color w:val="000000"/>
          <w:shd w:val="clear" w:color="auto" w:fill="FFFFFF"/>
        </w:rPr>
      </w:pPr>
    </w:p>
    <w:p w14:paraId="1EC97EBD" w14:textId="77777777" w:rsidR="00E42F34" w:rsidRDefault="00E42F34" w:rsidP="00E42F34">
      <w:pPr>
        <w:spacing w:line="360" w:lineRule="auto"/>
        <w:ind w:firstLine="1"/>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CUATRO (04) DE FEBRERO DE DOS MIL VEINTIUNO, ANTE EL DIRECTOR DE CUMPLIMIENTOS, RUBÉN ORTÍZ AMARO, EN SUPLENCIA DEL SECRETARIO TÉCNICO DEL PLENO. </w:t>
      </w:r>
    </w:p>
    <w:p w14:paraId="1EDE6A80" w14:textId="77777777" w:rsidR="00E42F34" w:rsidRDefault="00E42F34" w:rsidP="00E42F34">
      <w:pPr>
        <w:spacing w:line="360" w:lineRule="auto"/>
        <w:ind w:firstLine="1"/>
        <w:jc w:val="both"/>
        <w:rPr>
          <w:rFonts w:ascii="Palatino Linotype" w:hAnsi="Palatino Linotype"/>
        </w:rPr>
      </w:pPr>
    </w:p>
    <w:p w14:paraId="55A86C24" w14:textId="77777777" w:rsidR="00E42F34" w:rsidRDefault="00E42F34" w:rsidP="00E42F34">
      <w:pPr>
        <w:spacing w:line="360" w:lineRule="auto"/>
        <w:ind w:firstLine="1"/>
        <w:jc w:val="both"/>
        <w:rPr>
          <w:rFonts w:ascii="Palatino Linotype" w:hAnsi="Palatino Linotype"/>
        </w:rPr>
      </w:pPr>
    </w:p>
    <w:p w14:paraId="39499165" w14:textId="77777777" w:rsidR="00E42F34" w:rsidRDefault="00E42F34" w:rsidP="00E42F34">
      <w:pPr>
        <w:spacing w:line="360" w:lineRule="auto"/>
        <w:ind w:firstLine="1"/>
        <w:jc w:val="both"/>
        <w:rPr>
          <w:rFonts w:ascii="Palatino Linotype" w:eastAsiaTheme="minorHAnsi" w:hAnsi="Palatino Linotype"/>
          <w:lang w:val="es-MX" w:eastAsia="en-US"/>
        </w:rPr>
      </w:pPr>
    </w:p>
    <w:tbl>
      <w:tblPr>
        <w:tblW w:w="5000" w:type="pct"/>
        <w:jc w:val="center"/>
        <w:tblLook w:val="04A0" w:firstRow="1" w:lastRow="0" w:firstColumn="1" w:lastColumn="0" w:noHBand="0" w:noVBand="1"/>
      </w:tblPr>
      <w:tblGrid>
        <w:gridCol w:w="4192"/>
        <w:gridCol w:w="202"/>
        <w:gridCol w:w="4395"/>
      </w:tblGrid>
      <w:tr w:rsidR="00E42F34" w14:paraId="549E3462" w14:textId="77777777" w:rsidTr="00E42F34">
        <w:trPr>
          <w:trHeight w:val="924"/>
          <w:jc w:val="center"/>
        </w:trPr>
        <w:tc>
          <w:tcPr>
            <w:tcW w:w="5000" w:type="pct"/>
            <w:gridSpan w:val="3"/>
          </w:tcPr>
          <w:p w14:paraId="330FEBC2" w14:textId="77777777" w:rsidR="00E42F34" w:rsidRDefault="00E42F34">
            <w:pPr>
              <w:jc w:val="center"/>
              <w:rPr>
                <w:rFonts w:ascii="Palatino Linotype" w:hAnsi="Palatino Linotype"/>
                <w:b/>
              </w:rPr>
            </w:pPr>
          </w:p>
          <w:p w14:paraId="04D435D1" w14:textId="77777777" w:rsidR="00E42F34" w:rsidRDefault="00E42F34">
            <w:pPr>
              <w:jc w:val="center"/>
              <w:rPr>
                <w:rFonts w:ascii="Palatino Linotype" w:hAnsi="Palatino Linotype"/>
                <w:b/>
              </w:rPr>
            </w:pPr>
          </w:p>
          <w:p w14:paraId="5C213936" w14:textId="77777777" w:rsidR="00E42F34" w:rsidRDefault="00E42F34">
            <w:pPr>
              <w:jc w:val="center"/>
              <w:rPr>
                <w:rFonts w:ascii="Palatino Linotype" w:hAnsi="Palatino Linotype"/>
                <w:b/>
              </w:rPr>
            </w:pPr>
          </w:p>
          <w:p w14:paraId="019CC5DB" w14:textId="77777777" w:rsidR="00E42F34" w:rsidRDefault="00E42F34">
            <w:pPr>
              <w:jc w:val="center"/>
              <w:rPr>
                <w:rFonts w:ascii="Palatino Linotype" w:hAnsi="Palatino Linotype"/>
                <w:b/>
              </w:rPr>
            </w:pPr>
            <w:r>
              <w:rPr>
                <w:rFonts w:ascii="Palatino Linotype" w:hAnsi="Palatino Linotype"/>
                <w:b/>
              </w:rPr>
              <w:t xml:space="preserve">Zulema Martínez Sánchez </w:t>
            </w:r>
          </w:p>
          <w:p w14:paraId="765F11FC" w14:textId="77777777" w:rsidR="00E42F34" w:rsidRDefault="00E42F34">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3841EFED" w14:textId="77777777" w:rsidR="00E42F34" w:rsidRDefault="00E42F34">
            <w:pPr>
              <w:tabs>
                <w:tab w:val="left" w:pos="780"/>
                <w:tab w:val="center" w:pos="4499"/>
              </w:tabs>
              <w:jc w:val="center"/>
              <w:rPr>
                <w:rFonts w:ascii="Palatino Linotype" w:hAnsi="Palatino Linotype"/>
              </w:rPr>
            </w:pPr>
            <w:r>
              <w:rPr>
                <w:rFonts w:ascii="Palatino Linotype" w:hAnsi="Palatino Linotype"/>
              </w:rPr>
              <w:t>(Rúbrica)</w:t>
            </w:r>
          </w:p>
        </w:tc>
      </w:tr>
      <w:tr w:rsidR="00E42F34" w14:paraId="6D540EC7" w14:textId="77777777" w:rsidTr="00E42F34">
        <w:trPr>
          <w:trHeight w:val="902"/>
          <w:jc w:val="center"/>
        </w:trPr>
        <w:tc>
          <w:tcPr>
            <w:tcW w:w="2385" w:type="pct"/>
          </w:tcPr>
          <w:p w14:paraId="544C72E9" w14:textId="77777777" w:rsidR="00E42F34" w:rsidRDefault="00E42F34">
            <w:pPr>
              <w:jc w:val="center"/>
              <w:rPr>
                <w:rFonts w:ascii="Palatino Linotype" w:hAnsi="Palatino Linotype"/>
                <w:b/>
              </w:rPr>
            </w:pPr>
          </w:p>
          <w:p w14:paraId="13E13049" w14:textId="77777777" w:rsidR="00E42F34" w:rsidRDefault="00E42F34">
            <w:pPr>
              <w:jc w:val="center"/>
              <w:rPr>
                <w:rFonts w:ascii="Palatino Linotype" w:hAnsi="Palatino Linotype"/>
                <w:b/>
              </w:rPr>
            </w:pPr>
          </w:p>
          <w:p w14:paraId="565BB43E" w14:textId="77777777" w:rsidR="00E42F34" w:rsidRDefault="00E42F34">
            <w:pPr>
              <w:jc w:val="center"/>
              <w:rPr>
                <w:rFonts w:ascii="Palatino Linotype" w:hAnsi="Palatino Linotype"/>
                <w:b/>
              </w:rPr>
            </w:pPr>
          </w:p>
          <w:p w14:paraId="54472788" w14:textId="77777777" w:rsidR="00E42F34" w:rsidRDefault="00E42F34">
            <w:pPr>
              <w:jc w:val="center"/>
              <w:rPr>
                <w:rFonts w:ascii="Palatino Linotype" w:hAnsi="Palatino Linotype"/>
                <w:b/>
              </w:rPr>
            </w:pPr>
          </w:p>
          <w:p w14:paraId="05C7C1AF" w14:textId="77777777" w:rsidR="00E42F34" w:rsidRDefault="00E42F34">
            <w:pPr>
              <w:jc w:val="center"/>
              <w:rPr>
                <w:rFonts w:ascii="Palatino Linotype" w:hAnsi="Palatino Linotype"/>
                <w:b/>
              </w:rPr>
            </w:pPr>
          </w:p>
          <w:p w14:paraId="4106199D" w14:textId="77777777" w:rsidR="00E42F34" w:rsidRDefault="00E42F34">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211859C" w14:textId="77777777" w:rsidR="00E42F34" w:rsidRDefault="00E42F34">
            <w:pPr>
              <w:jc w:val="center"/>
              <w:rPr>
                <w:rFonts w:ascii="Palatino Linotype" w:hAnsi="Palatino Linotype"/>
              </w:rPr>
            </w:pPr>
            <w:r>
              <w:rPr>
                <w:rFonts w:ascii="Palatino Linotype" w:hAnsi="Palatino Linotype"/>
              </w:rPr>
              <w:t>Comisionada</w:t>
            </w:r>
          </w:p>
          <w:p w14:paraId="153F88E4" w14:textId="77777777" w:rsidR="00E42F34" w:rsidRDefault="00E42F34">
            <w:pPr>
              <w:tabs>
                <w:tab w:val="left" w:pos="780"/>
                <w:tab w:val="center" w:pos="4499"/>
              </w:tabs>
              <w:jc w:val="center"/>
              <w:rPr>
                <w:rFonts w:ascii="Palatino Linotype" w:hAnsi="Palatino Linotype"/>
              </w:rPr>
            </w:pPr>
            <w:r>
              <w:rPr>
                <w:rFonts w:ascii="Palatino Linotype" w:hAnsi="Palatino Linotype"/>
              </w:rPr>
              <w:t>(Rúbrica)</w:t>
            </w:r>
          </w:p>
        </w:tc>
        <w:tc>
          <w:tcPr>
            <w:tcW w:w="2615" w:type="pct"/>
            <w:gridSpan w:val="2"/>
          </w:tcPr>
          <w:p w14:paraId="417356CA" w14:textId="77777777" w:rsidR="00E42F34" w:rsidRDefault="00E42F34">
            <w:pPr>
              <w:jc w:val="center"/>
              <w:rPr>
                <w:rFonts w:ascii="Palatino Linotype" w:hAnsi="Palatino Linotype"/>
                <w:b/>
              </w:rPr>
            </w:pPr>
          </w:p>
          <w:p w14:paraId="171EA596" w14:textId="77777777" w:rsidR="00E42F34" w:rsidRDefault="00E42F34">
            <w:pPr>
              <w:jc w:val="center"/>
              <w:rPr>
                <w:rFonts w:ascii="Palatino Linotype" w:hAnsi="Palatino Linotype"/>
                <w:b/>
              </w:rPr>
            </w:pPr>
          </w:p>
          <w:p w14:paraId="0DC33706" w14:textId="77777777" w:rsidR="00E42F34" w:rsidRDefault="00E42F34">
            <w:pPr>
              <w:jc w:val="center"/>
              <w:rPr>
                <w:rFonts w:ascii="Palatino Linotype" w:hAnsi="Palatino Linotype"/>
                <w:b/>
              </w:rPr>
            </w:pPr>
          </w:p>
          <w:p w14:paraId="46715B48" w14:textId="77777777" w:rsidR="00E42F34" w:rsidRDefault="00E42F34">
            <w:pPr>
              <w:jc w:val="center"/>
              <w:rPr>
                <w:rFonts w:ascii="Palatino Linotype" w:hAnsi="Palatino Linotype"/>
                <w:b/>
              </w:rPr>
            </w:pPr>
          </w:p>
          <w:p w14:paraId="00D5538F" w14:textId="77777777" w:rsidR="00E42F34" w:rsidRDefault="00E42F34">
            <w:pPr>
              <w:jc w:val="center"/>
              <w:rPr>
                <w:rFonts w:ascii="Palatino Linotype" w:hAnsi="Palatino Linotype"/>
                <w:b/>
              </w:rPr>
            </w:pPr>
          </w:p>
          <w:p w14:paraId="12F35611" w14:textId="77777777" w:rsidR="00E42F34" w:rsidRDefault="00E42F34">
            <w:pPr>
              <w:jc w:val="center"/>
              <w:rPr>
                <w:rFonts w:ascii="Palatino Linotype" w:hAnsi="Palatino Linotype"/>
                <w:b/>
              </w:rPr>
            </w:pPr>
            <w:r>
              <w:rPr>
                <w:rFonts w:ascii="Palatino Linotype" w:hAnsi="Palatino Linotype"/>
                <w:b/>
              </w:rPr>
              <w:t>José Guadalupe Luna Hernández</w:t>
            </w:r>
          </w:p>
          <w:p w14:paraId="1C3977BC" w14:textId="77777777" w:rsidR="00E42F34" w:rsidRDefault="00E42F34">
            <w:pPr>
              <w:jc w:val="center"/>
              <w:rPr>
                <w:rFonts w:ascii="Palatino Linotype" w:hAnsi="Palatino Linotype"/>
              </w:rPr>
            </w:pPr>
            <w:r>
              <w:rPr>
                <w:rFonts w:ascii="Palatino Linotype" w:hAnsi="Palatino Linotype"/>
              </w:rPr>
              <w:t>Comisionado</w:t>
            </w:r>
          </w:p>
          <w:p w14:paraId="63B3370E" w14:textId="77777777" w:rsidR="00E42F34" w:rsidRDefault="00E42F34">
            <w:pPr>
              <w:tabs>
                <w:tab w:val="left" w:pos="780"/>
                <w:tab w:val="center" w:pos="4499"/>
              </w:tabs>
              <w:jc w:val="center"/>
              <w:rPr>
                <w:rFonts w:ascii="Palatino Linotype" w:hAnsi="Palatino Linotype"/>
              </w:rPr>
            </w:pPr>
            <w:r>
              <w:rPr>
                <w:rFonts w:ascii="Palatino Linotype" w:hAnsi="Palatino Linotype"/>
              </w:rPr>
              <w:t>(Rúbrica)</w:t>
            </w:r>
          </w:p>
        </w:tc>
      </w:tr>
      <w:tr w:rsidR="00E42F34" w14:paraId="25E813D5" w14:textId="77777777" w:rsidTr="00E42F34">
        <w:trPr>
          <w:jc w:val="center"/>
        </w:trPr>
        <w:tc>
          <w:tcPr>
            <w:tcW w:w="2500" w:type="pct"/>
            <w:gridSpan w:val="2"/>
          </w:tcPr>
          <w:p w14:paraId="4CC7E606" w14:textId="77777777" w:rsidR="00E42F34" w:rsidRDefault="00E42F34">
            <w:pPr>
              <w:jc w:val="center"/>
              <w:rPr>
                <w:rFonts w:ascii="Palatino Linotype" w:hAnsi="Palatino Linotype"/>
                <w:b/>
              </w:rPr>
            </w:pPr>
          </w:p>
          <w:p w14:paraId="15229841" w14:textId="77777777" w:rsidR="00E42F34" w:rsidRDefault="00E42F34">
            <w:pPr>
              <w:jc w:val="center"/>
              <w:rPr>
                <w:rFonts w:ascii="Palatino Linotype" w:hAnsi="Palatino Linotype"/>
                <w:b/>
              </w:rPr>
            </w:pPr>
          </w:p>
          <w:p w14:paraId="6B37BC7E" w14:textId="77777777" w:rsidR="00E42F34" w:rsidRDefault="00E42F34">
            <w:pPr>
              <w:jc w:val="center"/>
              <w:rPr>
                <w:rFonts w:ascii="Palatino Linotype" w:hAnsi="Palatino Linotype"/>
                <w:b/>
              </w:rPr>
            </w:pPr>
          </w:p>
          <w:p w14:paraId="07746446" w14:textId="77777777" w:rsidR="00E42F34" w:rsidRDefault="00E42F34">
            <w:pPr>
              <w:jc w:val="center"/>
              <w:rPr>
                <w:rFonts w:ascii="Palatino Linotype" w:hAnsi="Palatino Linotype"/>
                <w:b/>
              </w:rPr>
            </w:pPr>
          </w:p>
          <w:p w14:paraId="2BD0463A" w14:textId="77777777" w:rsidR="00E42F34" w:rsidRDefault="00E42F34">
            <w:pPr>
              <w:jc w:val="center"/>
              <w:rPr>
                <w:rFonts w:ascii="Palatino Linotype" w:hAnsi="Palatino Linotype"/>
                <w:b/>
              </w:rPr>
            </w:pPr>
          </w:p>
          <w:p w14:paraId="7022F4EF" w14:textId="77777777" w:rsidR="00E42F34" w:rsidRDefault="00E42F34">
            <w:pPr>
              <w:jc w:val="center"/>
              <w:rPr>
                <w:rFonts w:ascii="Palatino Linotype" w:hAnsi="Palatino Linotype"/>
                <w:b/>
              </w:rPr>
            </w:pPr>
            <w:r>
              <w:rPr>
                <w:rFonts w:ascii="Palatino Linotype" w:hAnsi="Palatino Linotype"/>
                <w:b/>
              </w:rPr>
              <w:t xml:space="preserve">Javier Martínez Cruz </w:t>
            </w:r>
          </w:p>
          <w:p w14:paraId="081B7B2D" w14:textId="77777777" w:rsidR="00E42F34" w:rsidRDefault="00E42F34">
            <w:pPr>
              <w:jc w:val="center"/>
              <w:rPr>
                <w:rFonts w:ascii="Palatino Linotype" w:hAnsi="Palatino Linotype"/>
              </w:rPr>
            </w:pPr>
            <w:r>
              <w:rPr>
                <w:rFonts w:ascii="Palatino Linotype" w:hAnsi="Palatino Linotype"/>
              </w:rPr>
              <w:t>Comisionado</w:t>
            </w:r>
          </w:p>
          <w:p w14:paraId="215114B0" w14:textId="77777777" w:rsidR="00E42F34" w:rsidRDefault="00E42F34">
            <w:pPr>
              <w:jc w:val="center"/>
              <w:rPr>
                <w:rFonts w:ascii="Palatino Linotype" w:hAnsi="Palatino Linotype"/>
                <w:b/>
              </w:rPr>
            </w:pPr>
            <w:r>
              <w:rPr>
                <w:rFonts w:ascii="Palatino Linotype" w:hAnsi="Palatino Linotype"/>
              </w:rPr>
              <w:t>(Rúbrica)</w:t>
            </w:r>
          </w:p>
        </w:tc>
        <w:tc>
          <w:tcPr>
            <w:tcW w:w="2500" w:type="pct"/>
          </w:tcPr>
          <w:p w14:paraId="3E936546" w14:textId="77777777" w:rsidR="00E42F34" w:rsidRDefault="00E42F34">
            <w:pPr>
              <w:tabs>
                <w:tab w:val="left" w:pos="780"/>
                <w:tab w:val="center" w:pos="4499"/>
              </w:tabs>
              <w:jc w:val="center"/>
              <w:rPr>
                <w:rFonts w:ascii="Palatino Linotype" w:hAnsi="Palatino Linotype"/>
                <w:b/>
              </w:rPr>
            </w:pPr>
          </w:p>
          <w:p w14:paraId="37A11741" w14:textId="77777777" w:rsidR="00E42F34" w:rsidRDefault="00E42F34">
            <w:pPr>
              <w:tabs>
                <w:tab w:val="left" w:pos="780"/>
                <w:tab w:val="center" w:pos="4499"/>
              </w:tabs>
              <w:jc w:val="center"/>
              <w:rPr>
                <w:rFonts w:ascii="Palatino Linotype" w:hAnsi="Palatino Linotype"/>
                <w:b/>
              </w:rPr>
            </w:pPr>
          </w:p>
          <w:p w14:paraId="48C46CB0" w14:textId="77777777" w:rsidR="00E42F34" w:rsidRDefault="00E42F34">
            <w:pPr>
              <w:tabs>
                <w:tab w:val="left" w:pos="780"/>
                <w:tab w:val="center" w:pos="4499"/>
              </w:tabs>
              <w:jc w:val="center"/>
              <w:rPr>
                <w:rFonts w:ascii="Palatino Linotype" w:hAnsi="Palatino Linotype"/>
                <w:b/>
              </w:rPr>
            </w:pPr>
          </w:p>
          <w:p w14:paraId="328A8570" w14:textId="77777777" w:rsidR="00E42F34" w:rsidRDefault="00E42F34">
            <w:pPr>
              <w:tabs>
                <w:tab w:val="left" w:pos="780"/>
                <w:tab w:val="center" w:pos="4499"/>
              </w:tabs>
              <w:jc w:val="center"/>
              <w:rPr>
                <w:rFonts w:ascii="Palatino Linotype" w:hAnsi="Palatino Linotype"/>
                <w:b/>
              </w:rPr>
            </w:pPr>
          </w:p>
          <w:p w14:paraId="17377ADE" w14:textId="77777777" w:rsidR="00E42F34" w:rsidRDefault="00E42F34">
            <w:pPr>
              <w:tabs>
                <w:tab w:val="left" w:pos="780"/>
                <w:tab w:val="center" w:pos="4499"/>
              </w:tabs>
              <w:jc w:val="center"/>
              <w:rPr>
                <w:rFonts w:ascii="Palatino Linotype" w:hAnsi="Palatino Linotype"/>
                <w:b/>
              </w:rPr>
            </w:pPr>
          </w:p>
          <w:p w14:paraId="3A05F6E0" w14:textId="77777777" w:rsidR="00E42F34" w:rsidRDefault="00E42F34">
            <w:pPr>
              <w:tabs>
                <w:tab w:val="left" w:pos="780"/>
                <w:tab w:val="center" w:pos="4499"/>
              </w:tabs>
              <w:jc w:val="center"/>
              <w:rPr>
                <w:rFonts w:ascii="Palatino Linotype" w:hAnsi="Palatino Linotype"/>
                <w:b/>
              </w:rPr>
            </w:pPr>
            <w:r>
              <w:rPr>
                <w:rFonts w:ascii="Palatino Linotype" w:hAnsi="Palatino Linotype"/>
                <w:b/>
              </w:rPr>
              <w:t>Luis Gustavo Parra Noriega</w:t>
            </w:r>
          </w:p>
          <w:p w14:paraId="11DCB62F" w14:textId="77777777" w:rsidR="00E42F34" w:rsidRDefault="00E42F34">
            <w:pPr>
              <w:tabs>
                <w:tab w:val="left" w:pos="780"/>
                <w:tab w:val="center" w:pos="4499"/>
              </w:tabs>
              <w:jc w:val="center"/>
              <w:rPr>
                <w:rFonts w:ascii="Palatino Linotype" w:hAnsi="Palatino Linotype"/>
              </w:rPr>
            </w:pPr>
            <w:r>
              <w:rPr>
                <w:rFonts w:ascii="Palatino Linotype" w:hAnsi="Palatino Linotype"/>
              </w:rPr>
              <w:t>Comisionado</w:t>
            </w:r>
          </w:p>
          <w:p w14:paraId="5B45F580" w14:textId="77777777" w:rsidR="00E42F34" w:rsidRDefault="00E42F34">
            <w:pPr>
              <w:tabs>
                <w:tab w:val="left" w:pos="780"/>
                <w:tab w:val="center" w:pos="4499"/>
              </w:tabs>
              <w:jc w:val="center"/>
              <w:rPr>
                <w:rFonts w:ascii="Palatino Linotype" w:hAnsi="Palatino Linotype"/>
              </w:rPr>
            </w:pPr>
            <w:r>
              <w:rPr>
                <w:rFonts w:ascii="Palatino Linotype" w:hAnsi="Palatino Linotype"/>
              </w:rPr>
              <w:t>(Rúbrica)</w:t>
            </w:r>
          </w:p>
        </w:tc>
      </w:tr>
      <w:tr w:rsidR="00E42F34" w14:paraId="5FC83615" w14:textId="77777777" w:rsidTr="00E42F34">
        <w:trPr>
          <w:jc w:val="center"/>
        </w:trPr>
        <w:tc>
          <w:tcPr>
            <w:tcW w:w="5000" w:type="pct"/>
            <w:gridSpan w:val="3"/>
          </w:tcPr>
          <w:p w14:paraId="534D8E2C" w14:textId="77777777" w:rsidR="00E42F34" w:rsidRDefault="00E42F34">
            <w:pPr>
              <w:jc w:val="center"/>
              <w:rPr>
                <w:rFonts w:ascii="Palatino Linotype" w:hAnsi="Palatino Linotype"/>
                <w:b/>
              </w:rPr>
            </w:pPr>
          </w:p>
          <w:p w14:paraId="615405E0" w14:textId="77777777" w:rsidR="00E42F34" w:rsidRDefault="00E42F34">
            <w:pPr>
              <w:jc w:val="center"/>
              <w:rPr>
                <w:rFonts w:ascii="Palatino Linotype" w:hAnsi="Palatino Linotype"/>
                <w:b/>
              </w:rPr>
            </w:pPr>
          </w:p>
          <w:p w14:paraId="072DE9F1" w14:textId="77777777" w:rsidR="00E42F34" w:rsidRDefault="00E42F34">
            <w:pPr>
              <w:jc w:val="center"/>
              <w:rPr>
                <w:rFonts w:ascii="Palatino Linotype" w:hAnsi="Palatino Linotype"/>
                <w:b/>
              </w:rPr>
            </w:pPr>
          </w:p>
          <w:p w14:paraId="6F723EAF" w14:textId="77777777" w:rsidR="00E42F34" w:rsidRDefault="00E42F34">
            <w:pPr>
              <w:jc w:val="center"/>
              <w:rPr>
                <w:rFonts w:ascii="Palatino Linotype" w:hAnsi="Palatino Linotype"/>
                <w:b/>
              </w:rPr>
            </w:pPr>
          </w:p>
          <w:p w14:paraId="0CDBB763" w14:textId="77777777" w:rsidR="00E42F34" w:rsidRDefault="00E42F34">
            <w:pPr>
              <w:jc w:val="center"/>
              <w:rPr>
                <w:rFonts w:ascii="Palatino Linotype" w:hAnsi="Palatino Linotype"/>
                <w:b/>
              </w:rPr>
            </w:pPr>
            <w:r>
              <w:rPr>
                <w:rFonts w:ascii="Palatino Linotype" w:hAnsi="Palatino Linotype"/>
                <w:b/>
              </w:rPr>
              <w:t>Rubén Ortiz Amaro</w:t>
            </w:r>
          </w:p>
          <w:p w14:paraId="64171586" w14:textId="77777777" w:rsidR="00E42F34" w:rsidRDefault="00E42F34">
            <w:pPr>
              <w:tabs>
                <w:tab w:val="left" w:pos="780"/>
                <w:tab w:val="center" w:pos="4499"/>
              </w:tabs>
              <w:jc w:val="center"/>
              <w:rPr>
                <w:rFonts w:ascii="Palatino Linotype" w:hAnsi="Palatino Linotype"/>
              </w:rPr>
            </w:pPr>
            <w:r>
              <w:rPr>
                <w:rFonts w:ascii="Palatino Linotype" w:hAnsi="Palatino Linotype"/>
              </w:rPr>
              <w:t xml:space="preserve">Director de Cumplimientos </w:t>
            </w:r>
          </w:p>
          <w:p w14:paraId="64A1973C" w14:textId="77777777" w:rsidR="00E42F34" w:rsidRDefault="00E42F34">
            <w:pPr>
              <w:tabs>
                <w:tab w:val="left" w:pos="780"/>
                <w:tab w:val="center" w:pos="4499"/>
              </w:tabs>
              <w:jc w:val="center"/>
              <w:rPr>
                <w:rFonts w:ascii="Palatino Linotype" w:hAnsi="Palatino Linotype"/>
              </w:rPr>
            </w:pPr>
            <w:r>
              <w:rPr>
                <w:rFonts w:ascii="Palatino Linotype" w:hAnsi="Palatino Linotype"/>
              </w:rPr>
              <w:t>En suplencia del Secretario Técnico del Pleno</w:t>
            </w:r>
          </w:p>
          <w:p w14:paraId="2633C5AB" w14:textId="77777777" w:rsidR="00E42F34" w:rsidRDefault="00E42F34">
            <w:pPr>
              <w:tabs>
                <w:tab w:val="left" w:pos="780"/>
                <w:tab w:val="center" w:pos="4499"/>
              </w:tabs>
              <w:jc w:val="center"/>
              <w:rPr>
                <w:rFonts w:ascii="Palatino Linotype" w:hAnsi="Palatino Linotype"/>
              </w:rPr>
            </w:pPr>
            <w:r>
              <w:rPr>
                <w:rFonts w:ascii="Palatino Linotype" w:hAnsi="Palatino Linotype"/>
              </w:rPr>
              <w:t>(Rúbrica)</w:t>
            </w:r>
          </w:p>
          <w:p w14:paraId="2B33080A" w14:textId="77777777" w:rsidR="00E42F34" w:rsidRDefault="00E42F34">
            <w:pPr>
              <w:tabs>
                <w:tab w:val="left" w:pos="780"/>
                <w:tab w:val="center" w:pos="4499"/>
              </w:tabs>
              <w:rPr>
                <w:rFonts w:ascii="Palatino Linotype" w:hAnsi="Palatino Linotype" w:cs="Arial"/>
              </w:rPr>
            </w:pPr>
          </w:p>
        </w:tc>
      </w:tr>
    </w:tbl>
    <w:p w14:paraId="1ECFA44A" w14:textId="43F06CA9" w:rsidR="00E42F34" w:rsidRDefault="00E42F34" w:rsidP="00E42F34">
      <w:pPr>
        <w:spacing w:line="360" w:lineRule="auto"/>
        <w:jc w:val="both"/>
        <w:rPr>
          <w:sz w:val="32"/>
          <w:szCs w:val="32"/>
          <w:lang w:eastAsia="en-US"/>
        </w:rPr>
      </w:pPr>
      <w:r>
        <w:rPr>
          <w:rFonts w:ascii="Palatino Linotype" w:hAnsi="Palatino Linotype" w:cs="Arial"/>
        </w:rPr>
        <w:t xml:space="preserve">Esta hoja corresponde a la resolución de cuatro (04) de febrero de dos mil veintiuno, emitida en el recurso de revisión </w:t>
      </w:r>
      <w:r>
        <w:rPr>
          <w:rFonts w:ascii="Palatino Linotype" w:hAnsi="Palatino Linotype" w:cs="Arial"/>
          <w:b/>
        </w:rPr>
        <w:t>05973/INFOEM/IP/RR/2020</w:t>
      </w:r>
      <w:r>
        <w:rPr>
          <w:rFonts w:ascii="Palatino Linotype" w:hAnsi="Palatino Linotype" w:cs="Arial"/>
          <w:bCs/>
        </w:rPr>
        <w:t xml:space="preserve">. </w:t>
      </w:r>
    </w:p>
    <w:p w14:paraId="637DA7CB" w14:textId="08818C56" w:rsidR="00E42F34" w:rsidRPr="00E42F34" w:rsidRDefault="00E42F34" w:rsidP="008E5CCD">
      <w:pPr>
        <w:spacing w:line="360" w:lineRule="auto"/>
        <w:jc w:val="both"/>
        <w:rPr>
          <w:rFonts w:ascii="Palatino Linotype" w:eastAsia="MS Mincho" w:hAnsi="Palatino Linotype" w:cs="Times New Roman"/>
          <w:lang w:val="es-ES"/>
        </w:rPr>
      </w:pPr>
    </w:p>
    <w:sectPr w:rsidR="00E42F34" w:rsidRPr="00E42F34"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860EE" w14:textId="77777777" w:rsidR="005455BC" w:rsidRDefault="005455BC" w:rsidP="008B6F5F">
      <w:r>
        <w:separator/>
      </w:r>
    </w:p>
  </w:endnote>
  <w:endnote w:type="continuationSeparator" w:id="0">
    <w:p w14:paraId="0A6FCC9E" w14:textId="77777777" w:rsidR="005455BC" w:rsidRDefault="005455B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1603E" w:rsidRPr="000A2541" w:rsidRDefault="0051603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11F01">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11F01">
              <w:rPr>
                <w:rFonts w:ascii="Palatino Linotype" w:hAnsi="Palatino Linotype"/>
                <w:b/>
                <w:bCs/>
                <w:noProof/>
              </w:rPr>
              <w:t>47</w:t>
            </w:r>
            <w:r w:rsidRPr="000A2541">
              <w:rPr>
                <w:rFonts w:ascii="Palatino Linotype" w:hAnsi="Palatino Linotype"/>
                <w:b/>
                <w:bCs/>
              </w:rPr>
              <w:fldChar w:fldCharType="end"/>
            </w:r>
          </w:p>
        </w:sdtContent>
      </w:sdt>
    </w:sdtContent>
  </w:sdt>
  <w:p w14:paraId="362DC80A" w14:textId="77777777" w:rsidR="0051603E" w:rsidRDefault="005160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51603E" w:rsidRPr="00883450" w:rsidRDefault="0051603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1F01" w:rsidRPr="00411F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1F01" w:rsidRPr="00411F01">
      <w:rPr>
        <w:rFonts w:ascii="Palatino Linotype" w:hAnsi="Palatino Linotype"/>
        <w:noProof/>
        <w:sz w:val="22"/>
        <w:szCs w:val="22"/>
        <w:lang w:val="es-ES"/>
      </w:rPr>
      <w:t>47</w:t>
    </w:r>
    <w:r w:rsidRPr="00883450">
      <w:rPr>
        <w:rFonts w:ascii="Palatino Linotype" w:hAnsi="Palatino Linotype"/>
        <w:sz w:val="22"/>
        <w:szCs w:val="22"/>
      </w:rPr>
      <w:fldChar w:fldCharType="end"/>
    </w:r>
  </w:p>
  <w:p w14:paraId="08113C7A" w14:textId="77777777" w:rsidR="0051603E" w:rsidRPr="00883450" w:rsidRDefault="0051603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679C" w14:textId="77777777" w:rsidR="005455BC" w:rsidRDefault="005455BC" w:rsidP="008B6F5F">
      <w:r>
        <w:separator/>
      </w:r>
    </w:p>
  </w:footnote>
  <w:footnote w:type="continuationSeparator" w:id="0">
    <w:p w14:paraId="53C301BF" w14:textId="77777777" w:rsidR="005455BC" w:rsidRDefault="005455BC" w:rsidP="008B6F5F">
      <w:r>
        <w:continuationSeparator/>
      </w:r>
    </w:p>
  </w:footnote>
  <w:footnote w:id="1">
    <w:p w14:paraId="62236472" w14:textId="1D233FFA" w:rsidR="0051603E" w:rsidRPr="00B81762" w:rsidRDefault="0051603E">
      <w:pPr>
        <w:pStyle w:val="Textonotapie"/>
        <w:rPr>
          <w:lang w:val="es-MX"/>
        </w:rPr>
      </w:pPr>
      <w:r>
        <w:rPr>
          <w:rStyle w:val="Refdenotaalpie"/>
        </w:rPr>
        <w:footnoteRef/>
      </w:r>
      <w:r>
        <w:t xml:space="preserve"> </w:t>
      </w:r>
      <w:hyperlink r:id="rId1" w:history="1">
        <w:r w:rsidRPr="00D135E4">
          <w:rPr>
            <w:rStyle w:val="Hipervnculo"/>
          </w:rPr>
          <w:t>https://www.gob.mx/cms/uploads/attachment/file/63107/DECLARATORIA_ESTADO_DE_MEXICO.pdf</w:t>
        </w:r>
      </w:hyperlink>
    </w:p>
  </w:footnote>
  <w:footnote w:id="2">
    <w:p w14:paraId="0B39DF42" w14:textId="0D656077" w:rsidR="0051603E" w:rsidRPr="000536B3" w:rsidRDefault="0051603E">
      <w:pPr>
        <w:pStyle w:val="Textonotapie"/>
        <w:rPr>
          <w:lang w:val="es-MX"/>
        </w:rPr>
      </w:pPr>
      <w:r>
        <w:rPr>
          <w:rStyle w:val="Refdenotaalpie"/>
        </w:rPr>
        <w:footnoteRef/>
      </w:r>
      <w:hyperlink r:id="rId2" w:history="1">
        <w:r w:rsidRPr="00D135E4">
          <w:rPr>
            <w:rStyle w:val="Hipervnculo"/>
          </w:rPr>
          <w:t>https://www.ipomex.org.mx/recursos/ipo/files_ipo3/2019/42897/4/3c2501ec6c6619d4746d4f53ee902902.pdf</w:t>
        </w:r>
      </w:hyperlink>
    </w:p>
  </w:footnote>
  <w:footnote w:id="3">
    <w:p w14:paraId="1298545E" w14:textId="289B00C9" w:rsidR="0051603E" w:rsidRPr="00E35370" w:rsidRDefault="0051603E">
      <w:pPr>
        <w:pStyle w:val="Textonotapie"/>
        <w:rPr>
          <w:lang w:val="es-MX"/>
        </w:rPr>
      </w:pPr>
      <w:r>
        <w:rPr>
          <w:rStyle w:val="Refdenotaalpie"/>
        </w:rPr>
        <w:footnoteRef/>
      </w:r>
      <w:hyperlink r:id="rId3" w:history="1">
        <w:r w:rsidRPr="00D135E4">
          <w:rPr>
            <w:rStyle w:val="Hipervnculo"/>
          </w:rPr>
          <w:t>https://www.ipomex.org.mx/recursos/ipo/files_ipo3/2019/43079/1/5512f7583f4fb069c7d0dff0d9c9006f.pdf</w:t>
        </w:r>
      </w:hyperlink>
    </w:p>
  </w:footnote>
  <w:footnote w:id="4">
    <w:p w14:paraId="24A4E588" w14:textId="77777777" w:rsidR="0051603E" w:rsidRDefault="0051603E" w:rsidP="00864DD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proofErr w:type="spellStart"/>
      <w:r w:rsidRPr="006667ED">
        <w:rPr>
          <w:rFonts w:cs="Arial"/>
          <w:i/>
          <w:iCs/>
          <w:color w:val="222222"/>
          <w:szCs w:val="24"/>
        </w:rPr>
        <w:t>Ibídem</w:t>
      </w:r>
      <w:proofErr w:type="spellEnd"/>
      <w:r w:rsidRPr="006667ED">
        <w:rPr>
          <w:rFonts w:cs="Arial"/>
          <w:color w:val="222222"/>
          <w:szCs w:val="24"/>
        </w:rPr>
        <w:t>. Párr. 113.</w:t>
      </w:r>
    </w:p>
  </w:footnote>
  <w:footnote w:id="5">
    <w:p w14:paraId="529C2304" w14:textId="77777777" w:rsidR="0051603E" w:rsidRDefault="0051603E" w:rsidP="008E5CCD">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4AF83E5F" w14:textId="77777777" w:rsidR="0051603E" w:rsidRDefault="0051603E"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51603E" w:rsidRPr="001E1F95" w:rsidRDefault="0051603E"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092FB75" w14:textId="77777777" w:rsidR="0051603E" w:rsidRPr="0037004E" w:rsidRDefault="0051603E"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footnote>
  <w:footnote w:id="7">
    <w:p w14:paraId="01C59D69" w14:textId="77777777" w:rsidR="0051603E" w:rsidRDefault="0051603E" w:rsidP="008E5CCD">
      <w:pPr>
        <w:pStyle w:val="Textonotapie"/>
        <w:jc w:val="both"/>
      </w:pPr>
      <w:r>
        <w:rPr>
          <w:rStyle w:val="Refdenotaalpie"/>
        </w:rPr>
        <w:footnoteRef/>
      </w:r>
      <w:r>
        <w:t xml:space="preserve"> Artículo 3. Para los efectos de la presente Ley se entenderá por:</w:t>
      </w:r>
    </w:p>
    <w:p w14:paraId="153479D2" w14:textId="77777777" w:rsidR="0051603E" w:rsidRDefault="0051603E" w:rsidP="008E5CCD">
      <w:pPr>
        <w:pStyle w:val="Textonotapie"/>
        <w:jc w:val="both"/>
      </w:pPr>
      <w:r>
        <w:t xml:space="preserve"> (…)</w:t>
      </w:r>
    </w:p>
    <w:p w14:paraId="19323B5F" w14:textId="77777777" w:rsidR="0051603E" w:rsidRDefault="0051603E"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F1AE" w14:textId="152ADE49" w:rsidR="00E42F34" w:rsidRDefault="002C1C3C">
    <w:pPr>
      <w:pStyle w:val="Encabezado"/>
    </w:pPr>
    <w:r>
      <w:rPr>
        <w:noProof/>
        <w:lang w:val="es-MX" w:eastAsia="es-MX"/>
      </w:rPr>
      <w:pict w14:anchorId="289E5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72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603E" w:rsidRPr="00EF13C1" w14:paraId="10494D50" w14:textId="77777777" w:rsidTr="00646380">
      <w:trPr>
        <w:trHeight w:val="138"/>
        <w:jc w:val="right"/>
      </w:trPr>
      <w:tc>
        <w:tcPr>
          <w:tcW w:w="2552" w:type="dxa"/>
          <w:vAlign w:val="center"/>
        </w:tcPr>
        <w:p w14:paraId="3D852A65" w14:textId="77777777" w:rsidR="0051603E" w:rsidRPr="00EF13C1" w:rsidRDefault="0051603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7BCD9A74" w:rsidR="0051603E" w:rsidRPr="00353EB6" w:rsidRDefault="0051603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5973</w:t>
          </w:r>
          <w:r w:rsidRPr="00353EB6">
            <w:rPr>
              <w:rFonts w:ascii="Palatino Linotype" w:hAnsi="Palatino Linotype" w:cs="Arial"/>
              <w:b/>
              <w:bCs/>
              <w:sz w:val="22"/>
              <w:szCs w:val="22"/>
              <w:lang w:eastAsia="es-MX"/>
            </w:rPr>
            <w:t>/INFOEM/IP/RR/2020</w:t>
          </w:r>
        </w:p>
      </w:tc>
    </w:tr>
    <w:tr w:rsidR="0051603E" w:rsidRPr="00EF13C1" w14:paraId="4014A24F" w14:textId="77777777" w:rsidTr="00646380">
      <w:trPr>
        <w:trHeight w:val="233"/>
        <w:jc w:val="right"/>
      </w:trPr>
      <w:tc>
        <w:tcPr>
          <w:tcW w:w="2552" w:type="dxa"/>
          <w:vAlign w:val="center"/>
        </w:tcPr>
        <w:p w14:paraId="6727B1B4" w14:textId="77777777" w:rsidR="0051603E" w:rsidRPr="00EF13C1" w:rsidRDefault="0051603E" w:rsidP="00646380">
          <w:pPr>
            <w:rPr>
              <w:rFonts w:ascii="Palatino Linotype" w:hAnsi="Palatino Linotype"/>
              <w:b/>
              <w:sz w:val="22"/>
              <w:szCs w:val="22"/>
            </w:rPr>
          </w:pPr>
        </w:p>
      </w:tc>
      <w:tc>
        <w:tcPr>
          <w:tcW w:w="3826" w:type="dxa"/>
          <w:vAlign w:val="center"/>
        </w:tcPr>
        <w:p w14:paraId="78D936B4" w14:textId="77777777" w:rsidR="0051603E" w:rsidRPr="00EF13C1" w:rsidRDefault="0051603E" w:rsidP="00141DF6">
          <w:pPr>
            <w:pStyle w:val="Encabezado"/>
            <w:jc w:val="center"/>
            <w:rPr>
              <w:rFonts w:ascii="Palatino Linotype" w:hAnsi="Palatino Linotype"/>
              <w:b/>
              <w:sz w:val="22"/>
              <w:szCs w:val="22"/>
            </w:rPr>
          </w:pPr>
        </w:p>
      </w:tc>
    </w:tr>
    <w:tr w:rsidR="0051603E" w:rsidRPr="00EF13C1" w14:paraId="7378927E" w14:textId="77777777" w:rsidTr="00646380">
      <w:trPr>
        <w:trHeight w:val="321"/>
        <w:jc w:val="right"/>
      </w:trPr>
      <w:tc>
        <w:tcPr>
          <w:tcW w:w="2552" w:type="dxa"/>
          <w:vAlign w:val="center"/>
        </w:tcPr>
        <w:p w14:paraId="72A3818B" w14:textId="77777777" w:rsidR="0051603E" w:rsidRPr="00EF13C1" w:rsidRDefault="0051603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084CACF9" w:rsidR="0051603E" w:rsidRPr="00EF13C1" w:rsidRDefault="0051603E" w:rsidP="00B23C9B">
          <w:pPr>
            <w:pStyle w:val="Encabezado"/>
            <w:jc w:val="right"/>
            <w:rPr>
              <w:rFonts w:ascii="Palatino Linotype" w:hAnsi="Palatino Linotype"/>
              <w:b/>
              <w:sz w:val="22"/>
              <w:szCs w:val="22"/>
            </w:rPr>
          </w:pPr>
          <w:r>
            <w:rPr>
              <w:rFonts w:ascii="Palatino Linotype" w:hAnsi="Palatino Linotype" w:cs="Arial"/>
              <w:b/>
              <w:bCs/>
              <w:sz w:val="22"/>
              <w:szCs w:val="22"/>
            </w:rPr>
            <w:t>Ayuntamiento de Naucalpan de Juárez</w:t>
          </w:r>
        </w:p>
      </w:tc>
    </w:tr>
    <w:tr w:rsidR="0051603E" w:rsidRPr="00EF13C1" w14:paraId="62FB9236" w14:textId="77777777" w:rsidTr="00646380">
      <w:trPr>
        <w:trHeight w:val="321"/>
        <w:jc w:val="right"/>
      </w:trPr>
      <w:tc>
        <w:tcPr>
          <w:tcW w:w="2552" w:type="dxa"/>
          <w:vAlign w:val="center"/>
        </w:tcPr>
        <w:p w14:paraId="7398E7B4" w14:textId="77777777" w:rsidR="0051603E" w:rsidRPr="00EF13C1" w:rsidRDefault="0051603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1603E" w:rsidRPr="00EF13C1" w:rsidRDefault="0051603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5DB1747A" w:rsidR="0051603E" w:rsidRDefault="002C1C3C" w:rsidP="00646380">
    <w:pPr>
      <w:pStyle w:val="Encabezado"/>
    </w:pPr>
    <w:r>
      <w:rPr>
        <w:noProof/>
        <w:lang w:val="es-MX" w:eastAsia="es-MX"/>
      </w:rPr>
      <w:pict w14:anchorId="7BCE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724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1603E" w:rsidRPr="00182113" w14:paraId="06135C79" w14:textId="77777777" w:rsidTr="00141DF6">
      <w:trPr>
        <w:trHeight w:val="138"/>
      </w:trPr>
      <w:tc>
        <w:tcPr>
          <w:tcW w:w="2532" w:type="dxa"/>
          <w:vAlign w:val="center"/>
        </w:tcPr>
        <w:p w14:paraId="1CC3EC0C" w14:textId="77777777" w:rsidR="0051603E" w:rsidRPr="00EF13C1" w:rsidRDefault="0051603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6AF04915" w:rsidR="0051603E" w:rsidRPr="00353EB6" w:rsidRDefault="0051603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5973</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51603E" w:rsidRPr="00182113" w:rsidRDefault="0051603E" w:rsidP="00353EB6">
          <w:pPr>
            <w:rPr>
              <w:rFonts w:ascii="Palatino Linotype" w:hAnsi="Palatino Linotype"/>
              <w:b/>
              <w:sz w:val="22"/>
              <w:szCs w:val="22"/>
            </w:rPr>
          </w:pPr>
        </w:p>
      </w:tc>
      <w:tc>
        <w:tcPr>
          <w:tcW w:w="236" w:type="dxa"/>
          <w:vAlign w:val="center"/>
        </w:tcPr>
        <w:p w14:paraId="7ABAD741" w14:textId="77777777" w:rsidR="0051603E" w:rsidRPr="00182113" w:rsidRDefault="0051603E" w:rsidP="00353EB6">
          <w:pPr>
            <w:pStyle w:val="Encabezado"/>
            <w:jc w:val="center"/>
            <w:rPr>
              <w:rFonts w:ascii="Palatino Linotype" w:hAnsi="Palatino Linotype"/>
              <w:b/>
              <w:sz w:val="22"/>
              <w:szCs w:val="22"/>
            </w:rPr>
          </w:pPr>
        </w:p>
      </w:tc>
      <w:tc>
        <w:tcPr>
          <w:tcW w:w="3261" w:type="dxa"/>
          <w:vAlign w:val="center"/>
        </w:tcPr>
        <w:p w14:paraId="6CE0C5DB" w14:textId="77777777" w:rsidR="0051603E" w:rsidRPr="00182113" w:rsidRDefault="0051603E" w:rsidP="00353EB6">
          <w:pPr>
            <w:pStyle w:val="Encabezado"/>
            <w:rPr>
              <w:rFonts w:ascii="Palatino Linotype" w:hAnsi="Palatino Linotype"/>
              <w:b/>
              <w:sz w:val="22"/>
              <w:szCs w:val="22"/>
            </w:rPr>
          </w:pPr>
        </w:p>
      </w:tc>
    </w:tr>
    <w:tr w:rsidR="0051603E" w:rsidRPr="00182113" w14:paraId="1CDC5339" w14:textId="77777777" w:rsidTr="00141DF6">
      <w:trPr>
        <w:trHeight w:val="227"/>
      </w:trPr>
      <w:tc>
        <w:tcPr>
          <w:tcW w:w="2532" w:type="dxa"/>
          <w:vAlign w:val="center"/>
        </w:tcPr>
        <w:p w14:paraId="2FCF2F74" w14:textId="77777777" w:rsidR="0051603E" w:rsidRPr="00EF13C1" w:rsidRDefault="0051603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8632D3A" w:rsidR="0051603E" w:rsidRPr="00765A66" w:rsidRDefault="00765A66" w:rsidP="00B722A5">
          <w:pPr>
            <w:pStyle w:val="Encabezado"/>
            <w:jc w:val="right"/>
            <w:rPr>
              <w:rFonts w:ascii="Palatino Linotype" w:hAnsi="Palatino Linotype"/>
              <w:b/>
              <w:sz w:val="22"/>
              <w:szCs w:val="22"/>
              <w:highlight w:val="black"/>
            </w:rPr>
          </w:pPr>
          <w:r w:rsidRPr="00765A66">
            <w:rPr>
              <w:rFonts w:ascii="Palatino Linotype" w:hAnsi="Palatino Linotype"/>
              <w:b/>
              <w:sz w:val="22"/>
              <w:szCs w:val="22"/>
              <w:highlight w:val="black"/>
            </w:rPr>
            <w:t>--------------------------------------------------------------------------------------------------</w:t>
          </w:r>
        </w:p>
      </w:tc>
      <w:tc>
        <w:tcPr>
          <w:tcW w:w="2532" w:type="dxa"/>
          <w:vAlign w:val="center"/>
        </w:tcPr>
        <w:p w14:paraId="7DAB9A43" w14:textId="77777777" w:rsidR="0051603E" w:rsidRPr="00182113" w:rsidRDefault="0051603E" w:rsidP="00353EB6">
          <w:pPr>
            <w:rPr>
              <w:rFonts w:ascii="Palatino Linotype" w:hAnsi="Palatino Linotype"/>
              <w:b/>
              <w:sz w:val="22"/>
              <w:szCs w:val="22"/>
            </w:rPr>
          </w:pPr>
        </w:p>
      </w:tc>
      <w:tc>
        <w:tcPr>
          <w:tcW w:w="236" w:type="dxa"/>
          <w:vAlign w:val="center"/>
        </w:tcPr>
        <w:p w14:paraId="3B4A0A1B" w14:textId="77777777" w:rsidR="0051603E" w:rsidRPr="00182113" w:rsidRDefault="0051603E" w:rsidP="00353EB6">
          <w:pPr>
            <w:pStyle w:val="Encabezado"/>
            <w:jc w:val="center"/>
            <w:rPr>
              <w:rFonts w:ascii="Palatino Linotype" w:hAnsi="Palatino Linotype"/>
              <w:b/>
              <w:sz w:val="22"/>
              <w:szCs w:val="22"/>
            </w:rPr>
          </w:pPr>
        </w:p>
      </w:tc>
      <w:tc>
        <w:tcPr>
          <w:tcW w:w="3261" w:type="dxa"/>
          <w:vAlign w:val="center"/>
        </w:tcPr>
        <w:p w14:paraId="22727AC3" w14:textId="77777777" w:rsidR="0051603E" w:rsidRPr="00182113" w:rsidRDefault="0051603E" w:rsidP="00353EB6">
          <w:pPr>
            <w:pStyle w:val="Encabezado"/>
            <w:rPr>
              <w:rFonts w:ascii="Palatino Linotype" w:hAnsi="Palatino Linotype"/>
              <w:b/>
              <w:sz w:val="22"/>
              <w:szCs w:val="22"/>
            </w:rPr>
          </w:pPr>
        </w:p>
      </w:tc>
    </w:tr>
    <w:tr w:rsidR="0051603E" w:rsidRPr="00182113" w14:paraId="7FA9593F" w14:textId="77777777" w:rsidTr="00141DF6">
      <w:trPr>
        <w:trHeight w:val="232"/>
      </w:trPr>
      <w:tc>
        <w:tcPr>
          <w:tcW w:w="2532" w:type="dxa"/>
          <w:vAlign w:val="center"/>
        </w:tcPr>
        <w:p w14:paraId="4B717704" w14:textId="77777777" w:rsidR="0051603E" w:rsidRPr="00EF13C1" w:rsidRDefault="0051603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21162816" w:rsidR="0051603E" w:rsidRPr="00EF13C1" w:rsidRDefault="0051603E" w:rsidP="00B722A5">
          <w:pPr>
            <w:pStyle w:val="Encabezado"/>
            <w:jc w:val="right"/>
            <w:rPr>
              <w:rFonts w:ascii="Palatino Linotype" w:hAnsi="Palatino Linotype"/>
              <w:b/>
              <w:sz w:val="22"/>
              <w:szCs w:val="22"/>
            </w:rPr>
          </w:pPr>
          <w:r>
            <w:rPr>
              <w:rFonts w:ascii="Palatino Linotype" w:hAnsi="Palatino Linotype" w:cs="Arial"/>
              <w:b/>
              <w:bCs/>
              <w:sz w:val="22"/>
              <w:szCs w:val="22"/>
            </w:rPr>
            <w:t>Ayuntamiento de Naucalpan de Juárez</w:t>
          </w:r>
        </w:p>
      </w:tc>
      <w:tc>
        <w:tcPr>
          <w:tcW w:w="2532" w:type="dxa"/>
          <w:vAlign w:val="center"/>
        </w:tcPr>
        <w:p w14:paraId="381823C1" w14:textId="77777777" w:rsidR="0051603E" w:rsidRPr="00182113" w:rsidRDefault="0051603E" w:rsidP="00353EB6">
          <w:pPr>
            <w:rPr>
              <w:rFonts w:ascii="Palatino Linotype" w:hAnsi="Palatino Linotype"/>
              <w:b/>
              <w:sz w:val="22"/>
              <w:szCs w:val="22"/>
            </w:rPr>
          </w:pPr>
        </w:p>
      </w:tc>
      <w:tc>
        <w:tcPr>
          <w:tcW w:w="236" w:type="dxa"/>
          <w:vAlign w:val="center"/>
        </w:tcPr>
        <w:p w14:paraId="11207DC8" w14:textId="77777777" w:rsidR="0051603E" w:rsidRPr="00182113" w:rsidRDefault="0051603E" w:rsidP="00353EB6">
          <w:pPr>
            <w:pStyle w:val="Encabezado"/>
            <w:jc w:val="center"/>
            <w:rPr>
              <w:rFonts w:ascii="Palatino Linotype" w:hAnsi="Palatino Linotype"/>
              <w:b/>
              <w:sz w:val="22"/>
              <w:szCs w:val="22"/>
            </w:rPr>
          </w:pPr>
        </w:p>
      </w:tc>
      <w:tc>
        <w:tcPr>
          <w:tcW w:w="3261" w:type="dxa"/>
          <w:vAlign w:val="center"/>
        </w:tcPr>
        <w:p w14:paraId="26860CE4" w14:textId="77777777" w:rsidR="0051603E" w:rsidRPr="00182113" w:rsidRDefault="0051603E" w:rsidP="00353EB6">
          <w:pPr>
            <w:pStyle w:val="Encabezado"/>
            <w:rPr>
              <w:rFonts w:ascii="Palatino Linotype" w:hAnsi="Palatino Linotype"/>
              <w:b/>
              <w:sz w:val="22"/>
              <w:szCs w:val="22"/>
            </w:rPr>
          </w:pPr>
        </w:p>
      </w:tc>
    </w:tr>
    <w:tr w:rsidR="0051603E" w:rsidRPr="00182113" w14:paraId="08E6C4CF" w14:textId="77777777" w:rsidTr="00141DF6">
      <w:trPr>
        <w:trHeight w:val="320"/>
      </w:trPr>
      <w:tc>
        <w:tcPr>
          <w:tcW w:w="2532" w:type="dxa"/>
          <w:vAlign w:val="center"/>
        </w:tcPr>
        <w:p w14:paraId="1ED1BE99" w14:textId="77777777" w:rsidR="0051603E" w:rsidRPr="00EF13C1" w:rsidRDefault="0051603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1603E" w:rsidRPr="00EF13C1" w:rsidRDefault="0051603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1603E" w:rsidRPr="00182113" w:rsidRDefault="0051603E" w:rsidP="00353EB6">
          <w:pPr>
            <w:rPr>
              <w:rFonts w:ascii="Palatino Linotype" w:hAnsi="Palatino Linotype"/>
              <w:b/>
              <w:sz w:val="22"/>
              <w:szCs w:val="22"/>
            </w:rPr>
          </w:pPr>
        </w:p>
      </w:tc>
      <w:tc>
        <w:tcPr>
          <w:tcW w:w="236" w:type="dxa"/>
          <w:vAlign w:val="center"/>
        </w:tcPr>
        <w:p w14:paraId="507427D0" w14:textId="77777777" w:rsidR="0051603E" w:rsidRPr="00182113" w:rsidRDefault="0051603E" w:rsidP="00353EB6">
          <w:pPr>
            <w:pStyle w:val="Encabezado"/>
            <w:jc w:val="center"/>
            <w:rPr>
              <w:rFonts w:ascii="Palatino Linotype" w:hAnsi="Palatino Linotype"/>
              <w:b/>
              <w:sz w:val="22"/>
              <w:szCs w:val="22"/>
            </w:rPr>
          </w:pPr>
        </w:p>
      </w:tc>
      <w:tc>
        <w:tcPr>
          <w:tcW w:w="3261" w:type="dxa"/>
          <w:vAlign w:val="center"/>
        </w:tcPr>
        <w:p w14:paraId="13283786" w14:textId="77777777" w:rsidR="0051603E" w:rsidRPr="00182113" w:rsidRDefault="0051603E" w:rsidP="00353EB6">
          <w:pPr>
            <w:pStyle w:val="Encabezado"/>
            <w:rPr>
              <w:rFonts w:ascii="Palatino Linotype" w:hAnsi="Palatino Linotype"/>
              <w:b/>
              <w:sz w:val="22"/>
              <w:szCs w:val="22"/>
            </w:rPr>
          </w:pPr>
        </w:p>
      </w:tc>
    </w:tr>
  </w:tbl>
  <w:p w14:paraId="1818E45C" w14:textId="2E59196C" w:rsidR="0051603E" w:rsidRDefault="002C1C3C">
    <w:pPr>
      <w:pStyle w:val="Encabezado"/>
    </w:pPr>
    <w:r>
      <w:rPr>
        <w:noProof/>
        <w:lang w:val="es-MX" w:eastAsia="es-MX"/>
      </w:rPr>
      <w:pict w14:anchorId="2B31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724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BCDA81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3644FC"/>
    <w:multiLevelType w:val="hybridMultilevel"/>
    <w:tmpl w:val="5CF81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12983"/>
    <w:multiLevelType w:val="hybridMultilevel"/>
    <w:tmpl w:val="DAB4C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0417A4"/>
    <w:multiLevelType w:val="hybridMultilevel"/>
    <w:tmpl w:val="61AEC788"/>
    <w:lvl w:ilvl="0" w:tplc="222A2D98">
      <w:start w:val="3"/>
      <w:numFmt w:val="upperRoman"/>
      <w:lvlText w:val="%1."/>
      <w:lvlJc w:val="left"/>
      <w:pPr>
        <w:ind w:left="1080" w:hanging="720"/>
      </w:pPr>
      <w:rPr>
        <w:rFonts w:ascii="Palatino Linotype" w:hAnsi="Palatino Linotype"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1E3667"/>
    <w:multiLevelType w:val="hybridMultilevel"/>
    <w:tmpl w:val="8A681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152896"/>
    <w:multiLevelType w:val="hybridMultilevel"/>
    <w:tmpl w:val="DAE4F27A"/>
    <w:lvl w:ilvl="0" w:tplc="F81A903C">
      <w:start w:val="3"/>
      <w:numFmt w:val="decimal"/>
      <w:lvlText w:val="%1."/>
      <w:lvlJc w:val="left"/>
      <w:pPr>
        <w:ind w:left="720" w:hanging="360"/>
      </w:pPr>
      <w:rPr>
        <w:rFonts w:eastAsia="Times New Roman" w:hint="default"/>
        <w:b/>
        <w:sz w:val="24"/>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2"/>
  </w:num>
  <w:num w:numId="5">
    <w:abstractNumId w:val="11"/>
  </w:num>
  <w:num w:numId="6">
    <w:abstractNumId w:val="9"/>
  </w:num>
  <w:num w:numId="7">
    <w:abstractNumId w:val="14"/>
  </w:num>
  <w:num w:numId="8">
    <w:abstractNumId w:val="21"/>
  </w:num>
  <w:num w:numId="9">
    <w:abstractNumId w:val="7"/>
  </w:num>
  <w:num w:numId="10">
    <w:abstractNumId w:val="3"/>
  </w:num>
  <w:num w:numId="11">
    <w:abstractNumId w:val="8"/>
  </w:num>
  <w:num w:numId="12">
    <w:abstractNumId w:val="16"/>
  </w:num>
  <w:num w:numId="13">
    <w:abstractNumId w:val="4"/>
  </w:num>
  <w:num w:numId="14">
    <w:abstractNumId w:val="20"/>
  </w:num>
  <w:num w:numId="15">
    <w:abstractNumId w:val="17"/>
  </w:num>
  <w:num w:numId="16">
    <w:abstractNumId w:val="15"/>
  </w:num>
  <w:num w:numId="17">
    <w:abstractNumId w:val="10"/>
  </w:num>
  <w:num w:numId="18">
    <w:abstractNumId w:val="0"/>
  </w:num>
  <w:num w:numId="19">
    <w:abstractNumId w:val="18"/>
  </w:num>
  <w:num w:numId="20">
    <w:abstractNumId w:val="19"/>
  </w:num>
  <w:num w:numId="21">
    <w:abstractNumId w:val="5"/>
  </w:num>
  <w:num w:numId="22">
    <w:abstractNumId w:val="13"/>
  </w:num>
  <w:num w:numId="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C1"/>
    <w:rsid w:val="000004DF"/>
    <w:rsid w:val="0000141B"/>
    <w:rsid w:val="0000281F"/>
    <w:rsid w:val="00005E5B"/>
    <w:rsid w:val="0000765F"/>
    <w:rsid w:val="0001045F"/>
    <w:rsid w:val="00011298"/>
    <w:rsid w:val="0001252F"/>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13C"/>
    <w:rsid w:val="00045D8E"/>
    <w:rsid w:val="000463AC"/>
    <w:rsid w:val="000471A3"/>
    <w:rsid w:val="000536B3"/>
    <w:rsid w:val="000550E9"/>
    <w:rsid w:val="00055AB7"/>
    <w:rsid w:val="00055C0B"/>
    <w:rsid w:val="00057046"/>
    <w:rsid w:val="00057A9A"/>
    <w:rsid w:val="00061623"/>
    <w:rsid w:val="00061B8C"/>
    <w:rsid w:val="00066351"/>
    <w:rsid w:val="000663DD"/>
    <w:rsid w:val="0007491E"/>
    <w:rsid w:val="00075979"/>
    <w:rsid w:val="00075A4C"/>
    <w:rsid w:val="0007785A"/>
    <w:rsid w:val="00083463"/>
    <w:rsid w:val="00091880"/>
    <w:rsid w:val="000925BB"/>
    <w:rsid w:val="00092AD8"/>
    <w:rsid w:val="00092AE6"/>
    <w:rsid w:val="00092CD4"/>
    <w:rsid w:val="00094259"/>
    <w:rsid w:val="00096AFD"/>
    <w:rsid w:val="000A025B"/>
    <w:rsid w:val="000A203F"/>
    <w:rsid w:val="000A2541"/>
    <w:rsid w:val="000A46A2"/>
    <w:rsid w:val="000A79E0"/>
    <w:rsid w:val="000B0650"/>
    <w:rsid w:val="000B3BC1"/>
    <w:rsid w:val="000C37A1"/>
    <w:rsid w:val="000C524E"/>
    <w:rsid w:val="000C6085"/>
    <w:rsid w:val="000D1D78"/>
    <w:rsid w:val="000D3C75"/>
    <w:rsid w:val="000D4A3B"/>
    <w:rsid w:val="000D4FCC"/>
    <w:rsid w:val="000D62D7"/>
    <w:rsid w:val="000E03A9"/>
    <w:rsid w:val="000E04B9"/>
    <w:rsid w:val="000E053C"/>
    <w:rsid w:val="000E05F8"/>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254FE"/>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6F66"/>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3140"/>
    <w:rsid w:val="001A4BC9"/>
    <w:rsid w:val="001A556A"/>
    <w:rsid w:val="001A7D74"/>
    <w:rsid w:val="001B0E38"/>
    <w:rsid w:val="001B0FB6"/>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592A"/>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569D"/>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478B6"/>
    <w:rsid w:val="00250AC1"/>
    <w:rsid w:val="0025272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0D89"/>
    <w:rsid w:val="0028392D"/>
    <w:rsid w:val="0028469E"/>
    <w:rsid w:val="00286C61"/>
    <w:rsid w:val="00293B9F"/>
    <w:rsid w:val="00294EEE"/>
    <w:rsid w:val="00295155"/>
    <w:rsid w:val="00296E48"/>
    <w:rsid w:val="00296EF2"/>
    <w:rsid w:val="002A0419"/>
    <w:rsid w:val="002A306D"/>
    <w:rsid w:val="002A3EC2"/>
    <w:rsid w:val="002A4249"/>
    <w:rsid w:val="002A5BA4"/>
    <w:rsid w:val="002B0356"/>
    <w:rsid w:val="002B0D7A"/>
    <w:rsid w:val="002B430C"/>
    <w:rsid w:val="002B4D94"/>
    <w:rsid w:val="002C2F1A"/>
    <w:rsid w:val="002C32FE"/>
    <w:rsid w:val="002C4FEC"/>
    <w:rsid w:val="002C51AA"/>
    <w:rsid w:val="002C5D51"/>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779"/>
    <w:rsid w:val="00311921"/>
    <w:rsid w:val="0031414E"/>
    <w:rsid w:val="003169CA"/>
    <w:rsid w:val="00316A85"/>
    <w:rsid w:val="00316E45"/>
    <w:rsid w:val="00322592"/>
    <w:rsid w:val="00323479"/>
    <w:rsid w:val="003236DE"/>
    <w:rsid w:val="00324304"/>
    <w:rsid w:val="003243D0"/>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4209"/>
    <w:rsid w:val="00356275"/>
    <w:rsid w:val="00356876"/>
    <w:rsid w:val="00357218"/>
    <w:rsid w:val="00360C39"/>
    <w:rsid w:val="0036237D"/>
    <w:rsid w:val="003663F5"/>
    <w:rsid w:val="00366760"/>
    <w:rsid w:val="00366954"/>
    <w:rsid w:val="0036737F"/>
    <w:rsid w:val="0036741F"/>
    <w:rsid w:val="00371EA9"/>
    <w:rsid w:val="00373F0F"/>
    <w:rsid w:val="0037541C"/>
    <w:rsid w:val="003762DC"/>
    <w:rsid w:val="0038111F"/>
    <w:rsid w:val="00381768"/>
    <w:rsid w:val="00382C85"/>
    <w:rsid w:val="003849DE"/>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F369B"/>
    <w:rsid w:val="003F4747"/>
    <w:rsid w:val="003F62B5"/>
    <w:rsid w:val="003F688E"/>
    <w:rsid w:val="003F7AE2"/>
    <w:rsid w:val="003F7E47"/>
    <w:rsid w:val="00400CBE"/>
    <w:rsid w:val="00402891"/>
    <w:rsid w:val="00405905"/>
    <w:rsid w:val="00405F39"/>
    <w:rsid w:val="00407CFE"/>
    <w:rsid w:val="00407EA4"/>
    <w:rsid w:val="00411F01"/>
    <w:rsid w:val="00413FE7"/>
    <w:rsid w:val="0041566F"/>
    <w:rsid w:val="00415864"/>
    <w:rsid w:val="00417AE3"/>
    <w:rsid w:val="00420A1F"/>
    <w:rsid w:val="004246CF"/>
    <w:rsid w:val="00424970"/>
    <w:rsid w:val="0042507D"/>
    <w:rsid w:val="0042550D"/>
    <w:rsid w:val="0042724E"/>
    <w:rsid w:val="004311BF"/>
    <w:rsid w:val="0043239A"/>
    <w:rsid w:val="00433978"/>
    <w:rsid w:val="0043492B"/>
    <w:rsid w:val="0043709E"/>
    <w:rsid w:val="00437EC7"/>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241D"/>
    <w:rsid w:val="004B3FCA"/>
    <w:rsid w:val="004B40AF"/>
    <w:rsid w:val="004B5E61"/>
    <w:rsid w:val="004C6DD1"/>
    <w:rsid w:val="004C775C"/>
    <w:rsid w:val="004D33F9"/>
    <w:rsid w:val="004D60FB"/>
    <w:rsid w:val="004D6254"/>
    <w:rsid w:val="004D6310"/>
    <w:rsid w:val="004D65D4"/>
    <w:rsid w:val="004E090D"/>
    <w:rsid w:val="004E1E1B"/>
    <w:rsid w:val="004E202B"/>
    <w:rsid w:val="004E2942"/>
    <w:rsid w:val="004E2E97"/>
    <w:rsid w:val="004E30FA"/>
    <w:rsid w:val="004E31A2"/>
    <w:rsid w:val="004E35D8"/>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1603E"/>
    <w:rsid w:val="0051731E"/>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003B"/>
    <w:rsid w:val="00541AC9"/>
    <w:rsid w:val="00543B5B"/>
    <w:rsid w:val="005455BC"/>
    <w:rsid w:val="00546D26"/>
    <w:rsid w:val="005472AB"/>
    <w:rsid w:val="00547B35"/>
    <w:rsid w:val="00550CB1"/>
    <w:rsid w:val="00550DA9"/>
    <w:rsid w:val="0055170E"/>
    <w:rsid w:val="005521C0"/>
    <w:rsid w:val="005540A0"/>
    <w:rsid w:val="00554DF4"/>
    <w:rsid w:val="005552BF"/>
    <w:rsid w:val="0055717D"/>
    <w:rsid w:val="0056331C"/>
    <w:rsid w:val="00564FE5"/>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651"/>
    <w:rsid w:val="005D4B68"/>
    <w:rsid w:val="005D6019"/>
    <w:rsid w:val="005D60D8"/>
    <w:rsid w:val="005D6673"/>
    <w:rsid w:val="005D74E1"/>
    <w:rsid w:val="005D775D"/>
    <w:rsid w:val="005E06DC"/>
    <w:rsid w:val="005E10C3"/>
    <w:rsid w:val="005E1D42"/>
    <w:rsid w:val="005E22B0"/>
    <w:rsid w:val="005E2E2B"/>
    <w:rsid w:val="005E3616"/>
    <w:rsid w:val="005E51B0"/>
    <w:rsid w:val="005E6C51"/>
    <w:rsid w:val="005E6EC8"/>
    <w:rsid w:val="005E7397"/>
    <w:rsid w:val="005F39DF"/>
    <w:rsid w:val="005F4804"/>
    <w:rsid w:val="005F53F8"/>
    <w:rsid w:val="005F5E08"/>
    <w:rsid w:val="005F6D7D"/>
    <w:rsid w:val="00602483"/>
    <w:rsid w:val="006027FD"/>
    <w:rsid w:val="00604915"/>
    <w:rsid w:val="00605332"/>
    <w:rsid w:val="0060769D"/>
    <w:rsid w:val="0061346B"/>
    <w:rsid w:val="00616EC9"/>
    <w:rsid w:val="00617E6C"/>
    <w:rsid w:val="00617EB5"/>
    <w:rsid w:val="00621D34"/>
    <w:rsid w:val="00622710"/>
    <w:rsid w:val="00622BFB"/>
    <w:rsid w:val="006240BC"/>
    <w:rsid w:val="0062596E"/>
    <w:rsid w:val="0062698E"/>
    <w:rsid w:val="0062799B"/>
    <w:rsid w:val="00630DD2"/>
    <w:rsid w:val="00632219"/>
    <w:rsid w:val="006339F3"/>
    <w:rsid w:val="00640FFB"/>
    <w:rsid w:val="00641124"/>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66F73"/>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2E51"/>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4484"/>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4A5"/>
    <w:rsid w:val="00731E6E"/>
    <w:rsid w:val="007338EF"/>
    <w:rsid w:val="007401AD"/>
    <w:rsid w:val="00740D89"/>
    <w:rsid w:val="00742A5F"/>
    <w:rsid w:val="00742C51"/>
    <w:rsid w:val="007438EE"/>
    <w:rsid w:val="00745072"/>
    <w:rsid w:val="00746061"/>
    <w:rsid w:val="00746CAC"/>
    <w:rsid w:val="007473A6"/>
    <w:rsid w:val="00747BD2"/>
    <w:rsid w:val="00753117"/>
    <w:rsid w:val="00755CC3"/>
    <w:rsid w:val="00756991"/>
    <w:rsid w:val="00756E1A"/>
    <w:rsid w:val="00757201"/>
    <w:rsid w:val="00757EFE"/>
    <w:rsid w:val="0076044B"/>
    <w:rsid w:val="007604AA"/>
    <w:rsid w:val="00765A66"/>
    <w:rsid w:val="00766EB6"/>
    <w:rsid w:val="007740EB"/>
    <w:rsid w:val="007763D4"/>
    <w:rsid w:val="00781636"/>
    <w:rsid w:val="00782D1B"/>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10D"/>
    <w:rsid w:val="007E644F"/>
    <w:rsid w:val="007E6DCF"/>
    <w:rsid w:val="007E775D"/>
    <w:rsid w:val="007F0AB3"/>
    <w:rsid w:val="007F0DC2"/>
    <w:rsid w:val="007F175E"/>
    <w:rsid w:val="007F213F"/>
    <w:rsid w:val="007F27B2"/>
    <w:rsid w:val="007F2BBA"/>
    <w:rsid w:val="007F5923"/>
    <w:rsid w:val="007F5B1F"/>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131"/>
    <w:rsid w:val="00816BA0"/>
    <w:rsid w:val="00820CD3"/>
    <w:rsid w:val="00821599"/>
    <w:rsid w:val="00824B47"/>
    <w:rsid w:val="0082505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4DD8"/>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54"/>
    <w:rsid w:val="008D42C3"/>
    <w:rsid w:val="008D59C7"/>
    <w:rsid w:val="008D5FE3"/>
    <w:rsid w:val="008D6200"/>
    <w:rsid w:val="008D6D8F"/>
    <w:rsid w:val="008D75F0"/>
    <w:rsid w:val="008E5C56"/>
    <w:rsid w:val="008E5CCD"/>
    <w:rsid w:val="008E6106"/>
    <w:rsid w:val="008E78E7"/>
    <w:rsid w:val="008F03ED"/>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5157"/>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09E2"/>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1C9B"/>
    <w:rsid w:val="00A72088"/>
    <w:rsid w:val="00A720E7"/>
    <w:rsid w:val="00A732CD"/>
    <w:rsid w:val="00A754CF"/>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A31"/>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126"/>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01B6"/>
    <w:rsid w:val="00B605E9"/>
    <w:rsid w:val="00B61ED9"/>
    <w:rsid w:val="00B62C0A"/>
    <w:rsid w:val="00B62D3A"/>
    <w:rsid w:val="00B62DE1"/>
    <w:rsid w:val="00B64D15"/>
    <w:rsid w:val="00B65F93"/>
    <w:rsid w:val="00B67C07"/>
    <w:rsid w:val="00B722A5"/>
    <w:rsid w:val="00B723EB"/>
    <w:rsid w:val="00B7434F"/>
    <w:rsid w:val="00B74A03"/>
    <w:rsid w:val="00B77CBA"/>
    <w:rsid w:val="00B81762"/>
    <w:rsid w:val="00B82B69"/>
    <w:rsid w:val="00B85656"/>
    <w:rsid w:val="00B91C15"/>
    <w:rsid w:val="00B91D5C"/>
    <w:rsid w:val="00B9311E"/>
    <w:rsid w:val="00B9559D"/>
    <w:rsid w:val="00B95C98"/>
    <w:rsid w:val="00B962E1"/>
    <w:rsid w:val="00B97061"/>
    <w:rsid w:val="00B97C44"/>
    <w:rsid w:val="00BA0A96"/>
    <w:rsid w:val="00BA1118"/>
    <w:rsid w:val="00BA1600"/>
    <w:rsid w:val="00BA16B2"/>
    <w:rsid w:val="00BA2730"/>
    <w:rsid w:val="00BA76D6"/>
    <w:rsid w:val="00BB1CDB"/>
    <w:rsid w:val="00BB3360"/>
    <w:rsid w:val="00BB3486"/>
    <w:rsid w:val="00BB383B"/>
    <w:rsid w:val="00BB4217"/>
    <w:rsid w:val="00BB577C"/>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12D"/>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24D0E"/>
    <w:rsid w:val="00C30037"/>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2C5"/>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593"/>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35AC"/>
    <w:rsid w:val="00CE58D0"/>
    <w:rsid w:val="00CE5D17"/>
    <w:rsid w:val="00CE60E2"/>
    <w:rsid w:val="00CF1B65"/>
    <w:rsid w:val="00CF2A07"/>
    <w:rsid w:val="00CF3D1E"/>
    <w:rsid w:val="00CF71EA"/>
    <w:rsid w:val="00CF79AF"/>
    <w:rsid w:val="00D00F3E"/>
    <w:rsid w:val="00D01008"/>
    <w:rsid w:val="00D02A45"/>
    <w:rsid w:val="00D047AC"/>
    <w:rsid w:val="00D077FB"/>
    <w:rsid w:val="00D10EA2"/>
    <w:rsid w:val="00D11B0B"/>
    <w:rsid w:val="00D11E1D"/>
    <w:rsid w:val="00D12EE8"/>
    <w:rsid w:val="00D14D0F"/>
    <w:rsid w:val="00D15292"/>
    <w:rsid w:val="00D16D22"/>
    <w:rsid w:val="00D17D9B"/>
    <w:rsid w:val="00D238D7"/>
    <w:rsid w:val="00D27B0C"/>
    <w:rsid w:val="00D31C70"/>
    <w:rsid w:val="00D343BD"/>
    <w:rsid w:val="00D345F4"/>
    <w:rsid w:val="00D35DE2"/>
    <w:rsid w:val="00D4135C"/>
    <w:rsid w:val="00D41B28"/>
    <w:rsid w:val="00D41D69"/>
    <w:rsid w:val="00D42221"/>
    <w:rsid w:val="00D51107"/>
    <w:rsid w:val="00D57B16"/>
    <w:rsid w:val="00D57D6E"/>
    <w:rsid w:val="00D60131"/>
    <w:rsid w:val="00D6467C"/>
    <w:rsid w:val="00D70F0F"/>
    <w:rsid w:val="00D71E4B"/>
    <w:rsid w:val="00D72D62"/>
    <w:rsid w:val="00D75159"/>
    <w:rsid w:val="00D7583A"/>
    <w:rsid w:val="00D765E3"/>
    <w:rsid w:val="00D76639"/>
    <w:rsid w:val="00D76CEA"/>
    <w:rsid w:val="00D777C0"/>
    <w:rsid w:val="00D81D71"/>
    <w:rsid w:val="00D81D88"/>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1271"/>
    <w:rsid w:val="00DB255D"/>
    <w:rsid w:val="00DB2EC6"/>
    <w:rsid w:val="00DB3637"/>
    <w:rsid w:val="00DB5579"/>
    <w:rsid w:val="00DB60B7"/>
    <w:rsid w:val="00DB62DB"/>
    <w:rsid w:val="00DB779D"/>
    <w:rsid w:val="00DC18BA"/>
    <w:rsid w:val="00DC221E"/>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B88"/>
    <w:rsid w:val="00E00CCE"/>
    <w:rsid w:val="00E02044"/>
    <w:rsid w:val="00E02853"/>
    <w:rsid w:val="00E05DF7"/>
    <w:rsid w:val="00E07338"/>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5370"/>
    <w:rsid w:val="00E37012"/>
    <w:rsid w:val="00E40062"/>
    <w:rsid w:val="00E408BE"/>
    <w:rsid w:val="00E40EC3"/>
    <w:rsid w:val="00E42F34"/>
    <w:rsid w:val="00E435A3"/>
    <w:rsid w:val="00E446ED"/>
    <w:rsid w:val="00E50BC6"/>
    <w:rsid w:val="00E50C09"/>
    <w:rsid w:val="00E51B98"/>
    <w:rsid w:val="00E51FD2"/>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5155"/>
    <w:rsid w:val="00ED0266"/>
    <w:rsid w:val="00ED0FD7"/>
    <w:rsid w:val="00ED2E65"/>
    <w:rsid w:val="00ED430A"/>
    <w:rsid w:val="00ED5E14"/>
    <w:rsid w:val="00ED6F3B"/>
    <w:rsid w:val="00ED6F71"/>
    <w:rsid w:val="00ED70A8"/>
    <w:rsid w:val="00EE1693"/>
    <w:rsid w:val="00EE177E"/>
    <w:rsid w:val="00EE4C41"/>
    <w:rsid w:val="00EE6CF0"/>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131F"/>
    <w:rsid w:val="00F1203C"/>
    <w:rsid w:val="00F12E4A"/>
    <w:rsid w:val="00F13F8A"/>
    <w:rsid w:val="00F1459F"/>
    <w:rsid w:val="00F151C9"/>
    <w:rsid w:val="00F15D54"/>
    <w:rsid w:val="00F200F2"/>
    <w:rsid w:val="00F2070E"/>
    <w:rsid w:val="00F20D88"/>
    <w:rsid w:val="00F21C23"/>
    <w:rsid w:val="00F22076"/>
    <w:rsid w:val="00F31162"/>
    <w:rsid w:val="00F32B25"/>
    <w:rsid w:val="00F33A40"/>
    <w:rsid w:val="00F34E81"/>
    <w:rsid w:val="00F363D1"/>
    <w:rsid w:val="00F40A46"/>
    <w:rsid w:val="00F416A5"/>
    <w:rsid w:val="00F4517B"/>
    <w:rsid w:val="00F47CD4"/>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8A3"/>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0203241">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953293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29180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918026">
      <w:bodyDiv w:val="1"/>
      <w:marLeft w:val="0"/>
      <w:marRight w:val="0"/>
      <w:marTop w:val="0"/>
      <w:marBottom w:val="0"/>
      <w:divBdr>
        <w:top w:val="none" w:sz="0" w:space="0" w:color="auto"/>
        <w:left w:val="none" w:sz="0" w:space="0" w:color="auto"/>
        <w:bottom w:val="none" w:sz="0" w:space="0" w:color="auto"/>
        <w:right w:val="none" w:sz="0" w:space="0" w:color="auto"/>
      </w:divBdr>
      <w:divsChild>
        <w:div w:id="415833694">
          <w:marLeft w:val="0"/>
          <w:marRight w:val="0"/>
          <w:marTop w:val="0"/>
          <w:marBottom w:val="101"/>
          <w:divBdr>
            <w:top w:val="none" w:sz="0" w:space="0" w:color="auto"/>
            <w:left w:val="none" w:sz="0" w:space="0" w:color="auto"/>
            <w:bottom w:val="none" w:sz="0" w:space="0" w:color="auto"/>
            <w:right w:val="none" w:sz="0" w:space="0" w:color="auto"/>
          </w:divBdr>
        </w:div>
        <w:div w:id="43869634">
          <w:marLeft w:val="1701"/>
          <w:marRight w:val="899"/>
          <w:marTop w:val="0"/>
          <w:marBottom w:val="101"/>
          <w:divBdr>
            <w:top w:val="none" w:sz="0" w:space="0" w:color="auto"/>
            <w:left w:val="none" w:sz="0" w:space="0" w:color="auto"/>
            <w:bottom w:val="none" w:sz="0" w:space="0" w:color="auto"/>
            <w:right w:val="none" w:sz="0" w:space="0" w:color="auto"/>
          </w:divBdr>
        </w:div>
        <w:div w:id="1777603875">
          <w:marLeft w:val="1701"/>
          <w:marRight w:val="899"/>
          <w:marTop w:val="0"/>
          <w:marBottom w:val="101"/>
          <w:divBdr>
            <w:top w:val="none" w:sz="0" w:space="0" w:color="auto"/>
            <w:left w:val="none" w:sz="0" w:space="0" w:color="auto"/>
            <w:bottom w:val="none" w:sz="0" w:space="0" w:color="auto"/>
            <w:right w:val="none" w:sz="0" w:space="0" w:color="auto"/>
          </w:divBdr>
        </w:div>
        <w:div w:id="2035185308">
          <w:marLeft w:val="1701"/>
          <w:marRight w:val="899"/>
          <w:marTop w:val="0"/>
          <w:marBottom w:val="101"/>
          <w:divBdr>
            <w:top w:val="none" w:sz="0" w:space="0" w:color="auto"/>
            <w:left w:val="none" w:sz="0" w:space="0" w:color="auto"/>
            <w:bottom w:val="none" w:sz="0" w:space="0" w:color="auto"/>
            <w:right w:val="none" w:sz="0" w:space="0" w:color="auto"/>
          </w:divBdr>
        </w:div>
        <w:div w:id="1791976094">
          <w:marLeft w:val="1701"/>
          <w:marRight w:val="899"/>
          <w:marTop w:val="0"/>
          <w:marBottom w:val="101"/>
          <w:divBdr>
            <w:top w:val="none" w:sz="0" w:space="0" w:color="auto"/>
            <w:left w:val="none" w:sz="0" w:space="0" w:color="auto"/>
            <w:bottom w:val="none" w:sz="0" w:space="0" w:color="auto"/>
            <w:right w:val="none" w:sz="0" w:space="0" w:color="auto"/>
          </w:divBdr>
        </w:div>
        <w:div w:id="2110927674">
          <w:marLeft w:val="1701"/>
          <w:marRight w:val="899"/>
          <w:marTop w:val="0"/>
          <w:marBottom w:val="101"/>
          <w:divBdr>
            <w:top w:val="none" w:sz="0" w:space="0" w:color="auto"/>
            <w:left w:val="none" w:sz="0" w:space="0" w:color="auto"/>
            <w:bottom w:val="none" w:sz="0" w:space="0" w:color="auto"/>
            <w:right w:val="none" w:sz="0" w:space="0" w:color="auto"/>
          </w:divBdr>
        </w:div>
        <w:div w:id="1133408858">
          <w:marLeft w:val="567"/>
          <w:marRight w:val="899"/>
          <w:marTop w:val="0"/>
          <w:marBottom w:val="101"/>
          <w:divBdr>
            <w:top w:val="none" w:sz="0" w:space="0" w:color="auto"/>
            <w:left w:val="none" w:sz="0" w:space="0" w:color="auto"/>
            <w:bottom w:val="none" w:sz="0" w:space="0" w:color="auto"/>
            <w:right w:val="none" w:sz="0" w:space="0" w:color="auto"/>
          </w:divBdr>
        </w:div>
        <w:div w:id="127474988">
          <w:marLeft w:val="1701"/>
          <w:marRight w:val="899"/>
          <w:marTop w:val="0"/>
          <w:marBottom w:val="101"/>
          <w:divBdr>
            <w:top w:val="none" w:sz="0" w:space="0" w:color="auto"/>
            <w:left w:val="none" w:sz="0" w:space="0" w:color="auto"/>
            <w:bottom w:val="none" w:sz="0" w:space="0" w:color="auto"/>
            <w:right w:val="none" w:sz="0" w:space="0" w:color="auto"/>
          </w:divBdr>
        </w:div>
        <w:div w:id="616569935">
          <w:marLeft w:val="1701"/>
          <w:marRight w:val="899"/>
          <w:marTop w:val="0"/>
          <w:marBottom w:val="101"/>
          <w:divBdr>
            <w:top w:val="none" w:sz="0" w:space="0" w:color="auto"/>
            <w:left w:val="none" w:sz="0" w:space="0" w:color="auto"/>
            <w:bottom w:val="none" w:sz="0" w:space="0" w:color="auto"/>
            <w:right w:val="none" w:sz="0" w:space="0" w:color="auto"/>
          </w:divBdr>
        </w:div>
        <w:div w:id="92677775">
          <w:marLeft w:val="567"/>
          <w:marRight w:val="899"/>
          <w:marTop w:val="0"/>
          <w:marBottom w:val="101"/>
          <w:divBdr>
            <w:top w:val="none" w:sz="0" w:space="0" w:color="auto"/>
            <w:left w:val="none" w:sz="0" w:space="0" w:color="auto"/>
            <w:bottom w:val="none" w:sz="0" w:space="0" w:color="auto"/>
            <w:right w:val="none" w:sz="0" w:space="0" w:color="auto"/>
          </w:divBdr>
        </w:div>
        <w:div w:id="1561792991">
          <w:marLeft w:val="1701"/>
          <w:marRight w:val="899"/>
          <w:marTop w:val="0"/>
          <w:marBottom w:val="101"/>
          <w:divBdr>
            <w:top w:val="none" w:sz="0" w:space="0" w:color="auto"/>
            <w:left w:val="none" w:sz="0" w:space="0" w:color="auto"/>
            <w:bottom w:val="none" w:sz="0" w:space="0" w:color="auto"/>
            <w:right w:val="none" w:sz="0" w:space="0" w:color="auto"/>
          </w:divBdr>
        </w:div>
        <w:div w:id="525758032">
          <w:marLeft w:val="1701"/>
          <w:marRight w:val="899"/>
          <w:marTop w:val="0"/>
          <w:marBottom w:val="101"/>
          <w:divBdr>
            <w:top w:val="none" w:sz="0" w:space="0" w:color="auto"/>
            <w:left w:val="none" w:sz="0" w:space="0" w:color="auto"/>
            <w:bottom w:val="none" w:sz="0" w:space="0" w:color="auto"/>
            <w:right w:val="none" w:sz="0" w:space="0" w:color="auto"/>
          </w:divBdr>
        </w:div>
        <w:div w:id="229508461">
          <w:marLeft w:val="1701"/>
          <w:marRight w:val="899"/>
          <w:marTop w:val="0"/>
          <w:marBottom w:val="101"/>
          <w:divBdr>
            <w:top w:val="none" w:sz="0" w:space="0" w:color="auto"/>
            <w:left w:val="none" w:sz="0" w:space="0" w:color="auto"/>
            <w:bottom w:val="none" w:sz="0" w:space="0" w:color="auto"/>
            <w:right w:val="none" w:sz="0" w:space="0" w:color="auto"/>
          </w:divBdr>
        </w:div>
        <w:div w:id="918755066">
          <w:marLeft w:val="1701"/>
          <w:marRight w:val="899"/>
          <w:marTop w:val="0"/>
          <w:marBottom w:val="101"/>
          <w:divBdr>
            <w:top w:val="none" w:sz="0" w:space="0" w:color="auto"/>
            <w:left w:val="none" w:sz="0" w:space="0" w:color="auto"/>
            <w:bottom w:val="none" w:sz="0" w:space="0" w:color="auto"/>
            <w:right w:val="none" w:sz="0" w:space="0" w:color="auto"/>
          </w:divBdr>
        </w:div>
        <w:div w:id="213665290">
          <w:marLeft w:val="1701"/>
          <w:marRight w:val="899"/>
          <w:marTop w:val="0"/>
          <w:marBottom w:val="40"/>
          <w:divBdr>
            <w:top w:val="none" w:sz="0" w:space="0" w:color="auto"/>
            <w:left w:val="none" w:sz="0" w:space="0" w:color="auto"/>
            <w:bottom w:val="none" w:sz="0" w:space="0" w:color="auto"/>
            <w:right w:val="none" w:sz="0" w:space="0" w:color="auto"/>
          </w:divBdr>
        </w:div>
      </w:divsChild>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0877013">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2641698">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3460228">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1671931">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6363001">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6013674">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2419161">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551080">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5071616">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recursos/ipo/files_ipo3/2019/43079/1/5512f7583f4fb069c7d0dff0d9c9006f.pdf" TargetMode="External"/><Relationship Id="rId2" Type="http://schemas.openxmlformats.org/officeDocument/2006/relationships/hyperlink" Target="https://www.ipomex.org.mx/recursos/ipo/files_ipo3/2019/42897/4/3c2501ec6c6619d4746d4f53ee902902.pdf" TargetMode="External"/><Relationship Id="rId1" Type="http://schemas.openxmlformats.org/officeDocument/2006/relationships/hyperlink" Target="https://www.gob.mx/cms/uploads/attachment/file/63107/DECLARATORIA_ESTADO_DE_MEXI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8AC29-FE7F-43A9-874C-60BF265D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10638</Words>
  <Characters>58515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2019-12-19T01:53:00Z</cp:lastPrinted>
  <dcterms:created xsi:type="dcterms:W3CDTF">2021-02-08T22:15:00Z</dcterms:created>
  <dcterms:modified xsi:type="dcterms:W3CDTF">2021-03-06T02:36:00Z</dcterms:modified>
</cp:coreProperties>
</file>