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57A" w:rsidRDefault="00767FD1">
      <w:pPr>
        <w:spacing w:line="360" w:lineRule="auto"/>
        <w:jc w:val="both"/>
        <w:rPr>
          <w:rFonts w:ascii="Palatino Linotype" w:hAnsi="Palatino Linotype" w:cs="Arial"/>
          <w:color w:val="FF0000"/>
          <w:lang w:val="es-ES"/>
        </w:rPr>
      </w:pPr>
      <w:r>
        <w:rPr>
          <w:rFonts w:ascii="Palatino Linotype" w:hAnsi="Palatino Linotype" w:cs="Arial"/>
          <w:lang w:val="es-ES"/>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rPr>
        <w:t xml:space="preserve">de fecha </w:t>
      </w:r>
      <w:r>
        <w:rPr>
          <w:rFonts w:ascii="Palatino Linotype" w:hAnsi="Palatino Linotype"/>
          <w:color w:val="000000" w:themeColor="text1"/>
        </w:rPr>
        <w:t xml:space="preserve">veintiséis </w:t>
      </w:r>
      <w:r>
        <w:rPr>
          <w:rFonts w:ascii="Palatino Linotype" w:hAnsi="Palatino Linotype"/>
        </w:rPr>
        <w:t>de agosto de dos mil veinte.</w:t>
      </w:r>
    </w:p>
    <w:p w:rsidR="006A357A" w:rsidRDefault="006A357A">
      <w:pPr>
        <w:spacing w:line="360" w:lineRule="auto"/>
        <w:jc w:val="both"/>
        <w:rPr>
          <w:rFonts w:ascii="Palatino Linotype" w:hAnsi="Palatino Linotype" w:cs="Arial"/>
          <w:lang w:val="es-ES"/>
        </w:rPr>
      </w:pPr>
    </w:p>
    <w:p w:rsidR="006A357A" w:rsidRDefault="00767FD1">
      <w:pPr>
        <w:spacing w:line="360" w:lineRule="auto"/>
        <w:jc w:val="both"/>
        <w:rPr>
          <w:rFonts w:ascii="Palatino Linotype" w:hAnsi="Palatino Linotype" w:cs="Arial"/>
          <w:lang w:val="es-ES"/>
        </w:rPr>
      </w:pPr>
      <w:r>
        <w:rPr>
          <w:rFonts w:ascii="Palatino Linotype" w:hAnsi="Palatino Linotype"/>
          <w:lang w:val="es-ES"/>
        </w:rPr>
        <w:t xml:space="preserve">VISTO el expediente formado con motivo del recurso de revisión </w:t>
      </w:r>
      <w:r>
        <w:rPr>
          <w:rFonts w:ascii="Palatino Linotype" w:hAnsi="Palatino Linotype"/>
          <w:b/>
          <w:lang w:val="es-ES"/>
        </w:rPr>
        <w:t>01507/INFOEM/IP/RR/2020,</w:t>
      </w:r>
      <w:r>
        <w:rPr>
          <w:rFonts w:ascii="Palatino Linotype" w:hAnsi="Palatino Linotype"/>
          <w:lang w:val="es-ES"/>
        </w:rPr>
        <w:t xml:space="preserve"> interpuesto por el C. </w:t>
      </w:r>
      <w:r w:rsidRPr="00767FD1">
        <w:rPr>
          <w:rFonts w:ascii="Palatino Linotype" w:hAnsi="Palatino Linotype"/>
          <w:b/>
          <w:lang w:val="es-ES"/>
        </w:rPr>
        <w:t>Xxxxxxx Xxxxx Xxxxxx</w:t>
      </w:r>
      <w:bookmarkStart w:id="0" w:name="_GoBack"/>
      <w:bookmarkEnd w:id="0"/>
      <w:r>
        <w:rPr>
          <w:rFonts w:ascii="Palatino Linotype" w:hAnsi="Palatino Linotype"/>
          <w:b/>
          <w:lang w:val="es-ES"/>
        </w:rPr>
        <w:t>,</w:t>
      </w:r>
      <w:r>
        <w:rPr>
          <w:rFonts w:ascii="Palatino Linotype" w:hAnsi="Palatino Linotype"/>
          <w:lang w:val="es-ES"/>
        </w:rPr>
        <w:t xml:space="preserve"> en lo sucesivo </w:t>
      </w:r>
      <w:r>
        <w:rPr>
          <w:rFonts w:ascii="Palatino Linotype" w:hAnsi="Palatino Linotype"/>
          <w:b/>
          <w:lang w:val="es-ES"/>
        </w:rPr>
        <w:t>EL RECURRENTE,</w:t>
      </w:r>
      <w:r>
        <w:rPr>
          <w:rFonts w:ascii="Palatino Linotype" w:hAnsi="Palatino Linotype"/>
          <w:lang w:val="es-ES"/>
        </w:rPr>
        <w:t xml:space="preserve"> </w:t>
      </w:r>
      <w:r>
        <w:rPr>
          <w:rFonts w:ascii="Palatino Linotype" w:hAnsi="Palatino Linotype" w:cs="Arial"/>
          <w:lang w:val="es-ES"/>
        </w:rPr>
        <w:t xml:space="preserve">en contra de la respuesta del </w:t>
      </w:r>
      <w:r>
        <w:rPr>
          <w:rFonts w:ascii="Palatino Linotype" w:hAnsi="Palatino Linotype" w:cs="Arial"/>
          <w:b/>
          <w:lang w:val="es-ES"/>
        </w:rPr>
        <w:t xml:space="preserve">Ayuntamiento de Coyotepec, </w:t>
      </w:r>
      <w:r>
        <w:rPr>
          <w:rFonts w:ascii="Palatino Linotype" w:hAnsi="Palatino Linotype" w:cs="Arial"/>
          <w:lang w:val="es-ES"/>
        </w:rPr>
        <w:t xml:space="preserve">en lo sucesivo </w:t>
      </w:r>
      <w:r>
        <w:rPr>
          <w:rFonts w:ascii="Palatino Linotype" w:hAnsi="Palatino Linotype" w:cs="Arial"/>
          <w:b/>
          <w:lang w:val="es-ES"/>
        </w:rPr>
        <w:t xml:space="preserve">EL SUJETO OBLIGADO, </w:t>
      </w:r>
      <w:r>
        <w:rPr>
          <w:rFonts w:ascii="Palatino Linotype" w:hAnsi="Palatino Linotype" w:cs="Arial"/>
          <w:lang w:val="es-ES"/>
        </w:rPr>
        <w:t>se</w:t>
      </w:r>
      <w:r>
        <w:rPr>
          <w:rFonts w:ascii="Palatino Linotype" w:hAnsi="Palatino Linotype" w:cs="Arial"/>
          <w:lang w:val="es-ES"/>
        </w:rPr>
        <w:t xml:space="preserve"> procede a dictar la presente resolución con base en lo siguiente:</w:t>
      </w:r>
    </w:p>
    <w:p w:rsidR="006A357A" w:rsidRDefault="00767FD1">
      <w:pPr>
        <w:spacing w:line="360" w:lineRule="auto"/>
        <w:jc w:val="center"/>
        <w:rPr>
          <w:rFonts w:ascii="Palatino Linotype" w:hAnsi="Palatino Linotype" w:cs="Arial"/>
          <w:b/>
          <w:lang w:val="es-ES"/>
        </w:rPr>
      </w:pPr>
      <w:r>
        <w:rPr>
          <w:rFonts w:ascii="Palatino Linotype" w:hAnsi="Palatino Linotype" w:cs="Arial"/>
          <w:b/>
          <w:lang w:val="es-ES"/>
        </w:rPr>
        <w:t>R E S U L T A N D O</w:t>
      </w:r>
    </w:p>
    <w:p w:rsidR="006A357A" w:rsidRDefault="00767FD1">
      <w:pPr>
        <w:spacing w:line="360" w:lineRule="auto"/>
        <w:jc w:val="both"/>
        <w:rPr>
          <w:rFonts w:ascii="Palatino Linotype" w:hAnsi="Palatino Linotype" w:cs="Arial"/>
          <w:lang w:val="es-ES"/>
        </w:rPr>
      </w:pPr>
      <w:r>
        <w:rPr>
          <w:rFonts w:ascii="Palatino Linotype" w:hAnsi="Palatino Linotype" w:cs="Arial"/>
          <w:b/>
          <w:sz w:val="28"/>
          <w:szCs w:val="28"/>
          <w:lang w:val="es-ES"/>
        </w:rPr>
        <w:t>I.</w:t>
      </w:r>
      <w:r>
        <w:rPr>
          <w:rFonts w:ascii="Palatino Linotype" w:hAnsi="Palatino Linotype" w:cs="Arial"/>
          <w:b/>
          <w:lang w:val="es-ES"/>
        </w:rPr>
        <w:t xml:space="preserve"> </w:t>
      </w:r>
      <w:r>
        <w:rPr>
          <w:rFonts w:ascii="Palatino Linotype" w:hAnsi="Palatino Linotype" w:cs="Arial"/>
          <w:lang w:val="es-ES"/>
        </w:rPr>
        <w:t xml:space="preserve">En fecha seis de febrero de dos mil veinte, </w:t>
      </w:r>
      <w:r>
        <w:rPr>
          <w:rFonts w:ascii="Palatino Linotype" w:hAnsi="Palatino Linotype" w:cs="Arial"/>
          <w:b/>
          <w:lang w:val="es-ES"/>
        </w:rPr>
        <w:t>EL RECURRENTE</w:t>
      </w:r>
      <w:r>
        <w:rPr>
          <w:rFonts w:ascii="Palatino Linotype" w:hAnsi="Palatino Linotype" w:cs="Arial"/>
          <w:lang w:val="es-ES"/>
        </w:rPr>
        <w:t xml:space="preserve"> presentó a través del Sistema de Acceso a la Información Mexiquense, en lo subsecuente </w:t>
      </w:r>
      <w:r>
        <w:rPr>
          <w:rFonts w:ascii="Palatino Linotype" w:hAnsi="Palatino Linotype" w:cs="Arial"/>
          <w:b/>
          <w:lang w:val="es-ES"/>
        </w:rPr>
        <w:t>EL SAIMEX</w:t>
      </w:r>
      <w:r>
        <w:rPr>
          <w:rFonts w:ascii="Palatino Linotype" w:hAnsi="Palatino Linotype" w:cs="Arial"/>
          <w:lang w:val="es-ES"/>
        </w:rPr>
        <w:t xml:space="preserve"> ante </w:t>
      </w:r>
      <w:r>
        <w:rPr>
          <w:rFonts w:ascii="Palatino Linotype" w:hAnsi="Palatino Linotype" w:cs="Arial"/>
          <w:b/>
          <w:lang w:val="es-ES"/>
        </w:rPr>
        <w:t>EL SUJ</w:t>
      </w:r>
      <w:r>
        <w:rPr>
          <w:rFonts w:ascii="Palatino Linotype" w:hAnsi="Palatino Linotype" w:cs="Arial"/>
          <w:b/>
          <w:lang w:val="es-ES"/>
        </w:rPr>
        <w:t>ETO OBLIGADO</w:t>
      </w:r>
      <w:r>
        <w:rPr>
          <w:rFonts w:ascii="Palatino Linotype" w:hAnsi="Palatino Linotype" w:cs="Arial"/>
          <w:lang w:val="es-ES"/>
        </w:rPr>
        <w:t xml:space="preserve">, </w:t>
      </w:r>
      <w:r>
        <w:rPr>
          <w:rFonts w:ascii="Palatino Linotype" w:hAnsi="Palatino Linotype"/>
          <w:lang w:val="es-ES"/>
        </w:rPr>
        <w:t xml:space="preserve">la solicitud de acceso a información pública, a la que se le asignó el número </w:t>
      </w:r>
      <w:r>
        <w:rPr>
          <w:rFonts w:ascii="Palatino Linotype" w:hAnsi="Palatino Linotype" w:cs="Arial"/>
          <w:b/>
          <w:lang w:val="es-ES"/>
        </w:rPr>
        <w:t xml:space="preserve">  00088/COYOTEP/IP/2020, </w:t>
      </w:r>
      <w:r>
        <w:rPr>
          <w:rFonts w:ascii="Palatino Linotype" w:hAnsi="Palatino Linotype" w:cs="Arial"/>
          <w:lang w:val="es-ES"/>
        </w:rPr>
        <w:t>mediante la cual requirió lo siguiente:</w:t>
      </w:r>
    </w:p>
    <w:p w:rsidR="006A357A" w:rsidRDefault="006A357A">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2971"/>
        <w:gridCol w:w="6035"/>
      </w:tblGrid>
      <w:tr w:rsidR="006A357A">
        <w:trPr>
          <w:trHeight w:val="589"/>
        </w:trPr>
        <w:tc>
          <w:tcPr>
            <w:tcW w:w="2971" w:type="dxa"/>
            <w:shd w:val="clear" w:color="auto" w:fill="000000" w:themeFill="text1"/>
            <w:vAlign w:val="center"/>
          </w:tcPr>
          <w:p w:rsidR="006A357A" w:rsidRDefault="00767FD1">
            <w:pPr>
              <w:spacing w:line="360" w:lineRule="auto"/>
              <w:jc w:val="center"/>
              <w:rPr>
                <w:rFonts w:ascii="Palatino Linotype" w:hAnsi="Palatino Linotype"/>
                <w:b/>
                <w:color w:val="FFFFFF" w:themeColor="background1"/>
                <w:lang w:val="es-ES"/>
              </w:rPr>
            </w:pPr>
            <w:r>
              <w:rPr>
                <w:rFonts w:ascii="Palatino Linotype" w:eastAsiaTheme="minorHAnsi" w:hAnsi="Palatino Linotype"/>
                <w:b/>
                <w:color w:val="FFFFFF" w:themeColor="background1"/>
                <w:lang w:val="es-ES"/>
              </w:rPr>
              <w:t>Número de Solicitud</w:t>
            </w:r>
          </w:p>
        </w:tc>
        <w:tc>
          <w:tcPr>
            <w:tcW w:w="6034" w:type="dxa"/>
            <w:shd w:val="clear" w:color="auto" w:fill="000000" w:themeFill="text1"/>
            <w:vAlign w:val="center"/>
          </w:tcPr>
          <w:p w:rsidR="006A357A" w:rsidRDefault="00767FD1">
            <w:pPr>
              <w:tabs>
                <w:tab w:val="left" w:pos="1125"/>
              </w:tabs>
              <w:spacing w:line="360" w:lineRule="auto"/>
              <w:jc w:val="center"/>
              <w:rPr>
                <w:rFonts w:ascii="Palatino Linotype" w:hAnsi="Palatino Linotype"/>
                <w:b/>
                <w:lang w:val="es-ES"/>
              </w:rPr>
            </w:pPr>
            <w:r>
              <w:rPr>
                <w:rFonts w:ascii="Palatino Linotype" w:eastAsiaTheme="minorHAnsi" w:hAnsi="Palatino Linotype"/>
                <w:b/>
                <w:lang w:val="es-ES"/>
              </w:rPr>
              <w:t>Contenido</w:t>
            </w:r>
          </w:p>
        </w:tc>
      </w:tr>
      <w:tr w:rsidR="006A357A">
        <w:trPr>
          <w:trHeight w:val="792"/>
        </w:trPr>
        <w:tc>
          <w:tcPr>
            <w:tcW w:w="2971" w:type="dxa"/>
            <w:vAlign w:val="center"/>
          </w:tcPr>
          <w:p w:rsidR="006A357A" w:rsidRDefault="00767FD1">
            <w:pPr>
              <w:spacing w:line="360" w:lineRule="auto"/>
              <w:jc w:val="center"/>
              <w:rPr>
                <w:rFonts w:ascii="Palatino Linotype" w:hAnsi="Palatino Linotype"/>
                <w:lang w:val="es-ES"/>
              </w:rPr>
            </w:pPr>
            <w:r>
              <w:rPr>
                <w:rFonts w:ascii="Palatino Linotype" w:eastAsiaTheme="minorHAnsi" w:hAnsi="Palatino Linotype" w:cs="Arial"/>
                <w:b/>
                <w:lang w:val="es-ES"/>
              </w:rPr>
              <w:t xml:space="preserve">  00088/COYOTEP/IP/2020</w:t>
            </w:r>
          </w:p>
        </w:tc>
        <w:tc>
          <w:tcPr>
            <w:tcW w:w="6034" w:type="dxa"/>
          </w:tcPr>
          <w:p w:rsidR="006A357A" w:rsidRDefault="00767FD1">
            <w:pPr>
              <w:spacing w:after="160" w:line="360" w:lineRule="auto"/>
              <w:jc w:val="both"/>
              <w:rPr>
                <w:rFonts w:ascii="Palatino Linotype" w:hAnsi="Palatino Linotype"/>
                <w:i/>
                <w:lang w:val="es-ES"/>
              </w:rPr>
            </w:pPr>
            <w:r>
              <w:rPr>
                <w:rFonts w:ascii="Palatino Linotype" w:eastAsiaTheme="minorHAnsi" w:hAnsi="Palatino Linotype" w:cs="Arial"/>
                <w:i/>
                <w:sz w:val="22"/>
                <w:szCs w:val="22"/>
                <w:lang w:val="es-ES"/>
              </w:rPr>
              <w:t>“SABER ¿POR QUE EL SERGIO ANGUIANO MELENDEZ</w:t>
            </w:r>
            <w:r>
              <w:rPr>
                <w:rFonts w:ascii="Palatino Linotype" w:eastAsiaTheme="minorHAnsi" w:hAnsi="Palatino Linotype" w:cs="Arial"/>
                <w:i/>
                <w:sz w:val="22"/>
                <w:szCs w:val="22"/>
                <w:lang w:val="es-ES"/>
              </w:rPr>
              <w:t xml:space="preserve"> NO HA PAGADO A LOS TRABAJADORES DEL MUNICIPIO DESDE DICIEMBRE DE 2019? O ¿POR QUE LES PAGO HASTA FINALES DE ENERO O PRINCIPIOS DE FEBRERO DE 2020?”</w:t>
            </w:r>
          </w:p>
        </w:tc>
      </w:tr>
    </w:tbl>
    <w:p w:rsidR="006A357A" w:rsidRDefault="006A357A">
      <w:pPr>
        <w:spacing w:line="360" w:lineRule="auto"/>
        <w:jc w:val="both"/>
        <w:rPr>
          <w:rFonts w:ascii="Palatino Linotype" w:hAnsi="Palatino Linotype"/>
          <w:b/>
          <w:sz w:val="28"/>
          <w:szCs w:val="28"/>
        </w:rPr>
      </w:pPr>
    </w:p>
    <w:p w:rsidR="006A357A" w:rsidRDefault="00767FD1">
      <w:pPr>
        <w:spacing w:line="360" w:lineRule="auto"/>
        <w:jc w:val="both"/>
        <w:rPr>
          <w:rFonts w:ascii="Palatino Linotype" w:hAnsi="Palatino Linotype"/>
        </w:rPr>
      </w:pPr>
      <w:r>
        <w:rPr>
          <w:rFonts w:ascii="Palatino Linotype" w:hAnsi="Palatino Linotype"/>
          <w:b/>
          <w:sz w:val="28"/>
          <w:szCs w:val="28"/>
        </w:rPr>
        <w:lastRenderedPageBreak/>
        <w:t>II.</w:t>
      </w:r>
      <w:r>
        <w:rPr>
          <w:rFonts w:ascii="Palatino Linotype" w:hAnsi="Palatino Linotype"/>
          <w:sz w:val="28"/>
          <w:szCs w:val="28"/>
        </w:rPr>
        <w:t xml:space="preserve"> </w:t>
      </w:r>
      <w:r>
        <w:rPr>
          <w:rFonts w:ascii="Palatino Linotype" w:hAnsi="Palatino Linotype"/>
        </w:rPr>
        <w:t xml:space="preserve">Por su parte el Titular de la Unidad de Transparencia en fecha siete de febrero de dos mil veinte, </w:t>
      </w:r>
      <w:r>
        <w:rPr>
          <w:rFonts w:ascii="Palatino Linotype" w:hAnsi="Palatino Linotype"/>
        </w:rPr>
        <w:t>solicitó la información de mérito, como se aprecia en la imagen inserta a continuación:</w:t>
      </w:r>
    </w:p>
    <w:p w:rsidR="006A357A" w:rsidRDefault="00767FD1">
      <w:pPr>
        <w:spacing w:line="360" w:lineRule="auto"/>
        <w:jc w:val="both"/>
        <w:rPr>
          <w:rFonts w:ascii="Palatino Linotype" w:hAnsi="Palatino Linotype"/>
        </w:rPr>
      </w:pPr>
      <w:r>
        <w:rPr>
          <w:noProof/>
          <w:lang w:eastAsia="es-MX"/>
        </w:rPr>
        <w:drawing>
          <wp:inline distT="0" distB="0" distL="0" distR="0">
            <wp:extent cx="5591175" cy="2133600"/>
            <wp:effectExtent l="0" t="0" r="0" b="0"/>
            <wp:docPr id="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7"/>
                    <pic:cNvPicPr>
                      <a:picLocks noChangeAspect="1" noChangeArrowheads="1"/>
                    </pic:cNvPicPr>
                  </pic:nvPicPr>
                  <pic:blipFill>
                    <a:blip r:embed="rId7"/>
                    <a:srcRect l="3398" t="31998" r="4109" b="42657"/>
                    <a:stretch>
                      <a:fillRect/>
                    </a:stretch>
                  </pic:blipFill>
                  <pic:spPr bwMode="auto">
                    <a:xfrm>
                      <a:off x="0" y="0"/>
                      <a:ext cx="5591175" cy="2133600"/>
                    </a:xfrm>
                    <a:prstGeom prst="rect">
                      <a:avLst/>
                    </a:prstGeom>
                  </pic:spPr>
                </pic:pic>
              </a:graphicData>
            </a:graphic>
          </wp:inline>
        </w:drawing>
      </w:r>
    </w:p>
    <w:p w:rsidR="006A357A" w:rsidRDefault="006A357A">
      <w:pPr>
        <w:spacing w:line="360" w:lineRule="auto"/>
        <w:jc w:val="both"/>
        <w:rPr>
          <w:rFonts w:ascii="Palatino Linotype" w:hAnsi="Palatino Linotype"/>
          <w:sz w:val="16"/>
          <w:szCs w:val="28"/>
        </w:rPr>
      </w:pPr>
    </w:p>
    <w:p w:rsidR="006A357A" w:rsidRDefault="00767FD1">
      <w:pPr>
        <w:spacing w:line="360" w:lineRule="auto"/>
        <w:jc w:val="both"/>
        <w:rPr>
          <w:rFonts w:ascii="Palatino Linotype" w:hAnsi="Palatino Linotype"/>
        </w:rPr>
      </w:pPr>
      <w:r>
        <w:rPr>
          <w:rFonts w:ascii="Palatino Linotype" w:hAnsi="Palatino Linotype"/>
        </w:rPr>
        <w:t xml:space="preserve">Es importante señalar que, el servidor público al que se le requirió la información, de la revisión realizada por esta Ponencia al Directorio de Servidores Públicos </w:t>
      </w:r>
      <w:r>
        <w:rPr>
          <w:rFonts w:ascii="Palatino Linotype" w:hAnsi="Palatino Linotype"/>
        </w:rPr>
        <w:t>publicado en el portal electrónico que contiene la Información Pública de Oficio Mexiquense (IPOMEX), ostenta el cargo de Encargado de Despacho de la Tesorería Municipal, como se aprecia a continuación:</w:t>
      </w:r>
    </w:p>
    <w:p w:rsidR="006A357A" w:rsidRDefault="00767FD1">
      <w:pPr>
        <w:spacing w:line="360" w:lineRule="auto"/>
        <w:jc w:val="both"/>
        <w:rPr>
          <w:rFonts w:ascii="Palatino Linotype" w:hAnsi="Palatino Linotype"/>
        </w:rPr>
      </w:pPr>
      <w:r>
        <w:rPr>
          <w:noProof/>
          <w:lang w:eastAsia="es-MX"/>
        </w:rPr>
        <w:lastRenderedPageBreak/>
        <w:drawing>
          <wp:inline distT="0" distB="0" distL="0" distR="0">
            <wp:extent cx="5495925" cy="2762250"/>
            <wp:effectExtent l="0" t="0" r="0" b="0"/>
            <wp:docPr id="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8"/>
                    <pic:cNvPicPr>
                      <a:picLocks noChangeAspect="1" noChangeArrowheads="1"/>
                    </pic:cNvPicPr>
                  </pic:nvPicPr>
                  <pic:blipFill>
                    <a:blip r:embed="rId8"/>
                    <a:srcRect l="14086" t="9966" r="34655" b="13366"/>
                    <a:stretch>
                      <a:fillRect/>
                    </a:stretch>
                  </pic:blipFill>
                  <pic:spPr bwMode="auto">
                    <a:xfrm>
                      <a:off x="0" y="0"/>
                      <a:ext cx="5495925" cy="2762250"/>
                    </a:xfrm>
                    <a:prstGeom prst="rect">
                      <a:avLst/>
                    </a:prstGeom>
                  </pic:spPr>
                </pic:pic>
              </a:graphicData>
            </a:graphic>
          </wp:inline>
        </w:drawing>
      </w:r>
    </w:p>
    <w:p w:rsidR="006A357A" w:rsidRDefault="00767FD1">
      <w:pPr>
        <w:spacing w:line="360" w:lineRule="auto"/>
        <w:jc w:val="both"/>
        <w:rPr>
          <w:rFonts w:ascii="Palatino Linotype" w:hAnsi="Palatino Linotype" w:cs="Arial"/>
          <w:lang w:val="es-ES_tradnl"/>
        </w:rPr>
      </w:pPr>
      <w:r>
        <w:rPr>
          <w:rFonts w:ascii="Palatino Linotype" w:hAnsi="Palatino Linotype"/>
          <w:b/>
          <w:sz w:val="28"/>
          <w:szCs w:val="28"/>
        </w:rPr>
        <w:t xml:space="preserve">III. </w:t>
      </w:r>
      <w:r>
        <w:rPr>
          <w:rFonts w:ascii="Palatino Linotype" w:hAnsi="Palatino Linotype"/>
        </w:rPr>
        <w:t xml:space="preserve">De las constancias que obran en </w:t>
      </w:r>
      <w:r>
        <w:rPr>
          <w:rFonts w:ascii="Palatino Linotype" w:hAnsi="Palatino Linotype"/>
          <w:b/>
        </w:rPr>
        <w:t>EL SAIMEX,</w:t>
      </w:r>
      <w:r>
        <w:rPr>
          <w:rFonts w:ascii="Palatino Linotype" w:hAnsi="Palatino Linotype"/>
        </w:rPr>
        <w:t xml:space="preserve"> se advierte que en fecha veintisiete de febrero de dos mil veinte, </w:t>
      </w:r>
      <w:r>
        <w:rPr>
          <w:rFonts w:ascii="Palatino Linotype" w:hAnsi="Palatino Linotype" w:cs="Arial"/>
          <w:lang w:val="es-ES_tradnl"/>
        </w:rPr>
        <w:t>el</w:t>
      </w:r>
      <w:r>
        <w:rPr>
          <w:rFonts w:ascii="Palatino Linotype" w:hAnsi="Palatino Linotype" w:cs="Arial"/>
          <w:b/>
          <w:lang w:val="es-ES_tradnl"/>
        </w:rPr>
        <w:t xml:space="preserve"> SUJETO OBLIGADO</w:t>
      </w:r>
      <w:r>
        <w:rPr>
          <w:rFonts w:ascii="Palatino Linotype" w:hAnsi="Palatino Linotype" w:cs="Arial"/>
          <w:lang w:val="es-ES_tradnl"/>
        </w:rPr>
        <w:t xml:space="preserve"> dio respuesta a la solicitud de información, en los siguientes términos:</w:t>
      </w:r>
    </w:p>
    <w:p w:rsidR="006A357A" w:rsidRDefault="00767FD1">
      <w:pPr>
        <w:spacing w:line="276" w:lineRule="auto"/>
        <w:ind w:left="851" w:right="616"/>
        <w:jc w:val="right"/>
        <w:rPr>
          <w:rFonts w:ascii="Palatino Linotype" w:hAnsi="Palatino Linotype" w:cs="Arial"/>
          <w:i/>
          <w:lang w:val="es-ES"/>
        </w:rPr>
      </w:pPr>
      <w:r>
        <w:rPr>
          <w:rFonts w:ascii="Palatino Linotype" w:hAnsi="Palatino Linotype" w:cs="Arial"/>
          <w:i/>
          <w:lang w:val="es-ES"/>
        </w:rPr>
        <w:t>“Folio de la solicitud: 00088/COYOTEP/IP/2020</w:t>
      </w:r>
    </w:p>
    <w:p w:rsidR="006A357A" w:rsidRDefault="00767FD1">
      <w:pPr>
        <w:spacing w:line="276" w:lineRule="auto"/>
        <w:ind w:left="851" w:right="616"/>
        <w:jc w:val="both"/>
        <w:rPr>
          <w:rFonts w:ascii="Palatino Linotype" w:hAnsi="Palatino Linotype" w:cs="Arial"/>
          <w:i/>
          <w:lang w:val="es-ES"/>
        </w:rPr>
      </w:pPr>
      <w:r>
        <w:rPr>
          <w:rFonts w:ascii="Palatino Linotype" w:hAnsi="Palatino Linotype" w:cs="Arial"/>
          <w:i/>
          <w:lang w:val="es-ES"/>
        </w:rPr>
        <w:t>En respuesta a la solicitud recibida, nos permitim</w:t>
      </w:r>
      <w:r>
        <w:rPr>
          <w:rFonts w:ascii="Palatino Linotype" w:hAnsi="Palatino Linotype" w:cs="Arial"/>
          <w:i/>
          <w:lang w:val="es-ES"/>
        </w:rPr>
        <w:t>os hacer de su conocimiento que con fundamento en el artículo 53, Fracciones: II, V y VI de la Ley de Transparencia y Acceso a la Información Pública del Estado de México y Municipios, le contestamos que:</w:t>
      </w:r>
    </w:p>
    <w:p w:rsidR="006A357A" w:rsidRDefault="00767FD1">
      <w:pPr>
        <w:spacing w:line="276" w:lineRule="auto"/>
        <w:ind w:left="851" w:right="616"/>
        <w:jc w:val="both"/>
        <w:rPr>
          <w:rFonts w:ascii="Palatino Linotype" w:hAnsi="Palatino Linotype" w:cs="Arial"/>
          <w:i/>
          <w:lang w:val="es-ES"/>
        </w:rPr>
      </w:pPr>
      <w:r>
        <w:rPr>
          <w:rFonts w:ascii="Palatino Linotype" w:hAnsi="Palatino Linotype" w:cs="Arial"/>
          <w:i/>
          <w:lang w:val="es-ES"/>
        </w:rPr>
        <w:t>ASUNTO: INFORMACION SAIMEX NO. DE SOLICITUD: 00088/</w:t>
      </w:r>
      <w:r>
        <w:rPr>
          <w:rFonts w:ascii="Palatino Linotype" w:hAnsi="Palatino Linotype" w:cs="Arial"/>
          <w:i/>
          <w:lang w:val="es-ES"/>
        </w:rPr>
        <w:t>COYOTEP/IP/2020. En respuesta a la solicitud recibida, se hace de su conocimiento que con fundamento en los artículos 10, 12 Y 13, de la Ley de Transparencia y Acceso a la Información Pública del Estado de México y Municipios, se contesta que el pago de lo</w:t>
      </w:r>
      <w:r>
        <w:rPr>
          <w:rFonts w:ascii="Palatino Linotype" w:hAnsi="Palatino Linotype" w:cs="Arial"/>
          <w:i/>
          <w:lang w:val="es-ES"/>
        </w:rPr>
        <w:t>s trabajadores del municipio de Coyotepec, correspondiente al ejercicio 2019 se encuentra pagado.</w:t>
      </w:r>
    </w:p>
    <w:p w:rsidR="006A357A" w:rsidRDefault="00767FD1">
      <w:pPr>
        <w:spacing w:line="276" w:lineRule="auto"/>
        <w:ind w:left="851" w:right="616"/>
        <w:jc w:val="both"/>
        <w:rPr>
          <w:rFonts w:ascii="Palatino Linotype" w:hAnsi="Palatino Linotype" w:cs="Arial"/>
          <w:i/>
          <w:lang w:val="es-ES"/>
        </w:rPr>
      </w:pPr>
      <w:r>
        <w:rPr>
          <w:rFonts w:ascii="Palatino Linotype" w:hAnsi="Palatino Linotype" w:cs="Arial"/>
          <w:i/>
          <w:lang w:val="es-ES"/>
        </w:rPr>
        <w:t>ATENTAMENTE</w:t>
      </w:r>
    </w:p>
    <w:p w:rsidR="006A357A" w:rsidRDefault="00767FD1">
      <w:pPr>
        <w:spacing w:line="276" w:lineRule="auto"/>
        <w:ind w:left="851" w:right="616"/>
        <w:jc w:val="both"/>
        <w:rPr>
          <w:rFonts w:ascii="Palatino Linotype" w:hAnsi="Palatino Linotype" w:cs="Arial"/>
          <w:i/>
          <w:lang w:val="es-ES"/>
        </w:rPr>
      </w:pPr>
      <w:r>
        <w:rPr>
          <w:rFonts w:ascii="Palatino Linotype" w:hAnsi="Palatino Linotype" w:cs="Arial"/>
          <w:i/>
          <w:lang w:val="es-ES"/>
        </w:rPr>
        <w:t>Lic. GRISELDA NANCY HERNÁNDEZ LÓPEZ”</w:t>
      </w:r>
    </w:p>
    <w:p w:rsidR="006A357A" w:rsidRDefault="006A357A">
      <w:pPr>
        <w:spacing w:line="276" w:lineRule="auto"/>
        <w:ind w:right="616"/>
        <w:jc w:val="both"/>
        <w:rPr>
          <w:rFonts w:ascii="Palatino Linotype" w:hAnsi="Palatino Linotype" w:cs="Arial"/>
          <w:i/>
          <w:lang w:val="es-ES"/>
        </w:rPr>
      </w:pPr>
    </w:p>
    <w:p w:rsidR="006A357A" w:rsidRDefault="00767FD1">
      <w:pPr>
        <w:spacing w:line="360" w:lineRule="auto"/>
        <w:jc w:val="both"/>
        <w:rPr>
          <w:rFonts w:ascii="Palatino Linotype" w:hAnsi="Palatino Linotype" w:cs="Arial"/>
          <w:lang w:val="es-ES"/>
        </w:rPr>
      </w:pPr>
      <w:r>
        <w:rPr>
          <w:rFonts w:ascii="Palatino Linotype" w:hAnsi="Palatino Linotype" w:cs="Arial"/>
          <w:b/>
          <w:sz w:val="28"/>
          <w:szCs w:val="28"/>
          <w:lang w:val="es-ES"/>
        </w:rPr>
        <w:t xml:space="preserve">IV. </w:t>
      </w:r>
      <w:r>
        <w:rPr>
          <w:rFonts w:ascii="Palatino Linotype" w:hAnsi="Palatino Linotype"/>
          <w:lang w:val="es-ES"/>
        </w:rPr>
        <w:t xml:space="preserve">Inconforme con la </w:t>
      </w:r>
      <w:r>
        <w:rPr>
          <w:rFonts w:ascii="Palatino Linotype" w:hAnsi="Palatino Linotype" w:cs="Arial"/>
          <w:lang w:val="es-ES"/>
        </w:rPr>
        <w:t xml:space="preserve">respuesta el diez de marzo de dos mil veinte, </w:t>
      </w:r>
      <w:r>
        <w:rPr>
          <w:rFonts w:ascii="Palatino Linotype" w:hAnsi="Palatino Linotype"/>
          <w:b/>
          <w:lang w:val="es-ES"/>
        </w:rPr>
        <w:t>EL RECURRENTE</w:t>
      </w:r>
      <w:r>
        <w:rPr>
          <w:rFonts w:ascii="Palatino Linotype" w:hAnsi="Palatino Linotype"/>
          <w:lang w:val="es-ES"/>
        </w:rPr>
        <w:t xml:space="preserve"> interpuso el recursos de r</w:t>
      </w:r>
      <w:r>
        <w:rPr>
          <w:rFonts w:ascii="Palatino Linotype" w:hAnsi="Palatino Linotype"/>
          <w:lang w:val="es-ES"/>
        </w:rPr>
        <w:t xml:space="preserve">evisión objeto del presente estudio, el cual fue registrado en </w:t>
      </w:r>
      <w:r>
        <w:rPr>
          <w:rFonts w:ascii="Palatino Linotype" w:hAnsi="Palatino Linotype"/>
          <w:b/>
          <w:lang w:val="es-ES"/>
        </w:rPr>
        <w:t>EL SAIMEX</w:t>
      </w:r>
      <w:r>
        <w:rPr>
          <w:rFonts w:ascii="Palatino Linotype" w:hAnsi="Palatino Linotype"/>
          <w:lang w:val="es-ES"/>
        </w:rPr>
        <w:t xml:space="preserve"> y se le asignó el número de expediente</w:t>
      </w:r>
      <w:r>
        <w:rPr>
          <w:rFonts w:ascii="Palatino Linotype" w:hAnsi="Palatino Linotype" w:cs="Arial"/>
          <w:lang w:val="es-ES"/>
        </w:rPr>
        <w:t xml:space="preserve"> </w:t>
      </w:r>
      <w:r>
        <w:rPr>
          <w:rFonts w:ascii="Palatino Linotype" w:hAnsi="Palatino Linotype"/>
          <w:lang w:eastAsia="es-MX"/>
        </w:rPr>
        <w:br/>
      </w:r>
      <w:r>
        <w:rPr>
          <w:rFonts w:ascii="Palatino Linotype" w:hAnsi="Palatino Linotype"/>
          <w:b/>
          <w:lang w:eastAsia="es-MX"/>
        </w:rPr>
        <w:t>01507/INFOEM/IP/RR/2020</w:t>
      </w:r>
      <w:r>
        <w:rPr>
          <w:rFonts w:ascii="Palatino Linotype" w:hAnsi="Palatino Linotype"/>
          <w:lang w:eastAsia="es-MX"/>
        </w:rPr>
        <w:t xml:space="preserve">, </w:t>
      </w:r>
      <w:r>
        <w:rPr>
          <w:rFonts w:ascii="Palatino Linotype" w:hAnsi="Palatino Linotype" w:cs="Arial"/>
          <w:lang w:val="es-ES"/>
        </w:rPr>
        <w:t>en el que señaló como acto impugnado y razones o motivos de inconformidad lo siguiente:</w:t>
      </w:r>
    </w:p>
    <w:tbl>
      <w:tblPr>
        <w:tblStyle w:val="Tablaconcuadrcula"/>
        <w:tblW w:w="8828" w:type="dxa"/>
        <w:jc w:val="center"/>
        <w:tblLook w:val="04A0" w:firstRow="1" w:lastRow="0" w:firstColumn="1" w:lastColumn="0" w:noHBand="0" w:noVBand="1"/>
      </w:tblPr>
      <w:tblGrid>
        <w:gridCol w:w="2689"/>
        <w:gridCol w:w="3118"/>
        <w:gridCol w:w="3021"/>
      </w:tblGrid>
      <w:tr w:rsidR="006A357A">
        <w:trPr>
          <w:jc w:val="center"/>
        </w:trPr>
        <w:tc>
          <w:tcPr>
            <w:tcW w:w="2689" w:type="dxa"/>
            <w:shd w:val="clear" w:color="auto" w:fill="000000" w:themeFill="text1"/>
            <w:vAlign w:val="center"/>
          </w:tcPr>
          <w:p w:rsidR="006A357A" w:rsidRDefault="00767FD1">
            <w:pPr>
              <w:jc w:val="center"/>
              <w:rPr>
                <w:rFonts w:ascii="Palatino Linotype" w:hAnsi="Palatino Linotype"/>
                <w:b/>
              </w:rPr>
            </w:pPr>
            <w:r>
              <w:rPr>
                <w:rFonts w:ascii="Palatino Linotype" w:eastAsiaTheme="minorHAnsi" w:hAnsi="Palatino Linotype"/>
                <w:b/>
                <w:lang w:eastAsia="en-US"/>
              </w:rPr>
              <w:t>Número de Recurso</w:t>
            </w:r>
          </w:p>
        </w:tc>
        <w:tc>
          <w:tcPr>
            <w:tcW w:w="3118" w:type="dxa"/>
            <w:shd w:val="clear" w:color="auto" w:fill="000000" w:themeFill="text1"/>
            <w:vAlign w:val="center"/>
          </w:tcPr>
          <w:p w:rsidR="006A357A" w:rsidRDefault="00767FD1">
            <w:pPr>
              <w:jc w:val="center"/>
              <w:rPr>
                <w:rFonts w:ascii="Palatino Linotype" w:hAnsi="Palatino Linotype"/>
                <w:b/>
              </w:rPr>
            </w:pPr>
            <w:r>
              <w:rPr>
                <w:rFonts w:ascii="Palatino Linotype" w:eastAsiaTheme="minorHAnsi" w:hAnsi="Palatino Linotype"/>
                <w:b/>
                <w:lang w:eastAsia="en-US"/>
              </w:rPr>
              <w:t xml:space="preserve">Acto </w:t>
            </w:r>
            <w:r>
              <w:rPr>
                <w:rFonts w:ascii="Palatino Linotype" w:eastAsiaTheme="minorHAnsi" w:hAnsi="Palatino Linotype"/>
                <w:b/>
                <w:lang w:eastAsia="en-US"/>
              </w:rPr>
              <w:t>Impugnado</w:t>
            </w:r>
          </w:p>
        </w:tc>
        <w:tc>
          <w:tcPr>
            <w:tcW w:w="3021" w:type="dxa"/>
            <w:shd w:val="clear" w:color="auto" w:fill="000000" w:themeFill="text1"/>
            <w:vAlign w:val="center"/>
          </w:tcPr>
          <w:p w:rsidR="006A357A" w:rsidRDefault="00767FD1">
            <w:pPr>
              <w:jc w:val="center"/>
              <w:rPr>
                <w:rFonts w:ascii="Palatino Linotype" w:hAnsi="Palatino Linotype"/>
                <w:b/>
              </w:rPr>
            </w:pPr>
            <w:r>
              <w:rPr>
                <w:rFonts w:ascii="Palatino Linotype" w:eastAsiaTheme="minorHAnsi" w:hAnsi="Palatino Linotype"/>
                <w:b/>
                <w:lang w:eastAsia="en-US"/>
              </w:rPr>
              <w:t>Razones o motivos de inconformidad</w:t>
            </w:r>
          </w:p>
        </w:tc>
      </w:tr>
      <w:tr w:rsidR="006A357A">
        <w:trPr>
          <w:trHeight w:val="1384"/>
          <w:jc w:val="center"/>
        </w:trPr>
        <w:tc>
          <w:tcPr>
            <w:tcW w:w="2689" w:type="dxa"/>
          </w:tcPr>
          <w:p w:rsidR="006A357A" w:rsidRDefault="00767FD1">
            <w:pPr>
              <w:rPr>
                <w:rFonts w:ascii="Palatino Linotype" w:hAnsi="Palatino Linotype"/>
                <w:sz w:val="20"/>
                <w:szCs w:val="20"/>
              </w:rPr>
            </w:pPr>
            <w:r>
              <w:rPr>
                <w:rFonts w:ascii="Palatino Linotype" w:eastAsiaTheme="minorHAnsi" w:hAnsi="Palatino Linotype"/>
                <w:b/>
                <w:sz w:val="20"/>
                <w:szCs w:val="20"/>
                <w:lang w:eastAsia="es-MX"/>
              </w:rPr>
              <w:t>01507/INFOEM/IP/RR/2019</w:t>
            </w:r>
          </w:p>
        </w:tc>
        <w:tc>
          <w:tcPr>
            <w:tcW w:w="3118" w:type="dxa"/>
          </w:tcPr>
          <w:p w:rsidR="006A357A" w:rsidRDefault="00767FD1">
            <w:pPr>
              <w:jc w:val="both"/>
              <w:rPr>
                <w:rFonts w:ascii="Palatino Linotype" w:hAnsi="Palatino Linotype"/>
                <w:i/>
              </w:rPr>
            </w:pPr>
            <w:r>
              <w:rPr>
                <w:rFonts w:ascii="Palatino Linotype" w:eastAsiaTheme="minorHAnsi" w:hAnsi="Palatino Linotype"/>
                <w:i/>
                <w:color w:val="000000"/>
                <w:sz w:val="22"/>
                <w:szCs w:val="22"/>
                <w:lang w:eastAsia="en-US"/>
              </w:rPr>
              <w:t>“00088/COYOTEP/IP/2020”</w:t>
            </w:r>
          </w:p>
        </w:tc>
        <w:tc>
          <w:tcPr>
            <w:tcW w:w="3021" w:type="dxa"/>
          </w:tcPr>
          <w:p w:rsidR="006A357A" w:rsidRDefault="00767FD1">
            <w:pPr>
              <w:jc w:val="both"/>
              <w:rPr>
                <w:rFonts w:ascii="Palatino Linotype" w:hAnsi="Palatino Linotype"/>
                <w:i/>
              </w:rPr>
            </w:pPr>
            <w:r>
              <w:rPr>
                <w:rFonts w:ascii="Palatino Linotype" w:eastAsiaTheme="minorHAnsi" w:hAnsi="Palatino Linotype"/>
                <w:i/>
                <w:color w:val="000000"/>
                <w:sz w:val="22"/>
                <w:szCs w:val="22"/>
                <w:lang w:eastAsia="en-US"/>
              </w:rPr>
              <w:t>“No se me proporciono la información solicitada”</w:t>
            </w:r>
          </w:p>
        </w:tc>
      </w:tr>
    </w:tbl>
    <w:p w:rsidR="006A357A" w:rsidRDefault="006A357A">
      <w:pPr>
        <w:rPr>
          <w:rFonts w:ascii="Palatino Linotype" w:hAnsi="Palatino Linotype"/>
        </w:rPr>
      </w:pPr>
    </w:p>
    <w:p w:rsidR="006A357A" w:rsidRDefault="00767FD1">
      <w:pPr>
        <w:spacing w:line="360" w:lineRule="auto"/>
        <w:ind w:right="49"/>
        <w:jc w:val="both"/>
        <w:rPr>
          <w:rFonts w:ascii="Palatino Linotype" w:hAnsi="Palatino Linotype"/>
          <w:lang w:eastAsia="es-MX"/>
        </w:rPr>
      </w:pPr>
      <w:r>
        <w:rPr>
          <w:rFonts w:ascii="Palatino Linotype" w:hAnsi="Palatino Linotype" w:cs="Arial"/>
          <w:b/>
          <w:sz w:val="28"/>
          <w:szCs w:val="28"/>
          <w:lang w:val="es-ES"/>
        </w:rPr>
        <w:t>V.</w:t>
      </w:r>
      <w:r>
        <w:rPr>
          <w:rFonts w:ascii="Palatino Linotype" w:hAnsi="Palatino Linotype" w:cs="Arial"/>
          <w:b/>
          <w:sz w:val="28"/>
          <w:lang w:val="es-ES"/>
        </w:rPr>
        <w:t xml:space="preserve"> </w:t>
      </w:r>
      <w:r>
        <w:rPr>
          <w:rFonts w:ascii="Palatino Linotype" w:hAnsi="Palatino Linotype" w:cs="Arial"/>
          <w:lang w:val="es-ES"/>
        </w:rPr>
        <w:t>El diez de marzo de dos mil veinte</w:t>
      </w:r>
      <w:r>
        <w:rPr>
          <w:rFonts w:ascii="Palatino Linotype" w:hAnsi="Palatino Linotype"/>
          <w:lang w:val="es-ES"/>
        </w:rPr>
        <w:t>, el</w:t>
      </w:r>
      <w:r>
        <w:rPr>
          <w:rFonts w:ascii="Palatino Linotype" w:hAnsi="Palatino Linotype" w:cs="Arial"/>
          <w:lang w:val="es-ES"/>
        </w:rPr>
        <w:t xml:space="preserve"> </w:t>
      </w:r>
      <w:r>
        <w:rPr>
          <w:rFonts w:ascii="Palatino Linotype" w:hAnsi="Palatino Linotype" w:cs="Arial"/>
          <w:lang w:val="es-ES_tradnl"/>
        </w:rPr>
        <w:t>recurso de revisión de que</w:t>
      </w:r>
      <w:r>
        <w:rPr>
          <w:rFonts w:ascii="Palatino Linotype" w:hAnsi="Palatino Linotype" w:cs="Arial"/>
          <w:lang w:val="es-ES"/>
        </w:rPr>
        <w:t xml:space="preserve"> se trata</w:t>
      </w:r>
      <w:r>
        <w:rPr>
          <w:rFonts w:ascii="Palatino Linotype" w:hAnsi="Palatino Linotype" w:cs="Arial"/>
          <w:lang w:val="es-ES_tradnl"/>
        </w:rPr>
        <w:t xml:space="preserve"> se envió electrónicamente al Instituto de </w:t>
      </w:r>
      <w:r>
        <w:rPr>
          <w:rFonts w:ascii="Palatino Linotype" w:eastAsia="Arial Unicode MS" w:hAnsi="Palatino Linotype" w:cs="Arial"/>
          <w:lang w:val="es-ES"/>
        </w:rPr>
        <w:t>Transparencia</w:t>
      </w:r>
      <w:r>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Pr>
          <w:rFonts w:ascii="Palatino Linotype" w:hAnsi="Palatino Linotype"/>
          <w:lang w:val="es-ES"/>
        </w:rPr>
        <w:t>Ley de Transparencia y Acceso a la Informació</w:t>
      </w:r>
      <w:r>
        <w:rPr>
          <w:rFonts w:ascii="Palatino Linotype" w:hAnsi="Palatino Linotype"/>
          <w:lang w:val="es-ES"/>
        </w:rPr>
        <w:t>n Pública del Estado de México y Municipios</w:t>
      </w:r>
      <w:r>
        <w:rPr>
          <w:rFonts w:ascii="Palatino Linotype" w:hAnsi="Palatino Linotype" w:cs="Arial"/>
          <w:lang w:val="es-ES_tradnl"/>
        </w:rPr>
        <w:t>, se turnó, a través del</w:t>
      </w:r>
      <w:r>
        <w:rPr>
          <w:rFonts w:ascii="Palatino Linotype" w:eastAsia="Arial Unicode MS" w:hAnsi="Palatino Linotype" w:cs="Arial"/>
          <w:lang w:val="es-ES_tradnl"/>
        </w:rPr>
        <w:t xml:space="preserve"> </w:t>
      </w:r>
      <w:r>
        <w:rPr>
          <w:rFonts w:ascii="Palatino Linotype" w:eastAsia="Arial Unicode MS" w:hAnsi="Palatino Linotype" w:cs="Arial"/>
          <w:b/>
          <w:lang w:val="es-ES_tradnl"/>
        </w:rPr>
        <w:t>SAIMEX</w:t>
      </w:r>
      <w:r>
        <w:rPr>
          <w:rFonts w:ascii="Palatino Linotype" w:hAnsi="Palatino Linotype"/>
          <w:lang w:val="es-ES"/>
        </w:rPr>
        <w:t>, el recurso</w:t>
      </w:r>
      <w:r>
        <w:rPr>
          <w:rFonts w:ascii="Palatino Linotype" w:hAnsi="Palatino Linotype" w:cs="Arial"/>
          <w:szCs w:val="20"/>
          <w:lang w:val="es-ES"/>
        </w:rPr>
        <w:t xml:space="preserve"> de revisión</w:t>
      </w:r>
      <w:r>
        <w:rPr>
          <w:rFonts w:ascii="Palatino Linotype" w:hAnsi="Palatino Linotype"/>
          <w:lang w:val="es-ES"/>
        </w:rPr>
        <w:t xml:space="preserve"> a la </w:t>
      </w:r>
      <w:r>
        <w:rPr>
          <w:rFonts w:ascii="Palatino Linotype" w:hAnsi="Palatino Linotype" w:cs="Arial"/>
          <w:lang w:val="es-ES_tradnl"/>
        </w:rPr>
        <w:t xml:space="preserve">Comisionada </w:t>
      </w:r>
      <w:r>
        <w:rPr>
          <w:rFonts w:ascii="Palatino Linotype" w:hAnsi="Palatino Linotype" w:cs="Arial"/>
          <w:b/>
          <w:lang w:val="es-ES_tradnl"/>
        </w:rPr>
        <w:t xml:space="preserve">EVA ABAID YAPUR, </w:t>
      </w:r>
      <w:r>
        <w:rPr>
          <w:rFonts w:ascii="Palatino Linotype" w:hAnsi="Palatino Linotype" w:cs="Arial"/>
          <w:lang w:val="es-ES_tradnl"/>
        </w:rPr>
        <w:t>a efecto de que decretaran su admisión o desechamiento.</w:t>
      </w:r>
      <w:r>
        <w:rPr>
          <w:rFonts w:ascii="Palatino Linotype" w:hAnsi="Palatino Linotype"/>
          <w:lang w:eastAsia="es-MX"/>
        </w:rPr>
        <w:t xml:space="preserve"> </w:t>
      </w:r>
    </w:p>
    <w:p w:rsidR="006A357A" w:rsidRDefault="006A357A">
      <w:pPr>
        <w:spacing w:line="360" w:lineRule="auto"/>
        <w:ind w:right="49"/>
        <w:jc w:val="both"/>
        <w:rPr>
          <w:rFonts w:ascii="Palatino Linotype" w:hAnsi="Palatino Linotype"/>
          <w:sz w:val="8"/>
          <w:lang w:eastAsia="es-MX"/>
        </w:rPr>
      </w:pPr>
    </w:p>
    <w:p w:rsidR="006A357A" w:rsidRDefault="00767FD1">
      <w:pPr>
        <w:tabs>
          <w:tab w:val="center" w:pos="4252"/>
          <w:tab w:val="right" w:pos="8504"/>
        </w:tabs>
        <w:spacing w:line="360" w:lineRule="auto"/>
        <w:jc w:val="both"/>
        <w:rPr>
          <w:rFonts w:ascii="Palatino Linotype" w:eastAsia="MS Mincho" w:hAnsi="Palatino Linotype" w:cs="Arial"/>
          <w:lang w:val="es-ES_tradnl"/>
        </w:rPr>
      </w:pPr>
      <w:r>
        <w:rPr>
          <w:rFonts w:ascii="Palatino Linotype" w:eastAsia="MS Mincho" w:hAnsi="Palatino Linotype" w:cs="Arial"/>
          <w:b/>
          <w:sz w:val="28"/>
          <w:lang w:val="es-ES_tradnl"/>
        </w:rPr>
        <w:t xml:space="preserve">VI. </w:t>
      </w:r>
      <w:r>
        <w:rPr>
          <w:rFonts w:ascii="Palatino Linotype" w:eastAsia="MS Mincho" w:hAnsi="Palatino Linotype" w:cs="Arial"/>
          <w:lang w:val="es-ES_tradnl"/>
        </w:rPr>
        <w:t>De las constancias de los expedientes electrónicos del</w:t>
      </w:r>
      <w:r>
        <w:rPr>
          <w:rFonts w:ascii="Palatino Linotype" w:eastAsia="MS Mincho" w:hAnsi="Palatino Linotype" w:cs="Arial"/>
          <w:b/>
          <w:lang w:val="es-ES_tradnl"/>
        </w:rPr>
        <w:t xml:space="preserve"> SAIMEX</w:t>
      </w:r>
      <w:r>
        <w:rPr>
          <w:rFonts w:ascii="Palatino Linotype" w:eastAsia="MS Mincho" w:hAnsi="Palatino Linotype" w:cs="Arial"/>
          <w:lang w:val="es-ES_tradnl"/>
        </w:rPr>
        <w:t>, se desprende que el diecisiete de marzo de dos mil enero, se acordó la admisión a trámite del recurso de revisión que nos ocupan, así como la integración del expediente respectivo, mismo que se puso a disposición de las partes, para que en un plazo máxim</w:t>
      </w:r>
      <w:r>
        <w:rPr>
          <w:rFonts w:ascii="Palatino Linotype" w:eastAsia="MS Mincho" w:hAnsi="Palatino Linotype" w:cs="Arial"/>
          <w:lang w:val="es-ES_tradnl"/>
        </w:rPr>
        <w:t>o de siete días hábiles conforme a lo dispuesto por el artículo 185 de la Ley de Transparencia y Acceso a la Información Pública del Estado de México y Municipios, manifestaran lo que a su derecho conviniera, a efecto de presentar pruebas y alegatos; así c</w:t>
      </w:r>
      <w:r>
        <w:rPr>
          <w:rFonts w:ascii="Palatino Linotype" w:eastAsia="MS Mincho" w:hAnsi="Palatino Linotype" w:cs="Arial"/>
          <w:lang w:val="es-ES_tradnl"/>
        </w:rPr>
        <w:t xml:space="preserve">omo para que </w:t>
      </w:r>
      <w:r>
        <w:rPr>
          <w:rFonts w:ascii="Palatino Linotype" w:eastAsia="MS Mincho" w:hAnsi="Palatino Linotype" w:cs="Arial"/>
          <w:b/>
          <w:lang w:val="es-ES_tradnl"/>
        </w:rPr>
        <w:t xml:space="preserve">EL SUJETO OBLIGADO </w:t>
      </w:r>
      <w:r>
        <w:rPr>
          <w:rFonts w:ascii="Palatino Linotype" w:eastAsia="MS Mincho" w:hAnsi="Palatino Linotype" w:cs="Arial"/>
          <w:lang w:val="es-ES_tradnl"/>
        </w:rPr>
        <w:t>rindiera su</w:t>
      </w:r>
      <w:r>
        <w:rPr>
          <w:rFonts w:ascii="Palatino Linotype" w:eastAsia="MS Mincho" w:hAnsi="Palatino Linotype" w:cs="Arial"/>
          <w:b/>
          <w:lang w:val="es-ES_tradnl"/>
        </w:rPr>
        <w:t xml:space="preserve"> </w:t>
      </w:r>
      <w:r>
        <w:rPr>
          <w:rFonts w:ascii="Palatino Linotype" w:eastAsia="MS Mincho" w:hAnsi="Palatino Linotype" w:cs="Arial"/>
          <w:lang w:val="es-ES_tradnl"/>
        </w:rPr>
        <w:t>Informe Justificado.</w:t>
      </w:r>
    </w:p>
    <w:p w:rsidR="006A357A" w:rsidRDefault="006A357A">
      <w:pPr>
        <w:tabs>
          <w:tab w:val="center" w:pos="4252"/>
          <w:tab w:val="right" w:pos="8504"/>
        </w:tabs>
        <w:spacing w:line="360" w:lineRule="auto"/>
        <w:jc w:val="both"/>
        <w:rPr>
          <w:rFonts w:ascii="Palatino Linotype" w:eastAsia="MS Mincho" w:hAnsi="Palatino Linotype" w:cs="Arial"/>
          <w:sz w:val="20"/>
          <w:lang w:val="es-ES_tradnl"/>
        </w:rPr>
      </w:pPr>
    </w:p>
    <w:p w:rsidR="006A357A" w:rsidRDefault="00767FD1">
      <w:pPr>
        <w:spacing w:line="360" w:lineRule="auto"/>
        <w:jc w:val="both"/>
        <w:rPr>
          <w:rFonts w:ascii="Palatino Linotype" w:eastAsia="Arial Unicode MS" w:hAnsi="Palatino Linotype" w:cs="Arial"/>
          <w:lang w:val="es-ES_tradnl"/>
        </w:rPr>
      </w:pPr>
      <w:r>
        <w:rPr>
          <w:rFonts w:ascii="Palatino Linotype" w:hAnsi="Palatino Linotype"/>
          <w:b/>
          <w:sz w:val="28"/>
          <w:szCs w:val="28"/>
          <w:lang w:eastAsia="es-MX"/>
        </w:rPr>
        <w:t>VII.</w:t>
      </w:r>
      <w:r>
        <w:rPr>
          <w:rFonts w:ascii="Palatino Linotype" w:hAnsi="Palatino Linotype"/>
          <w:b/>
          <w:lang w:eastAsia="es-MX"/>
        </w:rPr>
        <w:t xml:space="preserve"> </w:t>
      </w:r>
      <w:r>
        <w:rPr>
          <w:rFonts w:ascii="Palatino Linotype" w:hAnsi="Palatino Linotype" w:cs="Arial"/>
          <w:lang w:val="es-ES"/>
        </w:rPr>
        <w:t>En cumplimiento a lo anterior, de las constancias del expediente electrónico del</w:t>
      </w:r>
      <w:r>
        <w:rPr>
          <w:rFonts w:ascii="Palatino Linotype" w:hAnsi="Palatino Linotype" w:cs="Arial"/>
          <w:b/>
          <w:lang w:val="es-ES"/>
        </w:rPr>
        <w:t xml:space="preserve"> SAIMEX</w:t>
      </w:r>
      <w:r>
        <w:rPr>
          <w:rFonts w:ascii="Palatino Linotype" w:hAnsi="Palatino Linotype" w:cs="Arial"/>
          <w:lang w:val="es-ES"/>
        </w:rPr>
        <w:t xml:space="preserve">, se observó que </w:t>
      </w:r>
      <w:r>
        <w:rPr>
          <w:rFonts w:ascii="Palatino Linotype" w:hAnsi="Palatino Linotype" w:cs="Arial"/>
          <w:b/>
          <w:lang w:val="es-ES"/>
        </w:rPr>
        <w:t xml:space="preserve">EL SUJETO OBLIGADO </w:t>
      </w:r>
      <w:r>
        <w:rPr>
          <w:rFonts w:ascii="Palatino Linotype" w:hAnsi="Palatino Linotype" w:cs="Arial"/>
          <w:lang w:val="es-ES"/>
        </w:rPr>
        <w:t>fue omiso en rendir el Informe Justificado; p</w:t>
      </w:r>
      <w:r>
        <w:rPr>
          <w:rFonts w:ascii="Palatino Linotype" w:eastAsia="MS Mincho" w:hAnsi="Palatino Linotype"/>
          <w:lang w:eastAsia="es-MX"/>
        </w:rPr>
        <w:t xml:space="preserve">or su parte, </w:t>
      </w:r>
      <w:r>
        <w:rPr>
          <w:rFonts w:ascii="Palatino Linotype" w:eastAsia="MS Mincho" w:hAnsi="Palatino Linotype"/>
          <w:b/>
          <w:lang w:eastAsia="es-MX"/>
        </w:rPr>
        <w:t>EL R</w:t>
      </w:r>
      <w:r>
        <w:rPr>
          <w:rFonts w:ascii="Palatino Linotype" w:eastAsia="MS Mincho" w:hAnsi="Palatino Linotype"/>
          <w:b/>
          <w:lang w:eastAsia="es-MX"/>
        </w:rPr>
        <w:t xml:space="preserve">ECURRENTE </w:t>
      </w:r>
      <w:r>
        <w:rPr>
          <w:rFonts w:ascii="Palatino Linotype" w:eastAsia="MS Mincho" w:hAnsi="Palatino Linotype"/>
          <w:lang w:eastAsia="es-MX"/>
        </w:rPr>
        <w:t>no realizó manifiestación alguna,</w:t>
      </w:r>
      <w:r>
        <w:rPr>
          <w:rFonts w:ascii="Palatino Linotype" w:eastAsia="Arial Unicode MS" w:hAnsi="Palatino Linotype" w:cs="Arial"/>
          <w:lang w:val="es-ES_tradnl"/>
        </w:rPr>
        <w:t xml:space="preserve"> ni presentó pruebas o alegatos que a su derecho convinieran.</w:t>
      </w:r>
    </w:p>
    <w:p w:rsidR="006A357A" w:rsidRDefault="006A357A">
      <w:pPr>
        <w:tabs>
          <w:tab w:val="center" w:pos="4252"/>
          <w:tab w:val="right" w:pos="8504"/>
        </w:tabs>
        <w:spacing w:line="360" w:lineRule="auto"/>
        <w:jc w:val="both"/>
        <w:rPr>
          <w:rFonts w:ascii="Palatino Linotype" w:eastAsia="Arial Unicode MS" w:hAnsi="Palatino Linotype" w:cs="Arial"/>
          <w:sz w:val="20"/>
          <w:lang w:val="es-ES_tradnl"/>
        </w:rPr>
      </w:pPr>
    </w:p>
    <w:p w:rsidR="006A357A" w:rsidRDefault="00767FD1">
      <w:pPr>
        <w:tabs>
          <w:tab w:val="center" w:pos="4252"/>
          <w:tab w:val="right" w:pos="8504"/>
        </w:tabs>
        <w:spacing w:line="360" w:lineRule="auto"/>
        <w:jc w:val="both"/>
        <w:rPr>
          <w:rFonts w:ascii="Palatino Linotype" w:eastAsia="MS Mincho" w:hAnsi="Palatino Linotype" w:cs="Arial"/>
          <w:lang w:val="es-ES_tradnl"/>
        </w:rPr>
      </w:pPr>
      <w:r>
        <w:rPr>
          <w:rFonts w:ascii="Palatino Linotype" w:eastAsia="MS Mincho" w:hAnsi="Palatino Linotype"/>
          <w:b/>
          <w:sz w:val="28"/>
          <w:szCs w:val="28"/>
          <w:lang w:val="es-ES_tradnl"/>
        </w:rPr>
        <w:t xml:space="preserve">VIII. </w:t>
      </w:r>
      <w:r>
        <w:rPr>
          <w:rFonts w:ascii="Palatino Linotype" w:eastAsia="MS Mincho" w:hAnsi="Palatino Linotype" w:cs="Arial"/>
          <w:lang w:val="es-ES_tradnl"/>
        </w:rPr>
        <w:t xml:space="preserve">Una vez analizado el estado procesal que guarda el expediente, en fecha diez de agosto de dos mil veinte, la Comisionada </w:t>
      </w:r>
      <w:r>
        <w:rPr>
          <w:rFonts w:ascii="Palatino Linotype" w:eastAsia="MS Mincho" w:hAnsi="Palatino Linotype" w:cs="Arial"/>
          <w:b/>
          <w:lang w:val="es-ES_tradnl"/>
        </w:rPr>
        <w:t xml:space="preserve">EVA ABAID YAPUR </w:t>
      </w:r>
      <w:r>
        <w:rPr>
          <w:rFonts w:ascii="Palatino Linotype" w:eastAsia="MS Mincho" w:hAnsi="Palatino Linotype" w:cs="Arial"/>
          <w:lang w:val="es-ES_tradnl"/>
        </w:rPr>
        <w:t xml:space="preserve">acordó </w:t>
      </w:r>
      <w:r>
        <w:rPr>
          <w:rFonts w:ascii="Palatino Linotype" w:eastAsia="MS Mincho" w:hAnsi="Palatino Linotype" w:cs="Arial"/>
          <w:lang w:val="es-ES_tradnl"/>
        </w:rPr>
        <w:t>el cierre de instrucción en el recurso de revisión, así como la remisión del expediente a efecto de ser resuelto, de conformidad con lo establecido en el artículo 185 fracciones VI y VIII de la Ley de Transparencia y Acceso a la Información Pública del Est</w:t>
      </w:r>
      <w:r>
        <w:rPr>
          <w:rFonts w:ascii="Palatino Linotype" w:eastAsia="MS Mincho" w:hAnsi="Palatino Linotype" w:cs="Arial"/>
          <w:lang w:val="es-ES_tradnl"/>
        </w:rPr>
        <w:t>ado de México y Municipios; y</w:t>
      </w:r>
    </w:p>
    <w:p w:rsidR="006A357A" w:rsidRDefault="006A357A">
      <w:pPr>
        <w:tabs>
          <w:tab w:val="center" w:pos="4252"/>
          <w:tab w:val="right" w:pos="8504"/>
        </w:tabs>
        <w:spacing w:line="360" w:lineRule="auto"/>
        <w:jc w:val="both"/>
        <w:rPr>
          <w:rFonts w:ascii="Palatino Linotype" w:eastAsia="MS Mincho" w:hAnsi="Palatino Linotype" w:cs="Arial"/>
          <w:sz w:val="16"/>
          <w:lang w:val="es-ES_tradnl"/>
        </w:rPr>
      </w:pPr>
    </w:p>
    <w:p w:rsidR="006A357A" w:rsidRDefault="00767FD1">
      <w:pPr>
        <w:jc w:val="center"/>
        <w:rPr>
          <w:rFonts w:ascii="Palatino Linotype" w:hAnsi="Palatino Linotype"/>
          <w:b/>
          <w:szCs w:val="28"/>
          <w:lang w:val="es-ES"/>
        </w:rPr>
      </w:pPr>
      <w:r>
        <w:rPr>
          <w:rFonts w:ascii="Palatino Linotype" w:hAnsi="Palatino Linotype"/>
          <w:b/>
          <w:szCs w:val="28"/>
          <w:lang w:val="es-ES"/>
        </w:rPr>
        <w:t>C O N S I D E R A N D O</w:t>
      </w:r>
    </w:p>
    <w:p w:rsidR="006A357A" w:rsidRDefault="006A357A">
      <w:pPr>
        <w:jc w:val="center"/>
        <w:rPr>
          <w:rFonts w:ascii="Palatino Linotype" w:hAnsi="Palatino Linotype"/>
          <w:b/>
          <w:szCs w:val="28"/>
          <w:lang w:val="es-ES"/>
        </w:rPr>
      </w:pPr>
    </w:p>
    <w:p w:rsidR="006A357A" w:rsidRDefault="00767FD1">
      <w:pPr>
        <w:spacing w:line="360" w:lineRule="auto"/>
        <w:ind w:right="50"/>
        <w:jc w:val="both"/>
        <w:rPr>
          <w:rFonts w:ascii="Palatino Linotype" w:hAnsi="Palatino Linotype" w:cs="Arial"/>
          <w:b/>
          <w:lang w:val="es-ES"/>
        </w:rPr>
      </w:pPr>
      <w:r>
        <w:rPr>
          <w:rFonts w:ascii="Palatino Linotype" w:hAnsi="Palatino Linotype"/>
          <w:b/>
          <w:sz w:val="28"/>
          <w:szCs w:val="28"/>
          <w:lang w:val="es-ES"/>
        </w:rPr>
        <w:t>PRIMERO</w:t>
      </w:r>
      <w:r>
        <w:rPr>
          <w:rFonts w:ascii="Palatino Linotype" w:hAnsi="Palatino Linotype"/>
          <w:b/>
          <w:lang w:val="es-ES"/>
        </w:rPr>
        <w:t>.</w:t>
      </w:r>
      <w:r>
        <w:rPr>
          <w:rFonts w:ascii="Palatino Linotype" w:hAnsi="Palatino Linotype"/>
          <w:lang w:val="es-ES"/>
        </w:rPr>
        <w:t xml:space="preserve"> </w:t>
      </w:r>
      <w:r>
        <w:rPr>
          <w:rFonts w:ascii="Palatino Linotype" w:hAnsi="Palatino Linotype"/>
          <w:b/>
          <w:i/>
          <w:lang w:val="es-ES"/>
        </w:rPr>
        <w:t>Competencia</w:t>
      </w:r>
      <w:r>
        <w:rPr>
          <w:rFonts w:ascii="Palatino Linotype" w:hAnsi="Palatino Linotype"/>
          <w:i/>
          <w:lang w:val="es-ES"/>
        </w:rPr>
        <w:t>.</w:t>
      </w:r>
      <w:r>
        <w:rPr>
          <w:rFonts w:ascii="Palatino Linotype" w:hAnsi="Palatino Linotype"/>
          <w:b/>
          <w:lang w:val="es-ES"/>
        </w:rPr>
        <w:t xml:space="preserve"> </w:t>
      </w:r>
      <w:r>
        <w:rPr>
          <w:rFonts w:ascii="Palatino Linotype" w:hAnsi="Palatino Linotype"/>
          <w:lang w:val="es-ES"/>
        </w:rPr>
        <w:t xml:space="preserve">Este Instituto de </w:t>
      </w:r>
      <w:r>
        <w:rPr>
          <w:rFonts w:ascii="Palatino Linotype" w:hAnsi="Palatino Linotype" w:cs="Arial"/>
          <w:lang w:val="es-ES"/>
        </w:rPr>
        <w:t>Transparencia</w:t>
      </w:r>
      <w:r>
        <w:rPr>
          <w:rFonts w:ascii="Palatino Linotype" w:hAnsi="Palatino Linotype"/>
          <w:lang w:val="es-ES"/>
        </w:rPr>
        <w:t>, Acceso a la Información Pública y Protección de Datos Personales del Estado de México y Municipios, es competente para conocer y resolver el pres</w:t>
      </w:r>
      <w:r>
        <w:rPr>
          <w:rFonts w:ascii="Palatino Linotype" w:hAnsi="Palatino Linotype"/>
          <w:lang w:val="es-ES"/>
        </w:rPr>
        <w:t xml:space="preserve">ente recurso, conforme a lo dispuesto en los artículos 6, Letra A de la Constitución Política de los Estados Unidos Mexicanos; 5, párrafos vigésimo segundo, vigésimo tercero y vigésimo cuarto, fracciones IV y V de la Constitución Política del Estado Libre </w:t>
      </w:r>
      <w:r>
        <w:rPr>
          <w:rFonts w:ascii="Palatino Linotype" w:hAnsi="Palatino Linotype"/>
          <w:lang w:val="es-ES"/>
        </w:rPr>
        <w:t>y Soberano de México; 1, 2, fracción II, 13, 29, 36, fracciones I y II, 176, 178, 179, 181, párrafo tercero y 185 de la Ley de Transparencia y Acceso a la Información Pública del Estado de México y Municipios</w:t>
      </w:r>
      <w:r>
        <w:rPr>
          <w:rFonts w:ascii="Palatino Linotype" w:hAnsi="Palatino Linotype" w:cs="Arial"/>
          <w:lang w:val="es-ES"/>
        </w:rPr>
        <w:t>; y 9, fracciones I y XXIV y 11 del Reglamento I</w:t>
      </w:r>
      <w:r>
        <w:rPr>
          <w:rFonts w:ascii="Palatino Linotype" w:hAnsi="Palatino Linotype" w:cs="Arial"/>
          <w:lang w:val="es-ES"/>
        </w:rPr>
        <w:t>nterior del Instituto de Transparencia, Acceso a la Información Pública y Protección de Datos Personales del Estado de México y Municipios; toda vez que se trata de un recurso de revisión interpuestos por un Ciudadano en términos de la Ley de la materia.</w:t>
      </w:r>
    </w:p>
    <w:p w:rsidR="006A357A" w:rsidRDefault="006A357A">
      <w:pPr>
        <w:spacing w:line="360" w:lineRule="auto"/>
        <w:jc w:val="both"/>
        <w:rPr>
          <w:rFonts w:ascii="Palatino Linotype" w:hAnsi="Palatino Linotype" w:cs="Arial"/>
          <w:b/>
          <w:lang w:val="es-ES"/>
        </w:rPr>
      </w:pPr>
    </w:p>
    <w:p w:rsidR="006A357A" w:rsidRDefault="00767FD1">
      <w:pPr>
        <w:spacing w:line="360" w:lineRule="auto"/>
        <w:jc w:val="both"/>
        <w:rPr>
          <w:rFonts w:ascii="Palatino Linotype" w:hAnsi="Palatino Linotype" w:cs="Arial"/>
          <w:b/>
          <w:bCs/>
          <w:lang w:val="es-ES"/>
        </w:rPr>
      </w:pPr>
      <w:r>
        <w:rPr>
          <w:rFonts w:ascii="Palatino Linotype" w:hAnsi="Palatino Linotype" w:cs="Arial"/>
          <w:b/>
          <w:sz w:val="28"/>
          <w:lang w:val="es-ES"/>
        </w:rPr>
        <w:t>SEGUNDO</w:t>
      </w:r>
      <w:r>
        <w:rPr>
          <w:rFonts w:ascii="Palatino Linotype" w:hAnsi="Palatino Linotype" w:cs="Arial"/>
          <w:b/>
        </w:rPr>
        <w:t xml:space="preserve">. </w:t>
      </w:r>
      <w:r>
        <w:rPr>
          <w:rFonts w:ascii="Palatino Linotype" w:hAnsi="Palatino Linotype" w:cs="Arial"/>
          <w:b/>
          <w:i/>
          <w:lang w:val="es-ES"/>
        </w:rPr>
        <w:t>Interés.</w:t>
      </w:r>
      <w:r>
        <w:rPr>
          <w:rFonts w:ascii="Palatino Linotype" w:hAnsi="Palatino Linotype" w:cs="Arial"/>
          <w:b/>
          <w:lang w:val="es-ES"/>
        </w:rPr>
        <w:t xml:space="preserve"> </w:t>
      </w:r>
      <w:r>
        <w:rPr>
          <w:rFonts w:ascii="Palatino Linotype" w:hAnsi="Palatino Linotype" w:cs="Arial"/>
          <w:lang w:val="es-ES"/>
        </w:rPr>
        <w:t xml:space="preserve">El recurso de revisión fue interpuesto por parte legítima, en atención a que fue presentado por </w:t>
      </w:r>
      <w:r>
        <w:rPr>
          <w:rFonts w:ascii="Palatino Linotype" w:hAnsi="Palatino Linotype" w:cs="Arial"/>
          <w:b/>
          <w:lang w:val="es-ES"/>
        </w:rPr>
        <w:t>EL RECURRENTE</w:t>
      </w:r>
      <w:r>
        <w:rPr>
          <w:rFonts w:ascii="Palatino Linotype" w:hAnsi="Palatino Linotype" w:cs="Arial"/>
          <w:lang w:val="es-ES"/>
        </w:rPr>
        <w:t xml:space="preserve">, quien es la misma persona que formuló la solicitud de acceso a la información pública </w:t>
      </w:r>
      <w:r>
        <w:rPr>
          <w:rFonts w:ascii="Palatino Linotype" w:hAnsi="Palatino Linotype" w:cs="Arial"/>
          <w:bCs/>
          <w:lang w:val="es-ES"/>
        </w:rPr>
        <w:t xml:space="preserve">al </w:t>
      </w:r>
      <w:r>
        <w:rPr>
          <w:rFonts w:ascii="Palatino Linotype" w:hAnsi="Palatino Linotype" w:cs="Arial"/>
          <w:b/>
          <w:bCs/>
          <w:lang w:val="es-ES"/>
        </w:rPr>
        <w:t>SUJETO OBLIGADO.</w:t>
      </w:r>
    </w:p>
    <w:p w:rsidR="006A357A" w:rsidRDefault="006A357A">
      <w:pPr>
        <w:spacing w:line="360" w:lineRule="auto"/>
        <w:ind w:right="49"/>
        <w:contextualSpacing/>
        <w:jc w:val="both"/>
        <w:rPr>
          <w:rFonts w:ascii="Palatino Linotype" w:hAnsi="Palatino Linotype"/>
          <w:b/>
          <w:sz w:val="20"/>
          <w:lang w:val="es-ES"/>
        </w:rPr>
      </w:pPr>
    </w:p>
    <w:p w:rsidR="006A357A" w:rsidRDefault="00767FD1">
      <w:pPr>
        <w:spacing w:line="360" w:lineRule="auto"/>
        <w:ind w:right="49"/>
        <w:contextualSpacing/>
        <w:jc w:val="both"/>
        <w:rPr>
          <w:rFonts w:ascii="Palatino Linotype" w:hAnsi="Palatino Linotype" w:cs="Arial"/>
          <w:lang w:val="es-ES"/>
        </w:rPr>
      </w:pPr>
      <w:r>
        <w:rPr>
          <w:rFonts w:ascii="Palatino Linotype" w:hAnsi="Palatino Linotype"/>
          <w:b/>
          <w:sz w:val="28"/>
          <w:lang w:val="es-ES"/>
        </w:rPr>
        <w:t xml:space="preserve">TERCERO. </w:t>
      </w:r>
      <w:r>
        <w:rPr>
          <w:rFonts w:ascii="Palatino Linotype" w:hAnsi="Palatino Linotype" w:cs="Arial"/>
          <w:b/>
          <w:i/>
          <w:lang w:val="es-ES"/>
        </w:rPr>
        <w:t>Oportunidad</w:t>
      </w:r>
      <w:r>
        <w:rPr>
          <w:rFonts w:ascii="Palatino Linotype" w:hAnsi="Palatino Linotype" w:cs="Arial"/>
          <w:b/>
          <w:i/>
          <w:lang w:val="es-ES"/>
        </w:rPr>
        <w:t>.</w:t>
      </w:r>
      <w:r>
        <w:rPr>
          <w:rFonts w:ascii="Palatino Linotype" w:hAnsi="Palatino Linotype" w:cs="Arial"/>
          <w:b/>
          <w:lang w:val="es-ES"/>
        </w:rPr>
        <w:t xml:space="preserve"> </w:t>
      </w:r>
      <w:r>
        <w:rPr>
          <w:rFonts w:ascii="Palatino Linotype" w:hAnsi="Palatino Linotype" w:cs="Arial"/>
          <w:lang w:val="es-ES"/>
        </w:rPr>
        <w:t xml:space="preserve">El recurso de revisión fue interpuesto dentro del plazo de quince días hábiles contados a partir del día siguiente al en que </w:t>
      </w:r>
      <w:r>
        <w:rPr>
          <w:rFonts w:ascii="Palatino Linotype" w:hAnsi="Palatino Linotype" w:cs="Arial"/>
          <w:b/>
          <w:lang w:val="es-ES"/>
        </w:rPr>
        <w:t xml:space="preserve">EL RECURRENTE </w:t>
      </w:r>
      <w:r>
        <w:rPr>
          <w:rFonts w:ascii="Palatino Linotype" w:hAnsi="Palatino Linotype" w:cs="Arial"/>
          <w:lang w:val="es-ES"/>
        </w:rPr>
        <w:t>tuvo conocimiento de las respuestas impugnadas, tal y como lo prevé el artículo 178 de la Ley de Transparencia y Ac</w:t>
      </w:r>
      <w:r>
        <w:rPr>
          <w:rFonts w:ascii="Palatino Linotype" w:hAnsi="Palatino Linotype" w:cs="Arial"/>
          <w:lang w:val="es-ES"/>
        </w:rPr>
        <w:t xml:space="preserve">ceso a la Información Pública del Estado de México y Municipios, que establece: </w:t>
      </w:r>
    </w:p>
    <w:p w:rsidR="006A357A" w:rsidRDefault="006A357A">
      <w:pPr>
        <w:ind w:left="851" w:right="899"/>
        <w:jc w:val="both"/>
        <w:rPr>
          <w:rFonts w:ascii="Palatino Linotype" w:hAnsi="Palatino Linotype" w:cs="Arial"/>
          <w:lang w:val="es-ES"/>
        </w:rPr>
      </w:pPr>
    </w:p>
    <w:p w:rsidR="006A357A" w:rsidRDefault="00767FD1">
      <w:pPr>
        <w:tabs>
          <w:tab w:val="left" w:pos="8222"/>
        </w:tabs>
        <w:ind w:left="851" w:right="1134"/>
        <w:jc w:val="both"/>
        <w:rPr>
          <w:rFonts w:ascii="Palatino Linotype" w:hAnsi="Palatino Linotype" w:cs="Arial"/>
          <w:i/>
          <w:lang w:val="es-ES"/>
        </w:rPr>
      </w:pPr>
      <w:r>
        <w:rPr>
          <w:rFonts w:ascii="Palatino Linotype" w:hAnsi="Palatino Linotype" w:cs="Arial"/>
          <w:b/>
          <w:i/>
          <w:lang w:val="es-ES"/>
        </w:rPr>
        <w:t>“Artículo 178.</w:t>
      </w:r>
      <w:r>
        <w:rPr>
          <w:rFonts w:ascii="Palatino Linotype" w:hAnsi="Palatino Linotype" w:cs="Arial"/>
          <w:i/>
          <w:lang w:val="es-ES"/>
        </w:rPr>
        <w:t xml:space="preserve"> El solicitante podrá interponer, por sí mismo o a través de su representante, de manera directa o por medios electrónicos, recurso de revisión ante el Institut</w:t>
      </w:r>
      <w:r>
        <w:rPr>
          <w:rFonts w:ascii="Palatino Linotype" w:hAnsi="Palatino Linotype" w:cs="Arial"/>
          <w:i/>
          <w:lang w:val="es-ES"/>
        </w:rPr>
        <w:t>o o ante la Unidad de Transparencia que haya conocido de la solicitud dentro de los quince días hábiles, siguientes a la fecha de la notificación de la respuesta.</w:t>
      </w:r>
    </w:p>
    <w:p w:rsidR="006A357A" w:rsidRDefault="00767FD1">
      <w:pPr>
        <w:tabs>
          <w:tab w:val="left" w:pos="8222"/>
        </w:tabs>
        <w:ind w:left="851" w:right="1134"/>
        <w:jc w:val="both"/>
        <w:rPr>
          <w:rFonts w:ascii="Palatino Linotype" w:hAnsi="Palatino Linotype" w:cs="Arial"/>
          <w:i/>
          <w:lang w:val="es-ES"/>
        </w:rPr>
      </w:pPr>
      <w:r>
        <w:rPr>
          <w:rFonts w:ascii="Palatino Linotype" w:hAnsi="Palatino Linotype" w:cs="Arial"/>
          <w:i/>
          <w:lang w:val="es-ES"/>
        </w:rPr>
        <w:t>A falta de respuesta del sujeto obligado, dentro de los plazos establecidos en esta Ley, a un</w:t>
      </w:r>
      <w:r>
        <w:rPr>
          <w:rFonts w:ascii="Palatino Linotype" w:hAnsi="Palatino Linotype" w:cs="Arial"/>
          <w:i/>
          <w:lang w:val="es-ES"/>
        </w:rPr>
        <w:t>a solicitud de acceso a la información pública, el recurso podrá ser interpuesto en cualquier momento, acompañado con el documento que pruebe la fecha en que presentó la solicitud.</w:t>
      </w:r>
    </w:p>
    <w:p w:rsidR="006A357A" w:rsidRDefault="00767FD1">
      <w:pPr>
        <w:tabs>
          <w:tab w:val="left" w:pos="8222"/>
        </w:tabs>
        <w:ind w:left="851" w:right="1134"/>
        <w:jc w:val="both"/>
        <w:rPr>
          <w:rFonts w:ascii="Palatino Linotype" w:hAnsi="Palatino Linotype" w:cs="Arial"/>
          <w:i/>
          <w:lang w:val="es-ES"/>
        </w:rPr>
      </w:pPr>
      <w:r>
        <w:rPr>
          <w:rFonts w:ascii="Palatino Linotype" w:hAnsi="Palatino Linotype" w:cs="Arial"/>
          <w:i/>
          <w:lang w:val="es-ES"/>
        </w:rPr>
        <w:t>En el caso de que se interponga ante la Unidad de Transparencia, ésta deber</w:t>
      </w:r>
      <w:r>
        <w:rPr>
          <w:rFonts w:ascii="Palatino Linotype" w:hAnsi="Palatino Linotype" w:cs="Arial"/>
          <w:i/>
          <w:lang w:val="es-ES"/>
        </w:rPr>
        <w:t>á remitir el recurso de revisión al Instituto a más tardar al día siguiente de haberlo recibido.</w:t>
      </w:r>
      <w:r>
        <w:rPr>
          <w:rFonts w:ascii="Palatino Linotype" w:hAnsi="Palatino Linotype" w:cs="Arial"/>
          <w:b/>
          <w:i/>
          <w:lang w:val="es-ES"/>
        </w:rPr>
        <w:t>”</w:t>
      </w:r>
    </w:p>
    <w:p w:rsidR="006A357A" w:rsidRDefault="006A357A">
      <w:pPr>
        <w:ind w:right="899"/>
        <w:jc w:val="both"/>
        <w:rPr>
          <w:rFonts w:ascii="Palatino Linotype" w:hAnsi="Palatino Linotype" w:cs="Arial"/>
          <w:lang w:val="es-ES"/>
        </w:rPr>
      </w:pPr>
    </w:p>
    <w:p w:rsidR="006A357A" w:rsidRDefault="00767FD1">
      <w:pPr>
        <w:spacing w:line="360" w:lineRule="auto"/>
        <w:jc w:val="both"/>
        <w:rPr>
          <w:rFonts w:ascii="Palatino Linotype" w:hAnsi="Palatino Linotype" w:cs="Arial"/>
        </w:rPr>
      </w:pPr>
      <w:r>
        <w:rPr>
          <w:rFonts w:ascii="Palatino Linotype" w:hAnsi="Palatino Linotype" w:cs="Arial"/>
        </w:rPr>
        <w:t xml:space="preserve">Para efecto, se actualiza la hipótesis prevista en el precepto legal antes citado, en atención a que la respuesta impugnada en el recurso de revisión </w:t>
      </w:r>
      <w:r>
        <w:rPr>
          <w:rFonts w:ascii="Palatino Linotype" w:hAnsi="Palatino Linotype"/>
          <w:b/>
        </w:rPr>
        <w:t>01507/I</w:t>
      </w:r>
      <w:r>
        <w:rPr>
          <w:rFonts w:ascii="Palatino Linotype" w:hAnsi="Palatino Linotype"/>
          <w:b/>
        </w:rPr>
        <w:t xml:space="preserve">NFOEM/IP/RR/2020, </w:t>
      </w:r>
      <w:r>
        <w:rPr>
          <w:rFonts w:ascii="Palatino Linotype" w:hAnsi="Palatino Linotype" w:cs="Arial"/>
          <w:bCs/>
        </w:rPr>
        <w:t xml:space="preserve">fue notificada </w:t>
      </w:r>
      <w:r>
        <w:rPr>
          <w:rFonts w:ascii="Palatino Linotype" w:hAnsi="Palatino Linotype" w:cs="Arial"/>
        </w:rPr>
        <w:t xml:space="preserve">al </w:t>
      </w:r>
      <w:r>
        <w:rPr>
          <w:rFonts w:ascii="Palatino Linotype" w:hAnsi="Palatino Linotype" w:cs="Arial"/>
          <w:b/>
          <w:color w:val="000000"/>
        </w:rPr>
        <w:t>RECURRENTE</w:t>
      </w:r>
      <w:r>
        <w:rPr>
          <w:rFonts w:ascii="Palatino Linotype" w:hAnsi="Palatino Linotype" w:cs="Arial"/>
          <w:bCs/>
        </w:rPr>
        <w:t xml:space="preserve"> el </w:t>
      </w:r>
      <w:r>
        <w:rPr>
          <w:rFonts w:ascii="Palatino Linotype" w:hAnsi="Palatino Linotype"/>
          <w:b/>
        </w:rPr>
        <w:t xml:space="preserve">veintisiete de febrero de dos mil veinte, </w:t>
      </w:r>
      <w:r>
        <w:rPr>
          <w:rFonts w:ascii="Palatino Linotype" w:hAnsi="Palatino Linotype" w:cs="Arial"/>
          <w:bCs/>
        </w:rPr>
        <w:t>por lo que, el plazo</w:t>
      </w:r>
      <w:r>
        <w:rPr>
          <w:rFonts w:ascii="Palatino Linotype" w:hAnsi="Palatino Linotype" w:cs="Arial"/>
          <w:b/>
          <w:bCs/>
        </w:rPr>
        <w:t xml:space="preserve"> </w:t>
      </w:r>
      <w:r>
        <w:rPr>
          <w:rFonts w:ascii="Palatino Linotype" w:hAnsi="Palatino Linotype" w:cs="Arial"/>
          <w:bCs/>
        </w:rPr>
        <w:t xml:space="preserve">para presentar el recurso de revisión transcurrió del </w:t>
      </w:r>
      <w:r>
        <w:rPr>
          <w:rFonts w:ascii="Palatino Linotype" w:hAnsi="Palatino Linotype" w:cs="Arial"/>
          <w:b/>
          <w:bCs/>
        </w:rPr>
        <w:t xml:space="preserve">veintiocho </w:t>
      </w:r>
      <w:r>
        <w:rPr>
          <w:rFonts w:ascii="Palatino Linotype" w:hAnsi="Palatino Linotype" w:cs="Arial"/>
          <w:b/>
        </w:rPr>
        <w:t xml:space="preserve">de febrero al veinte de marzo de dos mil veinte; </w:t>
      </w:r>
      <w:r>
        <w:rPr>
          <w:rFonts w:ascii="Palatino Linotype" w:hAnsi="Palatino Linotype" w:cs="Arial"/>
          <w:lang w:val="es-ES_tradnl"/>
        </w:rPr>
        <w:t xml:space="preserve">sin contemplar en el cómputo los días veintinueve de febrero; uno siete, ocho, catorce y quince de marzo de dos mil veinte, por corresponder a sábados y domingos </w:t>
      </w:r>
      <w:r>
        <w:rPr>
          <w:rFonts w:ascii="Palatino Linotype" w:hAnsi="Palatino Linotype" w:cs="Arial"/>
        </w:rPr>
        <w:t xml:space="preserve">considerados como días inhábiles; en términos del artículo 3, fracción X de la </w:t>
      </w:r>
      <w:r>
        <w:rPr>
          <w:rFonts w:ascii="Palatino Linotype" w:hAnsi="Palatino Linotype"/>
        </w:rPr>
        <w:t>Ley de Transpar</w:t>
      </w:r>
      <w:r>
        <w:rPr>
          <w:rFonts w:ascii="Palatino Linotype" w:hAnsi="Palatino Linotype"/>
        </w:rPr>
        <w:t xml:space="preserve">encia y Acceso a la Información Pública del Estado de México y Municipios así como el dos y dieciséis de marzo de dos mil nueve, </w:t>
      </w:r>
      <w:r>
        <w:rPr>
          <w:rFonts w:ascii="Palatino Linotype" w:hAnsi="Palatino Linotype" w:cs="Arial"/>
        </w:rPr>
        <w:t xml:space="preserve">considerados como días inhábiles, en términos del calendario oficial publicado en el periódico oficial Gaceta del Gobierno, el </w:t>
      </w:r>
      <w:r>
        <w:rPr>
          <w:rFonts w:ascii="Palatino Linotype" w:hAnsi="Palatino Linotype" w:cs="Arial"/>
        </w:rPr>
        <w:t>19 de diciembre de 2019.</w:t>
      </w:r>
    </w:p>
    <w:p w:rsidR="006A357A" w:rsidRDefault="006A357A">
      <w:pPr>
        <w:spacing w:line="360" w:lineRule="auto"/>
        <w:jc w:val="both"/>
        <w:rPr>
          <w:rFonts w:ascii="Palatino Linotype" w:hAnsi="Palatino Linotype" w:cs="Arial"/>
          <w:sz w:val="10"/>
        </w:rPr>
      </w:pPr>
    </w:p>
    <w:p w:rsidR="006A357A" w:rsidRDefault="00767FD1">
      <w:pPr>
        <w:spacing w:line="360" w:lineRule="auto"/>
        <w:jc w:val="both"/>
        <w:rPr>
          <w:rFonts w:ascii="Palatino Linotype" w:hAnsi="Palatino Linotype" w:cs="Arial"/>
          <w:lang w:val="es-ES"/>
        </w:rPr>
      </w:pPr>
      <w:r>
        <w:rPr>
          <w:rFonts w:ascii="Palatino Linotype" w:hAnsi="Palatino Linotype" w:cs="Arial"/>
          <w:lang w:val="es-ES"/>
        </w:rPr>
        <w:t xml:space="preserve">En ese tenor, si el recurso de revisión que nos ocupa, se interpuso en fecha </w:t>
      </w:r>
      <w:r>
        <w:rPr>
          <w:rFonts w:ascii="Palatino Linotype" w:hAnsi="Palatino Linotype" w:cs="Arial"/>
          <w:b/>
          <w:u w:val="single"/>
          <w:lang w:val="es-ES"/>
        </w:rPr>
        <w:t>siete de marzo de dos mil veinte</w:t>
      </w:r>
      <w:r>
        <w:rPr>
          <w:rFonts w:ascii="Palatino Linotype" w:hAnsi="Palatino Linotype" w:cs="Arial"/>
          <w:b/>
          <w:lang w:val="es-ES"/>
        </w:rPr>
        <w:t xml:space="preserve">, </w:t>
      </w:r>
      <w:r>
        <w:rPr>
          <w:rFonts w:ascii="Palatino Linotype" w:hAnsi="Palatino Linotype" w:cs="Arial"/>
          <w:lang w:val="es-ES"/>
        </w:rPr>
        <w:t xml:space="preserve">éste se encuentra dentro del margen temporal previsto en el precepto legal y, por tanto, es oportuno. </w:t>
      </w:r>
    </w:p>
    <w:p w:rsidR="006A357A" w:rsidRDefault="006A357A">
      <w:pPr>
        <w:spacing w:line="360" w:lineRule="auto"/>
        <w:jc w:val="both"/>
        <w:rPr>
          <w:rFonts w:ascii="Palatino Linotype" w:hAnsi="Palatino Linotype" w:cs="Arial"/>
          <w:sz w:val="2"/>
          <w:lang w:val="es-ES"/>
        </w:rPr>
      </w:pPr>
    </w:p>
    <w:p w:rsidR="006A357A" w:rsidRDefault="00767FD1">
      <w:pPr>
        <w:pStyle w:val="Prrafodelista"/>
        <w:widowControl w:val="0"/>
        <w:tabs>
          <w:tab w:val="left" w:pos="1418"/>
        </w:tabs>
        <w:spacing w:before="200" w:after="200" w:line="360" w:lineRule="auto"/>
        <w:ind w:left="0"/>
        <w:jc w:val="both"/>
        <w:rPr>
          <w:rFonts w:ascii="Palatino Linotype" w:hAnsi="Palatino Linotype" w:cs="Arial"/>
          <w:szCs w:val="28"/>
        </w:rPr>
      </w:pPr>
      <w:r>
        <w:rPr>
          <w:rFonts w:ascii="Palatino Linotype" w:hAnsi="Palatino Linotype"/>
          <w:b/>
          <w:sz w:val="28"/>
        </w:rPr>
        <w:t xml:space="preserve">CUARTO. </w:t>
      </w:r>
      <w:r>
        <w:rPr>
          <w:rFonts w:ascii="Palatino Linotype" w:hAnsi="Palatino Linotype" w:cs="Arial"/>
          <w:b/>
          <w:i/>
          <w:szCs w:val="28"/>
        </w:rPr>
        <w:t>Procedibilidad</w:t>
      </w:r>
      <w:r>
        <w:rPr>
          <w:rFonts w:ascii="Palatino Linotype" w:hAnsi="Palatino Linotype" w:cs="Arial"/>
          <w:b/>
          <w:szCs w:val="28"/>
        </w:rPr>
        <w:t xml:space="preserve">. </w:t>
      </w:r>
      <w:r>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w:t>
      </w:r>
      <w:r>
        <w:rPr>
          <w:rFonts w:ascii="Palatino Linotype" w:hAnsi="Palatino Linotype" w:cs="Arial"/>
          <w:szCs w:val="28"/>
        </w:rPr>
        <w:t>Información Pública del Estado de México y Municipios, en atención a que fue presentado mediante el formato visible en el SAIMEX.</w:t>
      </w:r>
    </w:p>
    <w:p w:rsidR="006A357A" w:rsidRDefault="00767FD1">
      <w:pPr>
        <w:pStyle w:val="Prrafodelista"/>
        <w:widowControl w:val="0"/>
        <w:spacing w:after="120" w:line="360" w:lineRule="auto"/>
        <w:ind w:left="0"/>
        <w:jc w:val="both"/>
        <w:rPr>
          <w:rFonts w:ascii="Palatino Linotype" w:hAnsi="Palatino Linotype"/>
          <w:sz w:val="22"/>
        </w:rPr>
      </w:pPr>
      <w:r>
        <w:rPr>
          <w:rFonts w:ascii="Palatino Linotype" w:hAnsi="Palatino Linotype" w:cs="Arial"/>
          <w:b/>
          <w:sz w:val="28"/>
          <w:szCs w:val="28"/>
        </w:rPr>
        <w:t>QUINTO</w:t>
      </w:r>
      <w:r>
        <w:rPr>
          <w:rFonts w:ascii="Palatino Linotype" w:hAnsi="Palatino Linotype" w:cs="Arial"/>
          <w:b/>
        </w:rPr>
        <w:t xml:space="preserve">. </w:t>
      </w:r>
      <w:r>
        <w:rPr>
          <w:rFonts w:ascii="Palatino Linotype" w:hAnsi="Palatino Linotype" w:cs="Arial"/>
          <w:b/>
          <w:i/>
        </w:rPr>
        <w:t>Estudio y resolución del asunto</w:t>
      </w:r>
      <w:r>
        <w:rPr>
          <w:rFonts w:ascii="Palatino Linotype" w:hAnsi="Palatino Linotype"/>
          <w:b/>
        </w:rPr>
        <w:t xml:space="preserve">. </w:t>
      </w:r>
      <w:r>
        <w:rPr>
          <w:rFonts w:ascii="Palatino Linotype" w:hAnsi="Palatino Linotype" w:cs="Arial"/>
          <w:sz w:val="22"/>
        </w:rPr>
        <w:t xml:space="preserve">Una vez determinada la vía sobre la que versará el presente recurso, y previa revisión del expediente electrónico formado en </w:t>
      </w:r>
      <w:r>
        <w:rPr>
          <w:rFonts w:ascii="Palatino Linotype" w:hAnsi="Palatino Linotype" w:cs="Arial"/>
          <w:b/>
          <w:sz w:val="22"/>
        </w:rPr>
        <w:t>EL SAIMEX</w:t>
      </w:r>
      <w:r>
        <w:rPr>
          <w:rFonts w:ascii="Palatino Linotype" w:hAnsi="Palatino Linotype" w:cs="Arial"/>
          <w:sz w:val="22"/>
        </w:rPr>
        <w:t xml:space="preserve"> con motivo de la solicitud de información y del recurso a que da origen, es conveniente analizar si la respuesta del </w:t>
      </w:r>
      <w:r>
        <w:rPr>
          <w:rFonts w:ascii="Palatino Linotype" w:hAnsi="Palatino Linotype" w:cs="Arial"/>
          <w:b/>
          <w:sz w:val="22"/>
          <w:lang w:eastAsia="es-MX"/>
        </w:rPr>
        <w:t>SUJE</w:t>
      </w:r>
      <w:r>
        <w:rPr>
          <w:rFonts w:ascii="Palatino Linotype" w:hAnsi="Palatino Linotype" w:cs="Arial"/>
          <w:b/>
          <w:sz w:val="22"/>
          <w:lang w:eastAsia="es-MX"/>
        </w:rPr>
        <w:t>TO OBLIGADO</w:t>
      </w:r>
      <w:r>
        <w:rPr>
          <w:rFonts w:ascii="Palatino Linotype" w:hAnsi="Palatino Linotype" w:cs="Arial"/>
          <w:sz w:val="22"/>
        </w:rPr>
        <w:t xml:space="preserve">, cumple con los requisitos y procedimientos del derecho de acceso a la información pública, por lo que, en primer término debemos recordar que la solicitud de información planteada por </w:t>
      </w:r>
      <w:r>
        <w:rPr>
          <w:rFonts w:ascii="Palatino Linotype" w:hAnsi="Palatino Linotype" w:cs="Arial"/>
          <w:b/>
          <w:sz w:val="22"/>
        </w:rPr>
        <w:t>EL RECURRENTE,</w:t>
      </w:r>
      <w:r>
        <w:rPr>
          <w:rFonts w:ascii="Palatino Linotype" w:hAnsi="Palatino Linotype" w:cs="Arial"/>
          <w:sz w:val="22"/>
        </w:rPr>
        <w:t xml:space="preserve"> </w:t>
      </w:r>
      <w:r>
        <w:rPr>
          <w:rFonts w:ascii="Palatino Linotype" w:hAnsi="Palatino Linotype"/>
          <w:sz w:val="22"/>
        </w:rPr>
        <w:t xml:space="preserve">vía </w:t>
      </w:r>
      <w:r>
        <w:rPr>
          <w:rFonts w:ascii="Palatino Linotype" w:hAnsi="Palatino Linotype"/>
          <w:b/>
          <w:sz w:val="22"/>
        </w:rPr>
        <w:t>EL</w:t>
      </w:r>
      <w:r>
        <w:rPr>
          <w:rFonts w:ascii="Palatino Linotype" w:hAnsi="Palatino Linotype"/>
          <w:sz w:val="22"/>
        </w:rPr>
        <w:t xml:space="preserve"> </w:t>
      </w:r>
      <w:r>
        <w:rPr>
          <w:rFonts w:ascii="Palatino Linotype" w:hAnsi="Palatino Linotype"/>
          <w:b/>
          <w:sz w:val="22"/>
        </w:rPr>
        <w:t>SAIMEX</w:t>
      </w:r>
      <w:r>
        <w:rPr>
          <w:rFonts w:ascii="Palatino Linotype" w:hAnsi="Palatino Linotype"/>
          <w:sz w:val="22"/>
        </w:rPr>
        <w:t>, fue que se le informe Solicit</w:t>
      </w:r>
      <w:r>
        <w:rPr>
          <w:rFonts w:ascii="Palatino Linotype" w:hAnsi="Palatino Linotype"/>
          <w:sz w:val="22"/>
        </w:rPr>
        <w:t>o “SABER ¿POR QUE EL SERGIO ANGUIANO MELENDEZ NO HA PAGADO A LOS TRABAJADORES DEL MUNICIPIO DESDE DICIEMBRE DE 2019? O ¿POR QUE LES PAGO HASTA FINALES DE ENERO O PRINCIPIOS DE FEBRERO DE 2020?”.</w:t>
      </w:r>
    </w:p>
    <w:p w:rsidR="006A357A" w:rsidRDefault="006A357A">
      <w:pPr>
        <w:pStyle w:val="Prrafodelista"/>
        <w:widowControl w:val="0"/>
        <w:spacing w:after="120" w:line="360" w:lineRule="auto"/>
        <w:ind w:left="0"/>
        <w:jc w:val="both"/>
        <w:rPr>
          <w:rFonts w:ascii="Palatino Linotype" w:hAnsi="Palatino Linotype"/>
          <w:sz w:val="8"/>
        </w:rPr>
      </w:pPr>
    </w:p>
    <w:p w:rsidR="006A357A" w:rsidRDefault="00767FD1">
      <w:pPr>
        <w:pStyle w:val="Prrafodelista"/>
        <w:widowControl w:val="0"/>
        <w:spacing w:after="120" w:line="360" w:lineRule="auto"/>
        <w:ind w:left="0"/>
        <w:jc w:val="both"/>
        <w:rPr>
          <w:rFonts w:ascii="Palatino Linotype" w:hAnsi="Palatino Linotype" w:cs="Arial"/>
        </w:rPr>
      </w:pPr>
      <w:r>
        <w:rPr>
          <w:rFonts w:ascii="Palatino Linotype" w:hAnsi="Palatino Linotype" w:cs="Arial"/>
        </w:rPr>
        <w:t xml:space="preserve">Bajo lo cual, </w:t>
      </w:r>
      <w:r>
        <w:rPr>
          <w:rFonts w:ascii="Palatino Linotype" w:hAnsi="Palatino Linotype" w:cs="Arial"/>
          <w:b/>
        </w:rPr>
        <w:t>EL SUJETO OBLIGADO</w:t>
      </w:r>
      <w:r>
        <w:rPr>
          <w:rFonts w:ascii="Palatino Linotype" w:hAnsi="Palatino Linotype" w:cs="Arial"/>
        </w:rPr>
        <w:t xml:space="preserve"> le manifestó en respuesta q</w:t>
      </w:r>
      <w:r>
        <w:rPr>
          <w:rFonts w:ascii="Palatino Linotype" w:hAnsi="Palatino Linotype" w:cs="Arial"/>
        </w:rPr>
        <w:t>ue el pago de los trabajadores del Municipio de Coyotepec, correspondiente al ejercicio 2019 se encuentra pagado.</w:t>
      </w:r>
    </w:p>
    <w:p w:rsidR="006A357A" w:rsidRDefault="006A357A">
      <w:pPr>
        <w:pStyle w:val="Prrafodelista"/>
        <w:widowControl w:val="0"/>
        <w:spacing w:after="120" w:line="360" w:lineRule="auto"/>
        <w:ind w:left="0"/>
        <w:jc w:val="both"/>
        <w:rPr>
          <w:rFonts w:ascii="Palatino Linotype" w:hAnsi="Palatino Linotype" w:cs="Arial"/>
          <w:sz w:val="6"/>
        </w:rPr>
      </w:pPr>
    </w:p>
    <w:p w:rsidR="006A357A" w:rsidRDefault="00767FD1">
      <w:pPr>
        <w:pStyle w:val="Prrafodelista"/>
        <w:widowControl w:val="0"/>
        <w:spacing w:after="120" w:line="360" w:lineRule="auto"/>
        <w:ind w:left="0"/>
        <w:jc w:val="both"/>
        <w:rPr>
          <w:rFonts w:ascii="Palatino Linotype" w:hAnsi="Palatino Linotype" w:cs="Arial"/>
        </w:rPr>
      </w:pPr>
      <w:r>
        <w:rPr>
          <w:rFonts w:ascii="Palatino Linotype" w:hAnsi="Palatino Linotype" w:cs="Arial"/>
        </w:rPr>
        <w:t>De lo anterior, es que la particular se inconforma de la respuesta y señaló como razones y motivos de inconformidad que no le entregaron la i</w:t>
      </w:r>
      <w:r>
        <w:rPr>
          <w:rFonts w:ascii="Palatino Linotype" w:hAnsi="Palatino Linotype" w:cs="Arial"/>
        </w:rPr>
        <w:t>nformación solicitada.</w:t>
      </w:r>
    </w:p>
    <w:p w:rsidR="006A357A" w:rsidRDefault="006A357A">
      <w:pPr>
        <w:pStyle w:val="Prrafodelista"/>
        <w:widowControl w:val="0"/>
        <w:spacing w:after="120" w:line="360" w:lineRule="auto"/>
        <w:ind w:left="0"/>
        <w:jc w:val="both"/>
        <w:rPr>
          <w:rFonts w:ascii="Palatino Linotype" w:hAnsi="Palatino Linotype" w:cs="Arial"/>
          <w:i/>
          <w:sz w:val="12"/>
        </w:rPr>
      </w:pPr>
    </w:p>
    <w:p w:rsidR="006A357A" w:rsidRDefault="00767FD1">
      <w:pPr>
        <w:spacing w:line="360" w:lineRule="auto"/>
        <w:jc w:val="both"/>
        <w:rPr>
          <w:rFonts w:ascii="Palatino Linotype" w:hAnsi="Palatino Linotype"/>
        </w:rPr>
      </w:pPr>
      <w:r>
        <w:rPr>
          <w:rFonts w:ascii="Palatino Linotype" w:hAnsi="Palatino Linotype"/>
        </w:rPr>
        <w:t>Ahora bien, es importante precisar que se actualiza la causal de procedencia del artículo 179, fracción VI de la Ley de la materia; ello en virtud, de que se considera la información no corresponde a lo solicitado.</w:t>
      </w:r>
    </w:p>
    <w:p w:rsidR="006A357A" w:rsidRDefault="006A357A">
      <w:pPr>
        <w:spacing w:line="360" w:lineRule="auto"/>
        <w:jc w:val="both"/>
        <w:rPr>
          <w:rFonts w:ascii="Palatino Linotype" w:hAnsi="Palatino Linotype"/>
        </w:rPr>
      </w:pPr>
    </w:p>
    <w:p w:rsidR="006A357A" w:rsidRDefault="00767FD1">
      <w:pPr>
        <w:pStyle w:val="Prrafodelista"/>
        <w:widowControl w:val="0"/>
        <w:spacing w:after="120" w:line="360" w:lineRule="auto"/>
        <w:ind w:left="0"/>
        <w:jc w:val="both"/>
        <w:rPr>
          <w:rFonts w:ascii="Palatino Linotype" w:hAnsi="Palatino Linotype" w:cs="Arial"/>
        </w:rPr>
      </w:pPr>
      <w:r>
        <w:rPr>
          <w:rFonts w:ascii="Palatino Linotype" w:hAnsi="Palatino Linotype" w:cs="Arial"/>
        </w:rPr>
        <w:t>Primero, es de s</w:t>
      </w:r>
      <w:r>
        <w:rPr>
          <w:rFonts w:ascii="Palatino Linotype" w:hAnsi="Palatino Linotype" w:cs="Arial"/>
        </w:rPr>
        <w:t xml:space="preserve">eñalar que </w:t>
      </w:r>
      <w:r>
        <w:rPr>
          <w:rFonts w:ascii="Palatino Linotype" w:hAnsi="Palatino Linotype" w:cs="Arial"/>
          <w:b/>
        </w:rPr>
        <w:t>EL SUJETO OBLIGADO</w:t>
      </w:r>
      <w:r>
        <w:rPr>
          <w:rFonts w:ascii="Palatino Linotype" w:hAnsi="Palatino Linotype" w:cs="Arial"/>
        </w:rPr>
        <w:t xml:space="preserve"> solo se limitó a señalar que el pago de los trabajadores correspondiente al ejercicio 2019 se encontraba pagado.</w:t>
      </w:r>
    </w:p>
    <w:p w:rsidR="006A357A" w:rsidRDefault="006A357A">
      <w:pPr>
        <w:pStyle w:val="Prrafodelista"/>
        <w:widowControl w:val="0"/>
        <w:spacing w:after="120" w:line="360" w:lineRule="auto"/>
        <w:ind w:left="0"/>
        <w:jc w:val="both"/>
        <w:rPr>
          <w:rFonts w:ascii="Palatino Linotype" w:hAnsi="Palatino Linotype" w:cs="Arial"/>
          <w:sz w:val="14"/>
        </w:rPr>
      </w:pPr>
    </w:p>
    <w:p w:rsidR="006A357A" w:rsidRDefault="00767FD1">
      <w:pPr>
        <w:pStyle w:val="Prrafodelista"/>
        <w:widowControl w:val="0"/>
        <w:spacing w:after="120" w:line="360" w:lineRule="auto"/>
        <w:ind w:left="0"/>
        <w:jc w:val="both"/>
        <w:rPr>
          <w:rFonts w:ascii="Palatino Linotype" w:hAnsi="Palatino Linotype" w:cs="Arial"/>
        </w:rPr>
      </w:pPr>
      <w:r>
        <w:rPr>
          <w:rFonts w:ascii="Palatino Linotype" w:hAnsi="Palatino Linotype" w:cs="Arial"/>
        </w:rPr>
        <w:t xml:space="preserve">Bajo lo anterior, es importante señalar que si bien lo que requirió el particular fue saber porque no se pagó en tiempo y forma en 2019 a los trabajadores del Ayuntamiento de Coyotepec; también lo es, que </w:t>
      </w:r>
      <w:r>
        <w:rPr>
          <w:rFonts w:ascii="Palatino Linotype" w:hAnsi="Palatino Linotype" w:cs="Arial"/>
          <w:b/>
        </w:rPr>
        <w:t>EL SUJETO OBLIGADO</w:t>
      </w:r>
      <w:r>
        <w:rPr>
          <w:rFonts w:ascii="Palatino Linotype" w:hAnsi="Palatino Linotype" w:cs="Arial"/>
        </w:rPr>
        <w:t xml:space="preserve"> sólo manifestó que se encontraba</w:t>
      </w:r>
      <w:r>
        <w:rPr>
          <w:rFonts w:ascii="Palatino Linotype" w:hAnsi="Palatino Linotype" w:cs="Arial"/>
        </w:rPr>
        <w:t xml:space="preserve"> pagado. </w:t>
      </w:r>
    </w:p>
    <w:p w:rsidR="006A357A" w:rsidRDefault="006A357A">
      <w:pPr>
        <w:pStyle w:val="Prrafodelista"/>
        <w:widowControl w:val="0"/>
        <w:spacing w:after="120" w:line="360" w:lineRule="auto"/>
        <w:ind w:left="0"/>
        <w:jc w:val="both"/>
        <w:rPr>
          <w:rFonts w:ascii="Palatino Linotype" w:hAnsi="Palatino Linotype" w:cs="Arial"/>
          <w:i/>
          <w:sz w:val="4"/>
          <w:highlight w:val="yellow"/>
        </w:rPr>
      </w:pPr>
    </w:p>
    <w:p w:rsidR="006A357A" w:rsidRDefault="00767FD1">
      <w:pPr>
        <w:pStyle w:val="Prrafodelista"/>
        <w:widowControl w:val="0"/>
        <w:spacing w:after="120" w:line="360" w:lineRule="auto"/>
        <w:ind w:left="0"/>
        <w:jc w:val="both"/>
        <w:rPr>
          <w:rFonts w:ascii="Palatino Linotype" w:hAnsi="Palatino Linotype" w:cs="Arial"/>
        </w:rPr>
      </w:pPr>
      <w:r>
        <w:rPr>
          <w:rFonts w:ascii="Palatino Linotype" w:hAnsi="Palatino Linotype" w:cs="Arial"/>
        </w:rPr>
        <w:t>Por lo anterior, es necesario precisar que la solicitud de información versó en forma de interrogante; en este sentido, es preciso señalar lo que dispone el criterio 16/17 emitido por el Instituto Nacional de Transparencia, Acceso a la Informaci</w:t>
      </w:r>
      <w:r>
        <w:rPr>
          <w:rFonts w:ascii="Palatino Linotype" w:hAnsi="Palatino Linotype" w:cs="Arial"/>
        </w:rPr>
        <w:t>ón y Protección de Datos Personales que señala:</w:t>
      </w:r>
    </w:p>
    <w:p w:rsidR="006A357A" w:rsidRDefault="00767FD1">
      <w:pPr>
        <w:widowControl w:val="0"/>
        <w:spacing w:line="276" w:lineRule="auto"/>
        <w:ind w:left="851" w:right="899"/>
        <w:jc w:val="both"/>
        <w:rPr>
          <w:rFonts w:ascii="Palatino Linotype" w:hAnsi="Palatino Linotype"/>
          <w:i/>
          <w:sz w:val="22"/>
          <w:szCs w:val="22"/>
        </w:rPr>
      </w:pPr>
      <w:r>
        <w:rPr>
          <w:rFonts w:ascii="Palatino Linotype" w:hAnsi="Palatino Linotype"/>
          <w:i/>
          <w:sz w:val="22"/>
          <w:szCs w:val="22"/>
        </w:rPr>
        <w:t>Expresión documental. Cuando los particulares presenten solicitudes de acceso a la información sin identificar de forma precisa la documentación que pudiera contener la información de su interés, o bien, la s</w:t>
      </w:r>
      <w:r>
        <w:rPr>
          <w:rFonts w:ascii="Palatino Linotype" w:hAnsi="Palatino Linotype"/>
          <w:i/>
          <w:sz w:val="22"/>
          <w:szCs w:val="22"/>
        </w:rPr>
        <w:t xml:space="preserve">olicitud constituya una consulta, pero la respuesta pudiera obrar en algún documento en poder de los sujetos obligados, éstos deben dar a dichas solicitudes una interpretación que les otorgue una expresión documental. </w:t>
      </w:r>
    </w:p>
    <w:p w:rsidR="006A357A" w:rsidRDefault="00767FD1">
      <w:pPr>
        <w:widowControl w:val="0"/>
        <w:spacing w:line="276" w:lineRule="auto"/>
        <w:ind w:left="851" w:right="899"/>
        <w:jc w:val="both"/>
        <w:rPr>
          <w:rFonts w:ascii="Palatino Linotype" w:hAnsi="Palatino Linotype"/>
          <w:i/>
          <w:sz w:val="22"/>
          <w:szCs w:val="22"/>
        </w:rPr>
      </w:pPr>
      <w:r>
        <w:rPr>
          <w:rFonts w:ascii="Palatino Linotype" w:hAnsi="Palatino Linotype"/>
          <w:i/>
          <w:sz w:val="22"/>
          <w:szCs w:val="22"/>
        </w:rPr>
        <w:t>Resoluciones:</w:t>
      </w:r>
    </w:p>
    <w:p w:rsidR="006A357A" w:rsidRDefault="00767FD1">
      <w:pPr>
        <w:widowControl w:val="0"/>
        <w:spacing w:line="276" w:lineRule="auto"/>
        <w:ind w:left="851" w:right="899"/>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i/>
          <w:sz w:val="22"/>
          <w:szCs w:val="22"/>
        </w:rPr>
        <w:tab/>
        <w:t>RRA 0774/16. Secretar</w:t>
      </w:r>
      <w:r>
        <w:rPr>
          <w:rFonts w:ascii="Palatino Linotype" w:hAnsi="Palatino Linotype"/>
          <w:i/>
          <w:sz w:val="22"/>
          <w:szCs w:val="22"/>
        </w:rPr>
        <w:t>ía de Salud. 31 de agosto de 2016. Por unanimidad. Comisionada Ponente María Patricia Kurczyn Villalobos.</w:t>
      </w:r>
    </w:p>
    <w:p w:rsidR="006A357A" w:rsidRDefault="00767FD1">
      <w:pPr>
        <w:widowControl w:val="0"/>
        <w:spacing w:line="276" w:lineRule="auto"/>
        <w:ind w:left="851" w:right="899"/>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i/>
          <w:sz w:val="22"/>
          <w:szCs w:val="22"/>
        </w:rPr>
        <w:tab/>
        <w:t>RRA 0143/17. Universidad Autónoma Agraria Antonio Narro. 22 de febrero de 2017. Por unanimidad. Comisionado Ponente Oscar Mauricio Guerra Ford.</w:t>
      </w:r>
    </w:p>
    <w:p w:rsidR="006A357A" w:rsidRDefault="00767FD1">
      <w:pPr>
        <w:widowControl w:val="0"/>
        <w:spacing w:line="276" w:lineRule="auto"/>
        <w:ind w:left="851" w:right="899"/>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i/>
          <w:sz w:val="22"/>
          <w:szCs w:val="22"/>
        </w:rPr>
        <w:tab/>
        <w:t>RR</w:t>
      </w:r>
      <w:r>
        <w:rPr>
          <w:rFonts w:ascii="Palatino Linotype" w:hAnsi="Palatino Linotype"/>
          <w:i/>
          <w:sz w:val="22"/>
          <w:szCs w:val="22"/>
        </w:rPr>
        <w:t>A 0540/17. Secretaría de Economía. 08 de marzo del 2017. Por unanimidad. Comisionado Ponente Francisco Javier Acuña Llamas.</w:t>
      </w:r>
    </w:p>
    <w:p w:rsidR="006A357A" w:rsidRDefault="006A357A">
      <w:pPr>
        <w:widowControl w:val="0"/>
        <w:spacing w:line="276" w:lineRule="auto"/>
        <w:ind w:right="49"/>
        <w:jc w:val="both"/>
        <w:rPr>
          <w:rFonts w:ascii="Palatino Linotype" w:hAnsi="Palatino Linotype"/>
          <w:b/>
          <w:sz w:val="22"/>
          <w:szCs w:val="22"/>
        </w:rPr>
      </w:pPr>
    </w:p>
    <w:p w:rsidR="006A357A" w:rsidRDefault="006A357A">
      <w:pPr>
        <w:widowControl w:val="0"/>
        <w:spacing w:line="276" w:lineRule="auto"/>
        <w:ind w:right="49"/>
        <w:jc w:val="both"/>
        <w:rPr>
          <w:rFonts w:ascii="Palatino Linotype" w:hAnsi="Palatino Linotype"/>
          <w:b/>
          <w:sz w:val="22"/>
          <w:szCs w:val="22"/>
        </w:rPr>
      </w:pPr>
    </w:p>
    <w:p w:rsidR="006A357A" w:rsidRDefault="00767FD1">
      <w:pPr>
        <w:widowControl w:val="0"/>
        <w:spacing w:line="360" w:lineRule="auto"/>
        <w:ind w:right="49"/>
        <w:jc w:val="both"/>
        <w:rPr>
          <w:rFonts w:ascii="Palatino Linotype" w:hAnsi="Palatino Linotype"/>
        </w:rPr>
      </w:pPr>
      <w:r>
        <w:rPr>
          <w:rFonts w:ascii="Palatino Linotype" w:hAnsi="Palatino Linotype"/>
        </w:rPr>
        <w:t xml:space="preserve">De lo anterior, se puede advertir que cuando los particulares no señalen un documento específico al que desean acceder y la </w:t>
      </w:r>
      <w:r>
        <w:rPr>
          <w:rFonts w:ascii="Palatino Linotype" w:hAnsi="Palatino Linotype"/>
        </w:rPr>
        <w:t>respuesta puede obrar en un documento en posesión de los Sujetos Obligados, se debe de dar una interpretación y otorgar la expresión documental a fin de satisfacer del derecho de acceso a la información de los solicitantes.</w:t>
      </w:r>
    </w:p>
    <w:p w:rsidR="006A357A" w:rsidRDefault="006A357A">
      <w:pPr>
        <w:widowControl w:val="0"/>
        <w:spacing w:line="360" w:lineRule="auto"/>
        <w:ind w:right="49"/>
        <w:jc w:val="both"/>
        <w:rPr>
          <w:rFonts w:ascii="Palatino Linotype" w:hAnsi="Palatino Linotype"/>
        </w:rPr>
      </w:pPr>
    </w:p>
    <w:p w:rsidR="006A357A" w:rsidRDefault="00767FD1">
      <w:pPr>
        <w:spacing w:before="240" w:after="240" w:line="360" w:lineRule="auto"/>
        <w:jc w:val="both"/>
        <w:rPr>
          <w:rFonts w:ascii="Palatino Linotype" w:hAnsi="Palatino Linotype" w:cs="Arial"/>
          <w:color w:val="000000"/>
        </w:rPr>
      </w:pPr>
      <w:r>
        <w:rPr>
          <w:rFonts w:ascii="Palatino Linotype" w:hAnsi="Palatino Linotype" w:cs="Arial"/>
        </w:rPr>
        <w:t xml:space="preserve">Primeramente, </w:t>
      </w:r>
      <w:r>
        <w:rPr>
          <w:rFonts w:ascii="Palatino Linotype" w:hAnsi="Palatino Linotype"/>
          <w:color w:val="000000"/>
        </w:rPr>
        <w:t>conviene precisar</w:t>
      </w:r>
      <w:r>
        <w:rPr>
          <w:rFonts w:ascii="Palatino Linotype" w:hAnsi="Palatino Linotype"/>
          <w:color w:val="000000"/>
        </w:rPr>
        <w:t xml:space="preserve"> que los Municipios del Estado de México, son Sujetos de Fiscalización, de conformidad con el numeral 4, fracción II de </w:t>
      </w:r>
      <w:r>
        <w:rPr>
          <w:rFonts w:ascii="Palatino Linotype" w:hAnsi="Palatino Linotype" w:cs="Arial"/>
          <w:color w:val="000000"/>
        </w:rPr>
        <w:t>Ley de Fiscalización Superior del Estado de México</w:t>
      </w:r>
      <w:r>
        <w:rPr>
          <w:rStyle w:val="Ancladenotaalpie"/>
          <w:rFonts w:ascii="Palatino Linotype" w:hAnsi="Palatino Linotype" w:cs="Arial"/>
          <w:color w:val="000000"/>
        </w:rPr>
        <w:footnoteReference w:id="1"/>
      </w:r>
      <w:r>
        <w:rPr>
          <w:rFonts w:ascii="Palatino Linotype" w:hAnsi="Palatino Linotype" w:cs="Arial"/>
          <w:color w:val="000000"/>
        </w:rPr>
        <w:t>.</w:t>
      </w:r>
    </w:p>
    <w:p w:rsidR="006A357A" w:rsidRDefault="00767FD1">
      <w:pPr>
        <w:spacing w:before="240" w:after="240" w:line="360" w:lineRule="auto"/>
        <w:jc w:val="both"/>
        <w:rPr>
          <w:rFonts w:ascii="Palatino Linotype" w:hAnsi="Palatino Linotype" w:cs="Arial"/>
          <w:color w:val="000000"/>
        </w:rPr>
      </w:pPr>
      <w:r>
        <w:rPr>
          <w:rFonts w:ascii="Palatino Linotype" w:hAnsi="Palatino Linotype" w:cs="Arial"/>
          <w:color w:val="000000"/>
        </w:rPr>
        <w:t>De acuerdo a lo que establece el artículo 350 del Código Financiero del Estado de M</w:t>
      </w:r>
      <w:r>
        <w:rPr>
          <w:rFonts w:ascii="Palatino Linotype" w:hAnsi="Palatino Linotype" w:cs="Arial"/>
          <w:color w:val="000000"/>
        </w:rPr>
        <w:t>éxico y Municipios, mensualmente dentro de los primeros veinte días hábiles, la Secretaría y las Tesorerías Municipales, enviarán para su análisis y evaluación al OSFEM, la siguiente información: I. Información patrimonial. II. Información presupuestal. II</w:t>
      </w:r>
      <w:r>
        <w:rPr>
          <w:rFonts w:ascii="Palatino Linotype" w:hAnsi="Palatino Linotype" w:cs="Arial"/>
          <w:color w:val="000000"/>
        </w:rPr>
        <w:t>I. Información de la obra pública. IV. Información de nómina.</w:t>
      </w:r>
    </w:p>
    <w:p w:rsidR="006A357A" w:rsidRDefault="00767FD1">
      <w:pPr>
        <w:spacing w:beforeAutospacing="1" w:afterAutospacing="1" w:line="360" w:lineRule="auto"/>
        <w:ind w:right="-91"/>
        <w:jc w:val="both"/>
        <w:rPr>
          <w:rFonts w:ascii="Palatino Linotype" w:hAnsi="Palatino Linotype"/>
          <w:color w:val="000000"/>
          <w:lang w:val="es-ES"/>
        </w:rPr>
      </w:pPr>
      <w:r>
        <w:rPr>
          <w:noProof/>
          <w:lang w:eastAsia="es-MX"/>
        </w:rPr>
        <mc:AlternateContent>
          <mc:Choice Requires="wps">
            <w:drawing>
              <wp:anchor distT="0" distB="0" distL="0" distR="0" simplePos="0" relativeHeight="34" behindDoc="0" locked="0" layoutInCell="1" allowOverlap="1" wp14:anchorId="342F4A4B">
                <wp:simplePos x="0" y="0"/>
                <wp:positionH relativeFrom="margin">
                  <wp:align>right</wp:align>
                </wp:positionH>
                <wp:positionV relativeFrom="paragraph">
                  <wp:posOffset>4357370</wp:posOffset>
                </wp:positionV>
                <wp:extent cx="5774055" cy="1791970"/>
                <wp:effectExtent l="38100" t="38100" r="76200" b="95250"/>
                <wp:wrapNone/>
                <wp:docPr id="3" name="Conector recto 15"/>
                <wp:cNvGraphicFramePr/>
                <a:graphic xmlns:a="http://schemas.openxmlformats.org/drawingml/2006/main">
                  <a:graphicData uri="http://schemas.microsoft.com/office/word/2010/wordprocessingShape">
                    <wps:wsp>
                      <wps:cNvCnPr/>
                      <wps:spPr>
                        <a:xfrm>
                          <a:off x="0" y="0"/>
                          <a:ext cx="5772960" cy="1791360"/>
                        </a:xfrm>
                        <a:prstGeom prst="line">
                          <a:avLst/>
                        </a:prstGeom>
                        <a:ln>
                          <a:solidFill>
                            <a:srgbClr val="FF0000"/>
                          </a:solidFill>
                          <a:round/>
                        </a:ln>
                      </wps:spPr>
                      <wps:style>
                        <a:lnRef idx="2">
                          <a:schemeClr val="accent1"/>
                        </a:lnRef>
                        <a:fillRef idx="0">
                          <a:schemeClr val="accent1"/>
                        </a:fillRef>
                        <a:effectRef idx="1">
                          <a:schemeClr val="accent1"/>
                        </a:effectRef>
                        <a:fontRef idx="minor"/>
                      </wps:style>
                      <wps:bodyPr/>
                    </wps:wsp>
                  </a:graphicData>
                </a:graphic>
              </wp:anchor>
            </w:drawing>
          </mc:Choice>
          <mc:Fallback>
            <w:pict>
              <v:line id="shape_0" from="1.45pt,278.9pt" to="455.95pt,419.9pt" ID="Conector recto 15" stroked="t" style="position:absolute;mso-position-horizontal:right;mso-position-horizontal-relative:margin" wp14:anchorId="342F4A4B">
                <v:stroke color="red" weight="25560" joinstyle="round" endcap="flat"/>
                <v:fill o:detectmouseclick="t" on="false"/>
                <v:shadow on="t" obscured="f" color="black"/>
              </v:line>
            </w:pict>
          </mc:Fallback>
        </mc:AlternateContent>
      </w:r>
      <w:r>
        <w:rPr>
          <w:rFonts w:ascii="Palatino Linotype" w:hAnsi="Palatino Linotype"/>
        </w:rPr>
        <w:t xml:space="preserve">Por ello, la información </w:t>
      </w:r>
      <w:r>
        <w:rPr>
          <w:rFonts w:ascii="Palatino Linotype" w:hAnsi="Palatino Linotype"/>
          <w:b/>
        </w:rPr>
        <w:t>documental comprobatoria</w:t>
      </w:r>
      <w:r>
        <w:rPr>
          <w:rFonts w:ascii="Palatino Linotype" w:hAnsi="Palatino Linotype"/>
        </w:rPr>
        <w:t xml:space="preserve">, </w:t>
      </w:r>
      <w:r>
        <w:rPr>
          <w:rFonts w:ascii="Palatino Linotype" w:hAnsi="Palatino Linotype"/>
          <w:b/>
        </w:rPr>
        <w:t>deberá conservarse en los archivos de la entidad fiscalizada –Municipio</w:t>
      </w:r>
      <w:r>
        <w:rPr>
          <w:rFonts w:ascii="Palatino Linotype" w:hAnsi="Palatino Linotype"/>
        </w:rPr>
        <w:t xml:space="preserve">-, en original y debidamente integrada en términos de los lineamientos de referencia, pues son susceptibles de revisión directa por el </w:t>
      </w:r>
      <w:r>
        <w:rPr>
          <w:rFonts w:ascii="Palatino Linotype" w:hAnsi="Palatino Linotype"/>
          <w:color w:val="000000"/>
          <w:lang w:val="es-ES"/>
        </w:rPr>
        <w:t>OSFEM</w:t>
      </w:r>
      <w:r>
        <w:rPr>
          <w:rFonts w:ascii="Palatino Linotype" w:hAnsi="Palatino Linotype"/>
        </w:rPr>
        <w:t xml:space="preserve">; así que, </w:t>
      </w:r>
      <w:r>
        <w:rPr>
          <w:rFonts w:ascii="Palatino Linotype" w:hAnsi="Palatino Linotype"/>
          <w:color w:val="000000"/>
          <w:lang w:val="es-ES"/>
        </w:rPr>
        <w:t>para la Integración del Informe Mensual 2019, dichos lineamientos se encuentran visibles en la página ofi</w:t>
      </w:r>
      <w:r>
        <w:rPr>
          <w:rFonts w:ascii="Palatino Linotype" w:hAnsi="Palatino Linotype"/>
          <w:color w:val="000000"/>
          <w:lang w:val="es-ES"/>
        </w:rPr>
        <w:t xml:space="preserve">cial del OSFEM en el sitio de internet </w:t>
      </w:r>
      <w:hyperlink r:id="rId9">
        <w:r>
          <w:rPr>
            <w:rStyle w:val="EnlacedeInternet"/>
            <w:rFonts w:ascii="Palatino Linotype" w:hAnsi="Palatino Linotype"/>
            <w:i/>
            <w:spacing w:val="-14"/>
            <w:lang w:val="es-ES"/>
          </w:rPr>
          <w:t>https://www.osfem.gob.mx/04_Normatividad/doc/Normatividad/2019/19.-LineamInfMensualMpal_2019.pdf</w:t>
        </w:r>
      </w:hyperlink>
      <w:r>
        <w:rPr>
          <w:rFonts w:ascii="Palatino Linotype" w:hAnsi="Palatino Linotype"/>
          <w:i/>
          <w:spacing w:val="-14"/>
          <w:lang w:val="es-ES"/>
        </w:rPr>
        <w:t xml:space="preserve"> </w:t>
      </w:r>
      <w:r>
        <w:rPr>
          <w:rFonts w:ascii="Palatino Linotype" w:hAnsi="Palatino Linotype"/>
          <w:color w:val="000000"/>
          <w:lang w:val="es-ES"/>
        </w:rPr>
        <w:t>dest</w:t>
      </w:r>
      <w:r>
        <w:rPr>
          <w:rFonts w:ascii="Palatino Linotype" w:hAnsi="Palatino Linotype"/>
          <w:color w:val="000000"/>
          <w:lang w:val="es-ES"/>
        </w:rPr>
        <w:t xml:space="preserve">acando que dentro de los informes mensuales que </w:t>
      </w:r>
      <w:r>
        <w:rPr>
          <w:rFonts w:ascii="Palatino Linotype" w:hAnsi="Palatino Linotype"/>
          <w:b/>
          <w:color w:val="000000"/>
          <w:lang w:val="es-ES"/>
        </w:rPr>
        <w:t xml:space="preserve">EL SUJETO OBLIGADO </w:t>
      </w:r>
      <w:r>
        <w:rPr>
          <w:rFonts w:ascii="Palatino Linotype" w:hAnsi="Palatino Linotype"/>
          <w:color w:val="000000"/>
          <w:lang w:val="es-ES"/>
        </w:rPr>
        <w:t xml:space="preserve">tiene la obligación de rendir, se contempla precisamente la presentación de la Información referente a la nómina general; tal y como, se muestra en las imágenes siguientes: </w:t>
      </w:r>
    </w:p>
    <w:p w:rsidR="006A357A" w:rsidRDefault="006A357A">
      <w:pPr>
        <w:spacing w:before="240" w:after="240" w:line="360" w:lineRule="auto"/>
        <w:jc w:val="both"/>
        <w:rPr>
          <w:rFonts w:ascii="Palatino Linotype" w:hAnsi="Palatino Linotype" w:cs="Arial"/>
          <w:color w:val="000000"/>
        </w:rPr>
      </w:pPr>
    </w:p>
    <w:p w:rsidR="006A357A" w:rsidRDefault="00767FD1">
      <w:pPr>
        <w:widowControl w:val="0"/>
        <w:spacing w:line="276" w:lineRule="auto"/>
        <w:ind w:right="49"/>
        <w:jc w:val="both"/>
        <w:rPr>
          <w:rFonts w:ascii="Palatino Linotype" w:hAnsi="Palatino Linotype"/>
        </w:rPr>
      </w:pPr>
      <w:r>
        <w:rPr>
          <w:noProof/>
          <w:lang w:eastAsia="es-MX"/>
        </w:rPr>
        <w:drawing>
          <wp:inline distT="0" distB="0" distL="0" distR="0">
            <wp:extent cx="5791200" cy="7362825"/>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
                    <pic:cNvPicPr>
                      <a:picLocks noChangeAspect="1" noChangeArrowheads="1"/>
                    </pic:cNvPicPr>
                  </pic:nvPicPr>
                  <pic:blipFill>
                    <a:blip r:embed="rId10"/>
                    <a:srcRect l="21875" t="6442" r="24841" b="21014"/>
                    <a:stretch>
                      <a:fillRect/>
                    </a:stretch>
                  </pic:blipFill>
                  <pic:spPr bwMode="auto">
                    <a:xfrm>
                      <a:off x="0" y="0"/>
                      <a:ext cx="5791200" cy="7362825"/>
                    </a:xfrm>
                    <a:prstGeom prst="rect">
                      <a:avLst/>
                    </a:prstGeom>
                  </pic:spPr>
                </pic:pic>
              </a:graphicData>
            </a:graphic>
          </wp:inline>
        </w:drawing>
      </w:r>
      <w:r>
        <w:rPr>
          <w:noProof/>
          <w:lang w:eastAsia="es-MX"/>
        </w:rPr>
        <mc:AlternateContent>
          <mc:Choice Requires="wps">
            <w:drawing>
              <wp:anchor distT="0" distB="0" distL="0" distR="0" simplePos="0" relativeHeight="33" behindDoc="0" locked="0" layoutInCell="1" allowOverlap="1" wp14:anchorId="7437274B">
                <wp:simplePos x="0" y="0"/>
                <wp:positionH relativeFrom="column">
                  <wp:posOffset>281940</wp:posOffset>
                </wp:positionH>
                <wp:positionV relativeFrom="paragraph">
                  <wp:posOffset>6289675</wp:posOffset>
                </wp:positionV>
                <wp:extent cx="5278120" cy="620395"/>
                <wp:effectExtent l="57150" t="38100" r="76200" b="104775"/>
                <wp:wrapNone/>
                <wp:docPr id="4" name="Rectángulo 12"/>
                <wp:cNvGraphicFramePr/>
                <a:graphic xmlns:a="http://schemas.openxmlformats.org/drawingml/2006/main">
                  <a:graphicData uri="http://schemas.microsoft.com/office/word/2010/wordprocessingShape">
                    <wps:wsp>
                      <wps:cNvSpPr/>
                      <wps:spPr>
                        <a:xfrm>
                          <a:off x="0" y="0"/>
                          <a:ext cx="5277600" cy="619920"/>
                        </a:xfrm>
                        <a:prstGeom prst="rect">
                          <a:avLst/>
                        </a:prstGeom>
                        <a:noFill/>
                        <a:ln w="38160">
                          <a:solidFill>
                            <a:srgbClr val="FF0000"/>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ángulo 12" stroked="t" style="position:absolute;margin-left:22.2pt;margin-top:495.25pt;width:415.5pt;height:48.75pt" wp14:anchorId="7437274B">
                <w10:wrap type="none"/>
                <v:fill o:detectmouseclick="t" on="false"/>
                <v:stroke color="red" weight="38160" joinstyle="round" endcap="flat"/>
                <v:shadow on="t" obscured="f" color="black"/>
              </v:rect>
            </w:pict>
          </mc:Fallback>
        </mc:AlternateContent>
      </w:r>
    </w:p>
    <w:p w:rsidR="006A357A" w:rsidRDefault="00767FD1">
      <w:pPr>
        <w:widowControl w:val="0"/>
        <w:spacing w:line="276" w:lineRule="auto"/>
        <w:ind w:right="49"/>
        <w:jc w:val="both"/>
        <w:rPr>
          <w:rFonts w:ascii="Palatino Linotype" w:hAnsi="Palatino Linotype"/>
        </w:rPr>
      </w:pPr>
      <w:r>
        <w:rPr>
          <w:noProof/>
          <w:lang w:eastAsia="es-MX"/>
        </w:rPr>
        <w:drawing>
          <wp:inline distT="0" distB="0" distL="0" distR="0">
            <wp:extent cx="5648325" cy="7343775"/>
            <wp:effectExtent l="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
                    <pic:cNvPicPr>
                      <a:picLocks noChangeAspect="1" noChangeArrowheads="1"/>
                    </pic:cNvPicPr>
                  </pic:nvPicPr>
                  <pic:blipFill>
                    <a:blip r:embed="rId11"/>
                    <a:srcRect l="33554" t="13465" r="33559" b="10497"/>
                    <a:stretch>
                      <a:fillRect/>
                    </a:stretch>
                  </pic:blipFill>
                  <pic:spPr bwMode="auto">
                    <a:xfrm>
                      <a:off x="0" y="0"/>
                      <a:ext cx="5648325" cy="7343775"/>
                    </a:xfrm>
                    <a:prstGeom prst="rect">
                      <a:avLst/>
                    </a:prstGeom>
                  </pic:spPr>
                </pic:pic>
              </a:graphicData>
            </a:graphic>
          </wp:inline>
        </w:drawing>
      </w:r>
      <w:r>
        <w:rPr>
          <w:noProof/>
          <w:lang w:eastAsia="es-MX"/>
        </w:rPr>
        <mc:AlternateContent>
          <mc:Choice Requires="wps">
            <w:drawing>
              <wp:anchor distT="0" distB="0" distL="0" distR="0" simplePos="0" relativeHeight="32" behindDoc="0" locked="0" layoutInCell="1" allowOverlap="1" wp14:anchorId="0B361A6C">
                <wp:simplePos x="0" y="0"/>
                <wp:positionH relativeFrom="column">
                  <wp:posOffset>177165</wp:posOffset>
                </wp:positionH>
                <wp:positionV relativeFrom="paragraph">
                  <wp:posOffset>5175250</wp:posOffset>
                </wp:positionV>
                <wp:extent cx="5325745" cy="877570"/>
                <wp:effectExtent l="57150" t="38100" r="85725" b="95250"/>
                <wp:wrapNone/>
                <wp:docPr id="6" name="Rectángulo 6"/>
                <wp:cNvGraphicFramePr/>
                <a:graphic xmlns:a="http://schemas.openxmlformats.org/drawingml/2006/main">
                  <a:graphicData uri="http://schemas.microsoft.com/office/word/2010/wordprocessingShape">
                    <wps:wsp>
                      <wps:cNvSpPr/>
                      <wps:spPr>
                        <a:xfrm>
                          <a:off x="0" y="0"/>
                          <a:ext cx="5325120" cy="876960"/>
                        </a:xfrm>
                        <a:prstGeom prst="rect">
                          <a:avLst/>
                        </a:prstGeom>
                        <a:noFill/>
                        <a:ln w="28440">
                          <a:solidFill>
                            <a:srgbClr val="FF0000"/>
                          </a:solidFill>
                          <a:round/>
                        </a:ln>
                        <a:effectLst>
                          <a:outerShdw blurRad="40000" dist="23040" dir="5400000" rotWithShape="0">
                            <a:srgbClr val="000000">
                              <a:alpha val="35000"/>
                            </a:srgbClr>
                          </a:outerShdw>
                        </a:effectLst>
                      </wps:spPr>
                      <wps:style>
                        <a:lnRef idx="1">
                          <a:schemeClr val="accent1"/>
                        </a:lnRef>
                        <a:fillRef idx="3">
                          <a:schemeClr val="accent1"/>
                        </a:fillRef>
                        <a:effectRef idx="2">
                          <a:schemeClr val="accent1"/>
                        </a:effectRef>
                        <a:fontRef idx="minor"/>
                      </wps:style>
                      <wps:bodyPr/>
                    </wps:wsp>
                  </a:graphicData>
                </a:graphic>
              </wp:anchor>
            </w:drawing>
          </mc:Choice>
          <mc:Fallback>
            <w:pict>
              <v:rect id="shape_0" ID="Rectángulo 6" stroked="t" style="position:absolute;margin-left:13.95pt;margin-top:407.5pt;width:419.25pt;height:69pt" wp14:anchorId="0B361A6C">
                <w10:wrap type="none"/>
                <v:fill o:detectmouseclick="t" on="false"/>
                <v:stroke color="red" weight="28440" joinstyle="round" endcap="flat"/>
                <v:shadow on="t" obscured="f" color="black"/>
              </v:rect>
            </w:pict>
          </mc:Fallback>
        </mc:AlternateContent>
      </w:r>
    </w:p>
    <w:p w:rsidR="006A357A" w:rsidRDefault="00767FD1">
      <w:pPr>
        <w:widowControl w:val="0"/>
        <w:spacing w:line="276" w:lineRule="auto"/>
        <w:ind w:right="49"/>
        <w:jc w:val="both"/>
        <w:rPr>
          <w:rFonts w:ascii="Palatino Linotype" w:hAnsi="Palatino Linotype"/>
        </w:rPr>
      </w:pPr>
      <w:r>
        <w:rPr>
          <w:noProof/>
          <w:lang w:eastAsia="es-MX"/>
        </w:rPr>
        <w:drawing>
          <wp:inline distT="0" distB="0" distL="0" distR="0">
            <wp:extent cx="5629275" cy="7343775"/>
            <wp:effectExtent l="0" t="0" r="0" b="0"/>
            <wp:docPr id="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0"/>
                    <pic:cNvPicPr>
                      <a:picLocks noChangeAspect="1" noChangeArrowheads="1"/>
                    </pic:cNvPicPr>
                  </pic:nvPicPr>
                  <pic:blipFill>
                    <a:blip r:embed="rId12"/>
                    <a:srcRect l="26482" t="26624" r="29282" b="14877"/>
                    <a:stretch>
                      <a:fillRect/>
                    </a:stretch>
                  </pic:blipFill>
                  <pic:spPr bwMode="auto">
                    <a:xfrm>
                      <a:off x="0" y="0"/>
                      <a:ext cx="5629275" cy="7343775"/>
                    </a:xfrm>
                    <a:prstGeom prst="rect">
                      <a:avLst/>
                    </a:prstGeom>
                  </pic:spPr>
                </pic:pic>
              </a:graphicData>
            </a:graphic>
          </wp:inline>
        </w:drawing>
      </w:r>
    </w:p>
    <w:p w:rsidR="006A357A" w:rsidRDefault="00767FD1">
      <w:pPr>
        <w:pStyle w:val="Prrafodelista"/>
        <w:widowControl w:val="0"/>
        <w:spacing w:before="240" w:after="240" w:line="360" w:lineRule="auto"/>
        <w:ind w:left="0"/>
        <w:jc w:val="both"/>
        <w:rPr>
          <w:rFonts w:ascii="Palatino Linotype" w:hAnsi="Palatino Linotype" w:cs="Arial"/>
        </w:rPr>
      </w:pPr>
      <w:r>
        <w:rPr>
          <w:rFonts w:ascii="Palatino Linotype" w:hAnsi="Palatino Linotype" w:cs="Arial"/>
        </w:rPr>
        <w:t xml:space="preserve">Es de </w:t>
      </w:r>
      <w:r>
        <w:rPr>
          <w:rFonts w:ascii="Palatino Linotype" w:hAnsi="Palatino Linotype" w:cs="Arial"/>
        </w:rPr>
        <w:t>lo expuesto, que el documento que puede satisfacer el derecho de acceso a la información pública accionado por el particular es el formato de dispersión de nómina, ya que de la misma se puede advertir la fecha en que se realizó la misma.</w:t>
      </w:r>
    </w:p>
    <w:p w:rsidR="006A357A" w:rsidRDefault="00767FD1">
      <w:pPr>
        <w:pStyle w:val="Prrafodelista"/>
        <w:widowControl w:val="0"/>
        <w:spacing w:before="240" w:after="240" w:line="360" w:lineRule="auto"/>
        <w:ind w:left="0"/>
        <w:jc w:val="both"/>
        <w:rPr>
          <w:rFonts w:ascii="Palatino Linotype" w:hAnsi="Palatino Linotype" w:cs="Arial"/>
        </w:rPr>
      </w:pPr>
      <w:r>
        <w:rPr>
          <w:rFonts w:ascii="Palatino Linotype" w:hAnsi="Palatino Linotype" w:cs="Arial"/>
        </w:rPr>
        <w:t>De igual forma y e</w:t>
      </w:r>
      <w:r>
        <w:rPr>
          <w:rFonts w:ascii="Palatino Linotype" w:hAnsi="Palatino Linotype" w:cs="Arial"/>
        </w:rPr>
        <w:t xml:space="preserve">n virtud de que </w:t>
      </w:r>
      <w:r>
        <w:rPr>
          <w:rFonts w:ascii="Palatino Linotype" w:hAnsi="Palatino Linotype" w:cs="Arial"/>
          <w:b/>
        </w:rPr>
        <w:t>EL SUEJTO OBLIGADO</w:t>
      </w:r>
      <w:r>
        <w:rPr>
          <w:rFonts w:ascii="Palatino Linotype" w:hAnsi="Palatino Linotype" w:cs="Arial"/>
        </w:rPr>
        <w:t xml:space="preserve"> le requirió la información al Tesorero Municipal, y al ser el Servidor Público Habilitado Competente para contar dentro de sus archivos el documento de referencia es que debe ordenarse la entrega del mismo.</w:t>
      </w:r>
    </w:p>
    <w:p w:rsidR="006A357A" w:rsidRDefault="00767FD1">
      <w:pPr>
        <w:spacing w:line="360" w:lineRule="auto"/>
        <w:jc w:val="both"/>
        <w:rPr>
          <w:rFonts w:ascii="Palatino Linotype" w:hAnsi="Palatino Linotype" w:cs="Arial"/>
        </w:rPr>
      </w:pPr>
      <w:r>
        <w:rPr>
          <w:rFonts w:ascii="Palatino Linotype" w:hAnsi="Palatino Linotype" w:cs="Arial"/>
          <w:lang w:val="es-ES_tradnl"/>
        </w:rPr>
        <w:t>Sin embargo, e</w:t>
      </w:r>
      <w:r>
        <w:rPr>
          <w:rFonts w:ascii="Palatino Linotype" w:hAnsi="Palatino Linotype" w:cs="Arial"/>
          <w:lang w:val="es-ES_tradnl"/>
        </w:rPr>
        <w:t xml:space="preserve">s preciso determinar que prendió el particular es requerir la dispersión de la nómina del </w:t>
      </w:r>
      <w:r>
        <w:rPr>
          <w:rFonts w:ascii="Palatino Linotype" w:hAnsi="Palatino Linotype" w:cs="Arial"/>
          <w:b/>
          <w:lang w:val="es-ES_tradnl"/>
        </w:rPr>
        <w:t>SUJETO OBLIGADO</w:t>
      </w:r>
      <w:r>
        <w:rPr>
          <w:rFonts w:ascii="Palatino Linotype" w:hAnsi="Palatino Linotype" w:cs="Arial"/>
          <w:lang w:val="es-ES_tradnl"/>
        </w:rPr>
        <w:t>, esto es la generada del 1 al 31 de diciembre de 2019</w:t>
      </w:r>
      <w:r>
        <w:rPr>
          <w:rFonts w:ascii="Palatino Linotype" w:hAnsi="Palatino Linotype" w:cs="Arial"/>
        </w:rPr>
        <w:t>, es preciso determinar la información que se va a ordenar.</w:t>
      </w:r>
    </w:p>
    <w:p w:rsidR="006A357A" w:rsidRDefault="00767FD1">
      <w:pPr>
        <w:spacing w:before="120" w:after="120" w:line="360" w:lineRule="auto"/>
        <w:jc w:val="both"/>
        <w:rPr>
          <w:rFonts w:ascii="Palatino Linotype" w:hAnsi="Palatino Linotype" w:cs="Arial"/>
        </w:rPr>
      </w:pPr>
      <w:r>
        <w:rPr>
          <w:rFonts w:ascii="Palatino Linotype" w:hAnsi="Palatino Linotype" w:cs="Arial"/>
        </w:rPr>
        <w:t>En nuestra legislación no existe como</w:t>
      </w:r>
      <w:r>
        <w:rPr>
          <w:rFonts w:ascii="Palatino Linotype" w:hAnsi="Palatino Linotype" w:cs="Arial"/>
        </w:rPr>
        <w:t xml:space="preserve"> tal una definición de </w:t>
      </w:r>
      <w:r>
        <w:rPr>
          <w:rFonts w:ascii="Palatino Linotype" w:hAnsi="Palatino Linotype" w:cs="Arial"/>
          <w:b/>
        </w:rPr>
        <w:t>“</w:t>
      </w:r>
      <w:r>
        <w:rPr>
          <w:rFonts w:ascii="Palatino Linotype" w:hAnsi="Palatino Linotype" w:cs="Arial"/>
          <w:b/>
          <w:u w:val="single"/>
        </w:rPr>
        <w:t>nómina</w:t>
      </w:r>
      <w:r>
        <w:rPr>
          <w:rFonts w:ascii="Palatino Linotype" w:hAnsi="Palatino Linotype" w:cs="Arial"/>
          <w:b/>
        </w:rPr>
        <w:t>”</w:t>
      </w:r>
      <w:r>
        <w:rPr>
          <w:rFonts w:ascii="Palatino Linotype" w:hAnsi="Palatino Linotype" w:cs="Arial"/>
        </w:rPr>
        <w:t>; sin embargo, el “Glosario de Términos Usuales de Finanzas Públicas” del Centro de Estudios de las Finanzas Públicas de la Cámara de Diputados del H. Congreso de la Unión, el “Glosario de Términos Administrativos”, emitido p</w:t>
      </w:r>
      <w:r>
        <w:rPr>
          <w:rFonts w:ascii="Palatino Linotype" w:hAnsi="Palatino Linotype" w:cs="Arial"/>
        </w:rPr>
        <w:t>or el Instituto Nacional de Administración Pública, A.C. y el “Glosario de Términos para el Proceso de Planeación, Programación, Presupuestación y Evaluación en la Administración Pública”, elaborado por el Grupo de Trabajo de Sistemas de Información Financ</w:t>
      </w:r>
      <w:r>
        <w:rPr>
          <w:rFonts w:ascii="Palatino Linotype" w:hAnsi="Palatino Linotype" w:cs="Arial"/>
        </w:rPr>
        <w:t>iera, Contable y Presupuestal de la Comisión Permanente de Funcionarios Fiscales del Instituto para el Desarrollo Técnico de las Haciendas Públicas (INDETEC) señalan la siguiente definición de la palabra nómina:</w:t>
      </w:r>
    </w:p>
    <w:p w:rsidR="006A357A" w:rsidRDefault="00767FD1">
      <w:pPr>
        <w:spacing w:line="276" w:lineRule="auto"/>
        <w:ind w:left="851" w:right="992"/>
        <w:jc w:val="both"/>
        <w:rPr>
          <w:rFonts w:ascii="Palatino Linotype" w:hAnsi="Palatino Linotype" w:cs="Arial"/>
          <w:i/>
          <w:szCs w:val="20"/>
          <w:lang w:eastAsia="es-MX"/>
        </w:rPr>
      </w:pPr>
      <w:r>
        <w:rPr>
          <w:rFonts w:ascii="Palatino Linotype" w:hAnsi="Palatino Linotype" w:cs="Arial"/>
          <w:bCs/>
          <w:i/>
          <w:szCs w:val="20"/>
          <w:lang w:eastAsia="es-MX"/>
        </w:rPr>
        <w:t>“</w:t>
      </w:r>
      <w:r>
        <w:rPr>
          <w:rFonts w:ascii="Palatino Linotype" w:hAnsi="Palatino Linotype" w:cs="Arial"/>
          <w:b/>
          <w:bCs/>
          <w:i/>
          <w:szCs w:val="20"/>
          <w:lang w:eastAsia="es-MX"/>
        </w:rPr>
        <w:t>NÓMINA</w:t>
      </w:r>
      <w:r>
        <w:rPr>
          <w:rFonts w:ascii="Palatino Linotype" w:hAnsi="Palatino Linotype" w:cs="Arial"/>
          <w:bCs/>
          <w:i/>
          <w:szCs w:val="20"/>
          <w:lang w:eastAsia="es-MX"/>
        </w:rPr>
        <w:t xml:space="preserve"> </w:t>
      </w:r>
      <w:r>
        <w:rPr>
          <w:rFonts w:ascii="Palatino Linotype" w:hAnsi="Palatino Linotype" w:cs="Arial"/>
          <w:i/>
          <w:szCs w:val="20"/>
          <w:lang w:eastAsia="es-MX"/>
        </w:rPr>
        <w:t xml:space="preserve">Listado general de los trabajadores </w:t>
      </w:r>
      <w:r>
        <w:rPr>
          <w:rFonts w:ascii="Palatino Linotype" w:hAnsi="Palatino Linotype" w:cs="Arial"/>
          <w:i/>
          <w:szCs w:val="20"/>
          <w:lang w:eastAsia="es-MX"/>
        </w:rPr>
        <w:t>de una institución, en</w:t>
      </w:r>
      <w:r>
        <w:rPr>
          <w:rFonts w:ascii="Palatino Linotype" w:hAnsi="Palatino Linotype" w:cs="Arial"/>
          <w:bCs/>
          <w:i/>
          <w:szCs w:val="20"/>
          <w:lang w:eastAsia="es-MX"/>
        </w:rPr>
        <w:t xml:space="preserve"> </w:t>
      </w:r>
      <w:r>
        <w:rPr>
          <w:rFonts w:ascii="Palatino Linotype" w:hAnsi="Palatino Linotype" w:cs="Arial"/>
          <w:i/>
          <w:szCs w:val="20"/>
          <w:lang w:eastAsia="es-MX"/>
        </w:rPr>
        <w:t>el cual se asientan las percepciones brutas, deducciones y</w:t>
      </w:r>
      <w:r>
        <w:rPr>
          <w:rFonts w:ascii="Palatino Linotype" w:hAnsi="Palatino Linotype" w:cs="Arial"/>
          <w:bCs/>
          <w:i/>
          <w:szCs w:val="20"/>
          <w:lang w:eastAsia="es-MX"/>
        </w:rPr>
        <w:t xml:space="preserve"> </w:t>
      </w:r>
      <w:r>
        <w:rPr>
          <w:rFonts w:ascii="Palatino Linotype" w:hAnsi="Palatino Linotype" w:cs="Arial"/>
          <w:i/>
          <w:szCs w:val="20"/>
          <w:lang w:eastAsia="es-MX"/>
        </w:rPr>
        <w:t>alcance neto de las mismas; la nómina es utilizada para</w:t>
      </w:r>
      <w:r>
        <w:rPr>
          <w:rFonts w:ascii="Palatino Linotype" w:hAnsi="Palatino Linotype" w:cs="Arial"/>
          <w:bCs/>
          <w:i/>
          <w:szCs w:val="20"/>
          <w:lang w:eastAsia="es-MX"/>
        </w:rPr>
        <w:t xml:space="preserve"> </w:t>
      </w:r>
      <w:r>
        <w:rPr>
          <w:rFonts w:ascii="Palatino Linotype" w:hAnsi="Palatino Linotype" w:cs="Arial"/>
          <w:i/>
          <w:szCs w:val="20"/>
          <w:lang w:eastAsia="es-MX"/>
        </w:rPr>
        <w:t xml:space="preserve">efectuar los pagos </w:t>
      </w:r>
      <w:r>
        <w:rPr>
          <w:rFonts w:ascii="Palatino Linotype" w:hAnsi="Palatino Linotype" w:cs="Arial"/>
          <w:bCs/>
          <w:i/>
        </w:rPr>
        <w:t>periódicos</w:t>
      </w:r>
      <w:r>
        <w:rPr>
          <w:rFonts w:ascii="Palatino Linotype" w:hAnsi="Palatino Linotype" w:cs="Arial"/>
          <w:i/>
          <w:szCs w:val="20"/>
          <w:lang w:eastAsia="es-MX"/>
        </w:rPr>
        <w:t xml:space="preserve"> (semanales, </w:t>
      </w:r>
      <w:r>
        <w:rPr>
          <w:rFonts w:ascii="Palatino Linotype" w:hAnsi="Palatino Linotype"/>
          <w:i/>
          <w:color w:val="000000"/>
        </w:rPr>
        <w:t>quincenales</w:t>
      </w:r>
      <w:r>
        <w:rPr>
          <w:rFonts w:ascii="Palatino Linotype" w:hAnsi="Palatino Linotype" w:cs="Arial"/>
          <w:i/>
          <w:szCs w:val="20"/>
          <w:lang w:eastAsia="es-MX"/>
        </w:rPr>
        <w:t xml:space="preserve"> o</w:t>
      </w:r>
      <w:r>
        <w:rPr>
          <w:rFonts w:ascii="Palatino Linotype" w:hAnsi="Palatino Linotype" w:cs="Arial"/>
          <w:bCs/>
          <w:i/>
          <w:szCs w:val="20"/>
          <w:lang w:eastAsia="es-MX"/>
        </w:rPr>
        <w:t xml:space="preserve"> </w:t>
      </w:r>
      <w:r>
        <w:rPr>
          <w:rFonts w:ascii="Palatino Linotype" w:hAnsi="Palatino Linotype" w:cs="Arial"/>
          <w:i/>
          <w:szCs w:val="20"/>
          <w:lang w:eastAsia="es-MX"/>
        </w:rPr>
        <w:t>mensuales) a los trabajadores por concepto de sueldos y</w:t>
      </w:r>
      <w:r>
        <w:rPr>
          <w:rFonts w:ascii="Palatino Linotype" w:hAnsi="Palatino Linotype" w:cs="Arial"/>
          <w:bCs/>
          <w:i/>
          <w:szCs w:val="20"/>
          <w:lang w:eastAsia="es-MX"/>
        </w:rPr>
        <w:t xml:space="preserve"> </w:t>
      </w:r>
      <w:r>
        <w:rPr>
          <w:rFonts w:ascii="Palatino Linotype" w:hAnsi="Palatino Linotype" w:cs="Arial"/>
          <w:i/>
          <w:szCs w:val="20"/>
          <w:lang w:eastAsia="es-MX"/>
        </w:rPr>
        <w:t>salari</w:t>
      </w:r>
      <w:r>
        <w:rPr>
          <w:rFonts w:ascii="Palatino Linotype" w:hAnsi="Palatino Linotype" w:cs="Arial"/>
          <w:i/>
          <w:szCs w:val="20"/>
          <w:lang w:eastAsia="es-MX"/>
        </w:rPr>
        <w:t>os.”</w:t>
      </w:r>
    </w:p>
    <w:p w:rsidR="006A357A" w:rsidRDefault="006A357A">
      <w:pPr>
        <w:spacing w:before="120" w:after="120" w:line="276" w:lineRule="auto"/>
        <w:ind w:left="709" w:right="709"/>
        <w:jc w:val="both"/>
        <w:rPr>
          <w:rFonts w:ascii="Palatino Linotype" w:hAnsi="Palatino Linotype" w:cs="Arial"/>
          <w:i/>
          <w:sz w:val="12"/>
          <w:szCs w:val="20"/>
          <w:lang w:eastAsia="es-MX"/>
        </w:rPr>
      </w:pPr>
    </w:p>
    <w:p w:rsidR="006A357A" w:rsidRDefault="00767FD1">
      <w:pPr>
        <w:spacing w:before="120" w:after="120" w:line="360" w:lineRule="auto"/>
        <w:jc w:val="both"/>
        <w:rPr>
          <w:rFonts w:ascii="Palatino Linotype" w:hAnsi="Palatino Linotype" w:cs="Arial"/>
          <w:lang w:eastAsia="es-MX"/>
        </w:rPr>
      </w:pPr>
      <w:r>
        <w:rPr>
          <w:rFonts w:ascii="Palatino Linotype" w:hAnsi="Palatino Linotype" w:cs="Arial"/>
        </w:rPr>
        <w:t>Como ya se apuntó, si bien es cierto nuestra legislación no establece la definición de “nómina”,</w:t>
      </w:r>
      <w:r>
        <w:rPr>
          <w:rFonts w:ascii="Palatino Linotype" w:hAnsi="Palatino Linotype" w:cs="Arial"/>
          <w:b/>
        </w:rPr>
        <w:t xml:space="preserve"> </w:t>
      </w:r>
      <w:r>
        <w:rPr>
          <w:rFonts w:ascii="Palatino Linotype" w:hAnsi="Palatino Linotype" w:cs="Arial"/>
          <w:lang w:eastAsia="es-MX"/>
        </w:rPr>
        <w:t xml:space="preserve">este término es </w:t>
      </w:r>
      <w:r>
        <w:rPr>
          <w:rFonts w:ascii="Palatino Linotype" w:hAnsi="Palatino Linotype" w:cs="Arial"/>
        </w:rPr>
        <w:t>mencionado</w:t>
      </w:r>
      <w:r>
        <w:rPr>
          <w:rFonts w:ascii="Palatino Linotype" w:hAnsi="Palatino Linotype" w:cs="Arial"/>
          <w:lang w:eastAsia="es-MX"/>
        </w:rPr>
        <w:t xml:space="preserve"> en diferentes ordenamientos legales, así el artículo 804 fracción II de la Ley Federal de Trabajo, señala lo siguiente: </w:t>
      </w:r>
    </w:p>
    <w:p w:rsidR="006A357A" w:rsidRDefault="00767FD1">
      <w:pPr>
        <w:spacing w:line="276" w:lineRule="auto"/>
        <w:ind w:left="851" w:right="992"/>
        <w:jc w:val="both"/>
        <w:rPr>
          <w:rFonts w:ascii="Palatino Linotype" w:hAnsi="Palatino Linotype" w:cs="Arial"/>
          <w:i/>
          <w:szCs w:val="20"/>
          <w:lang w:eastAsia="es-MX"/>
        </w:rPr>
      </w:pPr>
      <w:r>
        <w:rPr>
          <w:rFonts w:ascii="Palatino Linotype" w:hAnsi="Palatino Linotype" w:cs="Arial"/>
          <w:bCs/>
          <w:i/>
          <w:szCs w:val="20"/>
          <w:lang w:eastAsia="es-MX"/>
        </w:rPr>
        <w:t>“</w:t>
      </w:r>
      <w:r>
        <w:rPr>
          <w:rFonts w:ascii="Palatino Linotype" w:hAnsi="Palatino Linotype" w:cs="Arial"/>
          <w:b/>
          <w:i/>
          <w:szCs w:val="20"/>
          <w:lang w:eastAsia="es-MX"/>
        </w:rPr>
        <w:t>Artículo 804.-</w:t>
      </w:r>
      <w:r>
        <w:rPr>
          <w:rFonts w:ascii="Palatino Linotype" w:hAnsi="Palatino Linotype" w:cs="Arial"/>
          <w:i/>
          <w:szCs w:val="20"/>
          <w:lang w:eastAsia="es-MX"/>
        </w:rPr>
        <w:t xml:space="preserve"> </w:t>
      </w:r>
      <w:r>
        <w:rPr>
          <w:rFonts w:ascii="Palatino Linotype" w:hAnsi="Palatino Linotype" w:cs="Arial"/>
          <w:b/>
          <w:i/>
          <w:szCs w:val="20"/>
          <w:u w:val="single"/>
          <w:lang w:eastAsia="es-MX"/>
        </w:rPr>
        <w:t>El patrón tiene obligación de conservar y exhibir en juicio los documentos que a continuación se precisan</w:t>
      </w:r>
      <w:r>
        <w:rPr>
          <w:rFonts w:ascii="Palatino Linotype" w:hAnsi="Palatino Linotype" w:cs="Arial"/>
          <w:i/>
          <w:szCs w:val="20"/>
          <w:lang w:eastAsia="es-MX"/>
        </w:rPr>
        <w:t xml:space="preserve">: </w:t>
      </w:r>
    </w:p>
    <w:p w:rsidR="006A357A" w:rsidRDefault="00767FD1">
      <w:pPr>
        <w:spacing w:line="276" w:lineRule="auto"/>
        <w:ind w:left="851" w:right="992"/>
        <w:jc w:val="both"/>
        <w:rPr>
          <w:rFonts w:ascii="Palatino Linotype" w:hAnsi="Palatino Linotype" w:cs="Arial"/>
          <w:i/>
          <w:szCs w:val="20"/>
          <w:lang w:eastAsia="es-MX"/>
        </w:rPr>
      </w:pPr>
      <w:r>
        <w:rPr>
          <w:rFonts w:ascii="Palatino Linotype" w:hAnsi="Palatino Linotype" w:cs="Arial"/>
          <w:i/>
          <w:szCs w:val="20"/>
          <w:lang w:eastAsia="es-MX"/>
        </w:rPr>
        <w:t>…</w:t>
      </w:r>
    </w:p>
    <w:p w:rsidR="006A357A" w:rsidRDefault="00767FD1">
      <w:pPr>
        <w:spacing w:line="276" w:lineRule="auto"/>
        <w:ind w:left="851" w:right="992"/>
        <w:jc w:val="both"/>
        <w:rPr>
          <w:rFonts w:ascii="Palatino Linotype" w:hAnsi="Palatino Linotype" w:cs="Arial"/>
          <w:i/>
          <w:szCs w:val="20"/>
          <w:lang w:eastAsia="es-MX"/>
        </w:rPr>
      </w:pPr>
      <w:r>
        <w:rPr>
          <w:rFonts w:ascii="Palatino Linotype" w:hAnsi="Palatino Linotype" w:cs="Arial"/>
          <w:i/>
          <w:szCs w:val="20"/>
          <w:lang w:eastAsia="es-MX"/>
        </w:rPr>
        <w:t xml:space="preserve">II. Listas de raya o </w:t>
      </w:r>
      <w:r>
        <w:rPr>
          <w:rFonts w:ascii="Palatino Linotype" w:hAnsi="Palatino Linotype" w:cs="Arial"/>
          <w:b/>
          <w:i/>
          <w:szCs w:val="20"/>
          <w:u w:val="single"/>
          <w:lang w:eastAsia="es-MX"/>
        </w:rPr>
        <w:t>nómina de personal</w:t>
      </w:r>
      <w:r>
        <w:rPr>
          <w:rFonts w:ascii="Palatino Linotype" w:hAnsi="Palatino Linotype" w:cs="Arial"/>
          <w:i/>
          <w:szCs w:val="20"/>
          <w:lang w:eastAsia="es-MX"/>
        </w:rPr>
        <w:t xml:space="preserve">, cuando se lleven en el centro de trabajo; o recibos de pagos de salarios; </w:t>
      </w:r>
    </w:p>
    <w:p w:rsidR="006A357A" w:rsidRDefault="00767FD1">
      <w:pPr>
        <w:spacing w:line="276" w:lineRule="auto"/>
        <w:ind w:left="851" w:right="992"/>
        <w:jc w:val="both"/>
        <w:rPr>
          <w:rFonts w:ascii="Palatino Linotype" w:hAnsi="Palatino Linotype" w:cs="Arial"/>
          <w:i/>
          <w:szCs w:val="20"/>
          <w:lang w:eastAsia="es-MX"/>
        </w:rPr>
      </w:pPr>
      <w:r>
        <w:rPr>
          <w:rFonts w:ascii="Palatino Linotype" w:hAnsi="Palatino Linotype" w:cs="Arial"/>
          <w:i/>
          <w:szCs w:val="20"/>
          <w:lang w:eastAsia="es-MX"/>
        </w:rPr>
        <w:t>…</w:t>
      </w:r>
    </w:p>
    <w:p w:rsidR="006A357A" w:rsidRDefault="00767FD1">
      <w:pPr>
        <w:spacing w:line="276" w:lineRule="auto"/>
        <w:ind w:left="851" w:right="992"/>
        <w:jc w:val="both"/>
        <w:rPr>
          <w:rFonts w:ascii="Palatino Linotype" w:hAnsi="Palatino Linotype"/>
          <w:szCs w:val="20"/>
        </w:rPr>
      </w:pPr>
      <w:r>
        <w:rPr>
          <w:rFonts w:ascii="Palatino Linotype" w:hAnsi="Palatino Linotype" w:cs="Arial"/>
          <w:b/>
          <w:i/>
          <w:szCs w:val="20"/>
          <w:u w:val="single"/>
          <w:lang w:eastAsia="es-MX"/>
        </w:rPr>
        <w:t xml:space="preserve">Los </w:t>
      </w:r>
      <w:r>
        <w:rPr>
          <w:rFonts w:ascii="Palatino Linotype" w:hAnsi="Palatino Linotype" w:cs="Arial"/>
          <w:b/>
          <w:i/>
          <w:szCs w:val="20"/>
          <w:u w:val="single"/>
          <w:lang w:eastAsia="es-MX"/>
        </w:rPr>
        <w:t>documentos</w:t>
      </w:r>
      <w:r>
        <w:rPr>
          <w:rFonts w:ascii="Palatino Linotype" w:hAnsi="Palatino Linotype" w:cs="Arial"/>
          <w:i/>
          <w:szCs w:val="20"/>
          <w:lang w:eastAsia="es-MX"/>
        </w:rPr>
        <w:t xml:space="preserve"> señalados en la fracción I </w:t>
      </w:r>
      <w:r>
        <w:rPr>
          <w:rFonts w:ascii="Palatino Linotype" w:hAnsi="Palatino Linotype" w:cs="Arial"/>
          <w:b/>
          <w:i/>
          <w:szCs w:val="20"/>
          <w:u w:val="single"/>
          <w:lang w:eastAsia="es-MX"/>
        </w:rPr>
        <w:t>deberán conservarse</w:t>
      </w:r>
      <w:r>
        <w:rPr>
          <w:rFonts w:ascii="Palatino Linotype" w:hAnsi="Palatino Linotype" w:cs="Arial"/>
          <w:i/>
          <w:szCs w:val="20"/>
          <w:lang w:eastAsia="es-MX"/>
        </w:rPr>
        <w:t xml:space="preserve"> mientras dure la relación laboral y hasta un año después; los </w:t>
      </w:r>
      <w:r>
        <w:rPr>
          <w:rFonts w:ascii="Palatino Linotype" w:hAnsi="Palatino Linotype" w:cs="Arial"/>
          <w:b/>
          <w:i/>
          <w:szCs w:val="20"/>
          <w:u w:val="single"/>
          <w:lang w:eastAsia="es-MX"/>
        </w:rPr>
        <w:t>señalados en las fracciones II</w:t>
      </w:r>
      <w:r>
        <w:rPr>
          <w:rFonts w:ascii="Palatino Linotype" w:hAnsi="Palatino Linotype" w:cs="Arial"/>
          <w:i/>
          <w:szCs w:val="20"/>
          <w:lang w:eastAsia="es-MX"/>
        </w:rPr>
        <w:t xml:space="preserve">, III y IV, </w:t>
      </w:r>
      <w:r>
        <w:rPr>
          <w:rFonts w:ascii="Palatino Linotype" w:hAnsi="Palatino Linotype" w:cs="Arial"/>
          <w:b/>
          <w:i/>
          <w:szCs w:val="20"/>
          <w:u w:val="single"/>
          <w:lang w:eastAsia="es-MX"/>
        </w:rPr>
        <w:t>durante el último año y un año después de que se extinga la relación laboral</w:t>
      </w:r>
      <w:r>
        <w:rPr>
          <w:rFonts w:ascii="Palatino Linotype" w:hAnsi="Palatino Linotype" w:cs="Arial"/>
          <w:i/>
          <w:szCs w:val="20"/>
          <w:lang w:eastAsia="es-MX"/>
        </w:rPr>
        <w:t>; y los mencionado</w:t>
      </w:r>
      <w:r>
        <w:rPr>
          <w:rFonts w:ascii="Palatino Linotype" w:hAnsi="Palatino Linotype" w:cs="Arial"/>
          <w:i/>
          <w:szCs w:val="20"/>
          <w:lang w:eastAsia="es-MX"/>
        </w:rPr>
        <w:t xml:space="preserve">s en la fracción V, conforme lo señalen las Leyes que los rijan. </w:t>
      </w:r>
      <w:r>
        <w:rPr>
          <w:rFonts w:ascii="Palatino Linotype" w:hAnsi="Palatino Linotype" w:cs="Arial"/>
          <w:i/>
          <w:szCs w:val="20"/>
          <w:lang w:eastAsia="es-MX"/>
        </w:rPr>
        <w:br/>
      </w:r>
      <w:r>
        <w:rPr>
          <w:rFonts w:ascii="Palatino Linotype" w:hAnsi="Palatino Linotype"/>
          <w:szCs w:val="20"/>
        </w:rPr>
        <w:t>(Énfasis añadido)</w:t>
      </w:r>
    </w:p>
    <w:p w:rsidR="006A357A" w:rsidRDefault="00767FD1">
      <w:pPr>
        <w:spacing w:before="240" w:after="240" w:line="360" w:lineRule="auto"/>
        <w:jc w:val="both"/>
        <w:rPr>
          <w:rFonts w:ascii="Palatino Linotype" w:hAnsi="Palatino Linotype" w:cs="Arial"/>
        </w:rPr>
      </w:pPr>
      <w:r>
        <w:rPr>
          <w:rFonts w:ascii="Palatino Linotype" w:hAnsi="Palatino Linotype" w:cs="Arial"/>
        </w:rPr>
        <w:t>Atento a lo transcrito, es que resulta dable señalar que la nómina es el listado de los trabajadores de una institución para realizar los pagos periódicos de los trabajador</w:t>
      </w:r>
      <w:r>
        <w:rPr>
          <w:rFonts w:ascii="Palatino Linotype" w:hAnsi="Palatino Linotype" w:cs="Arial"/>
        </w:rPr>
        <w:t>es, que deberá incluir las percepciones brutas, deducciones y el neto a recibir.</w:t>
      </w:r>
    </w:p>
    <w:p w:rsidR="006A357A" w:rsidRDefault="00767FD1">
      <w:pPr>
        <w:spacing w:before="240" w:after="240" w:line="360" w:lineRule="auto"/>
        <w:jc w:val="both"/>
        <w:rPr>
          <w:rFonts w:ascii="Palatino Linotype" w:hAnsi="Palatino Linotype"/>
        </w:rPr>
      </w:pPr>
      <w:r>
        <w:rPr>
          <w:rFonts w:ascii="Palatino Linotype" w:hAnsi="Palatino Linotype"/>
        </w:rPr>
        <w:t>De igual forma, la Constitución Política del Estado Libre y Soberano de México dispone en lo relativo a las remuneraciones de los servidores públicos, lo siguiente:</w:t>
      </w:r>
    </w:p>
    <w:p w:rsidR="006A357A" w:rsidRDefault="00767FD1">
      <w:pPr>
        <w:spacing w:before="120" w:after="240" w:line="276" w:lineRule="auto"/>
        <w:ind w:left="851" w:right="992"/>
        <w:jc w:val="both"/>
        <w:rPr>
          <w:rFonts w:ascii="Palatino Linotype" w:hAnsi="Palatino Linotype" w:cs="Arial"/>
          <w:bCs/>
          <w:i/>
        </w:rPr>
      </w:pPr>
      <w:r>
        <w:rPr>
          <w:rFonts w:ascii="Palatino Linotype" w:hAnsi="Palatino Linotype" w:cs="Arial"/>
          <w:b/>
          <w:bCs/>
          <w:i/>
        </w:rPr>
        <w:t xml:space="preserve">“Artículo </w:t>
      </w:r>
      <w:r>
        <w:rPr>
          <w:rFonts w:ascii="Palatino Linotype" w:hAnsi="Palatino Linotype" w:cs="Arial"/>
          <w:b/>
          <w:bCs/>
          <w:i/>
        </w:rPr>
        <w:t xml:space="preserve">147.- </w:t>
      </w:r>
      <w:r>
        <w:rPr>
          <w:rFonts w:ascii="Palatino Linotype" w:hAnsi="Palatino Linotype" w:cs="Arial"/>
          <w:bCs/>
          <w:i/>
        </w:rPr>
        <w:t>El Gobernador, los diputados, los magistrados de los Tribunales Superior de Justicia y de lo Contencioso Administrativo, los miembros del Consejo de la Judicatura, los trabajadores al servicio del Estado, los integrantes y servidores de los organismo</w:t>
      </w:r>
      <w:r>
        <w:rPr>
          <w:rFonts w:ascii="Palatino Linotype" w:hAnsi="Palatino Linotype" w:cs="Arial"/>
          <w:bCs/>
          <w:i/>
        </w:rPr>
        <w:t>s autónomos, así como los miembros de los ayuntamientos y demás servidores públicos municipales recibirán una retribución adecuada e irrenunciable por el desempeño de su empleo, cargo o comisión, que será determinada en el presupuesto de egresos que corres</w:t>
      </w:r>
      <w:r>
        <w:rPr>
          <w:rFonts w:ascii="Palatino Linotype" w:hAnsi="Palatino Linotype" w:cs="Arial"/>
          <w:bCs/>
          <w:i/>
        </w:rPr>
        <w:t>ponda.”(Sic)</w:t>
      </w:r>
    </w:p>
    <w:p w:rsidR="006A357A" w:rsidRDefault="00767FD1">
      <w:pPr>
        <w:spacing w:before="240" w:after="240" w:line="360" w:lineRule="auto"/>
        <w:jc w:val="both"/>
        <w:rPr>
          <w:rFonts w:ascii="Palatino Linotype" w:hAnsi="Palatino Linotype" w:cs="Arial"/>
          <w:color w:val="222222"/>
        </w:rPr>
      </w:pPr>
      <w:r>
        <w:rPr>
          <w:rFonts w:ascii="Palatino Linotype" w:hAnsi="Palatino Linotype" w:cs="Arial"/>
          <w:color w:val="222222"/>
        </w:rPr>
        <w:t>En este contexto, el Código Financiero del Estado de México y Municipios, establece que todos los servidores públicos tienen derecho a recibir una remuneración irrenunciable por el desempeño de su empleo, cargo o comisión, el cual será en func</w:t>
      </w:r>
      <w:r>
        <w:rPr>
          <w:rFonts w:ascii="Palatino Linotype" w:hAnsi="Palatino Linotype" w:cs="Arial"/>
          <w:color w:val="222222"/>
        </w:rPr>
        <w:t>ión a las responsabilidades asumidas, esto es así, según lo previsto por el artículo 3 fracción XXXII, que es del tenor literal siguiente:</w:t>
      </w:r>
    </w:p>
    <w:p w:rsidR="006A357A" w:rsidRDefault="00767FD1">
      <w:pPr>
        <w:spacing w:before="120" w:after="240" w:line="276" w:lineRule="auto"/>
        <w:ind w:left="851" w:right="992"/>
        <w:contextualSpacing/>
        <w:jc w:val="both"/>
        <w:rPr>
          <w:rFonts w:ascii="Palatino Linotype" w:hAnsi="Palatino Linotype" w:cs="Arial"/>
          <w:bCs/>
          <w:i/>
        </w:rPr>
      </w:pPr>
      <w:r>
        <w:rPr>
          <w:rFonts w:ascii="Palatino Linotype" w:hAnsi="Palatino Linotype" w:cs="Arial"/>
          <w:b/>
          <w:bCs/>
          <w:i/>
        </w:rPr>
        <w:t>“Artículo 3.-</w:t>
      </w:r>
      <w:r>
        <w:rPr>
          <w:rFonts w:ascii="Palatino Linotype" w:hAnsi="Palatino Linotype" w:cs="Arial"/>
          <w:bCs/>
          <w:i/>
        </w:rPr>
        <w:t xml:space="preserve"> Para efectos de este Código, Ley de Ingresos del Estado y del Presupuesto de Egresos se entenderá por:</w:t>
      </w:r>
    </w:p>
    <w:p w:rsidR="006A357A" w:rsidRDefault="00767FD1">
      <w:pPr>
        <w:spacing w:before="120" w:after="240" w:line="276" w:lineRule="auto"/>
        <w:ind w:left="851" w:right="992"/>
        <w:contextualSpacing/>
        <w:jc w:val="both"/>
        <w:rPr>
          <w:rFonts w:ascii="Palatino Linotype" w:hAnsi="Palatino Linotype" w:cs="Arial"/>
          <w:bCs/>
          <w:i/>
        </w:rPr>
      </w:pPr>
      <w:r>
        <w:rPr>
          <w:rFonts w:ascii="Palatino Linotype" w:hAnsi="Palatino Linotype" w:cs="Arial"/>
          <w:bCs/>
          <w:i/>
        </w:rPr>
        <w:t>(…)</w:t>
      </w:r>
    </w:p>
    <w:p w:rsidR="006A357A" w:rsidRDefault="00767FD1">
      <w:pPr>
        <w:spacing w:before="120" w:after="240" w:line="276" w:lineRule="auto"/>
        <w:ind w:left="851" w:right="992"/>
        <w:contextualSpacing/>
        <w:jc w:val="both"/>
        <w:rPr>
          <w:rFonts w:ascii="Palatino Linotype" w:hAnsi="Palatino Linotype" w:cs="Arial"/>
          <w:bCs/>
          <w:i/>
        </w:rPr>
      </w:pPr>
      <w:r>
        <w:rPr>
          <w:rFonts w:ascii="Palatino Linotype" w:hAnsi="Palatino Linotype" w:cs="Arial"/>
          <w:b/>
          <w:bCs/>
          <w:i/>
        </w:rPr>
        <w:t xml:space="preserve">XXXII. Remuneración: </w:t>
      </w:r>
      <w:r>
        <w:rPr>
          <w:rFonts w:ascii="Palatino Linotype" w:hAnsi="Palatino Linotype" w:cs="Arial"/>
          <w:bCs/>
          <w:i/>
        </w:rPr>
        <w:t>A los pagos hechos por concepto de sueldo, compensaciones, gratificaciones, habitación, primas, comisiones, prestaciones en especie y cualquier otra percepción o prestación que se entregue al servidor público por su trabajo. Esta d</w:t>
      </w:r>
      <w:r>
        <w:rPr>
          <w:rFonts w:ascii="Palatino Linotype" w:hAnsi="Palatino Linotype" w:cs="Arial"/>
          <w:bCs/>
          <w:i/>
        </w:rPr>
        <w:t>efinición no será aplicable para los efectos del Impuesto sobre Erogaciones por Remuneraciones al Trabajo Personal;”</w:t>
      </w:r>
    </w:p>
    <w:p w:rsidR="006A357A" w:rsidRDefault="00767FD1">
      <w:pPr>
        <w:spacing w:line="276" w:lineRule="auto"/>
        <w:ind w:left="851" w:right="992"/>
        <w:jc w:val="both"/>
        <w:rPr>
          <w:rFonts w:ascii="Palatino Linotype" w:hAnsi="Palatino Linotype"/>
          <w:szCs w:val="20"/>
        </w:rPr>
      </w:pPr>
      <w:r>
        <w:rPr>
          <w:rFonts w:ascii="Palatino Linotype" w:hAnsi="Palatino Linotype"/>
          <w:szCs w:val="20"/>
        </w:rPr>
        <w:t>(Énfasis añadido)</w:t>
      </w:r>
    </w:p>
    <w:p w:rsidR="006A357A" w:rsidRDefault="006A357A">
      <w:pPr>
        <w:spacing w:before="120" w:after="240" w:line="276" w:lineRule="auto"/>
        <w:ind w:left="851" w:right="992"/>
        <w:contextualSpacing/>
        <w:jc w:val="both"/>
        <w:rPr>
          <w:rFonts w:ascii="Palatino Linotype" w:hAnsi="Palatino Linotype" w:cs="Arial"/>
          <w:bCs/>
          <w:i/>
        </w:rPr>
      </w:pPr>
    </w:p>
    <w:p w:rsidR="006A357A" w:rsidRDefault="00767FD1">
      <w:pPr>
        <w:spacing w:before="240" w:after="240" w:line="360" w:lineRule="auto"/>
        <w:jc w:val="both"/>
        <w:rPr>
          <w:rFonts w:ascii="Palatino Linotype" w:hAnsi="Palatino Linotype" w:cs="Arial"/>
          <w:color w:val="222222"/>
        </w:rPr>
      </w:pPr>
      <w:r>
        <w:rPr>
          <w:rFonts w:ascii="Palatino Linotype" w:hAnsi="Palatino Linotype" w:cs="Arial"/>
          <w:color w:val="222222"/>
        </w:rPr>
        <w:t xml:space="preserve">Al respecto, la Ley de Transparencia y Acceso a la Información Pública del Estado de México y Municipios, dispone en su </w:t>
      </w:r>
      <w:r>
        <w:rPr>
          <w:rFonts w:ascii="Palatino Linotype" w:hAnsi="Palatino Linotype" w:cs="Arial"/>
          <w:color w:val="222222"/>
        </w:rPr>
        <w:t>penúltimo párrafo del artículo 23, que los Sujetos Obligados deberán hacer pública toda aquella información relativa a los montos y personas a las que entreguen recursos, atento a ello es que surge la obligación de generar la información relacionada con la</w:t>
      </w:r>
      <w:r>
        <w:rPr>
          <w:rFonts w:ascii="Palatino Linotype" w:hAnsi="Palatino Linotype" w:cs="Arial"/>
          <w:color w:val="222222"/>
        </w:rPr>
        <w:t xml:space="preserve"> dispersión de la nómina solicitada.</w:t>
      </w:r>
    </w:p>
    <w:p w:rsidR="006A357A" w:rsidRDefault="00767FD1">
      <w:pPr>
        <w:spacing w:before="240" w:after="240" w:line="360" w:lineRule="auto"/>
        <w:jc w:val="both"/>
        <w:rPr>
          <w:rFonts w:ascii="Palatino Linotype" w:hAnsi="Palatino Linotype" w:cs="Arial"/>
          <w:color w:val="222222"/>
        </w:rPr>
      </w:pPr>
      <w:r>
        <w:rPr>
          <w:rFonts w:ascii="Palatino Linotype" w:hAnsi="Palatino Linotype" w:cs="Arial"/>
          <w:color w:val="222222"/>
        </w:rPr>
        <w:t>Ahora bien, el artículo 350 del Código Financiero del Estado de México dispone lo que se transcribe a continuación:</w:t>
      </w:r>
    </w:p>
    <w:p w:rsidR="006A357A" w:rsidRDefault="00767FD1">
      <w:pPr>
        <w:spacing w:line="276" w:lineRule="auto"/>
        <w:ind w:left="851" w:right="992"/>
        <w:jc w:val="both"/>
        <w:rPr>
          <w:rFonts w:ascii="Palatino Linotype" w:hAnsi="Palatino Linotype"/>
          <w:i/>
        </w:rPr>
      </w:pPr>
      <w:r>
        <w:rPr>
          <w:rFonts w:ascii="Palatino Linotype" w:hAnsi="Palatino Linotype"/>
          <w:i/>
        </w:rPr>
        <w:t>“</w:t>
      </w:r>
      <w:r>
        <w:rPr>
          <w:rFonts w:ascii="Palatino Linotype" w:hAnsi="Palatino Linotype"/>
          <w:b/>
          <w:i/>
        </w:rPr>
        <w:t>Artículo 350.-</w:t>
      </w:r>
      <w:r>
        <w:rPr>
          <w:rFonts w:ascii="Palatino Linotype" w:hAnsi="Palatino Linotype"/>
          <w:i/>
        </w:rPr>
        <w:t xml:space="preserve"> Mensualmente dentro de los primeros veinte días hábiles, la Secretaría y las Tesorerías, enviarán para su análisis y evaluación al Órgano Superior de Fiscalización del Estado de México, la siguiente información: </w:t>
      </w:r>
    </w:p>
    <w:p w:rsidR="006A357A" w:rsidRDefault="00767FD1">
      <w:pPr>
        <w:spacing w:line="276" w:lineRule="auto"/>
        <w:ind w:left="851" w:right="992"/>
        <w:jc w:val="both"/>
        <w:rPr>
          <w:rFonts w:ascii="Palatino Linotype" w:hAnsi="Palatino Linotype"/>
          <w:i/>
        </w:rPr>
      </w:pPr>
      <w:r>
        <w:rPr>
          <w:rFonts w:ascii="Palatino Linotype" w:hAnsi="Palatino Linotype"/>
          <w:i/>
        </w:rPr>
        <w:t xml:space="preserve">I. Información patrimonial. </w:t>
      </w:r>
    </w:p>
    <w:p w:rsidR="006A357A" w:rsidRDefault="00767FD1">
      <w:pPr>
        <w:spacing w:line="276" w:lineRule="auto"/>
        <w:ind w:left="851" w:right="992"/>
        <w:jc w:val="both"/>
        <w:rPr>
          <w:rFonts w:ascii="Palatino Linotype" w:hAnsi="Palatino Linotype"/>
          <w:i/>
        </w:rPr>
      </w:pPr>
      <w:r>
        <w:rPr>
          <w:rFonts w:ascii="Palatino Linotype" w:hAnsi="Palatino Linotype"/>
          <w:i/>
        </w:rPr>
        <w:t>II. Informaci</w:t>
      </w:r>
      <w:r>
        <w:rPr>
          <w:rFonts w:ascii="Palatino Linotype" w:hAnsi="Palatino Linotype"/>
          <w:i/>
        </w:rPr>
        <w:t xml:space="preserve">ón presupuestal. </w:t>
      </w:r>
    </w:p>
    <w:p w:rsidR="006A357A" w:rsidRDefault="00767FD1">
      <w:pPr>
        <w:spacing w:line="276" w:lineRule="auto"/>
        <w:ind w:left="851" w:right="992"/>
        <w:jc w:val="both"/>
        <w:rPr>
          <w:rFonts w:ascii="Palatino Linotype" w:hAnsi="Palatino Linotype"/>
          <w:i/>
        </w:rPr>
      </w:pPr>
      <w:r>
        <w:rPr>
          <w:rFonts w:ascii="Palatino Linotype" w:hAnsi="Palatino Linotype"/>
          <w:i/>
        </w:rPr>
        <w:t xml:space="preserve">III. Información de la obra pública. </w:t>
      </w:r>
    </w:p>
    <w:p w:rsidR="006A357A" w:rsidRDefault="00767FD1">
      <w:pPr>
        <w:spacing w:line="276" w:lineRule="auto"/>
        <w:ind w:left="851" w:right="992"/>
        <w:jc w:val="both"/>
        <w:rPr>
          <w:rFonts w:ascii="Palatino Linotype" w:hAnsi="Palatino Linotype"/>
          <w:i/>
        </w:rPr>
      </w:pPr>
      <w:r>
        <w:rPr>
          <w:rFonts w:ascii="Palatino Linotype" w:hAnsi="Palatino Linotype"/>
          <w:b/>
          <w:i/>
        </w:rPr>
        <w:t>IV. Información de nómina.</w:t>
      </w:r>
      <w:r>
        <w:rPr>
          <w:rFonts w:ascii="Palatino Linotype" w:hAnsi="Palatino Linotype"/>
          <w:i/>
        </w:rPr>
        <w:t>”(sic)</w:t>
      </w:r>
    </w:p>
    <w:p w:rsidR="006A357A" w:rsidRDefault="006A357A">
      <w:pPr>
        <w:spacing w:line="276" w:lineRule="auto"/>
        <w:ind w:left="851" w:right="902"/>
        <w:jc w:val="both"/>
        <w:rPr>
          <w:rFonts w:ascii="Palatino Linotype" w:hAnsi="Palatino Linotype" w:cs="Arial"/>
          <w:i/>
          <w:color w:val="222222"/>
        </w:rPr>
      </w:pPr>
    </w:p>
    <w:p w:rsidR="006A357A" w:rsidRDefault="00767FD1">
      <w:pPr>
        <w:spacing w:before="240" w:after="240" w:line="360" w:lineRule="auto"/>
        <w:jc w:val="both"/>
        <w:rPr>
          <w:rFonts w:ascii="Palatino Linotype" w:hAnsi="Palatino Linotype" w:cs="Arial"/>
        </w:rPr>
      </w:pPr>
      <w:r>
        <w:rPr>
          <w:rFonts w:ascii="Palatino Linotype" w:hAnsi="Palatino Linotype" w:cs="Arial"/>
        </w:rPr>
        <w:t>Precisado lo anterior, este Órgano Garante advirtió que la solicitud de acceso a la información presentada por la particular se satisface mediante la entrega de la di</w:t>
      </w:r>
      <w:r>
        <w:rPr>
          <w:rFonts w:ascii="Palatino Linotype" w:hAnsi="Palatino Linotype" w:cs="Arial"/>
        </w:rPr>
        <w:t xml:space="preserve">spersión de la nómina de los servidores públicos adscritos al Ayuntamiento de Coyotepec, que </w:t>
      </w:r>
      <w:r>
        <w:rPr>
          <w:rFonts w:ascii="Palatino Linotype" w:hAnsi="Palatino Linotype" w:cs="Arial"/>
          <w:b/>
        </w:rPr>
        <w:t>EL SUJETO OBLIGADO</w:t>
      </w:r>
      <w:r>
        <w:rPr>
          <w:rFonts w:ascii="Palatino Linotype" w:hAnsi="Palatino Linotype" w:cs="Arial"/>
        </w:rPr>
        <w:t xml:space="preserve"> debe generar y entregar al Órgano Superior de Fiscalización del Estado de México (OSFEM) y que constriñe al </w:t>
      </w:r>
      <w:r>
        <w:rPr>
          <w:rFonts w:ascii="Palatino Linotype" w:hAnsi="Palatino Linotype" w:cs="Arial"/>
          <w:b/>
        </w:rPr>
        <w:t>SUJETO OBLIGADO</w:t>
      </w:r>
      <w:r>
        <w:rPr>
          <w:rFonts w:ascii="Palatino Linotype" w:hAnsi="Palatino Linotype" w:cs="Arial"/>
        </w:rPr>
        <w:t xml:space="preserve"> a contar con dicha i</w:t>
      </w:r>
      <w:r>
        <w:rPr>
          <w:rFonts w:ascii="Palatino Linotype" w:hAnsi="Palatino Linotype" w:cs="Arial"/>
        </w:rPr>
        <w:t>nformación.</w:t>
      </w:r>
    </w:p>
    <w:p w:rsidR="006A357A" w:rsidRDefault="00767FD1">
      <w:pPr>
        <w:spacing w:beforeAutospacing="1" w:afterAutospacing="1" w:line="360" w:lineRule="auto"/>
        <w:jc w:val="both"/>
        <w:rPr>
          <w:rFonts w:ascii="Palatino Linotype" w:hAnsi="Palatino Linotype" w:cs="Arial"/>
          <w:bCs/>
          <w:lang w:val="es-ES"/>
        </w:rPr>
      </w:pPr>
      <w:r>
        <w:rPr>
          <w:rFonts w:ascii="Palatino Linotype" w:hAnsi="Palatino Linotype" w:cs="Arial"/>
          <w:lang w:val="es-ES"/>
        </w:rPr>
        <w:t>En este sentido, de acuerdo a la naturaleza de la información solicitada, se concluye que ésta es de</w:t>
      </w:r>
      <w:r>
        <w:rPr>
          <w:rFonts w:ascii="Palatino Linotype" w:hAnsi="Palatino Linotype" w:cs="Arial"/>
          <w:bCs/>
          <w:lang w:val="es-ES"/>
        </w:rPr>
        <w:t xml:space="preserve"> interés general y de alcance público, puesto que la ciudadanía tiene derecho a saber cuánto es el gasto ejercido para el pago de remuneraciones</w:t>
      </w:r>
      <w:r>
        <w:rPr>
          <w:rFonts w:ascii="Palatino Linotype" w:hAnsi="Palatino Linotype" w:cs="Arial"/>
          <w:bCs/>
          <w:lang w:val="es-ES"/>
        </w:rPr>
        <w:t xml:space="preserve"> por servicios personales al realizar las funciones públicas, esto es, su acceso</w:t>
      </w:r>
      <w:r>
        <w:rPr>
          <w:rFonts w:ascii="Palatino Linotype" w:hAnsi="Palatino Linotype" w:cs="Arial"/>
          <w:lang w:val="es-ES"/>
        </w:rPr>
        <w:t xml:space="preserve"> </w:t>
      </w:r>
      <w:r>
        <w:rPr>
          <w:rFonts w:ascii="Palatino Linotype" w:hAnsi="Palatino Linotype" w:cs="Arial"/>
          <w:bCs/>
          <w:lang w:val="es-ES"/>
        </w:rPr>
        <w:t>permite transparentar la aplicación de los recursos públicos que son otorgados para el cumplimiento de sus funciones, ello conforme a lo dispuesto por el artículo 23, fracción</w:t>
      </w:r>
      <w:r>
        <w:rPr>
          <w:rFonts w:ascii="Palatino Linotype" w:hAnsi="Palatino Linotype" w:cs="Arial"/>
          <w:bCs/>
          <w:lang w:val="es-ES"/>
        </w:rPr>
        <w:t xml:space="preserve"> IV y penúltimo párrafo de la Ley de Transparencia y Acceso a la Información Pública del Estado de México y Municipios, mismo que establece como deber de los Sujetos Obligados el hacer pública toda la información respecto a los montos y nombres de las pers</w:t>
      </w:r>
      <w:r>
        <w:rPr>
          <w:rFonts w:ascii="Palatino Linotype" w:hAnsi="Palatino Linotype" w:cs="Arial"/>
          <w:bCs/>
          <w:lang w:val="es-ES"/>
        </w:rPr>
        <w:t>onas a quienes se entreguen recursos públicos y con ello transparentar la forma, términos, causas y finalidad en la disposición del recurso.</w:t>
      </w:r>
    </w:p>
    <w:p w:rsidR="006A357A" w:rsidRDefault="00767FD1">
      <w:pPr>
        <w:spacing w:beforeAutospacing="1" w:afterAutospacing="1" w:line="360" w:lineRule="auto"/>
        <w:jc w:val="both"/>
        <w:rPr>
          <w:rFonts w:ascii="Palatino Linotype" w:hAnsi="Palatino Linotype" w:cs="Arial"/>
          <w:lang w:val="es-ES"/>
        </w:rPr>
      </w:pPr>
      <w:r>
        <w:rPr>
          <w:rFonts w:ascii="Palatino Linotype" w:hAnsi="Palatino Linotype" w:cs="Arial"/>
          <w:lang w:val="es-ES"/>
        </w:rPr>
        <w:t>Sirve de sustento por analogía, para justificar la publicidad sobre los datos relativos a los montos por concepto d</w:t>
      </w:r>
      <w:r>
        <w:rPr>
          <w:rFonts w:ascii="Palatino Linotype" w:hAnsi="Palatino Linotype" w:cs="Arial"/>
          <w:lang w:val="es-ES"/>
        </w:rPr>
        <w:t xml:space="preserve">e pago de las remuneraciones, los criterios 01/2003 y 02/2003 emitidos por el Comité de Acceso a la Información Pública y Protección de Datos Personales de la Suprema Corte de Justicia de la Nación que a continuación se citan: </w:t>
      </w:r>
    </w:p>
    <w:p w:rsidR="006A357A" w:rsidRDefault="00767FD1">
      <w:pPr>
        <w:tabs>
          <w:tab w:val="left" w:pos="8222"/>
        </w:tabs>
        <w:ind w:left="709" w:right="899"/>
        <w:jc w:val="center"/>
        <w:rPr>
          <w:rFonts w:ascii="Palatino Linotype" w:hAnsi="Palatino Linotype" w:cs="Arial"/>
          <w:b/>
          <w:i/>
          <w:lang w:val="es-ES"/>
        </w:rPr>
      </w:pPr>
      <w:r>
        <w:rPr>
          <w:rFonts w:ascii="Palatino Linotype" w:hAnsi="Palatino Linotype" w:cs="Arial"/>
          <w:b/>
          <w:i/>
          <w:lang w:val="es-ES"/>
        </w:rPr>
        <w:t>“Criterio 01/2003.</w:t>
      </w:r>
    </w:p>
    <w:p w:rsidR="006A357A" w:rsidRDefault="00767FD1">
      <w:pPr>
        <w:tabs>
          <w:tab w:val="left" w:pos="8222"/>
        </w:tabs>
        <w:ind w:left="709" w:right="899"/>
        <w:jc w:val="both"/>
        <w:rPr>
          <w:rFonts w:ascii="Palatino Linotype" w:hAnsi="Palatino Linotype" w:cs="Arial"/>
          <w:i/>
          <w:lang w:val="es-ES"/>
        </w:rPr>
      </w:pPr>
      <w:r>
        <w:rPr>
          <w:rFonts w:ascii="Palatino Linotype" w:hAnsi="Palatino Linotype" w:cs="Arial"/>
          <w:b/>
          <w:i/>
          <w:lang w:val="es-ES"/>
        </w:rPr>
        <w:t>“INGRESOS</w:t>
      </w:r>
      <w:r>
        <w:rPr>
          <w:rFonts w:ascii="Palatino Linotype" w:hAnsi="Palatino Linotype" w:cs="Arial"/>
          <w:b/>
          <w:i/>
          <w:lang w:val="es-ES"/>
        </w:rPr>
        <w:t xml:space="preserve"> DE LOS SERVIDORES PÚBLICOS. CONSTITUYEN INFORMACIÓN PÚBLICA AÚN Y CUANDO SU DIFUSIÓN PUEDE AFECTAR LA VIDA O LA SEGURIDAD DE AQUELLOS.</w:t>
      </w:r>
      <w:r>
        <w:rPr>
          <w:rFonts w:ascii="Palatino Linotype" w:hAnsi="Palatino Linotype" w:cs="Arial"/>
          <w:i/>
          <w:lang w:val="es-ES"/>
        </w:rPr>
        <w:t xml:space="preserve"> Si bien el artículo 13, fracción IV, de la Ley Federal de Transparencia y Acceso a la información Pública Gubernamental </w:t>
      </w:r>
      <w:r>
        <w:rPr>
          <w:rFonts w:ascii="Palatino Linotype" w:hAnsi="Palatino Linotype" w:cs="Arial"/>
          <w:i/>
          <w:lang w:val="es-ES"/>
        </w:rPr>
        <w:t>establece que debe clasificarse como información confidencial la que conste en expedientes administrativos cuya difusión pueda poner en riesgo la vida, la seguridad o la salud de cualquier persona, debe reconocerse que aun y cuando en ese supuesto podría e</w:t>
      </w:r>
      <w:r>
        <w:rPr>
          <w:rFonts w:ascii="Palatino Linotype" w:hAnsi="Palatino Linotype" w:cs="Arial"/>
          <w:i/>
          <w:lang w:val="es-ES"/>
        </w:rPr>
        <w:t>ncuadrar la relativa a las percepciones ordinarias y extraordinaria de los servidores públicos, ello no obsta para reconocer que el legislador estableció en el artículo 7 de ese mismo ordenamiento que la referida información, como una obligación de traspar</w:t>
      </w:r>
      <w:r>
        <w:rPr>
          <w:rFonts w:ascii="Palatino Linotype" w:hAnsi="Palatino Linotype" w:cs="Arial"/>
          <w:i/>
          <w:lang w:val="es-ES"/>
        </w:rPr>
        <w:t xml:space="preserve">encia, </w:t>
      </w:r>
      <w:r>
        <w:rPr>
          <w:rFonts w:ascii="Palatino Linotype" w:hAnsi="Palatino Linotype" w:cs="Arial"/>
          <w:b/>
          <w:i/>
          <w:lang w:val="es-ES"/>
        </w:rPr>
        <w:t>deben publicarse en medios remotos o locales de comunicación electrónica, lo que se sustenta en el hecho de que el monto de todos los ingresos que recibe un servidor público por desarrollar las labores que les son encomendadas con motivo del desempe</w:t>
      </w:r>
      <w:r>
        <w:rPr>
          <w:rFonts w:ascii="Palatino Linotype" w:hAnsi="Palatino Linotype" w:cs="Arial"/>
          <w:b/>
          <w:i/>
          <w:lang w:val="es-ES"/>
        </w:rPr>
        <w:t>ño del cargo respecto. Constituyen información pública, en tanto que se trata de erogaciones que realiza un órgano del Estado en base con los recursos que encuentran su origen en mayor medida en las contribuciones aportados por los gobernados</w:t>
      </w:r>
      <w:r>
        <w:rPr>
          <w:rFonts w:ascii="Palatino Linotype" w:hAnsi="Palatino Linotype" w:cs="Arial"/>
          <w:i/>
          <w:lang w:val="es-ES"/>
        </w:rPr>
        <w:t>…”</w:t>
      </w:r>
    </w:p>
    <w:p w:rsidR="006A357A" w:rsidRDefault="00767FD1">
      <w:pPr>
        <w:tabs>
          <w:tab w:val="left" w:pos="8222"/>
        </w:tabs>
        <w:ind w:left="709" w:right="899"/>
        <w:jc w:val="center"/>
        <w:rPr>
          <w:rFonts w:ascii="Palatino Linotype" w:hAnsi="Palatino Linotype" w:cs="Arial"/>
          <w:b/>
          <w:i/>
          <w:lang w:val="es-ES"/>
        </w:rPr>
      </w:pPr>
      <w:r>
        <w:rPr>
          <w:rFonts w:ascii="Palatino Linotype" w:hAnsi="Palatino Linotype" w:cs="Arial"/>
          <w:b/>
          <w:i/>
          <w:lang w:val="es-ES"/>
        </w:rPr>
        <w:t xml:space="preserve">“Criterio </w:t>
      </w:r>
      <w:r>
        <w:rPr>
          <w:rFonts w:ascii="Palatino Linotype" w:hAnsi="Palatino Linotype" w:cs="Arial"/>
          <w:b/>
          <w:i/>
          <w:lang w:val="es-ES"/>
        </w:rPr>
        <w:t>02/2003.</w:t>
      </w:r>
    </w:p>
    <w:p w:rsidR="006A357A" w:rsidRDefault="00767FD1">
      <w:pPr>
        <w:tabs>
          <w:tab w:val="left" w:pos="8222"/>
        </w:tabs>
        <w:ind w:left="709" w:right="899"/>
        <w:jc w:val="both"/>
        <w:rPr>
          <w:rFonts w:ascii="Palatino Linotype" w:hAnsi="Palatino Linotype" w:cs="Arial"/>
          <w:i/>
          <w:lang w:val="es-ES"/>
        </w:rPr>
      </w:pPr>
      <w:r>
        <w:rPr>
          <w:rFonts w:ascii="Palatino Linotype" w:hAnsi="Palatino Linotype" w:cs="Arial"/>
          <w:b/>
          <w:i/>
          <w:lang w:val="es-ES"/>
        </w:rPr>
        <w:t>INGRESOS DE LOS SERVIDORES PÚBLICOS, SON INFORMACIÓN PÚBLICA AÚN Y CUANDO CONSTITUYEN DATOS PERSONALES QUE SE REFIEREN AL PATRIMONIO DE AQUÉLLOS.</w:t>
      </w:r>
      <w:r>
        <w:rPr>
          <w:rFonts w:ascii="Palatino Linotype" w:hAnsi="Palatino Linotype" w:cs="Arial"/>
          <w:i/>
          <w:lang w:val="es-ES"/>
        </w:rPr>
        <w:t xml:space="preserve"> De la interpretación sistemática de lo previsto en los artículos 3º, fracción II; 7º, 9º y 18, fracci</w:t>
      </w:r>
      <w:r>
        <w:rPr>
          <w:rFonts w:ascii="Palatino Linotype" w:hAnsi="Palatino Linotype" w:cs="Arial"/>
          <w:i/>
          <w:lang w:val="es-ES"/>
        </w:rPr>
        <w:t>ón II, de la Ley Federal de Transparencia y Acceso a la Información Pública Gubernamental se advierte que no constituye información confidencial la relativa a los ingresos que reciben los servidores públicos, ya que aun y cuando se trata de datos personale</w:t>
      </w:r>
      <w:r>
        <w:rPr>
          <w:rFonts w:ascii="Palatino Linotype" w:hAnsi="Palatino Linotype" w:cs="Arial"/>
          <w:i/>
          <w:lang w:val="es-ES"/>
        </w:rPr>
        <w:t xml:space="preserve">s relativos a su patrimonio, para su difusión no se requiere consentimiento de aquellos, </w:t>
      </w:r>
      <w:r>
        <w:rPr>
          <w:rFonts w:ascii="Palatino Linotype" w:hAnsi="Palatino Linotype" w:cs="Arial"/>
          <w:b/>
          <w:i/>
          <w:lang w:val="es-ES"/>
        </w:rPr>
        <w:t>lo que deriva del hecho de que en términos de los previsto en el citado ordenamiento deben ponerse a disposición del público a través de medios remotos o locales de co</w:t>
      </w:r>
      <w:r>
        <w:rPr>
          <w:rFonts w:ascii="Palatino Linotype" w:hAnsi="Palatino Linotype" w:cs="Arial"/>
          <w:b/>
          <w:i/>
          <w:lang w:val="es-ES"/>
        </w:rPr>
        <w:t>municación electrónica, tanto el directorio de servidores públicos como las remuneraciones mensuales por puesto incluso</w:t>
      </w:r>
      <w:r>
        <w:rPr>
          <w:rFonts w:ascii="Palatino Linotype" w:hAnsi="Palatino Linotype" w:cs="Arial"/>
          <w:i/>
          <w:lang w:val="es-ES"/>
        </w:rPr>
        <w:t xml:space="preserve"> el sistema de compensación…”</w:t>
      </w:r>
    </w:p>
    <w:p w:rsidR="006A357A" w:rsidRDefault="00767FD1">
      <w:pPr>
        <w:tabs>
          <w:tab w:val="left" w:pos="8222"/>
        </w:tabs>
        <w:ind w:left="709" w:right="899"/>
        <w:jc w:val="both"/>
        <w:rPr>
          <w:rFonts w:ascii="Palatino Linotype" w:hAnsi="Palatino Linotype" w:cs="Arial"/>
          <w:i/>
          <w:lang w:val="es-ES"/>
        </w:rPr>
      </w:pPr>
      <w:r>
        <w:rPr>
          <w:rFonts w:ascii="Palatino Linotype" w:hAnsi="Palatino Linotype" w:cs="Arial"/>
          <w:i/>
          <w:lang w:val="es-ES"/>
        </w:rPr>
        <w:t>(Énfasis añadido)</w:t>
      </w:r>
    </w:p>
    <w:p w:rsidR="006A357A" w:rsidRDefault="00767FD1">
      <w:pPr>
        <w:spacing w:beforeAutospacing="1" w:afterAutospacing="1" w:line="360" w:lineRule="auto"/>
        <w:jc w:val="both"/>
        <w:rPr>
          <w:rFonts w:ascii="Palatino Linotype" w:hAnsi="Palatino Linotype" w:cs="Arial"/>
          <w:lang w:val="es-ES"/>
        </w:rPr>
      </w:pPr>
      <w:r>
        <w:rPr>
          <w:rFonts w:ascii="Palatino Linotype" w:hAnsi="Palatino Linotype" w:cs="Arial"/>
          <w:lang w:val="es-ES"/>
        </w:rPr>
        <w:t xml:space="preserve">En este sentido, </w:t>
      </w:r>
      <w:r>
        <w:rPr>
          <w:rFonts w:ascii="Palatino Linotype" w:hAnsi="Palatino Linotype" w:cs="Arial"/>
          <w:b/>
          <w:lang w:val="es-ES"/>
        </w:rPr>
        <w:t>EL SUJETO OBLIGADO</w:t>
      </w:r>
      <w:r>
        <w:rPr>
          <w:rFonts w:ascii="Palatino Linotype" w:hAnsi="Palatino Linotype" w:cs="Arial"/>
          <w:lang w:val="es-ES"/>
        </w:rPr>
        <w:t xml:space="preserve"> se encuentra constreñido a entregar la información so</w:t>
      </w:r>
      <w:r>
        <w:rPr>
          <w:rFonts w:ascii="Palatino Linotype" w:hAnsi="Palatino Linotype" w:cs="Arial"/>
          <w:lang w:val="es-ES"/>
        </w:rPr>
        <w:t xml:space="preserve">licitada por </w:t>
      </w:r>
      <w:r>
        <w:rPr>
          <w:rFonts w:ascii="Palatino Linotype" w:hAnsi="Palatino Linotype" w:cs="Arial"/>
          <w:b/>
          <w:color w:val="000000"/>
          <w:lang w:eastAsia="es-MX"/>
        </w:rPr>
        <w:t>EL RECURRENTE</w:t>
      </w:r>
      <w:r>
        <w:rPr>
          <w:rFonts w:ascii="Palatino Linotype" w:hAnsi="Palatino Linotype" w:cs="Arial"/>
          <w:lang w:val="es-ES"/>
        </w:rPr>
        <w:t xml:space="preserve">, de acuerdo a lo dispuesto por los artículos 3, fracción XI, 12 y 92, fracción VIII </w:t>
      </w:r>
      <w:r>
        <w:rPr>
          <w:rFonts w:ascii="Palatino Linotype" w:hAnsi="Palatino Linotype" w:cs="Arial"/>
          <w:bCs/>
          <w:lang w:val="es-ES"/>
        </w:rPr>
        <w:t>de la Ley de Transparencia y Acceso a la Información Pública del Estado de México y Municipios</w:t>
      </w:r>
      <w:r>
        <w:rPr>
          <w:rFonts w:ascii="Palatino Linotype" w:hAnsi="Palatino Linotype" w:cs="Arial"/>
          <w:lang w:val="es-ES"/>
        </w:rPr>
        <w:t>, de los cuales se desprende que es información púb</w:t>
      </w:r>
      <w:r>
        <w:rPr>
          <w:rFonts w:ascii="Palatino Linotype" w:hAnsi="Palatino Linotype" w:cs="Arial"/>
          <w:lang w:val="es-ES"/>
        </w:rPr>
        <w:t>lica la contenida en los documentos que los Sujetos Obligados generen, administren o se encuentre en su posesión en ejercicio de sus atribuciones.</w:t>
      </w:r>
    </w:p>
    <w:p w:rsidR="006A357A" w:rsidRDefault="00767FD1">
      <w:pPr>
        <w:spacing w:beforeAutospacing="1" w:afterAutospacing="1" w:line="360" w:lineRule="auto"/>
        <w:jc w:val="both"/>
        <w:rPr>
          <w:rFonts w:ascii="Palatino Linotype" w:hAnsi="Palatino Linotype" w:cs="Arial"/>
          <w:lang w:val="es-ES"/>
        </w:rPr>
      </w:pPr>
      <w:r>
        <w:rPr>
          <w:rFonts w:ascii="Palatino Linotype" w:hAnsi="Palatino Linotype" w:cs="Arial"/>
          <w:lang w:val="es-ES"/>
        </w:rPr>
        <w:t xml:space="preserve">Siendo aplicable, el criterio </w:t>
      </w:r>
      <w:r>
        <w:rPr>
          <w:rFonts w:ascii="Palatino Linotype" w:hAnsi="Palatino Linotype" w:cs="Arial"/>
          <w:bCs/>
          <w:lang w:val="es-ES"/>
        </w:rPr>
        <w:t>de interpretación en el orden administrativo número 0002-11, emitido por Acuerd</w:t>
      </w:r>
      <w:r>
        <w:rPr>
          <w:rFonts w:ascii="Palatino Linotype" w:hAnsi="Palatino Linotype" w:cs="Arial"/>
          <w:bCs/>
          <w:lang w:val="es-ES"/>
        </w:rPr>
        <w:t>o del Pleno del Instituto de Transparencia y Acceso a la Información Pública y Protección de Datos Personales del Estado de México y Municipios, publicado en el Periódico Oficial del Gobierno del Estado Libre y Soberano de México “Gaceta del Gobierno” el d</w:t>
      </w:r>
      <w:r>
        <w:rPr>
          <w:rFonts w:ascii="Palatino Linotype" w:hAnsi="Palatino Linotype" w:cs="Arial"/>
          <w:bCs/>
          <w:lang w:val="es-ES"/>
        </w:rPr>
        <w:t xml:space="preserve">iecinueve de octubre de dos mil once, </w:t>
      </w:r>
      <w:r>
        <w:rPr>
          <w:rFonts w:ascii="Palatino Linotype" w:hAnsi="Palatino Linotype" w:cs="Arial"/>
          <w:lang w:val="es-ES"/>
        </w:rPr>
        <w:t>cuyo rubro y texto dispone:</w:t>
      </w:r>
    </w:p>
    <w:p w:rsidR="006A357A" w:rsidRDefault="00767FD1">
      <w:pPr>
        <w:ind w:left="709" w:right="899"/>
        <w:jc w:val="center"/>
        <w:rPr>
          <w:rFonts w:ascii="Palatino Linotype" w:hAnsi="Palatino Linotype" w:cs="Arial"/>
          <w:b/>
          <w:i/>
          <w:lang w:val="es-ES"/>
        </w:rPr>
      </w:pPr>
      <w:r>
        <w:rPr>
          <w:rFonts w:ascii="Palatino Linotype" w:hAnsi="Palatino Linotype" w:cs="Arial"/>
          <w:b/>
          <w:i/>
          <w:lang w:val="es-ES"/>
        </w:rPr>
        <w:t>“CRITERIO 0002-11</w:t>
      </w:r>
    </w:p>
    <w:p w:rsidR="006A357A" w:rsidRDefault="00767FD1">
      <w:pPr>
        <w:ind w:left="709" w:right="899"/>
        <w:jc w:val="both"/>
        <w:rPr>
          <w:rFonts w:ascii="Palatino Linotype" w:hAnsi="Palatino Linotype" w:cs="Arial"/>
          <w:i/>
          <w:lang w:val="es-ES"/>
        </w:rPr>
      </w:pPr>
      <w:r>
        <w:rPr>
          <w:rFonts w:ascii="Palatino Linotype" w:hAnsi="Palatino Linotype" w:cs="Arial"/>
          <w:b/>
          <w:i/>
          <w:lang w:val="es-ES"/>
        </w:rPr>
        <w:t xml:space="preserve">INFORMACIÓN PÚBLICA, CONCEPTO DE, EN MATERIA DE TRANSPARENCIA. INTERPRETACIÓN TEMÁTICA DE LOS ARTÍCULOS 2 2, FRACCIÓN </w:t>
      </w:r>
      <w:r>
        <w:rPr>
          <w:rFonts w:ascii="Palatino Linotype" w:hAnsi="Palatino Linotype" w:cs="Arial"/>
          <w:b/>
          <w:bCs/>
          <w:i/>
          <w:lang w:val="es-ES"/>
        </w:rPr>
        <w:t xml:space="preserve">V, XV, Y XVI, </w:t>
      </w:r>
      <w:r>
        <w:rPr>
          <w:rFonts w:ascii="Palatino Linotype" w:hAnsi="Palatino Linotype" w:cs="Arial"/>
          <w:b/>
          <w:i/>
          <w:lang w:val="es-ES"/>
        </w:rPr>
        <w:t>32, 4,11 Y 41.</w:t>
      </w:r>
      <w:r>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w:t>
      </w:r>
      <w:r>
        <w:rPr>
          <w:rFonts w:ascii="Palatino Linotype" w:hAnsi="Palatino Linotype" w:cs="Arial"/>
          <w:i/>
          <w:lang w:val="es-ES"/>
        </w:rPr>
        <w:t>s órganos u organismos públicos, en virtud del ejercicio de sus funciones de derecho público, sin importar su fuente, soporte o fecha de elaboración.</w:t>
      </w:r>
    </w:p>
    <w:p w:rsidR="006A357A" w:rsidRDefault="00767FD1">
      <w:pPr>
        <w:ind w:left="709" w:right="899"/>
        <w:jc w:val="both"/>
        <w:rPr>
          <w:rFonts w:ascii="Palatino Linotype" w:hAnsi="Palatino Linotype" w:cs="Arial"/>
          <w:i/>
          <w:lang w:val="es-ES"/>
        </w:rPr>
      </w:pPr>
      <w:r>
        <w:rPr>
          <w:rFonts w:ascii="Palatino Linotype" w:hAnsi="Palatino Linotype" w:cs="Arial"/>
          <w:i/>
          <w:lang w:val="es-ES"/>
        </w:rPr>
        <w:t>En consecuencia el acceso a la información se refiere a que se cumplan cualquiera de los siguientes tres s</w:t>
      </w:r>
      <w:r>
        <w:rPr>
          <w:rFonts w:ascii="Palatino Linotype" w:hAnsi="Palatino Linotype" w:cs="Arial"/>
          <w:i/>
          <w:lang w:val="es-ES"/>
        </w:rPr>
        <w:t>upuestos:</w:t>
      </w:r>
    </w:p>
    <w:p w:rsidR="006A357A" w:rsidRDefault="00767FD1">
      <w:pPr>
        <w:ind w:left="709" w:right="899"/>
        <w:jc w:val="both"/>
        <w:rPr>
          <w:rFonts w:ascii="Palatino Linotype" w:hAnsi="Palatino Linotype" w:cs="Arial"/>
          <w:b/>
          <w:i/>
          <w:lang w:val="es-ES"/>
        </w:rPr>
      </w:pPr>
      <w:r>
        <w:rPr>
          <w:rFonts w:ascii="Palatino Linotype" w:hAnsi="Palatino Linotype" w:cs="Arial"/>
          <w:b/>
          <w:i/>
          <w:lang w:val="es-ES"/>
        </w:rPr>
        <w:t>1) Que se trate de información registrada en cualquier soporte documental, que en ejercicio de las atribuciones conferidas, sea generada por los Sujetos Obligados;</w:t>
      </w:r>
    </w:p>
    <w:p w:rsidR="006A357A" w:rsidRDefault="00767FD1">
      <w:pPr>
        <w:ind w:left="709" w:right="899"/>
        <w:jc w:val="both"/>
        <w:rPr>
          <w:rFonts w:ascii="Palatino Linotype" w:hAnsi="Palatino Linotype" w:cs="Arial"/>
          <w:i/>
          <w:lang w:val="es-ES"/>
        </w:rPr>
      </w:pPr>
      <w:r>
        <w:rPr>
          <w:rFonts w:ascii="Palatino Linotype" w:hAnsi="Palatino Linotype" w:cs="Arial"/>
          <w:i/>
          <w:lang w:val="es-ES"/>
        </w:rPr>
        <w:t xml:space="preserve">2) Que se trate de información registrada en cualquier soporte documental, que en </w:t>
      </w:r>
      <w:r>
        <w:rPr>
          <w:rFonts w:ascii="Palatino Linotype" w:hAnsi="Palatino Linotype" w:cs="Arial"/>
          <w:i/>
          <w:lang w:val="es-ES"/>
        </w:rPr>
        <w:t>ejercicio de las atribuciones conferidas, sea administrada por los Sujetos Obligados, y</w:t>
      </w:r>
    </w:p>
    <w:p w:rsidR="006A357A" w:rsidRDefault="00767FD1">
      <w:pPr>
        <w:ind w:left="709" w:right="899"/>
        <w:jc w:val="both"/>
        <w:rPr>
          <w:rFonts w:ascii="Palatino Linotype" w:hAnsi="Palatino Linotype" w:cs="Arial"/>
          <w:i/>
          <w:lang w:val="es-ES"/>
        </w:rPr>
      </w:pPr>
      <w:r>
        <w:rPr>
          <w:rFonts w:ascii="Palatino Linotype" w:hAnsi="Palatino Linotype" w:cs="Arial"/>
          <w:i/>
          <w:lang w:val="es-ES"/>
        </w:rPr>
        <w:t>3) Que se trate de información registrada en cualquier soporte documental, que en ejercicio de las atribuciones conferidas, se encuentre en posesión de los Sujetos Obli</w:t>
      </w:r>
      <w:r>
        <w:rPr>
          <w:rFonts w:ascii="Palatino Linotype" w:hAnsi="Palatino Linotype" w:cs="Arial"/>
          <w:i/>
          <w:lang w:val="es-ES"/>
        </w:rPr>
        <w:t xml:space="preserve">gados.” </w:t>
      </w:r>
    </w:p>
    <w:p w:rsidR="006A357A" w:rsidRDefault="00767FD1">
      <w:pPr>
        <w:ind w:left="709" w:right="899"/>
        <w:jc w:val="both"/>
        <w:rPr>
          <w:rFonts w:ascii="Palatino Linotype" w:hAnsi="Palatino Linotype"/>
          <w:i/>
          <w:color w:val="000000"/>
          <w:lang w:val="es-ES"/>
        </w:rPr>
      </w:pPr>
      <w:r>
        <w:rPr>
          <w:rFonts w:ascii="Palatino Linotype" w:hAnsi="Palatino Linotype"/>
          <w:i/>
          <w:color w:val="000000"/>
          <w:lang w:val="es-ES"/>
        </w:rPr>
        <w:t>(Énfasis Añadido)</w:t>
      </w:r>
    </w:p>
    <w:p w:rsidR="006A357A" w:rsidRDefault="00767FD1">
      <w:pPr>
        <w:spacing w:before="200" w:after="200" w:line="360" w:lineRule="auto"/>
        <w:jc w:val="both"/>
        <w:rPr>
          <w:rFonts w:ascii="Palatino Linotype" w:hAnsi="Palatino Linotype" w:cs="Arial"/>
        </w:rPr>
      </w:pPr>
      <w:r>
        <w:rPr>
          <w:rFonts w:ascii="Palatino Linotype" w:hAnsi="Palatino Linotype" w:cs="Arial"/>
          <w:color w:val="000000"/>
        </w:rPr>
        <w:t xml:space="preserve">Por tanto, se determina ordenar la entrega de los documentos donde conste la información solicitada por el particular, en </w:t>
      </w:r>
      <w:r>
        <w:rPr>
          <w:rFonts w:ascii="Palatino Linotype" w:hAnsi="Palatino Linotype" w:cs="Arial"/>
          <w:b/>
          <w:color w:val="000000"/>
        </w:rPr>
        <w:t>versión pública</w:t>
      </w:r>
      <w:r>
        <w:rPr>
          <w:rFonts w:ascii="Palatino Linotype" w:hAnsi="Palatino Linotype" w:cs="Arial"/>
        </w:rPr>
        <w:t>, toda vez que ésta tiene por objeto proteger datos personales, entendiéndose por tales, aquéllos que hacen identificable a una persona física o jurídica colectiva, de conformidad con el ordinal 3, fracción IX de la Ley de Transparencia y Acceso a la Infor</w:t>
      </w:r>
      <w:r>
        <w:rPr>
          <w:rFonts w:ascii="Palatino Linotype" w:hAnsi="Palatino Linotype" w:cs="Arial"/>
        </w:rPr>
        <w:t xml:space="preserve">mación Pública del Estado de México y Municipios, y artículo 4, fracción XI de la Ley de Protección de Datos Personales en posesión de Sujetos Obligados del Estado de México y Municipios. </w:t>
      </w:r>
    </w:p>
    <w:p w:rsidR="006A357A" w:rsidRDefault="00767FD1">
      <w:pPr>
        <w:spacing w:beforeAutospacing="1" w:afterAutospacing="1" w:line="360" w:lineRule="auto"/>
        <w:jc w:val="both"/>
        <w:rPr>
          <w:rFonts w:ascii="Palatino Linotype" w:eastAsia="Arial Unicode MS" w:hAnsi="Palatino Linotype" w:cs="Arial"/>
        </w:rPr>
      </w:pPr>
      <w:r>
        <w:rPr>
          <w:rFonts w:ascii="Palatino Linotype" w:hAnsi="Palatino Linotype"/>
          <w:color w:val="000000"/>
        </w:rPr>
        <w:t xml:space="preserve">Ahora </w:t>
      </w:r>
      <w:r>
        <w:rPr>
          <w:rFonts w:ascii="Palatino Linotype" w:hAnsi="Palatino Linotype" w:cs="Arial"/>
          <w:lang w:eastAsia="es-MX"/>
        </w:rPr>
        <w:t>bien</w:t>
      </w:r>
      <w:r>
        <w:rPr>
          <w:rFonts w:ascii="Palatino Linotype" w:hAnsi="Palatino Linotype"/>
          <w:color w:val="000000"/>
        </w:rPr>
        <w:t xml:space="preserve">, en relación a la </w:t>
      </w:r>
      <w:r>
        <w:rPr>
          <w:rFonts w:ascii="Palatino Linotype" w:hAnsi="Palatino Linotype"/>
          <w:b/>
          <w:color w:val="000000"/>
        </w:rPr>
        <w:t xml:space="preserve">versión pública </w:t>
      </w:r>
      <w:r>
        <w:rPr>
          <w:rFonts w:ascii="Palatino Linotype" w:hAnsi="Palatino Linotype"/>
          <w:color w:val="000000"/>
        </w:rPr>
        <w:t>de la información de l</w:t>
      </w:r>
      <w:r>
        <w:rPr>
          <w:rFonts w:ascii="Palatino Linotype" w:hAnsi="Palatino Linotype"/>
          <w:color w:val="000000"/>
        </w:rPr>
        <w:t xml:space="preserve">a que se ordena su entrega, en términos del artículo 143 de la Ley de Transparencia y Acceso a la Información Pública del Estado de México y Municipios, deberá </w:t>
      </w:r>
      <w:r>
        <w:rPr>
          <w:rFonts w:ascii="Palatino Linotype" w:eastAsia="Arial Unicode MS" w:hAnsi="Palatino Linotype" w:cs="Arial"/>
        </w:rPr>
        <w:t>omitirse, eliminarse o suprimirse la</w:t>
      </w:r>
      <w:r>
        <w:rPr>
          <w:rFonts w:ascii="Palatino Linotype" w:hAnsi="Palatino Linotype"/>
          <w:color w:val="000000"/>
        </w:rPr>
        <w:t xml:space="preserve"> información </w:t>
      </w:r>
      <w:r>
        <w:rPr>
          <w:rFonts w:ascii="Palatino Linotype" w:hAnsi="Palatino Linotype"/>
          <w:b/>
          <w:color w:val="000000"/>
        </w:rPr>
        <w:t>confidencial</w:t>
      </w:r>
      <w:r>
        <w:rPr>
          <w:rFonts w:ascii="Palatino Linotype" w:eastAsia="Arial Unicode MS" w:hAnsi="Palatino Linotype" w:cs="Arial"/>
        </w:rPr>
        <w:t xml:space="preserve">. </w:t>
      </w:r>
    </w:p>
    <w:p w:rsidR="006A357A" w:rsidRDefault="00767FD1">
      <w:pPr>
        <w:spacing w:beforeAutospacing="1" w:afterAutospacing="1" w:line="360" w:lineRule="auto"/>
        <w:jc w:val="both"/>
        <w:rPr>
          <w:rFonts w:ascii="Palatino Linotype" w:hAnsi="Palatino Linotype" w:cs="Arial"/>
        </w:rPr>
      </w:pPr>
      <w:r>
        <w:rPr>
          <w:rFonts w:ascii="Palatino Linotype" w:eastAsia="Arial Unicode MS" w:hAnsi="Palatino Linotype" w:cs="Arial"/>
        </w:rPr>
        <w:t xml:space="preserve">En ese sentido, </w:t>
      </w:r>
      <w:r>
        <w:rPr>
          <w:rFonts w:ascii="Palatino Linotype" w:hAnsi="Palatino Linotype" w:cs="Arial"/>
          <w:lang w:val="es-ES_tradnl"/>
        </w:rPr>
        <w:t xml:space="preserve">sólo podrán ser </w:t>
      </w:r>
      <w:r>
        <w:rPr>
          <w:rFonts w:ascii="Palatino Linotype" w:hAnsi="Palatino Linotype" w:cs="Arial"/>
          <w:lang w:val="es-ES_tradnl"/>
        </w:rPr>
        <w:t>testados los datos que actualicen las hipótesis normativas previstas en dicho precepto legal y deberá procederse a su clasificación mediante las formalidades de Ley, es decir,</w:t>
      </w:r>
      <w:r>
        <w:rPr>
          <w:rFonts w:ascii="Palatino Linotype" w:hAnsi="Palatino Linotype" w:cs="Arial"/>
        </w:rPr>
        <w:t xml:space="preserve"> que el Comité de Transparencia del </w:t>
      </w:r>
      <w:r>
        <w:rPr>
          <w:rFonts w:ascii="Palatino Linotype" w:hAnsi="Palatino Linotype" w:cs="Arial"/>
          <w:b/>
        </w:rPr>
        <w:t>SUJETO OBLIGADO</w:t>
      </w:r>
      <w:r>
        <w:rPr>
          <w:rFonts w:ascii="Palatino Linotype" w:hAnsi="Palatino Linotype" w:cs="Arial"/>
        </w:rPr>
        <w:t xml:space="preserve"> emita el Acuerdo de Clasifica</w:t>
      </w:r>
      <w:r>
        <w:rPr>
          <w:rFonts w:ascii="Palatino Linotype" w:hAnsi="Palatino Linotype" w:cs="Arial"/>
        </w:rPr>
        <w:t>ción correspondiente</w:t>
      </w:r>
      <w:r>
        <w:rPr>
          <w:rFonts w:ascii="Palatino Linotype" w:hAnsi="Palatino Linotype" w:cs="Arial"/>
          <w:lang w:val="es-ES_tradnl"/>
        </w:rPr>
        <w:t xml:space="preserve"> debidamente fundado y motivado, en el cual se</w:t>
      </w:r>
      <w:r>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w:t>
      </w:r>
      <w:r>
        <w:rPr>
          <w:rFonts w:ascii="Palatino Linotype" w:hAnsi="Palatino Linotype" w:cs="Arial"/>
        </w:rPr>
        <w:t>ERALES EN MATERIA DE CLASIFICACIÓN Y DESCLASIFICACIÓN DE LA INFORMACIÓN, ASÍ COMO PARA LA ELABORACIÓN DE VERSIONES PÚBLICAS.</w:t>
      </w:r>
    </w:p>
    <w:p w:rsidR="006A357A" w:rsidRDefault="00767FD1">
      <w:pPr>
        <w:spacing w:beforeAutospacing="1" w:afterAutospacing="1" w:line="360" w:lineRule="auto"/>
        <w:jc w:val="both"/>
        <w:rPr>
          <w:rFonts w:ascii="Palatino Linotype" w:eastAsia="Arial Unicode MS" w:hAnsi="Palatino Linotype" w:cs="Arial"/>
        </w:rPr>
      </w:pPr>
      <w:r>
        <w:rPr>
          <w:rFonts w:ascii="Palatino Linotype" w:hAnsi="Palatino Linotype" w:cs="Arial"/>
          <w:lang w:eastAsia="es-MX"/>
        </w:rPr>
        <w:t xml:space="preserve">Así, respecto de </w:t>
      </w:r>
      <w:r>
        <w:rPr>
          <w:rFonts w:ascii="Palatino Linotype" w:eastAsia="Arial Unicode MS" w:hAnsi="Palatino Linotype" w:cs="Arial"/>
        </w:rPr>
        <w:t xml:space="preserve">los </w:t>
      </w:r>
      <w:r>
        <w:rPr>
          <w:rFonts w:ascii="Palatino Linotype" w:hAnsi="Palatino Linotype" w:cs="Arial"/>
        </w:rPr>
        <w:t>documentos</w:t>
      </w:r>
      <w:r>
        <w:rPr>
          <w:rFonts w:ascii="Palatino Linotype" w:eastAsia="Arial Unicode MS" w:hAnsi="Palatino Linotype" w:cs="Arial"/>
        </w:rPr>
        <w:t xml:space="preserve"> que </w:t>
      </w:r>
      <w:r>
        <w:rPr>
          <w:rFonts w:ascii="Palatino Linotype" w:eastAsia="Arial Unicode MS" w:hAnsi="Palatino Linotype" w:cs="Arial"/>
          <w:b/>
        </w:rPr>
        <w:t xml:space="preserve">EL SUJETO OBLIGADO </w:t>
      </w:r>
      <w:r>
        <w:rPr>
          <w:rFonts w:ascii="Palatino Linotype" w:eastAsia="Arial Unicode MS" w:hAnsi="Palatino Linotype" w:cs="Arial"/>
        </w:rPr>
        <w:t xml:space="preserve">ha de entregar en </w:t>
      </w:r>
      <w:r>
        <w:rPr>
          <w:rFonts w:ascii="Palatino Linotype" w:eastAsia="Arial Unicode MS" w:hAnsi="Palatino Linotype" w:cs="Arial"/>
          <w:b/>
        </w:rPr>
        <w:t>versión pública</w:t>
      </w:r>
      <w:r>
        <w:rPr>
          <w:rFonts w:ascii="Palatino Linotype" w:eastAsia="Arial Unicode MS" w:hAnsi="Palatino Linotype" w:cs="Arial"/>
        </w:rPr>
        <w:t xml:space="preserve">, se deberá omitir, eliminar o suprimir la </w:t>
      </w:r>
      <w:r>
        <w:rPr>
          <w:rFonts w:ascii="Palatino Linotype" w:eastAsia="Arial Unicode MS" w:hAnsi="Palatino Linotype" w:cs="Arial"/>
        </w:rPr>
        <w:t xml:space="preserve">información personal de los servidores públicos, como Registro Federal de Contribuyentes (RFC), Clave Única de Registro de Población (CURP), clave del Instituto de Seguridad Social </w:t>
      </w:r>
      <w:r>
        <w:rPr>
          <w:rFonts w:ascii="Palatino Linotype" w:hAnsi="Palatino Linotype" w:cs="Arial"/>
        </w:rPr>
        <w:t>del</w:t>
      </w:r>
      <w:r>
        <w:rPr>
          <w:rFonts w:ascii="Palatino Linotype" w:eastAsia="Arial Unicode MS" w:hAnsi="Palatino Linotype" w:cs="Arial"/>
        </w:rPr>
        <w:t xml:space="preserve"> Estado de México y Municipios (ISSEMyM), número de cuenta y en su caso </w:t>
      </w:r>
      <w:r>
        <w:rPr>
          <w:rFonts w:ascii="Palatino Linotype" w:eastAsia="Arial Unicode MS" w:hAnsi="Palatino Linotype" w:cs="Arial"/>
        </w:rPr>
        <w:t xml:space="preserve">el número de empleado o cualquier otro dato que ponga en riesgo la vida, seguridad y salud de dichas </w:t>
      </w:r>
      <w:r>
        <w:rPr>
          <w:rFonts w:ascii="Palatino Linotype" w:hAnsi="Palatino Linotype" w:cs="Arial"/>
        </w:rPr>
        <w:t>personas</w:t>
      </w:r>
      <w:r>
        <w:rPr>
          <w:rFonts w:ascii="Palatino Linotype" w:eastAsia="Arial Unicode MS" w:hAnsi="Palatino Linotype" w:cs="Arial"/>
        </w:rPr>
        <w:t>.</w:t>
      </w:r>
    </w:p>
    <w:p w:rsidR="006A357A" w:rsidRDefault="00767FD1">
      <w:pPr>
        <w:spacing w:beforeAutospacing="1" w:afterAutospacing="1" w:line="360" w:lineRule="auto"/>
        <w:jc w:val="both"/>
        <w:rPr>
          <w:rFonts w:ascii="Palatino Linotype" w:hAnsi="Palatino Linotype" w:cs="Arial"/>
        </w:rPr>
      </w:pPr>
      <w:r>
        <w:rPr>
          <w:rFonts w:ascii="Palatino Linotype" w:hAnsi="Palatino Linotype"/>
        </w:rPr>
        <w:t xml:space="preserve">En el caso específico de la información solicitada, obran datos que son considerados </w:t>
      </w:r>
      <w:r>
        <w:rPr>
          <w:rFonts w:ascii="Palatino Linotype" w:hAnsi="Palatino Linotype" w:cs="Arial"/>
        </w:rPr>
        <w:t>confidenciales</w:t>
      </w:r>
      <w:r>
        <w:rPr>
          <w:rFonts w:ascii="Palatino Linotype" w:hAnsi="Palatino Linotype"/>
        </w:rPr>
        <w:t xml:space="preserve">, cuyo acceso </w:t>
      </w:r>
      <w:r>
        <w:rPr>
          <w:rFonts w:ascii="Palatino Linotype" w:hAnsi="Palatino Linotype" w:cs="Arial"/>
        </w:rPr>
        <w:t>debe</w:t>
      </w:r>
      <w:r>
        <w:rPr>
          <w:rFonts w:ascii="Palatino Linotype" w:hAnsi="Palatino Linotype"/>
        </w:rPr>
        <w:t xml:space="preserve"> ser restringido, los cuales</w:t>
      </w:r>
      <w:r>
        <w:rPr>
          <w:rFonts w:ascii="Palatino Linotype" w:hAnsi="Palatino Linotype"/>
        </w:rPr>
        <w:t xml:space="preserve"> </w:t>
      </w:r>
      <w:r>
        <w:rPr>
          <w:rFonts w:ascii="Palatino Linotype" w:hAnsi="Palatino Linotype" w:cs="Arial"/>
        </w:rPr>
        <w:t>deben testarse al momento de la elaboración de versiones públicas, como es el caso del RFC, CURP, la Clave de cualquier tipo de seguridad social (ISSEMyM, u otros).</w:t>
      </w:r>
    </w:p>
    <w:p w:rsidR="006A357A" w:rsidRDefault="00767FD1">
      <w:pPr>
        <w:spacing w:beforeAutospacing="1" w:afterAutospacing="1" w:line="360" w:lineRule="auto"/>
        <w:jc w:val="both"/>
        <w:rPr>
          <w:rFonts w:ascii="Palatino Linotype" w:hAnsi="Palatino Linotype"/>
        </w:rPr>
      </w:pPr>
      <w:r>
        <w:rPr>
          <w:rFonts w:ascii="Palatino Linotype" w:hAnsi="Palatino Linotype" w:cs="Arial"/>
          <w:lang w:eastAsia="es-MX"/>
        </w:rPr>
        <w:t>Por cuanto hace al RFC de las personas físicas, constituye un dato personal, ya que se gen</w:t>
      </w:r>
      <w:r>
        <w:rPr>
          <w:rFonts w:ascii="Palatino Linotype" w:hAnsi="Palatino Linotype" w:cs="Arial"/>
          <w:lang w:eastAsia="es-MX"/>
        </w:rPr>
        <w:t xml:space="preserve">era con caracteres alfanuméricos obtenidos a partir del nombre en mayúsculas sin acentos ni diéresis y la fecha de nacimiento de cada persona; es decir la primera letra </w:t>
      </w:r>
      <w:r>
        <w:rPr>
          <w:rFonts w:ascii="Palatino Linotype" w:hAnsi="Palatino Linotype" w:cs="Arial"/>
        </w:rPr>
        <w:t>del</w:t>
      </w:r>
      <w:r>
        <w:rPr>
          <w:rFonts w:ascii="Palatino Linotype" w:hAnsi="Palatino Linotype" w:cs="Arial"/>
          <w:lang w:eastAsia="es-MX"/>
        </w:rPr>
        <w:t xml:space="preserve"> apellido paterno; seguida de la primera letra Vocal del primer apellido; seguida de</w:t>
      </w:r>
      <w:r>
        <w:rPr>
          <w:rFonts w:ascii="Palatino Linotype" w:hAnsi="Palatino Linotype" w:cs="Arial"/>
          <w:lang w:eastAsia="es-MX"/>
        </w:rPr>
        <w:t xml:space="preserve"> la primera letra del segundo apellido y por último la primera letra del nombre, posterior la fecha de nacimiento año/mes/día</w:t>
      </w:r>
      <w:r>
        <w:rPr>
          <w:rFonts w:ascii="Palatino Linotype" w:hAnsi="Palatino Linotype"/>
        </w:rPr>
        <w:t xml:space="preserve"> y finalmente la homoclave; la cual, para su obtención es necesario acreditar personalidad, fecha de nacimiento entre otros con doc</w:t>
      </w:r>
      <w:r>
        <w:rPr>
          <w:rFonts w:ascii="Palatino Linotype" w:hAnsi="Palatino Linotype"/>
        </w:rPr>
        <w:t>umentos oficiales.</w:t>
      </w:r>
    </w:p>
    <w:p w:rsidR="006A357A" w:rsidRDefault="00767FD1">
      <w:pPr>
        <w:spacing w:beforeAutospacing="1" w:afterAutospacing="1" w:line="360" w:lineRule="auto"/>
        <w:jc w:val="both"/>
        <w:rPr>
          <w:rFonts w:ascii="Palatino Linotype" w:hAnsi="Palatino Linotype"/>
          <w:b/>
          <w:bCs/>
          <w:color w:val="000000"/>
        </w:rPr>
      </w:pPr>
      <w:r>
        <w:rPr>
          <w:rFonts w:ascii="Palatino Linotype" w:hAnsi="Palatino Linotype" w:cs="Arial"/>
          <w:lang w:eastAsia="es-MX"/>
        </w:rPr>
        <w:t xml:space="preserve">Al respecto, </w:t>
      </w:r>
      <w:r>
        <w:rPr>
          <w:rFonts w:ascii="Palatino Linotype" w:hAnsi="Palatino Linotype" w:cs="Arial"/>
          <w:color w:val="000000"/>
        </w:rPr>
        <w:t xml:space="preserve">es aplicable el Criterio 19/17 de la Segunda Época, emitido por </w:t>
      </w:r>
      <w:r>
        <w:rPr>
          <w:rFonts w:ascii="Palatino Linotype" w:eastAsia="Arial Unicode MS" w:hAnsi="Palatino Linotype" w:cs="Arial"/>
          <w:color w:val="000000"/>
        </w:rPr>
        <w:t xml:space="preserve">el Instituto Nacional de </w:t>
      </w:r>
      <w:r>
        <w:rPr>
          <w:rFonts w:ascii="Palatino Linotype" w:hAnsi="Palatino Linotype"/>
          <w:bCs/>
        </w:rPr>
        <w:t>Transparencia</w:t>
      </w:r>
      <w:r>
        <w:rPr>
          <w:rFonts w:ascii="Palatino Linotype" w:eastAsia="Arial Unicode MS" w:hAnsi="Palatino Linotype" w:cs="Arial"/>
          <w:color w:val="000000"/>
        </w:rPr>
        <w:t xml:space="preserve">, Acceso a la </w:t>
      </w:r>
      <w:r>
        <w:rPr>
          <w:rFonts w:ascii="Palatino Linotype" w:hAnsi="Palatino Linotype" w:cs="Arial"/>
        </w:rPr>
        <w:t>Información</w:t>
      </w:r>
      <w:r>
        <w:rPr>
          <w:rFonts w:ascii="Palatino Linotype" w:eastAsia="Arial Unicode MS" w:hAnsi="Palatino Linotype" w:cs="Arial"/>
          <w:color w:val="000000"/>
        </w:rPr>
        <w:t xml:space="preserve">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6A357A" w:rsidRDefault="00767FD1">
      <w:pPr>
        <w:tabs>
          <w:tab w:val="left" w:pos="7655"/>
        </w:tabs>
        <w:ind w:left="851" w:right="899"/>
        <w:jc w:val="both"/>
        <w:rPr>
          <w:rFonts w:ascii="Palatino Linotype" w:hAnsi="Palatino Linotype" w:cs="Arial"/>
          <w:bCs/>
          <w:i/>
        </w:rPr>
      </w:pPr>
      <w:r>
        <w:rPr>
          <w:rFonts w:ascii="Palatino Linotype" w:hAnsi="Palatino Linotype" w:cs="Arial"/>
          <w:bCs/>
          <w:i/>
        </w:rPr>
        <w:t>“</w:t>
      </w:r>
      <w:r>
        <w:rPr>
          <w:rFonts w:ascii="Palatino Linotype" w:hAnsi="Palatino Linotype" w:cs="Arial"/>
          <w:b/>
          <w:bCs/>
          <w:i/>
        </w:rPr>
        <w:t xml:space="preserve">Registro Federal de Contribuyentes (RFC) de </w:t>
      </w:r>
      <w:r>
        <w:rPr>
          <w:rFonts w:ascii="Palatino Linotype" w:hAnsi="Palatino Linotype" w:cs="Arial"/>
          <w:b/>
          <w:bCs/>
          <w:i/>
        </w:rPr>
        <w:t>personas físicas. El RFC es una clave</w:t>
      </w:r>
      <w:r>
        <w:rPr>
          <w:rFonts w:ascii="Palatino Linotype" w:hAnsi="Palatino Linotype" w:cs="Arial"/>
          <w:bCs/>
          <w:i/>
        </w:rPr>
        <w:t xml:space="preserve"> de carácter fiscal, única e irrepetible, </w:t>
      </w:r>
      <w:r>
        <w:rPr>
          <w:rFonts w:ascii="Palatino Linotype" w:hAnsi="Palatino Linotype" w:cs="Arial"/>
          <w:b/>
          <w:bCs/>
          <w:i/>
        </w:rPr>
        <w:t>que permite identificar al titular, su edad y fecha de nacimiento</w:t>
      </w:r>
      <w:r>
        <w:rPr>
          <w:rFonts w:ascii="Palatino Linotype" w:hAnsi="Palatino Linotype" w:cs="Arial"/>
          <w:bCs/>
          <w:i/>
        </w:rPr>
        <w:t xml:space="preserve">, </w:t>
      </w:r>
      <w:r>
        <w:rPr>
          <w:rFonts w:ascii="Palatino Linotype" w:hAnsi="Palatino Linotype" w:cs="Arial"/>
          <w:i/>
          <w:lang w:eastAsia="es-MX"/>
        </w:rPr>
        <w:t>por</w:t>
      </w:r>
      <w:r>
        <w:rPr>
          <w:rFonts w:ascii="Palatino Linotype" w:hAnsi="Palatino Linotype" w:cs="Arial"/>
          <w:bCs/>
          <w:i/>
        </w:rPr>
        <w:t xml:space="preserve"> lo que </w:t>
      </w:r>
      <w:r>
        <w:rPr>
          <w:rFonts w:ascii="Palatino Linotype" w:hAnsi="Palatino Linotype" w:cs="Arial"/>
          <w:b/>
          <w:bCs/>
          <w:i/>
        </w:rPr>
        <w:t>es un dato personal de carácter confidencial</w:t>
      </w:r>
      <w:r>
        <w:rPr>
          <w:rFonts w:ascii="Palatino Linotype" w:hAnsi="Palatino Linotype" w:cs="Arial"/>
          <w:i/>
        </w:rPr>
        <w:t>.</w:t>
      </w:r>
    </w:p>
    <w:p w:rsidR="006A357A" w:rsidRDefault="00767FD1">
      <w:pPr>
        <w:tabs>
          <w:tab w:val="left" w:pos="7655"/>
        </w:tabs>
        <w:ind w:left="851" w:right="899"/>
        <w:jc w:val="both"/>
        <w:rPr>
          <w:rFonts w:ascii="Palatino Linotype" w:hAnsi="Palatino Linotype" w:cs="Arial"/>
          <w:bCs/>
          <w:i/>
        </w:rPr>
      </w:pPr>
      <w:r>
        <w:rPr>
          <w:rFonts w:ascii="Palatino Linotype" w:hAnsi="Palatino Linotype" w:cs="Arial"/>
          <w:bCs/>
          <w:i/>
        </w:rPr>
        <w:t>Resoluciones:</w:t>
      </w:r>
    </w:p>
    <w:p w:rsidR="006A357A" w:rsidRDefault="00767FD1">
      <w:pPr>
        <w:tabs>
          <w:tab w:val="left" w:pos="7655"/>
        </w:tabs>
        <w:ind w:left="851" w:right="899"/>
        <w:jc w:val="both"/>
        <w:rPr>
          <w:rFonts w:ascii="Palatino Linotype" w:hAnsi="Palatino Linotype" w:cs="Arial"/>
          <w:bCs/>
          <w:i/>
        </w:rPr>
      </w:pPr>
      <w:r>
        <w:rPr>
          <w:rFonts w:ascii="Palatino Linotype" w:hAnsi="Palatino Linotype" w:cs="Arial"/>
          <w:bCs/>
          <w:i/>
        </w:rPr>
        <w:t>• RRA 0189/</w:t>
      </w:r>
      <w:r>
        <w:rPr>
          <w:rFonts w:ascii="Palatino Linotype" w:hAnsi="Palatino Linotype" w:cs="Arial"/>
          <w:i/>
          <w:lang w:eastAsia="es-MX"/>
        </w:rPr>
        <w:t>17</w:t>
      </w:r>
      <w:r>
        <w:rPr>
          <w:rFonts w:ascii="Palatino Linotype" w:hAnsi="Palatino Linotype" w:cs="Arial"/>
          <w:bCs/>
          <w:i/>
        </w:rPr>
        <w:t>. Morena. 08 de febrero de</w:t>
      </w:r>
      <w:r>
        <w:rPr>
          <w:rFonts w:ascii="Palatino Linotype" w:hAnsi="Palatino Linotype" w:cs="Arial"/>
          <w:bCs/>
          <w:i/>
        </w:rPr>
        <w:t xml:space="preserve"> 2017. Por unanimidad. Comisionado Ponente Joel Salas Suárez.</w:t>
      </w:r>
    </w:p>
    <w:p w:rsidR="006A357A" w:rsidRDefault="00767FD1">
      <w:pPr>
        <w:tabs>
          <w:tab w:val="left" w:pos="7655"/>
        </w:tabs>
        <w:ind w:left="851" w:right="899"/>
        <w:jc w:val="both"/>
        <w:rPr>
          <w:rFonts w:ascii="Palatino Linotype" w:hAnsi="Palatino Linotype" w:cs="Arial"/>
          <w:bCs/>
          <w:i/>
        </w:rPr>
      </w:pPr>
      <w:r>
        <w:rPr>
          <w:rFonts w:ascii="Palatino Linotype" w:hAnsi="Palatino Linotype" w:cs="Arial"/>
          <w:bCs/>
          <w:i/>
        </w:rPr>
        <w:t xml:space="preserve">• RRA 0677/17. Universidad Nacional Autónoma de México. 08 de marzo de 2017. Por unanimidad. Comisionado Ponente Rosendoevgueni Monterrey Chepov. </w:t>
      </w:r>
    </w:p>
    <w:p w:rsidR="006A357A" w:rsidRDefault="00767FD1">
      <w:pPr>
        <w:tabs>
          <w:tab w:val="left" w:pos="7655"/>
        </w:tabs>
        <w:ind w:left="851" w:right="899"/>
        <w:jc w:val="both"/>
        <w:rPr>
          <w:rFonts w:ascii="Palatino Linotype" w:hAnsi="Palatino Linotype" w:cs="Arial"/>
          <w:i/>
        </w:rPr>
      </w:pPr>
      <w:r>
        <w:rPr>
          <w:rFonts w:ascii="Palatino Linotype" w:hAnsi="Palatino Linotype" w:cs="Arial"/>
          <w:bCs/>
          <w:i/>
        </w:rPr>
        <w:t>• RRA 1564/17. Tribunal Electoral del Poder Jud</w:t>
      </w:r>
      <w:r>
        <w:rPr>
          <w:rFonts w:ascii="Palatino Linotype" w:hAnsi="Palatino Linotype" w:cs="Arial"/>
          <w:bCs/>
          <w:i/>
        </w:rPr>
        <w:t xml:space="preserve">icial de la Federación. 26 de abril de 2017. Por </w:t>
      </w:r>
      <w:r>
        <w:rPr>
          <w:rFonts w:ascii="Palatino Linotype" w:hAnsi="Palatino Linotype" w:cs="Arial"/>
          <w:i/>
          <w:lang w:eastAsia="es-MX"/>
        </w:rPr>
        <w:t>unanimidad</w:t>
      </w:r>
      <w:r>
        <w:rPr>
          <w:rFonts w:ascii="Palatino Linotype" w:hAnsi="Palatino Linotype" w:cs="Arial"/>
          <w:bCs/>
          <w:i/>
        </w:rPr>
        <w:t>. Comisionado Ponente Oscar Mauricio Guerra Ford.</w:t>
      </w:r>
      <w:r>
        <w:rPr>
          <w:rFonts w:ascii="Palatino Linotype" w:hAnsi="Palatino Linotype" w:cs="Arial"/>
          <w:i/>
        </w:rPr>
        <w:t>” (Sic)</w:t>
      </w:r>
    </w:p>
    <w:p w:rsidR="006A357A" w:rsidRDefault="00767FD1">
      <w:pPr>
        <w:tabs>
          <w:tab w:val="left" w:pos="7655"/>
        </w:tabs>
        <w:ind w:left="851" w:right="899"/>
        <w:jc w:val="both"/>
        <w:rPr>
          <w:rFonts w:ascii="Palatino Linotype" w:hAnsi="Palatino Linotype" w:cs="Arial"/>
        </w:rPr>
      </w:pPr>
      <w:r>
        <w:rPr>
          <w:rFonts w:ascii="Palatino Linotype" w:hAnsi="Palatino Linotype" w:cs="Arial"/>
        </w:rPr>
        <w:t>(Énfasis añadido)</w:t>
      </w:r>
    </w:p>
    <w:p w:rsidR="006A357A" w:rsidRDefault="00767FD1">
      <w:pPr>
        <w:spacing w:beforeAutospacing="1" w:afterAutospacing="1" w:line="360" w:lineRule="auto"/>
        <w:jc w:val="both"/>
        <w:rPr>
          <w:rFonts w:ascii="Palatino Linotype" w:hAnsi="Palatino Linotype" w:cs="Arial"/>
          <w:lang w:eastAsia="es-MX"/>
        </w:rPr>
      </w:pPr>
      <w:r>
        <w:rPr>
          <w:rFonts w:ascii="Palatino Linotype" w:hAnsi="Palatino Linotype" w:cs="Arial"/>
          <w:lang w:eastAsia="es-MX"/>
        </w:rPr>
        <w:t xml:space="preserve">De lo anterior, se desprende que el RFC se vincula al nombre de su </w:t>
      </w:r>
      <w:r>
        <w:rPr>
          <w:rFonts w:ascii="Palatino Linotype" w:hAnsi="Palatino Linotype"/>
          <w:bCs/>
        </w:rPr>
        <w:t>titular</w:t>
      </w:r>
      <w:r>
        <w:rPr>
          <w:rFonts w:ascii="Palatino Linotype" w:hAnsi="Palatino Linotype" w:cs="Arial"/>
          <w:lang w:eastAsia="es-MX"/>
        </w:rPr>
        <w:t xml:space="preserve">, permitiendo identificar la edad de la persona y fecha de nacimiento, determinando </w:t>
      </w:r>
      <w:r>
        <w:rPr>
          <w:rFonts w:ascii="Palatino Linotype" w:hAnsi="Palatino Linotype" w:cs="Arial"/>
        </w:rPr>
        <w:t>la</w:t>
      </w:r>
      <w:r>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w:t>
      </w:r>
      <w:r>
        <w:rPr>
          <w:rFonts w:ascii="Palatino Linotype" w:hAnsi="Palatino Linotype" w:cs="Arial"/>
          <w:lang w:eastAsia="es-MX"/>
        </w:rPr>
        <w:t xml:space="preserve">minos de los artículos 3, fracción IX de la Ley de Transparencia y Acceso a la Información Pública del Estado de México y </w:t>
      </w:r>
      <w:r>
        <w:rPr>
          <w:rFonts w:ascii="Palatino Linotype" w:hAnsi="Palatino Linotype"/>
          <w:lang w:eastAsia="es-MX"/>
        </w:rPr>
        <w:t>Municipios</w:t>
      </w:r>
      <w:r>
        <w:rPr>
          <w:rFonts w:ascii="Palatino Linotype" w:hAnsi="Palatino Linotype" w:cs="Arial"/>
          <w:lang w:eastAsia="es-MX"/>
        </w:rPr>
        <w:t xml:space="preserve">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w:t>
      </w:r>
      <w:r>
        <w:rPr>
          <w:rFonts w:ascii="Palatino Linotype" w:hAnsi="Palatino Linotype" w:cs="Arial"/>
        </w:rPr>
        <w:t>pios.</w:t>
      </w:r>
    </w:p>
    <w:p w:rsidR="006A357A" w:rsidRDefault="00767FD1">
      <w:pPr>
        <w:spacing w:beforeAutospacing="1" w:afterAutospacing="1" w:line="360" w:lineRule="auto"/>
        <w:jc w:val="both"/>
        <w:rPr>
          <w:rFonts w:ascii="Palatino Linotype" w:hAnsi="Palatino Linotype" w:cs="Arial"/>
          <w:lang w:eastAsia="es-MX"/>
        </w:rPr>
      </w:pPr>
      <w:r>
        <w:rPr>
          <w:rFonts w:ascii="Palatino Linotype" w:hAnsi="Palatino Linotype" w:cs="Arial"/>
          <w:lang w:eastAsia="es-MX"/>
        </w:rPr>
        <w:t xml:space="preserve">Por cuanto hace a la </w:t>
      </w:r>
      <w:r>
        <w:rPr>
          <w:rFonts w:ascii="Palatino Linotype" w:hAnsi="Palatino Linotype" w:cs="Arial"/>
        </w:rPr>
        <w:t>CURP</w:t>
      </w:r>
      <w:r>
        <w:rPr>
          <w:rFonts w:ascii="Palatino Linotype" w:hAnsi="Palatino Linotype" w:cs="Arial"/>
          <w:b/>
        </w:rPr>
        <w:t xml:space="preserve">, </w:t>
      </w:r>
      <w:r>
        <w:rPr>
          <w:rFonts w:ascii="Palatino Linotype" w:hAnsi="Palatino Linotype" w:cs="Arial"/>
          <w:lang w:eastAsia="es-MX"/>
        </w:rPr>
        <w:t xml:space="preserve">constituye un dato personal, ya que </w:t>
      </w:r>
      <w:r>
        <w:rPr>
          <w:rFonts w:ascii="Palatino Linotype" w:hAnsi="Palatino Linotype"/>
          <w:lang w:eastAsia="es-MX"/>
        </w:rPr>
        <w:t>tiene</w:t>
      </w:r>
      <w:r>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w:t>
      </w:r>
      <w:r>
        <w:rPr>
          <w:rFonts w:ascii="Palatino Linotype" w:hAnsi="Palatino Linotype" w:cs="Arial"/>
          <w:lang w:eastAsia="es-MX"/>
        </w:rPr>
        <w:t>rá para identificarla de manera individual.</w:t>
      </w:r>
    </w:p>
    <w:p w:rsidR="006A357A" w:rsidRDefault="00767FD1">
      <w:pPr>
        <w:spacing w:beforeAutospacing="1" w:afterAutospacing="1" w:line="360" w:lineRule="auto"/>
        <w:jc w:val="both"/>
        <w:rPr>
          <w:rFonts w:ascii="Palatino Linotype" w:hAnsi="Palatino Linotype" w:cs="Arial"/>
          <w:lang w:eastAsia="es-MX"/>
        </w:rPr>
      </w:pPr>
      <w:r>
        <w:rPr>
          <w:rFonts w:ascii="Palatino Linotype" w:hAnsi="Palatino Linotype" w:cs="Arial"/>
          <w:lang w:eastAsia="es-MX"/>
        </w:rPr>
        <w:t xml:space="preserve">Lo </w:t>
      </w:r>
      <w:r>
        <w:rPr>
          <w:rFonts w:ascii="Palatino Linotype" w:hAnsi="Palatino Linotype"/>
          <w:lang w:eastAsia="es-MX"/>
        </w:rPr>
        <w:t>anterior</w:t>
      </w:r>
      <w:r>
        <w:rPr>
          <w:rFonts w:ascii="Palatino Linotype" w:hAnsi="Palatino Linotype" w:cs="Arial"/>
          <w:lang w:eastAsia="es-MX"/>
        </w:rPr>
        <w:t xml:space="preserve">, </w:t>
      </w:r>
      <w:r>
        <w:rPr>
          <w:rFonts w:ascii="Palatino Linotype" w:hAnsi="Palatino Linotype" w:cs="Arial"/>
        </w:rPr>
        <w:t>tiene</w:t>
      </w:r>
      <w:r>
        <w:rPr>
          <w:rFonts w:ascii="Palatino Linotype" w:hAnsi="Palatino Linotype" w:cs="Arial"/>
          <w:lang w:eastAsia="es-MX"/>
        </w:rPr>
        <w:t xml:space="preserve"> sustento en los artículos 86 y 91 de la Ley General de Población, la cual señala lo siguiente:</w:t>
      </w:r>
    </w:p>
    <w:p w:rsidR="006A357A" w:rsidRDefault="00767FD1">
      <w:pPr>
        <w:ind w:left="851" w:right="899"/>
        <w:jc w:val="both"/>
        <w:rPr>
          <w:rFonts w:ascii="Palatino Linotype" w:hAnsi="Palatino Linotype" w:cs="Arial"/>
          <w:i/>
          <w:lang w:eastAsia="es-MX"/>
        </w:rPr>
      </w:pPr>
      <w:r>
        <w:rPr>
          <w:rFonts w:ascii="Palatino Linotype" w:hAnsi="Palatino Linotype" w:cs="Arial,Bold"/>
          <w:bCs/>
          <w:i/>
          <w:lang w:eastAsia="es-MX"/>
        </w:rPr>
        <w:t>“</w:t>
      </w:r>
      <w:r>
        <w:rPr>
          <w:rFonts w:ascii="Palatino Linotype" w:hAnsi="Palatino Linotype" w:cs="Arial,Bold"/>
          <w:b/>
          <w:bCs/>
          <w:i/>
          <w:lang w:eastAsia="es-MX"/>
        </w:rPr>
        <w:t xml:space="preserve">Artículo 86. </w:t>
      </w:r>
      <w:r>
        <w:rPr>
          <w:rFonts w:ascii="Palatino Linotype" w:hAnsi="Palatino Linotype" w:cs="Arial"/>
          <w:i/>
          <w:lang w:eastAsia="es-MX"/>
        </w:rPr>
        <w:t xml:space="preserve">El Registro Nacional de Población tiene como finalidad registrar a cada una de las </w:t>
      </w:r>
      <w:r>
        <w:rPr>
          <w:rFonts w:ascii="Palatino Linotype" w:hAnsi="Palatino Linotype" w:cs="Arial"/>
          <w:i/>
          <w:lang w:eastAsia="es-MX"/>
        </w:rPr>
        <w:t>personas que integran la población del país, con los datos que permitan certificar y acreditar fehacientemente su identidad.</w:t>
      </w:r>
    </w:p>
    <w:p w:rsidR="006A357A" w:rsidRDefault="00767FD1">
      <w:pPr>
        <w:ind w:left="851" w:right="899"/>
        <w:jc w:val="both"/>
        <w:rPr>
          <w:rFonts w:ascii="Palatino Linotype" w:hAnsi="Palatino Linotype" w:cs="Arial"/>
          <w:i/>
          <w:lang w:eastAsia="es-MX"/>
        </w:rPr>
      </w:pPr>
      <w:r>
        <w:rPr>
          <w:rFonts w:ascii="Palatino Linotype" w:hAnsi="Palatino Linotype" w:cs="Arial,Bold"/>
          <w:b/>
          <w:bCs/>
          <w:i/>
          <w:lang w:eastAsia="es-MX"/>
        </w:rPr>
        <w:t xml:space="preserve">Artículo 91. </w:t>
      </w:r>
      <w:r>
        <w:rPr>
          <w:rFonts w:ascii="Palatino Linotype" w:hAnsi="Palatino Linotype" w:cs="Arial"/>
          <w:b/>
          <w:i/>
          <w:lang w:eastAsia="es-MX"/>
        </w:rPr>
        <w:t>Al incorporar a una persona en el Registro Nacional de Población</w:t>
      </w:r>
      <w:r>
        <w:rPr>
          <w:rFonts w:ascii="Palatino Linotype" w:hAnsi="Palatino Linotype" w:cs="Arial"/>
          <w:i/>
          <w:lang w:eastAsia="es-MX"/>
        </w:rPr>
        <w:t xml:space="preserve">, se le asignará una clave </w:t>
      </w:r>
      <w:r>
        <w:rPr>
          <w:rFonts w:ascii="Palatino Linotype" w:hAnsi="Palatino Linotype" w:cs="Arial"/>
          <w:b/>
          <w:i/>
          <w:lang w:eastAsia="es-MX"/>
        </w:rPr>
        <w:t>que se denominará Clave Úni</w:t>
      </w:r>
      <w:r>
        <w:rPr>
          <w:rFonts w:ascii="Palatino Linotype" w:hAnsi="Palatino Linotype" w:cs="Arial"/>
          <w:b/>
          <w:i/>
          <w:lang w:eastAsia="es-MX"/>
        </w:rPr>
        <w:t>ca de Registro de Población</w:t>
      </w:r>
      <w:r>
        <w:rPr>
          <w:rFonts w:ascii="Palatino Linotype" w:hAnsi="Palatino Linotype" w:cs="Arial"/>
          <w:i/>
          <w:lang w:eastAsia="es-MX"/>
        </w:rPr>
        <w:t xml:space="preserve">. </w:t>
      </w:r>
      <w:r>
        <w:rPr>
          <w:rFonts w:ascii="Palatino Linotype" w:hAnsi="Palatino Linotype" w:cs="Arial"/>
          <w:b/>
          <w:i/>
          <w:lang w:eastAsia="es-MX"/>
        </w:rPr>
        <w:t>Esta servirá para</w:t>
      </w:r>
      <w:r>
        <w:rPr>
          <w:rFonts w:ascii="Palatino Linotype" w:hAnsi="Palatino Linotype" w:cs="Arial"/>
          <w:i/>
          <w:lang w:eastAsia="es-MX"/>
        </w:rPr>
        <w:t xml:space="preserve"> registrarla e </w:t>
      </w:r>
      <w:r>
        <w:rPr>
          <w:rFonts w:ascii="Palatino Linotype" w:hAnsi="Palatino Linotype" w:cs="Arial"/>
          <w:b/>
          <w:i/>
          <w:lang w:eastAsia="es-MX"/>
        </w:rPr>
        <w:t>identificarla en forma individual</w:t>
      </w:r>
      <w:r>
        <w:rPr>
          <w:rFonts w:ascii="Palatino Linotype" w:hAnsi="Palatino Linotype" w:cs="Arial"/>
          <w:i/>
          <w:lang w:eastAsia="es-MX"/>
        </w:rPr>
        <w:t xml:space="preserve">.” </w:t>
      </w:r>
    </w:p>
    <w:p w:rsidR="006A357A" w:rsidRDefault="00767FD1">
      <w:pPr>
        <w:ind w:left="851" w:right="899"/>
        <w:jc w:val="both"/>
        <w:rPr>
          <w:rFonts w:ascii="Palatino Linotype" w:hAnsi="Palatino Linotype" w:cs="Arial"/>
        </w:rPr>
      </w:pPr>
      <w:r>
        <w:rPr>
          <w:rFonts w:ascii="Palatino Linotype" w:hAnsi="Palatino Linotype" w:cs="Arial"/>
        </w:rPr>
        <w:t>(Énfasis añadido)</w:t>
      </w:r>
    </w:p>
    <w:p w:rsidR="006A357A" w:rsidRDefault="00767FD1">
      <w:pPr>
        <w:spacing w:beforeAutospacing="1" w:afterAutospacing="1" w:line="360" w:lineRule="auto"/>
        <w:jc w:val="both"/>
        <w:rPr>
          <w:rFonts w:ascii="Palatino Linotype" w:hAnsi="Palatino Linotype"/>
          <w:lang w:eastAsia="es-MX"/>
        </w:rPr>
      </w:pPr>
      <w:r>
        <w:rPr>
          <w:rFonts w:ascii="Palatino Linotype" w:hAnsi="Palatino Linotype"/>
          <w:lang w:eastAsia="es-MX"/>
        </w:rPr>
        <w:t>Ahora bien, la CURP está integrada de 18 elementos representados por letras y números, que se generan a partir de los datos contenidos en un</w:t>
      </w:r>
      <w:r>
        <w:rPr>
          <w:rFonts w:ascii="Palatino Linotype" w:hAnsi="Palatino Linotype"/>
          <w:lang w:eastAsia="es-MX"/>
        </w:rPr>
        <w:t xml:space="preserve"> documento probatorio de </w:t>
      </w:r>
      <w:r>
        <w:rPr>
          <w:rFonts w:ascii="Palatino Linotype" w:hAnsi="Palatino Linotype"/>
          <w:bCs/>
        </w:rPr>
        <w:t>identidad</w:t>
      </w:r>
      <w:r>
        <w:rPr>
          <w:rFonts w:ascii="Palatino Linotype" w:hAnsi="Palatino Linotype"/>
          <w:lang w:eastAsia="es-MX"/>
        </w:rPr>
        <w:t xml:space="preserve"> (acta de nacimiento, carta de naturalización o documento migratorio), la </w:t>
      </w:r>
      <w:r>
        <w:rPr>
          <w:rFonts w:ascii="Palatino Linotype" w:hAnsi="Palatino Linotype" w:cs="Arial"/>
        </w:rPr>
        <w:t>cual</w:t>
      </w:r>
      <w:r>
        <w:rPr>
          <w:rFonts w:ascii="Palatino Linotype" w:hAnsi="Palatino Linotype"/>
          <w:lang w:eastAsia="es-MX"/>
        </w:rPr>
        <w:t xml:space="preserve"> se integra de</w:t>
      </w:r>
      <w:r>
        <w:rPr>
          <w:rFonts w:ascii="Palatino Linotype" w:hAnsi="Palatino Linotype" w:cs="Arial"/>
          <w:lang w:eastAsia="es-MX"/>
        </w:rPr>
        <w:t xml:space="preserve"> la primera letra del apellido paterno; seguida de la primera letra Vocal del primer apellido; seguida de la primera letra del seg</w:t>
      </w:r>
      <w:r>
        <w:rPr>
          <w:rFonts w:ascii="Palatino Linotype" w:hAnsi="Palatino Linotype" w:cs="Arial"/>
          <w:lang w:eastAsia="es-MX"/>
        </w:rPr>
        <w:t>undo apellido y por último la primera letra del nombre; fecha de nacimiento año/mes/día</w:t>
      </w:r>
      <w:r>
        <w:rPr>
          <w:rFonts w:ascii="Palatino Linotype" w:hAnsi="Palatino Linotype"/>
          <w:lang w:eastAsia="es-MX"/>
        </w:rPr>
        <w:t xml:space="preserve">; sexo; Entidad Federativa de nacimiento; consonantes internas del nombre y apellidos; un diferenciador de homonimia y siglo; y un digito verificador, que garantizan la </w:t>
      </w:r>
      <w:r>
        <w:rPr>
          <w:rFonts w:ascii="Palatino Linotype" w:hAnsi="Palatino Linotype"/>
          <w:lang w:eastAsia="es-MX"/>
        </w:rPr>
        <w:t xml:space="preserve">correcta integración. </w:t>
      </w:r>
    </w:p>
    <w:p w:rsidR="006A357A" w:rsidRDefault="00767FD1">
      <w:pPr>
        <w:spacing w:beforeAutospacing="1" w:afterAutospacing="1" w:line="360" w:lineRule="auto"/>
        <w:jc w:val="both"/>
        <w:rPr>
          <w:rFonts w:ascii="Palatino Linotype" w:hAnsi="Palatino Linotype" w:cs="Arial"/>
          <w:lang w:eastAsia="es-MX"/>
        </w:rPr>
      </w:pPr>
      <w:r>
        <w:rPr>
          <w:rFonts w:ascii="Palatino Linotype" w:hAnsi="Palatino Linotype" w:cs="Arial"/>
          <w:lang w:eastAsia="es-MX"/>
        </w:rPr>
        <w:t xml:space="preserve">Al respecto, el </w:t>
      </w:r>
      <w:r>
        <w:rPr>
          <w:rFonts w:ascii="Palatino Linotype" w:eastAsia="Arial Unicode MS" w:hAnsi="Palatino Linotype" w:cs="Arial"/>
        </w:rPr>
        <w:t>Instituto Nacional de Transparencia, Acceso a la Información y Protección de Datos Personales (INAI),</w:t>
      </w:r>
      <w:r>
        <w:rPr>
          <w:rFonts w:ascii="Palatino Linotype" w:hAnsi="Palatino Linotype" w:cs="Arial"/>
          <w:lang w:eastAsia="es-MX"/>
        </w:rPr>
        <w:t xml:space="preserve"> a través del Criterio 18/17 de la Segunda Época, señala literalmente lo siguiente:</w:t>
      </w:r>
    </w:p>
    <w:p w:rsidR="006A357A" w:rsidRDefault="00767FD1">
      <w:pPr>
        <w:ind w:left="851" w:right="899"/>
        <w:jc w:val="both"/>
        <w:rPr>
          <w:rFonts w:ascii="Palatino Linotype" w:hAnsi="Palatino Linotype" w:cs="Arial"/>
          <w:i/>
          <w:lang w:eastAsia="es-MX"/>
        </w:rPr>
      </w:pPr>
      <w:r>
        <w:rPr>
          <w:rFonts w:ascii="Palatino Linotype" w:hAnsi="Palatino Linotype" w:cs="Arial"/>
          <w:i/>
          <w:lang w:eastAsia="es-MX"/>
        </w:rPr>
        <w:t>“</w:t>
      </w:r>
      <w:r>
        <w:rPr>
          <w:rFonts w:ascii="Palatino Linotype" w:hAnsi="Palatino Linotype" w:cs="Arial"/>
          <w:b/>
          <w:i/>
          <w:lang w:eastAsia="es-MX"/>
        </w:rPr>
        <w:t xml:space="preserve">Clave Única de Registro de </w:t>
      </w:r>
      <w:r>
        <w:rPr>
          <w:rFonts w:ascii="Palatino Linotype" w:hAnsi="Palatino Linotype" w:cs="Arial"/>
          <w:b/>
          <w:i/>
          <w:lang w:eastAsia="es-MX"/>
        </w:rPr>
        <w:t>Población (CURP).</w:t>
      </w:r>
      <w:r>
        <w:rPr>
          <w:rFonts w:ascii="Palatino Linotype" w:hAnsi="Palatino Linotype" w:cs="Arial"/>
          <w:i/>
          <w:lang w:eastAsia="es-MX"/>
        </w:rPr>
        <w:t xml:space="preserve"> </w:t>
      </w:r>
      <w:r>
        <w:rPr>
          <w:rFonts w:ascii="Palatino Linotype" w:hAnsi="Palatino Linotype" w:cs="Arial"/>
          <w:b/>
          <w:i/>
          <w:lang w:eastAsia="es-MX"/>
        </w:rPr>
        <w:t>La Clave Única de Registro de Población se integra por datos personales que sólo conciernen al particular titular</w:t>
      </w:r>
      <w:r>
        <w:rPr>
          <w:rFonts w:ascii="Palatino Linotype" w:hAnsi="Palatino Linotype" w:cs="Arial"/>
          <w:i/>
          <w:lang w:eastAsia="es-MX"/>
        </w:rPr>
        <w:t xml:space="preserve"> de la misma, </w:t>
      </w:r>
      <w:r>
        <w:rPr>
          <w:rFonts w:ascii="Palatino Linotype" w:hAnsi="Palatino Linotype" w:cs="Arial"/>
          <w:b/>
          <w:i/>
          <w:lang w:eastAsia="es-MX"/>
        </w:rPr>
        <w:t>como lo son su nombre, apellidos, fecha de nacimiento, lugar de nacimiento y sexo</w:t>
      </w:r>
      <w:r>
        <w:rPr>
          <w:rFonts w:ascii="Palatino Linotype" w:hAnsi="Palatino Linotype" w:cs="Arial"/>
          <w:i/>
          <w:lang w:eastAsia="es-MX"/>
        </w:rPr>
        <w:t>. Dichos datos, constituyen in</w:t>
      </w:r>
      <w:r>
        <w:rPr>
          <w:rFonts w:ascii="Palatino Linotype" w:hAnsi="Palatino Linotype" w:cs="Arial"/>
          <w:i/>
          <w:lang w:eastAsia="es-MX"/>
        </w:rPr>
        <w:t xml:space="preserve">formación que distingue plenamente a una persona física del resto de los habitantes del país, </w:t>
      </w:r>
      <w:r>
        <w:rPr>
          <w:rFonts w:ascii="Palatino Linotype" w:hAnsi="Palatino Linotype" w:cs="Arial"/>
          <w:b/>
          <w:i/>
          <w:lang w:eastAsia="es-MX"/>
        </w:rPr>
        <w:t>por lo que la CURP está considerada como información confidencial</w:t>
      </w:r>
      <w:r>
        <w:rPr>
          <w:rFonts w:ascii="Palatino Linotype" w:hAnsi="Palatino Linotype" w:cs="Arial"/>
          <w:i/>
          <w:lang w:eastAsia="es-MX"/>
        </w:rPr>
        <w:t xml:space="preserve">. </w:t>
      </w:r>
    </w:p>
    <w:p w:rsidR="006A357A" w:rsidRDefault="00767FD1">
      <w:pPr>
        <w:ind w:left="851" w:right="899"/>
        <w:jc w:val="both"/>
        <w:rPr>
          <w:rFonts w:ascii="Palatino Linotype" w:hAnsi="Palatino Linotype" w:cs="Arial"/>
          <w:bCs/>
          <w:i/>
          <w:lang w:eastAsia="es-MX"/>
        </w:rPr>
      </w:pPr>
      <w:r>
        <w:rPr>
          <w:rFonts w:ascii="Palatino Linotype" w:hAnsi="Palatino Linotype" w:cs="Arial"/>
          <w:bCs/>
          <w:i/>
          <w:lang w:eastAsia="es-MX"/>
        </w:rPr>
        <w:t>Resoluciones:</w:t>
      </w:r>
    </w:p>
    <w:p w:rsidR="006A357A" w:rsidRDefault="00767FD1">
      <w:pPr>
        <w:ind w:left="851" w:right="899"/>
        <w:jc w:val="both"/>
        <w:rPr>
          <w:rFonts w:ascii="Palatino Linotype" w:hAnsi="Palatino Linotype" w:cs="Arial"/>
          <w:bCs/>
          <w:i/>
          <w:lang w:eastAsia="es-MX"/>
        </w:rPr>
      </w:pPr>
      <w:r>
        <w:rPr>
          <w:rFonts w:ascii="Palatino Linotype" w:hAnsi="Palatino Linotype" w:cs="Arial"/>
          <w:bCs/>
          <w:i/>
          <w:lang w:eastAsia="es-MX"/>
        </w:rPr>
        <w:t>• RRA 3995/16. Secretaría de la Defensa Nacional. 1 de febrero de 2017. Por unan</w:t>
      </w:r>
      <w:r>
        <w:rPr>
          <w:rFonts w:ascii="Palatino Linotype" w:hAnsi="Palatino Linotype" w:cs="Arial"/>
          <w:bCs/>
          <w:i/>
          <w:lang w:eastAsia="es-MX"/>
        </w:rPr>
        <w:t>imidad. Comisionado Ponente Rosendoevgueni Monterrey Chepov.</w:t>
      </w:r>
    </w:p>
    <w:p w:rsidR="006A357A" w:rsidRDefault="00767FD1">
      <w:pPr>
        <w:ind w:left="851" w:right="899"/>
        <w:jc w:val="both"/>
        <w:rPr>
          <w:rFonts w:ascii="Palatino Linotype" w:hAnsi="Palatino Linotype" w:cs="Arial"/>
          <w:bCs/>
          <w:i/>
          <w:lang w:eastAsia="es-MX"/>
        </w:rPr>
      </w:pPr>
      <w:r>
        <w:rPr>
          <w:rFonts w:ascii="Palatino Linotype" w:hAnsi="Palatino Linotype" w:cs="Arial"/>
          <w:bCs/>
          <w:i/>
          <w:lang w:eastAsia="es-MX"/>
        </w:rPr>
        <w:t xml:space="preserve">• RRA 0937/17. Senado de la República. 15 de marzo de 2017. Por unanimidad. Comisionada Ponente </w:t>
      </w:r>
      <w:r>
        <w:rPr>
          <w:rFonts w:ascii="Palatino Linotype" w:hAnsi="Palatino Linotype" w:cs="Arial"/>
          <w:i/>
          <w:lang w:eastAsia="es-MX"/>
        </w:rPr>
        <w:t>Ximena</w:t>
      </w:r>
      <w:r>
        <w:rPr>
          <w:rFonts w:ascii="Palatino Linotype" w:hAnsi="Palatino Linotype" w:cs="Arial"/>
          <w:bCs/>
          <w:i/>
          <w:lang w:eastAsia="es-MX"/>
        </w:rPr>
        <w:t xml:space="preserve"> Puente de la Mora. </w:t>
      </w:r>
    </w:p>
    <w:p w:rsidR="006A357A" w:rsidRDefault="00767FD1">
      <w:pPr>
        <w:ind w:left="851" w:right="899"/>
        <w:jc w:val="both"/>
        <w:rPr>
          <w:rFonts w:ascii="Palatino Linotype" w:hAnsi="Palatino Linotype" w:cs="Arial"/>
          <w:i/>
          <w:lang w:eastAsia="es-MX"/>
        </w:rPr>
      </w:pPr>
      <w:r>
        <w:rPr>
          <w:rFonts w:ascii="Palatino Linotype" w:hAnsi="Palatino Linotype" w:cs="Arial"/>
          <w:bCs/>
          <w:i/>
          <w:lang w:eastAsia="es-MX"/>
        </w:rPr>
        <w:t>• RRA 0478/17. Secretaría de Relaciones Exteriores. 26 de abril de 2017.</w:t>
      </w:r>
      <w:r>
        <w:rPr>
          <w:rFonts w:ascii="Palatino Linotype" w:hAnsi="Palatino Linotype" w:cs="Arial"/>
          <w:bCs/>
          <w:i/>
          <w:lang w:eastAsia="es-MX"/>
        </w:rPr>
        <w:t xml:space="preserve"> Por unanimidad. </w:t>
      </w:r>
      <w:r>
        <w:rPr>
          <w:rFonts w:ascii="Palatino Linotype" w:hAnsi="Palatino Linotype" w:cs="Arial"/>
          <w:i/>
          <w:lang w:eastAsia="es-MX"/>
        </w:rPr>
        <w:t>Comisionada</w:t>
      </w:r>
      <w:r>
        <w:rPr>
          <w:rFonts w:ascii="Palatino Linotype" w:hAnsi="Palatino Linotype" w:cs="Arial"/>
          <w:bCs/>
          <w:i/>
          <w:lang w:eastAsia="es-MX"/>
        </w:rPr>
        <w:t xml:space="preserve"> Ponente Areli Cano Guadiana.</w:t>
      </w:r>
      <w:r>
        <w:rPr>
          <w:rFonts w:ascii="Palatino Linotype" w:hAnsi="Palatino Linotype" w:cs="Arial"/>
          <w:i/>
          <w:lang w:eastAsia="es-MX"/>
        </w:rPr>
        <w:t xml:space="preserve">” </w:t>
      </w:r>
      <w:r>
        <w:rPr>
          <w:rFonts w:ascii="Palatino Linotype" w:hAnsi="Palatino Linotype" w:cs="Arial"/>
          <w:i/>
        </w:rPr>
        <w:t>(Sic)</w:t>
      </w:r>
    </w:p>
    <w:p w:rsidR="006A357A" w:rsidRDefault="00767FD1">
      <w:pPr>
        <w:ind w:left="851" w:right="899"/>
        <w:jc w:val="both"/>
        <w:rPr>
          <w:rFonts w:ascii="Palatino Linotype" w:hAnsi="Palatino Linotype" w:cs="Arial"/>
        </w:rPr>
      </w:pPr>
      <w:r>
        <w:rPr>
          <w:rFonts w:ascii="Palatino Linotype" w:hAnsi="Palatino Linotype" w:cs="Arial"/>
        </w:rPr>
        <w:t>(Énfasis añadido)</w:t>
      </w:r>
    </w:p>
    <w:p w:rsidR="006A357A" w:rsidRDefault="00767FD1">
      <w:pPr>
        <w:spacing w:beforeAutospacing="1" w:afterAutospacing="1" w:line="360" w:lineRule="auto"/>
        <w:jc w:val="both"/>
        <w:rPr>
          <w:rFonts w:ascii="Palatino Linotype" w:hAnsi="Palatino Linotype" w:cs="Arial"/>
          <w:lang w:eastAsia="es-MX"/>
        </w:rPr>
      </w:pPr>
      <w:r>
        <w:rPr>
          <w:rFonts w:ascii="Palatino Linotype" w:hAnsi="Palatino Linotype" w:cs="Arial"/>
          <w:lang w:eastAsia="es-MX"/>
        </w:rPr>
        <w:t xml:space="preserve">De lo anterior, se desprende que la </w:t>
      </w:r>
      <w:r>
        <w:rPr>
          <w:rFonts w:ascii="Palatino Linotype" w:hAnsi="Palatino Linotype"/>
          <w:lang w:eastAsia="es-MX"/>
        </w:rPr>
        <w:t xml:space="preserve">CURP </w:t>
      </w:r>
      <w:r>
        <w:rPr>
          <w:rFonts w:ascii="Palatino Linotype" w:hAnsi="Palatino Linotype" w:cs="Arial"/>
          <w:lang w:eastAsia="es-MX"/>
        </w:rPr>
        <w:t>se encuentra vinculada al nombre y apellidos de la persona, permitiendo identificar fecha y lugar de nacimiento, así como el sexo; d</w:t>
      </w:r>
      <w:r>
        <w:rPr>
          <w:rFonts w:ascii="Palatino Linotype" w:hAnsi="Palatino Linotype" w:cs="Arial"/>
          <w:lang w:eastAsia="es-MX"/>
        </w:rPr>
        <w:t xml:space="preserve">atos que únicamente le atañen a su titular, por lo que, ésta constituye un dato </w:t>
      </w:r>
      <w:r>
        <w:rPr>
          <w:rFonts w:ascii="Palatino Linotype" w:hAnsi="Palatino Linotype"/>
          <w:bCs/>
        </w:rPr>
        <w:t>personal</w:t>
      </w:r>
      <w:r>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w:t>
      </w:r>
      <w:r>
        <w:rPr>
          <w:rFonts w:ascii="Palatino Linotype" w:hAnsi="Palatino Linotype" w:cs="Arial"/>
          <w:lang w:eastAsia="es-MX"/>
        </w:rPr>
        <w:t xml:space="preserve">a del Estado de México y Municipios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r>
        <w:rPr>
          <w:rFonts w:ascii="Palatino Linotype" w:hAnsi="Palatino Linotype" w:cs="Arial"/>
          <w:lang w:eastAsia="es-MX"/>
        </w:rPr>
        <w:t>.</w:t>
      </w:r>
    </w:p>
    <w:p w:rsidR="006A357A" w:rsidRDefault="00767FD1">
      <w:pPr>
        <w:spacing w:beforeAutospacing="1" w:afterAutospacing="1" w:line="360" w:lineRule="auto"/>
        <w:jc w:val="both"/>
        <w:rPr>
          <w:rFonts w:ascii="Palatino Linotype" w:hAnsi="Palatino Linotype" w:cs="Arial"/>
          <w:lang w:eastAsia="es-MX"/>
        </w:rPr>
      </w:pPr>
      <w:r>
        <w:rPr>
          <w:rFonts w:ascii="Palatino Linotype" w:hAnsi="Palatino Linotype" w:cs="Arial"/>
          <w:lang w:eastAsia="es-MX"/>
        </w:rPr>
        <w:t xml:space="preserve">Por cuanto hace a la </w:t>
      </w:r>
      <w:r>
        <w:rPr>
          <w:rFonts w:ascii="Palatino Linotype" w:hAnsi="Palatino Linotype" w:cs="Arial"/>
        </w:rPr>
        <w:t>Clave de cualquier tipo de seguridad social (ISSEMyM, u otros), está i</w:t>
      </w:r>
      <w:r>
        <w:rPr>
          <w:rFonts w:ascii="Palatino Linotype" w:hAnsi="Palatino Linotype" w:cs="Arial"/>
        </w:rPr>
        <w:t xml:space="preserve">ntegrado por una </w:t>
      </w:r>
      <w:r>
        <w:rPr>
          <w:rFonts w:ascii="Palatino Linotype" w:hAnsi="Palatino Linotype" w:cs="Arial"/>
          <w:bCs/>
          <w:lang w:eastAsia="es-MX"/>
        </w:rPr>
        <w:t xml:space="preserve">secuencia de números con los que se identifica a los trabajadores que </w:t>
      </w:r>
      <w:r>
        <w:rPr>
          <w:rFonts w:ascii="Palatino Linotype" w:hAnsi="Palatino Linotype"/>
          <w:lang w:eastAsia="es-MX"/>
        </w:rPr>
        <w:t>cubren</w:t>
      </w:r>
      <w:r>
        <w:rPr>
          <w:rFonts w:ascii="Palatino Linotype" w:hAnsi="Palatino Linotype" w:cs="Arial"/>
          <w:bCs/>
          <w:lang w:eastAsia="es-MX"/>
        </w:rPr>
        <w:t xml:space="preserve"> las cuotas respectivas, asimismo, lo identifica con la fuente de trabajo; por lo que al ser una clave de </w:t>
      </w:r>
      <w:r>
        <w:rPr>
          <w:rFonts w:ascii="Palatino Linotype" w:hAnsi="Palatino Linotype" w:cs="Arial"/>
        </w:rPr>
        <w:t>identificación</w:t>
      </w:r>
      <w:r>
        <w:rPr>
          <w:rFonts w:ascii="Palatino Linotype" w:hAnsi="Palatino Linotype" w:cs="Arial"/>
          <w:bCs/>
          <w:lang w:eastAsia="es-MX"/>
        </w:rPr>
        <w:t xml:space="preserve"> de los trabajadores, constituye información confidencial, </w:t>
      </w:r>
      <w:r>
        <w:rPr>
          <w:rFonts w:ascii="Palatino Linotype" w:hAnsi="Palatino Linotype" w:cs="Arial"/>
          <w:lang w:eastAsia="es-MX"/>
        </w:rPr>
        <w:t>dato que únicamente le atañe al servidor público, por lo constituye un dato personal que concierne a una persona física identificada e identificable en términos de los artículos 2, fracción II de l</w:t>
      </w:r>
      <w:r>
        <w:rPr>
          <w:rFonts w:ascii="Palatino Linotype" w:hAnsi="Palatino Linotype" w:cs="Arial"/>
          <w:lang w:eastAsia="es-MX"/>
        </w:rPr>
        <w:t xml:space="preserve">a Ley de Transparencia y Acceso a la Información Pública del Estado de México y Municipios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r>
        <w:rPr>
          <w:rFonts w:ascii="Palatino Linotype" w:hAnsi="Palatino Linotype" w:cs="Arial"/>
          <w:lang w:eastAsia="es-MX"/>
        </w:rPr>
        <w:t>.</w:t>
      </w:r>
    </w:p>
    <w:p w:rsidR="006A357A" w:rsidRDefault="00767FD1">
      <w:pPr>
        <w:spacing w:beforeAutospacing="1" w:afterAutospacing="1" w:line="360" w:lineRule="auto"/>
        <w:jc w:val="both"/>
        <w:rPr>
          <w:rFonts w:ascii="Palatino Linotype" w:hAnsi="Palatino Linotype" w:cs="Arial"/>
          <w:lang w:eastAsia="es-MX"/>
        </w:rPr>
      </w:pPr>
      <w:r>
        <w:rPr>
          <w:rFonts w:ascii="Palatino Linotype" w:hAnsi="Palatino Linotype" w:cs="Arial"/>
          <w:lang w:eastAsia="es-MX"/>
        </w:rPr>
        <w:t xml:space="preserve">Por su </w:t>
      </w:r>
      <w:r>
        <w:rPr>
          <w:rFonts w:ascii="Palatino Linotype" w:hAnsi="Palatino Linotype"/>
          <w:lang w:eastAsia="es-MX"/>
        </w:rPr>
        <w:t>parte</w:t>
      </w:r>
      <w:r>
        <w:rPr>
          <w:rFonts w:ascii="Palatino Linotype" w:hAnsi="Palatino Linotype" w:cs="Arial"/>
          <w:lang w:eastAsia="es-MX"/>
        </w:rPr>
        <w:t xml:space="preserve">, el </w:t>
      </w:r>
      <w:r>
        <w:rPr>
          <w:rFonts w:ascii="Palatino Linotype" w:hAnsi="Palatino Linotype" w:cs="Arial"/>
        </w:rPr>
        <w:t>artículo 84 de la L</w:t>
      </w:r>
      <w:r>
        <w:rPr>
          <w:rFonts w:ascii="Palatino Linotype" w:hAnsi="Palatino Linotype" w:cs="Arial"/>
        </w:rPr>
        <w:t>ey del Trabajo de los Servidores Públicos del Estado y Municipios, señala:</w:t>
      </w:r>
    </w:p>
    <w:p w:rsidR="006A357A" w:rsidRDefault="00767FD1">
      <w:pPr>
        <w:ind w:left="851" w:right="899"/>
        <w:jc w:val="both"/>
        <w:rPr>
          <w:rFonts w:ascii="Palatino Linotype" w:hAnsi="Palatino Linotype" w:cs="Arial"/>
          <w:b/>
          <w:bCs/>
          <w:i/>
        </w:rPr>
      </w:pPr>
      <w:r>
        <w:rPr>
          <w:rFonts w:ascii="Palatino Linotype" w:hAnsi="Palatino Linotype" w:cs="Arial"/>
          <w:bCs/>
          <w:i/>
        </w:rPr>
        <w:t>“</w:t>
      </w:r>
      <w:r>
        <w:rPr>
          <w:rFonts w:ascii="Palatino Linotype" w:hAnsi="Palatino Linotype" w:cs="Arial"/>
          <w:b/>
          <w:bCs/>
          <w:i/>
        </w:rPr>
        <w:t>ARTICULO 84. Sólo podrán hacerse retenciones, descuentos o deducciones al sueldo de los servidores públicos por concepto de:</w:t>
      </w:r>
    </w:p>
    <w:p w:rsidR="006A357A" w:rsidRDefault="00767FD1">
      <w:pPr>
        <w:ind w:left="851" w:right="899"/>
        <w:jc w:val="both"/>
        <w:rPr>
          <w:rFonts w:ascii="Palatino Linotype" w:hAnsi="Palatino Linotype" w:cs="Arial"/>
          <w:i/>
          <w:lang w:eastAsia="es-MX"/>
        </w:rPr>
      </w:pPr>
      <w:r>
        <w:rPr>
          <w:rFonts w:ascii="Palatino Linotype" w:hAnsi="Palatino Linotype" w:cs="Arial"/>
          <w:bCs/>
          <w:i/>
        </w:rPr>
        <w:t xml:space="preserve">I. </w:t>
      </w:r>
      <w:r>
        <w:rPr>
          <w:rFonts w:ascii="Palatino Linotype" w:hAnsi="Palatino Linotype" w:cs="Arial"/>
          <w:i/>
          <w:lang w:eastAsia="es-MX"/>
        </w:rPr>
        <w:t>Gravámenes fiscales relacionados con el sueldo;</w:t>
      </w:r>
    </w:p>
    <w:p w:rsidR="006A357A" w:rsidRDefault="00767FD1">
      <w:pPr>
        <w:ind w:left="851" w:right="899"/>
        <w:jc w:val="both"/>
        <w:rPr>
          <w:rFonts w:ascii="Palatino Linotype" w:hAnsi="Palatino Linotype" w:cs="Arial"/>
          <w:i/>
          <w:lang w:eastAsia="es-MX"/>
        </w:rPr>
      </w:pPr>
      <w:r>
        <w:rPr>
          <w:rFonts w:ascii="Palatino Linotype" w:hAnsi="Palatino Linotype" w:cs="Arial"/>
          <w:i/>
          <w:lang w:eastAsia="es-MX"/>
        </w:rPr>
        <w:t xml:space="preserve">II. </w:t>
      </w:r>
      <w:r>
        <w:rPr>
          <w:rFonts w:ascii="Palatino Linotype" w:hAnsi="Palatino Linotype" w:cs="Arial"/>
          <w:i/>
          <w:lang w:eastAsia="es-MX"/>
        </w:rPr>
        <w:t>Deudas contraídas con las instituciones públicas o dependencias por concepto de anticipos de sueldo, pagos hechos con exceso, errores o pérdidas debidamente comprobados;</w:t>
      </w:r>
    </w:p>
    <w:p w:rsidR="006A357A" w:rsidRDefault="00767FD1">
      <w:pPr>
        <w:ind w:left="851" w:right="899"/>
        <w:jc w:val="both"/>
        <w:rPr>
          <w:rFonts w:ascii="Palatino Linotype" w:hAnsi="Palatino Linotype" w:cs="Arial"/>
          <w:bCs/>
          <w:i/>
        </w:rPr>
      </w:pPr>
      <w:r>
        <w:rPr>
          <w:rFonts w:ascii="Palatino Linotype" w:hAnsi="Palatino Linotype" w:cs="Arial"/>
          <w:i/>
          <w:lang w:eastAsia="es-MX"/>
        </w:rPr>
        <w:t>III. Cuotas sindicales</w:t>
      </w:r>
      <w:r>
        <w:rPr>
          <w:rFonts w:ascii="Palatino Linotype" w:hAnsi="Palatino Linotype" w:cs="Arial"/>
          <w:bCs/>
          <w:i/>
        </w:rPr>
        <w:t>;</w:t>
      </w:r>
    </w:p>
    <w:p w:rsidR="006A357A" w:rsidRDefault="00767FD1">
      <w:pPr>
        <w:ind w:left="851" w:right="899"/>
        <w:jc w:val="both"/>
        <w:rPr>
          <w:rFonts w:ascii="Palatino Linotype" w:hAnsi="Palatino Linotype" w:cs="Arial"/>
          <w:bCs/>
          <w:i/>
        </w:rPr>
      </w:pPr>
      <w:r>
        <w:rPr>
          <w:rFonts w:ascii="Palatino Linotype" w:hAnsi="Palatino Linotype" w:cs="Arial"/>
          <w:bCs/>
          <w:i/>
        </w:rPr>
        <w:t xml:space="preserve">IV. Cuotas de </w:t>
      </w:r>
      <w:r>
        <w:rPr>
          <w:rFonts w:ascii="Palatino Linotype" w:hAnsi="Palatino Linotype" w:cs="Arial"/>
          <w:i/>
          <w:lang w:eastAsia="es-MX"/>
        </w:rPr>
        <w:t>aportación</w:t>
      </w:r>
      <w:r>
        <w:rPr>
          <w:rFonts w:ascii="Palatino Linotype" w:hAnsi="Palatino Linotype" w:cs="Arial"/>
          <w:bCs/>
          <w:i/>
        </w:rPr>
        <w:t xml:space="preserve"> a fondos para la constitución de coop</w:t>
      </w:r>
      <w:r>
        <w:rPr>
          <w:rFonts w:ascii="Palatino Linotype" w:hAnsi="Palatino Linotype" w:cs="Arial"/>
          <w:bCs/>
          <w:i/>
        </w:rPr>
        <w:t xml:space="preserve">erativas y de cajas de ahorro, </w:t>
      </w:r>
      <w:r>
        <w:rPr>
          <w:rFonts w:ascii="Palatino Linotype" w:hAnsi="Palatino Linotype" w:cs="Arial"/>
          <w:i/>
          <w:lang w:eastAsia="es-MX"/>
        </w:rPr>
        <w:t>siempre</w:t>
      </w:r>
      <w:r>
        <w:rPr>
          <w:rFonts w:ascii="Palatino Linotype" w:hAnsi="Palatino Linotype" w:cs="Arial"/>
          <w:bCs/>
          <w:i/>
        </w:rPr>
        <w:t xml:space="preserve"> que el servidor público hubiese manifestado previamente, de manera expresa, su conformidad;</w:t>
      </w:r>
    </w:p>
    <w:p w:rsidR="006A357A" w:rsidRDefault="00767FD1">
      <w:pPr>
        <w:ind w:left="851" w:right="899"/>
        <w:jc w:val="both"/>
        <w:rPr>
          <w:rFonts w:ascii="Palatino Linotype" w:hAnsi="Palatino Linotype" w:cs="Arial"/>
          <w:bCs/>
          <w:i/>
        </w:rPr>
      </w:pPr>
      <w:r>
        <w:rPr>
          <w:rFonts w:ascii="Palatino Linotype" w:hAnsi="Palatino Linotype" w:cs="Arial"/>
          <w:bCs/>
          <w:i/>
        </w:rPr>
        <w:t xml:space="preserve">V. Descuentos ordenados por el Instituto de Seguridad Social del Estado de México y </w:t>
      </w:r>
      <w:r>
        <w:rPr>
          <w:rFonts w:ascii="Palatino Linotype" w:hAnsi="Palatino Linotype" w:cs="Arial"/>
          <w:i/>
          <w:lang w:eastAsia="es-MX"/>
        </w:rPr>
        <w:t>Municipios</w:t>
      </w:r>
      <w:r>
        <w:rPr>
          <w:rFonts w:ascii="Palatino Linotype" w:hAnsi="Palatino Linotype" w:cs="Arial"/>
          <w:bCs/>
          <w:i/>
        </w:rPr>
        <w:t>, con motivo de cuotas y obliga</w:t>
      </w:r>
      <w:r>
        <w:rPr>
          <w:rFonts w:ascii="Palatino Linotype" w:hAnsi="Palatino Linotype" w:cs="Arial"/>
          <w:bCs/>
          <w:i/>
        </w:rPr>
        <w:t>ciones contraídas con éste por los servidores públicos;</w:t>
      </w:r>
    </w:p>
    <w:p w:rsidR="006A357A" w:rsidRDefault="00767FD1">
      <w:pPr>
        <w:ind w:left="851" w:right="899"/>
        <w:jc w:val="both"/>
        <w:rPr>
          <w:rFonts w:ascii="Palatino Linotype" w:hAnsi="Palatino Linotype" w:cs="Arial"/>
          <w:b/>
          <w:bCs/>
          <w:i/>
        </w:rPr>
      </w:pPr>
      <w:r>
        <w:rPr>
          <w:rFonts w:ascii="Palatino Linotype" w:hAnsi="Palatino Linotype" w:cs="Arial"/>
          <w:bCs/>
          <w:i/>
        </w:rPr>
        <w:t>VI. Obligaciones a cargo del servidor público con las que haya consentido, derivadas de la adquisición o del uso de habitaciones consideradas como de interés social;</w:t>
      </w:r>
    </w:p>
    <w:p w:rsidR="006A357A" w:rsidRDefault="00767FD1">
      <w:pPr>
        <w:ind w:left="851" w:right="899"/>
        <w:jc w:val="both"/>
        <w:rPr>
          <w:rFonts w:ascii="Palatino Linotype" w:hAnsi="Palatino Linotype" w:cs="Arial"/>
          <w:bCs/>
          <w:i/>
        </w:rPr>
      </w:pPr>
      <w:r>
        <w:rPr>
          <w:rFonts w:ascii="Palatino Linotype" w:hAnsi="Palatino Linotype" w:cs="Arial"/>
          <w:bCs/>
          <w:i/>
        </w:rPr>
        <w:t xml:space="preserve">VII. Faltas de </w:t>
      </w:r>
      <w:r>
        <w:rPr>
          <w:rFonts w:ascii="Palatino Linotype" w:hAnsi="Palatino Linotype" w:cs="Arial"/>
          <w:i/>
          <w:lang w:eastAsia="es-MX"/>
        </w:rPr>
        <w:t>puntualidad</w:t>
      </w:r>
      <w:r>
        <w:rPr>
          <w:rFonts w:ascii="Palatino Linotype" w:hAnsi="Palatino Linotype" w:cs="Arial"/>
          <w:bCs/>
          <w:i/>
        </w:rPr>
        <w:t xml:space="preserve"> o </w:t>
      </w:r>
      <w:r>
        <w:rPr>
          <w:rFonts w:ascii="Palatino Linotype" w:hAnsi="Palatino Linotype" w:cs="Arial"/>
          <w:i/>
          <w:lang w:eastAsia="es-MX"/>
        </w:rPr>
        <w:t>de</w:t>
      </w:r>
      <w:r>
        <w:rPr>
          <w:rFonts w:ascii="Palatino Linotype" w:hAnsi="Palatino Linotype" w:cs="Arial"/>
          <w:bCs/>
          <w:i/>
        </w:rPr>
        <w:t xml:space="preserve"> as</w:t>
      </w:r>
      <w:r>
        <w:rPr>
          <w:rFonts w:ascii="Palatino Linotype" w:hAnsi="Palatino Linotype" w:cs="Arial"/>
          <w:bCs/>
          <w:i/>
        </w:rPr>
        <w:t>istencia injustificadas;</w:t>
      </w:r>
    </w:p>
    <w:p w:rsidR="006A357A" w:rsidRDefault="00767FD1">
      <w:pPr>
        <w:ind w:left="851" w:right="899"/>
        <w:jc w:val="both"/>
        <w:rPr>
          <w:rFonts w:ascii="Palatino Linotype" w:hAnsi="Palatino Linotype" w:cs="Arial"/>
          <w:bCs/>
          <w:i/>
        </w:rPr>
      </w:pPr>
      <w:r>
        <w:rPr>
          <w:rFonts w:ascii="Palatino Linotype" w:hAnsi="Palatino Linotype" w:cs="Arial"/>
          <w:bCs/>
          <w:i/>
        </w:rPr>
        <w:t>VIII. Pensiones alimenticias ordenadas por la autoridad judicial; o</w:t>
      </w:r>
    </w:p>
    <w:p w:rsidR="006A357A" w:rsidRDefault="00767FD1">
      <w:pPr>
        <w:ind w:left="851" w:right="899"/>
        <w:jc w:val="both"/>
        <w:rPr>
          <w:rFonts w:ascii="Palatino Linotype" w:hAnsi="Palatino Linotype" w:cs="Arial"/>
          <w:bCs/>
          <w:i/>
        </w:rPr>
      </w:pPr>
      <w:r>
        <w:rPr>
          <w:rFonts w:ascii="Palatino Linotype" w:hAnsi="Palatino Linotype" w:cs="Arial"/>
          <w:bCs/>
          <w:i/>
        </w:rPr>
        <w:t>IX. Cualquier otro convenido con instituciones de servicios y aceptado por el servidor público.</w:t>
      </w:r>
    </w:p>
    <w:p w:rsidR="006A357A" w:rsidRDefault="00767FD1">
      <w:pPr>
        <w:ind w:left="851" w:right="899"/>
        <w:jc w:val="both"/>
        <w:rPr>
          <w:rFonts w:ascii="Palatino Linotype" w:hAnsi="Palatino Linotype" w:cs="Arial"/>
        </w:rPr>
      </w:pPr>
      <w:r>
        <w:rPr>
          <w:rFonts w:ascii="Palatino Linotype" w:hAnsi="Palatino Linotype" w:cs="Arial"/>
          <w:bCs/>
          <w:i/>
        </w:rPr>
        <w:t>El monto total de las retenciones, descuentos o deducciones no podr</w:t>
      </w:r>
      <w:r>
        <w:rPr>
          <w:rFonts w:ascii="Palatino Linotype" w:hAnsi="Palatino Linotype" w:cs="Arial"/>
          <w:bCs/>
          <w:i/>
        </w:rPr>
        <w:t xml:space="preserve">á exceder del 30% de la remuneración total, </w:t>
      </w:r>
      <w:r>
        <w:rPr>
          <w:rFonts w:ascii="Palatino Linotype" w:hAnsi="Palatino Linotype" w:cs="Arial"/>
          <w:i/>
          <w:lang w:eastAsia="es-MX"/>
        </w:rPr>
        <w:t>excepto</w:t>
      </w:r>
      <w:r>
        <w:rPr>
          <w:rFonts w:ascii="Palatino Linotype" w:hAnsi="Palatino Linotype" w:cs="Arial"/>
          <w:bCs/>
          <w:i/>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w:t>
      </w:r>
      <w:r>
        <w:rPr>
          <w:rFonts w:ascii="Palatino Linotype" w:hAnsi="Palatino Linotype" w:cs="Arial"/>
          <w:bCs/>
          <w:i/>
        </w:rPr>
        <w:t xml:space="preserve">l a una vivienda digna, o se refieran a lo establecido en la fracción VIII de este artículo, en que se </w:t>
      </w:r>
      <w:r>
        <w:rPr>
          <w:rFonts w:ascii="Palatino Linotype" w:hAnsi="Palatino Linotype" w:cs="Arial"/>
          <w:i/>
          <w:lang w:eastAsia="es-MX"/>
        </w:rPr>
        <w:t>ajustará</w:t>
      </w:r>
      <w:r>
        <w:rPr>
          <w:rFonts w:ascii="Palatino Linotype" w:hAnsi="Palatino Linotype" w:cs="Arial"/>
          <w:bCs/>
          <w:i/>
        </w:rPr>
        <w:t xml:space="preserve"> a lo determinado por la autoridad judicial.” </w:t>
      </w:r>
    </w:p>
    <w:p w:rsidR="006A357A" w:rsidRDefault="00767FD1">
      <w:pPr>
        <w:ind w:left="851" w:right="899"/>
        <w:jc w:val="both"/>
        <w:rPr>
          <w:rFonts w:ascii="Palatino Linotype" w:hAnsi="Palatino Linotype" w:cs="Arial"/>
        </w:rPr>
      </w:pPr>
      <w:r>
        <w:rPr>
          <w:rFonts w:ascii="Palatino Linotype" w:hAnsi="Palatino Linotype" w:cs="Arial"/>
        </w:rPr>
        <w:t>(Énfasis añadido)</w:t>
      </w:r>
    </w:p>
    <w:p w:rsidR="006A357A" w:rsidRDefault="00767FD1">
      <w:pPr>
        <w:spacing w:beforeAutospacing="1" w:afterAutospacing="1" w:line="360" w:lineRule="auto"/>
        <w:jc w:val="both"/>
        <w:rPr>
          <w:rFonts w:ascii="Palatino Linotype" w:hAnsi="Palatino Linotype" w:cs="Arial"/>
        </w:rPr>
      </w:pPr>
      <w:r>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Pr>
          <w:rFonts w:ascii="Palatino Linotype" w:hAnsi="Palatino Linotype" w:cs="Arial"/>
          <w:b/>
        </w:rPr>
        <w:t>únicamente inciden en su vida privada</w:t>
      </w:r>
      <w:r>
        <w:rPr>
          <w:rFonts w:ascii="Palatino Linotype" w:hAnsi="Palatino Linotype" w:cs="Arial"/>
        </w:rPr>
        <w:t>. De este modo, descuen</w:t>
      </w:r>
      <w:r>
        <w:rPr>
          <w:rFonts w:ascii="Palatino Linotype" w:hAnsi="Palatino Linotype" w:cs="Arial"/>
        </w:rPr>
        <w:t>tos por pensiones alimenticias o créditos adquiridos con instituciones privadas o públicas pero que fueron contraídas en forma individual, son información que debe clasificarse como confidencial.</w:t>
      </w:r>
    </w:p>
    <w:p w:rsidR="006A357A" w:rsidRDefault="00767FD1">
      <w:pPr>
        <w:spacing w:beforeAutospacing="1" w:afterAutospacing="1" w:line="360" w:lineRule="auto"/>
        <w:jc w:val="both"/>
        <w:rPr>
          <w:rFonts w:ascii="Palatino Linotype" w:hAnsi="Palatino Linotype" w:cs="Arial"/>
          <w:lang w:val="es-ES_tradnl"/>
        </w:rPr>
      </w:pPr>
      <w:r>
        <w:rPr>
          <w:rFonts w:ascii="Palatino Linotype" w:hAnsi="Palatino Linotype" w:cs="Arial"/>
          <w:lang w:val="es-ES_tradnl"/>
        </w:rPr>
        <w:t xml:space="preserve">Por </w:t>
      </w:r>
      <w:r>
        <w:rPr>
          <w:rFonts w:ascii="Palatino Linotype" w:hAnsi="Palatino Linotype" w:cs="Arial"/>
          <w:lang w:eastAsia="es-MX"/>
        </w:rPr>
        <w:t>ende</w:t>
      </w:r>
      <w:r>
        <w:rPr>
          <w:rFonts w:ascii="Palatino Linotype" w:hAnsi="Palatino Linotype" w:cs="Arial"/>
          <w:lang w:val="es-ES_tradnl"/>
        </w:rPr>
        <w:t xml:space="preserve">, </w:t>
      </w:r>
      <w:r>
        <w:rPr>
          <w:rFonts w:ascii="Palatino Linotype" w:hAnsi="Palatino Linotype" w:cs="Arial"/>
          <w:b/>
          <w:lang w:val="es-ES_tradnl"/>
        </w:rPr>
        <w:t>EL SUJETO OBLIGADO</w:t>
      </w:r>
      <w:r>
        <w:rPr>
          <w:rFonts w:ascii="Palatino Linotype" w:hAnsi="Palatino Linotype" w:cs="Arial"/>
          <w:lang w:val="es-ES_tradnl"/>
        </w:rPr>
        <w:t xml:space="preserve"> debe testar los datos confidenc</w:t>
      </w:r>
      <w:r>
        <w:rPr>
          <w:rFonts w:ascii="Palatino Linotype" w:hAnsi="Palatino Linotype" w:cs="Arial"/>
          <w:lang w:val="es-ES_tradnl"/>
        </w:rPr>
        <w:t xml:space="preserve">iales, sin pasar por alto que la clasificación respectiva tiene </w:t>
      </w:r>
      <w:r>
        <w:rPr>
          <w:rFonts w:ascii="Palatino Linotype" w:hAnsi="Palatino Linotype" w:cs="Arial"/>
        </w:rPr>
        <w:t>que</w:t>
      </w:r>
      <w:r>
        <w:rPr>
          <w:rFonts w:ascii="Palatino Linotype" w:hAnsi="Palatino Linotype" w:cs="Arial"/>
          <w:lang w:val="es-ES_tradnl"/>
        </w:rPr>
        <w:t xml:space="preserve"> cumplirse a través de la forma y formalidades que la Ley impone; </w:t>
      </w:r>
      <w:r>
        <w:rPr>
          <w:rFonts w:ascii="Palatino Linotype" w:hAnsi="Palatino Linotype" w:cs="Arial"/>
        </w:rPr>
        <w:t>es</w:t>
      </w:r>
      <w:r>
        <w:rPr>
          <w:rFonts w:ascii="Palatino Linotype" w:hAnsi="Palatino Linotype" w:cs="Arial"/>
          <w:lang w:val="es-ES_tradnl"/>
        </w:rPr>
        <w:t xml:space="preserve"> decir, mediante Acuerdo debidamente fundado y motivado, en </w:t>
      </w:r>
      <w:r>
        <w:rPr>
          <w:rFonts w:ascii="Palatino Linotype" w:hAnsi="Palatino Linotype" w:cs="Arial"/>
          <w:lang w:eastAsia="es-MX"/>
        </w:rPr>
        <w:t>términos</w:t>
      </w:r>
      <w:r>
        <w:rPr>
          <w:rFonts w:ascii="Palatino Linotype" w:hAnsi="Palatino Linotype" w:cs="Arial"/>
          <w:lang w:val="es-ES_tradnl"/>
        </w:rPr>
        <w:t xml:space="preserve"> de los numerales 49, fracción VIII y 132, fracciones</w:t>
      </w:r>
      <w:r>
        <w:rPr>
          <w:rFonts w:ascii="Palatino Linotype" w:hAnsi="Palatino Linotype" w:cs="Arial"/>
          <w:lang w:val="es-ES_tradnl"/>
        </w:rPr>
        <w:t xml:space="preserve"> II y III de la Ley de Transparencia y Acceso a la Información Pública del Estado de México y Municipios, así como los numerales Segundo, fracción XVIII, y del Cuarto al Décimo Primero de los Lineamientos Generales en materia de Clasificación y Desclasific</w:t>
      </w:r>
      <w:r>
        <w:rPr>
          <w:rFonts w:ascii="Palatino Linotype" w:hAnsi="Palatino Linotype" w:cs="Arial"/>
          <w:lang w:val="es-ES_tradnl"/>
        </w:rPr>
        <w:t>ación de la Información, así como para la elaboración de Versiones Públicas, que literalmente expresan:</w:t>
      </w:r>
    </w:p>
    <w:p w:rsidR="006A357A" w:rsidRDefault="00767FD1">
      <w:pPr>
        <w:ind w:left="851" w:right="899"/>
        <w:jc w:val="center"/>
        <w:rPr>
          <w:rFonts w:ascii="Palatino Linotype" w:hAnsi="Palatino Linotype" w:cs="Arial"/>
          <w:b/>
          <w:i/>
        </w:rPr>
      </w:pPr>
      <w:r>
        <w:rPr>
          <w:rFonts w:ascii="Palatino Linotype" w:hAnsi="Palatino Linotype" w:cs="Arial"/>
          <w:b/>
          <w:i/>
        </w:rPr>
        <w:t>Ley de Transparencia y Acceso a la Información Pública del Estado de México y Municipios</w:t>
      </w:r>
    </w:p>
    <w:p w:rsidR="006A357A" w:rsidRDefault="00767FD1">
      <w:pPr>
        <w:ind w:left="851" w:right="899"/>
        <w:jc w:val="both"/>
        <w:rPr>
          <w:rFonts w:ascii="Palatino Linotype" w:hAnsi="Palatino Linotype" w:cs="Arial"/>
          <w:i/>
          <w:lang w:eastAsia="es-MX"/>
        </w:rPr>
      </w:pPr>
      <w:r>
        <w:rPr>
          <w:rFonts w:ascii="Palatino Linotype" w:hAnsi="Palatino Linotype" w:cs="Arial"/>
          <w:i/>
          <w:lang w:eastAsia="es-MX"/>
        </w:rPr>
        <w:t>“</w:t>
      </w:r>
      <w:r>
        <w:rPr>
          <w:rFonts w:ascii="Palatino Linotype" w:hAnsi="Palatino Linotype" w:cs="Arial"/>
          <w:b/>
          <w:i/>
          <w:lang w:eastAsia="es-MX"/>
        </w:rPr>
        <w:t xml:space="preserve">Artículo 49. </w:t>
      </w:r>
      <w:r>
        <w:rPr>
          <w:rFonts w:ascii="Palatino Linotype" w:hAnsi="Palatino Linotype" w:cs="Arial"/>
          <w:i/>
          <w:lang w:eastAsia="es-MX"/>
        </w:rPr>
        <w:t xml:space="preserve">Los </w:t>
      </w:r>
      <w:r>
        <w:rPr>
          <w:rFonts w:ascii="Palatino Linotype" w:hAnsi="Palatino Linotype" w:cs="Arial"/>
          <w:i/>
        </w:rPr>
        <w:t>Comités</w:t>
      </w:r>
      <w:r>
        <w:rPr>
          <w:rFonts w:ascii="Palatino Linotype" w:hAnsi="Palatino Linotype" w:cs="Arial"/>
          <w:i/>
          <w:lang w:eastAsia="es-MX"/>
        </w:rPr>
        <w:t xml:space="preserve"> de Transparencia </w:t>
      </w:r>
      <w:r>
        <w:rPr>
          <w:rFonts w:ascii="Palatino Linotype" w:hAnsi="Palatino Linotype"/>
          <w:i/>
        </w:rPr>
        <w:t>tendrán</w:t>
      </w:r>
      <w:r>
        <w:rPr>
          <w:rFonts w:ascii="Palatino Linotype" w:hAnsi="Palatino Linotype" w:cs="Arial"/>
          <w:i/>
          <w:lang w:eastAsia="es-MX"/>
        </w:rPr>
        <w:t xml:space="preserve"> las siguient</w:t>
      </w:r>
      <w:r>
        <w:rPr>
          <w:rFonts w:ascii="Palatino Linotype" w:hAnsi="Palatino Linotype" w:cs="Arial"/>
          <w:i/>
          <w:lang w:eastAsia="es-MX"/>
        </w:rPr>
        <w:t>es atribuciones:</w:t>
      </w:r>
    </w:p>
    <w:p w:rsidR="006A357A" w:rsidRDefault="00767FD1">
      <w:pPr>
        <w:ind w:left="851" w:right="899"/>
        <w:jc w:val="both"/>
        <w:rPr>
          <w:rFonts w:ascii="Palatino Linotype" w:hAnsi="Palatino Linotype" w:cs="Arial"/>
          <w:i/>
          <w:lang w:eastAsia="es-MX"/>
        </w:rPr>
      </w:pPr>
      <w:r>
        <w:rPr>
          <w:rFonts w:ascii="Palatino Linotype" w:hAnsi="Palatino Linotype" w:cs="Arial"/>
          <w:b/>
          <w:i/>
          <w:lang w:eastAsia="es-MX"/>
        </w:rPr>
        <w:t>VIII.</w:t>
      </w:r>
      <w:r>
        <w:rPr>
          <w:rFonts w:ascii="Palatino Linotype" w:hAnsi="Palatino Linotype" w:cs="Arial"/>
          <w:i/>
          <w:lang w:eastAsia="es-MX"/>
        </w:rPr>
        <w:t xml:space="preserve"> </w:t>
      </w:r>
      <w:r>
        <w:rPr>
          <w:rFonts w:ascii="Palatino Linotype" w:hAnsi="Palatino Linotype" w:cs="Arial"/>
          <w:b/>
          <w:i/>
          <w:lang w:eastAsia="es-MX"/>
        </w:rPr>
        <w:t>Aprobar</w:t>
      </w:r>
      <w:r>
        <w:rPr>
          <w:rFonts w:ascii="Palatino Linotype" w:hAnsi="Palatino Linotype" w:cs="Arial"/>
          <w:i/>
          <w:lang w:eastAsia="es-MX"/>
        </w:rPr>
        <w:t xml:space="preserve">, </w:t>
      </w:r>
      <w:r>
        <w:rPr>
          <w:rFonts w:ascii="Palatino Linotype" w:hAnsi="Palatino Linotype" w:cs="Arial"/>
          <w:i/>
        </w:rPr>
        <w:t>modificar</w:t>
      </w:r>
      <w:r>
        <w:rPr>
          <w:rFonts w:ascii="Palatino Linotype" w:hAnsi="Palatino Linotype" w:cs="Arial"/>
          <w:i/>
          <w:lang w:eastAsia="es-MX"/>
        </w:rPr>
        <w:t xml:space="preserve"> o revocar la clasificación de la información;</w:t>
      </w:r>
    </w:p>
    <w:p w:rsidR="006A357A" w:rsidRDefault="00767FD1">
      <w:pPr>
        <w:ind w:left="851" w:right="899"/>
        <w:jc w:val="both"/>
        <w:rPr>
          <w:rFonts w:ascii="Palatino Linotype" w:hAnsi="Palatino Linotype" w:cs="Arial"/>
          <w:b/>
          <w:i/>
          <w:lang w:eastAsia="es-MX"/>
        </w:rPr>
      </w:pPr>
      <w:r>
        <w:rPr>
          <w:rFonts w:ascii="Palatino Linotype" w:hAnsi="Palatino Linotype" w:cs="Arial"/>
          <w:b/>
          <w:i/>
          <w:lang w:eastAsia="es-MX"/>
        </w:rPr>
        <w:t>Artículo 132.</w:t>
      </w:r>
      <w:r>
        <w:rPr>
          <w:rFonts w:ascii="Palatino Linotype" w:hAnsi="Palatino Linotype" w:cs="Arial"/>
          <w:i/>
          <w:lang w:eastAsia="es-MX"/>
        </w:rPr>
        <w:t xml:space="preserve"> </w:t>
      </w:r>
      <w:r>
        <w:rPr>
          <w:rFonts w:ascii="Palatino Linotype" w:hAnsi="Palatino Linotype" w:cs="Arial"/>
          <w:b/>
          <w:i/>
          <w:lang w:eastAsia="es-MX"/>
        </w:rPr>
        <w:t>La clasificación de la información se llevará a cabo en el momento en que:</w:t>
      </w:r>
    </w:p>
    <w:p w:rsidR="006A357A" w:rsidRDefault="00767FD1">
      <w:pPr>
        <w:ind w:left="851" w:right="899"/>
        <w:jc w:val="both"/>
        <w:rPr>
          <w:rFonts w:ascii="Palatino Linotype" w:hAnsi="Palatino Linotype" w:cs="Arial"/>
          <w:i/>
          <w:lang w:eastAsia="es-MX"/>
        </w:rPr>
      </w:pPr>
      <w:r>
        <w:rPr>
          <w:rFonts w:ascii="Palatino Linotype" w:hAnsi="Palatino Linotype" w:cs="Arial"/>
          <w:i/>
          <w:lang w:eastAsia="es-MX"/>
        </w:rPr>
        <w:t>…</w:t>
      </w:r>
    </w:p>
    <w:p w:rsidR="006A357A" w:rsidRDefault="00767FD1">
      <w:pPr>
        <w:ind w:left="851" w:right="899"/>
        <w:jc w:val="both"/>
        <w:rPr>
          <w:rFonts w:ascii="Palatino Linotype" w:hAnsi="Palatino Linotype" w:cs="Arial"/>
          <w:i/>
          <w:lang w:eastAsia="es-MX"/>
        </w:rPr>
      </w:pPr>
      <w:r>
        <w:rPr>
          <w:rFonts w:ascii="Palatino Linotype" w:hAnsi="Palatino Linotype" w:cs="Arial"/>
          <w:b/>
          <w:i/>
          <w:lang w:eastAsia="es-MX"/>
        </w:rPr>
        <w:t>II.</w:t>
      </w:r>
      <w:r>
        <w:rPr>
          <w:rFonts w:ascii="Palatino Linotype" w:hAnsi="Palatino Linotype" w:cs="Arial"/>
          <w:i/>
          <w:lang w:eastAsia="es-MX"/>
        </w:rPr>
        <w:t xml:space="preserve"> Se determine mediante resolución de autoridad competente; o</w:t>
      </w:r>
    </w:p>
    <w:p w:rsidR="006A357A" w:rsidRDefault="00767FD1">
      <w:pPr>
        <w:ind w:left="851" w:right="899"/>
        <w:jc w:val="both"/>
        <w:rPr>
          <w:rFonts w:ascii="Palatino Linotype" w:hAnsi="Palatino Linotype" w:cs="Arial"/>
          <w:i/>
          <w:lang w:eastAsia="es-MX"/>
        </w:rPr>
      </w:pPr>
      <w:r>
        <w:rPr>
          <w:rFonts w:ascii="Palatino Linotype" w:hAnsi="Palatino Linotype" w:cs="Arial"/>
          <w:b/>
          <w:i/>
          <w:lang w:eastAsia="es-MX"/>
        </w:rPr>
        <w:t>III</w:t>
      </w:r>
      <w:r>
        <w:rPr>
          <w:rFonts w:ascii="Palatino Linotype" w:hAnsi="Palatino Linotype" w:cs="Arial"/>
          <w:i/>
          <w:lang w:eastAsia="es-MX"/>
        </w:rPr>
        <w:t xml:space="preserve">. </w:t>
      </w:r>
      <w:r>
        <w:rPr>
          <w:rFonts w:ascii="Palatino Linotype" w:hAnsi="Palatino Linotype" w:cs="Arial"/>
          <w:b/>
          <w:i/>
          <w:lang w:eastAsia="es-MX"/>
        </w:rPr>
        <w:t xml:space="preserve">Se </w:t>
      </w:r>
      <w:r>
        <w:rPr>
          <w:rFonts w:ascii="Palatino Linotype" w:hAnsi="Palatino Linotype" w:cs="Arial"/>
          <w:b/>
          <w:i/>
          <w:lang w:eastAsia="es-MX"/>
        </w:rPr>
        <w:t>generen versiones públicas para dar cumplimiento a las obligaciones de transparencia previstas en esta Ley</w:t>
      </w:r>
      <w:r>
        <w:rPr>
          <w:rFonts w:ascii="Palatino Linotype" w:hAnsi="Palatino Linotype" w:cs="Arial"/>
          <w:i/>
          <w:lang w:eastAsia="es-MX"/>
        </w:rPr>
        <w:t>.”</w:t>
      </w:r>
    </w:p>
    <w:p w:rsidR="006A357A" w:rsidRDefault="00767FD1">
      <w:pPr>
        <w:ind w:left="851" w:right="899"/>
        <w:jc w:val="center"/>
        <w:rPr>
          <w:rFonts w:ascii="Palatino Linotype" w:hAnsi="Palatino Linotype" w:cs="Arial"/>
          <w:b/>
          <w:i/>
        </w:rPr>
      </w:pPr>
      <w:r>
        <w:rPr>
          <w:rFonts w:ascii="Palatino Linotype" w:hAnsi="Palatino Linotype" w:cs="Arial"/>
          <w:b/>
          <w:i/>
          <w:lang w:eastAsia="es-MX"/>
        </w:rPr>
        <w:t xml:space="preserve">Lineamientos Generales en materia de Clasificación y Desclasificación de la </w:t>
      </w:r>
      <w:r>
        <w:rPr>
          <w:rFonts w:ascii="Palatino Linotype" w:hAnsi="Palatino Linotype" w:cs="Arial"/>
          <w:b/>
          <w:i/>
        </w:rPr>
        <w:t>Información</w:t>
      </w:r>
    </w:p>
    <w:p w:rsidR="006A357A" w:rsidRDefault="00767FD1">
      <w:pPr>
        <w:ind w:left="851" w:right="899"/>
        <w:jc w:val="both"/>
        <w:rPr>
          <w:rFonts w:ascii="Palatino Linotype" w:hAnsi="Palatino Linotype" w:cs="Arial"/>
          <w:i/>
          <w:lang w:eastAsia="es-MX"/>
        </w:rPr>
      </w:pPr>
      <w:r>
        <w:rPr>
          <w:rFonts w:ascii="Palatino Linotype" w:hAnsi="Palatino Linotype" w:cs="Arial"/>
          <w:i/>
          <w:lang w:eastAsia="es-MX"/>
        </w:rPr>
        <w:t>“</w:t>
      </w:r>
      <w:r>
        <w:rPr>
          <w:rFonts w:ascii="Palatino Linotype" w:hAnsi="Palatino Linotype" w:cs="Arial"/>
          <w:b/>
          <w:i/>
          <w:lang w:eastAsia="es-MX"/>
        </w:rPr>
        <w:t>Segundo.-</w:t>
      </w:r>
      <w:r>
        <w:rPr>
          <w:rFonts w:ascii="Palatino Linotype" w:hAnsi="Palatino Linotype" w:cs="Arial"/>
          <w:i/>
          <w:lang w:eastAsia="es-MX"/>
        </w:rPr>
        <w:t xml:space="preserve"> Para efectos de los </w:t>
      </w:r>
      <w:r>
        <w:rPr>
          <w:rFonts w:ascii="Palatino Linotype" w:hAnsi="Palatino Linotype" w:cs="Arial"/>
          <w:i/>
        </w:rPr>
        <w:t>presentes</w:t>
      </w:r>
      <w:r>
        <w:rPr>
          <w:rFonts w:ascii="Palatino Linotype" w:hAnsi="Palatino Linotype" w:cs="Arial"/>
          <w:i/>
          <w:lang w:eastAsia="es-MX"/>
        </w:rPr>
        <w:t xml:space="preserve"> Lineamientos Gener</w:t>
      </w:r>
      <w:r>
        <w:rPr>
          <w:rFonts w:ascii="Palatino Linotype" w:hAnsi="Palatino Linotype" w:cs="Arial"/>
          <w:i/>
          <w:lang w:eastAsia="es-MX"/>
        </w:rPr>
        <w:t>ales, se entenderá por:</w:t>
      </w:r>
    </w:p>
    <w:p w:rsidR="006A357A" w:rsidRDefault="00767FD1">
      <w:pPr>
        <w:ind w:left="851" w:right="899"/>
        <w:jc w:val="both"/>
        <w:rPr>
          <w:rFonts w:ascii="Palatino Linotype" w:hAnsi="Palatino Linotype" w:cs="Arial"/>
          <w:i/>
          <w:lang w:eastAsia="es-MX"/>
        </w:rPr>
      </w:pPr>
      <w:r>
        <w:rPr>
          <w:rFonts w:ascii="Palatino Linotype" w:hAnsi="Palatino Linotype" w:cs="Arial"/>
          <w:b/>
          <w:i/>
          <w:lang w:eastAsia="es-MX"/>
        </w:rPr>
        <w:t>XVIII.</w:t>
      </w:r>
      <w:r>
        <w:rPr>
          <w:rFonts w:ascii="Palatino Linotype" w:hAnsi="Palatino Linotype" w:cs="Arial"/>
          <w:i/>
          <w:lang w:eastAsia="es-MX"/>
        </w:rPr>
        <w:t xml:space="preserve"> </w:t>
      </w:r>
      <w:r>
        <w:rPr>
          <w:rFonts w:ascii="Palatino Linotype" w:hAnsi="Palatino Linotype" w:cs="Arial"/>
          <w:b/>
          <w:i/>
          <w:lang w:eastAsia="es-MX"/>
        </w:rPr>
        <w:t>Versión pública:</w:t>
      </w:r>
      <w:r>
        <w:rPr>
          <w:rFonts w:ascii="Palatino Linotype" w:hAnsi="Palatino Linotype" w:cs="Arial"/>
          <w:i/>
          <w:lang w:eastAsia="es-MX"/>
        </w:rPr>
        <w:t xml:space="preserve"> El </w:t>
      </w:r>
      <w:r>
        <w:rPr>
          <w:rFonts w:ascii="Palatino Linotype" w:hAnsi="Palatino Linotype" w:cs="Arial"/>
          <w:bCs/>
          <w:i/>
        </w:rPr>
        <w:t>documento</w:t>
      </w:r>
      <w:r>
        <w:rPr>
          <w:rFonts w:ascii="Palatino Linotype" w:hAnsi="Palatino Linotype" w:cs="Arial"/>
          <w:i/>
          <w:lang w:eastAsia="es-MX"/>
        </w:rPr>
        <w:t xml:space="preserve"> a partir del que se otorga acceso a la información, en el que se testan partes o secciones clasificadas, indicando el contenido de éstas de manera genérica, </w:t>
      </w:r>
      <w:r>
        <w:rPr>
          <w:rFonts w:ascii="Palatino Linotype" w:hAnsi="Palatino Linotype" w:cs="Arial"/>
          <w:b/>
          <w:i/>
          <w:lang w:eastAsia="es-MX"/>
        </w:rPr>
        <w:t>fundando y motivando la</w:t>
      </w:r>
      <w:r>
        <w:rPr>
          <w:rFonts w:ascii="Palatino Linotype" w:hAnsi="Palatino Linotype" w:cs="Arial"/>
          <w:i/>
          <w:lang w:eastAsia="es-MX"/>
        </w:rPr>
        <w:t xml:space="preserve"> reserva o </w:t>
      </w:r>
      <w:r>
        <w:rPr>
          <w:rFonts w:ascii="Palatino Linotype" w:hAnsi="Palatino Linotype" w:cs="Arial"/>
          <w:b/>
          <w:i/>
          <w:lang w:eastAsia="es-MX"/>
        </w:rPr>
        <w:t>conf</w:t>
      </w:r>
      <w:r>
        <w:rPr>
          <w:rFonts w:ascii="Palatino Linotype" w:hAnsi="Palatino Linotype" w:cs="Arial"/>
          <w:b/>
          <w:i/>
          <w:lang w:eastAsia="es-MX"/>
        </w:rPr>
        <w:t>idencialidad</w:t>
      </w:r>
      <w:r>
        <w:rPr>
          <w:rFonts w:ascii="Palatino Linotype" w:hAnsi="Palatino Linotype" w:cs="Arial"/>
          <w:i/>
          <w:lang w:eastAsia="es-MX"/>
        </w:rPr>
        <w:t xml:space="preserve">, a través de la resolución que para tal efecto emita el </w:t>
      </w:r>
      <w:r>
        <w:rPr>
          <w:rFonts w:ascii="Palatino Linotype" w:hAnsi="Palatino Linotype" w:cs="Arial"/>
          <w:bCs/>
          <w:i/>
        </w:rPr>
        <w:t>Comité</w:t>
      </w:r>
      <w:r>
        <w:rPr>
          <w:rFonts w:ascii="Palatino Linotype" w:hAnsi="Palatino Linotype" w:cs="Arial"/>
          <w:i/>
          <w:lang w:eastAsia="es-MX"/>
        </w:rPr>
        <w:t xml:space="preserve"> de Transparencia.</w:t>
      </w:r>
    </w:p>
    <w:p w:rsidR="006A357A" w:rsidRDefault="00767FD1">
      <w:pPr>
        <w:ind w:left="851" w:right="899"/>
        <w:jc w:val="both"/>
        <w:rPr>
          <w:rFonts w:ascii="Palatino Linotype" w:hAnsi="Palatino Linotype" w:cs="Arial"/>
          <w:i/>
          <w:lang w:eastAsia="es-MX"/>
        </w:rPr>
      </w:pPr>
      <w:r>
        <w:rPr>
          <w:rFonts w:ascii="Palatino Linotype" w:hAnsi="Palatino Linotype" w:cs="Arial"/>
          <w:b/>
          <w:i/>
          <w:lang w:eastAsia="es-MX"/>
        </w:rPr>
        <w:t>Cuarto.</w:t>
      </w:r>
      <w:r>
        <w:rPr>
          <w:rFonts w:ascii="Palatino Linotype" w:hAnsi="Palatino Linotype" w:cs="Arial"/>
          <w:i/>
          <w:lang w:eastAsia="es-MX"/>
        </w:rPr>
        <w:t xml:space="preserve"> </w:t>
      </w:r>
      <w:r>
        <w:rPr>
          <w:rFonts w:ascii="Palatino Linotype" w:hAnsi="Palatino Linotype" w:cs="Arial"/>
          <w:b/>
          <w:i/>
          <w:lang w:eastAsia="es-MX"/>
        </w:rPr>
        <w:t>Para clasificar la información como</w:t>
      </w:r>
      <w:r>
        <w:rPr>
          <w:rFonts w:ascii="Palatino Linotype" w:hAnsi="Palatino Linotype" w:cs="Arial"/>
          <w:i/>
          <w:lang w:eastAsia="es-MX"/>
        </w:rPr>
        <w:t xml:space="preserve"> reservada o </w:t>
      </w:r>
      <w:r>
        <w:rPr>
          <w:rFonts w:ascii="Palatino Linotype" w:hAnsi="Palatino Linotype" w:cs="Arial"/>
          <w:b/>
          <w:i/>
          <w:lang w:eastAsia="es-MX"/>
        </w:rPr>
        <w:t xml:space="preserve">confidencial, de manera total o parcial, el titular del </w:t>
      </w:r>
      <w:r>
        <w:rPr>
          <w:rFonts w:ascii="Palatino Linotype" w:hAnsi="Palatino Linotype" w:cs="Arial"/>
          <w:b/>
          <w:bCs/>
          <w:i/>
        </w:rPr>
        <w:t>área</w:t>
      </w:r>
      <w:r>
        <w:rPr>
          <w:rFonts w:ascii="Palatino Linotype" w:hAnsi="Palatino Linotype" w:cs="Arial"/>
          <w:b/>
          <w:i/>
          <w:lang w:eastAsia="es-MX"/>
        </w:rPr>
        <w:t xml:space="preserve"> del sujeto </w:t>
      </w:r>
      <w:r>
        <w:rPr>
          <w:rFonts w:ascii="Palatino Linotype" w:hAnsi="Palatino Linotype" w:cs="Arial"/>
          <w:b/>
          <w:i/>
        </w:rPr>
        <w:t>obligado</w:t>
      </w:r>
      <w:r>
        <w:rPr>
          <w:rFonts w:ascii="Palatino Linotype" w:hAnsi="Palatino Linotype" w:cs="Arial"/>
          <w:b/>
          <w:i/>
          <w:lang w:eastAsia="es-MX"/>
        </w:rPr>
        <w:t xml:space="preserve"> deberá atender lo dispues</w:t>
      </w:r>
      <w:r>
        <w:rPr>
          <w:rFonts w:ascii="Palatino Linotype" w:hAnsi="Palatino Linotype" w:cs="Arial"/>
          <w:b/>
          <w:i/>
          <w:lang w:eastAsia="es-MX"/>
        </w:rPr>
        <w:t>to por el Título Sexto de la Ley General</w:t>
      </w:r>
      <w:r>
        <w:rPr>
          <w:rFonts w:ascii="Palatino Linotype" w:hAnsi="Palatino Linotype" w:cs="Arial"/>
          <w:i/>
          <w:lang w:eastAsia="es-MX"/>
        </w:rPr>
        <w:t>, en relación con las disposiciones contenidas en los presentes lineamientos, así como en aquellas disposiciones legales aplicables a la materia en el ámbito de sus respectivas competencias, en tanto estas últimas no</w:t>
      </w:r>
      <w:r>
        <w:rPr>
          <w:rFonts w:ascii="Palatino Linotype" w:hAnsi="Palatino Linotype" w:cs="Arial"/>
          <w:i/>
          <w:lang w:eastAsia="es-MX"/>
        </w:rPr>
        <w:t xml:space="preserve"> contravengan lo dispuesto en la Ley General.</w:t>
      </w:r>
    </w:p>
    <w:p w:rsidR="006A357A" w:rsidRDefault="00767FD1">
      <w:pPr>
        <w:ind w:left="851" w:right="899"/>
        <w:jc w:val="both"/>
        <w:rPr>
          <w:rFonts w:ascii="Palatino Linotype" w:hAnsi="Palatino Linotype" w:cs="Arial"/>
          <w:i/>
          <w:lang w:eastAsia="es-MX"/>
        </w:rPr>
      </w:pPr>
      <w:r>
        <w:rPr>
          <w:rFonts w:ascii="Palatino Linotype" w:hAnsi="Palatino Linotype" w:cs="Arial"/>
          <w:i/>
          <w:lang w:eastAsia="es-MX"/>
        </w:rPr>
        <w:t xml:space="preserve">Los sujetos obligados deberán aplicar, de manera estricta, las excepciones al derecho de acceso a la </w:t>
      </w:r>
      <w:r>
        <w:rPr>
          <w:rFonts w:ascii="Palatino Linotype" w:hAnsi="Palatino Linotype" w:cs="Arial"/>
          <w:bCs/>
          <w:i/>
        </w:rPr>
        <w:t>información</w:t>
      </w:r>
      <w:r>
        <w:rPr>
          <w:rFonts w:ascii="Palatino Linotype" w:hAnsi="Palatino Linotype" w:cs="Arial"/>
          <w:i/>
          <w:lang w:eastAsia="es-MX"/>
        </w:rPr>
        <w:t xml:space="preserve"> y sólo </w:t>
      </w:r>
      <w:r>
        <w:rPr>
          <w:rFonts w:ascii="Palatino Linotype" w:hAnsi="Palatino Linotype" w:cs="Arial"/>
          <w:i/>
        </w:rPr>
        <w:t>podrán</w:t>
      </w:r>
      <w:r>
        <w:rPr>
          <w:rFonts w:ascii="Palatino Linotype" w:hAnsi="Palatino Linotype" w:cs="Arial"/>
          <w:i/>
          <w:lang w:eastAsia="es-MX"/>
        </w:rPr>
        <w:t xml:space="preserve"> invocarlas cuando acrediten su procedencia.</w:t>
      </w:r>
    </w:p>
    <w:p w:rsidR="006A357A" w:rsidRDefault="00767FD1">
      <w:pPr>
        <w:ind w:left="851" w:right="899"/>
        <w:jc w:val="both"/>
        <w:rPr>
          <w:rFonts w:ascii="Palatino Linotype" w:hAnsi="Palatino Linotype" w:cs="Arial"/>
          <w:i/>
          <w:lang w:eastAsia="es-MX"/>
        </w:rPr>
      </w:pPr>
      <w:r>
        <w:rPr>
          <w:rFonts w:ascii="Palatino Linotype" w:hAnsi="Palatino Linotype" w:cs="Arial"/>
          <w:b/>
          <w:i/>
          <w:lang w:eastAsia="es-MX"/>
        </w:rPr>
        <w:t>Quinto.</w:t>
      </w:r>
      <w:r>
        <w:rPr>
          <w:rFonts w:ascii="Palatino Linotype" w:hAnsi="Palatino Linotype" w:cs="Arial"/>
          <w:i/>
          <w:lang w:eastAsia="es-MX"/>
        </w:rPr>
        <w:t xml:space="preserve"> La carga de la prueba para just</w:t>
      </w:r>
      <w:r>
        <w:rPr>
          <w:rFonts w:ascii="Palatino Linotype" w:hAnsi="Palatino Linotype" w:cs="Arial"/>
          <w:i/>
          <w:lang w:eastAsia="es-MX"/>
        </w:rPr>
        <w:t xml:space="preserve">ificar toda negativa de acceso a la información, por actualizarse cualquiera de los supuestos de clasificación previstos en la Ley General, la Ley Federal y leyes estatales, </w:t>
      </w:r>
      <w:r>
        <w:rPr>
          <w:rFonts w:ascii="Palatino Linotype" w:hAnsi="Palatino Linotype" w:cs="Arial"/>
          <w:i/>
        </w:rPr>
        <w:t>corresponderá</w:t>
      </w:r>
      <w:r>
        <w:rPr>
          <w:rFonts w:ascii="Palatino Linotype" w:hAnsi="Palatino Linotype" w:cs="Arial"/>
          <w:i/>
          <w:lang w:eastAsia="es-MX"/>
        </w:rPr>
        <w:t xml:space="preserve"> a los sujetos obligados, por lo que deberán fundar y motivar debidam</w:t>
      </w:r>
      <w:r>
        <w:rPr>
          <w:rFonts w:ascii="Palatino Linotype" w:hAnsi="Palatino Linotype" w:cs="Arial"/>
          <w:i/>
          <w:lang w:eastAsia="es-MX"/>
        </w:rPr>
        <w:t>ente la clasificación de la información ante una solicitud de acceso o al momento en que generen versiones públicas para dar cumplimiento a las obligaciones de transparencia, observando lo dispuesto en la Ley General y las demás disposiciones aplicables en</w:t>
      </w:r>
      <w:r>
        <w:rPr>
          <w:rFonts w:ascii="Palatino Linotype" w:hAnsi="Palatino Linotype" w:cs="Arial"/>
          <w:i/>
          <w:lang w:eastAsia="es-MX"/>
        </w:rPr>
        <w:t xml:space="preserve"> la materia.</w:t>
      </w:r>
    </w:p>
    <w:p w:rsidR="006A357A" w:rsidRDefault="00767FD1">
      <w:pPr>
        <w:ind w:left="851" w:right="899"/>
        <w:jc w:val="both"/>
        <w:rPr>
          <w:rFonts w:ascii="Palatino Linotype" w:hAnsi="Palatino Linotype" w:cs="Arial"/>
          <w:i/>
          <w:lang w:eastAsia="es-MX"/>
        </w:rPr>
      </w:pPr>
      <w:r>
        <w:rPr>
          <w:rFonts w:ascii="Palatino Linotype" w:hAnsi="Palatino Linotype" w:cs="Arial"/>
          <w:b/>
          <w:i/>
          <w:lang w:eastAsia="es-MX"/>
        </w:rPr>
        <w:t>Sexto.</w:t>
      </w:r>
      <w:r>
        <w:rPr>
          <w:rFonts w:ascii="Palatino Linotype" w:hAnsi="Palatino Linotype" w:cs="Arial"/>
          <w:i/>
          <w:lang w:eastAsia="es-MX"/>
        </w:rPr>
        <w:t xml:space="preserve"> Los sujetos obligados no podrán emitir acuerdos de carácter general ni particular que clasifiquen </w:t>
      </w:r>
      <w:r>
        <w:rPr>
          <w:rFonts w:ascii="Palatino Linotype" w:hAnsi="Palatino Linotype" w:cs="Arial"/>
          <w:bCs/>
          <w:i/>
        </w:rPr>
        <w:t>documentos</w:t>
      </w:r>
      <w:r>
        <w:rPr>
          <w:rFonts w:ascii="Palatino Linotype" w:hAnsi="Palatino Linotype" w:cs="Arial"/>
          <w:i/>
          <w:lang w:eastAsia="es-MX"/>
        </w:rPr>
        <w:t xml:space="preserve"> o expedientes como reservados, ni clasificar documentos antes de que se genere la información o cuando éstos no obren en sus archivos.</w:t>
      </w:r>
    </w:p>
    <w:p w:rsidR="006A357A" w:rsidRDefault="00767FD1">
      <w:pPr>
        <w:ind w:left="851" w:right="899"/>
        <w:jc w:val="both"/>
        <w:rPr>
          <w:rFonts w:ascii="Palatino Linotype" w:hAnsi="Palatino Linotype" w:cs="Arial"/>
          <w:i/>
          <w:lang w:eastAsia="es-MX"/>
        </w:rPr>
      </w:pPr>
      <w:r>
        <w:rPr>
          <w:rFonts w:ascii="Palatino Linotype" w:hAnsi="Palatino Linotype" w:cs="Arial"/>
          <w:i/>
          <w:lang w:eastAsia="es-MX"/>
        </w:rPr>
        <w:t xml:space="preserve">La clasificación de </w:t>
      </w:r>
      <w:r>
        <w:rPr>
          <w:rFonts w:ascii="Palatino Linotype" w:hAnsi="Palatino Linotype" w:cs="Arial"/>
          <w:i/>
        </w:rPr>
        <w:t>información</w:t>
      </w:r>
      <w:r>
        <w:rPr>
          <w:rFonts w:ascii="Palatino Linotype" w:hAnsi="Palatino Linotype" w:cs="Arial"/>
          <w:i/>
          <w:lang w:eastAsia="es-MX"/>
        </w:rPr>
        <w:t xml:space="preserve"> se realizará conforme a un análisis caso por caso, mediante la aplicación </w:t>
      </w:r>
      <w:r>
        <w:rPr>
          <w:rFonts w:ascii="Palatino Linotype" w:hAnsi="Palatino Linotype" w:cs="Arial"/>
          <w:bCs/>
          <w:i/>
        </w:rPr>
        <w:t>de</w:t>
      </w:r>
      <w:r>
        <w:rPr>
          <w:rFonts w:ascii="Palatino Linotype" w:hAnsi="Palatino Linotype" w:cs="Arial"/>
          <w:i/>
          <w:lang w:eastAsia="es-MX"/>
        </w:rPr>
        <w:t xml:space="preserve"> la prueba d</w:t>
      </w:r>
      <w:r>
        <w:rPr>
          <w:rFonts w:ascii="Palatino Linotype" w:hAnsi="Palatino Linotype" w:cs="Arial"/>
          <w:i/>
          <w:lang w:eastAsia="es-MX"/>
        </w:rPr>
        <w:t>e daño y de interés público.</w:t>
      </w:r>
    </w:p>
    <w:p w:rsidR="006A357A" w:rsidRDefault="00767FD1">
      <w:pPr>
        <w:ind w:left="851" w:right="899"/>
        <w:jc w:val="both"/>
        <w:rPr>
          <w:rFonts w:ascii="Palatino Linotype" w:hAnsi="Palatino Linotype" w:cs="Arial"/>
          <w:i/>
          <w:lang w:eastAsia="es-MX"/>
        </w:rPr>
      </w:pPr>
      <w:r>
        <w:rPr>
          <w:rFonts w:ascii="Palatino Linotype" w:hAnsi="Palatino Linotype" w:cs="Arial"/>
          <w:b/>
          <w:i/>
          <w:lang w:eastAsia="es-MX"/>
        </w:rPr>
        <w:t>Séptimo.</w:t>
      </w:r>
      <w:r>
        <w:rPr>
          <w:rFonts w:ascii="Palatino Linotype" w:hAnsi="Palatino Linotype" w:cs="Arial"/>
          <w:i/>
          <w:lang w:eastAsia="es-MX"/>
        </w:rPr>
        <w:t xml:space="preserve"> La clasificación </w:t>
      </w:r>
      <w:r>
        <w:rPr>
          <w:rFonts w:ascii="Palatino Linotype" w:hAnsi="Palatino Linotype" w:cs="Arial"/>
          <w:bCs/>
          <w:i/>
        </w:rPr>
        <w:t>de</w:t>
      </w:r>
      <w:r>
        <w:rPr>
          <w:rFonts w:ascii="Palatino Linotype" w:hAnsi="Palatino Linotype" w:cs="Arial"/>
          <w:i/>
          <w:lang w:eastAsia="es-MX"/>
        </w:rPr>
        <w:t xml:space="preserve"> la </w:t>
      </w:r>
      <w:r>
        <w:rPr>
          <w:rFonts w:ascii="Palatino Linotype" w:hAnsi="Palatino Linotype" w:cs="Arial"/>
          <w:i/>
        </w:rPr>
        <w:t>información</w:t>
      </w:r>
      <w:r>
        <w:rPr>
          <w:rFonts w:ascii="Palatino Linotype" w:hAnsi="Palatino Linotype" w:cs="Arial"/>
          <w:i/>
          <w:lang w:eastAsia="es-MX"/>
        </w:rPr>
        <w:t xml:space="preserve"> se llevará a cabo en el momento en que:</w:t>
      </w:r>
    </w:p>
    <w:p w:rsidR="006A357A" w:rsidRDefault="00767FD1">
      <w:pPr>
        <w:ind w:left="851" w:right="899"/>
        <w:jc w:val="both"/>
        <w:rPr>
          <w:rFonts w:ascii="Palatino Linotype" w:hAnsi="Palatino Linotype" w:cs="Arial"/>
          <w:i/>
          <w:lang w:eastAsia="es-MX"/>
        </w:rPr>
      </w:pPr>
      <w:r>
        <w:rPr>
          <w:rFonts w:ascii="Palatino Linotype" w:hAnsi="Palatino Linotype" w:cs="Arial"/>
          <w:b/>
          <w:i/>
          <w:lang w:eastAsia="es-MX"/>
        </w:rPr>
        <w:t>I.</w:t>
      </w:r>
      <w:r>
        <w:rPr>
          <w:rFonts w:ascii="Palatino Linotype" w:hAnsi="Palatino Linotype" w:cs="Arial"/>
          <w:i/>
          <w:lang w:eastAsia="es-MX"/>
        </w:rPr>
        <w:t xml:space="preserve"> Se reciba una solicitud de acceso a la información;</w:t>
      </w:r>
    </w:p>
    <w:p w:rsidR="006A357A" w:rsidRDefault="00767FD1">
      <w:pPr>
        <w:ind w:left="851" w:right="899"/>
        <w:jc w:val="both"/>
        <w:rPr>
          <w:rFonts w:ascii="Palatino Linotype" w:hAnsi="Palatino Linotype" w:cs="Arial"/>
          <w:i/>
          <w:lang w:eastAsia="es-MX"/>
        </w:rPr>
      </w:pPr>
      <w:r>
        <w:rPr>
          <w:rFonts w:ascii="Palatino Linotype" w:hAnsi="Palatino Linotype" w:cs="Arial"/>
          <w:b/>
          <w:i/>
          <w:lang w:eastAsia="es-MX"/>
        </w:rPr>
        <w:t>II.</w:t>
      </w:r>
      <w:r>
        <w:rPr>
          <w:rFonts w:ascii="Palatino Linotype" w:hAnsi="Palatino Linotype" w:cs="Arial"/>
          <w:i/>
          <w:lang w:eastAsia="es-MX"/>
        </w:rPr>
        <w:t xml:space="preserve"> Se determine </w:t>
      </w:r>
      <w:r>
        <w:rPr>
          <w:rFonts w:ascii="Palatino Linotype" w:hAnsi="Palatino Linotype" w:cs="Arial"/>
          <w:bCs/>
          <w:i/>
        </w:rPr>
        <w:t>mediante</w:t>
      </w:r>
      <w:r>
        <w:rPr>
          <w:rFonts w:ascii="Palatino Linotype" w:hAnsi="Palatino Linotype" w:cs="Arial"/>
          <w:i/>
          <w:lang w:eastAsia="es-MX"/>
        </w:rPr>
        <w:t xml:space="preserve"> resolución de autoridad competente, o</w:t>
      </w:r>
    </w:p>
    <w:p w:rsidR="006A357A" w:rsidRDefault="00767FD1">
      <w:pPr>
        <w:ind w:left="851" w:right="899"/>
        <w:jc w:val="both"/>
        <w:rPr>
          <w:rFonts w:ascii="Palatino Linotype" w:hAnsi="Palatino Linotype" w:cs="Arial"/>
          <w:i/>
          <w:lang w:eastAsia="es-MX"/>
        </w:rPr>
      </w:pPr>
      <w:r>
        <w:rPr>
          <w:rFonts w:ascii="Palatino Linotype" w:hAnsi="Palatino Linotype" w:cs="Arial"/>
          <w:b/>
          <w:i/>
          <w:lang w:eastAsia="es-MX"/>
        </w:rPr>
        <w:t>III.</w:t>
      </w:r>
      <w:r>
        <w:rPr>
          <w:rFonts w:ascii="Palatino Linotype" w:hAnsi="Palatino Linotype" w:cs="Arial"/>
          <w:i/>
          <w:lang w:eastAsia="es-MX"/>
        </w:rPr>
        <w:t xml:space="preserve"> Se generen </w:t>
      </w:r>
      <w:r>
        <w:rPr>
          <w:rFonts w:ascii="Palatino Linotype" w:hAnsi="Palatino Linotype" w:cs="Arial"/>
          <w:bCs/>
          <w:i/>
        </w:rPr>
        <w:t>versione</w:t>
      </w:r>
      <w:r>
        <w:rPr>
          <w:rFonts w:ascii="Palatino Linotype" w:hAnsi="Palatino Linotype" w:cs="Arial"/>
          <w:bCs/>
          <w:i/>
        </w:rPr>
        <w:t>s</w:t>
      </w:r>
      <w:r>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rsidR="006A357A" w:rsidRDefault="00767FD1">
      <w:pPr>
        <w:ind w:left="851" w:right="899"/>
        <w:jc w:val="both"/>
        <w:rPr>
          <w:rFonts w:ascii="Palatino Linotype" w:hAnsi="Palatino Linotype" w:cs="Arial"/>
          <w:i/>
          <w:lang w:eastAsia="es-MX"/>
        </w:rPr>
      </w:pPr>
      <w:r>
        <w:rPr>
          <w:rFonts w:ascii="Palatino Linotype" w:hAnsi="Palatino Linotype" w:cs="Arial"/>
          <w:i/>
          <w:lang w:eastAsia="es-MX"/>
        </w:rPr>
        <w:t xml:space="preserve">Los titulares de las áreas deberán revisar la clasificación al momento de la recepción de </w:t>
      </w:r>
      <w:r>
        <w:rPr>
          <w:rFonts w:ascii="Palatino Linotype" w:hAnsi="Palatino Linotype" w:cs="Arial"/>
          <w:i/>
          <w:lang w:eastAsia="es-MX"/>
        </w:rPr>
        <w:t xml:space="preserve">una solicitud de </w:t>
      </w:r>
      <w:r>
        <w:rPr>
          <w:rFonts w:ascii="Palatino Linotype" w:hAnsi="Palatino Linotype" w:cs="Arial"/>
          <w:bCs/>
          <w:i/>
        </w:rPr>
        <w:t>acceso</w:t>
      </w:r>
      <w:r>
        <w:rPr>
          <w:rFonts w:ascii="Palatino Linotype" w:hAnsi="Palatino Linotype" w:cs="Arial"/>
          <w:i/>
          <w:lang w:eastAsia="es-MX"/>
        </w:rPr>
        <w:t xml:space="preserve"> a la información, para verificar si encuadra en una causal de reserva o de confidencialidad.</w:t>
      </w:r>
    </w:p>
    <w:p w:rsidR="006A357A" w:rsidRDefault="00767FD1">
      <w:pPr>
        <w:ind w:left="851" w:right="899"/>
        <w:jc w:val="both"/>
        <w:rPr>
          <w:rFonts w:ascii="Palatino Linotype" w:hAnsi="Palatino Linotype" w:cs="Arial"/>
          <w:i/>
          <w:lang w:eastAsia="es-MX"/>
        </w:rPr>
      </w:pPr>
      <w:r>
        <w:rPr>
          <w:rFonts w:ascii="Palatino Linotype" w:hAnsi="Palatino Linotype" w:cs="Arial"/>
          <w:b/>
          <w:i/>
          <w:lang w:eastAsia="es-MX"/>
        </w:rPr>
        <w:t>Octavo.</w:t>
      </w:r>
      <w:r>
        <w:rPr>
          <w:rFonts w:ascii="Palatino Linotype" w:hAnsi="Palatino Linotype" w:cs="Arial"/>
          <w:i/>
          <w:lang w:eastAsia="es-MX"/>
        </w:rPr>
        <w:t xml:space="preserve"> Para fundar la clasificación de la información se debe señalar el artículo, fracción, inciso, párrafo o numeral de la ley o tratado</w:t>
      </w:r>
      <w:r>
        <w:rPr>
          <w:rFonts w:ascii="Palatino Linotype" w:hAnsi="Palatino Linotype" w:cs="Arial"/>
          <w:i/>
          <w:lang w:eastAsia="es-MX"/>
        </w:rPr>
        <w:t xml:space="preserve"> internacional suscrito por el Estado mexicano que </w:t>
      </w:r>
      <w:r>
        <w:rPr>
          <w:rFonts w:ascii="Palatino Linotype" w:hAnsi="Palatino Linotype" w:cs="Arial"/>
          <w:bCs/>
          <w:i/>
        </w:rPr>
        <w:t>expresamente</w:t>
      </w:r>
      <w:r>
        <w:rPr>
          <w:rFonts w:ascii="Palatino Linotype" w:hAnsi="Palatino Linotype" w:cs="Arial"/>
          <w:i/>
          <w:lang w:eastAsia="es-MX"/>
        </w:rPr>
        <w:t xml:space="preserve"> le otorga el carácter de reservada o confidencial.</w:t>
      </w:r>
    </w:p>
    <w:p w:rsidR="006A357A" w:rsidRDefault="00767FD1">
      <w:pPr>
        <w:ind w:left="851" w:right="899"/>
        <w:jc w:val="both"/>
        <w:rPr>
          <w:rFonts w:ascii="Palatino Linotype" w:hAnsi="Palatino Linotype" w:cs="Arial"/>
          <w:bCs/>
          <w:i/>
        </w:rPr>
      </w:pPr>
      <w:r>
        <w:rPr>
          <w:rFonts w:ascii="Palatino Linotype" w:hAnsi="Palatino Linotype" w:cs="Arial"/>
          <w:i/>
          <w:lang w:eastAsia="es-MX"/>
        </w:rPr>
        <w:t xml:space="preserve">Para </w:t>
      </w:r>
      <w:r>
        <w:rPr>
          <w:rFonts w:ascii="Palatino Linotype" w:hAnsi="Palatino Linotype" w:cs="Arial"/>
          <w:bCs/>
          <w:i/>
        </w:rPr>
        <w:t xml:space="preserve">motivar la clasificación se deberán señalar las razones o circunstancias especiales que lo </w:t>
      </w:r>
      <w:r>
        <w:rPr>
          <w:rFonts w:ascii="Palatino Linotype" w:hAnsi="Palatino Linotype" w:cs="Arial"/>
          <w:i/>
          <w:lang w:eastAsia="es-MX"/>
        </w:rPr>
        <w:t>llevaron</w:t>
      </w:r>
      <w:r>
        <w:rPr>
          <w:rFonts w:ascii="Palatino Linotype" w:hAnsi="Palatino Linotype" w:cs="Arial"/>
          <w:bCs/>
          <w:i/>
        </w:rPr>
        <w:t xml:space="preserve"> a concluir que el caso particular se</w:t>
      </w:r>
      <w:r>
        <w:rPr>
          <w:rFonts w:ascii="Palatino Linotype" w:hAnsi="Palatino Linotype" w:cs="Arial"/>
          <w:bCs/>
          <w:i/>
        </w:rPr>
        <w:t xml:space="preserve"> ajusta al supuesto previsto por la norma legal invocada como fundamento.</w:t>
      </w:r>
    </w:p>
    <w:p w:rsidR="006A357A" w:rsidRDefault="00767FD1">
      <w:pPr>
        <w:ind w:left="851" w:right="899"/>
        <w:jc w:val="both"/>
        <w:rPr>
          <w:rFonts w:ascii="Palatino Linotype" w:hAnsi="Palatino Linotype" w:cs="Arial"/>
          <w:bCs/>
          <w:i/>
        </w:rPr>
      </w:pPr>
      <w:r>
        <w:rPr>
          <w:rFonts w:ascii="Palatino Linotype" w:hAnsi="Palatino Linotype" w:cs="Arial"/>
          <w:bCs/>
          <w:i/>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lang w:eastAsia="es-MX"/>
        </w:rPr>
        <w:t>de</w:t>
      </w:r>
      <w:r>
        <w:rPr>
          <w:rFonts w:ascii="Palatino Linotype" w:hAnsi="Palatino Linotype" w:cs="Arial"/>
          <w:bCs/>
          <w:i/>
        </w:rPr>
        <w:t xml:space="preserve"> </w:t>
      </w:r>
      <w:r>
        <w:rPr>
          <w:rFonts w:ascii="Palatino Linotype" w:hAnsi="Palatino Linotype" w:cs="Arial"/>
          <w:i/>
          <w:lang w:eastAsia="es-MX"/>
        </w:rPr>
        <w:t>reserva</w:t>
      </w:r>
      <w:r>
        <w:rPr>
          <w:rFonts w:ascii="Palatino Linotype" w:hAnsi="Palatino Linotype" w:cs="Arial"/>
          <w:bCs/>
          <w:i/>
        </w:rPr>
        <w:t>.</w:t>
      </w:r>
    </w:p>
    <w:p w:rsidR="006A357A" w:rsidRDefault="00767FD1">
      <w:pPr>
        <w:ind w:left="851" w:right="899"/>
        <w:jc w:val="both"/>
        <w:rPr>
          <w:rFonts w:ascii="Palatino Linotype" w:hAnsi="Palatino Linotype" w:cs="Arial"/>
          <w:bCs/>
          <w:i/>
        </w:rPr>
      </w:pPr>
      <w:r>
        <w:rPr>
          <w:rFonts w:ascii="Palatino Linotype" w:hAnsi="Palatino Linotype" w:cs="Arial"/>
          <w:i/>
          <w:lang w:eastAsia="es-MX"/>
        </w:rPr>
        <w:t>Tratándose</w:t>
      </w:r>
      <w:r>
        <w:rPr>
          <w:rFonts w:ascii="Palatino Linotype" w:hAnsi="Palatino Linotype" w:cs="Arial"/>
          <w:bCs/>
          <w:i/>
        </w:rPr>
        <w:t xml:space="preserve"> de información clasificada como confidencial respecto de la cual se haya </w:t>
      </w:r>
      <w:r>
        <w:rPr>
          <w:rFonts w:ascii="Palatino Linotype" w:hAnsi="Palatino Linotype" w:cs="Arial"/>
          <w:i/>
          <w:lang w:eastAsia="es-MX"/>
        </w:rPr>
        <w:t>determinado</w:t>
      </w:r>
      <w:r>
        <w:rPr>
          <w:rFonts w:ascii="Palatino Linotype" w:hAnsi="Palatino Linotype" w:cs="Arial"/>
          <w:bCs/>
          <w:i/>
        </w:rPr>
        <w:t xml:space="preserve"> </w:t>
      </w:r>
      <w:r>
        <w:rPr>
          <w:rFonts w:ascii="Palatino Linotype" w:hAnsi="Palatino Linotype" w:cs="Arial"/>
          <w:i/>
          <w:lang w:eastAsia="es-MX"/>
        </w:rPr>
        <w:t>su</w:t>
      </w:r>
      <w:r>
        <w:rPr>
          <w:rFonts w:ascii="Palatino Linotype" w:hAnsi="Palatino Linotype" w:cs="Arial"/>
          <w:bCs/>
          <w:i/>
        </w:rPr>
        <w:t xml:space="preserve"> conservación permanente por tener valor histórico, ésta conservará tal carácter de conformidad con la normativa aplicable en materia de archivos.</w:t>
      </w:r>
    </w:p>
    <w:p w:rsidR="006A357A" w:rsidRDefault="00767FD1">
      <w:pPr>
        <w:ind w:left="851" w:right="899"/>
        <w:jc w:val="both"/>
        <w:rPr>
          <w:rFonts w:ascii="Palatino Linotype" w:hAnsi="Palatino Linotype" w:cs="Arial"/>
          <w:i/>
          <w:lang w:eastAsia="es-MX"/>
        </w:rPr>
      </w:pPr>
      <w:r>
        <w:rPr>
          <w:rFonts w:ascii="Palatino Linotype" w:hAnsi="Palatino Linotype" w:cs="Arial"/>
          <w:bCs/>
          <w:i/>
        </w:rPr>
        <w:t>L</w:t>
      </w:r>
      <w:r>
        <w:rPr>
          <w:rFonts w:ascii="Palatino Linotype" w:hAnsi="Palatino Linotype" w:cs="Arial"/>
          <w:bCs/>
          <w:i/>
        </w:rPr>
        <w:t>os documentos contenidos</w:t>
      </w:r>
      <w:r>
        <w:rPr>
          <w:rFonts w:ascii="Palatino Linotype" w:hAnsi="Palatino Linotype" w:cs="Arial"/>
          <w:i/>
          <w:lang w:eastAsia="es-MX"/>
        </w:rPr>
        <w:t xml:space="preserve"> en los archivos históricos y los identificados como históricos confidenciales no serán susceptibles de clasificación como reservados.</w:t>
      </w:r>
    </w:p>
    <w:p w:rsidR="006A357A" w:rsidRDefault="00767FD1">
      <w:pPr>
        <w:ind w:left="851" w:right="899"/>
        <w:jc w:val="both"/>
        <w:rPr>
          <w:rFonts w:ascii="Palatino Linotype" w:hAnsi="Palatino Linotype" w:cs="Arial"/>
          <w:i/>
          <w:lang w:eastAsia="es-MX"/>
        </w:rPr>
      </w:pPr>
      <w:r>
        <w:rPr>
          <w:rFonts w:ascii="Palatino Linotype" w:hAnsi="Palatino Linotype" w:cs="Arial"/>
          <w:b/>
          <w:i/>
          <w:lang w:eastAsia="es-MX"/>
        </w:rPr>
        <w:t>Noveno.</w:t>
      </w:r>
      <w:r>
        <w:rPr>
          <w:rFonts w:ascii="Palatino Linotype" w:hAnsi="Palatino Linotype" w:cs="Arial"/>
          <w:i/>
          <w:lang w:eastAsia="es-MX"/>
        </w:rPr>
        <w:t xml:space="preserve"> En los casos en que se solicite un documento o expediente que contenga partes o secciones</w:t>
      </w:r>
      <w:r>
        <w:rPr>
          <w:rFonts w:ascii="Palatino Linotype" w:hAnsi="Palatino Linotype" w:cs="Arial"/>
          <w:i/>
          <w:lang w:eastAsia="es-MX"/>
        </w:rPr>
        <w:t xml:space="preserve"> clasificadas, los titulares de las áreas deberán elaborar una versión pública fundando y motivando la clasificación de las partes o secciones que se testen, siguiendo los procedimientos establecidos en el Capítulo IX de los presentes lineamientos.</w:t>
      </w:r>
    </w:p>
    <w:p w:rsidR="006A357A" w:rsidRDefault="00767FD1">
      <w:pPr>
        <w:ind w:left="851" w:right="899"/>
        <w:jc w:val="both"/>
        <w:rPr>
          <w:rFonts w:ascii="Palatino Linotype" w:hAnsi="Palatino Linotype" w:cs="Arial"/>
          <w:i/>
          <w:lang w:eastAsia="es-MX"/>
        </w:rPr>
      </w:pPr>
      <w:r>
        <w:rPr>
          <w:rFonts w:ascii="Palatino Linotype" w:hAnsi="Palatino Linotype" w:cs="Arial"/>
          <w:b/>
          <w:i/>
          <w:lang w:eastAsia="es-MX"/>
        </w:rPr>
        <w:t>Décimo.</w:t>
      </w:r>
      <w:r>
        <w:rPr>
          <w:rFonts w:ascii="Palatino Linotype" w:hAnsi="Palatino Linotype" w:cs="Arial"/>
          <w:i/>
          <w:lang w:eastAsia="es-MX"/>
        </w:rPr>
        <w:t xml:space="preserve"> Los titulares de las áreas, deberán tener conocimiento y llevar un registro del personal que, por la naturaleza de sus atribuciones, tenga acceso a los </w:t>
      </w:r>
      <w:r>
        <w:rPr>
          <w:rFonts w:ascii="Palatino Linotype" w:hAnsi="Palatino Linotype" w:cs="Arial"/>
          <w:i/>
        </w:rPr>
        <w:t>documentos</w:t>
      </w:r>
      <w:r>
        <w:rPr>
          <w:rFonts w:ascii="Palatino Linotype" w:hAnsi="Palatino Linotype" w:cs="Arial"/>
          <w:i/>
          <w:lang w:eastAsia="es-MX"/>
        </w:rPr>
        <w:t xml:space="preserve"> clasificados. Asimismo, deberán asegurarse de que dicho personal cuente con los conocimiento</w:t>
      </w:r>
      <w:r>
        <w:rPr>
          <w:rFonts w:ascii="Palatino Linotype" w:hAnsi="Palatino Linotype" w:cs="Arial"/>
          <w:i/>
          <w:lang w:eastAsia="es-MX"/>
        </w:rPr>
        <w:t>s técnicos y legales que le permitan manejar adecuadamente la información clasificada, en los términos de los Lineamientos para la Organización y Conservación de Archivos.</w:t>
      </w:r>
    </w:p>
    <w:p w:rsidR="006A357A" w:rsidRDefault="00767FD1">
      <w:pPr>
        <w:ind w:left="851" w:right="899"/>
        <w:jc w:val="both"/>
        <w:rPr>
          <w:rFonts w:ascii="Palatino Linotype" w:hAnsi="Palatino Linotype" w:cs="Arial"/>
          <w:i/>
          <w:lang w:eastAsia="es-MX"/>
        </w:rPr>
      </w:pPr>
      <w:r>
        <w:rPr>
          <w:rFonts w:ascii="Palatino Linotype" w:hAnsi="Palatino Linotype" w:cs="Arial"/>
          <w:i/>
          <w:lang w:eastAsia="es-MX"/>
        </w:rPr>
        <w:t>En ausencia de los titulares de las áreas, la información será clasificada o desclas</w:t>
      </w:r>
      <w:r>
        <w:rPr>
          <w:rFonts w:ascii="Palatino Linotype" w:hAnsi="Palatino Linotype" w:cs="Arial"/>
          <w:i/>
          <w:lang w:eastAsia="es-MX"/>
        </w:rPr>
        <w:t xml:space="preserve">ificada por la persona que lo supla, en términos de la normativa </w:t>
      </w:r>
      <w:r>
        <w:rPr>
          <w:rFonts w:ascii="Palatino Linotype" w:hAnsi="Palatino Linotype" w:cs="Arial"/>
          <w:i/>
        </w:rPr>
        <w:t>que</w:t>
      </w:r>
      <w:r>
        <w:rPr>
          <w:rFonts w:ascii="Palatino Linotype" w:hAnsi="Palatino Linotype" w:cs="Arial"/>
          <w:i/>
          <w:lang w:eastAsia="es-MX"/>
        </w:rPr>
        <w:t xml:space="preserve"> rija la actuación del sujeto obligado.</w:t>
      </w:r>
    </w:p>
    <w:p w:rsidR="006A357A" w:rsidRDefault="00767FD1">
      <w:pPr>
        <w:ind w:left="851" w:right="899"/>
        <w:jc w:val="both"/>
        <w:rPr>
          <w:rFonts w:ascii="Palatino Linotype" w:hAnsi="Palatino Linotype" w:cs="Arial"/>
          <w:i/>
          <w:lang w:eastAsia="es-MX"/>
        </w:rPr>
      </w:pPr>
      <w:r>
        <w:rPr>
          <w:rFonts w:ascii="Palatino Linotype" w:hAnsi="Palatino Linotype" w:cs="Arial"/>
          <w:b/>
          <w:i/>
          <w:lang w:eastAsia="es-MX"/>
        </w:rPr>
        <w:t>Décimo primero.</w:t>
      </w:r>
      <w:r>
        <w:rPr>
          <w:rFonts w:ascii="Palatino Linotype" w:hAnsi="Palatino Linotype" w:cs="Arial"/>
          <w:i/>
          <w:lang w:eastAsia="es-MX"/>
        </w:rPr>
        <w:t xml:space="preserve"> En el intercambio de información entre sujetos obligados para el ejercicio de sus atribuciones, los documentos que se encuentren cla</w:t>
      </w:r>
      <w:r>
        <w:rPr>
          <w:rFonts w:ascii="Palatino Linotype" w:hAnsi="Palatino Linotype" w:cs="Arial"/>
          <w:i/>
          <w:lang w:eastAsia="es-MX"/>
        </w:rPr>
        <w:t>sificados deberán llevar la leyenda correspondiente de conformidad con lo dispuesto en el Capítulo VIII de los presentes lineamientos.”</w:t>
      </w:r>
    </w:p>
    <w:p w:rsidR="006A357A" w:rsidRDefault="00767FD1">
      <w:pPr>
        <w:ind w:left="851" w:right="899"/>
        <w:jc w:val="both"/>
        <w:rPr>
          <w:rFonts w:ascii="Palatino Linotype" w:hAnsi="Palatino Linotype" w:cs="Arial"/>
          <w:lang w:eastAsia="es-MX"/>
        </w:rPr>
      </w:pPr>
      <w:r>
        <w:rPr>
          <w:rFonts w:ascii="Palatino Linotype" w:hAnsi="Palatino Linotype" w:cs="Arial"/>
          <w:lang w:eastAsia="es-MX"/>
        </w:rPr>
        <w:t>(Énfasis Añadido)</w:t>
      </w:r>
    </w:p>
    <w:p w:rsidR="006A357A" w:rsidRDefault="00767FD1">
      <w:pPr>
        <w:spacing w:beforeAutospacing="1" w:afterAutospacing="1" w:line="360" w:lineRule="auto"/>
        <w:jc w:val="both"/>
        <w:rPr>
          <w:rFonts w:ascii="Palatino Linotype" w:hAnsi="Palatino Linotype" w:cs="Arial"/>
        </w:rPr>
      </w:pPr>
      <w:r>
        <w:rPr>
          <w:rFonts w:ascii="Palatino Linotype" w:hAnsi="Palatino Linotype"/>
        </w:rPr>
        <w:t xml:space="preserve">Es importante referir que, </w:t>
      </w:r>
      <w:r>
        <w:rPr>
          <w:rFonts w:ascii="Palatino Linotype" w:hAnsi="Palatino Linotype"/>
          <w:b/>
        </w:rPr>
        <w:t>EL SUJETO OBLIGADO</w:t>
      </w:r>
      <w:r>
        <w:rPr>
          <w:rFonts w:ascii="Palatino Linotype" w:hAnsi="Palatino Linotype"/>
        </w:rPr>
        <w:t xml:space="preserve"> deberá seguir el procedimiento legal establecido para su </w:t>
      </w:r>
      <w:r>
        <w:rPr>
          <w:rFonts w:ascii="Palatino Linotype" w:hAnsi="Palatino Linotype"/>
          <w:lang w:eastAsia="es-MX"/>
        </w:rPr>
        <w:t>clasificación</w:t>
      </w:r>
      <w:r>
        <w:rPr>
          <w:rFonts w:ascii="Palatino Linotype" w:hAnsi="Palatino Linotype"/>
        </w:rPr>
        <w:t>, esto es, que su Comité de</w:t>
      </w:r>
      <w:r>
        <w:rPr>
          <w:rFonts w:ascii="Palatino Linotype" w:hAnsi="Palatino Linotype" w:cs="Arial"/>
        </w:rPr>
        <w:t xml:space="preserve"> Transparencia emita un Acuerdo de Clasificación que cumpla con las formalidades previstas, antes citadas</w:t>
      </w:r>
      <w:r>
        <w:rPr>
          <w:rFonts w:ascii="Palatino Linotype" w:hAnsi="Palatino Linotype" w:cs="Arial"/>
          <w:b/>
        </w:rPr>
        <w:t xml:space="preserve"> </w:t>
      </w:r>
      <w:r>
        <w:rPr>
          <w:rFonts w:ascii="Palatino Linotype" w:hAnsi="Palatino Linotype" w:cs="Arial"/>
        </w:rPr>
        <w:t xml:space="preserve">que lo sustente, en el </w:t>
      </w:r>
      <w:r>
        <w:rPr>
          <w:rFonts w:ascii="Palatino Linotype" w:hAnsi="Palatino Linotype" w:cs="Arial"/>
          <w:lang w:eastAsia="es-MX"/>
        </w:rPr>
        <w:t>que</w:t>
      </w:r>
      <w:r>
        <w:rPr>
          <w:rFonts w:ascii="Palatino Linotype" w:hAnsi="Palatino Linotype" w:cs="Arial"/>
        </w:rPr>
        <w:t xml:space="preserve"> se expongan los fundament</w:t>
      </w:r>
      <w:r>
        <w:rPr>
          <w:rFonts w:ascii="Palatino Linotype" w:hAnsi="Palatino Linotype" w:cs="Arial"/>
        </w:rPr>
        <w:t xml:space="preserve">os y razones que llevaron a la autoridad a testar, suprimir o eliminar datos de dicho soporte documental, ya que el no hacerlo, implica que lo entregado no es legal ni formalmente una versión pública, sino más bien una documentación ilegible, incompleta o </w:t>
      </w:r>
      <w:r>
        <w:rPr>
          <w:rFonts w:ascii="Palatino Linotype" w:hAnsi="Palatino Linotype" w:cs="Arial"/>
        </w:rPr>
        <w:t xml:space="preserve">tachada; pues no señalar las razones por las que no se aprecian determinados datos, ya sea porque se testan o suprimen, deja al solicitante en estado de incertidumbre, al no conocer o comprender porque no aparecen en la documentación respectiva, es decir, </w:t>
      </w:r>
      <w:r>
        <w:rPr>
          <w:rFonts w:ascii="Palatino Linotype" w:hAnsi="Palatino Linotype" w:cs="Arial"/>
        </w:rPr>
        <w:t>si no se exponen de manera puntual las razones de ello se estaría violentando desde un inicio el derecho de acceso a la información del solicitante.</w:t>
      </w:r>
    </w:p>
    <w:p w:rsidR="006A357A" w:rsidRDefault="00767FD1">
      <w:pPr>
        <w:spacing w:before="240" w:after="240" w:line="360" w:lineRule="auto"/>
        <w:jc w:val="both"/>
        <w:rPr>
          <w:rFonts w:ascii="Palatino Linotype" w:hAnsi="Palatino Linotype" w:cs="Arial"/>
        </w:rPr>
      </w:pPr>
      <w:r>
        <w:rPr>
          <w:rFonts w:ascii="Palatino Linotype" w:hAnsi="Palatino Linotype" w:cs="Arial"/>
        </w:rPr>
        <w:t>Así también, no pasa desapercibido que el particular requirió saber de todos los servidores públicos del Mu</w:t>
      </w:r>
      <w:r>
        <w:rPr>
          <w:rFonts w:ascii="Palatino Linotype" w:hAnsi="Palatino Linotype" w:cs="Arial"/>
        </w:rPr>
        <w:t>nicipio de Coyotepec, por lo que respecta de los integrantes de la Comisaria de Seguridad Pública y Vialidad, dicha información deberá disociarse con el objeto de no identificar al servidor público con su puesto y cargo, de conformidad con lo que dispone e</w:t>
      </w:r>
      <w:r>
        <w:rPr>
          <w:rFonts w:ascii="Palatino Linotype" w:hAnsi="Palatino Linotype" w:cs="Arial"/>
        </w:rPr>
        <w:t>l artículo 52 de la Ley de Transparencia y Acceso a la Información Pública del Estado de México y Municipios que dispone:</w:t>
      </w:r>
    </w:p>
    <w:p w:rsidR="006A357A" w:rsidRDefault="00767FD1">
      <w:pPr>
        <w:spacing w:before="240" w:after="240" w:line="276" w:lineRule="auto"/>
        <w:ind w:left="851" w:right="899"/>
        <w:jc w:val="both"/>
        <w:rPr>
          <w:rFonts w:ascii="Palatino Linotype" w:hAnsi="Palatino Linotype" w:cs="Arial"/>
          <w:i/>
          <w:sz w:val="22"/>
          <w:szCs w:val="22"/>
        </w:rPr>
      </w:pPr>
      <w:r>
        <w:rPr>
          <w:rFonts w:ascii="Palatino Linotype" w:hAnsi="Palatino Linotype" w:cs="Arial"/>
          <w:i/>
          <w:sz w:val="22"/>
          <w:szCs w:val="22"/>
        </w:rPr>
        <w:t>Artículo 52. Las solicitudes de acceso a la información y las respuestas que se les dé, incluyendo, en su caso, la información entrega</w:t>
      </w:r>
      <w:r>
        <w:rPr>
          <w:rFonts w:ascii="Palatino Linotype" w:hAnsi="Palatino Linotype" w:cs="Arial"/>
          <w:i/>
          <w:sz w:val="22"/>
          <w:szCs w:val="22"/>
        </w:rPr>
        <w:t>da, así como las resoluciones a los recursos que en su caso se promuevan serán públicas, y de ser el caso que contenga datos personales que deban ser protegidos se podrá dar su acceso en su versión pública, siempre y cuando la resolución de referencia se s</w:t>
      </w:r>
      <w:r>
        <w:rPr>
          <w:rFonts w:ascii="Palatino Linotype" w:hAnsi="Palatino Linotype" w:cs="Arial"/>
          <w:i/>
          <w:sz w:val="22"/>
          <w:szCs w:val="22"/>
        </w:rPr>
        <w:t>ometa a un proceso de disociación, es decir, no haga identificable al titular de tales datos personales.</w:t>
      </w:r>
    </w:p>
    <w:p w:rsidR="006A357A" w:rsidRDefault="00767FD1">
      <w:pPr>
        <w:pStyle w:val="Prrafodelista"/>
        <w:widowControl w:val="0"/>
        <w:spacing w:before="360" w:after="240" w:line="360" w:lineRule="auto"/>
        <w:ind w:left="0"/>
        <w:jc w:val="both"/>
        <w:rPr>
          <w:rFonts w:ascii="Palatino Linotype" w:eastAsia="Calibri" w:hAnsi="Palatino Linotype" w:cs="Arial"/>
        </w:rPr>
      </w:pPr>
      <w:r>
        <w:rPr>
          <w:rFonts w:ascii="Palatino Linotype" w:eastAsia="Calibri" w:hAnsi="Palatino Linotype" w:cs="Arial"/>
        </w:rPr>
        <w:t xml:space="preserve">Así, con </w:t>
      </w:r>
      <w:r>
        <w:rPr>
          <w:rFonts w:ascii="Palatino Linotype" w:hAnsi="Palatino Linotype" w:cs="Arial"/>
        </w:rPr>
        <w:t>fundamento</w:t>
      </w:r>
      <w:r>
        <w:rPr>
          <w:rFonts w:ascii="Palatino Linotype" w:eastAsia="Calibri" w:hAnsi="Palatino Linotype" w:cs="Arial"/>
        </w:rPr>
        <w:t xml:space="preserve"> en lo prescrito en los artículos 5, </w:t>
      </w:r>
      <w:r>
        <w:rPr>
          <w:rFonts w:ascii="Palatino Linotype" w:hAnsi="Palatino Linotype"/>
        </w:rPr>
        <w:t xml:space="preserve">párrafos vigésimo segundo, vigésimo tercero y vigésimo </w:t>
      </w:r>
      <w:r>
        <w:rPr>
          <w:rFonts w:ascii="Palatino Linotype" w:hAnsi="Palatino Linotype" w:cs="Arial"/>
        </w:rPr>
        <w:t>cuarto,</w:t>
      </w:r>
      <w:r>
        <w:rPr>
          <w:rFonts w:ascii="Palatino Linotype" w:hAnsi="Palatino Linotype"/>
        </w:rPr>
        <w:t xml:space="preserve"> fracciones IV y V,</w:t>
      </w:r>
      <w:r>
        <w:rPr>
          <w:rFonts w:ascii="Palatino Linotype" w:eastAsia="Calibri" w:hAnsi="Palatino Linotype" w:cs="Arial"/>
        </w:rPr>
        <w:t xml:space="preserve"> de la Constit</w:t>
      </w:r>
      <w:r>
        <w:rPr>
          <w:rFonts w:ascii="Palatino Linotype" w:eastAsia="Calibri" w:hAnsi="Palatino Linotype" w:cs="Arial"/>
        </w:rPr>
        <w:t xml:space="preserve">ución Política del Estado Libre y Soberano de México, y los artículos </w:t>
      </w:r>
      <w:r>
        <w:rPr>
          <w:rFonts w:ascii="Palatino Linotype" w:hAnsi="Palatino Linotype"/>
        </w:rPr>
        <w:t xml:space="preserve">2, </w:t>
      </w:r>
      <w:r>
        <w:rPr>
          <w:rFonts w:ascii="Palatino Linotype" w:hAnsi="Palatino Linotype" w:cs="Arial"/>
        </w:rPr>
        <w:t>fracción</w:t>
      </w:r>
      <w:r>
        <w:rPr>
          <w:rFonts w:ascii="Palatino Linotype" w:hAnsi="Palatino Linotype"/>
        </w:rPr>
        <w:t xml:space="preserve"> II, 9, </w:t>
      </w:r>
      <w:r>
        <w:rPr>
          <w:rFonts w:ascii="Palatino Linotype" w:hAnsi="Palatino Linotype" w:cs="Arial"/>
          <w:lang w:val="es-ES_tradnl"/>
        </w:rPr>
        <w:t>29</w:t>
      </w:r>
      <w:r>
        <w:rPr>
          <w:rFonts w:ascii="Palatino Linotype" w:hAnsi="Palatino Linotype"/>
        </w:rPr>
        <w:t>, 36, fracciones I y II, 176, 178, 179, 181, 185, fracción I, 186 y 188,</w:t>
      </w:r>
      <w:r>
        <w:rPr>
          <w:rFonts w:ascii="Palatino Linotype" w:eastAsia="Calibri" w:hAnsi="Palatino Linotype" w:cs="Arial"/>
        </w:rPr>
        <w:t xml:space="preserve"> de la Ley de Transparencia y Acceso a la Información Pública del Estado de México y </w:t>
      </w:r>
      <w:r>
        <w:rPr>
          <w:rFonts w:ascii="Palatino Linotype" w:hAnsi="Palatino Linotype" w:cs="Arial"/>
        </w:rPr>
        <w:t>Municipi</w:t>
      </w:r>
      <w:r>
        <w:rPr>
          <w:rFonts w:ascii="Palatino Linotype" w:hAnsi="Palatino Linotype" w:cs="Arial"/>
        </w:rPr>
        <w:t>os</w:t>
      </w:r>
      <w:r>
        <w:rPr>
          <w:rFonts w:ascii="Palatino Linotype" w:eastAsia="Calibri" w:hAnsi="Palatino Linotype" w:cs="Arial"/>
        </w:rPr>
        <w:t xml:space="preserve">, </w:t>
      </w:r>
      <w:r>
        <w:rPr>
          <w:rFonts w:ascii="Palatino Linotype" w:hAnsi="Palatino Linotype"/>
        </w:rPr>
        <w:t>este</w:t>
      </w:r>
      <w:r>
        <w:rPr>
          <w:rFonts w:ascii="Palatino Linotype" w:eastAsia="Calibri" w:hAnsi="Palatino Linotype" w:cs="Arial"/>
        </w:rPr>
        <w:t xml:space="preserve"> Pleno:</w:t>
      </w:r>
    </w:p>
    <w:p w:rsidR="006A357A" w:rsidRDefault="00767FD1">
      <w:pPr>
        <w:spacing w:before="360" w:after="240" w:line="360" w:lineRule="auto"/>
        <w:jc w:val="center"/>
        <w:rPr>
          <w:rFonts w:ascii="Palatino Linotype" w:hAnsi="Palatino Linotype"/>
          <w:b/>
          <w:bCs/>
          <w:spacing w:val="40"/>
          <w:sz w:val="28"/>
        </w:rPr>
      </w:pPr>
      <w:r>
        <w:rPr>
          <w:rFonts w:ascii="Palatino Linotype" w:hAnsi="Palatino Linotype"/>
          <w:b/>
          <w:bCs/>
          <w:spacing w:val="40"/>
          <w:sz w:val="28"/>
        </w:rPr>
        <w:t>RESUELVE</w:t>
      </w:r>
    </w:p>
    <w:p w:rsidR="006A357A" w:rsidRDefault="00767FD1">
      <w:pPr>
        <w:pStyle w:val="Prrafodelista"/>
        <w:widowControl w:val="0"/>
        <w:tabs>
          <w:tab w:val="left" w:pos="1701"/>
        </w:tabs>
        <w:spacing w:before="360" w:after="240" w:line="360" w:lineRule="auto"/>
        <w:ind w:left="0"/>
        <w:jc w:val="both"/>
        <w:rPr>
          <w:rFonts w:ascii="Palatino Linotype" w:hAnsi="Palatino Linotype" w:cs="Arial"/>
        </w:rPr>
      </w:pPr>
      <w:r>
        <w:rPr>
          <w:rFonts w:ascii="Palatino Linotype" w:hAnsi="Palatino Linotype" w:cs="Arial"/>
          <w:b/>
          <w:bCs/>
          <w:color w:val="222222"/>
          <w:sz w:val="28"/>
          <w:lang w:eastAsia="es-MX"/>
        </w:rPr>
        <w:t>PRIMERO</w:t>
      </w:r>
      <w:r>
        <w:rPr>
          <w:rFonts w:ascii="Palatino Linotype" w:hAnsi="Palatino Linotype" w:cs="Arial"/>
        </w:rPr>
        <w:t xml:space="preserve">. Resultan </w:t>
      </w:r>
      <w:r>
        <w:rPr>
          <w:rFonts w:ascii="Palatino Linotype" w:hAnsi="Palatino Linotype" w:cs="Arial"/>
          <w:b/>
        </w:rPr>
        <w:t>fundadas</w:t>
      </w:r>
      <w:r>
        <w:rPr>
          <w:rFonts w:ascii="Palatino Linotype" w:hAnsi="Palatino Linotype" w:cs="Arial"/>
        </w:rPr>
        <w:t xml:space="preserve"> las razones o motivos de inconformidad hechas valer por </w:t>
      </w:r>
      <w:r>
        <w:rPr>
          <w:rFonts w:ascii="Palatino Linotype" w:hAnsi="Palatino Linotype" w:cs="Arial"/>
          <w:b/>
        </w:rPr>
        <w:t>EL RECURRENTE</w:t>
      </w:r>
      <w:r>
        <w:rPr>
          <w:rFonts w:ascii="Palatino Linotype" w:hAnsi="Palatino Linotype" w:cs="Arial"/>
        </w:rPr>
        <w:t xml:space="preserve"> en el recurso de revisión </w:t>
      </w:r>
      <w:r>
        <w:rPr>
          <w:rFonts w:ascii="Palatino Linotype" w:hAnsi="Palatino Linotype" w:cs="Arial"/>
          <w:b/>
        </w:rPr>
        <w:t>01507/INFOEM/IP/RR/2020</w:t>
      </w:r>
      <w:r>
        <w:rPr>
          <w:rFonts w:ascii="Palatino Linotype" w:hAnsi="Palatino Linotype" w:cs="Arial"/>
        </w:rPr>
        <w:t xml:space="preserve">, en términos del Considerando </w:t>
      </w:r>
      <w:r>
        <w:rPr>
          <w:rFonts w:ascii="Palatino Linotype" w:hAnsi="Palatino Linotype" w:cs="Arial"/>
          <w:b/>
        </w:rPr>
        <w:t>QUINTO</w:t>
      </w:r>
      <w:r>
        <w:rPr>
          <w:rFonts w:ascii="Palatino Linotype" w:hAnsi="Palatino Linotype" w:cs="Arial"/>
        </w:rPr>
        <w:t xml:space="preserve"> de la presente resolución.</w:t>
      </w:r>
    </w:p>
    <w:p w:rsidR="006A357A" w:rsidRDefault="00767FD1">
      <w:pPr>
        <w:spacing w:line="360" w:lineRule="auto"/>
        <w:jc w:val="both"/>
        <w:rPr>
          <w:rFonts w:ascii="Palatino Linotype" w:hAnsi="Palatino Linotype" w:cs="Arial"/>
        </w:rPr>
      </w:pPr>
      <w:r>
        <w:rPr>
          <w:rFonts w:ascii="Palatino Linotype" w:hAnsi="Palatino Linotype" w:cs="Arial"/>
          <w:b/>
          <w:bCs/>
          <w:color w:val="222222"/>
          <w:sz w:val="28"/>
          <w:lang w:eastAsia="es-MX"/>
        </w:rPr>
        <w:t>SEGUNDO</w:t>
      </w:r>
      <w:r>
        <w:rPr>
          <w:rFonts w:ascii="Palatino Linotype" w:eastAsia="Calibri" w:hAnsi="Palatino Linotype" w:cs="Arial"/>
          <w:b/>
          <w:bCs/>
        </w:rPr>
        <w:t xml:space="preserve">. </w:t>
      </w:r>
      <w:r>
        <w:rPr>
          <w:rFonts w:ascii="Palatino Linotype" w:eastAsia="Calibri" w:hAnsi="Palatino Linotype" w:cs="Arial"/>
          <w:bCs/>
        </w:rPr>
        <w:t>Se</w:t>
      </w:r>
      <w:r>
        <w:rPr>
          <w:rFonts w:ascii="Palatino Linotype" w:eastAsia="Calibri" w:hAnsi="Palatino Linotype" w:cs="Arial"/>
          <w:b/>
          <w:bCs/>
        </w:rPr>
        <w:t xml:space="preserve"> REVOCA </w:t>
      </w:r>
      <w:r>
        <w:rPr>
          <w:rFonts w:ascii="Palatino Linotype" w:eastAsia="Calibri" w:hAnsi="Palatino Linotype" w:cs="Arial"/>
          <w:bCs/>
        </w:rPr>
        <w:t>la respuesta del</w:t>
      </w:r>
      <w:r>
        <w:rPr>
          <w:rFonts w:ascii="Palatino Linotype" w:eastAsia="Calibri" w:hAnsi="Palatino Linotype" w:cs="Arial"/>
        </w:rPr>
        <w:t xml:space="preserve"> </w:t>
      </w:r>
      <w:r>
        <w:rPr>
          <w:rFonts w:ascii="Palatino Linotype" w:eastAsia="Calibri" w:hAnsi="Palatino Linotype" w:cs="Arial"/>
          <w:b/>
        </w:rPr>
        <w:t xml:space="preserve">SUJETO OBLIGADO </w:t>
      </w:r>
      <w:r>
        <w:rPr>
          <w:rFonts w:ascii="Palatino Linotype" w:eastAsia="Calibri" w:hAnsi="Palatino Linotype" w:cs="Arial"/>
        </w:rPr>
        <w:t xml:space="preserve">y se ordena atienda la solicitud de información </w:t>
      </w:r>
      <w:r>
        <w:rPr>
          <w:rFonts w:ascii="Palatino Linotype" w:hAnsi="Palatino Linotype" w:cs="Arial"/>
          <w:b/>
          <w:lang w:val="es-ES"/>
        </w:rPr>
        <w:t xml:space="preserve">00088/COYOTEP/IP/2020, </w:t>
      </w:r>
      <w:r>
        <w:rPr>
          <w:rFonts w:ascii="Palatino Linotype" w:hAnsi="Palatino Linotype" w:cs="Arial"/>
        </w:rPr>
        <w:t xml:space="preserve">en términos del Considerando </w:t>
      </w:r>
      <w:r>
        <w:rPr>
          <w:rFonts w:ascii="Palatino Linotype" w:hAnsi="Palatino Linotype" w:cs="Arial"/>
          <w:b/>
        </w:rPr>
        <w:t>QUINTO</w:t>
      </w:r>
      <w:r>
        <w:rPr>
          <w:rFonts w:ascii="Palatino Linotype" w:hAnsi="Palatino Linotype" w:cs="Arial"/>
        </w:rPr>
        <w:t xml:space="preserve"> y, haga entrega al </w:t>
      </w:r>
      <w:r>
        <w:rPr>
          <w:rFonts w:ascii="Palatino Linotype" w:hAnsi="Palatino Linotype" w:cs="Arial"/>
          <w:b/>
        </w:rPr>
        <w:t>RECURRENTE</w:t>
      </w:r>
      <w:r>
        <w:rPr>
          <w:rFonts w:ascii="Palatino Linotype" w:hAnsi="Palatino Linotype" w:cs="Arial"/>
        </w:rPr>
        <w:t xml:space="preserve">, vía </w:t>
      </w:r>
      <w:r>
        <w:rPr>
          <w:rFonts w:ascii="Palatino Linotype" w:hAnsi="Palatino Linotype" w:cs="Arial"/>
          <w:b/>
        </w:rPr>
        <w:t>SAIMEX</w:t>
      </w:r>
      <w:r>
        <w:rPr>
          <w:rFonts w:ascii="Palatino Linotype" w:hAnsi="Palatino Linotype" w:cs="Arial"/>
        </w:rPr>
        <w:t>, en versión pública de lo siguiente:</w:t>
      </w:r>
    </w:p>
    <w:p w:rsidR="006A357A" w:rsidRDefault="00767FD1">
      <w:pPr>
        <w:tabs>
          <w:tab w:val="left" w:pos="851"/>
        </w:tabs>
        <w:ind w:left="851" w:right="709"/>
        <w:jc w:val="both"/>
        <w:rPr>
          <w:rFonts w:ascii="Palatino Linotype" w:hAnsi="Palatino Linotype"/>
          <w:bCs/>
          <w:i/>
        </w:rPr>
      </w:pPr>
      <w:r>
        <w:rPr>
          <w:rFonts w:ascii="Palatino Linotype" w:hAnsi="Palatino Linotype"/>
          <w:bCs/>
          <w:i/>
        </w:rPr>
        <w:t xml:space="preserve">“La dispersión de la nómina de los </w:t>
      </w:r>
      <w:r>
        <w:rPr>
          <w:rFonts w:ascii="Palatino Linotype" w:hAnsi="Palatino Linotype"/>
          <w:bCs/>
          <w:i/>
        </w:rPr>
        <w:t>servidores públicos del Municipio de Coyotepec, del 1 al 31 de diciembre de 2019.</w:t>
      </w:r>
    </w:p>
    <w:p w:rsidR="006A357A" w:rsidRDefault="006A357A">
      <w:pPr>
        <w:tabs>
          <w:tab w:val="left" w:pos="851"/>
        </w:tabs>
        <w:ind w:left="851" w:right="709"/>
        <w:jc w:val="both"/>
        <w:rPr>
          <w:rFonts w:ascii="Palatino Linotype" w:hAnsi="Palatino Linotype"/>
          <w:bCs/>
          <w:i/>
        </w:rPr>
      </w:pPr>
    </w:p>
    <w:p w:rsidR="006A357A" w:rsidRDefault="00767FD1">
      <w:pPr>
        <w:pStyle w:val="Prrafodelista"/>
        <w:spacing w:line="276" w:lineRule="auto"/>
        <w:ind w:left="851" w:right="899"/>
        <w:jc w:val="both"/>
        <w:rPr>
          <w:rFonts w:ascii="Palatino Linotype" w:hAnsi="Palatino Linotype" w:cs="Arial"/>
          <w:i/>
          <w:sz w:val="22"/>
          <w:szCs w:val="22"/>
        </w:rPr>
      </w:pPr>
      <w:r>
        <w:rPr>
          <w:rFonts w:ascii="Palatino Linotype" w:hAnsi="Palatino Linotype" w:cs="Arial"/>
          <w:i/>
          <w:sz w:val="22"/>
          <w:szCs w:val="22"/>
          <w:lang w:eastAsia="es-MX"/>
        </w:rPr>
        <w:t>Debiendo</w:t>
      </w:r>
      <w:r>
        <w:rPr>
          <w:rFonts w:ascii="Palatino Linotype" w:hAnsi="Palatino Linotype" w:cs="Arial"/>
          <w:i/>
          <w:sz w:val="22"/>
          <w:szCs w:val="22"/>
        </w:rPr>
        <w:t xml:space="preserve"> notificar al</w:t>
      </w:r>
      <w:r>
        <w:rPr>
          <w:rFonts w:ascii="Palatino Linotype" w:hAnsi="Palatino Linotype" w:cs="Arial"/>
          <w:b/>
          <w:i/>
          <w:sz w:val="22"/>
          <w:szCs w:val="22"/>
        </w:rPr>
        <w:t xml:space="preserve"> RECURRENTE</w:t>
      </w:r>
      <w:r>
        <w:rPr>
          <w:rFonts w:ascii="Palatino Linotype" w:hAnsi="Palatino Linotype" w:cs="Arial"/>
          <w:i/>
          <w:sz w:val="22"/>
          <w:szCs w:val="22"/>
        </w:rPr>
        <w:t xml:space="preserve"> el Acuerdo de Clasificación de la información que emita en su caso el Comité de Transparencia con motivo de la versión pública.</w:t>
      </w:r>
      <w:r>
        <w:rPr>
          <w:rFonts w:ascii="Palatino Linotype" w:hAnsi="Palatino Linotype"/>
          <w:bCs/>
          <w:i/>
          <w:sz w:val="22"/>
          <w:szCs w:val="22"/>
        </w:rPr>
        <w:t>”</w:t>
      </w:r>
    </w:p>
    <w:p w:rsidR="006A357A" w:rsidRDefault="006A357A">
      <w:pPr>
        <w:tabs>
          <w:tab w:val="left" w:pos="851"/>
        </w:tabs>
        <w:ind w:left="851" w:right="709"/>
        <w:jc w:val="both"/>
        <w:rPr>
          <w:rFonts w:ascii="Palatino Linotype" w:hAnsi="Palatino Linotype"/>
          <w:bCs/>
          <w:i/>
        </w:rPr>
      </w:pPr>
    </w:p>
    <w:p w:rsidR="006A357A" w:rsidRDefault="006A357A">
      <w:pPr>
        <w:spacing w:line="276" w:lineRule="auto"/>
        <w:ind w:left="851" w:right="902" w:hanging="142"/>
        <w:contextualSpacing/>
        <w:jc w:val="both"/>
        <w:rPr>
          <w:rFonts w:ascii="Palatino Linotype" w:hAnsi="Palatino Linotype"/>
          <w:i/>
          <w:iCs/>
          <w:color w:val="222222"/>
          <w:lang w:eastAsia="es-MX"/>
        </w:rPr>
      </w:pPr>
    </w:p>
    <w:p w:rsidR="006A357A" w:rsidRDefault="00767FD1">
      <w:pPr>
        <w:spacing w:line="360" w:lineRule="auto"/>
        <w:jc w:val="both"/>
        <w:rPr>
          <w:rFonts w:ascii="Palatino Linotype" w:hAnsi="Palatino Linotype"/>
          <w:color w:val="222222"/>
          <w:highlight w:val="white"/>
        </w:rPr>
      </w:pPr>
      <w:r>
        <w:rPr>
          <w:rFonts w:ascii="Palatino Linotype" w:hAnsi="Palatino Linotype"/>
          <w:b/>
          <w:color w:val="222222"/>
          <w:sz w:val="28"/>
          <w:szCs w:val="28"/>
          <w:shd w:val="clear" w:color="auto" w:fill="FFFFFF"/>
        </w:rPr>
        <w:t>TERCERO.</w:t>
      </w:r>
      <w:r>
        <w:rPr>
          <w:rFonts w:ascii="Palatino Linotype" w:hAnsi="Palatino Linotype"/>
          <w:b/>
          <w:color w:val="222222"/>
          <w:shd w:val="clear" w:color="auto" w:fill="FFFFFF"/>
        </w:rPr>
        <w:t> </w:t>
      </w:r>
      <w:r>
        <w:rPr>
          <w:rFonts w:ascii="Palatino Linotype" w:hAnsi="Palatino Linotype"/>
          <w:b/>
          <w:color w:val="222222"/>
          <w:lang w:eastAsia="es-ES_tradnl"/>
        </w:rPr>
        <w:t>Notifíquese</w:t>
      </w:r>
      <w:r>
        <w:rPr>
          <w:rFonts w:ascii="Palatino Linotype" w:hAnsi="Palatino Linotype"/>
          <w:color w:val="222222"/>
          <w:lang w:eastAsia="es-ES_tradnl"/>
        </w:rPr>
        <w:t xml:space="preserve"> </w:t>
      </w:r>
      <w:r>
        <w:rPr>
          <w:rFonts w:ascii="Palatino Linotype" w:hAnsi="Palatino Linotype"/>
          <w:color w:val="222222"/>
          <w:shd w:val="clear" w:color="auto" w:fill="FFFFFF"/>
        </w:rPr>
        <w:t>al Titular de la Unidad de Transparencia del</w:t>
      </w:r>
      <w:r>
        <w:rPr>
          <w:rFonts w:ascii="Palatino Linotype" w:hAnsi="Palatino Linotype"/>
          <w:b/>
          <w:color w:val="222222"/>
          <w:shd w:val="clear" w:color="auto" w:fill="FFFFFF"/>
        </w:rPr>
        <w:t> SUJETO OBLIGADO</w:t>
      </w:r>
      <w:r>
        <w:rPr>
          <w:rFonts w:ascii="Palatino Linotype" w:hAnsi="Palatino Linotype"/>
          <w:color w:val="222222"/>
          <w:shd w:val="clear" w:color="auto" w:fill="FFFFFF"/>
        </w:rPr>
        <w:t xml:space="preserve">, para que conforme a los artículos 186, último párrafo y 189, párrafo segundo de la Ley de </w:t>
      </w:r>
      <w:r>
        <w:rPr>
          <w:rFonts w:ascii="Palatino Linotype" w:hAnsi="Palatino Linotype" w:cs="Arial"/>
        </w:rPr>
        <w:t>Transparencia</w:t>
      </w:r>
      <w:r>
        <w:rPr>
          <w:rFonts w:ascii="Palatino Linotype" w:hAnsi="Palatino Linotype"/>
          <w:color w:val="222222"/>
          <w:shd w:val="clear" w:color="auto" w:fill="FFFFFF"/>
        </w:rPr>
        <w:t xml:space="preserve"> y Acceso a la Información Pública del Estado de México y Municipios, dé cumpli</w:t>
      </w:r>
      <w:r>
        <w:rPr>
          <w:rFonts w:ascii="Palatino Linotype" w:hAnsi="Palatino Linotype"/>
          <w:color w:val="222222"/>
          <w:shd w:val="clear" w:color="auto" w:fill="FFFFFF"/>
        </w:rPr>
        <w:t xml:space="preserve">miento a lo ordenado dentro del plazo de diez días hábiles, debiendo informar a este Instituto en un plazo </w:t>
      </w:r>
      <w:r>
        <w:rPr>
          <w:rFonts w:ascii="Palatino Linotype" w:hAnsi="Palatino Linotype"/>
          <w:color w:val="222222"/>
          <w:lang w:eastAsia="es-ES_tradnl"/>
        </w:rPr>
        <w:t>de</w:t>
      </w:r>
      <w:r>
        <w:rPr>
          <w:rFonts w:ascii="Palatino Linotype" w:hAnsi="Palatino Linotype"/>
          <w:color w:val="222222"/>
          <w:shd w:val="clear" w:color="auto" w:fill="FFFFFF"/>
        </w:rPr>
        <w:t xml:space="preserve"> tres días hábiles siguientes sobre el cumplimiento dado a la presente resolución.</w:t>
      </w:r>
    </w:p>
    <w:p w:rsidR="006A357A" w:rsidRDefault="006A357A">
      <w:pPr>
        <w:spacing w:line="360" w:lineRule="auto"/>
        <w:jc w:val="both"/>
        <w:rPr>
          <w:rFonts w:ascii="Palatino Linotype" w:hAnsi="Palatino Linotype"/>
          <w:b/>
          <w:color w:val="222222"/>
          <w:highlight w:val="white"/>
        </w:rPr>
      </w:pPr>
    </w:p>
    <w:p w:rsidR="006A357A" w:rsidRDefault="00767FD1">
      <w:pPr>
        <w:spacing w:line="360" w:lineRule="auto"/>
        <w:ind w:right="49"/>
        <w:jc w:val="both"/>
        <w:rPr>
          <w:rFonts w:ascii="Palatino Linotype" w:hAnsi="Palatino Linotype"/>
          <w:color w:val="222222"/>
          <w:lang w:eastAsia="es-ES_tradnl"/>
        </w:rPr>
      </w:pPr>
      <w:r>
        <w:rPr>
          <w:rFonts w:ascii="Palatino Linotype" w:hAnsi="Palatino Linotype" w:cs="Arial"/>
          <w:b/>
          <w:bCs/>
          <w:color w:val="222222"/>
          <w:sz w:val="28"/>
          <w:lang w:eastAsia="es-MX"/>
        </w:rPr>
        <w:t xml:space="preserve">CUARTO. </w:t>
      </w:r>
      <w:r>
        <w:rPr>
          <w:rFonts w:ascii="Palatino Linotype" w:hAnsi="Palatino Linotype"/>
          <w:b/>
          <w:color w:val="222222"/>
          <w:lang w:eastAsia="es-ES_tradnl"/>
        </w:rPr>
        <w:t>Notifíquese</w:t>
      </w:r>
      <w:r>
        <w:rPr>
          <w:rFonts w:ascii="Palatino Linotype" w:hAnsi="Palatino Linotype"/>
          <w:color w:val="222222"/>
          <w:lang w:eastAsia="es-ES_tradnl"/>
        </w:rPr>
        <w:t xml:space="preserve"> al </w:t>
      </w:r>
      <w:r>
        <w:rPr>
          <w:rFonts w:ascii="Palatino Linotype" w:hAnsi="Palatino Linotype"/>
          <w:b/>
          <w:color w:val="222222"/>
          <w:lang w:eastAsia="es-ES_tradnl"/>
        </w:rPr>
        <w:t>RECURRENTE</w:t>
      </w:r>
      <w:r>
        <w:rPr>
          <w:rFonts w:ascii="Palatino Linotype" w:hAnsi="Palatino Linotype"/>
          <w:color w:val="222222"/>
          <w:lang w:eastAsia="es-ES_tradnl"/>
        </w:rPr>
        <w:t xml:space="preserve"> la </w:t>
      </w:r>
      <w:r>
        <w:rPr>
          <w:rFonts w:ascii="Palatino Linotype" w:hAnsi="Palatino Linotype" w:cs="Arial"/>
        </w:rPr>
        <w:t>presente</w:t>
      </w:r>
      <w:r>
        <w:rPr>
          <w:rFonts w:ascii="Palatino Linotype" w:hAnsi="Palatino Linotype"/>
          <w:color w:val="222222"/>
          <w:lang w:eastAsia="es-ES_tradnl"/>
        </w:rPr>
        <w:t xml:space="preserve"> resolución. </w:t>
      </w:r>
    </w:p>
    <w:p w:rsidR="006A357A" w:rsidRDefault="006A357A">
      <w:pPr>
        <w:spacing w:line="360" w:lineRule="auto"/>
        <w:ind w:right="49"/>
        <w:jc w:val="both"/>
        <w:rPr>
          <w:rFonts w:ascii="Palatino Linotype" w:hAnsi="Palatino Linotype"/>
          <w:color w:val="222222"/>
          <w:sz w:val="12"/>
          <w:lang w:eastAsia="es-ES_tradnl"/>
        </w:rPr>
      </w:pPr>
    </w:p>
    <w:p w:rsidR="006A357A" w:rsidRDefault="00767FD1">
      <w:pPr>
        <w:spacing w:line="360" w:lineRule="auto"/>
        <w:ind w:right="49"/>
        <w:jc w:val="both"/>
        <w:rPr>
          <w:rFonts w:ascii="Palatino Linotype" w:hAnsi="Palatino Linotype"/>
          <w:color w:val="222222"/>
          <w:lang w:eastAsia="es-ES_tradnl"/>
        </w:rPr>
      </w:pPr>
      <w:r>
        <w:rPr>
          <w:rFonts w:ascii="Palatino Linotype" w:hAnsi="Palatino Linotype" w:cs="Arial"/>
          <w:b/>
          <w:bCs/>
          <w:color w:val="222222"/>
          <w:sz w:val="28"/>
          <w:lang w:eastAsia="es-MX"/>
        </w:rPr>
        <w:t>QUINTO.</w:t>
      </w:r>
      <w:r>
        <w:rPr>
          <w:rFonts w:ascii="Palatino Linotype" w:hAnsi="Palatino Linotype"/>
          <w:color w:val="222222"/>
          <w:szCs w:val="17"/>
          <w:lang w:eastAsia="es-ES_tradnl"/>
        </w:rPr>
        <w:t xml:space="preserve"> </w:t>
      </w:r>
      <w:r>
        <w:rPr>
          <w:rFonts w:ascii="Palatino Linotype" w:hAnsi="Palatino Linotype"/>
          <w:lang w:eastAsia="es-ES_tradnl"/>
        </w:rPr>
        <w:t xml:space="preserve">Con fundamento en el artículo 198 de la Ley de Transparencia y Acceso a la Información Pública del Estado de México y Municipios, se apercibe al </w:t>
      </w:r>
      <w:r>
        <w:rPr>
          <w:rFonts w:ascii="Palatino Linotype" w:hAnsi="Palatino Linotype"/>
          <w:b/>
          <w:lang w:eastAsia="es-ES_tradnl"/>
        </w:rPr>
        <w:t>SUJETO OBLIGADO</w:t>
      </w:r>
      <w:r>
        <w:rPr>
          <w:rFonts w:ascii="Palatino Linotype" w:hAnsi="Palatino Linotype"/>
          <w:lang w:eastAsia="es-ES_tradnl"/>
        </w:rPr>
        <w:t xml:space="preserve"> que, en caso de negarse a cumplir la presente resolución o hacerlo de manera parcial se</w:t>
      </w:r>
      <w:r>
        <w:rPr>
          <w:rFonts w:ascii="Palatino Linotype" w:hAnsi="Palatino Linotype"/>
          <w:lang w:eastAsia="es-ES_tradnl"/>
        </w:rPr>
        <w:t xml:space="preserve"> actuará de conformidad con lo previsto en los artículos 213, 214, 216 y 217 de dicha Ley.</w:t>
      </w:r>
    </w:p>
    <w:p w:rsidR="006A357A" w:rsidRDefault="00767FD1">
      <w:pPr>
        <w:widowControl w:val="0"/>
        <w:spacing w:before="120" w:line="360" w:lineRule="auto"/>
        <w:jc w:val="both"/>
        <w:rPr>
          <w:rFonts w:ascii="Palatino Linotype" w:hAnsi="Palatino Linotype"/>
          <w:color w:val="222222"/>
          <w:lang w:eastAsia="es-ES_tradnl"/>
        </w:rPr>
      </w:pPr>
      <w:r>
        <w:rPr>
          <w:rFonts w:ascii="Palatino Linotype" w:hAnsi="Palatino Linotype"/>
          <w:b/>
          <w:sz w:val="28"/>
          <w:szCs w:val="28"/>
        </w:rPr>
        <w:t>SEXTO.</w:t>
      </w:r>
      <w:r>
        <w:rPr>
          <w:rFonts w:ascii="Palatino Linotype" w:hAnsi="Palatino Linotype"/>
          <w:b/>
          <w:szCs w:val="25"/>
        </w:rPr>
        <w:t xml:space="preserve"> </w:t>
      </w:r>
      <w:r>
        <w:rPr>
          <w:rFonts w:ascii="Palatino Linotype" w:hAnsi="Palatino Linotype"/>
          <w:b/>
          <w:color w:val="222222"/>
          <w:lang w:eastAsia="es-ES_tradnl"/>
        </w:rPr>
        <w:t>Hágase del conocimiento</w:t>
      </w:r>
      <w:r>
        <w:rPr>
          <w:rFonts w:ascii="Palatino Linotype" w:hAnsi="Palatino Linotype"/>
          <w:color w:val="222222"/>
          <w:lang w:eastAsia="es-ES_tradnl"/>
        </w:rPr>
        <w:t xml:space="preserve"> al </w:t>
      </w:r>
      <w:r>
        <w:rPr>
          <w:rFonts w:ascii="Palatino Linotype" w:hAnsi="Palatino Linotype"/>
          <w:b/>
          <w:color w:val="222222"/>
          <w:lang w:eastAsia="es-ES_tradnl"/>
        </w:rPr>
        <w:t>RECURRENTE</w:t>
      </w:r>
      <w:r>
        <w:rPr>
          <w:rFonts w:ascii="Palatino Linotype" w:hAnsi="Palatino Linotype"/>
          <w:color w:val="222222"/>
          <w:lang w:eastAsia="es-ES_tradnl"/>
        </w:rPr>
        <w:t xml:space="preserve"> que, de conformidad con lo establecido en el artículo 196 de la </w:t>
      </w:r>
      <w:r>
        <w:rPr>
          <w:rFonts w:ascii="Palatino Linotype" w:hAnsi="Palatino Linotype" w:cs="Arial"/>
        </w:rPr>
        <w:t>Ley</w:t>
      </w:r>
      <w:r>
        <w:rPr>
          <w:rFonts w:ascii="Palatino Linotype" w:hAnsi="Palatino Linotype"/>
          <w:color w:val="222222"/>
          <w:lang w:eastAsia="es-ES_tradnl"/>
        </w:rPr>
        <w:t xml:space="preserve"> de Transparencia y Acceso a la Información Pública d</w:t>
      </w:r>
      <w:r>
        <w:rPr>
          <w:rFonts w:ascii="Palatino Linotype" w:hAnsi="Palatino Linotype"/>
          <w:color w:val="222222"/>
          <w:lang w:eastAsia="es-ES_tradnl"/>
        </w:rPr>
        <w:t>el Estado de México y Municipios, podrá impugnarla vía Juicio de Amparo en los términos de las leyes aplicables.</w:t>
      </w:r>
    </w:p>
    <w:p w:rsidR="006A357A" w:rsidRDefault="00767FD1">
      <w:pPr>
        <w:pStyle w:val="Prrafodelista"/>
        <w:widowControl w:val="0"/>
        <w:tabs>
          <w:tab w:val="left" w:pos="1701"/>
          <w:tab w:val="left" w:pos="2268"/>
        </w:tabs>
        <w:spacing w:before="120" w:after="12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ASÍ LO RESUELVE, POR UNANIMIDAD DE VOTOS, EL PLENO DEL INSTITUTO DE TRANSPARENCIA, ACCESO A LA INFORMACIÓN PÚBLICA Y PROTECCIÓN DE DATOS PERSON</w:t>
      </w:r>
      <w:r>
        <w:rPr>
          <w:rFonts w:ascii="Palatino Linotype" w:hAnsi="Palatino Linotype" w:cs="Arial"/>
          <w:color w:val="000000" w:themeColor="text1"/>
        </w:rPr>
        <w:t xml:space="preserve">ALES DEL ESTADO DE MÉXICO Y MUNICIPIOS, CONFORMADO POR LOS COMISIONADOS; ZULEMA MARTÍNEZ SÁNCHEZ, EVA ABAID YAPUR, </w:t>
      </w:r>
      <w:r>
        <w:rPr>
          <w:rFonts w:ascii="Palatino Linotype" w:hAnsi="Palatino Linotype"/>
          <w:color w:val="000000" w:themeColor="text1"/>
          <w:lang w:val="es-ES_tradnl"/>
        </w:rPr>
        <w:t xml:space="preserve">JOSÉ GUADALUPE LUNA HERNÁNDEZ, </w:t>
      </w:r>
      <w:r>
        <w:rPr>
          <w:rFonts w:ascii="Palatino Linotype" w:hAnsi="Palatino Linotype" w:cs="Arial"/>
          <w:color w:val="000000" w:themeColor="text1"/>
        </w:rPr>
        <w:t>JAVIER MARTÍNEZ CRUZ Y LUIS GUSTAVO PARRA NORIEGA; EN LA DÉCIMA QUINTA SESIÓN ORDINARIA CELEBRADA EL VEINTISÉI</w:t>
      </w:r>
      <w:r>
        <w:rPr>
          <w:rFonts w:ascii="Palatino Linotype" w:hAnsi="Palatino Linotype" w:cs="Arial"/>
          <w:color w:val="000000" w:themeColor="text1"/>
        </w:rPr>
        <w:t>S DE AGOSTO DE DOS MIL VEINTE, ANTE EL SECRETARIO TÉCNICO DEL PLENO ALEXIS TAPIA RAMÍREZ.</w:t>
      </w:r>
    </w:p>
    <w:p w:rsidR="006A357A" w:rsidRDefault="006A357A">
      <w:pPr>
        <w:pStyle w:val="Prrafodelista"/>
        <w:widowControl w:val="0"/>
        <w:tabs>
          <w:tab w:val="left" w:pos="1701"/>
          <w:tab w:val="left" w:pos="2268"/>
        </w:tabs>
        <w:spacing w:before="120" w:after="120" w:line="360" w:lineRule="auto"/>
        <w:ind w:left="0"/>
        <w:jc w:val="both"/>
        <w:rPr>
          <w:rFonts w:ascii="Palatino Linotype" w:hAnsi="Palatino Linotype" w:cs="Arial"/>
          <w:color w:val="000000" w:themeColor="text1"/>
        </w:rPr>
      </w:pPr>
    </w:p>
    <w:p w:rsidR="006A357A" w:rsidRDefault="006A357A">
      <w:pPr>
        <w:pStyle w:val="Prrafodelista"/>
        <w:widowControl w:val="0"/>
        <w:tabs>
          <w:tab w:val="left" w:pos="1701"/>
          <w:tab w:val="left" w:pos="2268"/>
        </w:tabs>
        <w:spacing w:before="120" w:after="120" w:line="360" w:lineRule="auto"/>
        <w:ind w:left="0"/>
        <w:jc w:val="both"/>
        <w:rPr>
          <w:rFonts w:ascii="Palatino Linotype" w:hAnsi="Palatino Linotype" w:cs="Arial"/>
          <w:color w:val="000000" w:themeColor="text1"/>
        </w:rPr>
      </w:pPr>
    </w:p>
    <w:tbl>
      <w:tblPr>
        <w:tblW w:w="10368" w:type="dxa"/>
        <w:jc w:val="center"/>
        <w:tblLook w:val="04A0" w:firstRow="1" w:lastRow="0" w:firstColumn="1" w:lastColumn="0" w:noHBand="0" w:noVBand="1"/>
      </w:tblPr>
      <w:tblGrid>
        <w:gridCol w:w="5186"/>
        <w:gridCol w:w="5182"/>
      </w:tblGrid>
      <w:tr w:rsidR="006A357A">
        <w:trPr>
          <w:jc w:val="center"/>
        </w:trPr>
        <w:tc>
          <w:tcPr>
            <w:tcW w:w="10367" w:type="dxa"/>
            <w:gridSpan w:val="2"/>
          </w:tcPr>
          <w:p w:rsidR="006A357A" w:rsidRDefault="00767FD1">
            <w:pPr>
              <w:jc w:val="center"/>
              <w:rPr>
                <w:rFonts w:ascii="Palatino Linotype" w:hAnsi="Palatino Linotype" w:cs="Arial"/>
                <w:b/>
                <w:lang w:val="es-ES_tradnl"/>
              </w:rPr>
            </w:pPr>
            <w:r>
              <w:rPr>
                <w:rFonts w:ascii="Palatino Linotype" w:hAnsi="Palatino Linotype" w:cs="Arial"/>
                <w:b/>
                <w:lang w:val="es-ES_tradnl"/>
              </w:rPr>
              <w:t>Zulema Martínez Sánchez</w:t>
            </w:r>
          </w:p>
          <w:p w:rsidR="006A357A" w:rsidRDefault="00767FD1">
            <w:pPr>
              <w:jc w:val="center"/>
              <w:rPr>
                <w:rFonts w:ascii="Palatino Linotype" w:hAnsi="Palatino Linotype" w:cs="Arial"/>
                <w:b/>
                <w:lang w:val="es-ES_tradnl"/>
              </w:rPr>
            </w:pPr>
            <w:r>
              <w:rPr>
                <w:rFonts w:ascii="Palatino Linotype" w:hAnsi="Palatino Linotype" w:cs="Arial"/>
                <w:lang w:val="es-ES_tradnl"/>
              </w:rPr>
              <w:t>Comisionada Presidenta</w:t>
            </w:r>
          </w:p>
          <w:p w:rsidR="006A357A" w:rsidRDefault="00767FD1">
            <w:pPr>
              <w:jc w:val="center"/>
              <w:rPr>
                <w:rFonts w:ascii="Palatino Linotype" w:hAnsi="Palatino Linotype" w:cs="Arial"/>
                <w:b/>
                <w:lang w:val="es-ES_tradnl"/>
              </w:rPr>
            </w:pPr>
            <w:r>
              <w:rPr>
                <w:rFonts w:ascii="Palatino Linotype" w:hAnsi="Palatino Linotype" w:cs="Arial"/>
                <w:b/>
                <w:lang w:val="es-ES_tradnl"/>
              </w:rPr>
              <w:t>(RÚBRICA)</w:t>
            </w:r>
          </w:p>
        </w:tc>
      </w:tr>
      <w:tr w:rsidR="006A357A">
        <w:trPr>
          <w:jc w:val="center"/>
        </w:trPr>
        <w:tc>
          <w:tcPr>
            <w:tcW w:w="5185" w:type="dxa"/>
          </w:tcPr>
          <w:p w:rsidR="006A357A" w:rsidRDefault="006A357A">
            <w:pPr>
              <w:jc w:val="center"/>
              <w:rPr>
                <w:rFonts w:ascii="Palatino Linotype" w:hAnsi="Palatino Linotype" w:cs="Arial"/>
                <w:b/>
                <w:lang w:val="es-ES_tradnl"/>
              </w:rPr>
            </w:pPr>
          </w:p>
          <w:p w:rsidR="006A357A" w:rsidRDefault="006A357A">
            <w:pPr>
              <w:jc w:val="center"/>
              <w:rPr>
                <w:rFonts w:ascii="Palatino Linotype" w:hAnsi="Palatino Linotype" w:cs="Arial"/>
                <w:b/>
                <w:lang w:val="es-ES_tradnl"/>
              </w:rPr>
            </w:pPr>
          </w:p>
          <w:p w:rsidR="006A357A" w:rsidRDefault="006A357A">
            <w:pPr>
              <w:jc w:val="center"/>
              <w:rPr>
                <w:rFonts w:ascii="Palatino Linotype" w:hAnsi="Palatino Linotype" w:cs="Arial"/>
                <w:b/>
                <w:lang w:val="es-ES_tradnl"/>
              </w:rPr>
            </w:pPr>
          </w:p>
          <w:p w:rsidR="006A357A" w:rsidRDefault="00767FD1">
            <w:pPr>
              <w:jc w:val="center"/>
              <w:rPr>
                <w:rFonts w:ascii="Palatino Linotype" w:hAnsi="Palatino Linotype" w:cs="Arial"/>
                <w:b/>
                <w:lang w:val="es-ES_tradnl"/>
              </w:rPr>
            </w:pPr>
            <w:r>
              <w:rPr>
                <w:rFonts w:ascii="Palatino Linotype" w:hAnsi="Palatino Linotype" w:cs="Arial"/>
                <w:b/>
                <w:lang w:val="es-ES_tradnl"/>
              </w:rPr>
              <w:t>Eva Abaid Yapur</w:t>
            </w:r>
          </w:p>
          <w:p w:rsidR="006A357A" w:rsidRDefault="00767FD1">
            <w:pPr>
              <w:jc w:val="center"/>
              <w:rPr>
                <w:rFonts w:ascii="Palatino Linotype" w:hAnsi="Palatino Linotype" w:cs="Arial"/>
                <w:lang w:val="es-ES_tradnl"/>
              </w:rPr>
            </w:pPr>
            <w:r>
              <w:rPr>
                <w:rFonts w:ascii="Palatino Linotype" w:hAnsi="Palatino Linotype" w:cs="Arial"/>
                <w:lang w:val="es-ES_tradnl"/>
              </w:rPr>
              <w:t>Comisionada</w:t>
            </w:r>
          </w:p>
          <w:p w:rsidR="006A357A" w:rsidRDefault="00767FD1">
            <w:pPr>
              <w:jc w:val="center"/>
              <w:rPr>
                <w:rFonts w:ascii="Palatino Linotype" w:hAnsi="Palatino Linotype" w:cs="Arial"/>
                <w:b/>
                <w:lang w:val="es-ES_tradnl"/>
              </w:rPr>
            </w:pPr>
            <w:r>
              <w:rPr>
                <w:rFonts w:ascii="Palatino Linotype" w:hAnsi="Palatino Linotype" w:cs="Arial"/>
                <w:b/>
                <w:lang w:val="es-ES_tradnl"/>
              </w:rPr>
              <w:t>(RÚBRICA)</w:t>
            </w:r>
          </w:p>
        </w:tc>
        <w:tc>
          <w:tcPr>
            <w:tcW w:w="5182" w:type="dxa"/>
          </w:tcPr>
          <w:p w:rsidR="006A357A" w:rsidRDefault="006A357A">
            <w:pPr>
              <w:jc w:val="center"/>
              <w:rPr>
                <w:rFonts w:ascii="Palatino Linotype" w:hAnsi="Palatino Linotype" w:cs="Arial"/>
                <w:b/>
                <w:lang w:val="es-ES_tradnl"/>
              </w:rPr>
            </w:pPr>
          </w:p>
          <w:p w:rsidR="006A357A" w:rsidRDefault="006A357A">
            <w:pPr>
              <w:jc w:val="center"/>
              <w:rPr>
                <w:rFonts w:ascii="Palatino Linotype" w:hAnsi="Palatino Linotype" w:cs="Arial"/>
                <w:b/>
                <w:lang w:val="es-ES_tradnl"/>
              </w:rPr>
            </w:pPr>
          </w:p>
          <w:p w:rsidR="006A357A" w:rsidRDefault="006A357A">
            <w:pPr>
              <w:jc w:val="center"/>
              <w:rPr>
                <w:rFonts w:ascii="Palatino Linotype" w:hAnsi="Palatino Linotype" w:cs="Arial"/>
                <w:b/>
                <w:lang w:val="es-ES_tradnl"/>
              </w:rPr>
            </w:pPr>
          </w:p>
          <w:p w:rsidR="006A357A" w:rsidRDefault="00767FD1">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6A357A" w:rsidRDefault="00767FD1">
            <w:pPr>
              <w:jc w:val="center"/>
              <w:rPr>
                <w:rFonts w:ascii="Palatino Linotype" w:hAnsi="Palatino Linotype" w:cs="Arial"/>
                <w:lang w:val="es-ES_tradnl"/>
              </w:rPr>
            </w:pPr>
            <w:r>
              <w:rPr>
                <w:rFonts w:ascii="Palatino Linotype" w:hAnsi="Palatino Linotype" w:cs="Arial"/>
                <w:lang w:val="es-ES_tradnl"/>
              </w:rPr>
              <w:t>Comisionado</w:t>
            </w:r>
          </w:p>
          <w:p w:rsidR="006A357A" w:rsidRDefault="00767FD1">
            <w:pPr>
              <w:jc w:val="center"/>
              <w:rPr>
                <w:rFonts w:ascii="Palatino Linotype" w:hAnsi="Palatino Linotype" w:cs="Arial"/>
                <w:b/>
                <w:lang w:val="es-ES_tradnl"/>
              </w:rPr>
            </w:pPr>
            <w:r>
              <w:rPr>
                <w:rFonts w:ascii="Palatino Linotype" w:hAnsi="Palatino Linotype" w:cs="Arial"/>
                <w:b/>
                <w:lang w:val="es-ES_tradnl"/>
              </w:rPr>
              <w:t>(RÚBRICA)</w:t>
            </w:r>
          </w:p>
        </w:tc>
      </w:tr>
      <w:tr w:rsidR="006A357A">
        <w:trPr>
          <w:jc w:val="center"/>
        </w:trPr>
        <w:tc>
          <w:tcPr>
            <w:tcW w:w="5185" w:type="dxa"/>
          </w:tcPr>
          <w:p w:rsidR="006A357A" w:rsidRDefault="006A357A">
            <w:pPr>
              <w:jc w:val="center"/>
              <w:rPr>
                <w:rFonts w:ascii="Palatino Linotype" w:hAnsi="Palatino Linotype" w:cs="Arial"/>
                <w:b/>
                <w:lang w:val="es-ES_tradnl"/>
              </w:rPr>
            </w:pPr>
          </w:p>
          <w:p w:rsidR="006A357A" w:rsidRDefault="006A357A">
            <w:pPr>
              <w:jc w:val="center"/>
              <w:rPr>
                <w:rFonts w:ascii="Palatino Linotype" w:hAnsi="Palatino Linotype" w:cs="Arial"/>
                <w:b/>
                <w:lang w:val="es-ES_tradnl"/>
              </w:rPr>
            </w:pPr>
          </w:p>
          <w:p w:rsidR="006A357A" w:rsidRDefault="006A357A">
            <w:pPr>
              <w:jc w:val="center"/>
              <w:rPr>
                <w:rFonts w:ascii="Palatino Linotype" w:hAnsi="Palatino Linotype" w:cs="Arial"/>
                <w:b/>
                <w:lang w:val="es-ES_tradnl"/>
              </w:rPr>
            </w:pPr>
          </w:p>
          <w:p w:rsidR="006A357A" w:rsidRDefault="00767FD1">
            <w:pPr>
              <w:jc w:val="center"/>
              <w:rPr>
                <w:rFonts w:ascii="Palatino Linotype" w:hAnsi="Palatino Linotype" w:cs="Arial"/>
                <w:b/>
                <w:lang w:val="es-ES_tradnl"/>
              </w:rPr>
            </w:pPr>
            <w:r>
              <w:rPr>
                <w:rFonts w:ascii="Palatino Linotype" w:hAnsi="Palatino Linotype" w:cs="Arial"/>
                <w:b/>
                <w:lang w:val="es-ES_tradnl"/>
              </w:rPr>
              <w:t>Javier</w:t>
            </w:r>
            <w:r>
              <w:rPr>
                <w:rFonts w:ascii="Palatino Linotype" w:hAnsi="Palatino Linotype" w:cs="Arial"/>
                <w:b/>
                <w:lang w:val="es-ES_tradnl"/>
              </w:rPr>
              <w:t xml:space="preserve"> Martínez Cruz</w:t>
            </w:r>
          </w:p>
          <w:p w:rsidR="006A357A" w:rsidRDefault="00767FD1">
            <w:pPr>
              <w:jc w:val="center"/>
              <w:rPr>
                <w:rFonts w:ascii="Palatino Linotype" w:hAnsi="Palatino Linotype" w:cs="Arial"/>
                <w:lang w:val="es-ES_tradnl"/>
              </w:rPr>
            </w:pPr>
            <w:r>
              <w:rPr>
                <w:rFonts w:ascii="Palatino Linotype" w:hAnsi="Palatino Linotype" w:cs="Arial"/>
                <w:lang w:val="es-ES_tradnl"/>
              </w:rPr>
              <w:t>Comisionado</w:t>
            </w:r>
          </w:p>
          <w:p w:rsidR="006A357A" w:rsidRDefault="00767FD1">
            <w:pPr>
              <w:jc w:val="center"/>
              <w:rPr>
                <w:rFonts w:ascii="Palatino Linotype" w:hAnsi="Palatino Linotype" w:cs="Arial"/>
                <w:b/>
                <w:lang w:val="es-ES_tradnl"/>
              </w:rPr>
            </w:pPr>
            <w:r>
              <w:rPr>
                <w:rFonts w:ascii="Palatino Linotype" w:hAnsi="Palatino Linotype" w:cs="Arial"/>
                <w:b/>
                <w:lang w:val="es-ES_tradnl"/>
              </w:rPr>
              <w:t>(RÚBRICA)</w:t>
            </w:r>
          </w:p>
        </w:tc>
        <w:tc>
          <w:tcPr>
            <w:tcW w:w="5182" w:type="dxa"/>
          </w:tcPr>
          <w:p w:rsidR="006A357A" w:rsidRDefault="006A357A">
            <w:pPr>
              <w:jc w:val="center"/>
              <w:rPr>
                <w:rFonts w:ascii="Palatino Linotype" w:hAnsi="Palatino Linotype" w:cs="Arial"/>
                <w:b/>
                <w:lang w:val="es-ES_tradnl"/>
              </w:rPr>
            </w:pPr>
          </w:p>
          <w:p w:rsidR="006A357A" w:rsidRDefault="006A357A">
            <w:pPr>
              <w:jc w:val="center"/>
              <w:rPr>
                <w:rFonts w:ascii="Palatino Linotype" w:hAnsi="Palatino Linotype" w:cs="Arial"/>
                <w:b/>
                <w:lang w:val="es-ES_tradnl"/>
              </w:rPr>
            </w:pPr>
          </w:p>
          <w:p w:rsidR="006A357A" w:rsidRDefault="006A357A">
            <w:pPr>
              <w:jc w:val="center"/>
              <w:rPr>
                <w:rFonts w:ascii="Palatino Linotype" w:hAnsi="Palatino Linotype" w:cs="Arial"/>
                <w:b/>
                <w:lang w:val="es-ES_tradnl"/>
              </w:rPr>
            </w:pPr>
          </w:p>
          <w:p w:rsidR="006A357A" w:rsidRDefault="00767FD1">
            <w:pPr>
              <w:jc w:val="center"/>
              <w:rPr>
                <w:rFonts w:ascii="Palatino Linotype" w:hAnsi="Palatino Linotype" w:cs="Arial"/>
                <w:b/>
                <w:lang w:val="es-ES_tradnl"/>
              </w:rPr>
            </w:pPr>
            <w:r>
              <w:rPr>
                <w:rFonts w:ascii="Palatino Linotype" w:hAnsi="Palatino Linotype" w:cs="Arial"/>
                <w:b/>
                <w:lang w:val="es-ES_tradnl"/>
              </w:rPr>
              <w:t>Luis Gustavo Parra Noriega</w:t>
            </w:r>
          </w:p>
          <w:p w:rsidR="006A357A" w:rsidRDefault="00767FD1">
            <w:pPr>
              <w:jc w:val="center"/>
              <w:rPr>
                <w:rFonts w:ascii="Palatino Linotype" w:hAnsi="Palatino Linotype" w:cs="Arial"/>
                <w:lang w:val="es-ES_tradnl"/>
              </w:rPr>
            </w:pPr>
            <w:r>
              <w:rPr>
                <w:rFonts w:ascii="Palatino Linotype" w:hAnsi="Palatino Linotype" w:cs="Arial"/>
                <w:lang w:val="es-ES_tradnl"/>
              </w:rPr>
              <w:t>Comisionado</w:t>
            </w:r>
          </w:p>
          <w:p w:rsidR="006A357A" w:rsidRDefault="00767FD1">
            <w:pPr>
              <w:jc w:val="center"/>
              <w:rPr>
                <w:rFonts w:ascii="Palatino Linotype" w:hAnsi="Palatino Linotype" w:cs="Arial"/>
                <w:b/>
                <w:lang w:val="es-ES_tradnl"/>
              </w:rPr>
            </w:pPr>
            <w:r>
              <w:rPr>
                <w:rFonts w:ascii="Palatino Linotype" w:hAnsi="Palatino Linotype" w:cs="Arial"/>
                <w:b/>
                <w:lang w:val="es-ES_tradnl"/>
              </w:rPr>
              <w:t>(RÚBRICA)</w:t>
            </w:r>
          </w:p>
        </w:tc>
      </w:tr>
      <w:tr w:rsidR="006A357A">
        <w:trPr>
          <w:jc w:val="center"/>
        </w:trPr>
        <w:tc>
          <w:tcPr>
            <w:tcW w:w="10367" w:type="dxa"/>
            <w:gridSpan w:val="2"/>
          </w:tcPr>
          <w:p w:rsidR="006A357A" w:rsidRDefault="006A357A">
            <w:pPr>
              <w:jc w:val="center"/>
              <w:rPr>
                <w:rFonts w:ascii="Palatino Linotype" w:hAnsi="Palatino Linotype" w:cs="Arial"/>
                <w:b/>
                <w:lang w:val="es-ES_tradnl"/>
              </w:rPr>
            </w:pPr>
          </w:p>
          <w:p w:rsidR="006A357A" w:rsidRDefault="006A357A">
            <w:pPr>
              <w:jc w:val="center"/>
              <w:rPr>
                <w:rFonts w:ascii="Palatino Linotype" w:hAnsi="Palatino Linotype" w:cs="Arial"/>
                <w:b/>
                <w:lang w:val="es-ES_tradnl"/>
              </w:rPr>
            </w:pPr>
          </w:p>
          <w:p w:rsidR="006A357A" w:rsidRDefault="006A357A">
            <w:pPr>
              <w:jc w:val="center"/>
              <w:rPr>
                <w:rFonts w:ascii="Palatino Linotype" w:hAnsi="Palatino Linotype" w:cs="Arial"/>
                <w:b/>
                <w:lang w:val="es-ES_tradnl"/>
              </w:rPr>
            </w:pPr>
          </w:p>
          <w:p w:rsidR="006A357A" w:rsidRDefault="006A357A">
            <w:pPr>
              <w:jc w:val="center"/>
              <w:rPr>
                <w:rFonts w:ascii="Palatino Linotype" w:hAnsi="Palatino Linotype" w:cs="Arial"/>
                <w:b/>
                <w:lang w:val="es-ES_tradnl"/>
              </w:rPr>
            </w:pPr>
          </w:p>
          <w:p w:rsidR="006A357A" w:rsidRDefault="006A357A">
            <w:pPr>
              <w:jc w:val="center"/>
              <w:rPr>
                <w:rFonts w:ascii="Palatino Linotype" w:hAnsi="Palatino Linotype" w:cs="Arial"/>
                <w:b/>
                <w:lang w:val="es-ES_tradnl"/>
              </w:rPr>
            </w:pPr>
          </w:p>
          <w:p w:rsidR="006A357A" w:rsidRDefault="00767FD1">
            <w:pPr>
              <w:jc w:val="center"/>
              <w:rPr>
                <w:rFonts w:ascii="Palatino Linotype" w:hAnsi="Palatino Linotype" w:cs="Arial"/>
                <w:b/>
                <w:lang w:val="es-ES_tradnl"/>
              </w:rPr>
            </w:pPr>
            <w:r>
              <w:rPr>
                <w:rFonts w:ascii="Palatino Linotype" w:hAnsi="Palatino Linotype" w:cs="Arial"/>
                <w:b/>
                <w:lang w:val="es-ES_tradnl"/>
              </w:rPr>
              <w:t>Alexis Tapia Ramírez</w:t>
            </w:r>
          </w:p>
          <w:p w:rsidR="006A357A" w:rsidRDefault="00767FD1">
            <w:pPr>
              <w:jc w:val="center"/>
              <w:rPr>
                <w:rFonts w:ascii="Palatino Linotype" w:hAnsi="Palatino Linotype" w:cs="Arial"/>
                <w:lang w:val="es-ES_tradnl"/>
              </w:rPr>
            </w:pPr>
            <w:r>
              <w:rPr>
                <w:rFonts w:ascii="Palatino Linotype" w:hAnsi="Palatino Linotype" w:cs="Arial"/>
                <w:lang w:val="es-ES_tradnl"/>
              </w:rPr>
              <w:t>Secretario Técnico del Pleno</w:t>
            </w:r>
          </w:p>
          <w:p w:rsidR="006A357A" w:rsidRDefault="00767FD1">
            <w:pPr>
              <w:jc w:val="center"/>
              <w:rPr>
                <w:rFonts w:ascii="Palatino Linotype" w:hAnsi="Palatino Linotype" w:cs="Arial"/>
                <w:lang w:val="es-ES_tradnl"/>
              </w:rPr>
            </w:pPr>
            <w:r>
              <w:rPr>
                <w:rFonts w:ascii="Palatino Linotype" w:hAnsi="Palatino Linotype" w:cs="Arial"/>
                <w:b/>
                <w:lang w:val="es-ES_tradnl"/>
              </w:rPr>
              <w:t>(RÚBRICA)</w:t>
            </w:r>
          </w:p>
        </w:tc>
      </w:tr>
    </w:tbl>
    <w:p w:rsidR="006A357A" w:rsidRDefault="006A357A">
      <w:pPr>
        <w:ind w:right="49"/>
        <w:jc w:val="both"/>
        <w:rPr>
          <w:rFonts w:ascii="Palatino Linotype" w:hAnsi="Palatino Linotype"/>
          <w:sz w:val="20"/>
          <w:lang w:val="es-ES_tradnl"/>
        </w:rPr>
      </w:pPr>
    </w:p>
    <w:p w:rsidR="006A357A" w:rsidRDefault="00767FD1">
      <w:pPr>
        <w:ind w:right="49"/>
        <w:jc w:val="both"/>
        <w:rPr>
          <w:rFonts w:ascii="Palatino Linotype" w:hAnsi="Palatino Linotype"/>
          <w:sz w:val="20"/>
          <w:lang w:val="es-ES_tradnl"/>
        </w:rPr>
      </w:pPr>
      <w:r>
        <w:rPr>
          <w:rFonts w:ascii="Palatino Linotype" w:hAnsi="Palatino Linotype"/>
          <w:sz w:val="20"/>
          <w:lang w:val="es-ES_tradnl"/>
        </w:rPr>
        <w:t xml:space="preserve">Esta hoja corresponde a la resolución del veintiséis de agosto de dos mil veinte, emitida en el </w:t>
      </w:r>
      <w:r>
        <w:rPr>
          <w:rFonts w:ascii="Palatino Linotype" w:hAnsi="Palatino Linotype"/>
          <w:sz w:val="20"/>
          <w:lang w:val="es-ES_tradnl"/>
        </w:rPr>
        <w:t>recurso de revisión 01507/INFOEM/IP/RR/2020.</w:t>
      </w:r>
    </w:p>
    <w:p w:rsidR="006A357A" w:rsidRDefault="00767FD1">
      <w:pPr>
        <w:ind w:right="49"/>
        <w:jc w:val="both"/>
        <w:rPr>
          <w:rFonts w:ascii="Palatino Linotype" w:hAnsi="Palatino Linotype" w:cs="Arial"/>
        </w:rPr>
      </w:pPr>
      <w:r>
        <w:rPr>
          <w:rFonts w:ascii="Palatino Linotype" w:hAnsi="Palatino Linotype"/>
          <w:sz w:val="20"/>
          <w:szCs w:val="20"/>
          <w:lang w:val="es-ES_tradnl"/>
        </w:rPr>
        <w:t>YSM/LAGO</w:t>
      </w:r>
    </w:p>
    <w:p w:rsidR="006A357A" w:rsidRDefault="006A357A"/>
    <w:sectPr w:rsidR="006A357A">
      <w:headerReference w:type="default" r:id="rId13"/>
      <w:footerReference w:type="default" r:id="rId14"/>
      <w:headerReference w:type="first" r:id="rId15"/>
      <w:footerReference w:type="first" r:id="rId16"/>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767FD1">
      <w:r>
        <w:separator/>
      </w:r>
    </w:p>
  </w:endnote>
  <w:endnote w:type="continuationSeparator" w:id="0">
    <w:p w:rsidR="00000000" w:rsidRDefault="00767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1"/>
    <w:family w:val="roman"/>
    <w:pitch w:val="variable"/>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57A" w:rsidRDefault="00767FD1">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Pr>
        <w:rFonts w:ascii="Palatino Linotype" w:hAnsi="Palatino Linotype" w:cs="Arial"/>
        <w:bCs/>
        <w:noProof/>
        <w:sz w:val="22"/>
        <w:szCs w:val="22"/>
      </w:rPr>
      <w:t>15</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Pr>
        <w:rFonts w:ascii="Palatino Linotype" w:hAnsi="Palatino Linotype" w:cs="Arial"/>
        <w:bCs/>
        <w:noProof/>
        <w:sz w:val="22"/>
        <w:szCs w:val="22"/>
      </w:rPr>
      <w:t>33</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57A" w:rsidRDefault="00767FD1">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Pr>
        <w:rFonts w:ascii="Palatino Linotype" w:hAnsi="Palatino Linotype" w:cs="Arial"/>
        <w:bCs/>
        <w:noProof/>
        <w:sz w:val="22"/>
        <w:szCs w:val="22"/>
      </w:rPr>
      <w:t>33</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357A" w:rsidRDefault="00767FD1">
      <w:pPr>
        <w:rPr>
          <w:sz w:val="12"/>
        </w:rPr>
      </w:pPr>
      <w:r>
        <w:separator/>
      </w:r>
    </w:p>
  </w:footnote>
  <w:footnote w:type="continuationSeparator" w:id="0">
    <w:p w:rsidR="006A357A" w:rsidRDefault="00767FD1">
      <w:pPr>
        <w:rPr>
          <w:sz w:val="12"/>
        </w:rPr>
      </w:pPr>
      <w:r>
        <w:continuationSeparator/>
      </w:r>
    </w:p>
  </w:footnote>
  <w:footnote w:id="1">
    <w:p w:rsidR="006A357A" w:rsidRDefault="00767FD1">
      <w:pPr>
        <w:pStyle w:val="Textonotapie"/>
        <w:jc w:val="both"/>
      </w:pPr>
      <w:r>
        <w:rPr>
          <w:rStyle w:val="Caracteresdenotaalpie"/>
        </w:rPr>
        <w:footnoteRef/>
      </w:r>
      <w:r>
        <w:rPr>
          <w:rFonts w:ascii="Palatino Linotype" w:hAnsi="Palatino Linotype"/>
        </w:rPr>
        <w:t xml:space="preserve"> El precepto</w:t>
      </w:r>
      <w:r>
        <w:rPr>
          <w:rFonts w:ascii="Palatino Linotype" w:hAnsi="Palatino Linotype"/>
        </w:rPr>
        <w:t xml:space="preserve"> legal en cita establece que los Municipios son sujetos de fiscalización.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57A" w:rsidRDefault="00767FD1">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31" behindDoc="1" locked="0" layoutInCell="1" allowOverlap="1">
          <wp:simplePos x="0" y="0"/>
          <wp:positionH relativeFrom="column">
            <wp:align>center</wp:align>
          </wp:positionH>
          <wp:positionV relativeFrom="margin">
            <wp:align>center</wp:align>
          </wp:positionV>
          <wp:extent cx="6858635" cy="9144635"/>
          <wp:effectExtent l="0" t="0" r="0" b="0"/>
          <wp:wrapNone/>
          <wp:docPr id="9"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101" w:type="dxa"/>
      <w:tblInd w:w="-142" w:type="dxa"/>
      <w:tblLook w:val="04A0" w:firstRow="1" w:lastRow="0" w:firstColumn="1" w:lastColumn="0" w:noHBand="0" w:noVBand="1"/>
    </w:tblPr>
    <w:tblGrid>
      <w:gridCol w:w="3828"/>
      <w:gridCol w:w="2549"/>
      <w:gridCol w:w="3724"/>
    </w:tblGrid>
    <w:tr w:rsidR="006A357A">
      <w:tc>
        <w:tcPr>
          <w:tcW w:w="3828" w:type="dxa"/>
          <w:vMerge w:val="restart"/>
        </w:tcPr>
        <w:p w:rsidR="006A357A" w:rsidRDefault="00767FD1">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49" w:type="dxa"/>
          <w:shd w:val="clear" w:color="auto" w:fill="auto"/>
        </w:tcPr>
        <w:p w:rsidR="006A357A" w:rsidRDefault="00767FD1">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6A357A" w:rsidRDefault="00767FD1">
          <w:pPr>
            <w:jc w:val="both"/>
            <w:rPr>
              <w:rFonts w:ascii="Palatino Linotype" w:hAnsi="Palatino Linotype"/>
              <w:b/>
              <w:sz w:val="22"/>
              <w:szCs w:val="22"/>
              <w:lang w:val="es-ES_tradnl"/>
            </w:rPr>
          </w:pPr>
          <w:r>
            <w:rPr>
              <w:rFonts w:ascii="Palatino Linotype" w:hAnsi="Palatino Linotype"/>
              <w:b/>
              <w:sz w:val="22"/>
              <w:szCs w:val="22"/>
              <w:lang w:val="es-ES_tradnl"/>
            </w:rPr>
            <w:t>1507/INFOEM/IP/RR/2020</w:t>
          </w:r>
        </w:p>
      </w:tc>
    </w:tr>
    <w:tr w:rsidR="006A357A">
      <w:tc>
        <w:tcPr>
          <w:tcW w:w="3828" w:type="dxa"/>
          <w:vMerge/>
        </w:tcPr>
        <w:p w:rsidR="006A357A" w:rsidRDefault="006A357A">
          <w:pPr>
            <w:rPr>
              <w:rFonts w:ascii="Palatino Linotype" w:hAnsi="Palatino Linotype"/>
              <w:b/>
              <w:sz w:val="22"/>
              <w:szCs w:val="22"/>
              <w:lang w:val="es-ES_tradnl"/>
            </w:rPr>
          </w:pPr>
        </w:p>
      </w:tc>
      <w:tc>
        <w:tcPr>
          <w:tcW w:w="2549" w:type="dxa"/>
          <w:shd w:val="clear" w:color="auto" w:fill="auto"/>
        </w:tcPr>
        <w:p w:rsidR="006A357A" w:rsidRDefault="00767FD1">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6A357A" w:rsidRDefault="00767FD1">
          <w:pPr>
            <w:jc w:val="both"/>
            <w:rPr>
              <w:rFonts w:ascii="Palatino Linotype" w:hAnsi="Palatino Linotype"/>
              <w:b/>
              <w:sz w:val="22"/>
              <w:szCs w:val="22"/>
              <w:lang w:val="es-ES_tradnl"/>
            </w:rPr>
          </w:pPr>
          <w:r>
            <w:rPr>
              <w:rFonts w:ascii="Palatino Linotype" w:hAnsi="Palatino Linotype"/>
              <w:b/>
              <w:sz w:val="22"/>
              <w:szCs w:val="22"/>
              <w:lang w:val="es-ES_tradnl"/>
            </w:rPr>
            <w:t>Ayuntamiento de Coyotepec</w:t>
          </w:r>
        </w:p>
      </w:tc>
    </w:tr>
    <w:tr w:rsidR="006A357A">
      <w:trPr>
        <w:trHeight w:val="228"/>
      </w:trPr>
      <w:tc>
        <w:tcPr>
          <w:tcW w:w="3828" w:type="dxa"/>
          <w:vMerge/>
        </w:tcPr>
        <w:p w:rsidR="006A357A" w:rsidRDefault="006A357A">
          <w:pPr>
            <w:rPr>
              <w:rFonts w:ascii="Palatino Linotype" w:hAnsi="Palatino Linotype"/>
              <w:b/>
              <w:sz w:val="22"/>
              <w:szCs w:val="22"/>
              <w:lang w:val="es-ES_tradnl"/>
            </w:rPr>
          </w:pPr>
        </w:p>
      </w:tc>
      <w:tc>
        <w:tcPr>
          <w:tcW w:w="2549" w:type="dxa"/>
          <w:shd w:val="clear" w:color="auto" w:fill="auto"/>
        </w:tcPr>
        <w:p w:rsidR="006A357A" w:rsidRDefault="00767FD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6A357A" w:rsidRDefault="00767FD1">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6A357A" w:rsidRDefault="006A357A">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57A" w:rsidRDefault="00767FD1">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 behindDoc="1" locked="0" layoutInCell="1" allowOverlap="1">
          <wp:simplePos x="0" y="0"/>
          <wp:positionH relativeFrom="column">
            <wp:align>center</wp:align>
          </wp:positionH>
          <wp:positionV relativeFrom="margin">
            <wp:align>center</wp:align>
          </wp:positionV>
          <wp:extent cx="6858635" cy="9144635"/>
          <wp:effectExtent l="0" t="0" r="0" b="0"/>
          <wp:wrapNone/>
          <wp:docPr id="11"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1057" w:type="dxa"/>
      <w:tblInd w:w="-1276" w:type="dxa"/>
      <w:tblLook w:val="04A0" w:firstRow="1" w:lastRow="0" w:firstColumn="1" w:lastColumn="0" w:noHBand="0" w:noVBand="1"/>
    </w:tblPr>
    <w:tblGrid>
      <w:gridCol w:w="4818"/>
      <w:gridCol w:w="2553"/>
      <w:gridCol w:w="3686"/>
    </w:tblGrid>
    <w:tr w:rsidR="006A357A">
      <w:tc>
        <w:tcPr>
          <w:tcW w:w="4818" w:type="dxa"/>
          <w:vMerge w:val="restart"/>
          <w:shd w:val="clear" w:color="auto" w:fill="auto"/>
        </w:tcPr>
        <w:p w:rsidR="006A357A" w:rsidRDefault="00767FD1">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3" w:type="dxa"/>
          <w:shd w:val="clear" w:color="auto" w:fill="auto"/>
        </w:tcPr>
        <w:p w:rsidR="006A357A" w:rsidRDefault="00767FD1">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6" w:type="dxa"/>
          <w:shd w:val="clear" w:color="auto" w:fill="auto"/>
          <w:vAlign w:val="center"/>
        </w:tcPr>
        <w:p w:rsidR="006A357A" w:rsidRDefault="00767FD1">
          <w:pPr>
            <w:jc w:val="both"/>
            <w:rPr>
              <w:rFonts w:ascii="Palatino Linotype" w:hAnsi="Palatino Linotype"/>
              <w:b/>
              <w:sz w:val="22"/>
              <w:szCs w:val="22"/>
              <w:lang w:val="es-ES_tradnl"/>
            </w:rPr>
          </w:pPr>
          <w:r>
            <w:rPr>
              <w:rFonts w:ascii="Palatino Linotype" w:hAnsi="Palatino Linotype"/>
              <w:b/>
              <w:sz w:val="22"/>
              <w:szCs w:val="22"/>
              <w:lang w:val="es-ES_tradnl"/>
            </w:rPr>
            <w:t>1507/INFOEM/IP/RR/2020</w:t>
          </w:r>
        </w:p>
      </w:tc>
    </w:tr>
    <w:tr w:rsidR="006A357A">
      <w:tc>
        <w:tcPr>
          <w:tcW w:w="4818" w:type="dxa"/>
          <w:vMerge/>
          <w:shd w:val="clear" w:color="auto" w:fill="auto"/>
        </w:tcPr>
        <w:p w:rsidR="006A357A" w:rsidRDefault="006A357A">
          <w:pPr>
            <w:rPr>
              <w:rFonts w:ascii="Palatino Linotype" w:hAnsi="Palatino Linotype"/>
              <w:b/>
              <w:sz w:val="22"/>
              <w:szCs w:val="22"/>
              <w:lang w:val="es-ES_tradnl"/>
            </w:rPr>
          </w:pPr>
        </w:p>
      </w:tc>
      <w:tc>
        <w:tcPr>
          <w:tcW w:w="2553" w:type="dxa"/>
          <w:shd w:val="clear" w:color="auto" w:fill="auto"/>
        </w:tcPr>
        <w:p w:rsidR="006A357A" w:rsidRDefault="00767FD1">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6" w:type="dxa"/>
          <w:shd w:val="clear" w:color="auto" w:fill="auto"/>
          <w:vAlign w:val="center"/>
        </w:tcPr>
        <w:p w:rsidR="006A357A" w:rsidRDefault="00767FD1">
          <w:pPr>
            <w:jc w:val="both"/>
            <w:rPr>
              <w:rFonts w:ascii="Palatino Linotype" w:hAnsi="Palatino Linotype"/>
              <w:b/>
              <w:sz w:val="22"/>
              <w:szCs w:val="22"/>
              <w:lang w:val="es-ES_tradnl"/>
            </w:rPr>
          </w:pPr>
          <w:r>
            <w:rPr>
              <w:rFonts w:ascii="Palatino Linotype" w:hAnsi="Palatino Linotype"/>
              <w:b/>
              <w:sz w:val="22"/>
              <w:szCs w:val="22"/>
              <w:lang w:val="es-ES_tradnl"/>
            </w:rPr>
            <w:t>Xxxxxxx</w:t>
          </w:r>
          <w:r>
            <w:rPr>
              <w:rFonts w:ascii="Palatino Linotype" w:hAnsi="Palatino Linotype"/>
              <w:b/>
              <w:sz w:val="22"/>
              <w:szCs w:val="22"/>
              <w:lang w:val="es-ES_tradnl"/>
            </w:rPr>
            <w:t xml:space="preserve"> Xxxxx</w:t>
          </w:r>
          <w:r>
            <w:rPr>
              <w:rFonts w:ascii="Palatino Linotype" w:hAnsi="Palatino Linotype"/>
              <w:b/>
              <w:sz w:val="22"/>
              <w:szCs w:val="22"/>
              <w:lang w:val="es-ES_tradnl"/>
            </w:rPr>
            <w:t xml:space="preserve"> Xxxxxx</w:t>
          </w:r>
        </w:p>
      </w:tc>
    </w:tr>
    <w:tr w:rsidR="006A357A">
      <w:trPr>
        <w:trHeight w:val="228"/>
      </w:trPr>
      <w:tc>
        <w:tcPr>
          <w:tcW w:w="4818" w:type="dxa"/>
          <w:vMerge/>
          <w:shd w:val="clear" w:color="auto" w:fill="auto"/>
        </w:tcPr>
        <w:p w:rsidR="006A357A" w:rsidRDefault="006A357A">
          <w:pPr>
            <w:rPr>
              <w:rFonts w:ascii="Palatino Linotype" w:hAnsi="Palatino Linotype"/>
              <w:b/>
              <w:sz w:val="22"/>
              <w:szCs w:val="22"/>
              <w:lang w:val="es-ES_tradnl"/>
            </w:rPr>
          </w:pPr>
        </w:p>
      </w:tc>
      <w:tc>
        <w:tcPr>
          <w:tcW w:w="2553" w:type="dxa"/>
          <w:shd w:val="clear" w:color="auto" w:fill="auto"/>
        </w:tcPr>
        <w:p w:rsidR="006A357A" w:rsidRDefault="00767FD1">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6" w:type="dxa"/>
          <w:shd w:val="clear" w:color="auto" w:fill="auto"/>
          <w:vAlign w:val="center"/>
        </w:tcPr>
        <w:p w:rsidR="006A357A" w:rsidRDefault="00767FD1">
          <w:pPr>
            <w:jc w:val="both"/>
            <w:rPr>
              <w:rFonts w:ascii="Palatino Linotype" w:hAnsi="Palatino Linotype"/>
              <w:b/>
              <w:sz w:val="22"/>
              <w:szCs w:val="22"/>
            </w:rPr>
          </w:pPr>
          <w:r>
            <w:rPr>
              <w:rFonts w:ascii="Palatino Linotype" w:hAnsi="Palatino Linotype"/>
              <w:b/>
              <w:sz w:val="22"/>
              <w:szCs w:val="22"/>
            </w:rPr>
            <w:t>Ayuntamiento de Coyotepec</w:t>
          </w:r>
        </w:p>
      </w:tc>
    </w:tr>
    <w:tr w:rsidR="006A357A">
      <w:tc>
        <w:tcPr>
          <w:tcW w:w="4818" w:type="dxa"/>
          <w:vMerge/>
          <w:shd w:val="clear" w:color="auto" w:fill="auto"/>
        </w:tcPr>
        <w:p w:rsidR="006A357A" w:rsidRDefault="006A357A">
          <w:pPr>
            <w:rPr>
              <w:rFonts w:ascii="Palatino Linotype" w:hAnsi="Palatino Linotype"/>
              <w:b/>
              <w:sz w:val="22"/>
              <w:szCs w:val="22"/>
              <w:lang w:val="es-ES_tradnl"/>
            </w:rPr>
          </w:pPr>
        </w:p>
      </w:tc>
      <w:tc>
        <w:tcPr>
          <w:tcW w:w="2553" w:type="dxa"/>
          <w:shd w:val="clear" w:color="auto" w:fill="auto"/>
        </w:tcPr>
        <w:p w:rsidR="006A357A" w:rsidRDefault="00767FD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6" w:type="dxa"/>
          <w:shd w:val="clear" w:color="auto" w:fill="auto"/>
        </w:tcPr>
        <w:p w:rsidR="006A357A" w:rsidRDefault="00767FD1">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6A357A" w:rsidRDefault="006A357A">
    <w:pPr>
      <w:rPr>
        <w:rFonts w:ascii="Palatino Linotype" w:hAnsi="Palatino Linotype"/>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57A"/>
    <w:rsid w:val="006A357A"/>
    <w:rsid w:val="00767FD1"/>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0D92BF-E1E4-4803-9919-5BF129419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Caracteresdenotaalpie">
    <w:name w:val="Caracteres de nota al pie"/>
    <w:qFormat/>
  </w:style>
  <w:style w:type="character" w:customStyle="1" w:styleId="Ancladenotafinal">
    <w:name w:val="Ancla de nota final"/>
    <w:rPr>
      <w:vertAlign w:val="superscript"/>
    </w:rPr>
  </w:style>
  <w:style w:type="character" w:customStyle="1" w:styleId="Caracteresdenotafinal">
    <w:name w:val="Caracteres de nota final"/>
    <w:qFormat/>
  </w:style>
  <w:style w:type="paragraph" w:customStyle="1" w:styleId="Ttulo">
    <w:name w:val="Título"/>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osfem.gob.mx/04_Normatividad/doc/Normatividad/2019/19.-LineamInfMensualMpal_2019.pdf"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1C6DF-2D1B-4D37-A750-CB98C6356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7271</Words>
  <Characters>39996</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luis alberto guadarrama olivares</cp:lastModifiedBy>
  <cp:revision>2</cp:revision>
  <cp:lastPrinted>2020-01-22T19:55:00Z</cp:lastPrinted>
  <dcterms:created xsi:type="dcterms:W3CDTF">2020-09-08T00:04:00Z</dcterms:created>
  <dcterms:modified xsi:type="dcterms:W3CDTF">2020-09-08T00:04:00Z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