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7ED" w:rsidRDefault="004E48D1">
      <w:pPr>
        <w:spacing w:beforeAutospacing="1" w:afterAutospacing="1"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EE77ED" w:rsidRDefault="004E48D1">
      <w:pPr>
        <w:spacing w:before="360" w:after="240"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00862/INFOEM/IP/RR/2020</w:t>
      </w:r>
      <w:r>
        <w:rPr>
          <w:rFonts w:ascii="Palatino Linotype" w:hAnsi="Palatino Linotype"/>
        </w:rPr>
        <w:t>, promovido por el C</w:t>
      </w:r>
      <w:r w:rsidR="00AE5F20" w:rsidRPr="00AE5F20">
        <w:t xml:space="preserve"> </w:t>
      </w:r>
      <w:r w:rsidR="00AE5F20" w:rsidRPr="00AE5F20">
        <w:rPr>
          <w:rFonts w:ascii="Palatino Linotype" w:hAnsi="Palatino Linotype"/>
          <w:b/>
        </w:rPr>
        <w:t>XXXX XXXXX XXXXXXXXX XXXXXXXXXX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en contra de la respuesta del</w:t>
      </w:r>
      <w:r>
        <w:t xml:space="preserve"> </w:t>
      </w:r>
      <w:r>
        <w:rPr>
          <w:rFonts w:ascii="Palatino Linotype" w:hAnsi="Palatino Linotype"/>
          <w:b/>
        </w:rPr>
        <w:t xml:space="preserve">Ayuntamiento de </w:t>
      </w:r>
      <w:proofErr w:type="spellStart"/>
      <w:r>
        <w:rPr>
          <w:rFonts w:ascii="Palatino Linotype" w:hAnsi="Palatino Linotype"/>
          <w:b/>
        </w:rPr>
        <w:t>Temoaya</w:t>
      </w:r>
      <w:proofErr w:type="spellEnd"/>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se procede a dictar la presente resolución con base en lo siguiente:</w:t>
      </w:r>
    </w:p>
    <w:p w:rsidR="00EE77ED" w:rsidRDefault="004E48D1">
      <w:pPr>
        <w:spacing w:before="360" w:after="360"/>
        <w:jc w:val="center"/>
        <w:rPr>
          <w:rFonts w:ascii="Palatino Linotype" w:hAnsi="Palatino Linotype"/>
          <w:b/>
          <w:bCs/>
          <w:spacing w:val="60"/>
          <w:sz w:val="28"/>
        </w:rPr>
      </w:pPr>
      <w:r>
        <w:rPr>
          <w:rFonts w:ascii="Palatino Linotype" w:hAnsi="Palatino Linotype"/>
          <w:b/>
          <w:bCs/>
          <w:spacing w:val="60"/>
          <w:sz w:val="28"/>
        </w:rPr>
        <w:t>RESULTANDO</w:t>
      </w:r>
    </w:p>
    <w:p w:rsidR="00EE77ED" w:rsidRDefault="004E48D1">
      <w:pPr>
        <w:pStyle w:val="Prrafodelista"/>
        <w:widowControl w:val="0"/>
        <w:numPr>
          <w:ilvl w:val="0"/>
          <w:numId w:val="2"/>
        </w:numPr>
        <w:tabs>
          <w:tab w:val="left" w:pos="360"/>
        </w:tabs>
        <w:spacing w:before="360" w:after="200"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quince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w:t>
      </w:r>
      <w:r>
        <w:rPr>
          <w:rFonts w:ascii="Palatino Linotype" w:hAnsi="Palatino Linotype"/>
          <w:b/>
        </w:rPr>
        <w:t xml:space="preserve"> 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w:t>
      </w:r>
      <w:r>
        <w:rPr>
          <w:rFonts w:ascii="Palatino Linotype" w:hAnsi="Palatino Linotype" w:cs="Arial"/>
        </w:rPr>
        <w:t>se</w:t>
      </w:r>
      <w:r>
        <w:rPr>
          <w:rFonts w:ascii="Palatino Linotype" w:hAnsi="Palatino Linotype"/>
        </w:rPr>
        <w:t xml:space="preserve"> le asignó el número </w:t>
      </w:r>
      <w:r>
        <w:rPr>
          <w:rFonts w:ascii="Palatino Linotype" w:hAnsi="Palatino Linotype"/>
          <w:b/>
          <w:bCs/>
        </w:rPr>
        <w:t>00010/TEMOAYA/IP/2020</w:t>
      </w:r>
      <w:r>
        <w:rPr>
          <w:rFonts w:ascii="Palatino Linotype" w:hAnsi="Palatino Linotype"/>
        </w:rPr>
        <w:t>, mediante la cual requirió por dicha vía:</w:t>
      </w:r>
    </w:p>
    <w:p w:rsidR="00EE77ED" w:rsidRDefault="004E48D1">
      <w:pPr>
        <w:spacing w:before="120" w:after="120"/>
        <w:ind w:left="709" w:right="709"/>
        <w:jc w:val="both"/>
        <w:rPr>
          <w:rFonts w:ascii="Palatino Linotype" w:hAnsi="Palatino Linotype"/>
          <w:sz w:val="22"/>
          <w:szCs w:val="22"/>
        </w:rPr>
      </w:pPr>
      <w:r>
        <w:rPr>
          <w:rFonts w:ascii="Palatino Linotype" w:hAnsi="Palatino Linotype" w:cs="Arial"/>
          <w:i/>
          <w:sz w:val="22"/>
          <w:szCs w:val="22"/>
        </w:rPr>
        <w:t xml:space="preserve">“CUAL FUE EL PRESUPUESTO ASIGNADO PARA LA COMPRA DE JUGUETES DEL DIA DE REYES EN ESTE AÑO 2020, CUANTOS JUGUETES SE COMPRARON Y CUANTOS SE REPARTIERON.” </w:t>
      </w:r>
      <w:r>
        <w:rPr>
          <w:rFonts w:ascii="Palatino Linotype" w:hAnsi="Palatino Linotype"/>
          <w:sz w:val="22"/>
          <w:szCs w:val="22"/>
        </w:rPr>
        <w:t>(Sic)</w:t>
      </w:r>
    </w:p>
    <w:p w:rsidR="00EE77ED" w:rsidRDefault="00EE77ED">
      <w:pPr>
        <w:spacing w:before="120" w:after="120"/>
        <w:ind w:right="709"/>
        <w:jc w:val="both"/>
        <w:rPr>
          <w:rFonts w:ascii="Palatino Linotype" w:hAnsi="Palatino Linotype"/>
        </w:rPr>
      </w:pPr>
    </w:p>
    <w:p w:rsidR="00EE77ED" w:rsidRDefault="004E48D1">
      <w:pPr>
        <w:spacing w:before="120" w:after="120"/>
        <w:ind w:right="709"/>
        <w:jc w:val="both"/>
        <w:rPr>
          <w:rFonts w:ascii="Palatino Linotype" w:hAnsi="Palatino Linotype"/>
          <w:sz w:val="22"/>
          <w:szCs w:val="22"/>
        </w:rPr>
      </w:pPr>
      <w:r>
        <w:rPr>
          <w:rFonts w:ascii="Palatino Linotype" w:hAnsi="Palatino Linotype"/>
          <w:b/>
          <w:sz w:val="22"/>
          <w:szCs w:val="22"/>
        </w:rPr>
        <w:t>MODALIDAD DE ENTREGA:</w:t>
      </w:r>
      <w:r>
        <w:rPr>
          <w:rFonts w:ascii="Palatino Linotype" w:hAnsi="Palatino Linotype"/>
          <w:sz w:val="22"/>
          <w:szCs w:val="22"/>
        </w:rPr>
        <w:t xml:space="preserve"> Vía </w:t>
      </w:r>
      <w:r>
        <w:rPr>
          <w:rFonts w:ascii="Palatino Linotype" w:hAnsi="Palatino Linotype"/>
          <w:b/>
          <w:sz w:val="22"/>
          <w:szCs w:val="22"/>
        </w:rPr>
        <w:t>SAIMEX</w:t>
      </w:r>
      <w:r>
        <w:rPr>
          <w:rFonts w:ascii="Palatino Linotype" w:hAnsi="Palatino Linotype"/>
          <w:sz w:val="22"/>
          <w:szCs w:val="22"/>
        </w:rPr>
        <w:t>.</w:t>
      </w:r>
    </w:p>
    <w:p w:rsidR="00EE77ED" w:rsidRDefault="004E48D1">
      <w:pPr>
        <w:pStyle w:val="Prrafodelista"/>
        <w:widowControl w:val="0"/>
        <w:numPr>
          <w:ilvl w:val="0"/>
          <w:numId w:val="2"/>
        </w:numPr>
        <w:tabs>
          <w:tab w:val="left" w:pos="360"/>
        </w:tabs>
        <w:spacing w:before="360" w:after="200" w:line="360" w:lineRule="auto"/>
        <w:ind w:left="0" w:firstLine="0"/>
        <w:jc w:val="both"/>
        <w:rPr>
          <w:rFonts w:ascii="Palatino Linotype" w:hAnsi="Palatino Linotype" w:cs="Arial"/>
        </w:rPr>
      </w:pPr>
      <w:r>
        <w:rPr>
          <w:rFonts w:ascii="Palatino Linotype" w:hAnsi="Palatino Linotype" w:cs="Arial"/>
        </w:rPr>
        <w:t xml:space="preserve">Con base en el detalle de seguimiento del </w:t>
      </w:r>
      <w:r>
        <w:rPr>
          <w:rFonts w:ascii="Palatino Linotype" w:hAnsi="Palatino Linotype" w:cs="Arial"/>
          <w:b/>
        </w:rPr>
        <w:t>SAIMEX</w:t>
      </w:r>
      <w:r>
        <w:rPr>
          <w:rFonts w:ascii="Palatino Linotype" w:hAnsi="Palatino Linotype" w:cs="Arial"/>
        </w:rPr>
        <w:t xml:space="preserve">, se advierte que en fechas quince y veinte de enero de dos mil veinte, la Unidad de Transparencia del </w:t>
      </w:r>
      <w:r>
        <w:rPr>
          <w:rFonts w:ascii="Palatino Linotype" w:hAnsi="Palatino Linotype" w:cs="Arial"/>
          <w:b/>
        </w:rPr>
        <w:t>SUJETO OBLIGADO</w:t>
      </w:r>
      <w:r>
        <w:rPr>
          <w:rFonts w:ascii="Palatino Linotype" w:hAnsi="Palatino Linotype" w:cs="Arial"/>
        </w:rPr>
        <w:t xml:space="preserve"> turnó mediante requerimiento, el contenido de la solicitud de </w:t>
      </w:r>
      <w:r>
        <w:rPr>
          <w:rFonts w:ascii="Palatino Linotype" w:hAnsi="Palatino Linotype" w:cs="Arial"/>
        </w:rPr>
        <w:lastRenderedPageBreak/>
        <w:t xml:space="preserve">información a los Servidores Públicos Habilitados Competentes, mismos que respondieron en fecha veintiocho y treinta y uno de enero de dos mil veinte, remitiendo los archivos electrónicos denominados </w:t>
      </w:r>
      <w:r>
        <w:rPr>
          <w:rFonts w:ascii="Palatino Linotype" w:hAnsi="Palatino Linotype" w:cs="Arial"/>
          <w:i/>
        </w:rPr>
        <w:t>DIR. ADMINISTRACIÓN 10.pdf</w:t>
      </w:r>
      <w:r>
        <w:rPr>
          <w:rFonts w:ascii="Palatino Linotype" w:hAnsi="Palatino Linotype" w:cs="Arial"/>
        </w:rPr>
        <w:t xml:space="preserve">, </w:t>
      </w:r>
      <w:r>
        <w:rPr>
          <w:rFonts w:ascii="Palatino Linotype" w:hAnsi="Palatino Linotype" w:cs="Arial"/>
          <w:i/>
        </w:rPr>
        <w:t>RESPUESTA DE TESORERIA 10.pdf</w:t>
      </w:r>
      <w:r>
        <w:rPr>
          <w:rFonts w:ascii="Palatino Linotype" w:hAnsi="Palatino Linotype" w:cs="Arial"/>
        </w:rPr>
        <w:t xml:space="preserve"> y </w:t>
      </w:r>
      <w:r>
        <w:rPr>
          <w:rFonts w:ascii="Palatino Linotype" w:hAnsi="Palatino Linotype" w:cs="Arial"/>
          <w:i/>
        </w:rPr>
        <w:t>DESARROLLO HUMANO Y BIENESTAR.pdf</w:t>
      </w:r>
      <w:r>
        <w:rPr>
          <w:rFonts w:ascii="Palatino Linotype" w:hAnsi="Palatino Linotype" w:cs="Arial"/>
        </w:rPr>
        <w:t xml:space="preserve">, tal y como se aprecia de las siguientes imágenes: </w:t>
      </w:r>
    </w:p>
    <w:p w:rsidR="00EE77ED" w:rsidRDefault="004E48D1">
      <w:pPr>
        <w:pStyle w:val="Prrafodelista"/>
        <w:widowControl w:val="0"/>
        <w:tabs>
          <w:tab w:val="left" w:pos="0"/>
        </w:tabs>
        <w:spacing w:before="360" w:after="200" w:line="360" w:lineRule="auto"/>
        <w:ind w:left="0"/>
        <w:jc w:val="both"/>
        <w:rPr>
          <w:rFonts w:ascii="Palatino Linotype" w:hAnsi="Palatino Linotype" w:cs="Arial"/>
        </w:rPr>
      </w:pPr>
      <w:r>
        <w:rPr>
          <w:noProof/>
          <w:lang w:eastAsia="es-MX"/>
        </w:rPr>
        <w:drawing>
          <wp:inline distT="0" distB="0" distL="0" distR="0">
            <wp:extent cx="5767705" cy="12192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a:srcRect b="2290"/>
                    <a:stretch>
                      <a:fillRect/>
                    </a:stretch>
                  </pic:blipFill>
                  <pic:spPr bwMode="auto">
                    <a:xfrm>
                      <a:off x="0" y="0"/>
                      <a:ext cx="5767705" cy="1219200"/>
                    </a:xfrm>
                    <a:prstGeom prst="rect">
                      <a:avLst/>
                    </a:prstGeom>
                  </pic:spPr>
                </pic:pic>
              </a:graphicData>
            </a:graphic>
          </wp:inline>
        </w:drawing>
      </w:r>
    </w:p>
    <w:p w:rsidR="00EE77ED" w:rsidRDefault="004E48D1">
      <w:pPr>
        <w:pStyle w:val="Prrafodelista"/>
        <w:widowControl w:val="0"/>
        <w:tabs>
          <w:tab w:val="left" w:pos="709"/>
        </w:tabs>
        <w:spacing w:before="360" w:after="200" w:line="360" w:lineRule="auto"/>
        <w:ind w:left="0"/>
        <w:jc w:val="both"/>
        <w:rPr>
          <w:rFonts w:ascii="Palatino Linotype" w:hAnsi="Palatino Linotype" w:cs="Arial"/>
        </w:rPr>
      </w:pPr>
      <w:r>
        <w:rPr>
          <w:rFonts w:ascii="Palatino Linotype" w:hAnsi="Palatino Linotype" w:cs="Arial"/>
        </w:rPr>
        <w:t xml:space="preserve">Al respecto, se omite en este apartado el contenido de los archivos electrónicos denominados </w:t>
      </w:r>
      <w:r>
        <w:rPr>
          <w:rFonts w:ascii="Palatino Linotype" w:hAnsi="Palatino Linotype" w:cs="Arial"/>
          <w:b/>
          <w:i/>
        </w:rPr>
        <w:t xml:space="preserve">DIR. ADMINISTRACIÓN 10.pdf, RESPUESTA DE TESORERIA 10.pdf </w:t>
      </w:r>
      <w:r>
        <w:rPr>
          <w:rFonts w:ascii="Palatino Linotype" w:hAnsi="Palatino Linotype" w:cs="Arial"/>
          <w:i/>
        </w:rPr>
        <w:t>y</w:t>
      </w:r>
      <w:r>
        <w:rPr>
          <w:rFonts w:ascii="Palatino Linotype" w:hAnsi="Palatino Linotype" w:cs="Arial"/>
          <w:b/>
          <w:i/>
        </w:rPr>
        <w:t xml:space="preserve"> DESARROLLO HUMANO Y BIENESTAR.pdf</w:t>
      </w:r>
      <w:r>
        <w:rPr>
          <w:rFonts w:ascii="Palatino Linotype" w:hAnsi="Palatino Linotype" w:cs="Arial"/>
        </w:rPr>
        <w:t xml:space="preserve">, por ser del conocimiento del </w:t>
      </w:r>
      <w:r>
        <w:rPr>
          <w:rFonts w:ascii="Palatino Linotype" w:hAnsi="Palatino Linotype" w:cs="Arial"/>
          <w:b/>
        </w:rPr>
        <w:t>RECURRENTE</w:t>
      </w:r>
      <w:r>
        <w:rPr>
          <w:rFonts w:ascii="Palatino Linotype" w:hAnsi="Palatino Linotype" w:cs="Arial"/>
        </w:rPr>
        <w:t xml:space="preserve">, al ser adjuntado en la respuesta a la solicitud de mérito, aunado que será objeto de estudio en la presente resolución. </w:t>
      </w:r>
    </w:p>
    <w:p w:rsidR="00EE77ED" w:rsidRDefault="004E48D1">
      <w:pPr>
        <w:pStyle w:val="Prrafodelista"/>
        <w:widowControl w:val="0"/>
        <w:numPr>
          <w:ilvl w:val="0"/>
          <w:numId w:val="2"/>
        </w:numPr>
        <w:tabs>
          <w:tab w:val="left" w:pos="709"/>
        </w:tabs>
        <w:spacing w:before="360" w:after="200"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advierte que en fecha treinta y uno de enero de dos mil veinte, el Responsable de la Unidad de Transparencia del </w:t>
      </w:r>
      <w:r>
        <w:rPr>
          <w:rFonts w:ascii="Palatino Linotype" w:hAnsi="Palatino Linotype" w:cs="Arial"/>
          <w:b/>
        </w:rPr>
        <w:t>SUJETO OBLIGADO</w:t>
      </w:r>
      <w:r>
        <w:rPr>
          <w:rFonts w:ascii="Palatino Linotype" w:hAnsi="Palatino Linotype" w:cs="Arial"/>
        </w:rPr>
        <w:t xml:space="preserve"> dio respuesta a la solicitud de mérito, en los siguientes términos: </w:t>
      </w:r>
    </w:p>
    <w:p w:rsidR="00EE77ED" w:rsidRDefault="004E48D1">
      <w:pPr>
        <w:pStyle w:val="Prrafodelista"/>
        <w:widowControl w:val="0"/>
        <w:spacing w:beforeAutospacing="1" w:afterAutospacing="1"/>
        <w:ind w:left="851" w:right="902"/>
        <w:jc w:val="both"/>
        <w:rPr>
          <w:rFonts w:ascii="Palatino Linotype" w:hAnsi="Palatino Linotype" w:cs="Arial"/>
          <w:i/>
        </w:rPr>
      </w:pPr>
      <w:r>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E77ED" w:rsidRDefault="004E48D1">
      <w:pPr>
        <w:pStyle w:val="Prrafodelista"/>
        <w:widowControl w:val="0"/>
        <w:spacing w:beforeAutospacing="1" w:afterAutospacing="1"/>
        <w:ind w:left="851" w:right="902"/>
        <w:jc w:val="both"/>
        <w:rPr>
          <w:rFonts w:ascii="Palatino Linotype" w:hAnsi="Palatino Linotype" w:cs="Arial"/>
          <w:i/>
        </w:rPr>
      </w:pPr>
      <w:r>
        <w:rPr>
          <w:rFonts w:ascii="Palatino Linotype" w:hAnsi="Palatino Linotype" w:cs="Arial"/>
          <w:i/>
        </w:rPr>
        <w:lastRenderedPageBreak/>
        <w:t xml:space="preserve">Se anexa en formatos </w:t>
      </w:r>
      <w:proofErr w:type="spellStart"/>
      <w:r>
        <w:rPr>
          <w:rFonts w:ascii="Palatino Linotype" w:hAnsi="Palatino Linotype" w:cs="Arial"/>
          <w:i/>
        </w:rPr>
        <w:t>pdf</w:t>
      </w:r>
      <w:proofErr w:type="spellEnd"/>
      <w:r>
        <w:rPr>
          <w:rFonts w:ascii="Palatino Linotype" w:hAnsi="Palatino Linotype" w:cs="Arial"/>
          <w:i/>
        </w:rPr>
        <w:t>, la respuesta a su solicitud de información registrada bajo el folio 00010/TEMOAYA/IP/2020”</w:t>
      </w:r>
    </w:p>
    <w:p w:rsidR="00EE77ED" w:rsidRDefault="004E48D1">
      <w:pPr>
        <w:pStyle w:val="Prrafodelista"/>
        <w:widowControl w:val="0"/>
        <w:tabs>
          <w:tab w:val="left" w:pos="709"/>
        </w:tabs>
        <w:spacing w:before="360" w:after="200" w:line="360" w:lineRule="auto"/>
        <w:ind w:left="0"/>
        <w:jc w:val="both"/>
        <w:rPr>
          <w:rFonts w:ascii="Palatino Linotype" w:hAnsi="Palatino Linotype" w:cs="Arial"/>
        </w:rPr>
      </w:pPr>
      <w:r>
        <w:rPr>
          <w:rFonts w:ascii="Palatino Linotype" w:hAnsi="Palatino Linotype" w:cs="Arial"/>
        </w:rPr>
        <w:t xml:space="preserve">Advirtiendo de dicha respuesta, que </w:t>
      </w:r>
      <w:r>
        <w:rPr>
          <w:rFonts w:ascii="Palatino Linotype" w:hAnsi="Palatino Linotype" w:cs="Arial"/>
          <w:b/>
        </w:rPr>
        <w:t>EL SUJETO OBLIGADO</w:t>
      </w:r>
      <w:r>
        <w:rPr>
          <w:rFonts w:ascii="Palatino Linotype" w:hAnsi="Palatino Linotype" w:cs="Arial"/>
        </w:rPr>
        <w:t xml:space="preserve"> acompañó el archivo electrónico denominado </w:t>
      </w:r>
      <w:r>
        <w:rPr>
          <w:rFonts w:ascii="Palatino Linotype" w:hAnsi="Palatino Linotype" w:cs="Arial"/>
          <w:b/>
          <w:i/>
        </w:rPr>
        <w:t>RESPUESTA DE LA U.T. 00010.pdf</w:t>
      </w:r>
      <w:r>
        <w:rPr>
          <w:rFonts w:ascii="Palatino Linotype" w:hAnsi="Palatino Linotype" w:cs="Arial"/>
        </w:rPr>
        <w:t xml:space="preserve">, el cual contiene el documento elaborado por el Titular de la Unidad de Transparencia de fecha veintiocho de enero de dos mil veinte, en el que refirió que anexaba la respuesta emitida por la Dirección de Administración y Desarrollo de Personal así como la de la Tesorería Municipal del Ayuntamiento de </w:t>
      </w:r>
      <w:proofErr w:type="spellStart"/>
      <w:r>
        <w:rPr>
          <w:rFonts w:ascii="Palatino Linotype" w:hAnsi="Palatino Linotype" w:cs="Arial"/>
        </w:rPr>
        <w:t>Temoaya</w:t>
      </w:r>
      <w:proofErr w:type="spellEnd"/>
      <w:r>
        <w:rPr>
          <w:rFonts w:ascii="Palatino Linotype" w:hAnsi="Palatino Linotype" w:cs="Arial"/>
        </w:rPr>
        <w:t xml:space="preserve">; sin embargo, es de advertirse que dichos documentos no fueron adjuntados a su respuesta. </w:t>
      </w:r>
    </w:p>
    <w:p w:rsidR="00EE77ED" w:rsidRDefault="004E48D1">
      <w:pPr>
        <w:pStyle w:val="Prrafodelista"/>
        <w:widowControl w:val="0"/>
        <w:numPr>
          <w:ilvl w:val="0"/>
          <w:numId w:val="2"/>
        </w:numPr>
        <w:tabs>
          <w:tab w:val="left" w:pos="709"/>
        </w:tabs>
        <w:spacing w:before="360" w:after="200" w:line="360" w:lineRule="auto"/>
        <w:ind w:left="0" w:firstLine="0"/>
        <w:jc w:val="both"/>
        <w:rPr>
          <w:rFonts w:ascii="Palatino Linotype" w:hAnsi="Palatino Linotype" w:cs="Arial"/>
        </w:rPr>
      </w:pPr>
      <w:bookmarkStart w:id="1" w:name="_Ref22152080"/>
      <w:bookmarkStart w:id="2" w:name="_Ref18583498"/>
      <w:bookmarkEnd w:id="1"/>
      <w:bookmarkEnd w:id="2"/>
      <w:r>
        <w:rPr>
          <w:rFonts w:ascii="Palatino Linotype" w:hAnsi="Palatino Linotype" w:cs="Arial"/>
        </w:rPr>
        <w:t>Inconforme</w:t>
      </w:r>
      <w:r>
        <w:rPr>
          <w:rFonts w:ascii="Palatino Linotype" w:hAnsi="Palatino Linotype"/>
        </w:rPr>
        <w:t xml:space="preserve"> con la respuesta, el cuatro de febrero de dos mil veinte, </w:t>
      </w:r>
      <w:r>
        <w:rPr>
          <w:rFonts w:ascii="Palatino Linotype" w:hAnsi="Palatino Linotype"/>
          <w:b/>
        </w:rPr>
        <w:t>EL RECURRENTE</w:t>
      </w:r>
      <w:r>
        <w:rPr>
          <w:rFonts w:ascii="Palatino Linotype" w:hAnsi="Palatino Linotype"/>
        </w:rPr>
        <w:t xml:space="preserve"> interpuso el recurso de revisión objeto del </w:t>
      </w:r>
      <w:r>
        <w:rPr>
          <w:rFonts w:ascii="Palatino Linotype" w:hAnsi="Palatino Linotype" w:cs="Arial"/>
        </w:rPr>
        <w:t>presente</w:t>
      </w:r>
      <w:r>
        <w:rPr>
          <w:rFonts w:ascii="Palatino Linotype" w:hAnsi="Palatino Linotype"/>
        </w:rPr>
        <w:t xml:space="preserv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rPr>
        <w:t>00862/INFOEM/IP/RR/2020</w:t>
      </w:r>
      <w:r>
        <w:rPr>
          <w:rFonts w:ascii="Palatino Linotype" w:hAnsi="Palatino Linotype" w:cs="Arial"/>
        </w:rPr>
        <w:t xml:space="preserve">, en el que señalo como acto impugnado: </w:t>
      </w:r>
    </w:p>
    <w:p w:rsidR="00EE77ED" w:rsidRDefault="004E48D1">
      <w:pPr>
        <w:spacing w:before="240" w:after="240"/>
        <w:ind w:left="851" w:right="899"/>
        <w:jc w:val="both"/>
        <w:rPr>
          <w:rFonts w:ascii="Palatino Linotype" w:hAnsi="Palatino Linotype" w:cs="Arial"/>
          <w:sz w:val="22"/>
          <w:szCs w:val="22"/>
          <w:lang w:eastAsia="es-MX"/>
        </w:rPr>
      </w:pPr>
      <w:r>
        <w:rPr>
          <w:rFonts w:ascii="Palatino Linotype" w:hAnsi="Palatino Linotype" w:cs="Arial"/>
          <w:i/>
          <w:sz w:val="22"/>
          <w:szCs w:val="22"/>
          <w:lang w:eastAsia="es-MX"/>
        </w:rPr>
        <w:t>“L</w:t>
      </w:r>
      <w:r>
        <w:rPr>
          <w:rFonts w:ascii="Palatino Linotype" w:hAnsi="Palatino Linotype" w:cs="Arial"/>
          <w:i/>
          <w:sz w:val="22"/>
          <w:szCs w:val="22"/>
        </w:rPr>
        <w:t>A SOLICITUD DE INFORMACION MARCADA CON EL NUMERO DE FOLIO 00010/TEMOAYA/IP/2020.</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EE77ED" w:rsidRDefault="004E48D1">
      <w:pPr>
        <w:pStyle w:val="Prrafodelista"/>
        <w:spacing w:before="300" w:after="240"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 xml:space="preserve">indicó como razones o motivos de inconformidad: </w:t>
      </w:r>
    </w:p>
    <w:p w:rsidR="00EE77ED" w:rsidRDefault="004E48D1">
      <w:pPr>
        <w:spacing w:before="240" w:after="240"/>
        <w:ind w:left="851" w:right="899"/>
        <w:jc w:val="both"/>
        <w:rPr>
          <w:rFonts w:ascii="Palatino Linotype" w:hAnsi="Palatino Linotype" w:cs="Arial"/>
          <w:sz w:val="22"/>
          <w:szCs w:val="22"/>
          <w:lang w:eastAsia="es-MX"/>
        </w:rPr>
      </w:pPr>
      <w:r>
        <w:rPr>
          <w:rFonts w:ascii="Palatino Linotype" w:hAnsi="Palatino Linotype" w:cs="Arial"/>
          <w:i/>
          <w:sz w:val="22"/>
          <w:szCs w:val="22"/>
        </w:rPr>
        <w:t>“NO ANEXAN LA INFORMACION (EL OFICIO) DE TESORERIA.”</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bookmarkStart w:id="3" w:name="_Ref507070922"/>
      <w:bookmarkEnd w:id="3"/>
    </w:p>
    <w:p w:rsidR="00EE77ED" w:rsidRDefault="004E48D1">
      <w:pPr>
        <w:pStyle w:val="Prrafodelista"/>
        <w:widowControl w:val="0"/>
        <w:numPr>
          <w:ilvl w:val="0"/>
          <w:numId w:val="2"/>
        </w:numPr>
        <w:tabs>
          <w:tab w:val="left" w:pos="0"/>
        </w:tabs>
        <w:spacing w:before="360" w:after="240" w:line="360" w:lineRule="auto"/>
        <w:ind w:left="0" w:firstLine="0"/>
        <w:jc w:val="both"/>
        <w:rPr>
          <w:rFonts w:ascii="Palatino Linotype" w:hAnsi="Palatino Linotype" w:cs="Arial"/>
          <w:lang w:val="es-ES_tradnl"/>
        </w:rPr>
      </w:pPr>
      <w:r>
        <w:rPr>
          <w:rFonts w:ascii="Palatino Linotype" w:hAnsi="Palatino Linotype" w:cs="Arial"/>
          <w:lang w:val="es-ES_tradnl"/>
        </w:rPr>
        <w:t xml:space="preserve">El cuatro de febrero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hAnsi="Palatino Linotype" w:cs="Arial"/>
          <w:b/>
          <w:lang w:val="es-ES_tradnl"/>
        </w:rPr>
        <w:t>SAIMEX</w:t>
      </w:r>
      <w:r>
        <w:rPr>
          <w:rFonts w:ascii="Palatino Linotype" w:hAnsi="Palatino Linotype" w:cs="Arial"/>
          <w:lang w:val="es-ES_tradnl"/>
        </w:rPr>
        <w:t xml:space="preserve">, a la </w:t>
      </w:r>
      <w:r>
        <w:rPr>
          <w:rFonts w:ascii="Palatino Linotype" w:hAnsi="Palatino Linotype" w:cs="Arial"/>
          <w:lang w:val="es-ES_tradnl"/>
        </w:rPr>
        <w:lastRenderedPageBreak/>
        <w:t xml:space="preserve">Comisionada </w:t>
      </w:r>
      <w:r>
        <w:rPr>
          <w:rFonts w:ascii="Palatino Linotype" w:hAnsi="Palatino Linotype" w:cs="Arial"/>
          <w:b/>
          <w:lang w:val="es-ES_tradnl"/>
        </w:rPr>
        <w:t>EVA ABAID YAPUR</w:t>
      </w:r>
      <w:r>
        <w:rPr>
          <w:rFonts w:ascii="Palatino Linotype" w:hAnsi="Palatino Linotype" w:cs="Arial"/>
          <w:lang w:val="es-ES_tradnl"/>
        </w:rPr>
        <w:t xml:space="preserve">, a efecto de decretar su admisión o desechamiento. </w:t>
      </w:r>
    </w:p>
    <w:p w:rsidR="00EE77ED" w:rsidRDefault="004E48D1">
      <w:pPr>
        <w:pStyle w:val="Prrafodelista"/>
        <w:widowControl w:val="0"/>
        <w:numPr>
          <w:ilvl w:val="0"/>
          <w:numId w:val="2"/>
        </w:numPr>
        <w:tabs>
          <w:tab w:val="left" w:pos="0"/>
        </w:tabs>
        <w:spacing w:before="360" w:after="240" w:line="360" w:lineRule="auto"/>
        <w:ind w:left="0" w:firstLine="0"/>
        <w:jc w:val="both"/>
        <w:rPr>
          <w:rFonts w:ascii="Palatino Linotype" w:hAnsi="Palatino Linotype" w:cs="Arial"/>
          <w:lang w:val="es-ES_tradnl"/>
        </w:rPr>
      </w:pPr>
      <w:r>
        <w:rPr>
          <w:rFonts w:ascii="Palatino Linotype" w:hAnsi="Palatino Linotype" w:cs="Arial"/>
          <w:lang w:val="es-ES_tradnl"/>
        </w:rPr>
        <w:t xml:space="preserve">De las constancias del expediente electrónico del </w:t>
      </w:r>
      <w:r>
        <w:rPr>
          <w:rFonts w:ascii="Palatino Linotype" w:hAnsi="Palatino Linotype" w:cs="Arial"/>
          <w:b/>
          <w:lang w:val="es-ES_tradnl"/>
        </w:rPr>
        <w:t>SAIMEX</w:t>
      </w:r>
      <w:r>
        <w:rPr>
          <w:rFonts w:ascii="Palatino Linotype" w:hAnsi="Palatino Linotype" w:cs="Arial"/>
          <w:lang w:val="es-ES_tradnl"/>
        </w:rPr>
        <w:t xml:space="preserve">, se advierte que en fecha diez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hAnsi="Palatino Linotype" w:cs="Arial"/>
          <w:b/>
          <w:lang w:val="es-ES_tradnl"/>
        </w:rPr>
        <w:t>EL SUJETO OBLIGADO</w:t>
      </w:r>
      <w:r>
        <w:rPr>
          <w:rFonts w:ascii="Palatino Linotype" w:hAnsi="Palatino Linotype" w:cs="Arial"/>
          <w:lang w:val="es-ES_tradnl"/>
        </w:rPr>
        <w:t xml:space="preserve"> rindiera su Informe Justificado. </w:t>
      </w:r>
    </w:p>
    <w:p w:rsidR="00EE77ED" w:rsidRDefault="003C5818">
      <w:pPr>
        <w:pStyle w:val="Prrafodelista"/>
        <w:widowControl w:val="0"/>
        <w:numPr>
          <w:ilvl w:val="0"/>
          <w:numId w:val="2"/>
        </w:numPr>
        <w:tabs>
          <w:tab w:val="left" w:pos="0"/>
        </w:tabs>
        <w:spacing w:before="360" w:after="240" w:line="360" w:lineRule="auto"/>
        <w:ind w:left="0" w:firstLine="0"/>
        <w:jc w:val="both"/>
        <w:rPr>
          <w:rFonts w:ascii="Palatino Linotype" w:eastAsia="MS Mincho" w:hAnsi="Palatino Linotype" w:cs="Arial"/>
          <w:lang w:val="es-ES_tradnl"/>
        </w:rPr>
      </w:pPr>
      <w:r>
        <w:rPr>
          <w:rFonts w:ascii="Palatino Linotype" w:eastAsia="MS Mincho" w:hAnsi="Palatino Linotype" w:cs="Arial"/>
          <w:noProof/>
          <w:lang w:eastAsia="es-MX"/>
        </w:rPr>
        <mc:AlternateContent>
          <mc:Choice Requires="wps">
            <w:drawing>
              <wp:anchor distT="0" distB="0" distL="0" distR="0" simplePos="0" relativeHeight="28" behindDoc="0" locked="0" layoutInCell="1" allowOverlap="1" wp14:anchorId="44C27857">
                <wp:simplePos x="0" y="0"/>
                <wp:positionH relativeFrom="margin">
                  <wp:posOffset>152400</wp:posOffset>
                </wp:positionH>
                <wp:positionV relativeFrom="paragraph">
                  <wp:posOffset>2649220</wp:posOffset>
                </wp:positionV>
                <wp:extent cx="5734685" cy="1429385"/>
                <wp:effectExtent l="38100" t="38100" r="57150" b="95250"/>
                <wp:wrapNone/>
                <wp:docPr id="2" name="Conector recto 7"/>
                <wp:cNvGraphicFramePr/>
                <a:graphic xmlns:a="http://schemas.openxmlformats.org/drawingml/2006/main">
                  <a:graphicData uri="http://schemas.microsoft.com/office/word/2010/wordprocessingShape">
                    <wps:wsp>
                      <wps:cNvCnPr/>
                      <wps:spPr>
                        <a:xfrm>
                          <a:off x="0" y="0"/>
                          <a:ext cx="5734685" cy="1429385"/>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38F0BAD2" id="Conector recto 7" o:spid="_x0000_s1026" style="position:absolute;z-index:28;visibility:visible;mso-wrap-style:square;mso-wrap-distance-left:0;mso-wrap-distance-top:0;mso-wrap-distance-right:0;mso-wrap-distance-bottom:0;mso-position-horizontal:absolute;mso-position-horizontal-relative:margin;mso-position-vertical:absolute;mso-position-vertical-relative:text" from="12pt,208.6pt" to="463.5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" strokecolor="#4f81bd [3204]" strokeweight="2pt">
                <v:shadow on="t" color="black" opacity="24903f" origin=",.5" offset="0,.55556mm"/>
                <w10:wrap anchorx="margin"/>
              </v:line>
            </w:pict>
          </mc:Fallback>
        </mc:AlternateContent>
      </w:r>
      <w:r w:rsidR="004E48D1">
        <w:rPr>
          <w:rFonts w:ascii="Palatino Linotype" w:hAnsi="Palatino Linotype" w:cs="Arial"/>
        </w:rPr>
        <w:t xml:space="preserve">De las constancias que obran en el </w:t>
      </w:r>
      <w:r w:rsidR="004E48D1">
        <w:rPr>
          <w:rFonts w:ascii="Palatino Linotype" w:hAnsi="Palatino Linotype" w:cs="Arial"/>
          <w:b/>
          <w:lang w:val="es-ES_tradnl"/>
        </w:rPr>
        <w:t>SAIMEX</w:t>
      </w:r>
      <w:r w:rsidR="004E48D1">
        <w:rPr>
          <w:rFonts w:ascii="Palatino Linotype" w:hAnsi="Palatino Linotype" w:cs="Arial"/>
          <w:lang w:val="es-ES_tradnl"/>
        </w:rPr>
        <w:t xml:space="preserve">, se advierte que </w:t>
      </w:r>
      <w:r w:rsidR="004E48D1">
        <w:rPr>
          <w:rFonts w:ascii="Palatino Linotype" w:hAnsi="Palatino Linotype" w:cs="Arial"/>
          <w:b/>
        </w:rPr>
        <w:t xml:space="preserve">EL RECURRENTE </w:t>
      </w:r>
      <w:r w:rsidR="004E48D1">
        <w:rPr>
          <w:rFonts w:ascii="Palatino Linotype" w:hAnsi="Palatino Linotype" w:cs="Arial"/>
        </w:rPr>
        <w:t xml:space="preserve">omitió presentar manifestaciones y alegatos, así como ofrecer los medios de prueba que a su derecho </w:t>
      </w:r>
      <w:r w:rsidR="004E48D1">
        <w:rPr>
          <w:rFonts w:ascii="Palatino Linotype" w:hAnsi="Palatino Linotype" w:cs="Arial"/>
          <w:lang w:val="es-ES_tradnl"/>
        </w:rPr>
        <w:t xml:space="preserve">conviniera. Por su parte, en fecha diez de febrero de dos mil veinte, </w:t>
      </w:r>
      <w:r w:rsidR="004E48D1">
        <w:rPr>
          <w:rFonts w:ascii="Palatino Linotype" w:hAnsi="Palatino Linotype" w:cs="Arial"/>
          <w:b/>
          <w:lang w:val="es-ES_tradnl"/>
        </w:rPr>
        <w:t xml:space="preserve">EL SUJETO OBLIGADO </w:t>
      </w:r>
      <w:r w:rsidR="004E48D1">
        <w:rPr>
          <w:rFonts w:ascii="Palatino Linotype" w:hAnsi="Palatino Linotype" w:cs="Arial"/>
          <w:lang w:val="es-ES_tradnl"/>
        </w:rPr>
        <w:t xml:space="preserve">exhibió su Informe Justificado, adjuntando los archivos electrónicos denominados </w:t>
      </w:r>
      <w:r w:rsidR="004E48D1">
        <w:rPr>
          <w:rFonts w:ascii="Palatino Linotype" w:eastAsia="MS Mincho" w:hAnsi="Palatino Linotype" w:cs="Arial"/>
          <w:b/>
          <w:i/>
          <w:lang w:val="es-ES_tradnl"/>
        </w:rPr>
        <w:t>RESPUESTA DE LA U.T. 00010.pdf, DIR. ADMINISTRACIÓN 10.pdf, RESPUESTA DE TESORERIA 10.pdf, INFORME DE JUSTIFICACIÓN 00862.pdf</w:t>
      </w:r>
      <w:r w:rsidR="004E48D1">
        <w:rPr>
          <w:rFonts w:ascii="Palatino Linotype" w:eastAsia="MS Mincho" w:hAnsi="Palatino Linotype" w:cs="Arial"/>
          <w:lang w:val="es-ES_tradnl"/>
        </w:rPr>
        <w:t xml:space="preserve"> y </w:t>
      </w:r>
      <w:r w:rsidR="004E48D1">
        <w:rPr>
          <w:rFonts w:ascii="Palatino Linotype" w:eastAsia="MS Mincho" w:hAnsi="Palatino Linotype" w:cs="Arial"/>
          <w:b/>
          <w:i/>
          <w:lang w:val="es-ES_tradnl"/>
        </w:rPr>
        <w:t xml:space="preserve">DESARROLLO HUMANO Y BIENESTAR.pdf, </w:t>
      </w:r>
      <w:r w:rsidR="004E48D1">
        <w:rPr>
          <w:rFonts w:ascii="Palatino Linotype" w:eastAsia="MS Mincho" w:hAnsi="Palatino Linotype" w:cs="Arial"/>
          <w:lang w:val="es-ES_tradnl"/>
        </w:rPr>
        <w:t xml:space="preserve">tal y como se aprecia a continuación: </w:t>
      </w:r>
    </w:p>
    <w:p w:rsidR="00EE77ED" w:rsidRDefault="00EE77ED">
      <w:pPr>
        <w:pStyle w:val="Prrafodelista"/>
        <w:widowControl w:val="0"/>
        <w:tabs>
          <w:tab w:val="left" w:pos="0"/>
        </w:tabs>
        <w:spacing w:before="360" w:after="240" w:line="360" w:lineRule="auto"/>
        <w:ind w:left="0"/>
        <w:jc w:val="both"/>
        <w:rPr>
          <w:rFonts w:ascii="Palatino Linotype" w:eastAsia="MS Mincho" w:hAnsi="Palatino Linotype" w:cs="Arial"/>
          <w:lang w:val="es-ES_tradnl"/>
        </w:rPr>
      </w:pPr>
    </w:p>
    <w:p w:rsidR="00EE77ED" w:rsidRDefault="004E48D1">
      <w:pPr>
        <w:pStyle w:val="Prrafodelista"/>
        <w:widowControl w:val="0"/>
        <w:tabs>
          <w:tab w:val="left" w:pos="0"/>
        </w:tabs>
        <w:spacing w:before="360" w:after="240" w:line="360" w:lineRule="auto"/>
        <w:ind w:left="0"/>
        <w:jc w:val="both"/>
        <w:rPr>
          <w:rFonts w:ascii="Palatino Linotype" w:eastAsia="MS Mincho" w:hAnsi="Palatino Linotype" w:cs="Arial"/>
          <w:lang w:val="es-ES_tradnl"/>
        </w:rPr>
      </w:pPr>
      <w:r>
        <w:rPr>
          <w:noProof/>
          <w:lang w:eastAsia="es-MX"/>
        </w:rPr>
        <w:lastRenderedPageBreak/>
        <w:drawing>
          <wp:inline distT="0" distB="0" distL="0" distR="0">
            <wp:extent cx="5791835" cy="21336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9"/>
                    <a:srcRect b="2185"/>
                    <a:stretch>
                      <a:fillRect/>
                    </a:stretch>
                  </pic:blipFill>
                  <pic:spPr bwMode="auto">
                    <a:xfrm>
                      <a:off x="0" y="0"/>
                      <a:ext cx="5791835" cy="2133600"/>
                    </a:xfrm>
                    <a:prstGeom prst="rect">
                      <a:avLst/>
                    </a:prstGeom>
                  </pic:spPr>
                </pic:pic>
              </a:graphicData>
            </a:graphic>
          </wp:inline>
        </w:drawing>
      </w:r>
    </w:p>
    <w:p w:rsidR="00EE77ED" w:rsidRDefault="004E48D1">
      <w:pPr>
        <w:pStyle w:val="Prrafodelista"/>
        <w:widowControl w:val="0"/>
        <w:tabs>
          <w:tab w:val="left" w:pos="0"/>
        </w:tabs>
        <w:spacing w:before="360" w:after="240" w:line="360" w:lineRule="auto"/>
        <w:ind w:left="0"/>
        <w:jc w:val="both"/>
        <w:rPr>
          <w:rFonts w:ascii="Palatino Linotype" w:eastAsia="MS Mincho" w:hAnsi="Palatino Linotype" w:cs="Arial"/>
          <w:lang w:val="es-ES_tradnl"/>
        </w:rPr>
      </w:pPr>
      <w:r>
        <w:rPr>
          <w:rFonts w:ascii="Palatino Linotype" w:eastAsia="MS Mincho" w:hAnsi="Palatino Linotype" w:cs="Arial"/>
          <w:lang w:val="es-ES_tradnl"/>
        </w:rPr>
        <w:t xml:space="preserve">En fecha diecinueve de marzo de dos mil veinte, la Comisionada Ponente acordó poner a la vista del </w:t>
      </w:r>
      <w:r>
        <w:rPr>
          <w:rFonts w:ascii="Palatino Linotype" w:eastAsia="MS Mincho" w:hAnsi="Palatino Linotype" w:cs="Arial"/>
          <w:b/>
          <w:lang w:val="es-ES_tradnl"/>
        </w:rPr>
        <w:t xml:space="preserve">RECURRENTE </w:t>
      </w:r>
      <w:r>
        <w:rPr>
          <w:rFonts w:ascii="Palatino Linotype" w:eastAsia="MS Mincho" w:hAnsi="Palatino Linotype" w:cs="Arial"/>
          <w:lang w:val="es-ES_tradnl"/>
        </w:rPr>
        <w:t xml:space="preserve">los archivos electrónicos que conforman el Informe Justificado para que, en un plazo de tres días hábiles, manifestara lo que a su derecho conviniera, apercibiéndolo que en caso de no realizar manifestación alguna, se tendría por precluido su derecho: </w:t>
      </w:r>
    </w:p>
    <w:p w:rsidR="00EE77ED" w:rsidRDefault="004E48D1">
      <w:pPr>
        <w:pStyle w:val="Prrafodelista"/>
        <w:widowControl w:val="0"/>
        <w:tabs>
          <w:tab w:val="left" w:pos="0"/>
        </w:tabs>
        <w:spacing w:before="360" w:after="240" w:line="360" w:lineRule="auto"/>
        <w:ind w:left="0"/>
        <w:jc w:val="both"/>
        <w:rPr>
          <w:rFonts w:ascii="Palatino Linotype" w:eastAsia="MS Mincho" w:hAnsi="Palatino Linotype" w:cs="Arial"/>
          <w:lang w:val="es-ES_tradnl"/>
        </w:rPr>
      </w:pPr>
      <w:r>
        <w:rPr>
          <w:noProof/>
          <w:lang w:eastAsia="es-MX"/>
        </w:rPr>
        <w:drawing>
          <wp:inline distT="0" distB="0" distL="0" distR="0">
            <wp:extent cx="5791835" cy="7429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0"/>
                    <a:stretch>
                      <a:fillRect/>
                    </a:stretch>
                  </pic:blipFill>
                  <pic:spPr bwMode="auto">
                    <a:xfrm>
                      <a:off x="0" y="0"/>
                      <a:ext cx="5791835" cy="742950"/>
                    </a:xfrm>
                    <a:prstGeom prst="rect">
                      <a:avLst/>
                    </a:prstGeom>
                  </pic:spPr>
                </pic:pic>
              </a:graphicData>
            </a:graphic>
          </wp:inline>
        </w:drawing>
      </w:r>
    </w:p>
    <w:p w:rsidR="00EE77ED" w:rsidRDefault="004E48D1">
      <w:pPr>
        <w:pStyle w:val="Prrafodelista"/>
        <w:widowControl w:val="0"/>
        <w:numPr>
          <w:ilvl w:val="0"/>
          <w:numId w:val="2"/>
        </w:numPr>
        <w:tabs>
          <w:tab w:val="left" w:pos="0"/>
        </w:tabs>
        <w:spacing w:before="36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 el expediente, en fecha cinco de agosto de </w:t>
      </w:r>
      <w:r>
        <w:rPr>
          <w:rFonts w:ascii="Palatino Linotype" w:hAnsi="Palatino Linotype"/>
        </w:rPr>
        <w:t>dos mil veinte</w:t>
      </w:r>
      <w:r>
        <w:rPr>
          <w:rFonts w:ascii="Palatino Linotype" w:hAnsi="Palatino Linotype" w:cs="Arial"/>
        </w:rPr>
        <w:t xml:space="preserv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w:t>
      </w:r>
      <w:r>
        <w:rPr>
          <w:rFonts w:ascii="Palatino Linotype" w:hAnsi="Palatino Linotype"/>
        </w:rPr>
        <w:t>remisión</w:t>
      </w:r>
      <w:r>
        <w:rPr>
          <w:rFonts w:ascii="Palatino Linotype" w:hAnsi="Palatino Linotype" w:cs="Arial"/>
        </w:rPr>
        <w:t xml:space="preserve">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E77ED" w:rsidRDefault="004E48D1">
      <w:pPr>
        <w:pStyle w:val="Prrafodelista"/>
        <w:widowControl w:val="0"/>
        <w:numPr>
          <w:ilvl w:val="0"/>
          <w:numId w:val="2"/>
        </w:numPr>
        <w:tabs>
          <w:tab w:val="left" w:pos="0"/>
        </w:tabs>
        <w:spacing w:before="360" w:after="240" w:line="360" w:lineRule="auto"/>
        <w:ind w:left="0" w:firstLine="0"/>
        <w:jc w:val="both"/>
        <w:rPr>
          <w:rFonts w:ascii="Palatino Linotype" w:hAnsi="Palatino Linotype"/>
        </w:rPr>
      </w:pPr>
      <w:r>
        <w:rPr>
          <w:rFonts w:ascii="Palatino Linotype" w:hAnsi="Palatino Linotype" w:cs="Arial"/>
        </w:rPr>
        <w:t xml:space="preserve">El cinco de agosto de dos mil veinte, se acordó ampliar el plazo para resolver el </w:t>
      </w:r>
      <w:r>
        <w:rPr>
          <w:rFonts w:ascii="Palatino Linotype" w:hAnsi="Palatino Linotype" w:cs="Arial"/>
        </w:rPr>
        <w:lastRenderedPageBreak/>
        <w:t>recurso de revisión de mérito, por un periodo de hasta quince días hábiles, de conformidad con el artículo 181, tercer párrafo de la Ley de Transparencia y Acceso a la Información Pública del Estado de México y Municipios; y</w:t>
      </w:r>
    </w:p>
    <w:p w:rsidR="00EE77ED" w:rsidRDefault="004E48D1">
      <w:pPr>
        <w:pStyle w:val="Prrafodelista"/>
        <w:tabs>
          <w:tab w:val="left" w:pos="709"/>
        </w:tabs>
        <w:spacing w:before="360" w:after="360"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EE77ED" w:rsidRDefault="004E48D1">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EE77ED" w:rsidRDefault="004E48D1">
      <w:pPr>
        <w:pStyle w:val="Prrafodelista"/>
        <w:widowControl w:val="0"/>
        <w:numPr>
          <w:ilvl w:val="0"/>
          <w:numId w:val="1"/>
        </w:numPr>
        <w:tabs>
          <w:tab w:val="left" w:pos="1701"/>
          <w:tab w:val="left" w:pos="1843"/>
        </w:tabs>
        <w:spacing w:before="360" w:after="240" w:line="360" w:lineRule="auto"/>
        <w:ind w:left="0" w:firstLine="0"/>
        <w:jc w:val="both"/>
        <w:rPr>
          <w:rFonts w:ascii="Palatino Linotype" w:hAnsi="Palatino Linotype" w:cs="Arial"/>
          <w:lang w:val="es-ES_tradnl"/>
        </w:rPr>
      </w:pPr>
      <w:r>
        <w:rPr>
          <w:rFonts w:ascii="Palatino Linotype" w:hAnsi="Palatino Linotype" w:cs="Arial"/>
          <w:b/>
        </w:rPr>
        <w:t>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w:t>
      </w:r>
      <w:r>
        <w:rPr>
          <w:rFonts w:ascii="Palatino Linotype" w:hAnsi="Palatino Linotype"/>
        </w:rPr>
        <w:t>por</w:t>
      </w:r>
      <w:r>
        <w:rPr>
          <w:rFonts w:ascii="Palatino Linotype" w:hAnsi="Palatino Linotype" w:cs="Arial"/>
        </w:rPr>
        <w:t xml:space="preserve"> parte legítima en atención a que fue presentado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Verdana" w:hAnsi="Verdana"/>
          <w:b/>
          <w:bCs/>
        </w:rPr>
        <w:t xml:space="preserve"> </w:t>
      </w:r>
      <w:r>
        <w:rPr>
          <w:rFonts w:ascii="Palatino Linotype" w:hAnsi="Palatino Linotype"/>
          <w:b/>
          <w:bCs/>
        </w:rPr>
        <w:t>00010/TEMOAYA/IP/2020</w:t>
      </w:r>
      <w:r>
        <w:rPr>
          <w:rFonts w:ascii="Palatino Linotype" w:hAnsi="Palatino Linotype" w:cs="Arial"/>
          <w:lang w:val="es-ES_tradnl"/>
        </w:rPr>
        <w:t>.</w:t>
      </w:r>
    </w:p>
    <w:p w:rsidR="00EE77ED" w:rsidRDefault="004E48D1">
      <w:pPr>
        <w:pStyle w:val="Prrafodelista"/>
        <w:widowControl w:val="0"/>
        <w:numPr>
          <w:ilvl w:val="0"/>
          <w:numId w:val="1"/>
        </w:numPr>
        <w:tabs>
          <w:tab w:val="left" w:pos="1701"/>
          <w:tab w:val="left" w:pos="1843"/>
        </w:tabs>
        <w:spacing w:before="360" w:after="240"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en que </w:t>
      </w:r>
      <w:r>
        <w:rPr>
          <w:rFonts w:ascii="Palatino Linotype" w:hAnsi="Palatino Linotype" w:cs="Arial"/>
          <w:b/>
        </w:rPr>
        <w:t>EL RECURRENTE</w:t>
      </w:r>
      <w:r>
        <w:rPr>
          <w:rFonts w:ascii="Palatino Linotype" w:hAnsi="Palatino Linotype" w:cs="Arial"/>
        </w:rPr>
        <w:t xml:space="preserve"> </w:t>
      </w:r>
      <w:r>
        <w:rPr>
          <w:rFonts w:ascii="Palatino Linotype" w:hAnsi="Palatino Linotype" w:cs="Arial"/>
        </w:rPr>
        <w:lastRenderedPageBreak/>
        <w:t xml:space="preserve">tuvo conocimiento de la respuesta impugnada; tal y como, lo prevé el artículo 178 de la Ley de Transparencia y Acceso a la Información Pública </w:t>
      </w:r>
      <w:r>
        <w:rPr>
          <w:rFonts w:ascii="Palatino Linotype" w:hAnsi="Palatino Linotype"/>
        </w:rPr>
        <w:t>del</w:t>
      </w:r>
      <w:r>
        <w:rPr>
          <w:rFonts w:ascii="Palatino Linotype" w:hAnsi="Palatino Linotype" w:cs="Arial"/>
        </w:rPr>
        <w:t xml:space="preserve"> Estado de </w:t>
      </w:r>
      <w:r>
        <w:rPr>
          <w:rFonts w:ascii="Palatino Linotype" w:hAnsi="Palatino Linotype"/>
        </w:rPr>
        <w:t>México</w:t>
      </w:r>
      <w:r>
        <w:rPr>
          <w:rFonts w:ascii="Palatino Linotype" w:hAnsi="Palatino Linotype" w:cs="Arial"/>
        </w:rPr>
        <w:t xml:space="preserve"> y </w:t>
      </w:r>
      <w:r>
        <w:rPr>
          <w:rFonts w:ascii="Palatino Linotype" w:hAnsi="Palatino Linotype" w:cs="Arial"/>
          <w:bCs/>
        </w:rPr>
        <w:t>Municipios</w:t>
      </w:r>
      <w:r>
        <w:rPr>
          <w:rFonts w:ascii="Palatino Linotype" w:hAnsi="Palatino Linotype" w:cs="Arial"/>
        </w:rPr>
        <w:t xml:space="preserve">, que establece: </w:t>
      </w:r>
    </w:p>
    <w:p w:rsidR="00EE77ED" w:rsidRDefault="004E48D1">
      <w:pPr>
        <w:spacing w:before="160" w:after="160"/>
        <w:ind w:left="709" w:right="709"/>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 xml:space="preserve">Artículo 178. </w:t>
      </w:r>
      <w:r>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E77ED" w:rsidRDefault="004E48D1">
      <w:pPr>
        <w:spacing w:before="160" w:after="160"/>
        <w:ind w:left="709" w:right="709"/>
        <w:jc w:val="both"/>
        <w:rPr>
          <w:rFonts w:ascii="Palatino Linotype" w:hAnsi="Palatino Linotype" w:cs="Arial"/>
          <w:i/>
          <w:sz w:val="22"/>
          <w:szCs w:val="22"/>
        </w:rPr>
      </w:pPr>
      <w:r>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E77ED" w:rsidRDefault="004E48D1">
      <w:pPr>
        <w:spacing w:before="160" w:after="160"/>
        <w:ind w:left="709" w:right="709"/>
        <w:jc w:val="both"/>
        <w:rPr>
          <w:rFonts w:ascii="Palatino Linotype" w:hAnsi="Palatino Linotype" w:cs="Arial"/>
          <w:i/>
          <w:sz w:val="22"/>
          <w:szCs w:val="22"/>
        </w:rPr>
      </w:pPr>
      <w:r>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EE77ED" w:rsidRDefault="004E48D1">
      <w:pPr>
        <w:spacing w:before="160" w:after="160"/>
        <w:ind w:left="709" w:right="709"/>
        <w:jc w:val="both"/>
        <w:rPr>
          <w:rFonts w:ascii="Palatino Linotype" w:hAnsi="Palatino Linotype" w:cs="Arial"/>
          <w:sz w:val="22"/>
          <w:szCs w:val="22"/>
        </w:rPr>
      </w:pPr>
      <w:r>
        <w:rPr>
          <w:rFonts w:ascii="Palatino Linotype" w:hAnsi="Palatino Linotype" w:cs="Arial"/>
          <w:sz w:val="22"/>
          <w:szCs w:val="22"/>
          <w:lang w:eastAsia="es-MX"/>
        </w:rPr>
        <w:t>(Énfasis añadido)</w:t>
      </w:r>
    </w:p>
    <w:p w:rsidR="00EE77ED" w:rsidRDefault="004E48D1">
      <w:pPr>
        <w:spacing w:before="240" w:afterAutospacing="1"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w:t>
      </w:r>
      <w:r>
        <w:rPr>
          <w:rFonts w:ascii="Palatino Linotype" w:hAnsi="Palatino Linotype" w:cs="Arial"/>
          <w:b/>
        </w:rPr>
        <w:t>treinta y uno de enero de dos mil veinte</w:t>
      </w:r>
      <w:r>
        <w:rPr>
          <w:rFonts w:ascii="Palatino Linotype" w:hAnsi="Palatino Linotype" w:cs="Arial"/>
        </w:rPr>
        <w:t xml:space="preserve">; 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 </w:t>
      </w:r>
      <w:r>
        <w:rPr>
          <w:rFonts w:ascii="Palatino Linotype" w:hAnsi="Palatino Linotype" w:cs="Arial"/>
          <w:b/>
        </w:rPr>
        <w:t>cuatro al veinticuatro de febrero de dos mil veinte</w:t>
      </w:r>
      <w:r>
        <w:rPr>
          <w:rFonts w:ascii="Palatino Linotype" w:hAnsi="Palatino Linotype" w:cs="Arial"/>
        </w:rPr>
        <w:t xml:space="preserve">; sin contemplar en el cómputo los días uno, dos, ocho, nueve, quince, dieciséis, veintidós y veintitrés de febrero de dos mil veinte, por corresponder a sábados y domingos, considerados como días inhábiles, en términos del artículo 3, fracción X de la </w:t>
      </w:r>
      <w:r>
        <w:rPr>
          <w:rFonts w:ascii="Palatino Linotype" w:hAnsi="Palatino Linotype"/>
        </w:rPr>
        <w:t xml:space="preserve">Ley de Transparencia y Acceso a la Información Pública del Estado de México y Municipios; así como, el día tres de febrero de dos mil veinte por ser considerado como suspensión de labores, de conformidad con el Calendario Oficial en Materia de Transparencia, Acceso a la Información Pública y Protección de Datos Personales para el año dos mil diecinueve y enero dos mil veinte, </w:t>
      </w:r>
      <w:r>
        <w:rPr>
          <w:rFonts w:ascii="Palatino Linotype" w:hAnsi="Palatino Linotype"/>
        </w:rPr>
        <w:lastRenderedPageBreak/>
        <w:t>aprobado por el Pleno de este Instituto, el diecinueve de diciembre de dos mil dieciocho.</w:t>
      </w:r>
    </w:p>
    <w:p w:rsidR="00EE77ED" w:rsidRDefault="004E48D1">
      <w:pPr>
        <w:pStyle w:val="Prrafodelista"/>
        <w:widowControl w:val="0"/>
        <w:spacing w:before="360" w:after="240" w:line="360" w:lineRule="auto"/>
        <w:ind w:left="0"/>
        <w:jc w:val="both"/>
        <w:rPr>
          <w:rFonts w:ascii="Palatino Linotype" w:hAnsi="Palatino Linotype" w:cs="Arial"/>
        </w:rPr>
      </w:pPr>
      <w:r>
        <w:rPr>
          <w:rFonts w:ascii="Palatino Linotype" w:hAnsi="Palatino Linotype" w:cs="Arial"/>
        </w:rPr>
        <w:t xml:space="preserve">En ese tenor, si el recurso de revisión que nos ocupa, se interpuso el </w:t>
      </w:r>
      <w:r>
        <w:rPr>
          <w:rFonts w:ascii="Palatino Linotype" w:hAnsi="Palatino Linotype" w:cs="Arial"/>
          <w:b/>
        </w:rPr>
        <w:t>cuatro de febrero de dos mil veinte</w:t>
      </w:r>
      <w:r>
        <w:rPr>
          <w:rFonts w:ascii="Palatino Linotype" w:hAnsi="Palatino Linotype" w:cs="Arial"/>
        </w:rPr>
        <w:t>, éste se encuentra dentro de los márgenes temporales previstos en el citado precepto legal y, por tanto, se considera oportuno</w:t>
      </w:r>
    </w:p>
    <w:p w:rsidR="00EE77ED" w:rsidRDefault="004E48D1">
      <w:pPr>
        <w:pStyle w:val="Prrafodelista"/>
        <w:widowControl w:val="0"/>
        <w:numPr>
          <w:ilvl w:val="0"/>
          <w:numId w:val="1"/>
        </w:numPr>
        <w:tabs>
          <w:tab w:val="left" w:pos="1701"/>
          <w:tab w:val="left" w:pos="1843"/>
        </w:tabs>
        <w:spacing w:before="360" w:after="240" w:line="360" w:lineRule="auto"/>
        <w:ind w:left="0" w:firstLine="0"/>
        <w:jc w:val="both"/>
        <w:rPr>
          <w:rFonts w:ascii="Palatino Linotype" w:hAnsi="Palatino Linotype"/>
          <w:lang w:val="es-ES"/>
        </w:rPr>
      </w:pPr>
      <w:r>
        <w:rPr>
          <w:rFonts w:ascii="Palatino Linotype" w:hAnsi="Palatino Linotype" w:cs="Arial"/>
          <w:b/>
        </w:rPr>
        <w:t xml:space="preserve">Procedibilidad. </w:t>
      </w:r>
      <w:r>
        <w:rPr>
          <w:rFonts w:ascii="Palatino Linotype" w:hAnsi="Palatino Linotype" w:cs="Arial"/>
        </w:rPr>
        <w:t xml:space="preserve">Del análisis efectuado, se advierte la </w:t>
      </w:r>
      <w:proofErr w:type="spellStart"/>
      <w:r>
        <w:rPr>
          <w:rFonts w:ascii="Palatino Linotype" w:hAnsi="Palatino Linotype" w:cs="Arial"/>
        </w:rPr>
        <w:t>procedibilidad</w:t>
      </w:r>
      <w:proofErr w:type="spellEnd"/>
      <w:r>
        <w:rPr>
          <w:rFonts w:ascii="Palatino Linotype" w:hAnsi="Palatino Linotype" w:cs="Arial"/>
        </w:rPr>
        <w:t xml:space="preserve"> del presente recurso de revisión, en razón de acreditación plena de todos y cada uno de los elementos formales exigidos por el artículo 180, de la Ley de Transparencia y Acceso a la Información</w:t>
      </w:r>
      <w:r>
        <w:rPr>
          <w:rFonts w:ascii="Palatino Linotype" w:hAnsi="Palatino Linotype"/>
        </w:rPr>
        <w:t xml:space="preserve"> Pública </w:t>
      </w:r>
      <w:r>
        <w:rPr>
          <w:rFonts w:ascii="Palatino Linotype" w:hAnsi="Palatino Linotype" w:cs="Arial"/>
        </w:rPr>
        <w:t>del</w:t>
      </w:r>
      <w:r>
        <w:rPr>
          <w:rFonts w:ascii="Palatino Linotype" w:hAnsi="Palatino Linotype"/>
        </w:rPr>
        <w:t xml:space="preserve"> Estado de México y Municipios, en atención a que fue presentado mediante el formato visible en el </w:t>
      </w:r>
      <w:r>
        <w:rPr>
          <w:rFonts w:ascii="Palatino Linotype" w:hAnsi="Palatino Linotype"/>
          <w:b/>
        </w:rPr>
        <w:t>SAIMEX</w:t>
      </w:r>
      <w:r>
        <w:rPr>
          <w:rFonts w:ascii="Palatino Linotype" w:hAnsi="Palatino Linotype"/>
        </w:rPr>
        <w:t>.</w:t>
      </w:r>
      <w:bookmarkStart w:id="4" w:name="_Ref18582877"/>
      <w:bookmarkEnd w:id="4"/>
    </w:p>
    <w:p w:rsidR="00EE77ED" w:rsidRDefault="004E48D1">
      <w:pPr>
        <w:pStyle w:val="Prrafodelista"/>
        <w:widowControl w:val="0"/>
        <w:numPr>
          <w:ilvl w:val="0"/>
          <w:numId w:val="1"/>
        </w:numPr>
        <w:tabs>
          <w:tab w:val="left" w:pos="1276"/>
        </w:tabs>
        <w:spacing w:before="240" w:after="240" w:line="360" w:lineRule="auto"/>
        <w:ind w:left="0" w:firstLine="0"/>
        <w:jc w:val="both"/>
        <w:rPr>
          <w:rFonts w:ascii="Palatino Linotype" w:hAnsi="Palatino Linotype"/>
        </w:rPr>
      </w:pPr>
      <w:r>
        <w:rPr>
          <w:rFonts w:ascii="Palatino Linotype" w:hAnsi="Palatino Linotype" w:cs="Arial"/>
          <w:b/>
        </w:rPr>
        <w:t xml:space="preserve">Análisis </w:t>
      </w:r>
      <w:r>
        <w:rPr>
          <w:rFonts w:ascii="Palatino Linotype" w:hAnsi="Palatino Linotype"/>
          <w:b/>
        </w:rPr>
        <w:t>de las causales de Sobreseimiento.</w:t>
      </w:r>
      <w:r>
        <w:rPr>
          <w:rFonts w:ascii="Palatino Linotype" w:hAnsi="Palatino Linotype"/>
        </w:rPr>
        <w:t xml:space="preserve"> Este Órgano Colegiado advierte que en el caso se actualiza la causal de sobreseimiento prevista en la fracción III del artículo 192 de la Ley de Transparencia y Acceso a la Información Pública del Estado de México y Municipios que dispone lo siguiente:</w:t>
      </w:r>
    </w:p>
    <w:p w:rsidR="00EE77ED" w:rsidRDefault="004E48D1">
      <w:pPr>
        <w:pStyle w:val="Prrafodelista"/>
        <w:widowControl w:val="0"/>
        <w:tabs>
          <w:tab w:val="left" w:pos="1701"/>
          <w:tab w:val="left" w:pos="1843"/>
          <w:tab w:val="left" w:pos="7655"/>
        </w:tabs>
        <w:spacing w:before="200" w:after="200"/>
        <w:ind w:left="851" w:right="1276"/>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Artículo 192</w:t>
      </w:r>
      <w:r>
        <w:rPr>
          <w:rFonts w:ascii="Palatino Linotype" w:hAnsi="Palatino Linotype" w:cs="Arial"/>
          <w:i/>
          <w:color w:val="000000" w:themeColor="text1"/>
          <w:sz w:val="22"/>
          <w:szCs w:val="22"/>
        </w:rPr>
        <w:t>. El recurso será sobreseído, en todo o en parte, cuando una vez admitido, se actualicen alguno de los siguientes supuestos:</w:t>
      </w:r>
    </w:p>
    <w:p w:rsidR="00EE77ED" w:rsidRDefault="004E48D1">
      <w:pPr>
        <w:pStyle w:val="Prrafodelista"/>
        <w:widowControl w:val="0"/>
        <w:tabs>
          <w:tab w:val="left" w:pos="1701"/>
          <w:tab w:val="left" w:pos="1843"/>
          <w:tab w:val="left" w:pos="7655"/>
        </w:tabs>
        <w:spacing w:before="200" w:after="200"/>
        <w:ind w:left="851" w:right="1276"/>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p>
    <w:p w:rsidR="00EE77ED" w:rsidRDefault="004E48D1">
      <w:pPr>
        <w:pStyle w:val="Prrafodelista"/>
        <w:widowControl w:val="0"/>
        <w:tabs>
          <w:tab w:val="left" w:pos="1701"/>
          <w:tab w:val="left" w:pos="1843"/>
          <w:tab w:val="left" w:pos="7655"/>
        </w:tabs>
        <w:spacing w:before="200" w:after="200"/>
        <w:ind w:left="851" w:right="1276"/>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Pr>
          <w:rFonts w:ascii="Palatino Linotype" w:hAnsi="Palatino Linotype" w:cs="Arial"/>
          <w:i/>
          <w:color w:val="000000" w:themeColor="text1"/>
          <w:sz w:val="22"/>
          <w:szCs w:val="22"/>
        </w:rPr>
        <w:t>;…”</w:t>
      </w:r>
    </w:p>
    <w:p w:rsidR="00EE77ED" w:rsidRDefault="004E48D1">
      <w:pPr>
        <w:pStyle w:val="Prrafodelista"/>
        <w:widowControl w:val="0"/>
        <w:tabs>
          <w:tab w:val="left" w:pos="1701"/>
          <w:tab w:val="left" w:pos="1843"/>
          <w:tab w:val="left" w:pos="7655"/>
        </w:tabs>
        <w:spacing w:before="200" w:after="200"/>
        <w:ind w:left="851" w:right="1276"/>
        <w:jc w:val="both"/>
        <w:rPr>
          <w:rFonts w:ascii="Palatino Linotype" w:hAnsi="Palatino Linotype" w:cs="Arial"/>
          <w:color w:val="000000" w:themeColor="text1"/>
        </w:rPr>
      </w:pPr>
      <w:r>
        <w:rPr>
          <w:rFonts w:ascii="Palatino Linotype" w:hAnsi="Palatino Linotype" w:cs="Arial"/>
          <w:color w:val="000000" w:themeColor="text1"/>
          <w:sz w:val="22"/>
        </w:rPr>
        <w:t>(Énfasis añadido)</w:t>
      </w:r>
    </w:p>
    <w:p w:rsidR="00EE77ED" w:rsidRDefault="004E48D1">
      <w:pPr>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Luego, conforme a la transcripción que antecede conviene desglosar los elementos de la disposición enunciada:</w:t>
      </w:r>
    </w:p>
    <w:p w:rsidR="003C5818" w:rsidRDefault="004E48D1" w:rsidP="003C5818">
      <w:pPr>
        <w:pStyle w:val="Prrafodelista"/>
        <w:widowControl w:val="0"/>
        <w:numPr>
          <w:ilvl w:val="0"/>
          <w:numId w:val="6"/>
        </w:numPr>
        <w:tabs>
          <w:tab w:val="left" w:pos="1701"/>
          <w:tab w:val="left" w:pos="1843"/>
        </w:tabs>
        <w:spacing w:before="200" w:after="200" w:line="360" w:lineRule="auto"/>
        <w:ind w:left="709" w:firstLine="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El sujeto obligado responsable; </w:t>
      </w:r>
    </w:p>
    <w:p w:rsidR="003C5818" w:rsidRDefault="004E48D1" w:rsidP="003C5818">
      <w:pPr>
        <w:pStyle w:val="Prrafodelista"/>
        <w:widowControl w:val="0"/>
        <w:numPr>
          <w:ilvl w:val="0"/>
          <w:numId w:val="6"/>
        </w:numPr>
        <w:tabs>
          <w:tab w:val="left" w:pos="1701"/>
          <w:tab w:val="left" w:pos="1843"/>
        </w:tabs>
        <w:spacing w:before="200" w:after="200" w:line="360" w:lineRule="auto"/>
        <w:ind w:left="709" w:firstLine="0"/>
        <w:jc w:val="both"/>
        <w:rPr>
          <w:rFonts w:ascii="Palatino Linotype" w:hAnsi="Palatino Linotype" w:cs="Arial"/>
          <w:color w:val="000000" w:themeColor="text1"/>
        </w:rPr>
      </w:pPr>
      <w:r w:rsidRPr="003C5818">
        <w:rPr>
          <w:rFonts w:ascii="Palatino Linotype" w:hAnsi="Palatino Linotype" w:cs="Arial"/>
          <w:color w:val="000000" w:themeColor="text1"/>
        </w:rPr>
        <w:t>Acto;</w:t>
      </w:r>
    </w:p>
    <w:p w:rsidR="003C5818" w:rsidRDefault="004E48D1" w:rsidP="003C5818">
      <w:pPr>
        <w:pStyle w:val="Prrafodelista"/>
        <w:widowControl w:val="0"/>
        <w:numPr>
          <w:ilvl w:val="0"/>
          <w:numId w:val="6"/>
        </w:numPr>
        <w:tabs>
          <w:tab w:val="left" w:pos="1701"/>
          <w:tab w:val="left" w:pos="1843"/>
        </w:tabs>
        <w:spacing w:before="200" w:after="200" w:line="360" w:lineRule="auto"/>
        <w:ind w:left="709" w:firstLine="0"/>
        <w:jc w:val="both"/>
        <w:rPr>
          <w:rFonts w:ascii="Palatino Linotype" w:hAnsi="Palatino Linotype" w:cs="Arial"/>
          <w:color w:val="000000" w:themeColor="text1"/>
        </w:rPr>
      </w:pPr>
      <w:r w:rsidRPr="003C5818">
        <w:rPr>
          <w:rFonts w:ascii="Palatino Linotype" w:hAnsi="Palatino Linotype" w:cs="Arial"/>
          <w:color w:val="000000" w:themeColor="text1"/>
        </w:rPr>
        <w:t>Que se modifique o revoque; y</w:t>
      </w:r>
    </w:p>
    <w:p w:rsidR="00EE77ED" w:rsidRPr="003C5818" w:rsidRDefault="004E48D1" w:rsidP="003C5818">
      <w:pPr>
        <w:pStyle w:val="Prrafodelista"/>
        <w:widowControl w:val="0"/>
        <w:numPr>
          <w:ilvl w:val="0"/>
          <w:numId w:val="6"/>
        </w:numPr>
        <w:tabs>
          <w:tab w:val="left" w:pos="1701"/>
          <w:tab w:val="left" w:pos="1843"/>
        </w:tabs>
        <w:spacing w:before="200" w:after="200" w:line="360" w:lineRule="auto"/>
        <w:ind w:left="709" w:firstLine="0"/>
        <w:jc w:val="both"/>
        <w:rPr>
          <w:rFonts w:ascii="Palatino Linotype" w:hAnsi="Palatino Linotype" w:cs="Arial"/>
          <w:color w:val="000000" w:themeColor="text1"/>
        </w:rPr>
      </w:pPr>
      <w:r w:rsidRPr="003C5818">
        <w:rPr>
          <w:rFonts w:ascii="Palatino Linotype" w:hAnsi="Palatino Linotype" w:cs="Arial"/>
          <w:color w:val="000000" w:themeColor="text1"/>
        </w:rPr>
        <w:t>De tal manera que el medio de impugnación quede sin efecto o materia.</w:t>
      </w:r>
    </w:p>
    <w:p w:rsidR="00EE77ED" w:rsidRDefault="004E48D1">
      <w:pPr>
        <w:spacing w:line="360" w:lineRule="auto"/>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 xml:space="preserve">responsable, es el </w:t>
      </w:r>
      <w:r>
        <w:rPr>
          <w:rFonts w:ascii="Palatino Linotype" w:hAnsi="Palatino Linotype" w:cs="Arial"/>
          <w:b/>
        </w:rPr>
        <w:t xml:space="preserve">Ayuntamiento de </w:t>
      </w:r>
      <w:proofErr w:type="spellStart"/>
      <w:r>
        <w:rPr>
          <w:rFonts w:ascii="Palatino Linotype" w:hAnsi="Palatino Linotype" w:cs="Arial"/>
          <w:b/>
        </w:rPr>
        <w:t>Temoaya</w:t>
      </w:r>
      <w:proofErr w:type="spellEnd"/>
      <w:r>
        <w:rPr>
          <w:rFonts w:ascii="Palatino Linotype" w:hAnsi="Palatino Linotype" w:cs="Arial"/>
        </w:rPr>
        <w:t>.</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 xml:space="preserve">El segundo elemento normativo es la existencia de un acto, en el caso en concreto que nos ocupa, se acredita con la existencia de la respuesta del </w:t>
      </w:r>
      <w:r>
        <w:rPr>
          <w:rFonts w:ascii="Palatino Linotype" w:hAnsi="Palatino Linotype" w:cs="Arial"/>
          <w:b/>
        </w:rPr>
        <w:t>SUJETO OBLIGADO</w:t>
      </w:r>
      <w:r>
        <w:rPr>
          <w:rFonts w:ascii="Palatino Linotype" w:hAnsi="Palatino Linotype" w:cs="Arial"/>
        </w:rPr>
        <w:t xml:space="preserve">, la cual es precisamente la que se impugna, toda vez que es la que a decir del </w:t>
      </w:r>
      <w:r>
        <w:rPr>
          <w:rFonts w:ascii="Palatino Linotype" w:hAnsi="Palatino Linotype" w:cs="Arial"/>
          <w:b/>
        </w:rPr>
        <w:t xml:space="preserve">RECURRENTE </w:t>
      </w:r>
      <w:r>
        <w:rPr>
          <w:rFonts w:ascii="Palatino Linotype" w:hAnsi="Palatino Linotype" w:cs="Arial"/>
        </w:rPr>
        <w:t>en la que</w:t>
      </w:r>
      <w:r>
        <w:rPr>
          <w:rFonts w:ascii="Palatino Linotype" w:hAnsi="Palatino Linotype" w:cs="Arial"/>
          <w:b/>
        </w:rPr>
        <w:t xml:space="preserve"> </w:t>
      </w:r>
      <w:r>
        <w:rPr>
          <w:rFonts w:ascii="Palatino Linotype" w:hAnsi="Palatino Linotype" w:cs="Arial"/>
        </w:rPr>
        <w:t>se le negó la información, en razón de no anexar la información que le fue señalada en respuesta.</w:t>
      </w:r>
    </w:p>
    <w:p w:rsidR="00EE77ED" w:rsidRDefault="004E48D1">
      <w:pPr>
        <w:spacing w:beforeAutospacing="1" w:afterAutospacing="1" w:line="360" w:lineRule="auto"/>
        <w:jc w:val="both"/>
        <w:rPr>
          <w:rFonts w:ascii="Palatino Linotype" w:hAnsi="Palatino Linotype" w:cs="Arial"/>
        </w:rPr>
      </w:pPr>
      <w:r>
        <w:rPr>
          <w:rFonts w:ascii="Palatino Linotype" w:hAnsi="Palatino Linotype" w:cs="Arial"/>
        </w:rPr>
        <w:t>Cabe destacar que, la respuesta del</w:t>
      </w:r>
      <w:r>
        <w:rPr>
          <w:rFonts w:ascii="Palatino Linotype" w:hAnsi="Palatino Linotype" w:cs="Arial"/>
          <w:b/>
        </w:rPr>
        <w:t xml:space="preserve"> SUJETO OBLIGADO</w:t>
      </w:r>
      <w:r>
        <w:rPr>
          <w:rFonts w:ascii="Palatino Linotype" w:hAnsi="Palatino Linotype" w:cs="Arial"/>
        </w:rPr>
        <w:t xml:space="preserve">, el precepto normativo en estudio, las consagra como “actos”,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Pr>
          <w:rFonts w:ascii="Palatino Linotype" w:hAnsi="Palatino Linotype" w:cs="Arial"/>
          <w:b/>
        </w:rPr>
        <w:t>SUJETO OBLIGADO</w:t>
      </w:r>
      <w:r>
        <w:rPr>
          <w:rFonts w:ascii="Palatino Linotype" w:hAnsi="Palatino Linotype" w:cs="Arial"/>
        </w:rPr>
        <w:t xml:space="preserve"> se observa a través de sus actos que necesariamente ejecuta y con los que ejerce sus atribuciones legalmente conferidas. </w:t>
      </w:r>
    </w:p>
    <w:p w:rsidR="00EE77ED" w:rsidRDefault="004E48D1">
      <w:pPr>
        <w:spacing w:line="360" w:lineRule="auto"/>
        <w:jc w:val="both"/>
        <w:rPr>
          <w:rFonts w:ascii="Palatino Linotype" w:hAnsi="Palatino Linotype" w:cs="Arial"/>
        </w:rPr>
      </w:pPr>
      <w:r>
        <w:rPr>
          <w:rFonts w:ascii="Palatino Linotype" w:hAnsi="Palatino Linotype" w:cs="Arial"/>
        </w:rPr>
        <w:lastRenderedPageBreak/>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EE77ED" w:rsidRDefault="00EE77ED">
      <w:pPr>
        <w:spacing w:line="360" w:lineRule="auto"/>
        <w:jc w:val="both"/>
        <w:rPr>
          <w:rFonts w:ascii="Palatino Linotype" w:hAnsi="Palatino Linotype" w:cs="Arial"/>
        </w:rPr>
      </w:pPr>
    </w:p>
    <w:p w:rsidR="00EE77ED" w:rsidRDefault="004E48D1">
      <w:pPr>
        <w:ind w:left="851" w:right="709"/>
        <w:jc w:val="both"/>
        <w:rPr>
          <w:rFonts w:ascii="Palatino Linotype" w:hAnsi="Palatino Linotype" w:cs="Arial"/>
          <w:i/>
          <w:sz w:val="22"/>
        </w:rPr>
      </w:pPr>
      <w:r>
        <w:rPr>
          <w:rFonts w:ascii="Palatino Linotype" w:hAnsi="Palatino Linotype" w:cs="Arial"/>
          <w:b/>
          <w:i/>
          <w:sz w:val="22"/>
        </w:rPr>
        <w:t>“Artículo 53</w:t>
      </w:r>
      <w:r>
        <w:rPr>
          <w:rFonts w:ascii="Palatino Linotype" w:hAnsi="Palatino Linotype" w:cs="Arial"/>
          <w:i/>
          <w:sz w:val="22"/>
        </w:rPr>
        <w:t xml:space="preserve">. Las Unidades de Transparencia tendrán las siguientes funciones: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b/>
          <w:i/>
          <w:sz w:val="22"/>
          <w:u w:val="single"/>
        </w:rPr>
        <w:t>II. Recibir, tramitar y dar respuesta a las solicitudes de acceso a la información</w:t>
      </w:r>
      <w:r>
        <w:rPr>
          <w:rFonts w:ascii="Palatino Linotype" w:hAnsi="Palatino Linotype" w:cs="Arial"/>
          <w:i/>
          <w:sz w:val="22"/>
        </w:rPr>
        <w:t xml:space="preserve">;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IV. Realizar, con efectividad, los trámites internos necesarios para la atención de las solicitudes de acceso a la información;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V. Entregar, en su caso, a los particulares la información solicitada;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VI. Efectuar las notificaciones a los solicitantes;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X. Presentar ante el Comité, el proyecto de clasificación de información;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XI. Promover e implementar políticas de transparencia proactiva procurando su accesibilidad;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XII. Fomentar la transparencia y accesibilidad al interior del sujeto obligado;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 xml:space="preserve">XIV. Las demás que resulten necesarias para facilitar el acceso a la información y aquellas que se desprenden de la presente Ley y demás disposiciones jurídicas </w:t>
      </w:r>
    </w:p>
    <w:p w:rsidR="00EE77ED" w:rsidRDefault="004E48D1">
      <w:pPr>
        <w:ind w:left="851" w:right="709"/>
        <w:jc w:val="both"/>
        <w:rPr>
          <w:rFonts w:ascii="Palatino Linotype" w:hAnsi="Palatino Linotype" w:cs="Arial"/>
          <w:b/>
          <w:i/>
          <w:sz w:val="22"/>
        </w:rPr>
      </w:pPr>
      <w:proofErr w:type="gramStart"/>
      <w:r>
        <w:rPr>
          <w:rFonts w:ascii="Palatino Linotype" w:hAnsi="Palatino Linotype" w:cs="Arial"/>
          <w:i/>
          <w:sz w:val="22"/>
        </w:rPr>
        <w:t>aplicables</w:t>
      </w:r>
      <w:proofErr w:type="gramEnd"/>
      <w:r>
        <w:rPr>
          <w:rFonts w:ascii="Palatino Linotype" w:hAnsi="Palatino Linotype" w:cs="Arial"/>
          <w:i/>
          <w:sz w:val="22"/>
        </w:rPr>
        <w:t>.</w:t>
      </w:r>
      <w:r>
        <w:rPr>
          <w:rFonts w:ascii="Palatino Linotype" w:hAnsi="Palatino Linotype" w:cs="Arial"/>
          <w:b/>
          <w:i/>
          <w:sz w:val="22"/>
        </w:rPr>
        <w:t>”</w:t>
      </w:r>
    </w:p>
    <w:p w:rsidR="00EE77ED" w:rsidRDefault="00EE77ED">
      <w:pPr>
        <w:ind w:left="851" w:right="709"/>
        <w:jc w:val="both"/>
        <w:rPr>
          <w:rFonts w:ascii="Palatino Linotype" w:hAnsi="Palatino Linotype" w:cs="Arial"/>
          <w:i/>
          <w:sz w:val="22"/>
        </w:rPr>
      </w:pPr>
    </w:p>
    <w:p w:rsidR="00EE77ED" w:rsidRDefault="004E48D1">
      <w:pPr>
        <w:ind w:left="851" w:right="709"/>
        <w:jc w:val="both"/>
        <w:rPr>
          <w:rFonts w:ascii="Palatino Linotype" w:hAnsi="Palatino Linotype" w:cs="Arial"/>
          <w:i/>
          <w:sz w:val="22"/>
        </w:rPr>
      </w:pPr>
      <w:r>
        <w:rPr>
          <w:rFonts w:ascii="Palatino Linotype" w:hAnsi="Palatino Linotype" w:cs="Arial"/>
          <w:i/>
          <w:sz w:val="22"/>
        </w:rPr>
        <w:t>(Énfasis añadido)</w:t>
      </w:r>
    </w:p>
    <w:p w:rsidR="00EE77ED" w:rsidRDefault="00EE77ED">
      <w:pPr>
        <w:spacing w:line="360" w:lineRule="auto"/>
        <w:ind w:left="709" w:right="757"/>
        <w:jc w:val="both"/>
        <w:rPr>
          <w:rFonts w:ascii="Palatino Linotype" w:hAnsi="Palatino Linotype" w:cs="Arial"/>
          <w:i/>
        </w:rPr>
      </w:pPr>
    </w:p>
    <w:p w:rsidR="00EE77ED" w:rsidRDefault="004E48D1">
      <w:pPr>
        <w:spacing w:beforeAutospacing="1" w:afterAutospacing="1" w:line="360" w:lineRule="auto"/>
        <w:jc w:val="both"/>
        <w:rPr>
          <w:rFonts w:ascii="Palatino Linotype" w:hAnsi="Palatino Linotype" w:cs="Arial"/>
        </w:rPr>
      </w:pPr>
      <w:r>
        <w:rPr>
          <w:rFonts w:ascii="Palatino Linotype" w:hAnsi="Palatino Linotype" w:cs="Arial"/>
        </w:rPr>
        <w:t xml:space="preserve">Es decir, la impugnación del </w:t>
      </w:r>
      <w:r>
        <w:rPr>
          <w:rFonts w:ascii="Palatino Linotype" w:hAnsi="Palatino Linotype" w:cs="Arial"/>
          <w:b/>
        </w:rPr>
        <w:t>RECURRENTE</w:t>
      </w:r>
      <w:r>
        <w:rPr>
          <w:rFonts w:ascii="Palatino Linotype" w:hAnsi="Palatino Linotype" w:cs="Arial"/>
        </w:rPr>
        <w:t xml:space="preserve"> debe ser sobre la emisión de un “Acto” contenido en la misma Ley o la omisión en la emisión de ésta, lo que en el presente caso se actualiza con la respuesta dada por </w:t>
      </w:r>
      <w:r>
        <w:rPr>
          <w:rFonts w:ascii="Palatino Linotype" w:hAnsi="Palatino Linotype" w:cs="Arial"/>
          <w:b/>
        </w:rPr>
        <w:t>EL SUJETO OBLIGADO</w:t>
      </w:r>
      <w:r>
        <w:rPr>
          <w:rFonts w:ascii="Palatino Linotype" w:hAnsi="Palatino Linotype" w:cs="Arial"/>
        </w:rPr>
        <w:t>.</w: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Pr>
          <w:rFonts w:ascii="Palatino Linotype" w:hAnsi="Palatino Linotype" w:cs="Arial"/>
          <w:b/>
          <w:u w:val="single"/>
        </w:rPr>
        <w:t>la modifique o revoque</w:t>
      </w:r>
      <w:r>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EE77ED" w:rsidRDefault="004E48D1">
      <w:pPr>
        <w:spacing w:line="360" w:lineRule="auto"/>
        <w:jc w:val="both"/>
        <w:rPr>
          <w:rFonts w:ascii="Palatino Linotype" w:hAnsi="Palatino Linotype" w:cs="Arial"/>
        </w:rPr>
      </w:pPr>
      <w:r>
        <w:rPr>
          <w:rFonts w:ascii="Palatino Linotype" w:hAnsi="Palatino Linotype" w:cs="Arial"/>
        </w:rPr>
        <w:lastRenderedPageBreak/>
        <w:t>Por cuanto hace a la revocación, a diferencia de la modificación, ocurre cuando la dependencia o entidad responsable (</w:t>
      </w:r>
      <w:r>
        <w:rPr>
          <w:rFonts w:ascii="Palatino Linotype" w:hAnsi="Palatino Linotype" w:cs="Arial"/>
          <w:b/>
        </w:rPr>
        <w:t>SUJETO OBLIGADO</w:t>
      </w:r>
      <w:r>
        <w:rPr>
          <w:rFonts w:ascii="Palatino Linotype" w:hAnsi="Palatino Linotype" w:cs="Arial"/>
        </w:rPr>
        <w:t>) del acto o resolución impugnada, suprime, elimina o cancela la totalidad de su respuesta y emite otra en su lugar dejando sin efecto lo que en un principio respondió.</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Es así que, un acto impugnado queda sin efectos, aun cuando existiendo jurídicamente (esto es, que no se ha modificado, ni revocado) no genera ninguna consecuencia legal.</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 xml:space="preserve">En tanto que, un acto impugnado queda sin materia, cuando ha sido satisfecha la pretensión de lo pedido o exigido por </w:t>
      </w:r>
      <w:r>
        <w:rPr>
          <w:rFonts w:ascii="Palatino Linotype" w:hAnsi="Palatino Linotype" w:cs="Arial"/>
          <w:b/>
        </w:rPr>
        <w:t xml:space="preserve">EL RECURRENTE </w:t>
      </w:r>
      <w:r>
        <w:rPr>
          <w:rFonts w:ascii="Palatino Linotype" w:hAnsi="Palatino Linotype" w:cs="Arial"/>
        </w:rPr>
        <w:t xml:space="preserve">de manera que </w:t>
      </w:r>
      <w:r>
        <w:rPr>
          <w:rFonts w:ascii="Palatino Linotype" w:hAnsi="Palatino Linotype" w:cs="Arial"/>
          <w:b/>
        </w:rPr>
        <w:t xml:space="preserve">EL SUJETO OBLIGADO </w:t>
      </w:r>
      <w:r>
        <w:rPr>
          <w:rFonts w:ascii="Palatino Linotype" w:hAnsi="Palatino Linotype" w:cs="Arial"/>
        </w:rPr>
        <w:t xml:space="preserve">entrega una respuesta que aunque sea posterior a los términos previstos en la Ley y mediante ésta concede la información solicitada.  </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 xml:space="preserve">Bajo esas consideraciones, se afirma que en el recurso de revisión de mérito, se actualiza la hipótesis jurídica citada en primer término, toda vez que quedó probado que </w:t>
      </w:r>
      <w:r>
        <w:rPr>
          <w:rFonts w:ascii="Palatino Linotype" w:hAnsi="Palatino Linotype" w:cs="Arial"/>
          <w:b/>
        </w:rPr>
        <w:t>EL SUJETO OBLIGADO</w:t>
      </w:r>
      <w:r>
        <w:rPr>
          <w:rFonts w:ascii="Palatino Linotype" w:hAnsi="Palatino Linotype" w:cs="Arial"/>
        </w:rPr>
        <w:t xml:space="preserve"> mediante un acto posterior a su respuesta, como lo fue el Informe Justificado, remitió la información con la cual dejó sin materia el presente recurso.</w: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rPr>
      </w:pPr>
      <w:r>
        <w:rPr>
          <w:rFonts w:ascii="Palatino Linotype" w:hAnsi="Palatino Linotype" w:cs="Arial"/>
        </w:rPr>
        <w:t xml:space="preserve">A fin de corroborar lo anterior, es preciso señalar que </w:t>
      </w:r>
      <w:r>
        <w:rPr>
          <w:rFonts w:ascii="Palatino Linotype" w:hAnsi="Palatino Linotype" w:cs="Arial"/>
          <w:b/>
        </w:rPr>
        <w:t>EL RECURRENTE</w:t>
      </w:r>
      <w:r>
        <w:rPr>
          <w:rFonts w:ascii="Palatino Linotype" w:hAnsi="Palatino Linotype" w:cs="Arial"/>
        </w:rPr>
        <w:t xml:space="preserve"> solicitó: </w:t>
      </w:r>
    </w:p>
    <w:p w:rsidR="00EE77ED" w:rsidRDefault="004E48D1">
      <w:pPr>
        <w:pStyle w:val="Prrafodelista"/>
        <w:numPr>
          <w:ilvl w:val="0"/>
          <w:numId w:val="3"/>
        </w:numPr>
        <w:spacing w:line="360" w:lineRule="auto"/>
        <w:ind w:left="851" w:right="709" w:firstLine="0"/>
        <w:contextualSpacing/>
        <w:jc w:val="both"/>
        <w:rPr>
          <w:rFonts w:ascii="Palatino Linotype" w:hAnsi="Palatino Linotype" w:cs="Arial"/>
          <w:szCs w:val="22"/>
        </w:rPr>
      </w:pPr>
      <w:r>
        <w:rPr>
          <w:rFonts w:ascii="Palatino Linotype" w:hAnsi="Palatino Linotype" w:cs="Arial"/>
          <w:szCs w:val="22"/>
        </w:rPr>
        <w:t xml:space="preserve">Presupuesto asignado para la compra de juguetes del día de reyes del año 2020, </w:t>
      </w:r>
    </w:p>
    <w:p w:rsidR="00EE77ED" w:rsidRDefault="004E48D1">
      <w:pPr>
        <w:pStyle w:val="Prrafodelista"/>
        <w:numPr>
          <w:ilvl w:val="0"/>
          <w:numId w:val="3"/>
        </w:numPr>
        <w:spacing w:line="360" w:lineRule="auto"/>
        <w:ind w:left="851" w:right="709" w:firstLine="0"/>
        <w:contextualSpacing/>
        <w:jc w:val="both"/>
        <w:rPr>
          <w:rFonts w:ascii="Palatino Linotype" w:hAnsi="Palatino Linotype" w:cs="Arial"/>
          <w:sz w:val="22"/>
          <w:szCs w:val="22"/>
        </w:rPr>
      </w:pPr>
      <w:r>
        <w:rPr>
          <w:rFonts w:ascii="Palatino Linotype" w:hAnsi="Palatino Linotype" w:cs="Arial"/>
          <w:szCs w:val="22"/>
        </w:rPr>
        <w:t>Cuántos juguetes fueron comprados, y</w:t>
      </w:r>
    </w:p>
    <w:p w:rsidR="00EE77ED" w:rsidRDefault="004E48D1">
      <w:pPr>
        <w:pStyle w:val="Prrafodelista"/>
        <w:numPr>
          <w:ilvl w:val="0"/>
          <w:numId w:val="3"/>
        </w:numPr>
        <w:spacing w:line="360" w:lineRule="auto"/>
        <w:ind w:left="851" w:right="709" w:firstLine="0"/>
        <w:contextualSpacing/>
        <w:jc w:val="both"/>
        <w:rPr>
          <w:rFonts w:ascii="Palatino Linotype" w:hAnsi="Palatino Linotype" w:cs="Arial"/>
          <w:sz w:val="22"/>
          <w:szCs w:val="22"/>
        </w:rPr>
      </w:pPr>
      <w:r>
        <w:rPr>
          <w:rFonts w:ascii="Palatino Linotype" w:hAnsi="Palatino Linotype" w:cs="Arial"/>
          <w:szCs w:val="22"/>
        </w:rPr>
        <w:t xml:space="preserve">Cuántos fueron repartidos. </w:t>
      </w:r>
    </w:p>
    <w:p w:rsidR="00EE77ED" w:rsidRDefault="00EE77ED">
      <w:pPr>
        <w:pStyle w:val="Prrafodelista"/>
        <w:spacing w:line="360" w:lineRule="auto"/>
        <w:ind w:left="851" w:right="709"/>
        <w:jc w:val="both"/>
        <w:rPr>
          <w:rFonts w:ascii="Palatino Linotype" w:hAnsi="Palatino Linotype" w:cs="Arial"/>
          <w:sz w:val="22"/>
          <w:szCs w:val="22"/>
        </w:rPr>
      </w:pPr>
    </w:p>
    <w:p w:rsidR="00EE77ED" w:rsidRDefault="004E48D1">
      <w:pPr>
        <w:tabs>
          <w:tab w:val="left" w:pos="8647"/>
        </w:tabs>
        <w:spacing w:line="360" w:lineRule="auto"/>
        <w:ind w:right="51"/>
        <w:jc w:val="both"/>
        <w:rPr>
          <w:rFonts w:ascii="Palatino Linotype" w:hAnsi="Palatino Linotype" w:cs="Arial"/>
        </w:rPr>
      </w:pPr>
      <w:r>
        <w:rPr>
          <w:rFonts w:ascii="Palatino Linotype" w:hAnsi="Palatino Linotype" w:cs="Arial"/>
        </w:rPr>
        <w:t xml:space="preserve">Es así que, </w:t>
      </w:r>
      <w:r>
        <w:rPr>
          <w:rFonts w:ascii="Palatino Linotype" w:hAnsi="Palatino Linotype" w:cs="Arial"/>
          <w:b/>
        </w:rPr>
        <w:t xml:space="preserve">EL SUJETO OBLIGADO </w:t>
      </w:r>
      <w:r>
        <w:rPr>
          <w:rFonts w:ascii="Palatino Linotype" w:hAnsi="Palatino Linotype" w:cs="Arial"/>
        </w:rPr>
        <w:t xml:space="preserve">informó al particular que adjuntaba a su respuesta los documentos emitidos por la Dirección de Administración y Desarrollo Personal así como de la Tesorería Municipal del Ayuntamiento de </w:t>
      </w:r>
      <w:proofErr w:type="spellStart"/>
      <w:r>
        <w:rPr>
          <w:rFonts w:ascii="Palatino Linotype" w:hAnsi="Palatino Linotype" w:cs="Arial"/>
        </w:rPr>
        <w:t>Temoaya</w:t>
      </w:r>
      <w:proofErr w:type="spellEnd"/>
      <w:r>
        <w:rPr>
          <w:rFonts w:ascii="Palatino Linotype" w:hAnsi="Palatino Linotype" w:cs="Arial"/>
        </w:rPr>
        <w:t xml:space="preserve">; sin embargo, es preciso señalar que de la respuesta otorgada por el Titular de la Unidad de Transparencia se advierte que éste no adjuntó los archivos electrónicos referidos. </w:t>
      </w:r>
    </w:p>
    <w:p w:rsidR="00EE77ED" w:rsidRDefault="00EE77ED">
      <w:pPr>
        <w:tabs>
          <w:tab w:val="left" w:pos="8647"/>
        </w:tabs>
        <w:spacing w:line="360" w:lineRule="auto"/>
        <w:ind w:right="51"/>
        <w:jc w:val="both"/>
        <w:rPr>
          <w:rFonts w:ascii="Palatino Linotype" w:hAnsi="Palatino Linotype"/>
          <w:lang w:eastAsia="es-MX"/>
        </w:rPr>
      </w:pPr>
    </w:p>
    <w:p w:rsidR="00EE77ED" w:rsidRDefault="004E48D1">
      <w:pPr>
        <w:spacing w:line="360" w:lineRule="auto"/>
        <w:jc w:val="both"/>
        <w:rPr>
          <w:rFonts w:ascii="Palatino Linotype" w:hAnsi="Palatino Linotype" w:cs="Bookman Old Style,Bold"/>
          <w:bCs/>
          <w:lang w:eastAsia="en-US"/>
        </w:rPr>
      </w:pPr>
      <w:r>
        <w:rPr>
          <w:rFonts w:ascii="Palatino Linotype" w:hAnsi="Palatino Linotype" w:cs="Arial"/>
        </w:rPr>
        <w:t xml:space="preserve">Ante la respuesta aludida, </w:t>
      </w:r>
      <w:r>
        <w:rPr>
          <w:rFonts w:ascii="Palatino Linotype" w:hAnsi="Palatino Linotype" w:cs="Arial"/>
          <w:b/>
        </w:rPr>
        <w:t>EL RECURRENTE</w:t>
      </w:r>
      <w:r>
        <w:rPr>
          <w:rFonts w:ascii="Palatino Linotype" w:hAnsi="Palatino Linotype" w:cs="Arial"/>
        </w:rPr>
        <w:t xml:space="preserve"> interpuso el recurso de revisión que nos ocupan, señalando tanto en acto impugnado, como</w:t>
      </w:r>
      <w:r>
        <w:rPr>
          <w:rFonts w:ascii="Palatino Linotype" w:hAnsi="Palatino Linotype" w:cs="Bookman Old Style,Bold"/>
          <w:bCs/>
          <w:lang w:eastAsia="en-US"/>
        </w:rPr>
        <w:t xml:space="preserve"> razones o motivos de inconformidad, lo indicado en el Resultando </w:t>
      </w:r>
      <w:r>
        <w:rPr>
          <w:rFonts w:ascii="Palatino Linotype" w:hAnsi="Palatino Linotype" w:cs="Bookman Old Style,Bold"/>
          <w:b/>
          <w:bCs/>
          <w:lang w:eastAsia="en-US"/>
        </w:rPr>
        <w:t>IV</w:t>
      </w:r>
      <w:r>
        <w:rPr>
          <w:rFonts w:ascii="Palatino Linotype" w:hAnsi="Palatino Linotype" w:cs="Bookman Old Style,Bold"/>
          <w:bCs/>
          <w:lang w:eastAsia="en-US"/>
        </w:rPr>
        <w:t xml:space="preserve"> de la presente resolución. </w:t>
      </w:r>
    </w:p>
    <w:p w:rsidR="00EE77ED" w:rsidRDefault="004E48D1">
      <w:pPr>
        <w:spacing w:beforeAutospacing="1" w:afterAutospacing="1" w:line="360" w:lineRule="auto"/>
        <w:jc w:val="both"/>
        <w:rPr>
          <w:rFonts w:ascii="Palatino Linotype" w:hAnsi="Palatino Linotype" w:cs="Bookman Old Style,Bold"/>
          <w:bCs/>
          <w:lang w:eastAsia="en-US"/>
        </w:rPr>
      </w:pPr>
      <w:r>
        <w:rPr>
          <w:rFonts w:ascii="Palatino Linotype" w:hAnsi="Palatino Linotype" w:cs="Bookman Old Style,Bold"/>
          <w:bCs/>
          <w:lang w:eastAsia="en-US"/>
        </w:rPr>
        <w:t xml:space="preserve">Bajo ese tenor, </w:t>
      </w:r>
      <w:r>
        <w:rPr>
          <w:rFonts w:ascii="Palatino Linotype" w:hAnsi="Palatino Linotype" w:cs="Arial"/>
          <w:b/>
          <w:bCs/>
          <w:lang w:eastAsia="es-MX"/>
        </w:rPr>
        <w:t>EL SUJETO OBLIGADO</w:t>
      </w:r>
      <w:r>
        <w:rPr>
          <w:rFonts w:ascii="Palatino Linotype" w:hAnsi="Palatino Linotype" w:cs="Bookman Old Style,Bold"/>
          <w:bCs/>
          <w:lang w:eastAsia="en-US"/>
        </w:rPr>
        <w:t xml:space="preserve"> al rendir su Informe Justificado remitió: </w:t>
      </w:r>
    </w:p>
    <w:p w:rsidR="00EE77ED" w:rsidRDefault="004E48D1">
      <w:pPr>
        <w:pStyle w:val="Prrafodelista"/>
        <w:numPr>
          <w:ilvl w:val="0"/>
          <w:numId w:val="4"/>
        </w:numPr>
        <w:spacing w:beforeAutospacing="1" w:line="360" w:lineRule="auto"/>
        <w:ind w:left="714" w:hanging="357"/>
        <w:contextualSpacing/>
        <w:jc w:val="both"/>
        <w:rPr>
          <w:rFonts w:ascii="Palatino Linotype" w:hAnsi="Palatino Linotype" w:cs="Arial"/>
        </w:rPr>
      </w:pPr>
      <w:r>
        <w:rPr>
          <w:rFonts w:ascii="Palatino Linotype" w:hAnsi="Palatino Linotype" w:cs="Bookman Old Style,Bold"/>
          <w:bCs/>
          <w:lang w:eastAsia="en-US"/>
        </w:rPr>
        <w:t xml:space="preserve">Oficio número DA/0167/2020, signado por la Directora de Administración y Desarrollo Personal, en donde señaló la cantidad de juguetes comprados y el monto utilizado. </w:t>
      </w:r>
    </w:p>
    <w:p w:rsidR="00EE77ED" w:rsidRDefault="004E48D1">
      <w:pPr>
        <w:pStyle w:val="Prrafodelista"/>
        <w:numPr>
          <w:ilvl w:val="0"/>
          <w:numId w:val="4"/>
        </w:numPr>
        <w:spacing w:line="360" w:lineRule="auto"/>
        <w:ind w:left="714" w:hanging="357"/>
        <w:contextualSpacing/>
        <w:jc w:val="both"/>
        <w:rPr>
          <w:rFonts w:ascii="Palatino Linotype" w:hAnsi="Palatino Linotype" w:cs="Arial"/>
        </w:rPr>
      </w:pPr>
      <w:r>
        <w:rPr>
          <w:rFonts w:ascii="Palatino Linotype" w:hAnsi="Palatino Linotype" w:cs="Bookman Old Style,Bold"/>
          <w:bCs/>
          <w:lang w:eastAsia="en-US"/>
        </w:rPr>
        <w:t xml:space="preserve">Oficio número TM/UE/013/2020, signado por el Tesorero Municipal, en donde indicó que el Presupuesto de Egresos se distribuye y aprueba por dependencia administrativa, capítulo del gasto y partida específica del gasto con base en el Manual para la Planeación, Programación y Presupuestos de Egresos Municipal para el ejercicio fiscal 2019; por lo que, informó que los montos proyectados en cada partida del gasto engloban asignaciones por diferentes conceptos, en virtud de lo cual no existe una partida exclusiva para presupuestar la adquisición de juguetes para el día de reyes. </w:t>
      </w:r>
    </w:p>
    <w:p w:rsidR="00EE77ED" w:rsidRDefault="004E48D1">
      <w:pPr>
        <w:pStyle w:val="Prrafodelista"/>
        <w:numPr>
          <w:ilvl w:val="0"/>
          <w:numId w:val="4"/>
        </w:numPr>
        <w:spacing w:afterAutospacing="1" w:line="360" w:lineRule="auto"/>
        <w:ind w:left="714" w:hanging="357"/>
        <w:contextualSpacing/>
        <w:jc w:val="both"/>
        <w:rPr>
          <w:rFonts w:ascii="Palatino Linotype" w:hAnsi="Palatino Linotype" w:cs="Arial"/>
        </w:rPr>
      </w:pPr>
      <w:r>
        <w:rPr>
          <w:rFonts w:ascii="Palatino Linotype" w:hAnsi="Palatino Linotype" w:cs="Bookman Old Style,Bold"/>
          <w:bCs/>
          <w:lang w:eastAsia="en-US"/>
        </w:rPr>
        <w:lastRenderedPageBreak/>
        <w:t xml:space="preserve">Oficio número DHB/045/2019, signado por el Director de Desarrollo Humano y Bienestar, en donde señalo que dicha dirección en el ámbito de su competencia instrumenta mecanismos y políticas públicas que generen la integración de la población, procurando en todo momento por los sectores más vulnerables del municipio; por lo que informó que dicha Dirección hizo entrega en coordinación con diversas áreas de la administración municipal un total de 8, 500 juguetes en las diferentes localidades del municipio. </w:t>
      </w:r>
    </w:p>
    <w:p w:rsidR="00EE77ED" w:rsidRDefault="008443F0">
      <w:pPr>
        <w:spacing w:beforeAutospacing="1" w:afterAutospacing="1" w:line="360" w:lineRule="auto"/>
        <w:jc w:val="both"/>
        <w:rPr>
          <w:rFonts w:ascii="Palatino Linotype" w:hAnsi="Palatino Linotype" w:cs="Arial"/>
        </w:rPr>
      </w:pPr>
      <w:r>
        <w:rPr>
          <w:rFonts w:ascii="Palatino Linotype" w:hAnsi="Palatino Linotype" w:cs="Bookman Old Style,Bold"/>
          <w:bCs/>
          <w:noProof/>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1505585</wp:posOffset>
                </wp:positionV>
                <wp:extent cx="5962650" cy="3409950"/>
                <wp:effectExtent l="38100" t="19050" r="76200" b="95250"/>
                <wp:wrapNone/>
                <wp:docPr id="15" name="Conector recto 15"/>
                <wp:cNvGraphicFramePr/>
                <a:graphic xmlns:a="http://schemas.openxmlformats.org/drawingml/2006/main">
                  <a:graphicData uri="http://schemas.microsoft.com/office/word/2010/wordprocessingShape">
                    <wps:wsp>
                      <wps:cNvCnPr/>
                      <wps:spPr>
                        <a:xfrm>
                          <a:off x="0" y="0"/>
                          <a:ext cx="5962650" cy="3409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E80CBA" id="Conector recto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18.55pt" to="471.45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" strokecolor="#4f81bd [3204]" strokeweight="2pt">
                <v:shadow on="t" color="black" opacity="24903f" origin=",.5" offset="0,.55556mm"/>
              </v:line>
            </w:pict>
          </mc:Fallback>
        </mc:AlternateContent>
      </w:r>
      <w:r w:rsidR="004E48D1">
        <w:rPr>
          <w:rFonts w:ascii="Palatino Linotype" w:hAnsi="Palatino Linotype" w:cs="Bookman Old Style,Bold"/>
          <w:bCs/>
          <w:lang w:eastAsia="en-US"/>
        </w:rPr>
        <w:t xml:space="preserve">De lo referido con anterioridad se tiene que dicha información es precisamente la requerida por el ahora </w:t>
      </w:r>
      <w:r w:rsidR="004E48D1">
        <w:rPr>
          <w:rFonts w:ascii="Palatino Linotype" w:hAnsi="Palatino Linotype" w:cs="Bookman Old Style,Bold"/>
          <w:b/>
          <w:bCs/>
          <w:lang w:eastAsia="en-US"/>
        </w:rPr>
        <w:t>RECURRENTE</w:t>
      </w:r>
      <w:r w:rsidR="004E48D1">
        <w:rPr>
          <w:rFonts w:ascii="Palatino Linotype" w:hAnsi="Palatino Linotype" w:cs="Bookman Old Style,Bold"/>
          <w:bCs/>
          <w:lang w:eastAsia="en-US"/>
        </w:rPr>
        <w:t>,</w:t>
      </w:r>
      <w:r w:rsidR="004E48D1">
        <w:rPr>
          <w:rFonts w:ascii="Palatino Linotype" w:hAnsi="Palatino Linotype" w:cs="Bookman Old Style,Bold"/>
          <w:b/>
          <w:bCs/>
          <w:lang w:eastAsia="en-US"/>
        </w:rPr>
        <w:t xml:space="preserve"> </w:t>
      </w:r>
      <w:r w:rsidR="004E48D1">
        <w:rPr>
          <w:rFonts w:ascii="Palatino Linotype" w:hAnsi="Palatino Linotype" w:cs="Bookman Old Style,Bold"/>
          <w:bCs/>
          <w:lang w:eastAsia="en-US"/>
        </w:rPr>
        <w:t xml:space="preserve">modificando así </w:t>
      </w:r>
      <w:r w:rsidR="004E48D1">
        <w:rPr>
          <w:rFonts w:ascii="Palatino Linotype" w:hAnsi="Palatino Linotype" w:cs="Arial"/>
        </w:rPr>
        <w:t xml:space="preserve">su respuesta; por lo que, atendiendo los requisitos de legalidad y formalidad que dicta la Ley de la materia se colma así el derecho de acceso a la información del </w:t>
      </w:r>
      <w:r w:rsidR="004E48D1">
        <w:rPr>
          <w:rFonts w:ascii="Palatino Linotype" w:hAnsi="Palatino Linotype" w:cs="Arial"/>
          <w:b/>
        </w:rPr>
        <w:t>RECURRENTE</w:t>
      </w:r>
      <w:r w:rsidR="004E48D1">
        <w:rPr>
          <w:rFonts w:ascii="Palatino Linotype" w:hAnsi="Palatino Linotype" w:cs="Arial"/>
        </w:rPr>
        <w:t>,</w:t>
      </w:r>
      <w:r w:rsidR="004E48D1">
        <w:rPr>
          <w:rFonts w:ascii="Palatino Linotype" w:hAnsi="Palatino Linotype" w:cs="Arial"/>
          <w:b/>
        </w:rPr>
        <w:t xml:space="preserve"> </w:t>
      </w:r>
      <w:r w:rsidR="004E48D1">
        <w:rPr>
          <w:rFonts w:ascii="Palatino Linotype" w:hAnsi="Palatino Linotype" w:cs="Arial"/>
        </w:rPr>
        <w:t>tal como se aprecia de las imágenes insertas a continuación:</w:t>
      </w:r>
    </w:p>
    <w:p w:rsidR="00EE77ED" w:rsidRDefault="004E48D1">
      <w:pPr>
        <w:spacing w:beforeAutospacing="1" w:afterAutospacing="1" w:line="360" w:lineRule="auto"/>
        <w:jc w:val="both"/>
        <w:rPr>
          <w:rFonts w:ascii="Palatino Linotype" w:hAnsi="Palatino Linotype" w:cs="Arial"/>
        </w:rPr>
      </w:pPr>
      <w:r>
        <w:rPr>
          <w:noProof/>
          <w:lang w:eastAsia="es-MX"/>
        </w:rPr>
        <w:lastRenderedPageBreak/>
        <w:drawing>
          <wp:inline distT="0" distB="0" distL="0" distR="0">
            <wp:extent cx="5867400" cy="5800725"/>
            <wp:effectExtent l="0" t="0" r="0" b="0"/>
            <wp:docPr id="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2"/>
                    <pic:cNvPicPr>
                      <a:picLocks noChangeAspect="1" noChangeArrowheads="1"/>
                    </pic:cNvPicPr>
                  </pic:nvPicPr>
                  <pic:blipFill>
                    <a:blip r:embed="rId11"/>
                    <a:stretch>
                      <a:fillRect/>
                    </a:stretch>
                  </pic:blipFill>
                  <pic:spPr bwMode="auto">
                    <a:xfrm>
                      <a:off x="0" y="0"/>
                      <a:ext cx="5867400" cy="5800725"/>
                    </a:xfrm>
                    <a:prstGeom prst="rect">
                      <a:avLst/>
                    </a:prstGeom>
                  </pic:spPr>
                </pic:pic>
              </a:graphicData>
            </a:graphic>
          </wp:inline>
        </w:drawing>
      </w:r>
      <w:r>
        <w:rPr>
          <w:noProof/>
          <w:lang w:eastAsia="es-MX"/>
        </w:rPr>
        <mc:AlternateContent>
          <mc:Choice Requires="wps">
            <w:drawing>
              <wp:anchor distT="0" distB="0" distL="0" distR="0" simplePos="0" relativeHeight="29" behindDoc="0" locked="0" layoutInCell="1" allowOverlap="1" wp14:anchorId="5551506B">
                <wp:simplePos x="0" y="0"/>
                <wp:positionH relativeFrom="margin">
                  <wp:align>center</wp:align>
                </wp:positionH>
                <wp:positionV relativeFrom="paragraph">
                  <wp:posOffset>3343910</wp:posOffset>
                </wp:positionV>
                <wp:extent cx="4722495" cy="792480"/>
                <wp:effectExtent l="57150" t="19050" r="78740" b="104140"/>
                <wp:wrapNone/>
                <wp:docPr id="5" name="Rectángulo 42"/>
                <wp:cNvGraphicFramePr/>
                <a:graphic xmlns:a="http://schemas.openxmlformats.org/drawingml/2006/main">
                  <a:graphicData uri="http://schemas.microsoft.com/office/word/2010/wordprocessingShape">
                    <wps:wsp>
                      <wps:cNvSpPr/>
                      <wps:spPr>
                        <a:xfrm>
                          <a:off x="0" y="0"/>
                          <a:ext cx="4721760" cy="79200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2" stroked="t" style="position:absolute;margin-left:42.1pt;margin-top:263.3pt;width:371.75pt;height:62.3pt;mso-position-horizontal:center;mso-position-horizontal-relative:margin" wp14:anchorId="5551506B">
                <w10:wrap type="none"/>
                <v:fill o:detectmouseclick="t" on="false"/>
                <v:stroke color="red" weight="19080" joinstyle="round" endcap="flat"/>
                <v:shadow on="t" obscured="f" color="black"/>
              </v:rect>
            </w:pict>
          </mc:Fallback>
        </mc:AlternateConten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rPr>
      </w:pPr>
      <w:r>
        <w:rPr>
          <w:noProof/>
          <w:lang w:eastAsia="es-MX"/>
        </w:rPr>
        <w:lastRenderedPageBreak/>
        <mc:AlternateContent>
          <mc:Choice Requires="wps">
            <w:drawing>
              <wp:anchor distT="0" distB="0" distL="0" distR="0" simplePos="0" relativeHeight="30" behindDoc="0" locked="0" layoutInCell="1" allowOverlap="1" wp14:anchorId="33259837">
                <wp:simplePos x="0" y="0"/>
                <wp:positionH relativeFrom="column">
                  <wp:posOffset>323215</wp:posOffset>
                </wp:positionH>
                <wp:positionV relativeFrom="paragraph">
                  <wp:posOffset>3741420</wp:posOffset>
                </wp:positionV>
                <wp:extent cx="4987290" cy="1499870"/>
                <wp:effectExtent l="57150" t="19050" r="80645" b="101600"/>
                <wp:wrapNone/>
                <wp:docPr id="7" name="Rectángulo 44"/>
                <wp:cNvGraphicFramePr/>
                <a:graphic xmlns:a="http://schemas.openxmlformats.org/drawingml/2006/main">
                  <a:graphicData uri="http://schemas.microsoft.com/office/word/2010/wordprocessingShape">
                    <wps:wsp>
                      <wps:cNvSpPr/>
                      <wps:spPr>
                        <a:xfrm>
                          <a:off x="0" y="0"/>
                          <a:ext cx="4986720" cy="149940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4" stroked="t" style="position:absolute;margin-left:25.45pt;margin-top:294.6pt;width:392.6pt;height:118pt" wp14:anchorId="33259837">
                <w10:wrap type="none"/>
                <v:fill o:detectmouseclick="t" on="false"/>
                <v:stroke color="red" weight="19080" joinstyle="round" endcap="flat"/>
                <v:shadow on="t" obscured="f" color="black"/>
              </v:rect>
            </w:pict>
          </mc:Fallback>
        </mc:AlternateContent>
      </w:r>
      <w:r>
        <w:rPr>
          <w:noProof/>
          <w:lang w:eastAsia="es-MX"/>
        </w:rPr>
        <w:drawing>
          <wp:inline distT="0" distB="0" distL="0" distR="0">
            <wp:extent cx="5719445" cy="7230110"/>
            <wp:effectExtent l="0" t="0" r="0" b="0"/>
            <wp:docPr id="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3"/>
                    <pic:cNvPicPr>
                      <a:picLocks noChangeAspect="1" noChangeArrowheads="1"/>
                    </pic:cNvPicPr>
                  </pic:nvPicPr>
                  <pic:blipFill>
                    <a:blip r:embed="rId12"/>
                    <a:stretch>
                      <a:fillRect/>
                    </a:stretch>
                  </pic:blipFill>
                  <pic:spPr bwMode="auto">
                    <a:xfrm>
                      <a:off x="0" y="0"/>
                      <a:ext cx="5719445" cy="7230110"/>
                    </a:xfrm>
                    <a:prstGeom prst="rect">
                      <a:avLst/>
                    </a:prstGeom>
                  </pic:spPr>
                </pic:pic>
              </a:graphicData>
            </a:graphic>
          </wp:inline>
        </w:drawing>
      </w:r>
      <w:r>
        <w:rPr>
          <w:lang w:eastAsia="es-MX"/>
        </w:rPr>
        <w:t xml:space="preserve"> </w: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rPr>
      </w:pPr>
      <w:r>
        <w:rPr>
          <w:noProof/>
          <w:lang w:eastAsia="es-MX"/>
        </w:rPr>
        <w:lastRenderedPageBreak/>
        <w:drawing>
          <wp:inline distT="0" distB="0" distL="0" distR="0">
            <wp:extent cx="5796915" cy="7341235"/>
            <wp:effectExtent l="0" t="0" r="0" b="0"/>
            <wp:docPr id="1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5"/>
                    <pic:cNvPicPr>
                      <a:picLocks noChangeAspect="1" noChangeArrowheads="1"/>
                    </pic:cNvPicPr>
                  </pic:nvPicPr>
                  <pic:blipFill>
                    <a:blip r:embed="rId13"/>
                    <a:stretch>
                      <a:fillRect/>
                    </a:stretch>
                  </pic:blipFill>
                  <pic:spPr bwMode="auto">
                    <a:xfrm>
                      <a:off x="0" y="0"/>
                      <a:ext cx="5796915" cy="7341235"/>
                    </a:xfrm>
                    <a:prstGeom prst="rect">
                      <a:avLst/>
                    </a:prstGeom>
                  </pic:spPr>
                </pic:pic>
              </a:graphicData>
            </a:graphic>
          </wp:inline>
        </w:drawing>
      </w:r>
      <w:r>
        <w:rPr>
          <w:noProof/>
          <w:lang w:eastAsia="es-MX"/>
        </w:rPr>
        <mc:AlternateContent>
          <mc:Choice Requires="wps">
            <w:drawing>
              <wp:anchor distT="0" distB="0" distL="0" distR="0" simplePos="0" relativeHeight="31" behindDoc="0" locked="0" layoutInCell="1" allowOverlap="1" wp14:anchorId="41F3536C">
                <wp:simplePos x="0" y="0"/>
                <wp:positionH relativeFrom="column">
                  <wp:posOffset>351790</wp:posOffset>
                </wp:positionH>
                <wp:positionV relativeFrom="paragraph">
                  <wp:posOffset>5095240</wp:posOffset>
                </wp:positionV>
                <wp:extent cx="4667885" cy="509905"/>
                <wp:effectExtent l="57150" t="19050" r="76835" b="100965"/>
                <wp:wrapNone/>
                <wp:docPr id="9" name="Rectángulo 46"/>
                <wp:cNvGraphicFramePr/>
                <a:graphic xmlns:a="http://schemas.openxmlformats.org/drawingml/2006/main">
                  <a:graphicData uri="http://schemas.microsoft.com/office/word/2010/wordprocessingShape">
                    <wps:wsp>
                      <wps:cNvSpPr/>
                      <wps:spPr>
                        <a:xfrm>
                          <a:off x="0" y="0"/>
                          <a:ext cx="4667400" cy="50940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6" stroked="t" style="position:absolute;margin-left:27.7pt;margin-top:401.2pt;width:367.45pt;height:40.05pt" wp14:anchorId="41F3536C">
                <w10:wrap type="none"/>
                <v:fill o:detectmouseclick="t" on="false"/>
                <v:stroke color="red" weight="19080" joinstyle="round" endcap="flat"/>
                <v:shadow on="t" obscured="f" color="black"/>
              </v:rect>
            </w:pict>
          </mc:Fallback>
        </mc:AlternateConten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rPr>
      </w:pPr>
      <w:r>
        <w:rPr>
          <w:rFonts w:ascii="Palatino Linotype" w:hAnsi="Palatino Linotype" w:cs="Arial"/>
        </w:rPr>
        <w:lastRenderedPageBreak/>
        <w:t xml:space="preserve">De las imágenes insertas se tiene que </w:t>
      </w:r>
      <w:r>
        <w:rPr>
          <w:rFonts w:ascii="Palatino Linotype" w:hAnsi="Palatino Linotype" w:cs="Arial"/>
          <w:b/>
        </w:rPr>
        <w:t>EL SUJETO OBLIGADO</w:t>
      </w:r>
      <w:r>
        <w:rPr>
          <w:rFonts w:ascii="Palatino Linotype" w:hAnsi="Palatino Linotype" w:cs="Arial"/>
        </w:rPr>
        <w:t xml:space="preserve"> a través de su Informe Justificado colmó los requerimientos planteados por el particular haciendo entrega del presupuesto asignado para la compra de juguetes con motivo de día de reyes del año en curso; así como del número total de juguetes comprados y entregados a las diversas localidades del Ayuntamiento de </w:t>
      </w:r>
      <w:proofErr w:type="spellStart"/>
      <w:r>
        <w:rPr>
          <w:rFonts w:ascii="Palatino Linotype" w:hAnsi="Palatino Linotype" w:cs="Arial"/>
        </w:rPr>
        <w:t>Temoaya</w:t>
      </w:r>
      <w:proofErr w:type="spellEnd"/>
      <w:r>
        <w:rPr>
          <w:rFonts w:ascii="Palatino Linotype" w:hAnsi="Palatino Linotype" w:cs="Arial"/>
        </w:rPr>
        <w:t xml:space="preserve">, siendo los servidores públicos habilitados competentes los que remitieron la información. </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 xml:space="preserve">Por ende, el cuarto elemento normativo de la figura legal del sobreseimiento, consistente en: </w:t>
      </w:r>
      <w:r>
        <w:rPr>
          <w:rFonts w:ascii="Palatino Linotype" w:hAnsi="Palatino Linotype" w:cs="Arial"/>
          <w:i/>
        </w:rPr>
        <w:t>“…de tal manera que el medio de impugnación quede sin materia…”</w:t>
      </w:r>
      <w:r>
        <w:rPr>
          <w:rFonts w:ascii="Palatino Linotype" w:hAnsi="Palatino Linotype" w:cs="Arial"/>
        </w:rPr>
        <w:t>, en el presente caso, se actualiza tal circunstancia, ya que el acto impugnado que dio origen al presente recurso quedó sin materia por las razones anteriormente expuestas.</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lang w:val="es-ES_tradnl"/>
        </w:rPr>
      </w:pPr>
      <w:r>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EE77ED" w:rsidRDefault="004E48D1">
      <w:pPr>
        <w:pStyle w:val="Prrafodelista"/>
        <w:widowControl w:val="0"/>
        <w:tabs>
          <w:tab w:val="left" w:pos="1701"/>
          <w:tab w:val="left" w:pos="1843"/>
        </w:tabs>
        <w:spacing w:before="200" w:after="200" w:line="360" w:lineRule="auto"/>
        <w:ind w:left="0"/>
        <w:jc w:val="both"/>
        <w:rPr>
          <w:rFonts w:ascii="Palatino Linotype" w:hAnsi="Palatino Linotype" w:cs="Arial"/>
          <w:color w:val="000000" w:themeColor="text1"/>
        </w:rPr>
      </w:pPr>
      <w:r>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EE77ED" w:rsidRDefault="004E48D1">
      <w:pPr>
        <w:ind w:left="709" w:right="757"/>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2395/09 Secretaría de Economía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0837/10 Administración Portuaria Integral de Veracruz, S.A. de C.V.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w:t>
      </w:r>
    </w:p>
    <w:p w:rsidR="00EE77ED" w:rsidRDefault="00EE77ED">
      <w:pPr>
        <w:ind w:left="709" w:right="757"/>
        <w:jc w:val="both"/>
        <w:rPr>
          <w:rFonts w:ascii="Palatino Linotype" w:hAnsi="Palatino Linotype" w:cs="Arial"/>
          <w:i/>
          <w:sz w:val="22"/>
        </w:rPr>
      </w:pPr>
    </w:p>
    <w:p w:rsidR="00EE77ED" w:rsidRDefault="004E48D1">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p>
    <w:p w:rsidR="00EE77ED" w:rsidRDefault="00EE77ED">
      <w:pPr>
        <w:ind w:left="709" w:right="757"/>
        <w:jc w:val="both"/>
        <w:rPr>
          <w:rFonts w:ascii="Palatino Linotype" w:hAnsi="Palatino Linotype" w:cs="Arial"/>
          <w:b/>
          <w:i/>
          <w:sz w:val="22"/>
        </w:rPr>
      </w:pPr>
    </w:p>
    <w:p w:rsidR="00EE77ED" w:rsidRDefault="004E48D1">
      <w:pPr>
        <w:spacing w:line="360" w:lineRule="auto"/>
        <w:jc w:val="both"/>
        <w:rPr>
          <w:rFonts w:ascii="Palatino Linotype" w:hAnsi="Palatino Linotype" w:cs="Arial"/>
        </w:rPr>
      </w:pPr>
      <w:r>
        <w:rPr>
          <w:rFonts w:ascii="Palatino Linotype"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b/>
        </w:rPr>
      </w:pPr>
      <w:r>
        <w:rPr>
          <w:rFonts w:ascii="Palatino Linotype" w:hAnsi="Palatino Linotype" w:cs="Arial"/>
        </w:rPr>
        <w:t xml:space="preserve">En consecuencia, </w:t>
      </w:r>
      <w:r>
        <w:rPr>
          <w:rFonts w:ascii="Palatino Linotype" w:hAnsi="Palatino Linotype" w:cs="Arial"/>
          <w:lang w:eastAsia="es-MX"/>
        </w:rPr>
        <w:t>el Pleno de este Instituto</w:t>
      </w:r>
      <w:r>
        <w:rPr>
          <w:rFonts w:ascii="Palatino Linotype" w:hAnsi="Palatino Linotype"/>
        </w:rPr>
        <w:t xml:space="preserve">, en términos de lo dispuesto en el artículo 186, fracción I de la Ley de Transparencia y Acceso a la </w:t>
      </w:r>
      <w:r>
        <w:rPr>
          <w:rFonts w:ascii="Palatino Linotype" w:hAnsi="Palatino Linotype" w:cs="Arial"/>
        </w:rPr>
        <w:t>Información</w:t>
      </w:r>
      <w:r>
        <w:rPr>
          <w:rFonts w:ascii="Palatino Linotype" w:hAnsi="Palatino Linotype"/>
        </w:rPr>
        <w:t xml:space="preserve"> Pública del Estado de México y Municipios, determina </w:t>
      </w:r>
      <w:r>
        <w:rPr>
          <w:rFonts w:ascii="Palatino Linotype" w:hAnsi="Palatino Linotype"/>
          <w:b/>
        </w:rPr>
        <w:t xml:space="preserve">SOBRESEER </w:t>
      </w:r>
      <w:r>
        <w:rPr>
          <w:rFonts w:ascii="Palatino Linotype" w:hAnsi="Palatino Linotype"/>
        </w:rPr>
        <w:t xml:space="preserve">el presente recurso de revisión. </w:t>
      </w:r>
    </w:p>
    <w:p w:rsidR="00EE77ED" w:rsidRDefault="004E48D1">
      <w:pPr>
        <w:widowControl w:val="0"/>
        <w:spacing w:before="240" w:after="120" w:line="360" w:lineRule="auto"/>
        <w:jc w:val="both"/>
        <w:rPr>
          <w:rFonts w:ascii="Palatino Linotype" w:hAnsi="Palatino Linotype" w:cs="Arial"/>
        </w:rPr>
      </w:pPr>
      <w:r>
        <w:rPr>
          <w:rFonts w:ascii="Palatino Linotype" w:hAnsi="Palatino Linotype" w:cs="Arial"/>
        </w:rPr>
        <w:t xml:space="preserve">Así, con fundamento en lo prescrito en los artículos 5 </w:t>
      </w:r>
      <w:r>
        <w:rPr>
          <w:rFonts w:ascii="Palatino Linotype" w:hAnsi="Palatino Linotype"/>
        </w:rPr>
        <w:t>párrafos vigésimo segundo, vigésimo tercero y vigésimo cuarto fracciones IV y V</w:t>
      </w:r>
      <w:r>
        <w:rPr>
          <w:rFonts w:ascii="Palatino Linotype"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hAnsi="Palatino Linotype" w:cs="Arial"/>
        </w:rPr>
        <w:t xml:space="preserve"> de la Ley de Transparencia y Acceso a la Información Pública del Estado de México y Municipios, este Pleno:</w:t>
      </w:r>
    </w:p>
    <w:p w:rsidR="008443F0" w:rsidRDefault="008443F0">
      <w:pPr>
        <w:spacing w:before="240" w:after="240" w:line="360" w:lineRule="auto"/>
        <w:jc w:val="center"/>
        <w:rPr>
          <w:rFonts w:ascii="Palatino Linotype" w:hAnsi="Palatino Linotype"/>
          <w:b/>
          <w:sz w:val="28"/>
          <w:lang w:val="pt-BR"/>
        </w:rPr>
      </w:pPr>
    </w:p>
    <w:p w:rsidR="00EE77ED" w:rsidRPr="005F41C2" w:rsidRDefault="004E48D1">
      <w:pPr>
        <w:spacing w:before="240" w:after="240" w:line="360" w:lineRule="auto"/>
        <w:jc w:val="center"/>
        <w:rPr>
          <w:rFonts w:ascii="Palatino Linotype" w:hAnsi="Palatino Linotype"/>
          <w:b/>
          <w:sz w:val="28"/>
          <w:lang w:val="pt-BR"/>
        </w:rPr>
      </w:pPr>
      <w:r w:rsidRPr="005F41C2">
        <w:rPr>
          <w:rFonts w:ascii="Palatino Linotype" w:hAnsi="Palatino Linotype"/>
          <w:b/>
          <w:sz w:val="28"/>
          <w:lang w:val="pt-BR"/>
        </w:rPr>
        <w:lastRenderedPageBreak/>
        <w:t>R E S U E L V E</w:t>
      </w:r>
    </w:p>
    <w:p w:rsidR="00EE77ED" w:rsidRDefault="004E48D1">
      <w:pPr>
        <w:spacing w:line="360" w:lineRule="auto"/>
        <w:jc w:val="both"/>
        <w:rPr>
          <w:rFonts w:ascii="Palatino Linotype" w:hAnsi="Palatino Linotype" w:cs="Arial"/>
          <w:color w:val="000000" w:themeColor="text1"/>
        </w:rPr>
      </w:pPr>
      <w:r w:rsidRPr="005F41C2">
        <w:rPr>
          <w:rFonts w:ascii="Palatino Linotype" w:hAnsi="Palatino Linotype" w:cs="Arial"/>
          <w:b/>
          <w:color w:val="000000" w:themeColor="text1"/>
          <w:sz w:val="28"/>
          <w:lang w:val="pt-BR"/>
        </w:rPr>
        <w:t xml:space="preserve">PRIMERO. </w:t>
      </w:r>
      <w:r>
        <w:rPr>
          <w:rFonts w:ascii="Palatino Linotype" w:hAnsi="Palatino Linotype" w:cs="Arial"/>
          <w:color w:val="000000" w:themeColor="text1"/>
        </w:rPr>
        <w:t>Se</w:t>
      </w:r>
      <w:r>
        <w:rPr>
          <w:rFonts w:ascii="Palatino Linotype" w:hAnsi="Palatino Linotype" w:cs="Arial"/>
          <w:b/>
          <w:color w:val="000000" w:themeColor="text1"/>
        </w:rPr>
        <w:t xml:space="preserve"> SOBRESEE </w:t>
      </w:r>
      <w:r>
        <w:rPr>
          <w:rFonts w:ascii="Palatino Linotype" w:hAnsi="Palatino Linotype" w:cs="Arial"/>
          <w:color w:val="000000" w:themeColor="text1"/>
        </w:rPr>
        <w:t>en</w:t>
      </w:r>
      <w:r>
        <w:rPr>
          <w:rFonts w:ascii="Palatino Linotype" w:hAnsi="Palatino Linotype" w:cs="Arial"/>
          <w:b/>
          <w:color w:val="000000" w:themeColor="text1"/>
        </w:rPr>
        <w:t xml:space="preserve"> </w:t>
      </w:r>
      <w:r>
        <w:rPr>
          <w:rFonts w:ascii="Palatino Linotype" w:hAnsi="Palatino Linotype" w:cs="Arial"/>
          <w:color w:val="000000" w:themeColor="text1"/>
        </w:rPr>
        <w:t>el recurso de revisión número</w:t>
      </w:r>
      <w:r>
        <w:rPr>
          <w:rFonts w:ascii="Palatino Linotype" w:hAnsi="Palatino Linotype" w:cs="Arial"/>
          <w:b/>
          <w:color w:val="000000" w:themeColor="text1"/>
        </w:rPr>
        <w:t xml:space="preserve"> </w:t>
      </w:r>
      <w:r>
        <w:rPr>
          <w:rFonts w:ascii="Palatino Linotype" w:hAnsi="Palatino Linotype" w:cs="Arial"/>
          <w:color w:val="000000" w:themeColor="text1"/>
        </w:rPr>
        <w:t>00862/INFOEM/IP/RR/2020</w:t>
      </w:r>
      <w:r>
        <w:rPr>
          <w:rFonts w:ascii="Palatino Linotype" w:hAnsi="Palatino Linotype" w:cs="Arial"/>
          <w:b/>
          <w:color w:val="000000" w:themeColor="text1"/>
        </w:rPr>
        <w:t xml:space="preserve"> porque al modificar su respuesta el recurso de revisión quedó sin materia </w:t>
      </w:r>
      <w:r>
        <w:rPr>
          <w:rFonts w:ascii="Palatino Linotype" w:hAnsi="Palatino Linotype" w:cs="Arial"/>
          <w:color w:val="000000" w:themeColor="text1"/>
        </w:rPr>
        <w:t>en términos del Considerando</w:t>
      </w:r>
      <w:r>
        <w:rPr>
          <w:rFonts w:ascii="Palatino Linotype" w:hAnsi="Palatino Linotype" w:cs="Arial"/>
          <w:b/>
          <w:color w:val="000000" w:themeColor="text1"/>
        </w:rPr>
        <w:t xml:space="preserve"> QUINTO</w:t>
      </w:r>
      <w:r>
        <w:rPr>
          <w:rFonts w:ascii="Palatino Linotype" w:hAnsi="Palatino Linotype" w:cs="Arial"/>
          <w:color w:val="000000" w:themeColor="text1"/>
        </w:rPr>
        <w:t xml:space="preserve"> de la presente resolución.</w:t>
      </w:r>
    </w:p>
    <w:p w:rsidR="00EE77ED" w:rsidRDefault="00EE77ED">
      <w:pPr>
        <w:spacing w:line="360" w:lineRule="auto"/>
        <w:jc w:val="both"/>
        <w:rPr>
          <w:rFonts w:ascii="Palatino Linotype" w:hAnsi="Palatino Linotype" w:cs="Arial"/>
          <w:sz w:val="20"/>
        </w:rPr>
      </w:pPr>
    </w:p>
    <w:p w:rsidR="00EE77ED" w:rsidRDefault="004E48D1">
      <w:pPr>
        <w:spacing w:line="360" w:lineRule="auto"/>
        <w:jc w:val="both"/>
        <w:rPr>
          <w:rFonts w:ascii="Palatino Linotype" w:hAnsi="Palatino Linotype" w:cs="Arial"/>
        </w:rPr>
      </w:pPr>
      <w:r>
        <w:rPr>
          <w:rFonts w:ascii="Palatino Linotype" w:hAnsi="Palatino Linotype" w:cs="Arial"/>
          <w:b/>
          <w:color w:val="000000" w:themeColor="text1"/>
          <w:sz w:val="28"/>
        </w:rPr>
        <w:t>SEGUNDO</w:t>
      </w:r>
      <w:r>
        <w:rPr>
          <w:rFonts w:ascii="Palatino Linotype" w:hAnsi="Palatino Linotype" w:cs="Arial"/>
          <w:color w:val="000000" w:themeColor="text1"/>
          <w:sz w:val="28"/>
        </w:rPr>
        <w:t xml:space="preserve">. </w:t>
      </w:r>
      <w:proofErr w:type="gramStart"/>
      <w:r>
        <w:rPr>
          <w:rFonts w:ascii="Palatino Linotype" w:hAnsi="Palatino Linotype" w:cs="Arial"/>
          <w:b/>
          <w:color w:val="222222"/>
          <w:shd w:val="clear" w:color="auto" w:fill="FFFFFF"/>
        </w:rPr>
        <w:t xml:space="preserve">Notifíquese </w:t>
      </w:r>
      <w:r>
        <w:rPr>
          <w:rStyle w:val="apple-converted-space"/>
          <w:rFonts w:ascii="Palatino Linotype" w:hAnsi="Palatino Linotype" w:cs="Arial"/>
          <w:i/>
          <w:color w:val="222222"/>
          <w:shd w:val="clear" w:color="auto" w:fill="FFFFFF"/>
        </w:rPr>
        <w:t> </w:t>
      </w:r>
      <w:r>
        <w:rPr>
          <w:rFonts w:ascii="Palatino Linotype" w:hAnsi="Palatino Linotype" w:cs="Arial"/>
          <w:color w:val="222222"/>
          <w:shd w:val="clear" w:color="auto" w:fill="FFFFFF"/>
        </w:rPr>
        <w:t>al</w:t>
      </w:r>
      <w:proofErr w:type="gramEnd"/>
      <w:r>
        <w:rPr>
          <w:rFonts w:ascii="Palatino Linotype" w:hAnsi="Palatino Linotype" w:cs="Arial"/>
          <w:color w:val="222222"/>
          <w:shd w:val="clear" w:color="auto" w:fill="FFFFFF"/>
        </w:rPr>
        <w:t xml:space="preserve"> Titular de la Unidad de Transparencia del</w:t>
      </w:r>
      <w:r>
        <w:rPr>
          <w:rStyle w:val="apple-converted-space"/>
          <w:rFonts w:ascii="Palatino Linotype" w:hAnsi="Palatino Linotype" w:cs="Arial"/>
          <w:color w:val="222222"/>
          <w:shd w:val="clear" w:color="auto" w:fill="FFFFFF"/>
        </w:rPr>
        <w:t> </w:t>
      </w:r>
      <w:r>
        <w:rPr>
          <w:rFonts w:ascii="Palatino Linotype" w:hAnsi="Palatino Linotype" w:cs="Arial"/>
          <w:b/>
          <w:color w:val="222222"/>
          <w:shd w:val="clear" w:color="auto" w:fill="FFFFFF"/>
        </w:rPr>
        <w:t>SUJETO OBLIGADO</w:t>
      </w:r>
      <w:r>
        <w:rPr>
          <w:rFonts w:ascii="Palatino Linotype" w:hAnsi="Palatino Linotype" w:cs="Arial"/>
          <w:color w:val="222222"/>
          <w:shd w:val="clear" w:color="auto" w:fill="FFFFFF"/>
        </w:rPr>
        <w:t xml:space="preserve"> para su conocimiento. </w:t>
      </w:r>
    </w:p>
    <w:p w:rsidR="00EE77ED" w:rsidRDefault="00EE77ED">
      <w:pPr>
        <w:spacing w:line="360" w:lineRule="auto"/>
        <w:jc w:val="both"/>
        <w:rPr>
          <w:rFonts w:ascii="Palatino Linotype" w:hAnsi="Palatino Linotype" w:cs="Arial"/>
          <w:b/>
          <w:bCs/>
          <w:color w:val="000000"/>
          <w:sz w:val="14"/>
          <w:lang w:eastAsia="es-MX"/>
        </w:rPr>
      </w:pPr>
    </w:p>
    <w:p w:rsidR="00EE77ED" w:rsidRDefault="004E48D1">
      <w:pPr>
        <w:widowControl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TERCERO.</w:t>
      </w:r>
      <w:r>
        <w:rPr>
          <w:rFonts w:ascii="Palatino Linotype" w:eastAsiaTheme="minorEastAsia" w:hAnsi="Palatino Linotype"/>
          <w:b/>
          <w:color w:val="222222"/>
          <w:szCs w:val="17"/>
          <w:lang w:eastAsia="es-ES_tradnl"/>
        </w:rPr>
        <w:t xml:space="preserve"> Notifíquese</w:t>
      </w:r>
      <w:r>
        <w:rPr>
          <w:rFonts w:ascii="Palatino Linotype" w:eastAsiaTheme="minorEastAsia" w:hAnsi="Palatino Linotype"/>
          <w:color w:val="222222"/>
          <w:szCs w:val="17"/>
          <w:lang w:eastAsia="es-ES_tradnl"/>
        </w:rPr>
        <w:t xml:space="preserve"> al </w:t>
      </w:r>
      <w:r>
        <w:rPr>
          <w:rFonts w:ascii="Palatino Linotype" w:eastAsiaTheme="minorEastAsia" w:hAnsi="Palatino Linotype"/>
          <w:b/>
          <w:color w:val="222222"/>
          <w:szCs w:val="17"/>
          <w:lang w:eastAsia="es-ES_tradnl"/>
        </w:rPr>
        <w:t>RECURRENTE</w:t>
      </w:r>
      <w:r>
        <w:rPr>
          <w:rFonts w:ascii="Palatino Linotype" w:eastAsiaTheme="minorEastAsia" w:hAnsi="Palatino Linotype"/>
          <w:color w:val="222222"/>
          <w:szCs w:val="17"/>
          <w:lang w:eastAsia="es-ES_tradnl"/>
        </w:rPr>
        <w:t xml:space="preserve"> la presente resolución. </w:t>
      </w:r>
    </w:p>
    <w:p w:rsidR="00EE77ED" w:rsidRDefault="00EE77ED">
      <w:pPr>
        <w:widowControl w:val="0"/>
        <w:spacing w:line="360" w:lineRule="auto"/>
        <w:jc w:val="both"/>
        <w:rPr>
          <w:rFonts w:ascii="Palatino Linotype" w:hAnsi="Palatino Linotype" w:cs="Arial"/>
          <w:b/>
          <w:color w:val="000000" w:themeColor="text1"/>
          <w:sz w:val="14"/>
          <w:szCs w:val="28"/>
        </w:rPr>
      </w:pPr>
    </w:p>
    <w:p w:rsidR="00EE77ED" w:rsidRDefault="004E48D1">
      <w:pPr>
        <w:widowControl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 xml:space="preserve">CUARTO. </w:t>
      </w:r>
      <w:r>
        <w:rPr>
          <w:rFonts w:ascii="Palatino Linotype" w:eastAsiaTheme="minorEastAsia" w:hAnsi="Palatino Linotype"/>
          <w:b/>
          <w:color w:val="222222"/>
          <w:szCs w:val="17"/>
          <w:lang w:eastAsia="es-ES_tradnl"/>
        </w:rPr>
        <w:t>Hágase del conocimiento</w:t>
      </w:r>
      <w:r>
        <w:rPr>
          <w:rFonts w:ascii="Palatino Linotype" w:eastAsiaTheme="minorEastAsia" w:hAnsi="Palatino Linotype"/>
          <w:color w:val="222222"/>
          <w:szCs w:val="17"/>
          <w:lang w:eastAsia="es-ES_tradnl"/>
        </w:rPr>
        <w:t xml:space="preserve"> al </w:t>
      </w:r>
      <w:r>
        <w:rPr>
          <w:rFonts w:ascii="Palatino Linotype" w:eastAsiaTheme="minorEastAsia" w:hAnsi="Palatino Linotype"/>
          <w:b/>
          <w:color w:val="222222"/>
          <w:szCs w:val="17"/>
          <w:lang w:eastAsia="es-ES_tradnl"/>
        </w:rPr>
        <w:t>RECURRENTE</w:t>
      </w:r>
      <w:r>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E77ED" w:rsidRDefault="00EE77ED">
      <w:pPr>
        <w:spacing w:line="360" w:lineRule="auto"/>
        <w:jc w:val="both"/>
        <w:rPr>
          <w:rFonts w:ascii="Palatino Linotype" w:hAnsi="Palatino Linotype" w:cs="Arial"/>
        </w:rPr>
      </w:pPr>
    </w:p>
    <w:p w:rsidR="00EE77ED" w:rsidRDefault="004E48D1">
      <w:pPr>
        <w:spacing w:line="360" w:lineRule="auto"/>
        <w:jc w:val="both"/>
        <w:rPr>
          <w:rFonts w:ascii="Palatino Linotype" w:hAnsi="Palatino Linotype" w:cs="Arial"/>
        </w:rPr>
      </w:pPr>
      <w:r>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TERCERA SESIÓN ORDINARIA CELEBRADA EL DOCE DE AGOSTO DE DOS MIL VEINTE, ANTE EL SECRETARIO TÉCNICO DEL PLENO, ALEXIS TAPIA RAMÍREZ.</w:t>
      </w:r>
    </w:p>
    <w:tbl>
      <w:tblPr>
        <w:tblW w:w="10365" w:type="dxa"/>
        <w:jc w:val="center"/>
        <w:tblLook w:val="04A0" w:firstRow="1" w:lastRow="0" w:firstColumn="1" w:lastColumn="0" w:noHBand="0" w:noVBand="1"/>
      </w:tblPr>
      <w:tblGrid>
        <w:gridCol w:w="5182"/>
        <w:gridCol w:w="5183"/>
      </w:tblGrid>
      <w:tr w:rsidR="00EE77ED">
        <w:trPr>
          <w:jc w:val="center"/>
        </w:trPr>
        <w:tc>
          <w:tcPr>
            <w:tcW w:w="10364" w:type="dxa"/>
            <w:gridSpan w:val="2"/>
            <w:shd w:val="clear" w:color="auto" w:fill="auto"/>
          </w:tcPr>
          <w:p w:rsidR="00EE77ED" w:rsidRDefault="00EE77ED">
            <w:pPr>
              <w:jc w:val="center"/>
              <w:rPr>
                <w:rFonts w:ascii="Palatino Linotype" w:hAnsi="Palatino Linotype" w:cs="Arial"/>
                <w:b/>
              </w:rPr>
            </w:pPr>
          </w:p>
          <w:p w:rsidR="00EE77ED" w:rsidRDefault="00EE77ED">
            <w:pPr>
              <w:jc w:val="center"/>
              <w:rPr>
                <w:rFonts w:ascii="Palatino Linotype" w:hAnsi="Palatino Linotype" w:cs="Arial"/>
                <w:b/>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Zulema Martínez Sánchez</w:t>
            </w:r>
          </w:p>
          <w:p w:rsidR="00EE77ED" w:rsidRDefault="004E48D1">
            <w:pPr>
              <w:jc w:val="center"/>
              <w:rPr>
                <w:rFonts w:ascii="Palatino Linotype" w:hAnsi="Palatino Linotype" w:cs="Arial"/>
                <w:b/>
                <w:lang w:val="es-ES_tradnl"/>
              </w:rPr>
            </w:pPr>
            <w:r>
              <w:rPr>
                <w:rFonts w:ascii="Palatino Linotype" w:hAnsi="Palatino Linotype" w:cs="Arial"/>
                <w:lang w:val="es-ES_tradnl"/>
              </w:rPr>
              <w:t>Comisionada Presidenta</w:t>
            </w:r>
          </w:p>
          <w:p w:rsidR="00EE77ED" w:rsidRDefault="004E48D1">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EE77ED">
        <w:trPr>
          <w:jc w:val="center"/>
        </w:trPr>
        <w:tc>
          <w:tcPr>
            <w:tcW w:w="5182" w:type="dxa"/>
            <w:shd w:val="clear" w:color="auto" w:fill="auto"/>
          </w:tcPr>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8443F0" w:rsidRDefault="008443F0">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Eva Abaid Yapur</w:t>
            </w:r>
          </w:p>
          <w:p w:rsidR="00EE77ED" w:rsidRDefault="004E48D1">
            <w:pPr>
              <w:jc w:val="center"/>
              <w:rPr>
                <w:rFonts w:ascii="Palatino Linotype" w:hAnsi="Palatino Linotype" w:cs="Arial"/>
                <w:lang w:val="es-ES_tradnl"/>
              </w:rPr>
            </w:pPr>
            <w:r>
              <w:rPr>
                <w:rFonts w:ascii="Palatino Linotype" w:hAnsi="Palatino Linotype" w:cs="Arial"/>
                <w:lang w:val="es-ES_tradnl"/>
              </w:rPr>
              <w:t>Comisionada</w:t>
            </w:r>
          </w:p>
          <w:p w:rsidR="00EE77ED" w:rsidRDefault="004E48D1">
            <w:pPr>
              <w:jc w:val="center"/>
              <w:rPr>
                <w:rFonts w:ascii="Palatino Linotype" w:hAnsi="Palatino Linotype" w:cs="Arial"/>
                <w:b/>
                <w:lang w:val="es-ES_tradnl"/>
              </w:rPr>
            </w:pPr>
            <w:r>
              <w:rPr>
                <w:rFonts w:ascii="Palatino Linotype" w:hAnsi="Palatino Linotype" w:cs="Arial"/>
                <w:b/>
                <w:lang w:val="es-ES_tradnl"/>
              </w:rPr>
              <w:t>(RÚBRICA)</w:t>
            </w:r>
          </w:p>
        </w:tc>
        <w:tc>
          <w:tcPr>
            <w:tcW w:w="5182" w:type="dxa"/>
            <w:shd w:val="clear" w:color="auto" w:fill="auto"/>
          </w:tcPr>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8443F0" w:rsidRDefault="008443F0">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EE77ED" w:rsidRDefault="004E48D1">
            <w:pPr>
              <w:jc w:val="center"/>
              <w:rPr>
                <w:rFonts w:ascii="Palatino Linotype" w:hAnsi="Palatino Linotype" w:cs="Arial"/>
                <w:lang w:val="es-ES_tradnl"/>
              </w:rPr>
            </w:pPr>
            <w:r>
              <w:rPr>
                <w:rFonts w:ascii="Palatino Linotype" w:hAnsi="Palatino Linotype" w:cs="Arial"/>
                <w:lang w:val="es-ES_tradnl"/>
              </w:rPr>
              <w:t>Comisionado</w:t>
            </w:r>
          </w:p>
          <w:p w:rsidR="00EE77ED" w:rsidRDefault="004E48D1">
            <w:pPr>
              <w:jc w:val="center"/>
              <w:rPr>
                <w:rFonts w:ascii="Palatino Linotype" w:hAnsi="Palatino Linotype" w:cs="Arial"/>
                <w:b/>
                <w:lang w:val="es-ES_tradnl"/>
              </w:rPr>
            </w:pPr>
            <w:r>
              <w:rPr>
                <w:rFonts w:ascii="Palatino Linotype" w:hAnsi="Palatino Linotype" w:cs="Arial"/>
                <w:b/>
                <w:lang w:val="es-ES_tradnl"/>
              </w:rPr>
              <w:t>(RÚBRICA)</w:t>
            </w:r>
          </w:p>
        </w:tc>
      </w:tr>
      <w:tr w:rsidR="00EE77ED">
        <w:trPr>
          <w:jc w:val="center"/>
        </w:trPr>
        <w:tc>
          <w:tcPr>
            <w:tcW w:w="5182" w:type="dxa"/>
            <w:shd w:val="clear" w:color="auto" w:fill="auto"/>
          </w:tcPr>
          <w:p w:rsidR="00EE77ED" w:rsidRDefault="00EE77ED">
            <w:pPr>
              <w:jc w:val="center"/>
              <w:rPr>
                <w:rFonts w:ascii="Palatino Linotype" w:hAnsi="Palatino Linotype" w:cs="Arial"/>
                <w:b/>
                <w:lang w:val="es-ES_tradnl"/>
              </w:rPr>
            </w:pPr>
          </w:p>
          <w:p w:rsidR="008443F0" w:rsidRDefault="008443F0">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Javier Martínez Cruz</w:t>
            </w:r>
          </w:p>
          <w:p w:rsidR="00EE77ED" w:rsidRDefault="004E48D1">
            <w:pPr>
              <w:jc w:val="center"/>
              <w:rPr>
                <w:rFonts w:ascii="Palatino Linotype" w:hAnsi="Palatino Linotype" w:cs="Arial"/>
                <w:lang w:val="es-ES_tradnl"/>
              </w:rPr>
            </w:pPr>
            <w:r>
              <w:rPr>
                <w:rFonts w:ascii="Palatino Linotype" w:hAnsi="Palatino Linotype" w:cs="Arial"/>
                <w:lang w:val="es-ES_tradnl"/>
              </w:rPr>
              <w:t>Comisionado</w:t>
            </w:r>
          </w:p>
          <w:p w:rsidR="00EE77ED" w:rsidRDefault="004E48D1">
            <w:pPr>
              <w:jc w:val="center"/>
              <w:rPr>
                <w:rFonts w:ascii="Palatino Linotype" w:hAnsi="Palatino Linotype" w:cs="Arial"/>
                <w:lang w:val="es-ES_tradnl"/>
              </w:rPr>
            </w:pPr>
            <w:r>
              <w:rPr>
                <w:rFonts w:ascii="Palatino Linotype" w:hAnsi="Palatino Linotype" w:cs="Arial"/>
                <w:b/>
                <w:lang w:val="es-ES_tradnl"/>
              </w:rPr>
              <w:t>(RÚBRICA)</w:t>
            </w:r>
          </w:p>
        </w:tc>
        <w:tc>
          <w:tcPr>
            <w:tcW w:w="5182" w:type="dxa"/>
            <w:shd w:val="clear" w:color="auto" w:fill="auto"/>
          </w:tcPr>
          <w:p w:rsidR="00EE77ED" w:rsidRDefault="00EE77ED">
            <w:pPr>
              <w:jc w:val="center"/>
              <w:rPr>
                <w:rFonts w:ascii="Palatino Linotype" w:hAnsi="Palatino Linotype" w:cs="Arial"/>
                <w:b/>
                <w:lang w:val="es-ES_tradnl"/>
              </w:rPr>
            </w:pPr>
          </w:p>
          <w:p w:rsidR="008443F0" w:rsidRDefault="008443F0">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Luis Gustavo Parra Noriega</w:t>
            </w:r>
          </w:p>
          <w:p w:rsidR="00EE77ED" w:rsidRDefault="004E48D1">
            <w:pPr>
              <w:jc w:val="center"/>
              <w:rPr>
                <w:rFonts w:ascii="Palatino Linotype" w:hAnsi="Palatino Linotype" w:cs="Arial"/>
                <w:lang w:val="es-ES_tradnl"/>
              </w:rPr>
            </w:pPr>
            <w:r>
              <w:rPr>
                <w:rFonts w:ascii="Palatino Linotype" w:hAnsi="Palatino Linotype" w:cs="Arial"/>
                <w:lang w:val="es-ES_tradnl"/>
              </w:rPr>
              <w:t>Comisionado</w:t>
            </w:r>
          </w:p>
          <w:p w:rsidR="00EE77ED" w:rsidRDefault="004E48D1">
            <w:pPr>
              <w:jc w:val="center"/>
              <w:rPr>
                <w:rFonts w:ascii="Palatino Linotype" w:hAnsi="Palatino Linotype" w:cs="Arial"/>
                <w:b/>
                <w:lang w:val="es-ES_tradnl"/>
              </w:rPr>
            </w:pPr>
            <w:r>
              <w:rPr>
                <w:rFonts w:ascii="Palatino Linotype" w:hAnsi="Palatino Linotype" w:cs="Arial"/>
                <w:b/>
                <w:lang w:val="es-ES_tradnl"/>
              </w:rPr>
              <w:t>(RÚBRICA)</w:t>
            </w:r>
          </w:p>
        </w:tc>
      </w:tr>
      <w:tr w:rsidR="00EE77ED">
        <w:trPr>
          <w:jc w:val="center"/>
        </w:trPr>
        <w:tc>
          <w:tcPr>
            <w:tcW w:w="10364" w:type="dxa"/>
            <w:gridSpan w:val="2"/>
            <w:shd w:val="clear" w:color="auto" w:fill="auto"/>
          </w:tcPr>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EE77ED">
            <w:pPr>
              <w:jc w:val="center"/>
              <w:rPr>
                <w:rFonts w:ascii="Palatino Linotype" w:hAnsi="Palatino Linotype" w:cs="Arial"/>
                <w:b/>
                <w:lang w:val="es-ES_tradnl"/>
              </w:rPr>
            </w:pPr>
          </w:p>
          <w:p w:rsidR="00EE77ED" w:rsidRDefault="004E48D1">
            <w:pPr>
              <w:jc w:val="center"/>
              <w:rPr>
                <w:rFonts w:ascii="Palatino Linotype" w:hAnsi="Palatino Linotype" w:cs="Arial"/>
                <w:b/>
                <w:lang w:val="es-ES_tradnl"/>
              </w:rPr>
            </w:pPr>
            <w:r>
              <w:rPr>
                <w:rFonts w:ascii="Palatino Linotype" w:hAnsi="Palatino Linotype" w:cs="Arial"/>
                <w:b/>
                <w:lang w:val="es-ES_tradnl"/>
              </w:rPr>
              <w:t>Alexis Tapia Ramírez</w:t>
            </w:r>
          </w:p>
          <w:p w:rsidR="00EE77ED" w:rsidRDefault="004E48D1">
            <w:pPr>
              <w:jc w:val="center"/>
              <w:rPr>
                <w:rFonts w:ascii="Palatino Linotype" w:hAnsi="Palatino Linotype" w:cs="Arial"/>
                <w:lang w:val="es-ES_tradnl"/>
              </w:rPr>
            </w:pPr>
            <w:r>
              <w:rPr>
                <w:rFonts w:ascii="Palatino Linotype" w:hAnsi="Palatino Linotype" w:cs="Arial"/>
                <w:lang w:val="es-ES_tradnl"/>
              </w:rPr>
              <w:t>Secretario Técnico del Pleno</w:t>
            </w:r>
          </w:p>
          <w:p w:rsidR="00EE77ED" w:rsidRDefault="004E48D1">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EE77ED" w:rsidRDefault="00EE77ED">
      <w:pPr>
        <w:jc w:val="both"/>
        <w:rPr>
          <w:rFonts w:ascii="Palatino Linotype" w:hAnsi="Palatino Linotype" w:cs="Arial"/>
          <w:sz w:val="22"/>
          <w:szCs w:val="22"/>
          <w:lang w:val="es-ES"/>
        </w:rPr>
      </w:pPr>
    </w:p>
    <w:p w:rsidR="00EE77ED" w:rsidRDefault="004E48D1">
      <w:pPr>
        <w:jc w:val="both"/>
        <w:rPr>
          <w:rFonts w:ascii="Palatino Linotype" w:hAnsi="Palatino Linotype" w:cs="Arial"/>
          <w:sz w:val="22"/>
          <w:szCs w:val="22"/>
          <w:lang w:val="es-ES"/>
        </w:rPr>
      </w:pPr>
      <w:r>
        <w:rPr>
          <w:rFonts w:ascii="Palatino Linotype" w:hAnsi="Palatino Linotype" w:cs="Arial"/>
          <w:sz w:val="22"/>
          <w:szCs w:val="22"/>
          <w:lang w:val="es-ES"/>
        </w:rPr>
        <w:t>Esta hoja corresponde a la resolución de fecha doce de agosto de dos mil veinte, emitida en el recurso de revisión número 00862/INFOEM/IP/RR/2020.</w:t>
      </w:r>
    </w:p>
    <w:p w:rsidR="00EE77ED" w:rsidRDefault="004E48D1">
      <w:pPr>
        <w:spacing w:before="120" w:line="360" w:lineRule="auto"/>
        <w:jc w:val="both"/>
        <w:rPr>
          <w:rFonts w:ascii="Palatino Linotype" w:hAnsi="Palatino Linotype" w:cs="Arial"/>
          <w:sz w:val="22"/>
          <w:szCs w:val="22"/>
          <w:lang w:val="es-ES"/>
        </w:rPr>
      </w:pPr>
      <w:r>
        <w:rPr>
          <w:rFonts w:ascii="Palatino Linotype" w:hAnsi="Palatino Linotype" w:cs="Arial"/>
          <w:sz w:val="22"/>
          <w:szCs w:val="22"/>
          <w:lang w:val="es-ES"/>
        </w:rPr>
        <w:t>YSM/IAHA</w:t>
      </w:r>
    </w:p>
    <w:sectPr w:rsidR="00EE77ED">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C87" w:rsidRDefault="001C3C87">
      <w:r>
        <w:separator/>
      </w:r>
    </w:p>
  </w:endnote>
  <w:endnote w:type="continuationSeparator" w:id="0">
    <w:p w:rsidR="001C3C87" w:rsidRDefault="001C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ED" w:rsidRDefault="004E48D1">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62D7A">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62D7A">
      <w:rPr>
        <w:rFonts w:ascii="Palatino Linotype" w:hAnsi="Palatino Linotype" w:cs="Arial"/>
        <w:bCs/>
        <w:noProof/>
        <w:sz w:val="22"/>
        <w:szCs w:val="22"/>
      </w:rPr>
      <w:t>21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ED" w:rsidRDefault="004E48D1">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62D7A">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62D7A">
      <w:rPr>
        <w:rFonts w:ascii="Palatino Linotype" w:hAnsi="Palatino Linotype" w:cs="Arial"/>
        <w:bCs/>
        <w:noProof/>
        <w:sz w:val="22"/>
        <w:szCs w:val="22"/>
      </w:rPr>
      <w:t>21</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C87" w:rsidRDefault="001C3C87">
      <w:r>
        <w:separator/>
      </w:r>
    </w:p>
  </w:footnote>
  <w:footnote w:type="continuationSeparator" w:id="0">
    <w:p w:rsidR="001C3C87" w:rsidRDefault="001C3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ED" w:rsidRDefault="004E48D1">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21"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EE77ED">
      <w:tc>
        <w:tcPr>
          <w:tcW w:w="3260" w:type="dxa"/>
          <w:vMerge w:val="restart"/>
        </w:tcPr>
        <w:p w:rsidR="00EE77ED" w:rsidRDefault="004E48D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EE77ED" w:rsidRDefault="004E48D1">
          <w:pPr>
            <w:jc w:val="both"/>
            <w:rPr>
              <w:rFonts w:ascii="Palatino Linotype" w:hAnsi="Palatino Linotype"/>
              <w:b/>
              <w:sz w:val="22"/>
              <w:szCs w:val="22"/>
              <w:lang w:val="es-ES_tradnl"/>
            </w:rPr>
          </w:pPr>
          <w:r>
            <w:rPr>
              <w:rFonts w:ascii="Palatino Linotype" w:hAnsi="Palatino Linotype"/>
              <w:b/>
              <w:sz w:val="22"/>
              <w:szCs w:val="22"/>
              <w:lang w:val="es-ES_tradnl"/>
            </w:rPr>
            <w:t>00862/INFOEM/IP/RR/2020</w:t>
          </w:r>
        </w:p>
      </w:tc>
    </w:tr>
    <w:tr w:rsidR="00EE77ED">
      <w:tc>
        <w:tcPr>
          <w:tcW w:w="3260" w:type="dxa"/>
          <w:vMerge/>
        </w:tcPr>
        <w:p w:rsidR="00EE77ED" w:rsidRDefault="00EE77ED">
          <w:pPr>
            <w:rPr>
              <w:rFonts w:ascii="Palatino Linotype" w:hAnsi="Palatino Linotype"/>
              <w:b/>
              <w:sz w:val="22"/>
              <w:szCs w:val="22"/>
              <w:lang w:val="es-ES_tradnl"/>
            </w:rPr>
          </w:pPr>
        </w:p>
      </w:tc>
      <w:tc>
        <w:tcPr>
          <w:tcW w:w="2551"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EE77ED" w:rsidRDefault="004E48D1">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p>
      </w:tc>
    </w:tr>
    <w:tr w:rsidR="00EE77ED">
      <w:trPr>
        <w:trHeight w:val="228"/>
      </w:trPr>
      <w:tc>
        <w:tcPr>
          <w:tcW w:w="3260" w:type="dxa"/>
          <w:vMerge/>
        </w:tcPr>
        <w:p w:rsidR="00EE77ED" w:rsidRDefault="00EE77ED">
          <w:pPr>
            <w:rPr>
              <w:rFonts w:ascii="Palatino Linotype" w:hAnsi="Palatino Linotype"/>
              <w:b/>
              <w:sz w:val="22"/>
              <w:szCs w:val="22"/>
              <w:lang w:val="es-ES_tradnl"/>
            </w:rPr>
          </w:pPr>
        </w:p>
      </w:tc>
      <w:tc>
        <w:tcPr>
          <w:tcW w:w="2551"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EE77ED" w:rsidRDefault="004E48D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E77ED" w:rsidRDefault="00EE77E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ED" w:rsidRDefault="004E48D1">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EE77ED">
      <w:tc>
        <w:tcPr>
          <w:tcW w:w="4252" w:type="dxa"/>
          <w:vMerge w:val="restart"/>
          <w:shd w:val="clear" w:color="auto" w:fill="auto"/>
        </w:tcPr>
        <w:p w:rsidR="00EE77ED" w:rsidRDefault="004E48D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EE77ED" w:rsidRDefault="004E48D1">
          <w:pPr>
            <w:jc w:val="both"/>
            <w:rPr>
              <w:rFonts w:ascii="Palatino Linotype" w:hAnsi="Palatino Linotype"/>
              <w:b/>
              <w:sz w:val="22"/>
              <w:szCs w:val="22"/>
              <w:lang w:val="es-ES_tradnl"/>
            </w:rPr>
          </w:pPr>
          <w:r>
            <w:rPr>
              <w:rFonts w:ascii="Palatino Linotype" w:hAnsi="Palatino Linotype"/>
              <w:b/>
              <w:sz w:val="22"/>
              <w:szCs w:val="22"/>
              <w:lang w:val="es-ES_tradnl"/>
            </w:rPr>
            <w:t>00862/INFOEM/IP/RR/2020</w:t>
          </w:r>
        </w:p>
      </w:tc>
    </w:tr>
    <w:tr w:rsidR="00EE77ED">
      <w:tc>
        <w:tcPr>
          <w:tcW w:w="4252" w:type="dxa"/>
          <w:vMerge/>
          <w:shd w:val="clear" w:color="auto" w:fill="auto"/>
        </w:tcPr>
        <w:p w:rsidR="00EE77ED" w:rsidRDefault="00EE77ED">
          <w:pPr>
            <w:rPr>
              <w:rFonts w:ascii="Palatino Linotype" w:hAnsi="Palatino Linotype"/>
              <w:b/>
              <w:sz w:val="22"/>
              <w:szCs w:val="22"/>
              <w:lang w:val="es-ES_tradnl"/>
            </w:rPr>
          </w:pPr>
        </w:p>
      </w:tc>
      <w:tc>
        <w:tcPr>
          <w:tcW w:w="2552"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EE77ED" w:rsidRDefault="00AE5F20" w:rsidP="00AE5F20">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4E48D1">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E48D1">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4E48D1">
            <w:rPr>
              <w:rFonts w:ascii="Palatino Linotype" w:hAnsi="Palatino Linotype"/>
              <w:b/>
              <w:sz w:val="22"/>
              <w:szCs w:val="22"/>
              <w:lang w:val="es-ES_tradnl"/>
            </w:rPr>
            <w:t xml:space="preserve"> </w:t>
          </w:r>
          <w:r>
            <w:rPr>
              <w:rFonts w:ascii="Palatino Linotype" w:hAnsi="Palatino Linotype"/>
              <w:b/>
              <w:sz w:val="22"/>
              <w:szCs w:val="22"/>
              <w:lang w:val="es-ES_tradnl"/>
            </w:rPr>
            <w:t>XXXXXXXXXX</w:t>
          </w:r>
        </w:p>
      </w:tc>
    </w:tr>
    <w:tr w:rsidR="00EE77ED">
      <w:trPr>
        <w:trHeight w:val="228"/>
      </w:trPr>
      <w:tc>
        <w:tcPr>
          <w:tcW w:w="4252" w:type="dxa"/>
          <w:vMerge/>
          <w:shd w:val="clear" w:color="auto" w:fill="auto"/>
        </w:tcPr>
        <w:p w:rsidR="00EE77ED" w:rsidRDefault="00EE77ED">
          <w:pPr>
            <w:rPr>
              <w:rFonts w:ascii="Palatino Linotype" w:hAnsi="Palatino Linotype"/>
              <w:b/>
              <w:sz w:val="22"/>
              <w:szCs w:val="22"/>
              <w:lang w:val="es-ES_tradnl"/>
            </w:rPr>
          </w:pPr>
        </w:p>
      </w:tc>
      <w:tc>
        <w:tcPr>
          <w:tcW w:w="2552"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EE77ED" w:rsidRDefault="004E48D1">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p>
      </w:tc>
    </w:tr>
    <w:tr w:rsidR="00EE77ED">
      <w:tc>
        <w:tcPr>
          <w:tcW w:w="4252" w:type="dxa"/>
          <w:vMerge/>
          <w:shd w:val="clear" w:color="auto" w:fill="auto"/>
        </w:tcPr>
        <w:p w:rsidR="00EE77ED" w:rsidRDefault="00EE77ED">
          <w:pPr>
            <w:rPr>
              <w:rFonts w:ascii="Palatino Linotype" w:hAnsi="Palatino Linotype"/>
              <w:b/>
              <w:sz w:val="22"/>
              <w:szCs w:val="22"/>
              <w:lang w:val="es-ES_tradnl"/>
            </w:rPr>
          </w:pPr>
        </w:p>
      </w:tc>
      <w:tc>
        <w:tcPr>
          <w:tcW w:w="2552" w:type="dxa"/>
          <w:shd w:val="clear" w:color="auto" w:fill="auto"/>
        </w:tcPr>
        <w:p w:rsidR="00EE77ED" w:rsidRDefault="004E48D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EE77ED" w:rsidRDefault="004E48D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E77ED" w:rsidRDefault="00EE77E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E5978"/>
    <w:multiLevelType w:val="hybridMultilevel"/>
    <w:tmpl w:val="0DEC6AC6"/>
    <w:lvl w:ilvl="0" w:tplc="DC56837C">
      <w:start w:val="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15:restartNumberingAfterBreak="0">
    <w:nsid w:val="12C07E1E"/>
    <w:multiLevelType w:val="multilevel"/>
    <w:tmpl w:val="CAA242B8"/>
    <w:lvl w:ilvl="0">
      <w:start w:val="1"/>
      <w:numFmt w:val="upperRoman"/>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6C51199"/>
    <w:multiLevelType w:val="multilevel"/>
    <w:tmpl w:val="A678DA16"/>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3" w15:restartNumberingAfterBreak="0">
    <w:nsid w:val="2F934785"/>
    <w:multiLevelType w:val="multilevel"/>
    <w:tmpl w:val="1B9C9204"/>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AC093E"/>
    <w:multiLevelType w:val="multilevel"/>
    <w:tmpl w:val="84064720"/>
    <w:lvl w:ilvl="0">
      <w:start w:val="1"/>
      <w:numFmt w:val="decimal"/>
      <w:lvlText w:val="%1."/>
      <w:lvlJc w:val="left"/>
      <w:pPr>
        <w:ind w:left="1211" w:hanging="360"/>
      </w:pPr>
      <w:rPr>
        <w:rFonts w:cs="Courier New"/>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84B0B7C"/>
    <w:multiLevelType w:val="multilevel"/>
    <w:tmpl w:val="A0FA32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7ED"/>
    <w:rsid w:val="00162D7A"/>
    <w:rsid w:val="001C3C87"/>
    <w:rsid w:val="003C5818"/>
    <w:rsid w:val="004E48D1"/>
    <w:rsid w:val="005F41C2"/>
    <w:rsid w:val="008443F0"/>
    <w:rsid w:val="00A86725"/>
    <w:rsid w:val="00AE5F20"/>
    <w:rsid w:val="00EE77ED"/>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52F106-8495-4B99-9E2C-C1471B11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5C68F-8324-45F6-AF13-3C74EDF2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3792</Words>
  <Characters>20860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2020-08-21T02:15:00Z</dcterms:created>
  <dcterms:modified xsi:type="dcterms:W3CDTF">2020-08-21T02:15:00Z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