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2D" w:rsidRDefault="000E1C43">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456D2D" w:rsidRDefault="000E1C43">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01162/INFOEM/IP/RR/2020</w:t>
      </w:r>
      <w:r>
        <w:rPr>
          <w:rFonts w:ascii="Palatino Linotype" w:hAnsi="Palatino Linotype"/>
        </w:rPr>
        <w:t>, promovido por una persona de manera anónima</w:t>
      </w:r>
      <w:r>
        <w:rPr>
          <w:rFonts w:ascii="Palatino Linotype" w:hAnsi="Palatino Linotype"/>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del </w:t>
      </w:r>
      <w:r>
        <w:rPr>
          <w:rFonts w:ascii="Palatino Linotype" w:hAnsi="Palatino Linotype"/>
          <w:b/>
          <w:bCs/>
        </w:rPr>
        <w:t>Ayuntamiento de Ecatepec de Morelos</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456D2D" w:rsidRDefault="000E1C4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456D2D" w:rsidRDefault="000E1C43">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catorce de febrero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00086/ECATEPEC/IP/2020</w:t>
      </w:r>
      <w:r>
        <w:rPr>
          <w:rFonts w:ascii="Palatino Linotype" w:hAnsi="Palatino Linotype"/>
        </w:rPr>
        <w:t>, mediante la cual requirió lo siguiente:</w:t>
      </w:r>
    </w:p>
    <w:p w:rsidR="00456D2D" w:rsidRDefault="000E1C4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“Buenas tardes. Me gustaría saber, si ¿las escuelas públicas cuentan con ayuda estatal o federal para gastos de las mismas? o ¿sólo se mantienen con las aportaciones de los padres de familia? En específico escuela primaria estatal. Espero y este sea el sitio donde me puedan proporcionar esa información. De antemano, gracias por su atención.” (Sic)</w:t>
      </w:r>
    </w:p>
    <w:p w:rsidR="00456D2D" w:rsidRDefault="000E1C43">
      <w:pPr>
        <w:spacing w:beforeAutospacing="1" w:afterAutospacing="1"/>
        <w:ind w:right="709"/>
        <w:jc w:val="both"/>
        <w:rPr>
          <w:rFonts w:ascii="Palatino Linotype" w:hAnsi="Palatino Linotype"/>
          <w:sz w:val="22"/>
          <w:szCs w:val="22"/>
        </w:rPr>
      </w:pPr>
      <w:r>
        <w:rPr>
          <w:rFonts w:ascii="Palatino Linotype" w:hAnsi="Palatino Linotype"/>
          <w:b/>
        </w:rPr>
        <w:t>Modalidad</w:t>
      </w:r>
      <w:r>
        <w:rPr>
          <w:rFonts w:ascii="Palatino Linotype" w:hAnsi="Palatino Linotype"/>
          <w:sz w:val="22"/>
          <w:szCs w:val="22"/>
        </w:rPr>
        <w:t xml:space="preserve"> </w:t>
      </w:r>
      <w:r>
        <w:rPr>
          <w:rFonts w:ascii="Palatino Linotype" w:hAnsi="Palatino Linotype"/>
          <w:b/>
        </w:rPr>
        <w:t>de entrega</w:t>
      </w:r>
      <w:r>
        <w:rPr>
          <w:rFonts w:ascii="Palatino Linotype" w:hAnsi="Palatino Linotype"/>
          <w:sz w:val="22"/>
          <w:szCs w:val="22"/>
        </w:rPr>
        <w:t xml:space="preserve">: </w:t>
      </w:r>
      <w:r>
        <w:rPr>
          <w:rFonts w:ascii="Palatino Linotype" w:hAnsi="Palatino Linotype"/>
        </w:rPr>
        <w:t>Vía</w:t>
      </w:r>
      <w:r>
        <w:rPr>
          <w:rFonts w:ascii="Palatino Linotype" w:hAnsi="Palatino Linotype"/>
          <w:sz w:val="22"/>
          <w:szCs w:val="22"/>
        </w:rPr>
        <w:t xml:space="preserve"> </w:t>
      </w:r>
      <w:r>
        <w:rPr>
          <w:rFonts w:ascii="Palatino Linotype" w:hAnsi="Palatino Linotype"/>
          <w:b/>
        </w:rPr>
        <w:t>SAIMEX.</w:t>
      </w:r>
    </w:p>
    <w:p w:rsidR="00456D2D" w:rsidRDefault="000E1C43">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lastRenderedPageBreak/>
        <w:t>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en fecha veinte de febrero de dos mil veinte, dio respuesta a la solicitud de información planteada en los términos siguientes:</w:t>
      </w:r>
    </w:p>
    <w:p w:rsidR="00456D2D" w:rsidRDefault="000E1C4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“El H. Ayuntamiento Constitucional de Ecatepec de Morelos hace de su conocimiento la respuesta emitida por: DIRECCIÓN DE EDUCACIÓN Y CULTURA Me permito proporcionar de manera impresa anexando en formato PDF, la información solicitada emitida por el área en mención. Así como los correos electrónicos de Educación Estatal y Federal. https://seduc.edomex.gob.mx/ https://educacionbasica.sep.gob.mx/” (Sic)</w:t>
      </w:r>
    </w:p>
    <w:p w:rsidR="00456D2D" w:rsidRDefault="000E1C43">
      <w:pPr>
        <w:pStyle w:val="Prrafodelista"/>
        <w:widowControl w:val="0"/>
        <w:tabs>
          <w:tab w:val="left" w:pos="0"/>
        </w:tabs>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w:t>
      </w:r>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en fecha veintiuno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de expediente al rubro citado, en el que señaló como acto impugnado, lo siguiente:</w:t>
      </w:r>
    </w:p>
    <w:p w:rsidR="00456D2D" w:rsidRDefault="000E1C4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“RESPUESTA.” (Sic)</w:t>
      </w:r>
    </w:p>
    <w:p w:rsidR="00456D2D" w:rsidRDefault="000E1C43">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456D2D" w:rsidRDefault="000E1C4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“EN EL ACUSE DE RESPUESTA, MENCIONA QUE ANEXA EN FORMATO PDF LA INFORMACION QUE SOLICITE, PERO NO HAY ARCHIVOS ADJUNTOS. GRACIAS.” (Sic)</w:t>
      </w:r>
    </w:p>
    <w:p w:rsidR="00456D2D" w:rsidRDefault="000E1C43">
      <w:pPr>
        <w:pStyle w:val="Prrafodelista"/>
        <w:widowControl w:val="0"/>
        <w:tabs>
          <w:tab w:val="left" w:pos="0"/>
        </w:tabs>
        <w:spacing w:before="240" w:after="240" w:line="360" w:lineRule="auto"/>
        <w:ind w:left="0"/>
        <w:jc w:val="both"/>
        <w:rPr>
          <w:rFonts w:ascii="Palatino Linotype" w:hAnsi="Palatino Linotype" w:cs="Arial"/>
        </w:rPr>
      </w:pPr>
      <w:bookmarkStart w:id="0" w:name="_Ref531692384"/>
      <w:bookmarkStart w:id="1" w:name="_Ref516764469"/>
      <w:bookmarkStart w:id="2" w:name="_Ref507070922"/>
      <w:bookmarkEnd w:id="0"/>
      <w:bookmarkEnd w:id="1"/>
      <w:r>
        <w:rPr>
          <w:rFonts w:ascii="Palatino Linotype" w:hAnsi="Palatino Linotype"/>
          <w:b/>
          <w:sz w:val="28"/>
          <w:szCs w:val="28"/>
        </w:rPr>
        <w:t>IV.</w:t>
      </w:r>
      <w:r>
        <w:rPr>
          <w:rFonts w:ascii="Palatino Linotype" w:hAnsi="Palatino Linotype"/>
        </w:rPr>
        <w:t xml:space="preserve"> </w:t>
      </w:r>
      <w:bookmarkEnd w:id="2"/>
      <w:r>
        <w:rPr>
          <w:rFonts w:ascii="Palatino Linotype" w:hAnsi="Palatino Linotype" w:cs="Arial"/>
        </w:rPr>
        <w:t>En fecha veintiuno de febrero de dos mil veinte,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a efecto de que decretara su admisión o </w:t>
      </w:r>
      <w:r>
        <w:rPr>
          <w:rFonts w:ascii="Palatino Linotype" w:hAnsi="Palatino Linotype" w:cs="Arial"/>
          <w:lang w:val="es-ES_tradnl"/>
        </w:rPr>
        <w:lastRenderedPageBreak/>
        <w:t>desechamiento.</w:t>
      </w:r>
    </w:p>
    <w:p w:rsidR="00456D2D" w:rsidRDefault="000E1C43">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w:t>
      </w:r>
      <w:r>
        <w:rPr>
          <w:rFonts w:ascii="Palatino Linotype" w:hAnsi="Palatino Linotype" w:cs="Arial"/>
        </w:rPr>
        <w:t xml:space="preserve"> En fecha veintisiete de febrero de </w:t>
      </w:r>
      <w:r>
        <w:rPr>
          <w:rFonts w:ascii="Palatino Linotype" w:hAnsi="Palatino Linotype"/>
        </w:rPr>
        <w:t>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456D2D" w:rsidRDefault="000E1C43">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en fecha cuatro de marzo del presente año, rindió su Informe Justificado; mismo que, al actualizar el supuesto previsto en la fracción III del artículo 185 de la Ley de la materia fue puesto a la vista del solicitante en fecha once de marzo para que realizara las manifestaciones correspondientes. </w:t>
      </w:r>
    </w:p>
    <w:p w:rsidR="00456D2D" w:rsidRDefault="000E1C43">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 así como tampoco, lo hizo respecto del Informe Justificado que se le hizo de conocimiento; tal y como se aprecia en la imagen siguiente:</w:t>
      </w:r>
    </w:p>
    <w:p w:rsidR="00456D2D" w:rsidRDefault="000E1C43">
      <w:pPr>
        <w:pStyle w:val="Prrafodelista"/>
        <w:widowControl w:val="0"/>
        <w:tabs>
          <w:tab w:val="left" w:pos="0"/>
        </w:tabs>
        <w:spacing w:before="240" w:after="240" w:line="360" w:lineRule="auto"/>
        <w:ind w:left="0"/>
        <w:jc w:val="center"/>
        <w:rPr>
          <w:rFonts w:ascii="Palatino Linotype" w:hAnsi="Palatino Linotype" w:cs="Arial"/>
        </w:rPr>
      </w:pPr>
      <w:r>
        <w:rPr>
          <w:noProof/>
          <w:lang w:eastAsia="es-MX"/>
        </w:rPr>
        <w:lastRenderedPageBreak/>
        <w:drawing>
          <wp:inline distT="0" distB="0" distL="0" distR="0">
            <wp:extent cx="5172075" cy="3411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0711" t="15920" r="11855" b="15974"/>
                    <a:stretch>
                      <a:fillRect/>
                    </a:stretch>
                  </pic:blipFill>
                  <pic:spPr bwMode="auto">
                    <a:xfrm>
                      <a:off x="0" y="0"/>
                      <a:ext cx="5172075" cy="3411220"/>
                    </a:xfrm>
                    <a:prstGeom prst="rect">
                      <a:avLst/>
                    </a:prstGeom>
                  </pic:spPr>
                </pic:pic>
              </a:graphicData>
            </a:graphic>
          </wp:inline>
        </w:drawing>
      </w:r>
    </w:p>
    <w:p w:rsidR="00456D2D" w:rsidRDefault="000E1C43">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dieciocho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56D2D" w:rsidRDefault="000E1C43">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VIII.</w:t>
      </w:r>
      <w:r>
        <w:rPr>
          <w:rFonts w:ascii="Palatino Linotype" w:hAnsi="Palatino Linotype" w:cs="Arial"/>
        </w:rPr>
        <w:t xml:space="preserve"> </w:t>
      </w:r>
      <w:r>
        <w:rPr>
          <w:rFonts w:ascii="Palatino Linotype" w:eastAsia="Calibri" w:hAnsi="Palatino Linotype"/>
          <w:szCs w:val="22"/>
          <w:lang w:eastAsia="en-US"/>
        </w:rPr>
        <w:t>En fecha cuatro de junio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56D2D" w:rsidRDefault="000E1C43">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456D2D" w:rsidRDefault="000E1C43">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456D2D" w:rsidRDefault="000E1C43">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w:t>
      </w:r>
      <w:r>
        <w:rPr>
          <w:rFonts w:ascii="Palatino Linotype" w:hAnsi="Palatino Linotype" w:cs="Arial"/>
          <w:lang w:val="es-ES_tradnl"/>
        </w:rPr>
        <w:t>.</w:t>
      </w:r>
    </w:p>
    <w:p w:rsidR="00456D2D" w:rsidRDefault="000E1C43">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cs="Arial"/>
          <w:lang w:val="es-ES_tradnl"/>
        </w:rPr>
      </w:pPr>
      <w:r>
        <w:rPr>
          <w:rFonts w:ascii="Palatino Linotype" w:hAnsi="Palatino Linotype" w:cs="Arial"/>
          <w:b/>
          <w:color w:val="000000"/>
        </w:rPr>
        <w:t>Oportunidad.</w:t>
      </w:r>
      <w:r>
        <w:rPr>
          <w:rFonts w:ascii="Palatino Linotype" w:hAnsi="Palatino Linotype" w:cs="Arial"/>
          <w:color w:val="000000"/>
        </w:rPr>
        <w:t xml:space="preserve">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456D2D" w:rsidRDefault="000E1C43">
      <w:pPr>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6D2D" w:rsidRDefault="000E1C43">
      <w:pPr>
        <w:ind w:left="851" w:right="902"/>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6D2D" w:rsidRDefault="000E1C43">
      <w:pPr>
        <w:ind w:left="851" w:right="902"/>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 (Sic)</w:t>
      </w:r>
    </w:p>
    <w:p w:rsidR="00456D2D" w:rsidRDefault="000E1C43">
      <w:pPr>
        <w:pStyle w:val="Prrafodelista"/>
        <w:widowControl w:val="0"/>
        <w:tabs>
          <w:tab w:val="left" w:pos="1701"/>
          <w:tab w:val="left" w:pos="1843"/>
        </w:tabs>
        <w:spacing w:before="300" w:after="240" w:line="360" w:lineRule="auto"/>
        <w:ind w:left="0"/>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veinte de febrero de dos mil veinte;</w:t>
      </w:r>
      <w:r>
        <w:rPr>
          <w:rFonts w:ascii="Palatino Linotype" w:hAnsi="Palatino Linotype" w:cs="Arial"/>
        </w:rPr>
        <w:t xml:space="preserve"> 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 </w:t>
      </w:r>
      <w:r>
        <w:rPr>
          <w:rFonts w:ascii="Palatino Linotype" w:hAnsi="Palatino Linotype" w:cs="Arial"/>
          <w:b/>
        </w:rPr>
        <w:t xml:space="preserve">veintiuno de febrero al trece de marzo de dos mil veinte, </w:t>
      </w:r>
      <w:r>
        <w:rPr>
          <w:rFonts w:ascii="Palatino Linotype" w:hAnsi="Palatino Linotype" w:cs="Arial"/>
        </w:rPr>
        <w:t xml:space="preserve">sin contemplar en el cómputo los días veintidós, veintitrés y veintinueve de febrero uno, siete y ocho de marzo del presente año;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así como, de conformidad con el Calendario Oficial en Materia de Transparencia, Acceso a la Información Pública y Protección de Datos Personales del Estado de México y Municipios, para el año dos mil veinte y enero dos mil veintiuno, publicado en el Periódico Oficial “Gaceta del Gobierno”, el diecinueve de diciembre de dos mil diecinueve.</w:t>
      </w:r>
    </w:p>
    <w:p w:rsidR="00456D2D" w:rsidRDefault="000E1C43">
      <w:pPr>
        <w:pStyle w:val="Prrafodelista"/>
        <w:widowControl w:val="0"/>
        <w:tabs>
          <w:tab w:val="left" w:pos="1701"/>
          <w:tab w:val="left" w:pos="1843"/>
        </w:tabs>
        <w:spacing w:before="300" w:after="240" w:line="360" w:lineRule="auto"/>
        <w:ind w:left="0"/>
        <w:jc w:val="both"/>
        <w:rPr>
          <w:rFonts w:ascii="Palatino Linotype" w:hAnsi="Palatino Linotype" w:cs="Arial"/>
          <w:b/>
        </w:rPr>
      </w:pPr>
      <w:r>
        <w:rPr>
          <w:rFonts w:ascii="Palatino Linotype" w:hAnsi="Palatino Linotype" w:cs="Arial"/>
        </w:rPr>
        <w:t>En ese tenor, si el recurso de revisión que nos ocupa, se interpuso el</w:t>
      </w:r>
      <w:r>
        <w:rPr>
          <w:rFonts w:ascii="Palatino Linotype" w:hAnsi="Palatino Linotype" w:cs="Arial"/>
          <w:b/>
        </w:rPr>
        <w:t xml:space="preserve"> tres de marzo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456D2D" w:rsidRDefault="000E1C43">
      <w:pPr>
        <w:widowControl w:val="0"/>
        <w:spacing w:beforeAutospacing="1" w:afterAutospacing="1" w:line="360" w:lineRule="auto"/>
        <w:jc w:val="both"/>
        <w:rPr>
          <w:rFonts w:ascii="Palatino Linotype" w:hAnsi="Palatino Linotype"/>
          <w:b/>
        </w:rPr>
      </w:pPr>
      <w:r>
        <w:rPr>
          <w:rFonts w:ascii="Palatino Linotype" w:hAnsi="Palatino Linotype" w:cs="Arial"/>
          <w:b/>
          <w:sz w:val="28"/>
          <w:szCs w:val="28"/>
        </w:rPr>
        <w:t>CUARTO</w:t>
      </w:r>
      <w:r>
        <w:rPr>
          <w:rFonts w:ascii="Palatino Linotype" w:hAnsi="Palatino Linotype" w:cs="Arial"/>
          <w:b/>
        </w:rPr>
        <w:t xml:space="preserve">. Procedibilidad. </w:t>
      </w:r>
      <w:r>
        <w:rPr>
          <w:rFonts w:ascii="Palatino Linotype" w:hAnsi="Palatino Linotype" w:cs="Arial"/>
        </w:rPr>
        <w:t xml:space="preserve">Esta Ponencia considera importante abordar el análisis de los requisitos de procedibilidad del recurso de revisión, así que, el artículo 180 de la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rPr>
        <w:t>establece lo siguiente:</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Artículo 180. </w:t>
      </w:r>
      <w:r>
        <w:rPr>
          <w:rFonts w:ascii="Palatino Linotype" w:hAnsi="Palatino Linotype"/>
          <w:i/>
          <w:sz w:val="22"/>
          <w:szCs w:val="22"/>
        </w:rPr>
        <w:t xml:space="preserve">El </w:t>
      </w:r>
      <w:r>
        <w:rPr>
          <w:rFonts w:ascii="Palatino Linotype" w:hAnsi="Palatino Linotype" w:cs="Arial"/>
          <w:i/>
          <w:sz w:val="22"/>
          <w:szCs w:val="22"/>
        </w:rPr>
        <w:t>recurso</w:t>
      </w:r>
      <w:r>
        <w:rPr>
          <w:rFonts w:ascii="Palatino Linotype" w:hAnsi="Palatino Linotype"/>
          <w:i/>
          <w:sz w:val="22"/>
          <w:szCs w:val="22"/>
        </w:rPr>
        <w:t xml:space="preserve"> </w:t>
      </w:r>
      <w:r>
        <w:rPr>
          <w:rFonts w:ascii="Palatino Linotype" w:hAnsi="Palatino Linotype" w:cs="Arial"/>
          <w:i/>
          <w:color w:val="222222"/>
          <w:sz w:val="22"/>
          <w:szCs w:val="22"/>
          <w:lang w:eastAsia="es-MX"/>
        </w:rPr>
        <w:t>de</w:t>
      </w:r>
      <w:r>
        <w:rPr>
          <w:rFonts w:ascii="Palatino Linotype" w:hAnsi="Palatino Linotype"/>
          <w:i/>
          <w:sz w:val="22"/>
          <w:szCs w:val="22"/>
        </w:rPr>
        <w:t xml:space="preserve"> revisión contendrá:</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I. </w:t>
      </w:r>
      <w:r>
        <w:rPr>
          <w:rFonts w:ascii="Palatino Linotype" w:hAnsi="Palatino Linotype"/>
          <w:i/>
          <w:sz w:val="22"/>
          <w:szCs w:val="22"/>
        </w:rPr>
        <w:t xml:space="preserve">El sujeto obligado ante </w:t>
      </w:r>
      <w:r>
        <w:rPr>
          <w:rFonts w:ascii="Palatino Linotype" w:hAnsi="Palatino Linotype" w:cs="Arial"/>
          <w:i/>
          <w:sz w:val="22"/>
          <w:szCs w:val="22"/>
        </w:rPr>
        <w:t>la</w:t>
      </w:r>
      <w:r>
        <w:rPr>
          <w:rFonts w:ascii="Palatino Linotype" w:hAnsi="Palatino Linotype"/>
          <w:i/>
          <w:sz w:val="22"/>
          <w:szCs w:val="22"/>
        </w:rPr>
        <w:t xml:space="preserve"> cual </w:t>
      </w:r>
      <w:r>
        <w:rPr>
          <w:rFonts w:ascii="Palatino Linotype" w:hAnsi="Palatino Linotype" w:cs="Arial"/>
          <w:i/>
          <w:color w:val="222222"/>
          <w:sz w:val="22"/>
          <w:szCs w:val="22"/>
          <w:lang w:eastAsia="es-MX"/>
        </w:rPr>
        <w:t>se</w:t>
      </w:r>
      <w:r>
        <w:rPr>
          <w:rFonts w:ascii="Palatino Linotype" w:hAnsi="Palatino Linotype"/>
          <w:i/>
          <w:sz w:val="22"/>
          <w:szCs w:val="22"/>
        </w:rPr>
        <w:t xml:space="preserve"> presentó la solicitud;</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II. El nombre del solicitante </w:t>
      </w:r>
      <w:r>
        <w:rPr>
          <w:rFonts w:ascii="Palatino Linotype" w:hAnsi="Palatino Linotype" w:cs="Arial"/>
          <w:b/>
          <w:i/>
          <w:color w:val="222222"/>
          <w:sz w:val="22"/>
          <w:szCs w:val="22"/>
          <w:lang w:eastAsia="es-MX"/>
        </w:rPr>
        <w:t>que</w:t>
      </w:r>
      <w:r>
        <w:rPr>
          <w:rFonts w:ascii="Palatino Linotype" w:hAnsi="Palatino Linotype"/>
          <w:b/>
          <w:i/>
          <w:sz w:val="22"/>
          <w:szCs w:val="22"/>
        </w:rPr>
        <w:t xml:space="preserve"> recurre </w:t>
      </w:r>
      <w:r>
        <w:rPr>
          <w:rFonts w:ascii="Palatino Linotype" w:hAnsi="Palatino Linotype"/>
          <w:i/>
          <w:sz w:val="22"/>
          <w:szCs w:val="22"/>
        </w:rPr>
        <w:t>o de su representante y, en su caso, del tercero interesado, así como la dirección o medio que señale para recibir notificaciones;</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III. </w:t>
      </w:r>
      <w:r>
        <w:rPr>
          <w:rFonts w:ascii="Palatino Linotype" w:hAnsi="Palatino Linotype"/>
          <w:i/>
          <w:sz w:val="22"/>
          <w:szCs w:val="22"/>
        </w:rPr>
        <w:t xml:space="preserve">El número de folio de </w:t>
      </w:r>
      <w:r>
        <w:rPr>
          <w:rFonts w:ascii="Palatino Linotype" w:hAnsi="Palatino Linotype" w:cs="Arial"/>
          <w:i/>
          <w:color w:val="222222"/>
          <w:sz w:val="22"/>
          <w:szCs w:val="22"/>
          <w:lang w:eastAsia="es-MX"/>
        </w:rPr>
        <w:t>respuesta</w:t>
      </w:r>
      <w:r>
        <w:rPr>
          <w:rFonts w:ascii="Palatino Linotype" w:hAnsi="Palatino Linotype"/>
          <w:i/>
          <w:sz w:val="22"/>
          <w:szCs w:val="22"/>
        </w:rPr>
        <w:t xml:space="preserve"> de la solicitud de acceso;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IV. </w:t>
      </w:r>
      <w:r>
        <w:rPr>
          <w:rFonts w:ascii="Palatino Linotype" w:hAnsi="Palatino Linotype"/>
          <w:i/>
          <w:sz w:val="22"/>
          <w:szCs w:val="22"/>
        </w:rPr>
        <w:t xml:space="preserve">La fecha en que fue </w:t>
      </w:r>
      <w:r>
        <w:rPr>
          <w:rFonts w:ascii="Palatino Linotype" w:hAnsi="Palatino Linotype" w:cs="Arial"/>
          <w:i/>
          <w:color w:val="222222"/>
          <w:sz w:val="22"/>
          <w:szCs w:val="22"/>
          <w:lang w:eastAsia="es-MX"/>
        </w:rPr>
        <w:t>notificada</w:t>
      </w:r>
      <w:r>
        <w:rPr>
          <w:rFonts w:ascii="Palatino Linotype" w:hAnsi="Palatino Linotype"/>
          <w:i/>
          <w:sz w:val="22"/>
          <w:szCs w:val="22"/>
        </w:rPr>
        <w:t xml:space="preserve"> la respuesta al solicitante o tuvo conocimiento del acto reclamado, o de presentación de la solicitud, en caso de falta de respuesta;</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V. </w:t>
      </w:r>
      <w:r>
        <w:rPr>
          <w:rFonts w:ascii="Palatino Linotype" w:hAnsi="Palatino Linotype"/>
          <w:i/>
          <w:sz w:val="22"/>
          <w:szCs w:val="22"/>
        </w:rPr>
        <w:t xml:space="preserve">El acto que se </w:t>
      </w:r>
      <w:r>
        <w:rPr>
          <w:rFonts w:ascii="Palatino Linotype" w:hAnsi="Palatino Linotype" w:cs="Arial"/>
          <w:i/>
          <w:color w:val="222222"/>
          <w:sz w:val="22"/>
          <w:szCs w:val="22"/>
          <w:lang w:eastAsia="es-MX"/>
        </w:rPr>
        <w:t>recurre</w:t>
      </w:r>
      <w:r>
        <w:rPr>
          <w:rFonts w:ascii="Palatino Linotype" w:hAnsi="Palatino Linotype"/>
          <w:i/>
          <w:sz w:val="22"/>
          <w:szCs w:val="22"/>
        </w:rPr>
        <w:t>;</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VI. </w:t>
      </w:r>
      <w:r>
        <w:rPr>
          <w:rFonts w:ascii="Palatino Linotype" w:hAnsi="Palatino Linotype"/>
          <w:i/>
          <w:sz w:val="22"/>
          <w:szCs w:val="22"/>
        </w:rPr>
        <w:t xml:space="preserve">Las razones o </w:t>
      </w:r>
      <w:r>
        <w:rPr>
          <w:rFonts w:ascii="Palatino Linotype" w:hAnsi="Palatino Linotype" w:cs="Arial"/>
          <w:i/>
          <w:color w:val="222222"/>
          <w:sz w:val="22"/>
          <w:szCs w:val="22"/>
          <w:lang w:eastAsia="es-MX"/>
        </w:rPr>
        <w:t>motivos</w:t>
      </w:r>
      <w:r>
        <w:rPr>
          <w:rFonts w:ascii="Palatino Linotype" w:hAnsi="Palatino Linotype"/>
          <w:i/>
          <w:sz w:val="22"/>
          <w:szCs w:val="22"/>
        </w:rPr>
        <w:t xml:space="preserve"> de inconformidad;</w:t>
      </w:r>
      <w:r>
        <w:rPr>
          <w:rFonts w:ascii="Palatino Linotype" w:hAnsi="Palatino Linotype"/>
          <w:b/>
          <w:i/>
          <w:sz w:val="22"/>
          <w:szCs w:val="22"/>
        </w:rPr>
        <w:t xml:space="preserve"> </w:t>
      </w:r>
    </w:p>
    <w:p w:rsidR="00456D2D" w:rsidRDefault="000E1C43">
      <w:pPr>
        <w:ind w:left="851" w:right="902"/>
        <w:jc w:val="both"/>
        <w:rPr>
          <w:rFonts w:ascii="Palatino Linotype" w:hAnsi="Palatino Linotype"/>
          <w:b/>
          <w:i/>
          <w:sz w:val="22"/>
          <w:szCs w:val="22"/>
        </w:rPr>
      </w:pPr>
      <w:r>
        <w:rPr>
          <w:rFonts w:ascii="Palatino Linotype" w:hAnsi="Palatino Linotype"/>
          <w:b/>
          <w:i/>
          <w:sz w:val="22"/>
          <w:szCs w:val="22"/>
        </w:rPr>
        <w:t xml:space="preserve">VII. </w:t>
      </w:r>
      <w:r>
        <w:rPr>
          <w:rFonts w:ascii="Palatino Linotype" w:hAnsi="Palatino Linotype"/>
          <w:i/>
          <w:sz w:val="22"/>
          <w:szCs w:val="22"/>
        </w:rPr>
        <w:t>La copia de la respuesta que se impugna y, en su caso, de la notificación correspondiente, en el caso de respuesta de la solicitud; y</w:t>
      </w:r>
      <w:r>
        <w:rPr>
          <w:rFonts w:ascii="Palatino Linotype" w:hAnsi="Palatino Linotype"/>
          <w:b/>
          <w:i/>
          <w:sz w:val="22"/>
          <w:szCs w:val="22"/>
        </w:rPr>
        <w:t xml:space="preserve"> </w:t>
      </w:r>
    </w:p>
    <w:p w:rsidR="00456D2D" w:rsidRDefault="000E1C43">
      <w:pPr>
        <w:ind w:left="851" w:right="902"/>
        <w:jc w:val="both"/>
        <w:rPr>
          <w:rFonts w:ascii="Palatino Linotype" w:hAnsi="Palatino Linotype"/>
          <w:i/>
          <w:sz w:val="22"/>
          <w:szCs w:val="22"/>
        </w:rPr>
      </w:pPr>
      <w:r>
        <w:rPr>
          <w:rFonts w:ascii="Palatino Linotype" w:hAnsi="Palatino Linotype"/>
          <w:b/>
          <w:i/>
          <w:sz w:val="22"/>
          <w:szCs w:val="22"/>
        </w:rPr>
        <w:t xml:space="preserve">VIII. </w:t>
      </w:r>
      <w:r>
        <w:rPr>
          <w:rFonts w:ascii="Palatino Linotype" w:hAnsi="Palatino Linotype"/>
          <w:i/>
          <w:sz w:val="22"/>
          <w:szCs w:val="22"/>
        </w:rPr>
        <w:t xml:space="preserve">Firma del recurrente, en su caso, cuando se presente por escrito, requisito sin el cual se dará trámite al recurso. </w:t>
      </w:r>
    </w:p>
    <w:p w:rsidR="00456D2D" w:rsidRDefault="00456D2D">
      <w:pPr>
        <w:ind w:left="851" w:right="902"/>
        <w:jc w:val="both"/>
        <w:rPr>
          <w:rFonts w:ascii="Palatino Linotype" w:hAnsi="Palatino Linotype"/>
          <w:i/>
          <w:sz w:val="22"/>
          <w:szCs w:val="22"/>
        </w:rPr>
      </w:pP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 xml:space="preserve">Adicionalmente, se podrán anexar las pruebas y demás elementos que considere procedentes someter a juicio del Instituto. </w:t>
      </w:r>
    </w:p>
    <w:p w:rsidR="00456D2D" w:rsidRDefault="00456D2D">
      <w:pPr>
        <w:ind w:left="851" w:right="902"/>
        <w:jc w:val="both"/>
        <w:rPr>
          <w:rFonts w:ascii="Palatino Linotype" w:hAnsi="Palatino Linotype"/>
          <w:i/>
          <w:sz w:val="22"/>
          <w:szCs w:val="22"/>
        </w:rPr>
      </w:pP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 xml:space="preserve">En ningún caso será necesario que el particular ratifique el recurso de revisión interpuesto. </w:t>
      </w:r>
    </w:p>
    <w:p w:rsidR="00456D2D" w:rsidRDefault="000E1C43">
      <w:pPr>
        <w:ind w:left="851" w:right="902"/>
        <w:jc w:val="both"/>
        <w:rPr>
          <w:rFonts w:ascii="Palatino Linotype" w:hAnsi="Palatino Linotype"/>
          <w:i/>
          <w:sz w:val="22"/>
          <w:szCs w:val="22"/>
        </w:rPr>
      </w:pPr>
      <w:r>
        <w:rPr>
          <w:rFonts w:ascii="Palatino Linotype" w:hAnsi="Palatino Linotype"/>
          <w:b/>
          <w:i/>
          <w:sz w:val="22"/>
          <w:szCs w:val="22"/>
        </w:rPr>
        <w:t xml:space="preserve">En caso de </w:t>
      </w:r>
      <w:r>
        <w:rPr>
          <w:rFonts w:ascii="Palatino Linotype" w:hAnsi="Palatino Linotype" w:cs="Arial"/>
          <w:b/>
          <w:i/>
          <w:color w:val="222222"/>
          <w:sz w:val="22"/>
          <w:szCs w:val="22"/>
          <w:lang w:eastAsia="es-MX"/>
        </w:rPr>
        <w:t>que</w:t>
      </w:r>
      <w:r>
        <w:rPr>
          <w:rFonts w:ascii="Palatino Linotype" w:hAnsi="Palatino Linotype"/>
          <w:b/>
          <w:i/>
          <w:sz w:val="22"/>
          <w:szCs w:val="22"/>
        </w:rPr>
        <w:t xml:space="preserve"> el recurso se interponga de manera electrónica no será indispensable que contengan los requisitos establecidos en las fracciones II</w:t>
      </w:r>
      <w:r>
        <w:rPr>
          <w:rFonts w:ascii="Palatino Linotype" w:hAnsi="Palatino Linotype"/>
          <w:i/>
          <w:sz w:val="22"/>
          <w:szCs w:val="22"/>
        </w:rPr>
        <w:t xml:space="preserve">, IV, VII y VIII. </w:t>
      </w:r>
    </w:p>
    <w:p w:rsidR="00456D2D" w:rsidRDefault="00456D2D">
      <w:pPr>
        <w:ind w:left="851" w:right="902"/>
        <w:jc w:val="both"/>
        <w:rPr>
          <w:rFonts w:ascii="Palatino Linotype" w:hAnsi="Palatino Linotype"/>
          <w:i/>
          <w:sz w:val="22"/>
          <w:szCs w:val="22"/>
        </w:rPr>
      </w:pP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(Énfasis añadido)</w:t>
      </w:r>
    </w:p>
    <w:p w:rsidR="00456D2D" w:rsidRDefault="000E1C43">
      <w:pPr>
        <w:spacing w:beforeAutospacing="1" w:afterAutospacing="1" w:line="360" w:lineRule="auto"/>
        <w:jc w:val="both"/>
        <w:rPr>
          <w:rFonts w:ascii="Palatino Linotype" w:hAnsi="Palatino Linotype"/>
        </w:rPr>
      </w:pPr>
      <w:r>
        <w:rPr>
          <w:rFonts w:ascii="Palatino Linotype" w:hAnsi="Palatino Linotype"/>
        </w:rPr>
        <w:t xml:space="preserve">En principio, de una interpretación del artículo transcrito se observa que los requisitos que </w:t>
      </w:r>
      <w:r>
        <w:rPr>
          <w:rFonts w:ascii="Palatino Linotype" w:hAnsi="Palatino Linotype" w:cs="Arial"/>
        </w:rPr>
        <w:t>deberán</w:t>
      </w:r>
      <w:r>
        <w:rPr>
          <w:rFonts w:ascii="Palatino Linotype" w:hAnsi="Palatino Linotype"/>
        </w:rPr>
        <w:t xml:space="preserve"> </w:t>
      </w:r>
      <w:r>
        <w:rPr>
          <w:rFonts w:ascii="Palatino Linotype" w:hAnsi="Palatino Linotype" w:cs="Arial"/>
        </w:rPr>
        <w:t>contener</w:t>
      </w:r>
      <w:r>
        <w:rPr>
          <w:rFonts w:ascii="Palatino Linotype" w:hAnsi="Palatino Linotype"/>
        </w:rPr>
        <w:t xml:space="preserve">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la parte solicitante y ahora </w:t>
      </w:r>
      <w:r>
        <w:rPr>
          <w:rFonts w:ascii="Palatino Linotype" w:hAnsi="Palatino Linotype"/>
          <w:b/>
        </w:rPr>
        <w:t>RECURRENTE</w:t>
      </w:r>
      <w:r>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Pr>
          <w:rFonts w:ascii="Palatino Linotype" w:hAnsi="Palatino Linotype" w:cs="Arial"/>
        </w:rPr>
        <w:t>no</w:t>
      </w:r>
      <w:r>
        <w:rPr>
          <w:rFonts w:ascii="Palatino Linotype" w:hAnsi="Palatino Linotype"/>
        </w:rPr>
        <w:t xml:space="preserve"> se colmen los requisitos establecidos en el citado artículo 180 de la Ley de Transparencia.</w:t>
      </w:r>
    </w:p>
    <w:p w:rsidR="00456D2D" w:rsidRDefault="000E1C43">
      <w:pPr>
        <w:spacing w:before="200" w:after="200" w:line="360" w:lineRule="auto"/>
        <w:jc w:val="both"/>
        <w:rPr>
          <w:rFonts w:ascii="Palatino Linotype" w:hAnsi="Palatino Linotype" w:cs="Arial"/>
          <w:color w:val="000000"/>
        </w:rPr>
      </w:pPr>
      <w:r>
        <w:rPr>
          <w:rFonts w:ascii="Palatino Linotype" w:hAnsi="Palatino Linotype"/>
        </w:rPr>
        <w:t xml:space="preserve">Empero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color w:val="000000"/>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color w:val="000000"/>
        </w:rPr>
        <w:t xml:space="preserve"> del derecho de acceso a la información pública, </w:t>
      </w:r>
      <w:r>
        <w:rPr>
          <w:rFonts w:ascii="Palatino Linotype" w:hAnsi="Palatino Linotype" w:cs="Arial"/>
          <w:b/>
          <w:color w:val="000000"/>
        </w:rPr>
        <w:t xml:space="preserve">el nombre no es un requisito </w:t>
      </w:r>
      <w:r>
        <w:rPr>
          <w:rFonts w:ascii="Palatino Linotype" w:hAnsi="Palatino Linotype" w:cs="Arial"/>
          <w:b/>
          <w:i/>
          <w:color w:val="000000"/>
        </w:rPr>
        <w:t>sine qua non</w:t>
      </w:r>
      <w:r>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56D2D" w:rsidRDefault="000E1C43">
      <w:pPr>
        <w:spacing w:before="200" w:after="200" w:line="360" w:lineRule="auto"/>
        <w:jc w:val="both"/>
        <w:rPr>
          <w:rFonts w:ascii="Palatino Linotype" w:hAnsi="Palatino Linotype"/>
        </w:rPr>
      </w:pPr>
      <w:r>
        <w:rPr>
          <w:rFonts w:ascii="Palatino Linotype" w:hAnsi="Palatino Linotype"/>
        </w:rPr>
        <w:t xml:space="preserve">Correlativo a ello, cabe mencionar que los artículos 6, Apartado A, fracciones I, III, V y VI de la </w:t>
      </w:r>
      <w:r>
        <w:rPr>
          <w:rFonts w:ascii="Palatino Linotype" w:hAnsi="Palatino Linotype" w:cs="Arial"/>
        </w:rPr>
        <w:t>Constitución</w:t>
      </w:r>
      <w:r>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56D2D" w:rsidRDefault="000E1C43">
      <w:pPr>
        <w:ind w:left="851" w:right="902"/>
        <w:jc w:val="center"/>
        <w:rPr>
          <w:rFonts w:ascii="Palatino Linotype" w:hAnsi="Palatino Linotype" w:cs="Arial"/>
          <w:b/>
          <w:i/>
          <w:sz w:val="22"/>
          <w:szCs w:val="22"/>
        </w:rPr>
      </w:pPr>
      <w:r>
        <w:rPr>
          <w:rFonts w:ascii="Palatino Linotype" w:hAnsi="Palatino Linotype" w:cs="Arial"/>
          <w:b/>
          <w:i/>
          <w:sz w:val="22"/>
          <w:szCs w:val="22"/>
        </w:rPr>
        <w:t>Constitución Política de los Estados Unidos Mexicanos</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rPr>
        <w:t>El derecho a la información será garantizado por el Estado.</w:t>
      </w:r>
      <w:r>
        <w:rPr>
          <w:rFonts w:ascii="Palatino Linotype" w:hAnsi="Palatino Linotype" w:cs="Arial"/>
          <w:i/>
          <w:sz w:val="22"/>
          <w:szCs w:val="22"/>
        </w:rPr>
        <w:t xml:space="preserve"> </w:t>
      </w:r>
    </w:p>
    <w:p w:rsidR="00456D2D" w:rsidRDefault="00456D2D">
      <w:pPr>
        <w:ind w:left="851" w:right="902"/>
        <w:jc w:val="both"/>
        <w:rPr>
          <w:rFonts w:ascii="Palatino Linotype" w:hAnsi="Palatino Linotype" w:cs="Arial"/>
          <w:b/>
          <w:i/>
          <w:sz w:val="22"/>
          <w:szCs w:val="22"/>
        </w:rPr>
      </w:pPr>
    </w:p>
    <w:p w:rsidR="00456D2D" w:rsidRDefault="000E1C43">
      <w:pPr>
        <w:ind w:left="851" w:right="902"/>
        <w:jc w:val="both"/>
        <w:rPr>
          <w:rFonts w:ascii="Palatino Linotype" w:hAnsi="Palatino Linotype" w:cs="Arial"/>
          <w:i/>
          <w:sz w:val="22"/>
          <w:szCs w:val="22"/>
        </w:rPr>
      </w:pPr>
      <w:r>
        <w:rPr>
          <w:rFonts w:ascii="Palatino Linotype" w:hAnsi="Palatino Linotype" w:cs="Arial"/>
          <w:b/>
          <w:i/>
          <w:sz w:val="22"/>
          <w:szCs w:val="22"/>
        </w:rPr>
        <w:t xml:space="preserve">Toda persona tiene </w:t>
      </w:r>
      <w:r>
        <w:rPr>
          <w:rFonts w:ascii="Palatino Linotype" w:hAnsi="Palatino Linotype"/>
          <w:b/>
          <w:i/>
          <w:sz w:val="22"/>
          <w:szCs w:val="22"/>
        </w:rPr>
        <w:t>derecho</w:t>
      </w:r>
      <w:r>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Pr>
          <w:rFonts w:ascii="Palatino Linotype" w:hAnsi="Palatino Linotype" w:cs="Arial"/>
          <w:i/>
          <w:sz w:val="22"/>
          <w:szCs w:val="22"/>
        </w:rPr>
        <w:t>.</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 xml:space="preserve">Para efectos de lo </w:t>
      </w:r>
      <w:r>
        <w:rPr>
          <w:rFonts w:ascii="Palatino Linotype" w:hAnsi="Palatino Linotype"/>
          <w:i/>
          <w:sz w:val="22"/>
          <w:szCs w:val="22"/>
        </w:rPr>
        <w:t>dispuesto</w:t>
      </w:r>
      <w:r>
        <w:rPr>
          <w:rFonts w:ascii="Palatino Linotype" w:hAnsi="Palatino Linotype" w:cs="Arial"/>
          <w:i/>
          <w:sz w:val="22"/>
          <w:szCs w:val="22"/>
        </w:rPr>
        <w:t xml:space="preserve"> en el presente artículo se observará lo siguiente:</w:t>
      </w:r>
    </w:p>
    <w:p w:rsidR="00456D2D" w:rsidRDefault="00456D2D">
      <w:pPr>
        <w:ind w:left="851" w:right="902"/>
        <w:jc w:val="both"/>
        <w:rPr>
          <w:rFonts w:ascii="Palatino Linotype" w:hAnsi="Palatino Linotype" w:cs="Arial"/>
          <w:b/>
          <w:i/>
          <w:sz w:val="22"/>
          <w:szCs w:val="22"/>
        </w:rPr>
      </w:pPr>
    </w:p>
    <w:p w:rsidR="00456D2D" w:rsidRDefault="000E1C43">
      <w:pPr>
        <w:ind w:left="851" w:right="902"/>
        <w:jc w:val="both"/>
        <w:rPr>
          <w:rFonts w:ascii="Palatino Linotype" w:hAnsi="Palatino Linotype" w:cs="Arial"/>
          <w:i/>
          <w:sz w:val="22"/>
          <w:szCs w:val="22"/>
        </w:rPr>
      </w:pPr>
      <w:r>
        <w:rPr>
          <w:rFonts w:ascii="Palatino Linotype" w:hAnsi="Palatino Linotype" w:cs="Arial"/>
          <w:b/>
          <w:i/>
          <w:sz w:val="22"/>
          <w:szCs w:val="22"/>
        </w:rPr>
        <w:t>A.</w:t>
      </w:r>
      <w:r>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456D2D" w:rsidRDefault="00456D2D">
      <w:pPr>
        <w:ind w:left="851" w:right="902"/>
        <w:jc w:val="both"/>
        <w:rPr>
          <w:rFonts w:ascii="Palatino Linotype" w:hAnsi="Palatino Linotype" w:cs="Arial"/>
          <w:b/>
          <w:i/>
          <w:sz w:val="22"/>
          <w:szCs w:val="22"/>
        </w:rPr>
      </w:pP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Pr>
          <w:rFonts w:ascii="Palatino Linotype" w:hAnsi="Palatino Linotype" w:cs="Arial"/>
          <w:i/>
          <w:sz w:val="22"/>
          <w:szCs w:val="22"/>
        </w:rPr>
        <w:t>.”</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La ley establecerá aquella información que se considere reservada o confidencial.</w:t>
      </w:r>
    </w:p>
    <w:p w:rsidR="00456D2D" w:rsidRDefault="00456D2D">
      <w:pPr>
        <w:ind w:left="851" w:right="902"/>
        <w:jc w:val="center"/>
        <w:rPr>
          <w:rFonts w:ascii="Palatino Linotype" w:hAnsi="Palatino Linotype" w:cs="Arial"/>
          <w:b/>
          <w:i/>
          <w:sz w:val="22"/>
          <w:szCs w:val="22"/>
        </w:rPr>
      </w:pPr>
    </w:p>
    <w:p w:rsidR="00456D2D" w:rsidRDefault="000E1C43">
      <w:pPr>
        <w:ind w:left="851" w:right="902"/>
        <w:jc w:val="center"/>
        <w:rPr>
          <w:rFonts w:ascii="Palatino Linotype" w:hAnsi="Palatino Linotype" w:cs="Arial"/>
          <w:b/>
          <w:i/>
          <w:sz w:val="22"/>
          <w:szCs w:val="22"/>
        </w:rPr>
      </w:pPr>
      <w:r>
        <w:rPr>
          <w:rFonts w:ascii="Palatino Linotype" w:hAnsi="Palatino Linotype" w:cs="Arial"/>
          <w:b/>
          <w:i/>
          <w:sz w:val="22"/>
          <w:szCs w:val="22"/>
        </w:rPr>
        <w:t>Constitución Política del Estado Libre y Soberano de México</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w:t>
      </w:r>
      <w:r>
        <w:rPr>
          <w:rFonts w:ascii="Palatino Linotype" w:hAnsi="Palatino Linotype" w:cs="Arial"/>
          <w:i/>
          <w:sz w:val="22"/>
          <w:szCs w:val="22"/>
        </w:rPr>
        <w:t xml:space="preserve">… </w:t>
      </w: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w:t>
      </w:r>
    </w:p>
    <w:p w:rsidR="00456D2D" w:rsidRDefault="000E1C43">
      <w:pPr>
        <w:ind w:left="851" w:right="902"/>
        <w:jc w:val="both"/>
        <w:rPr>
          <w:rFonts w:ascii="Palatino Linotype" w:hAnsi="Palatino Linotype"/>
          <w:i/>
          <w:sz w:val="22"/>
          <w:szCs w:val="22"/>
        </w:rPr>
      </w:pPr>
      <w:r>
        <w:rPr>
          <w:rFonts w:ascii="Palatino Linotype" w:hAnsi="Palatino Linotype"/>
          <w:b/>
          <w:i/>
          <w:sz w:val="22"/>
          <w:szCs w:val="22"/>
        </w:rPr>
        <w:t>El derecho a la información será garantizado por el Estado</w:t>
      </w:r>
      <w:r>
        <w:rPr>
          <w:rFonts w:ascii="Palatino Linotype" w:hAnsi="Palatino Linotype"/>
          <w:i/>
          <w:sz w:val="22"/>
          <w:szCs w:val="22"/>
        </w:rPr>
        <w:t>. La ley establecerá las previsiones que permitan asegurar la protección, el respeto y la difusión de este derecho.</w:t>
      </w: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Este derecho se regirá por los principios y bases siguientes:</w:t>
      </w:r>
    </w:p>
    <w:p w:rsidR="00456D2D" w:rsidRDefault="00456D2D">
      <w:pPr>
        <w:ind w:left="851" w:right="902"/>
        <w:jc w:val="both"/>
        <w:rPr>
          <w:rFonts w:ascii="Palatino Linotype" w:hAnsi="Palatino Linotype"/>
          <w:b/>
          <w:i/>
          <w:sz w:val="22"/>
          <w:szCs w:val="22"/>
        </w:rPr>
      </w:pPr>
    </w:p>
    <w:p w:rsidR="00456D2D" w:rsidRDefault="000E1C43">
      <w:pPr>
        <w:ind w:left="851" w:right="902"/>
        <w:jc w:val="both"/>
        <w:rPr>
          <w:rFonts w:ascii="Palatino Linotype" w:hAnsi="Palatino Linotype"/>
          <w:i/>
          <w:sz w:val="22"/>
          <w:szCs w:val="22"/>
        </w:rPr>
      </w:pPr>
      <w:r>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rPr>
        <w:t>determinará</w:t>
      </w:r>
      <w:r>
        <w:rPr>
          <w:rFonts w:ascii="Palatino Linotype" w:hAnsi="Palatino Linotype"/>
          <w:i/>
          <w:sz w:val="22"/>
          <w:szCs w:val="22"/>
        </w:rPr>
        <w:t xml:space="preserve"> los supuestos específicos bajo los cuales procederá la declaración de inexistencia de la información.</w:t>
      </w:r>
    </w:p>
    <w:p w:rsidR="00456D2D" w:rsidRDefault="000E1C43">
      <w:pPr>
        <w:ind w:left="851" w:right="902"/>
        <w:jc w:val="both"/>
        <w:rPr>
          <w:rFonts w:ascii="Palatino Linotype" w:hAnsi="Palatino Linotype"/>
          <w:i/>
          <w:sz w:val="22"/>
          <w:szCs w:val="22"/>
        </w:rPr>
      </w:pPr>
      <w:r>
        <w:rPr>
          <w:rFonts w:ascii="Palatino Linotype" w:hAnsi="Palatino Linotype"/>
          <w:i/>
          <w:sz w:val="22"/>
          <w:szCs w:val="22"/>
        </w:rPr>
        <w:t>…</w:t>
      </w:r>
    </w:p>
    <w:p w:rsidR="00456D2D" w:rsidRDefault="000E1C43">
      <w:pPr>
        <w:ind w:left="851" w:right="902"/>
        <w:jc w:val="both"/>
        <w:rPr>
          <w:rFonts w:ascii="Palatino Linotype" w:hAnsi="Palatino Linotype"/>
          <w:i/>
          <w:sz w:val="22"/>
          <w:szCs w:val="22"/>
        </w:rPr>
      </w:pPr>
      <w:r>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rPr>
        <w:t>”</w:t>
      </w:r>
    </w:p>
    <w:p w:rsidR="00456D2D" w:rsidRDefault="00456D2D">
      <w:pPr>
        <w:ind w:left="851" w:right="902"/>
        <w:jc w:val="both"/>
        <w:rPr>
          <w:rFonts w:ascii="Palatino Linotype" w:hAnsi="Palatino Linotype"/>
          <w:sz w:val="22"/>
          <w:szCs w:val="22"/>
        </w:rPr>
      </w:pPr>
    </w:p>
    <w:p w:rsidR="00456D2D" w:rsidRDefault="000E1C43">
      <w:pPr>
        <w:ind w:left="851" w:right="902"/>
        <w:jc w:val="both"/>
        <w:rPr>
          <w:rFonts w:ascii="Palatino Linotype" w:hAnsi="Palatino Linotype"/>
          <w:sz w:val="22"/>
          <w:szCs w:val="22"/>
        </w:rPr>
      </w:pPr>
      <w:r>
        <w:rPr>
          <w:rFonts w:ascii="Palatino Linotype" w:hAnsi="Palatino Linotype"/>
          <w:sz w:val="22"/>
          <w:szCs w:val="22"/>
        </w:rPr>
        <w:t>(Énfasis añadido)</w:t>
      </w:r>
    </w:p>
    <w:p w:rsidR="00456D2D" w:rsidRDefault="000E1C43">
      <w:pPr>
        <w:spacing w:before="200" w:after="200" w:line="360" w:lineRule="auto"/>
        <w:jc w:val="both"/>
        <w:rPr>
          <w:rFonts w:ascii="Palatino Linotype" w:hAnsi="Palatino Linotype"/>
        </w:rPr>
      </w:pPr>
      <w:r>
        <w:rPr>
          <w:rFonts w:ascii="Palatino Linotype" w:hAnsi="Palatino Linotype"/>
        </w:rPr>
        <w:t xml:space="preserve">Por otra parte, del </w:t>
      </w:r>
      <w:r>
        <w:rPr>
          <w:rFonts w:ascii="Palatino Linotype" w:hAnsi="Palatino Linotype" w:cs="Arial"/>
        </w:rPr>
        <w:t>contenido</w:t>
      </w:r>
      <w:r>
        <w:rPr>
          <w:rFonts w:ascii="Palatino Linotype" w:hAnsi="Palatino Linotype"/>
        </w:rPr>
        <w:t xml:space="preserve"> del artículo 1 de la Constitución Política de los Estados Unidos Mexicanos, se destaca lo siguiente:</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1o</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56D2D" w:rsidRDefault="00456D2D">
      <w:pPr>
        <w:ind w:left="851" w:right="902"/>
        <w:jc w:val="both"/>
        <w:rPr>
          <w:rFonts w:ascii="Palatino Linotype" w:hAnsi="Palatino Linotype" w:cs="Arial"/>
          <w:b/>
          <w:i/>
          <w:sz w:val="22"/>
          <w:szCs w:val="22"/>
        </w:rPr>
      </w:pPr>
    </w:p>
    <w:p w:rsidR="00456D2D" w:rsidRDefault="000E1C43">
      <w:pPr>
        <w:ind w:left="851" w:right="902"/>
        <w:jc w:val="both"/>
        <w:rPr>
          <w:rFonts w:ascii="Palatino Linotype" w:hAnsi="Palatino Linotype" w:cs="Arial"/>
          <w:b/>
          <w:i/>
          <w:sz w:val="22"/>
          <w:szCs w:val="22"/>
        </w:rPr>
      </w:pPr>
      <w:r>
        <w:rPr>
          <w:rFonts w:ascii="Palatino Linotype" w:hAnsi="Palatino Linotype" w:cs="Arial"/>
          <w:b/>
          <w:i/>
          <w:sz w:val="22"/>
          <w:szCs w:val="22"/>
        </w:rPr>
        <w:t>Las normas relativas a los derechos humanos se interpretarán</w:t>
      </w:r>
      <w:r>
        <w:rPr>
          <w:rFonts w:ascii="Palatino Linotype" w:hAnsi="Palatino Linotype" w:cs="Arial"/>
          <w:i/>
          <w:sz w:val="22"/>
          <w:szCs w:val="22"/>
        </w:rPr>
        <w:t xml:space="preserve"> de conformidad con esta Constitución y con los tratados internacionales de la </w:t>
      </w:r>
      <w:r>
        <w:rPr>
          <w:rFonts w:ascii="Palatino Linotype" w:hAnsi="Palatino Linotype" w:cs="Arial"/>
          <w:b/>
          <w:i/>
          <w:sz w:val="22"/>
          <w:szCs w:val="22"/>
        </w:rPr>
        <w:t>materia favoreciendo en todo tiempo a las personas la protección más amplia.</w:t>
      </w:r>
    </w:p>
    <w:p w:rsidR="00456D2D" w:rsidRDefault="00456D2D">
      <w:pPr>
        <w:ind w:left="851" w:right="902"/>
        <w:jc w:val="both"/>
        <w:rPr>
          <w:rFonts w:ascii="Palatino Linotype" w:hAnsi="Palatino Linotype" w:cs="Arial"/>
          <w:b/>
          <w:i/>
          <w:sz w:val="22"/>
          <w:szCs w:val="22"/>
        </w:rPr>
      </w:pPr>
    </w:p>
    <w:p w:rsidR="00456D2D" w:rsidRDefault="000E1C43">
      <w:pPr>
        <w:ind w:left="851" w:right="902"/>
        <w:jc w:val="both"/>
        <w:rPr>
          <w:rFonts w:ascii="Palatino Linotype" w:hAnsi="Palatino Linotype" w:cs="Arial"/>
          <w:i/>
          <w:sz w:val="22"/>
          <w:szCs w:val="22"/>
        </w:rPr>
      </w:pPr>
      <w:r>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rPr>
        <w:t>. En consecuencia, el Estado deberá prevenir, investigar, sancionar y reparar las violaciones a los derechos humanos, en los términos que establezca la ley.”</w:t>
      </w:r>
    </w:p>
    <w:p w:rsidR="00456D2D" w:rsidRDefault="00456D2D">
      <w:pPr>
        <w:ind w:left="851" w:right="902"/>
        <w:jc w:val="both"/>
        <w:rPr>
          <w:rFonts w:ascii="Palatino Linotype" w:hAnsi="Palatino Linotype"/>
          <w:sz w:val="22"/>
          <w:szCs w:val="22"/>
        </w:rPr>
      </w:pPr>
    </w:p>
    <w:p w:rsidR="00456D2D" w:rsidRDefault="000E1C43">
      <w:pPr>
        <w:ind w:left="851" w:right="902"/>
        <w:jc w:val="both"/>
        <w:rPr>
          <w:rFonts w:ascii="Palatino Linotype" w:hAnsi="Palatino Linotype"/>
          <w:sz w:val="22"/>
          <w:szCs w:val="22"/>
        </w:rPr>
      </w:pPr>
      <w:r>
        <w:rPr>
          <w:rFonts w:ascii="Palatino Linotype" w:hAnsi="Palatino Linotype"/>
          <w:sz w:val="22"/>
          <w:szCs w:val="22"/>
        </w:rPr>
        <w:t>(Énfasis añadido)</w:t>
      </w:r>
    </w:p>
    <w:p w:rsidR="00456D2D" w:rsidRDefault="000E1C43">
      <w:pPr>
        <w:spacing w:before="200" w:after="200" w:line="360" w:lineRule="auto"/>
        <w:jc w:val="both"/>
        <w:rPr>
          <w:rFonts w:ascii="Palatino Linotype" w:hAnsi="Palatino Linotype"/>
        </w:rPr>
      </w:pPr>
      <w:r>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rPr>
        <w:t>alguno</w:t>
      </w:r>
      <w:r>
        <w:rPr>
          <w:rFonts w:ascii="Palatino Linotype" w:hAnsi="Palatino Linotype"/>
        </w:rPr>
        <w:t xml:space="preserve">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6D2D" w:rsidRDefault="000E1C43">
      <w:pPr>
        <w:spacing w:before="200" w:after="200" w:line="360" w:lineRule="auto"/>
        <w:jc w:val="both"/>
        <w:rPr>
          <w:rFonts w:ascii="Palatino Linotype" w:hAnsi="Palatino Linotype"/>
        </w:rPr>
      </w:pPr>
      <w:r>
        <w:rPr>
          <w:rFonts w:ascii="Palatino Linotype" w:hAnsi="Palatino Linotype"/>
        </w:rPr>
        <w:t xml:space="preserve">Robustece lo anterior, el Criterio 6/2014 del entonces </w:t>
      </w:r>
      <w:r>
        <w:rPr>
          <w:rFonts w:ascii="Palatino Linotype" w:hAnsi="Palatino Linotype"/>
          <w:szCs w:val="20"/>
        </w:rPr>
        <w:t xml:space="preserve">Instituto Federal de Acceso a la Información y </w:t>
      </w:r>
      <w:r>
        <w:rPr>
          <w:rFonts w:ascii="Palatino Linotype" w:hAnsi="Palatino Linotype" w:cs="Arial"/>
        </w:rPr>
        <w:t>Protección</w:t>
      </w:r>
      <w:r>
        <w:rPr>
          <w:rFonts w:ascii="Palatino Linotype" w:hAnsi="Palatino Linotype"/>
          <w:szCs w:val="20"/>
        </w:rPr>
        <w:t xml:space="preserve"> de Datos (IFAI) hoy Instituto Nacional de Transparencia, Acceso a la Información y Protección de Datos Personales (INAI)</w:t>
      </w:r>
      <w:r>
        <w:rPr>
          <w:rFonts w:ascii="Palatino Linotype" w:hAnsi="Palatino Linotype"/>
        </w:rPr>
        <w:t>, el cual se reproduce para una mayor referencia:</w:t>
      </w:r>
    </w:p>
    <w:p w:rsidR="00456D2D" w:rsidRDefault="000E1C43">
      <w:pPr>
        <w:ind w:left="851" w:right="902"/>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Acceso a información gubernamental. No debe condicionarse a que el solicitante acredite su personalidad, demuestre interés alguno o justifique su utilización.</w:t>
      </w:r>
      <w:r>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56D2D" w:rsidRDefault="00456D2D">
      <w:pPr>
        <w:ind w:left="851" w:right="902"/>
        <w:jc w:val="both"/>
        <w:rPr>
          <w:rFonts w:ascii="Palatino Linotype" w:hAnsi="Palatino Linotype" w:cs="Arial"/>
          <w:i/>
          <w:sz w:val="22"/>
          <w:szCs w:val="22"/>
        </w:rPr>
      </w:pP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Resoluciones</w:t>
      </w:r>
    </w:p>
    <w:p w:rsidR="00456D2D" w:rsidRDefault="000E1C43">
      <w:pPr>
        <w:ind w:left="851" w:right="902"/>
        <w:jc w:val="both"/>
        <w:rPr>
          <w:rFonts w:ascii="Palatino Linotype" w:hAnsi="Palatino Linotype" w:cs="Arial"/>
          <w:i/>
          <w:sz w:val="22"/>
          <w:szCs w:val="22"/>
        </w:rPr>
      </w:pPr>
      <w:r>
        <w:rPr>
          <w:rFonts w:ascii="Palatino Linotype" w:hAnsi="Palatino Linotype" w:cs="Arial"/>
          <w:b/>
          <w:i/>
          <w:sz w:val="22"/>
          <w:szCs w:val="22"/>
        </w:rPr>
        <w:t>• RDA 5275/13</w:t>
      </w:r>
      <w:r>
        <w:rPr>
          <w:rFonts w:ascii="Palatino Linotype" w:hAnsi="Palatino Linotype" w:cs="Arial"/>
          <w:i/>
          <w:sz w:val="22"/>
          <w:szCs w:val="22"/>
        </w:rPr>
        <w:t>. Interpuesto en contra de la Secretaría de la Defensa Nacional. Comisionado Ponente Ángel Trinidad Zaldívar.</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2937/13</w:t>
      </w:r>
      <w:r>
        <w:rPr>
          <w:rFonts w:ascii="Palatino Linotype" w:hAnsi="Palatino Linotype" w:cs="Arial"/>
          <w:i/>
          <w:sz w:val="22"/>
          <w:szCs w:val="22"/>
        </w:rPr>
        <w:t>. Interpuesto en contra de LICONSA, S.A. de C.V. Comisionado. Ponente Gerardo Laveaga Rendón.</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3609/12</w:t>
      </w:r>
      <w:r>
        <w:rPr>
          <w:rFonts w:ascii="Palatino Linotype" w:hAnsi="Palatino Linotype" w:cs="Arial"/>
          <w:i/>
          <w:sz w:val="22"/>
          <w:szCs w:val="22"/>
        </w:rPr>
        <w:t>. Interpuesto en contra de la Secretaría de Educación Pública. Comisionada Ponente Sigrid Arzt Colunga.</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3361/12</w:t>
      </w:r>
      <w:r>
        <w:rPr>
          <w:rFonts w:ascii="Palatino Linotype" w:hAnsi="Palatino Linotype" w:cs="Arial"/>
          <w:i/>
          <w:sz w:val="22"/>
          <w:szCs w:val="22"/>
        </w:rPr>
        <w:t>. Interpuesto en contra del Servicio de Administración Tributaria. Comisionada Ponente María Elena Pérez-Jaén Zermeño.</w:t>
      </w:r>
    </w:p>
    <w:p w:rsidR="00456D2D" w:rsidRDefault="000E1C43">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0563/12</w:t>
      </w:r>
      <w:r>
        <w:rPr>
          <w:rFonts w:ascii="Palatino Linotype" w:hAnsi="Palatino Linotype" w:cs="Arial"/>
          <w:i/>
          <w:sz w:val="22"/>
          <w:szCs w:val="22"/>
        </w:rPr>
        <w:t>. Interpuesto en contra de la Secretaría de la Función Pública. Comisionada Ponente Jacqueline Peschard Mariscal.” (SIC)</w:t>
      </w:r>
    </w:p>
    <w:p w:rsidR="00456D2D" w:rsidRDefault="000E1C43">
      <w:pPr>
        <w:spacing w:beforeAutospacing="1" w:afterAutospacing="1" w:line="360" w:lineRule="auto"/>
        <w:jc w:val="both"/>
        <w:rPr>
          <w:rFonts w:ascii="Palatino Linotype" w:hAnsi="Palatino Linotype"/>
        </w:rPr>
      </w:pPr>
      <w:r>
        <w:rPr>
          <w:rFonts w:ascii="Palatino Linotype" w:hAnsi="Palatino Linotype"/>
        </w:rPr>
        <w:t xml:space="preserve">En ese orden de ideas, se estima que el requerimiento relativo al nombre como presupuesto de procedibilidad, </w:t>
      </w:r>
      <w:r>
        <w:rPr>
          <w:rFonts w:ascii="Palatino Linotype" w:hAnsi="Palatino Linotype" w:cs="Arial"/>
        </w:rPr>
        <w:t>podría</w:t>
      </w:r>
      <w:r>
        <w:rPr>
          <w:rFonts w:ascii="Palatino Linotype" w:hAnsi="Palatino Linotype"/>
        </w:rPr>
        <w:t xml:space="preserve"> limitar el ejercicio del derecho de acceso a la información pública, debido a que, el hecho de solicitar la identificación del hoy </w:t>
      </w:r>
      <w:r>
        <w:rPr>
          <w:rFonts w:ascii="Palatino Linotype" w:hAnsi="Palatino Linotype" w:cs="Arial"/>
          <w:b/>
        </w:rPr>
        <w:t>RECURRENTE</w:t>
      </w:r>
      <w:r>
        <w:rPr>
          <w:rFonts w:ascii="Palatino Linotype" w:hAnsi="Palatino Linotype"/>
        </w:rPr>
        <w:t xml:space="preserve"> a través de dicho dato personal, en ciertos extremos se equipara a una exigencia acerca de su interés o justificación de su utilización, lo que materialmente haría nugatorio un </w:t>
      </w:r>
      <w:r>
        <w:rPr>
          <w:rFonts w:ascii="Palatino Linotype" w:hAnsi="Palatino Linotype"/>
          <w:szCs w:val="20"/>
        </w:rPr>
        <w:t>derecho</w:t>
      </w:r>
      <w:r>
        <w:rPr>
          <w:rFonts w:ascii="Palatino Linotype" w:hAnsi="Palatino Linotype"/>
        </w:rPr>
        <w:t xml:space="preserve"> fundamental.</w:t>
      </w:r>
    </w:p>
    <w:p w:rsidR="00456D2D" w:rsidRDefault="000E1C43">
      <w:pPr>
        <w:spacing w:before="200" w:after="200" w:line="360" w:lineRule="auto"/>
        <w:jc w:val="both"/>
        <w:rPr>
          <w:rFonts w:ascii="Palatino Linotype" w:hAnsi="Palatino Linotype"/>
        </w:rPr>
      </w:pPr>
      <w:r>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rPr>
        <w:t>Constitución</w:t>
      </w:r>
      <w:r>
        <w:rPr>
          <w:rFonts w:ascii="Palatino Linotype" w:hAnsi="Palatino Linotype"/>
        </w:rPr>
        <w:t xml:space="preserve"> Federal, como la Constitución Política del Estado </w:t>
      </w:r>
      <w:r>
        <w:rPr>
          <w:rFonts w:ascii="Palatino Linotype" w:hAnsi="Palatino Linotype"/>
          <w:szCs w:val="20"/>
        </w:rPr>
        <w:t>Libre</w:t>
      </w:r>
      <w:r>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56D2D" w:rsidRDefault="000E1C43">
      <w:pPr>
        <w:spacing w:before="200" w:after="200" w:line="360" w:lineRule="auto"/>
        <w:jc w:val="both"/>
        <w:rPr>
          <w:rFonts w:ascii="Palatino Linotype" w:hAnsi="Palatino Linotype"/>
        </w:rPr>
      </w:pPr>
      <w:r>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Pr>
          <w:rFonts w:ascii="Palatino Linotype" w:hAnsi="Palatino Linotype"/>
          <w:szCs w:val="20"/>
        </w:rPr>
        <w:t>debido</w:t>
      </w:r>
      <w:r>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rPr>
        <w:t>EL RECURRENTE</w:t>
      </w:r>
      <w:r>
        <w:rPr>
          <w:rFonts w:ascii="Palatino Linotype" w:hAnsi="Palatino Linotype"/>
        </w:rPr>
        <w:t>, es la misma persona que realizó la solicitud de acceso a la información pública que ahora se impugna.</w:t>
      </w:r>
    </w:p>
    <w:p w:rsidR="00456D2D" w:rsidRDefault="000E1C43">
      <w:pPr>
        <w:pStyle w:val="Prrafodelista"/>
        <w:widowControl w:val="0"/>
        <w:tabs>
          <w:tab w:val="left" w:pos="1418"/>
        </w:tabs>
        <w:spacing w:before="200" w:after="200" w:line="360" w:lineRule="auto"/>
        <w:ind w:left="0"/>
        <w:jc w:val="both"/>
        <w:rPr>
          <w:rFonts w:ascii="Palatino Linotype" w:hAnsi="Palatino Linotype"/>
        </w:rPr>
      </w:pPr>
      <w:r>
        <w:rPr>
          <w:rFonts w:ascii="Palatino Linotype" w:hAnsi="Palatino Linotype"/>
        </w:rPr>
        <w:t xml:space="preserve">En adición a lo anterior, el propio artículo 180 en su último párrafo establece que cuando el recurso se interponga de </w:t>
      </w:r>
      <w:r>
        <w:rPr>
          <w:rFonts w:ascii="Palatino Linotype" w:hAnsi="Palatino Linotype"/>
          <w:szCs w:val="20"/>
        </w:rPr>
        <w:t>manera</w:t>
      </w:r>
      <w:r>
        <w:rPr>
          <w:rFonts w:ascii="Palatino Linotype" w:hAnsi="Palatino Linotype"/>
        </w:rPr>
        <w:t xml:space="preserve"> electrónica no será indispensable que contenga determinados requisitos, entre ellos, el nombre del hoy</w:t>
      </w:r>
      <w:r>
        <w:rPr>
          <w:rFonts w:ascii="Palatino Linotype" w:hAnsi="Palatino Linotype" w:cs="Arial"/>
          <w:b/>
        </w:rPr>
        <w:t xml:space="preserve"> RECURRENTE</w:t>
      </w:r>
      <w:r>
        <w:rPr>
          <w:rFonts w:ascii="Palatino Linotype" w:hAnsi="Palatino Linotype"/>
        </w:rPr>
        <w:t xml:space="preserve">, por lo que en el presente caso, al haber sido presentado el recurso de revisión vía </w:t>
      </w:r>
      <w:r>
        <w:rPr>
          <w:rFonts w:ascii="Palatino Linotype" w:hAnsi="Palatino Linotype"/>
          <w:b/>
        </w:rPr>
        <w:t>SAIMEX</w:t>
      </w:r>
      <w:r>
        <w:rPr>
          <w:rFonts w:ascii="Palatino Linotype" w:hAnsi="Palatino Linotype"/>
        </w:rPr>
        <w:t>, dicho requisito resulta innecesario.</w:t>
      </w:r>
    </w:p>
    <w:p w:rsidR="00456D2D" w:rsidRDefault="000E1C43">
      <w:pPr>
        <w:spacing w:beforeAutospacing="1" w:afterAutospacing="1" w:line="360" w:lineRule="auto"/>
        <w:contextualSpacing/>
        <w:jc w:val="both"/>
        <w:rPr>
          <w:rFonts w:ascii="Palatino Linotype" w:hAnsi="Palatino Linotype"/>
          <w:lang w:val="es-ES"/>
        </w:rPr>
      </w:pPr>
      <w:r>
        <w:rPr>
          <w:rFonts w:ascii="Palatino Linotype" w:hAnsi="Palatino Linotype"/>
          <w:b/>
          <w:bCs/>
          <w:sz w:val="28"/>
        </w:rPr>
        <w:t>QUINTO.</w:t>
      </w:r>
      <w:r>
        <w:rPr>
          <w:rFonts w:ascii="Palatino Linotype" w:hAnsi="Palatino Linotype"/>
          <w:b/>
          <w:bCs/>
          <w:spacing w:val="60"/>
          <w:sz w:val="28"/>
        </w:rPr>
        <w:t xml:space="preserve"> </w:t>
      </w:r>
      <w:r>
        <w:rPr>
          <w:rFonts w:ascii="Palatino Linotype" w:hAnsi="Palatino Linotype" w:cs="Arial"/>
          <w:b/>
          <w:color w:val="000000" w:themeColor="text1"/>
          <w:lang w:val="es-ES" w:eastAsia="es-MX"/>
        </w:rPr>
        <w:t>Estudio y resolución del asunto.</w:t>
      </w:r>
      <w:r>
        <w:rPr>
          <w:rFonts w:ascii="Palatino Linotype" w:hAnsi="Palatino Linotype" w:cs="Arial"/>
          <w:color w:val="000000" w:themeColor="text1"/>
          <w:lang w:val="es-ES" w:eastAsia="es-MX"/>
        </w:rPr>
        <w:t xml:space="preserve"> Del análisis efectuado, se advierte que el </w:t>
      </w:r>
      <w:r>
        <w:rPr>
          <w:rFonts w:ascii="Palatino Linotype" w:hAnsi="Palatino Linotype" w:cs="Arial"/>
          <w:lang w:val="es-ES" w:eastAsia="es-MX"/>
        </w:rPr>
        <w:t xml:space="preserve">presente recurso de revisión es procedente, toda vez que se actualiza la hipótesis prevista en la fracción </w:t>
      </w:r>
      <w:r>
        <w:rPr>
          <w:rFonts w:ascii="Palatino Linotype" w:hAnsi="Palatino Linotype" w:cs="Arial"/>
          <w:color w:val="000000"/>
          <w:lang w:val="es-ES"/>
        </w:rPr>
        <w:t>XIII</w:t>
      </w:r>
      <w:r>
        <w:rPr>
          <w:rFonts w:ascii="Palatino Linotype" w:hAnsi="Palatino Linotype" w:cs="Arial"/>
          <w:lang w:val="es-ES" w:eastAsia="es-MX"/>
        </w:rPr>
        <w:t xml:space="preserve"> del artículo 179 de la ley de la materia, el cual a la letra dice:</w:t>
      </w:r>
    </w:p>
    <w:p w:rsidR="00456D2D" w:rsidRDefault="00456D2D">
      <w:pPr>
        <w:spacing w:beforeAutospacing="1" w:afterAutospacing="1"/>
        <w:contextualSpacing/>
        <w:jc w:val="both"/>
        <w:rPr>
          <w:rFonts w:ascii="Palatino Linotype" w:hAnsi="Palatino Linotype" w:cs="Arial"/>
          <w:lang w:val="es-ES"/>
        </w:rPr>
      </w:pPr>
    </w:p>
    <w:p w:rsidR="00456D2D" w:rsidRDefault="000E1C43">
      <w:pPr>
        <w:spacing w:beforeAutospacing="1" w:afterAutospacing="1"/>
        <w:ind w:left="851" w:right="901"/>
        <w:contextualSpacing/>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r>
        <w:rPr>
          <w:rFonts w:ascii="Palatino Linotype" w:hAnsi="Palatino Linotype" w:cs="Arial"/>
          <w:b/>
          <w:i/>
          <w:color w:val="000000"/>
          <w:sz w:val="22"/>
          <w:szCs w:val="22"/>
          <w:lang w:val="es-ES"/>
        </w:rPr>
        <w:t>Artículo 179.</w:t>
      </w:r>
      <w:r>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456D2D" w:rsidRDefault="000E1C43">
      <w:pPr>
        <w:spacing w:beforeAutospacing="1" w:afterAutospacing="1"/>
        <w:ind w:left="851" w:right="901"/>
        <w:contextualSpacing/>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p>
    <w:p w:rsidR="00456D2D" w:rsidRDefault="000E1C43">
      <w:pPr>
        <w:spacing w:beforeAutospacing="1" w:afterAutospacing="1"/>
        <w:ind w:left="851" w:right="901"/>
        <w:contextualSpacing/>
        <w:jc w:val="both"/>
        <w:rPr>
          <w:rFonts w:ascii="Palatino Linotype" w:hAnsi="Palatino Linotype" w:cs="Arial"/>
          <w:i/>
          <w:color w:val="000000"/>
          <w:sz w:val="22"/>
          <w:szCs w:val="22"/>
          <w:lang w:val="es-ES"/>
        </w:rPr>
      </w:pPr>
      <w:r>
        <w:rPr>
          <w:rFonts w:ascii="Palatino Linotype" w:eastAsia="Arial Unicode MS" w:hAnsi="Palatino Linotype" w:cs="Arial"/>
          <w:b/>
          <w:i/>
          <w:sz w:val="22"/>
          <w:u w:val="single"/>
        </w:rPr>
        <w:t>V. La entrega de información incompleta;</w:t>
      </w:r>
    </w:p>
    <w:p w:rsidR="00456D2D" w:rsidRDefault="000E1C43">
      <w:pPr>
        <w:spacing w:beforeAutospacing="1" w:afterAutospacing="1"/>
        <w:ind w:left="851" w:right="901"/>
        <w:contextualSpacing/>
        <w:jc w:val="both"/>
        <w:rPr>
          <w:rFonts w:ascii="Palatino Linotype" w:hAnsi="Palatino Linotype" w:cs="Arial"/>
          <w:b/>
          <w:i/>
          <w:color w:val="000000"/>
          <w:sz w:val="22"/>
          <w:szCs w:val="22"/>
          <w:lang w:val="es-ES"/>
        </w:rPr>
      </w:pPr>
      <w:r>
        <w:rPr>
          <w:rFonts w:ascii="Palatino Linotype" w:hAnsi="Palatino Linotype" w:cs="Arial"/>
          <w:b/>
          <w:i/>
          <w:color w:val="000000"/>
          <w:sz w:val="22"/>
          <w:szCs w:val="22"/>
          <w:lang w:val="es-ES"/>
        </w:rPr>
        <w:t>…</w:t>
      </w:r>
      <w:r>
        <w:rPr>
          <w:rFonts w:ascii="Palatino Linotype" w:hAnsi="Palatino Linotype" w:cs="Arial"/>
          <w:i/>
          <w:color w:val="000000"/>
          <w:sz w:val="22"/>
          <w:szCs w:val="22"/>
          <w:lang w:val="es-ES"/>
        </w:rPr>
        <w:t>”</w:t>
      </w:r>
    </w:p>
    <w:p w:rsidR="00456D2D" w:rsidRDefault="000E1C43">
      <w:pPr>
        <w:spacing w:beforeAutospacing="1" w:afterAutospacing="1"/>
        <w:ind w:left="851" w:right="901"/>
        <w:contextualSpacing/>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(Énfasis añadido)</w:t>
      </w:r>
    </w:p>
    <w:p w:rsidR="00456D2D" w:rsidRDefault="00456D2D">
      <w:pPr>
        <w:widowControl w:val="0"/>
        <w:tabs>
          <w:tab w:val="left" w:pos="1418"/>
        </w:tabs>
        <w:spacing w:beforeAutospacing="1" w:afterAutospacing="1" w:line="360" w:lineRule="auto"/>
        <w:contextualSpacing/>
        <w:jc w:val="both"/>
        <w:rPr>
          <w:rFonts w:ascii="Palatino Linotype" w:hAnsi="Palatino Linotype" w:cs="Arial"/>
        </w:rPr>
      </w:pPr>
    </w:p>
    <w:p w:rsidR="00456D2D" w:rsidRDefault="000E1C43">
      <w:pPr>
        <w:widowControl w:val="0"/>
        <w:spacing w:beforeAutospacing="1" w:afterAutospacing="1" w:line="360" w:lineRule="auto"/>
        <w:contextualSpacing/>
        <w:jc w:val="both"/>
        <w:rPr>
          <w:rFonts w:ascii="Palatino Linotype" w:hAnsi="Palatino Linotype" w:cs="Arial"/>
        </w:rPr>
      </w:pPr>
      <w:r>
        <w:rPr>
          <w:rFonts w:ascii="Palatino Linotype" w:eastAsia="Arial Unicode MS" w:hAnsi="Palatino Linotype" w:cs="Arial"/>
          <w:lang w:val="es-ES"/>
        </w:rPr>
        <w:t xml:space="preserve">Por lo que, resulta </w:t>
      </w:r>
      <w:r>
        <w:rPr>
          <w:rFonts w:ascii="Palatino Linotype" w:hAnsi="Palatino Linotype" w:cs="Arial"/>
        </w:rPr>
        <w:t xml:space="preserve">conveniente analizar si la respuesta proporcionada por </w:t>
      </w:r>
      <w:r>
        <w:rPr>
          <w:rFonts w:ascii="Palatino Linotype" w:hAnsi="Palatino Linotype" w:cs="Arial"/>
          <w:b/>
        </w:rPr>
        <w:t xml:space="preserve">EL SUJETO OBLIGADO </w:t>
      </w:r>
      <w:r>
        <w:rPr>
          <w:rFonts w:ascii="Palatino Linotype" w:hAnsi="Palatino Linotype" w:cs="Arial"/>
        </w:rPr>
        <w:t xml:space="preserve">satisface plenamente el derecho de acceso a la información ejercido por </w:t>
      </w:r>
      <w:r>
        <w:rPr>
          <w:rFonts w:ascii="Palatino Linotype" w:hAnsi="Palatino Linotype" w:cs="Arial"/>
          <w:b/>
        </w:rPr>
        <w:t>EL RECURRENTE</w:t>
      </w:r>
      <w:r>
        <w:rPr>
          <w:rFonts w:ascii="Palatino Linotype" w:hAnsi="Palatino Linotype" w:cs="Arial"/>
        </w:rPr>
        <w:t>, por lo que en primer término debemos recordar que este le solicitó conocer si las escuelas públicas cuentan con ayuda Estatal o Federal para sus gastos o sí es que sólo se mantienen de las aportaciones de los padres de familia; en especial de la Escuela Primaria Estatal.</w:t>
      </w:r>
    </w:p>
    <w:p w:rsidR="00456D2D" w:rsidRDefault="00456D2D">
      <w:pPr>
        <w:widowControl w:val="0"/>
        <w:spacing w:beforeAutospacing="1" w:afterAutospacing="1" w:line="360" w:lineRule="auto"/>
        <w:contextualSpacing/>
        <w:jc w:val="both"/>
        <w:rPr>
          <w:rFonts w:ascii="Palatino Linotype" w:hAnsi="Palatino Linotype" w:cs="Arial"/>
        </w:rPr>
      </w:pPr>
    </w:p>
    <w:p w:rsidR="00456D2D" w:rsidRDefault="000E1C43">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En respuesta </w:t>
      </w:r>
      <w:r>
        <w:rPr>
          <w:rFonts w:ascii="Palatino Linotype" w:hAnsi="Palatino Linotype" w:cs="Arial"/>
          <w:b/>
        </w:rPr>
        <w:t xml:space="preserve">EL SUJETO OBLIGADO </w:t>
      </w:r>
      <w:r>
        <w:rPr>
          <w:rFonts w:ascii="Palatino Linotype" w:hAnsi="Palatino Linotype" w:cs="Arial"/>
        </w:rPr>
        <w:t>señaló que adjuntaba en formato PDF, la información solicitada y entregada por el área de la Dirección de Educación y Cultura del Ayuntamiento de Ecatepec de Morelos; asimismo refirió dos ligas electrónicas que remiten a la Secretaría de Educación del Estado y a la Secretaría de Educación Pública Federal.</w:t>
      </w:r>
    </w:p>
    <w:p w:rsidR="00456D2D" w:rsidRDefault="000E1C43">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Inconforme con dicha respuesta </w:t>
      </w:r>
      <w:r>
        <w:rPr>
          <w:rFonts w:ascii="Palatino Linotype" w:hAnsi="Palatino Linotype" w:cs="Arial"/>
          <w:b/>
        </w:rPr>
        <w:t xml:space="preserve">EL RECURRENTE </w:t>
      </w:r>
      <w:r>
        <w:rPr>
          <w:rFonts w:ascii="Palatino Linotype" w:hAnsi="Palatino Linotype" w:cs="Arial"/>
        </w:rPr>
        <w:t xml:space="preserve">interpuso el presente medio de impugnación doliéndose medularmente de que se le entregara de manera incompleta la información requerida; pues </w:t>
      </w:r>
      <w:r>
        <w:rPr>
          <w:rFonts w:ascii="Palatino Linotype" w:hAnsi="Palatino Linotype" w:cs="Arial"/>
          <w:b/>
        </w:rPr>
        <w:t xml:space="preserve">EL SUJETO OBLIGADO </w:t>
      </w:r>
      <w:r>
        <w:rPr>
          <w:rFonts w:ascii="Palatino Linotype" w:hAnsi="Palatino Linotype" w:cs="Arial"/>
        </w:rPr>
        <w:t>omitió adjuntar el archivo PDF con la información solicitada.</w:t>
      </w:r>
    </w:p>
    <w:p w:rsidR="00456D2D" w:rsidRDefault="000E1C43">
      <w:pPr>
        <w:pStyle w:val="Prrafodelista"/>
        <w:widowControl w:val="0"/>
        <w:tabs>
          <w:tab w:val="left" w:pos="1276"/>
        </w:tabs>
        <w:spacing w:before="240" w:afterAutospacing="1" w:line="360" w:lineRule="auto"/>
        <w:ind w:left="0" w:right="49"/>
        <w:jc w:val="both"/>
        <w:rPr>
          <w:rFonts w:ascii="Palatino Linotype" w:hAnsi="Palatino Linotype"/>
        </w:rPr>
      </w:pPr>
      <w:r>
        <w:rPr>
          <w:rFonts w:ascii="Palatino Linotype" w:hAnsi="Palatino Linotype"/>
        </w:rPr>
        <w:t xml:space="preserve">En ese tenor, conviene destacar que </w:t>
      </w:r>
      <w:r>
        <w:rPr>
          <w:rFonts w:ascii="Palatino Linotype" w:hAnsi="Palatino Linotype"/>
          <w:b/>
        </w:rPr>
        <w:t xml:space="preserve">EL SUJETO OBLIGADO </w:t>
      </w:r>
      <w:r>
        <w:rPr>
          <w:rFonts w:ascii="Palatino Linotype" w:hAnsi="Palatino Linotype"/>
        </w:rPr>
        <w:t>mediante Informe Justificado refirió que por lo general ninguna institución educativa recibe presupuesto determinado por los tres niveles de Gobierno; refiriendo que las escuelas públicas en su mayoría buscan la obtención de recursos a través de las cuotas escolares o diversas actividades que realizan para generar recursos tales como kermeses, concentración y venta de PET (botellas de plástico recicladas) y realizando gestorías ante diferentes autoridades para ser beneficiados con programas que les permitan mejorar su infraestructura.</w:t>
      </w:r>
    </w:p>
    <w:p w:rsidR="00456D2D" w:rsidRDefault="000E1C43">
      <w:pPr>
        <w:pStyle w:val="Prrafodelista"/>
        <w:widowControl w:val="0"/>
        <w:tabs>
          <w:tab w:val="left" w:pos="1276"/>
        </w:tabs>
        <w:spacing w:before="240" w:afterAutospacing="1" w:line="360" w:lineRule="auto"/>
        <w:ind w:left="0" w:right="49"/>
        <w:jc w:val="both"/>
        <w:rPr>
          <w:rFonts w:ascii="Palatino Linotype" w:hAnsi="Palatino Linotype"/>
        </w:rPr>
      </w:pPr>
      <w:r>
        <w:rPr>
          <w:rFonts w:ascii="Palatino Linotype" w:hAnsi="Palatino Linotype"/>
        </w:rPr>
        <w:t xml:space="preserve">Por su parte </w:t>
      </w:r>
      <w:r>
        <w:rPr>
          <w:rFonts w:ascii="Palatino Linotype" w:hAnsi="Palatino Linotype"/>
          <w:b/>
        </w:rPr>
        <w:t xml:space="preserve">EL RECURRENTE </w:t>
      </w:r>
      <w:r>
        <w:rPr>
          <w:rFonts w:ascii="Palatino Linotype" w:hAnsi="Palatino Linotype"/>
        </w:rPr>
        <w:t>de igual manera fue omiso en realizar las manifestaciones que a su derecho convinieran.</w:t>
      </w:r>
    </w:p>
    <w:p w:rsidR="00456D2D" w:rsidRDefault="000E1C43">
      <w:pPr>
        <w:pStyle w:val="Prrafodelista"/>
        <w:widowControl w:val="0"/>
        <w:tabs>
          <w:tab w:val="left" w:pos="1276"/>
        </w:tabs>
        <w:spacing w:before="240" w:afterAutospacing="1" w:line="360" w:lineRule="auto"/>
        <w:ind w:left="0" w:right="49"/>
        <w:jc w:val="both"/>
        <w:rPr>
          <w:rFonts w:ascii="Palatino Linotype" w:hAnsi="Palatino Linotype"/>
        </w:rPr>
      </w:pPr>
      <w:r>
        <w:rPr>
          <w:rFonts w:ascii="Palatino Linotype" w:eastAsia="Calibri" w:hAnsi="Palatino Linotype" w:cs="Arial"/>
        </w:rPr>
        <w:t xml:space="preserve">Puntualizado lo anterior, es necesario referir que la controversia en el presente asunto versa en relación a que </w:t>
      </w:r>
      <w:r>
        <w:rPr>
          <w:rFonts w:ascii="Palatino Linotype" w:eastAsia="Calibri" w:hAnsi="Palatino Linotype" w:cs="Arial"/>
          <w:b/>
        </w:rPr>
        <w:t xml:space="preserve">EL SUJETO OBLIGADO </w:t>
      </w:r>
      <w:r>
        <w:rPr>
          <w:rFonts w:ascii="Palatino Linotype" w:eastAsia="Calibri" w:hAnsi="Palatino Linotype" w:cs="Arial"/>
        </w:rPr>
        <w:t xml:space="preserve">no hubiera adjuntado el archivo PDF referido en su respuesta; sin embargo, derivado de las manifestaciones referidas en Informe Justificado, por la </w:t>
      </w:r>
      <w:r>
        <w:rPr>
          <w:rFonts w:ascii="Palatino Linotype" w:hAnsi="Palatino Linotype" w:cs="Arial"/>
        </w:rPr>
        <w:t xml:space="preserve">Dirección de Educación y Cultura del Ayuntamiento de Ecatepec de Morelos, donde manifestó </w:t>
      </w:r>
      <w:r>
        <w:rPr>
          <w:rFonts w:ascii="Palatino Linotype" w:hAnsi="Palatino Linotype"/>
        </w:rPr>
        <w:t>que las escuelas públicas en su mayoría buscan la obtención de recursos a través de las cuotas escolares o diversas actividades que realizan para generar recursos tales como kermeses, concentración y venta de PET (botellas de plástico recicladas) y realizando gestorías ante diferentes autoridades para ser beneficiados con programas que les permitan mejorar su infraestructura.</w:t>
      </w:r>
    </w:p>
    <w:p w:rsidR="00456D2D" w:rsidRDefault="000E1C43">
      <w:pPr>
        <w:spacing w:beforeAutospacing="1" w:afterAutospacing="1" w:line="360" w:lineRule="auto"/>
        <w:contextualSpacing/>
        <w:jc w:val="both"/>
        <w:rPr>
          <w:rFonts w:ascii="Palatino Linotype" w:hAnsi="Palatino Linotype" w:cs="Arial"/>
          <w:lang w:val="es-ES_tradnl"/>
        </w:rPr>
      </w:pPr>
      <w:r>
        <w:rPr>
          <w:rFonts w:ascii="Palatino Linotype" w:eastAsia="MS Mincho" w:hAnsi="Palatino Linotype"/>
          <w:color w:val="000000"/>
        </w:rPr>
        <w:t>En</w:t>
      </w:r>
      <w:r>
        <w:rPr>
          <w:rFonts w:ascii="Palatino Linotype" w:hAnsi="Palatino Linotype" w:cs="Arial"/>
          <w:color w:val="000000"/>
        </w:rPr>
        <w:t xml:space="preserve"> este tenor, y atento a las manifestaciones del </w:t>
      </w:r>
      <w:r>
        <w:rPr>
          <w:rFonts w:ascii="Palatino Linotype" w:hAnsi="Palatino Linotype" w:cs="Arial"/>
          <w:b/>
          <w:color w:val="000000"/>
        </w:rPr>
        <w:t xml:space="preserve">SUJETO OBLIGADO </w:t>
      </w:r>
      <w:r>
        <w:rPr>
          <w:rFonts w:ascii="Palatino Linotype" w:hAnsi="Palatino Linotype" w:cs="Arial"/>
          <w:color w:val="000000"/>
        </w:rPr>
        <w:t xml:space="preserve">referidas en el Informe Justificado, es que resulta factible analizar la obligatoriedad por parte del </w:t>
      </w:r>
      <w:r>
        <w:rPr>
          <w:rFonts w:ascii="Palatino Linotype" w:hAnsi="Palatino Linotype" w:cs="Arial"/>
          <w:b/>
          <w:color w:val="000000"/>
        </w:rPr>
        <w:t xml:space="preserve">SUJETO OBLIGADO </w:t>
      </w:r>
      <w:r>
        <w:rPr>
          <w:rFonts w:ascii="Palatino Linotype" w:hAnsi="Palatino Linotype" w:cs="Arial"/>
          <w:color w:val="000000"/>
        </w:rPr>
        <w:t>de contar con la información</w:t>
      </w:r>
      <w:r>
        <w:rPr>
          <w:rFonts w:ascii="Palatino Linotype" w:hAnsi="Palatino Linotype" w:cs="Arial"/>
          <w:b/>
          <w:color w:val="000000"/>
        </w:rPr>
        <w:t xml:space="preserve">, </w:t>
      </w:r>
      <w:r>
        <w:rPr>
          <w:rFonts w:ascii="Palatino Linotype" w:hAnsi="Palatino Linotype" w:cs="Arial"/>
          <w:color w:val="000000"/>
        </w:rPr>
        <w:t>atento a lo anterior</w:t>
      </w:r>
      <w:r>
        <w:rPr>
          <w:rFonts w:ascii="Palatino Linotype" w:hAnsi="Palatino Linotype" w:cs="Arial"/>
          <w:b/>
          <w:color w:val="000000"/>
        </w:rPr>
        <w:t xml:space="preserve"> </w:t>
      </w:r>
      <w:r>
        <w:rPr>
          <w:rFonts w:ascii="Palatino Linotype" w:hAnsi="Palatino Linotype" w:cs="Arial"/>
          <w:color w:val="000000"/>
        </w:rPr>
        <w:t xml:space="preserve">conviene traer a contexto las atribuciones del Ayuntamiento señaladas en la Ley Orgánica Municipal del Estado de México cuyo contenido literal es el siguiente: </w:t>
      </w:r>
    </w:p>
    <w:p w:rsidR="00456D2D" w:rsidRDefault="00456D2D">
      <w:pPr>
        <w:spacing w:beforeAutospacing="1" w:afterAutospacing="1" w:line="360" w:lineRule="auto"/>
        <w:contextualSpacing/>
        <w:jc w:val="both"/>
        <w:rPr>
          <w:rFonts w:ascii="Palatino Linotype" w:hAnsi="Palatino Linotype" w:cs="Arial"/>
          <w:lang w:val="es-ES_tradnl"/>
        </w:rPr>
      </w:pP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b/>
          <w:i/>
          <w:sz w:val="22"/>
          <w:szCs w:val="22"/>
        </w:rPr>
        <w:t>“Artículo 31.-</w:t>
      </w:r>
      <w:r>
        <w:rPr>
          <w:rFonts w:ascii="Palatino Linotype" w:hAnsi="Palatino Linotype"/>
          <w:i/>
          <w:sz w:val="22"/>
          <w:szCs w:val="22"/>
        </w:rPr>
        <w:t xml:space="preserve"> Son atribuciones de los ayuntamientos: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Bis.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 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Quáter. Formular, aprobar, implementar y ejecutar las políticas, programas y acciones en materia de Gobierno Digital, conforme a los lineamientos técnicos establecidos en la Ley de Gobierno Digital del Estado de México y Municipios, su Reglamento y en aquellas disposiciones jurídicas de la materia.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Quintus. Participar en la presentación e instrumentación de Gobierno Digital que prevé la Ley de la materia.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 Sextus. Formular, aprobar, implementar y ejecutar los programas y acciones para la prevención, atención y en su caso, el pago de las responsabilidades económicas en los conflictos laborales;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I. Septimus. Conocer y en su caso aprobar las acciones que en materia de terminación o recisión de las relaciones de trabajo se presenten;</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II Bis. Autorizar la exención del pago de trámites a cargo de las Oficialías del Registro Civil, para los habitantes de escasos recursos económicos en los municipios. Para tales efectos, deberán llevar a cabo por lo menos una campaña de regularización al año, en coordinación con las autoridades estatales competentes;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III. Presentar ante la Legislatura iniciativas de leyes o decretos;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IV. Proponer, en su caso, a la Legislatura local, por conducto del Ejecutivo, la creación de organismos municipales descentralizados para la prestación y operación, cuando proceda de los servicios públicos;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V. Acordar la división territorial municipal en delegaciones, subdelegaciones, colonias, sectores y manzanas;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VI. Acordar, en su caso, la categoría y denominación política que les corresponda a las localidades, conforme a esta Ley;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VII. Convenir, contratar o concesionar, en términos de ley, la ejecución de obras y la prestación de servicios públicos, con el Estado, con otros municipios de la entidad o con particulares, recabando, cuando proceda, la autorización de la Legislatura del Estado;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VIII. Concluir las obras iniciadas por administraciones anteriores y dar mantenimiento a la infraestructura e instalaciones de los servicios públicos municipales;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IX. Crear las unidades administrativas necesarias para el adecuado funcionamiento de la administración pública municipal y para la eficaz prestación de los servicios públicos;</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IX Bis. Crear en el ámbito de sus respectivas competencias una Defensoría Municipal de Derechos Humanos, la cual gozará de autonomía en sus decisiones y en el ejercicio de presupuesto;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 Conocer los informes contables y financieros anuales dentro de los tres meses siguientes a la terminación del ejercicio presupuestal que presentará el tesorero con el visto bueno del síndico;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XI. Designar de entre sus miembros a los integrantes de las comisiones del ayuntamiento; y de entre los habitantes del municipio, a los jefes de sector y de manzana;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XII. Convocar a elección de delegados y subdelegados municipales, y de los miembros de los consejos de participación ciudadana;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XIII. Solicitar al Ejecutivo del Estado la expropiación de bienes por causa de utilidad pública;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XIV. Municipalizar los servicios públicos en términos de esta Ley;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XV. Aprobar en sesión de cabildo los movimientos registrados en el libro especial de bienes muebles e inmuebles;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XVI. Acordar el destino o uso de los bienes inmuebles municipales;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XVIII. Administrar su hacienda en términos de ley, y controlar a través del presidente y síndico la aplicación del presupuesto de egresos del municipio;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Los ayuntamientos podrán promover el financiamiento de proyectos productivos de las mujeres emprendedoras.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 Autorizar la contratación de empréstitos, en términos de la Ley de Deuda Pública Municipal del Estado de México;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 Formular, aprobar y ejecutar los planes de desarrollo municipal y los Programas correspondientes;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 Bis. Promover políticas públicas apoyadas en sistemas de financiamiento, cooperación y coordinación, que procuren el acceso a las tecnologías de la información y comunicación, específicamente servicios de acceso a internet, como un servicio gratuito, considerando para ello las características socioeconómicas de la población.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 Ter. Promover, desarrollar, vigilar y evaluar en su municipio, los programas en materia de protección civil; Los programas de protección civil se integrarán con tres subprogramas: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a). Prevención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b). Auxilio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c). Recuperación Con el objetivo de fomentar la educación, la prevención y los conocimientos básicos que permitan el aprendizaje de medidas de autoprotección y de auxilio, presentándose para su registro ante la Secretaría General de Gobierno. XXI Quáter. Promover la creación, desarrollo y actualización permanente, de los atlas municipales de riesgos; XXII. Dotar de servicios públicos a los habitantes del municipio;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XXIII. Preservar, conservar y restaurar el medio ambiente; así como generar las acciones necesarias a fin de crear áreas verdes que permitan mejorar la calidad de vida y convivencia social de los habitantes del municipio, establecidos como espacios públicos de conservación ambiental. Además, podrán fomentar una mayor asignación presupuestal para mantenimiento de parques, jardines e infraestructura municipal procurando que éste sea destinado a la generación de empleos para los adultos mayores en trabajos de conservación y mantenimiento. En los municipios con población forestal, se deberá formular, aprobar, implementar y ejecutar los programas y acciones necesarias para un desarrollo forestal sustentable, que promueva el cuidado ambiental a través de la conservación de los bosques y su aprovechamiento racional y ordenado en beneficio de las condiciones de vida de sus propietarios y posesionarios, en apego con la Ley General de Desarrollo Forestal Sustentable y en colaboración con dependencias del orden federal y estatal.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XXIV. Participar en la creación y administración de sus reservas territoriales y ecológicas; convenir con otras autoridades el control y la vigilancia sobre la utilización del suelo en sus jurisdicciones territoriales; intervenir en la regularización de la tenencia de la tierra urbana; planificar y regular de manera conjunta y coordinada el desarrollo de las localidades conurbadas;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XXIV Bis. Promover las acciones y ejecutar los programas sociales necesarios para la recuperación de espacios públicos, a fin de fortalecer la seguridad jurídica, mantenimiento, sostenibilidad, control y la apropiación social de éstos;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XXIV ter. Los ayuntamientos informarán a la autoridad federal competente sobre las autorizaciones que otorguen para el funcionamiento de gasolineras o estaciones de servicio.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XXIV Quáter.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Tratándose de obras, unidades económicas, inversiones o proyectos que requieran Dictamen Único de Factibilidad, la licencia o permiso correspondiente deberá otorgarse, en un plazo no mayor a veinte días hábiles, contados a partir de que le sea presentado el Dictamen Único de Factibilidad correspondiente, siempre y cuando el solicitante haya presentado el oficio de procedencia jurídica a más tardar diez días hábiles posteriores a la fecha de su recepción;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XXIV. Quinques. Otorgar licencia de funcionamiento, previa presentación del Dictamen Único de Factibilidad,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Para el refrendo anual no es necesario obtener un nuevo Dictamen Único de Factibilidad, siempre y cuando, no se modifiquen la superficie de la unidad económica, su aforo o su actividad económica;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XXV. Coadyuvar con la Secretaría del Medio Ambiente a la creación y desarrollo del mercado de derechos de uso del medio ambiente.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XXV Bis. Participar en la prevención y atención a las adicciones, en términos de lo dispuesto en la Sección Cuarta del Capítulo Quinto del Título Tercero del Libro Segundo del Código Administrativo del Estado de México.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Con el objeto de combatir el alcoholismo, los Ayuntamientos y las autoridades estatales, en el ámbito de sus respectivas competencias, no autorizarán la instalación de establecimientos dedicados a la venta de bebidas alcohólicas en envase cerrado o por copeo, que se ubique en un radio no menor de 300 metros de centros escolares, instalaciones deportivas o centros de salud; para lo cual, las autoridades realizarán las inscripciones correspondientes en los planes municipales de desarrollo urbano. XXVI. Trasladar, por medio de los mecanismos fiscales con los que cuenta, el costo de la degradación municipal a los agentes públicos y privados contaminantes finales. XXVII. Constituir o participar en empresas Paramunicipales y Fideicomisos; XXVIII. Enajenar y dar en arrendamiento, usufructo o comodato los bienes del municipio, previa autorización, en su caso, de la Legislatura del Estado;</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XXIX. Promover y apoyar los programas estatales y federales de capacitación y organización para el trabajo;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 Desafectar del servicio público los bienes municipales o cambiar el destino de los bienes inmuebles dedicados a un servicio público o de uso común;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XXXI. Introducir métodos y procedimientos en la selección y desarrollo del personal de las áreas encargadas de los principales servicios públicos, que propicien la institucionalización del servicio civil de carrera municipal;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XXXII. Sujetar a sus trabajadores al régimen de seguridad social establecido en el Estado;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XXXIII. Formular programas de organización y participación social, que permitan una mayor cooperación entre autoridades y habitantes del municipio;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XXXIV. Elaborar y poner en ejecución programas de financiamiento de los servicios públicos municipales, para ampliar su cobertura y mejorar su prestación;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XXXV. Coadyuvar en la ejecución de los planes y programas federales y estatales; XXXV Bis.- Establecer, fomentar, coordinar y difundir permanentemente programas y acciones en materia de educación vial. Para el cumplimiento de esta disposición los ayuntamientos se auxiliarán de la participación directa de los concesionarios y permisionarios del transporte público;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XXXVI. Editar, publicar y circular la Gaceta Municipal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XXXVII. Organizar y promover la instrucción cívica que mantenga a los ciudadanos en conocimiento del ejercicio de sus derechos; </w:t>
      </w:r>
    </w:p>
    <w:p w:rsidR="00456D2D" w:rsidRDefault="000E1C43">
      <w:pPr>
        <w:spacing w:beforeAutospacing="1" w:afterAutospacing="1"/>
        <w:ind w:left="851" w:right="899"/>
        <w:contextualSpacing/>
        <w:jc w:val="both"/>
        <w:rPr>
          <w:rFonts w:ascii="Palatino Linotype" w:hAnsi="Palatino Linotype"/>
          <w:i/>
          <w:sz w:val="22"/>
          <w:szCs w:val="22"/>
        </w:rPr>
      </w:pPr>
      <w:r w:rsidRPr="00751958">
        <w:rPr>
          <w:rFonts w:ascii="Palatino Linotype" w:hAnsi="Palatino Linotype"/>
          <w:i/>
          <w:sz w:val="22"/>
          <w:szCs w:val="22"/>
          <w:lang w:val="pt-BR"/>
        </w:rPr>
        <w:t xml:space="preserve">XXXVIII. Expedir convocatoria para designar Cronista Municipal. XXXIX. </w:t>
      </w:r>
      <w:r>
        <w:rPr>
          <w:rFonts w:ascii="Palatino Linotype" w:hAnsi="Palatino Linotype"/>
          <w:i/>
          <w:sz w:val="22"/>
          <w:szCs w:val="22"/>
        </w:rPr>
        <w:t xml:space="preserve">Promover en la esfera de su competencia lo necesario para el mejor desempeño de sus funciones;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XL. Los municipios de manera libre decidirán si tienen oficialías mediadoras-conciliadoras en funciones separadas o en conjunto;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XLI. Expedir el Reglamento de las Oficialías Mediadoras-Conciliadoras Municipales;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XLII. Convocar al procedimiento de designación de los Defensores Municipales de Derechos Humanos;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XLIII. Conocer y, en su caso, acordar lo conducente acerca de las licencias temporales o definitivas, así como los permisos para viajar al extranjero en misión oficial, que soliciten sus integrantes;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XLIV. Crear el Registro Municipal de Unidades Económicas, donde se especifique la licencia de funcionamiento con la actividad de la unidad económica e impacto que generen, así como las demás características que se determinen;</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XLV. Colaborar con las autoridades estatales y federales en el ámbito de su competencia para establecer medidas regulatorias a unidades económicas de impacto urbano y crear un registro específico que se regirá de acuerdo a la Ley de Transparencia y Acceso a la Información Pública del Estado de México y Municipios; </w:t>
      </w:r>
    </w:p>
    <w:p w:rsidR="00456D2D" w:rsidRDefault="000E1C43">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XLVI. Las demás que señalen las leyes y otras disposiciones legales.” (Sic)</w:t>
      </w:r>
    </w:p>
    <w:p w:rsidR="00456D2D" w:rsidRDefault="00456D2D">
      <w:pPr>
        <w:spacing w:line="360" w:lineRule="auto"/>
        <w:jc w:val="both"/>
        <w:rPr>
          <w:rFonts w:ascii="Palatino Linotype" w:hAnsi="Palatino Linotype" w:cs="Arial"/>
        </w:rPr>
      </w:pPr>
    </w:p>
    <w:p w:rsidR="00456D2D" w:rsidRDefault="000E1C43">
      <w:pPr>
        <w:spacing w:beforeAutospacing="1" w:afterAutospacing="1" w:line="360" w:lineRule="auto"/>
        <w:ind w:right="49"/>
        <w:contextualSpacing/>
        <w:jc w:val="both"/>
        <w:rPr>
          <w:rFonts w:ascii="Palatino Linotype" w:hAnsi="Palatino Linotype"/>
          <w:color w:val="000000"/>
        </w:rPr>
      </w:pPr>
      <w:r>
        <w:rPr>
          <w:rFonts w:ascii="Palatino Linotype" w:hAnsi="Palatino Linotype"/>
          <w:bCs/>
        </w:rPr>
        <w:t xml:space="preserve">De lo hasta aquí expuesto se advierte que, </w:t>
      </w:r>
      <w:r>
        <w:rPr>
          <w:rFonts w:ascii="Palatino Linotype" w:hAnsi="Palatino Linotype"/>
          <w:b/>
          <w:bCs/>
        </w:rPr>
        <w:t>EL SUJETO OBLIGADO</w:t>
      </w:r>
      <w:r>
        <w:rPr>
          <w:rFonts w:ascii="Palatino Linotype" w:hAnsi="Palatino Linotype"/>
          <w:bCs/>
        </w:rPr>
        <w:t xml:space="preserve"> no es competente para conocer la información solicitada por el hoy </w:t>
      </w:r>
      <w:r>
        <w:rPr>
          <w:rFonts w:ascii="Palatino Linotype" w:hAnsi="Palatino Linotype"/>
          <w:b/>
          <w:bCs/>
        </w:rPr>
        <w:t>RECURRENTE</w:t>
      </w:r>
      <w:r>
        <w:rPr>
          <w:rFonts w:ascii="Palatino Linotype" w:hAnsi="Palatino Linotype"/>
          <w:bCs/>
        </w:rPr>
        <w:t xml:space="preserve"> y ante la notoria incompetencia del </w:t>
      </w:r>
      <w:r>
        <w:rPr>
          <w:rFonts w:ascii="Palatino Linotype" w:hAnsi="Palatino Linotype"/>
          <w:b/>
          <w:bCs/>
        </w:rPr>
        <w:t>SUJETO OBLIGADO</w:t>
      </w:r>
      <w:r>
        <w:rPr>
          <w:rFonts w:ascii="Palatino Linotype" w:hAnsi="Palatino Linotype"/>
          <w:bCs/>
        </w:rPr>
        <w:t xml:space="preserve">, el Titular de la Unidad de Transparencia, en el ejercicio de sus atribuciones cuenta con la facultad potestativa de orientar o no al solicitante a fin de que pueda presentar su solicitud de información ante el o los Sujetos Obligados que resulten competentes; razón por la cual, </w:t>
      </w:r>
      <w:r>
        <w:rPr>
          <w:rFonts w:ascii="Palatino Linotype" w:hAnsi="Palatino Linotype"/>
          <w:b/>
          <w:bCs/>
        </w:rPr>
        <w:t>EL SUJETO OBLIGADO</w:t>
      </w:r>
      <w:r>
        <w:rPr>
          <w:rFonts w:ascii="Palatino Linotype" w:hAnsi="Palatino Linotype"/>
          <w:bCs/>
        </w:rPr>
        <w:t xml:space="preserve"> en atención al Principio </w:t>
      </w:r>
      <w:r>
        <w:rPr>
          <w:rFonts w:ascii="Palatino Linotype" w:hAnsi="Palatino Linotype"/>
          <w:bCs/>
          <w:i/>
        </w:rPr>
        <w:t>pro persona</w:t>
      </w:r>
      <w:r>
        <w:rPr>
          <w:rFonts w:ascii="Palatino Linotype" w:hAnsi="Palatino Linotype"/>
          <w:bCs/>
        </w:rPr>
        <w:t xml:space="preserve">, establecido en el artículo 1 de nuestra Carta Magna, y relacionado con el diverso 8 de la Ley de Transparencia y Acceso a la Información Pública del Estado de México y Municipios, realizó la orientación correspondiente, a fin de robustecer lo anterior conviene citar el articulo 8 en comento y la tesis 1ª XXVI/2012 (10a) emitida por la Primera Sala de la Suprema Corte de Justicia de la Nación, cuyo tenor es el siguiente: </w:t>
      </w:r>
    </w:p>
    <w:p w:rsidR="00456D2D" w:rsidRDefault="000E1C43">
      <w:pPr>
        <w:tabs>
          <w:tab w:val="left" w:pos="5322"/>
        </w:tabs>
        <w:spacing w:beforeAutospacing="1" w:afterAutospacing="1"/>
        <w:ind w:left="851" w:right="899"/>
        <w:contextualSpacing/>
        <w:jc w:val="both"/>
        <w:rPr>
          <w:rFonts w:ascii="Palatino Linotype" w:hAnsi="Palatino Linotype"/>
          <w:i/>
          <w:sz w:val="22"/>
          <w:szCs w:val="22"/>
        </w:rPr>
      </w:pPr>
      <w:r>
        <w:rPr>
          <w:rFonts w:ascii="Palatino Linotype" w:hAnsi="Palatino Linotype"/>
          <w:b/>
          <w:i/>
          <w:sz w:val="22"/>
          <w:szCs w:val="22"/>
        </w:rPr>
        <w:t>“Artículo 8.</w:t>
      </w:r>
      <w:r>
        <w:rPr>
          <w:rFonts w:ascii="Palatino Linotype" w:hAnsi="Palatino Linotype"/>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56D2D" w:rsidRDefault="000E1C43">
      <w:pPr>
        <w:tabs>
          <w:tab w:val="left" w:pos="5322"/>
        </w:tabs>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456D2D" w:rsidRDefault="000E1C43">
      <w:pPr>
        <w:tabs>
          <w:tab w:val="left" w:pos="5322"/>
        </w:tabs>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Para el caso de la interpretación se podrá tomar en cuenta los criterios, determinaciones y opiniones de los organismos nacionales e internacionales, en materia de transparencia y el derecho de acceso a la información.”</w:t>
      </w:r>
    </w:p>
    <w:p w:rsidR="00456D2D" w:rsidRPr="00751958" w:rsidRDefault="000E1C43">
      <w:pPr>
        <w:tabs>
          <w:tab w:val="left" w:pos="5322"/>
        </w:tabs>
        <w:spacing w:beforeAutospacing="1" w:afterAutospacing="1"/>
        <w:ind w:left="851" w:right="902"/>
        <w:contextualSpacing/>
        <w:jc w:val="both"/>
        <w:rPr>
          <w:rFonts w:ascii="Palatino Linotype" w:hAnsi="Palatino Linotype"/>
          <w:i/>
          <w:sz w:val="22"/>
          <w:szCs w:val="22"/>
          <w:lang w:val="pt-BR"/>
        </w:rPr>
      </w:pPr>
      <w:r w:rsidRPr="00751958">
        <w:rPr>
          <w:rFonts w:ascii="Palatino Linotype" w:hAnsi="Palatino Linotype"/>
          <w:i/>
          <w:sz w:val="22"/>
          <w:szCs w:val="22"/>
          <w:lang w:val="pt-BR"/>
        </w:rPr>
        <w:t xml:space="preserve">“Época: Décima Época </w:t>
      </w:r>
    </w:p>
    <w:p w:rsidR="00456D2D" w:rsidRPr="00751958" w:rsidRDefault="000E1C43">
      <w:pPr>
        <w:tabs>
          <w:tab w:val="left" w:pos="5322"/>
        </w:tabs>
        <w:spacing w:beforeAutospacing="1" w:afterAutospacing="1"/>
        <w:ind w:left="851" w:right="902"/>
        <w:contextualSpacing/>
        <w:jc w:val="both"/>
        <w:rPr>
          <w:rFonts w:ascii="Palatino Linotype" w:hAnsi="Palatino Linotype"/>
          <w:i/>
          <w:sz w:val="22"/>
          <w:szCs w:val="22"/>
          <w:lang w:val="pt-BR"/>
        </w:rPr>
      </w:pPr>
      <w:r w:rsidRPr="00751958">
        <w:rPr>
          <w:rFonts w:ascii="Palatino Linotype" w:hAnsi="Palatino Linotype"/>
          <w:i/>
          <w:sz w:val="22"/>
          <w:szCs w:val="22"/>
          <w:lang w:val="pt-BR"/>
        </w:rPr>
        <w:t>Registro: 2000263</w:t>
      </w:r>
    </w:p>
    <w:p w:rsidR="00456D2D" w:rsidRPr="00751958" w:rsidRDefault="000E1C43">
      <w:pPr>
        <w:tabs>
          <w:tab w:val="left" w:pos="5322"/>
        </w:tabs>
        <w:spacing w:beforeAutospacing="1" w:afterAutospacing="1"/>
        <w:ind w:left="851" w:right="902"/>
        <w:contextualSpacing/>
        <w:jc w:val="both"/>
        <w:rPr>
          <w:rFonts w:ascii="Palatino Linotype" w:hAnsi="Palatino Linotype"/>
          <w:i/>
          <w:sz w:val="22"/>
          <w:szCs w:val="22"/>
          <w:lang w:val="pt-BR"/>
        </w:rPr>
      </w:pPr>
      <w:r w:rsidRPr="00751958">
        <w:rPr>
          <w:rFonts w:ascii="Palatino Linotype" w:hAnsi="Palatino Linotype"/>
          <w:i/>
          <w:sz w:val="22"/>
          <w:szCs w:val="22"/>
          <w:lang w:val="pt-BR"/>
        </w:rPr>
        <w:t xml:space="preserve">Instancia: Primer Sala </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Tipo de Tesis: Aislada</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Fuente: Gaceta del Semanario Judicial de la Federación </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Libro V, Febrero de 2012, Tomo 1 </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Materia (s): Constitucional </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Tesis: 1a. XXVI/2012 (10a.) </w:t>
      </w:r>
    </w:p>
    <w:p w:rsidR="00456D2D" w:rsidRDefault="000E1C43">
      <w:pPr>
        <w:tabs>
          <w:tab w:val="left" w:pos="5322"/>
        </w:tabs>
        <w:spacing w:beforeAutospacing="1" w:afterAutospacing="1"/>
        <w:ind w:left="851" w:right="902"/>
        <w:contextualSpacing/>
        <w:jc w:val="both"/>
        <w:rPr>
          <w:rFonts w:ascii="Palatino Linotype" w:hAnsi="Palatino Linotype"/>
          <w:i/>
          <w:sz w:val="22"/>
          <w:szCs w:val="22"/>
        </w:rPr>
      </w:pPr>
      <w:r>
        <w:rPr>
          <w:rFonts w:ascii="Palatino Linotype" w:hAnsi="Palatino Linotype"/>
          <w:i/>
          <w:sz w:val="22"/>
          <w:szCs w:val="22"/>
        </w:rPr>
        <w:t>Página: 1</w:t>
      </w:r>
    </w:p>
    <w:p w:rsidR="00456D2D" w:rsidRDefault="000E1C43">
      <w:pPr>
        <w:tabs>
          <w:tab w:val="left" w:pos="5322"/>
        </w:tabs>
        <w:spacing w:beforeAutospacing="1" w:afterAutospacing="1"/>
        <w:ind w:left="851" w:right="899"/>
        <w:contextualSpacing/>
        <w:jc w:val="both"/>
        <w:rPr>
          <w:rFonts w:ascii="Palatino Linotype" w:hAnsi="Palatino Linotype"/>
          <w:b/>
          <w:i/>
          <w:sz w:val="22"/>
          <w:szCs w:val="22"/>
        </w:rPr>
      </w:pPr>
      <w:r>
        <w:rPr>
          <w:rFonts w:ascii="Palatino Linotype" w:hAnsi="Palatino Linotype"/>
          <w:b/>
          <w:i/>
          <w:sz w:val="22"/>
          <w:szCs w:val="22"/>
        </w:rPr>
        <w:t>PRINCIPIO PRO PERSONAE. EL CONTENIDO Y ALCANCE DE LOS DERECHOS HUMANOS DEBEN ANALIZARSE A PARTIR DE AQUÉL.</w:t>
      </w:r>
    </w:p>
    <w:p w:rsidR="00456D2D" w:rsidRDefault="000E1C43">
      <w:pPr>
        <w:tabs>
          <w:tab w:val="left" w:pos="5322"/>
        </w:tabs>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El </w:t>
      </w:r>
      <w:hyperlink r:id="rId9">
        <w:r>
          <w:rPr>
            <w:rFonts w:ascii="Palatino Linotype" w:hAnsi="Palatino Linotype"/>
            <w:i/>
            <w:sz w:val="22"/>
            <w:szCs w:val="22"/>
          </w:rPr>
          <w:t>segundo párrafo del artículo 1o. de la Constitución Política de los Estados Unidos Mexicanos</w:t>
        </w:r>
      </w:hyperlink>
      <w:r>
        <w:rPr>
          <w:rFonts w:ascii="Palatino Linotype" w:hAnsi="Palatino Linotype"/>
          <w:i/>
          <w:sz w:val="22"/>
          <w:szCs w:val="22"/>
        </w:rPr>
        <w:t xml:space="preserve">, exige que las normas relativas a los derechos humanos se interpretarán de conformidad con la propia Constitución y con los tratados internacionales de los que México es parte, de forma que favorezca ampliamente a las personas, lo que se traduce en la obligación de analizar el contenido y alcance de tales derechos a partir del principio pro personae que es un criterio hermenéutico que informa todo el Derecho Internacional de los Derechos Humanos, en virtud del cual debe acudirse a la norma más amplia, o a la interpretación más extensiva cuando se trata de reconocer derechos protegidos, e inversamente, a la norma o a la interpretación más restringida cuando se trata de establecer restricciones permanentes al ejercicio de los derechos o de su suspensión extraordinaria, es decir, dicho principio permite, por un lado, definir la plataforma de interpretación de los derechos humanos y, por otro, otorga un sentido protector a favor de la persona humana, pues ante la existencia de varias posibilidades de solución a un mismo problema, obliga a optar por la que protege en términos más amplios. Esto implica acudir a la norma jurídica que consagre el derecho más extenso y, por el contrario, al precepto legal más restrictivo si se trata de conocer las limitaciones legítimas que pueden establecerse a su ejercicio. Por tanto, la aplicación del principio pro personae en el análisis de los derechos humanos es un componente esencial que debe utilizarse imperiosamente en el establecimiento e interpretación de normas relacionadas con la protección de la persona, a efecto de lograr su adecuada protección y el desarrollo de la jurisprudencia emitida en la materia, de manera que represente el estándar mínimo a partir del cual deben entenderse las obligaciones estatales en este rubro. </w:t>
      </w:r>
    </w:p>
    <w:p w:rsidR="00456D2D" w:rsidRDefault="000E1C43">
      <w:pPr>
        <w:tabs>
          <w:tab w:val="left" w:pos="5322"/>
        </w:tabs>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Amparo directo en revisión 2424/2011. Ma. Guadalupe Ruiz Dena. 18 de enero de 2012. Cinco votos. Ponente: José Ramón Cossío Díaz. Secretaria: Teresita del Niño Jesús Lúcia Segovia “ (Sic)</w:t>
      </w:r>
    </w:p>
    <w:p w:rsidR="00456D2D" w:rsidRDefault="00456D2D">
      <w:pPr>
        <w:spacing w:beforeAutospacing="1" w:afterAutospacing="1" w:line="360" w:lineRule="auto"/>
        <w:contextualSpacing/>
        <w:jc w:val="both"/>
        <w:rPr>
          <w:rFonts w:ascii="Palatino Linotype" w:eastAsia="Calibri" w:hAnsi="Palatino Linotype" w:cs="Arial"/>
        </w:rPr>
      </w:pPr>
    </w:p>
    <w:p w:rsidR="00456D2D" w:rsidRDefault="000E1C43">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No obstante; si bien es cierto que </w:t>
      </w:r>
      <w:r>
        <w:rPr>
          <w:rFonts w:ascii="Palatino Linotype" w:eastAsia="Calibri" w:hAnsi="Palatino Linotype" w:cs="Arial"/>
          <w:b/>
        </w:rPr>
        <w:t xml:space="preserve">EL SUJETO OBLIGADO </w:t>
      </w:r>
      <w:r>
        <w:rPr>
          <w:rFonts w:ascii="Palatino Linotype" w:eastAsia="Calibri" w:hAnsi="Palatino Linotype" w:cs="Arial"/>
        </w:rPr>
        <w:t xml:space="preserve">emitió un pronunciamiento al respecto, también lo es que, no lo hizo de conformidad con lo establecido en el artículo 167 de la Ley de Transparencia y Acceso a la Información Pública, que indica que cuando </w:t>
      </w:r>
      <w:r>
        <w:rPr>
          <w:rFonts w:ascii="Palatino Linotype" w:eastAsia="Calibri" w:hAnsi="Palatino Linotype" w:cs="Arial"/>
          <w:b/>
        </w:rPr>
        <w:t>EL SUJETO OBLIGADO</w:t>
      </w:r>
      <w:r>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Pr>
          <w:rFonts w:ascii="Palatino Linotype" w:eastAsia="Calibri" w:hAnsi="Palatino Linotype" w:cs="Arial"/>
          <w:b/>
        </w:rPr>
        <w:t>SUJETO OBLIGADO</w:t>
      </w:r>
      <w:r>
        <w:rPr>
          <w:rFonts w:ascii="Palatino Linotype" w:eastAsia="Calibri" w:hAnsi="Palatino Linotype" w:cs="Arial"/>
        </w:rPr>
        <w:t xml:space="preserve"> en términos del artículo 49, fracciones I y II de la Ley de la materia, que literalmente señala:</w:t>
      </w:r>
    </w:p>
    <w:p w:rsidR="00456D2D" w:rsidRDefault="00456D2D">
      <w:pPr>
        <w:spacing w:line="360" w:lineRule="auto"/>
        <w:jc w:val="both"/>
        <w:rPr>
          <w:rFonts w:ascii="Palatino Linotype" w:hAnsi="Palatino Linotype" w:cs="Arial"/>
        </w:rPr>
      </w:pPr>
    </w:p>
    <w:p w:rsidR="00456D2D" w:rsidRDefault="000E1C43">
      <w:pPr>
        <w:spacing w:beforeAutospacing="1" w:afterAutospacing="1"/>
        <w:ind w:left="709" w:right="757"/>
        <w:contextualSpacing/>
        <w:jc w:val="both"/>
        <w:rPr>
          <w:rFonts w:ascii="Palatino Linotype" w:eastAsia="Calibri" w:hAnsi="Palatino Linotype" w:cs="Arial"/>
          <w:i/>
          <w:sz w:val="22"/>
        </w:rPr>
      </w:pPr>
      <w:r>
        <w:rPr>
          <w:rFonts w:ascii="Palatino Linotype" w:eastAsia="Calibri" w:hAnsi="Palatino Linotype" w:cs="Arial"/>
          <w:i/>
          <w:sz w:val="22"/>
        </w:rPr>
        <w:t>“</w:t>
      </w:r>
      <w:r>
        <w:rPr>
          <w:rFonts w:ascii="Palatino Linotype" w:eastAsia="Calibri" w:hAnsi="Palatino Linotype" w:cs="Arial"/>
          <w:b/>
          <w:i/>
          <w:sz w:val="22"/>
        </w:rPr>
        <w:t>Artículo 49</w:t>
      </w:r>
      <w:r>
        <w:rPr>
          <w:rFonts w:ascii="Palatino Linotype" w:eastAsia="Calibri" w:hAnsi="Palatino Linotype" w:cs="Arial"/>
          <w:i/>
          <w:sz w:val="22"/>
        </w:rPr>
        <w:t>. Los Comités de Transparencia tendrán las siguientes atribuciones:</w:t>
      </w:r>
    </w:p>
    <w:p w:rsidR="00456D2D" w:rsidRDefault="00456D2D">
      <w:pPr>
        <w:spacing w:beforeAutospacing="1" w:afterAutospacing="1"/>
        <w:ind w:left="709" w:right="757"/>
        <w:contextualSpacing/>
        <w:jc w:val="both"/>
        <w:rPr>
          <w:rFonts w:ascii="Palatino Linotype" w:eastAsia="Calibri" w:hAnsi="Palatino Linotype" w:cs="Arial"/>
          <w:i/>
          <w:sz w:val="8"/>
          <w:szCs w:val="8"/>
        </w:rPr>
      </w:pPr>
    </w:p>
    <w:p w:rsidR="00456D2D" w:rsidRDefault="000E1C43">
      <w:pPr>
        <w:spacing w:beforeAutospacing="1" w:afterAutospacing="1"/>
        <w:ind w:left="709" w:right="757"/>
        <w:contextualSpacing/>
        <w:jc w:val="both"/>
        <w:rPr>
          <w:rFonts w:ascii="Palatino Linotype" w:eastAsia="Calibri" w:hAnsi="Palatino Linotype" w:cs="Arial"/>
          <w:i/>
          <w:sz w:val="22"/>
        </w:rPr>
      </w:pPr>
      <w:r>
        <w:rPr>
          <w:rFonts w:ascii="Palatino Linotype" w:eastAsia="Calibri" w:hAnsi="Palatino Linotype" w:cs="Arial"/>
          <w:b/>
          <w:i/>
          <w:sz w:val="22"/>
        </w:rPr>
        <w:t>I</w:t>
      </w:r>
      <w:r>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456D2D" w:rsidRDefault="00456D2D">
      <w:pPr>
        <w:spacing w:beforeAutospacing="1" w:afterAutospacing="1"/>
        <w:ind w:left="709" w:right="757"/>
        <w:contextualSpacing/>
        <w:jc w:val="both"/>
        <w:rPr>
          <w:rFonts w:ascii="Palatino Linotype" w:eastAsia="Calibri" w:hAnsi="Palatino Linotype" w:cs="Arial"/>
          <w:i/>
          <w:sz w:val="22"/>
        </w:rPr>
      </w:pPr>
    </w:p>
    <w:p w:rsidR="00456D2D" w:rsidRDefault="000E1C43">
      <w:pPr>
        <w:spacing w:beforeAutospacing="1" w:afterAutospacing="1"/>
        <w:ind w:left="709" w:right="757"/>
        <w:contextualSpacing/>
        <w:jc w:val="both"/>
        <w:rPr>
          <w:rFonts w:ascii="Palatino Linotype" w:eastAsia="Calibri" w:hAnsi="Palatino Linotype" w:cs="Arial"/>
          <w:i/>
          <w:sz w:val="22"/>
        </w:rPr>
      </w:pPr>
      <w:r>
        <w:rPr>
          <w:rFonts w:ascii="Palatino Linotype" w:eastAsia="Calibri" w:hAnsi="Palatino Linotype" w:cs="Arial"/>
          <w:b/>
          <w:i/>
          <w:sz w:val="22"/>
        </w:rPr>
        <w:t>II</w:t>
      </w:r>
      <w:r>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456D2D" w:rsidRDefault="00456D2D">
      <w:pPr>
        <w:spacing w:beforeAutospacing="1" w:afterAutospacing="1" w:line="360" w:lineRule="auto"/>
        <w:contextualSpacing/>
        <w:jc w:val="both"/>
        <w:rPr>
          <w:rFonts w:ascii="Palatino Linotype" w:eastAsia="Calibri" w:hAnsi="Palatino Linotype" w:cs="Arial"/>
        </w:rPr>
      </w:pPr>
    </w:p>
    <w:p w:rsidR="00456D2D" w:rsidRDefault="000E1C43">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En efecto, si </w:t>
      </w:r>
      <w:r>
        <w:rPr>
          <w:rFonts w:ascii="Palatino Linotype" w:eastAsia="Calibri" w:hAnsi="Palatino Linotype" w:cs="Arial"/>
          <w:b/>
        </w:rPr>
        <w:t>EL SUJETO OBLIGADO</w:t>
      </w:r>
      <w:r>
        <w:rPr>
          <w:rFonts w:ascii="Palatino Linotype" w:eastAsia="Calibri" w:hAnsi="Palatino Linotype" w:cs="Arial"/>
        </w:rPr>
        <w:t xml:space="preserve"> no tiene competencia para administrar, generar o poseer la información en estudio, lo correcto es que dicha incompetencia debe ser ido confirmada, modificada o revocada por el Comité de Transparencia del </w:t>
      </w:r>
      <w:r>
        <w:rPr>
          <w:rFonts w:ascii="Palatino Linotype" w:eastAsia="Calibri" w:hAnsi="Palatino Linotype" w:cs="Arial"/>
          <w:b/>
        </w:rPr>
        <w:t>SUJETO OBLIGADO</w:t>
      </w:r>
      <w:r>
        <w:rPr>
          <w:rFonts w:ascii="Palatino Linotype" w:eastAsia="Calibri" w:hAnsi="Palatino Linotype" w:cs="Arial"/>
        </w:rPr>
        <w:t xml:space="preserve"> en términos del precepto legal referido, razón por la cual se considera viable ordenar al </w:t>
      </w:r>
      <w:r>
        <w:rPr>
          <w:rFonts w:ascii="Palatino Linotype" w:eastAsia="Calibri" w:hAnsi="Palatino Linotype" w:cs="Arial"/>
          <w:b/>
        </w:rPr>
        <w:t>SUJETO OBLIGADO</w:t>
      </w:r>
      <w:r>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la particular, debiendo notificarle de igual forma el Acuerdo de referencia.</w:t>
      </w:r>
    </w:p>
    <w:p w:rsidR="00456D2D" w:rsidRDefault="00456D2D">
      <w:pPr>
        <w:spacing w:line="360" w:lineRule="auto"/>
        <w:jc w:val="both"/>
        <w:rPr>
          <w:rFonts w:ascii="Palatino Linotype" w:hAnsi="Palatino Linotype" w:cs="Arial"/>
        </w:rPr>
      </w:pPr>
    </w:p>
    <w:p w:rsidR="00456D2D" w:rsidRDefault="000E1C43">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Así, es necesario dejar a salvo los derechos del </w:t>
      </w:r>
      <w:r>
        <w:rPr>
          <w:rFonts w:ascii="Palatino Linotype" w:eastAsia="Calibri" w:hAnsi="Palatino Linotype" w:cs="Arial"/>
          <w:b/>
        </w:rPr>
        <w:t xml:space="preserve">RECURRENTE </w:t>
      </w:r>
      <w:r>
        <w:rPr>
          <w:rFonts w:ascii="Palatino Linotype" w:eastAsia="Calibri" w:hAnsi="Palatino Linotype" w:cs="Arial"/>
        </w:rPr>
        <w:t>a efecto de que pueda presentar la solicitud de información ante el Sujeto Obligado competente; que en el presente asunto pudiera ser la Secretaría de Educación del Estado de México o bien la Secretaría de Educación Pública Federal, debiendo presentar dicha solicitud de información a través del SAIMEX y de la Plataforma Nacional de Transparencia, respectivamente.</w:t>
      </w:r>
    </w:p>
    <w:p w:rsidR="00456D2D" w:rsidRDefault="00456D2D">
      <w:pPr>
        <w:widowControl w:val="0"/>
        <w:spacing w:beforeAutospacing="1" w:afterAutospacing="1" w:line="360" w:lineRule="auto"/>
        <w:contextualSpacing/>
        <w:jc w:val="both"/>
        <w:rPr>
          <w:rFonts w:ascii="Palatino Linotype" w:eastAsia="Calibri" w:hAnsi="Palatino Linotype" w:cs="Arial"/>
        </w:rPr>
      </w:pPr>
    </w:p>
    <w:p w:rsidR="00456D2D" w:rsidRDefault="000E1C43">
      <w:pPr>
        <w:widowControl w:val="0"/>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Atento a lo anterior, se califica de</w:t>
      </w:r>
      <w:r>
        <w:rPr>
          <w:rFonts w:ascii="Palatino Linotype" w:eastAsia="Calibri" w:hAnsi="Palatino Linotype" w:cs="Arial"/>
          <w:b/>
        </w:rPr>
        <w:t xml:space="preserve"> fundadas </w:t>
      </w:r>
      <w:r>
        <w:rPr>
          <w:rFonts w:ascii="Palatino Linotype" w:eastAsia="Calibri" w:hAnsi="Palatino Linotype" w:cs="Arial"/>
        </w:rPr>
        <w:t xml:space="preserve">las razones o motivos de inconformidad expuestas por el hoy </w:t>
      </w:r>
      <w:r>
        <w:rPr>
          <w:rFonts w:ascii="Palatino Linotype" w:eastAsia="Calibri" w:hAnsi="Palatino Linotype" w:cs="Arial"/>
          <w:b/>
        </w:rPr>
        <w:t>RECURRENTE</w:t>
      </w:r>
      <w:r>
        <w:rPr>
          <w:rFonts w:ascii="Palatino Linotype" w:eastAsia="Calibri" w:hAnsi="Palatino Linotype" w:cs="Arial"/>
        </w:rPr>
        <w:t xml:space="preserve">; pues del estudio realizado se pudo advertir que </w:t>
      </w:r>
      <w:r>
        <w:rPr>
          <w:rFonts w:ascii="Palatino Linotype" w:eastAsia="Calibri" w:hAnsi="Palatino Linotype" w:cs="Arial"/>
          <w:b/>
        </w:rPr>
        <w:t xml:space="preserve">EL SUJETO OBLIGADO </w:t>
      </w:r>
      <w:r>
        <w:rPr>
          <w:rFonts w:ascii="Palatino Linotype" w:eastAsia="Calibri" w:hAnsi="Palatino Linotype" w:cs="Arial"/>
        </w:rPr>
        <w:t xml:space="preserve">efectivamente omitió adjuntar el archivo en PDF con la respuesta proporcionada; por lo que, resulta procedente de conformidad con el artículo 186 fracción III de la Ley de Transparencia y Acceso a la Información Pública del Estado de México y Municipios, </w:t>
      </w:r>
      <w:r>
        <w:rPr>
          <w:rFonts w:ascii="Palatino Linotype" w:eastAsia="Calibri" w:hAnsi="Palatino Linotype" w:cs="Arial"/>
          <w:b/>
        </w:rPr>
        <w:t xml:space="preserve">REVOCAR </w:t>
      </w:r>
      <w:r>
        <w:rPr>
          <w:rFonts w:ascii="Palatino Linotype" w:eastAsia="Calibri" w:hAnsi="Palatino Linotype" w:cs="Arial"/>
        </w:rPr>
        <w:t xml:space="preserve">la respuesta proporcionada por </w:t>
      </w:r>
      <w:r>
        <w:rPr>
          <w:rFonts w:ascii="Palatino Linotype" w:eastAsia="Calibri" w:hAnsi="Palatino Linotype" w:cs="Arial"/>
          <w:b/>
        </w:rPr>
        <w:t>EL SUJETO OBLIGADO</w:t>
      </w:r>
      <w:r>
        <w:rPr>
          <w:rFonts w:ascii="Palatino Linotype" w:eastAsia="Calibri" w:hAnsi="Palatino Linotype" w:cs="Arial"/>
        </w:rPr>
        <w:t xml:space="preserve"> y se le ordena haga entrega del Acuerdo de Incompetencia que ha quedado precisado.</w:t>
      </w:r>
    </w:p>
    <w:p w:rsidR="00456D2D" w:rsidRDefault="000E1C43">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456D2D" w:rsidRDefault="000E1C43">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456D2D" w:rsidRDefault="000E1C43">
      <w:pPr>
        <w:pStyle w:val="Prrafodelista"/>
        <w:widowControl w:val="0"/>
        <w:tabs>
          <w:tab w:val="left" w:pos="1701"/>
        </w:tabs>
        <w:spacing w:before="240" w:afterAutospacing="1" w:line="360" w:lineRule="auto"/>
        <w:ind w:left="0"/>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456D2D" w:rsidRDefault="000E1C43">
      <w:pPr>
        <w:pStyle w:val="Prrafodelista"/>
        <w:widowControl w:val="0"/>
        <w:tabs>
          <w:tab w:val="left" w:pos="1701"/>
        </w:tabs>
        <w:spacing w:before="240" w:afterAutospacing="1" w:line="360" w:lineRule="auto"/>
        <w:ind w:left="0"/>
        <w:jc w:val="both"/>
        <w:rPr>
          <w:rFonts w:ascii="Palatino Linotype" w:hAnsi="Palatino Linotype"/>
          <w:highlight w:val="white"/>
        </w:rPr>
      </w:pPr>
      <w:r>
        <w:rPr>
          <w:rFonts w:ascii="Palatino Linotype" w:hAnsi="Palatino Linotype"/>
          <w:b/>
          <w:color w:val="222222"/>
          <w:sz w:val="28"/>
          <w:szCs w:val="28"/>
          <w:lang w:eastAsia="es-MX"/>
        </w:rPr>
        <w:t>SEGUNDO</w:t>
      </w:r>
      <w:r>
        <w:rPr>
          <w:rFonts w:ascii="Palatino Linotype" w:hAnsi="Palatino Linotype"/>
          <w:color w:val="222222"/>
          <w:lang w:eastAsia="es-MX"/>
        </w:rPr>
        <w:t xml:space="preserve">. </w:t>
      </w:r>
      <w:r>
        <w:rPr>
          <w:rFonts w:ascii="Palatino Linotype" w:hAnsi="Palatino Linotype" w:cs="Arial"/>
        </w:rPr>
        <w:t xml:space="preserve">Se </w:t>
      </w:r>
      <w:r>
        <w:rPr>
          <w:rFonts w:ascii="Palatino Linotype" w:hAnsi="Palatino Linotype" w:cs="Arial"/>
          <w:b/>
        </w:rPr>
        <w:t xml:space="preserve">REVOCA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se ordena atienda la solicitud de información que dio origen al recurso de revisión </w:t>
      </w:r>
      <w:r>
        <w:rPr>
          <w:rFonts w:ascii="Palatino Linotype" w:hAnsi="Palatino Linotype"/>
          <w:b/>
          <w:lang w:val="es-ES_tradnl"/>
        </w:rPr>
        <w:t>01162/INFOEM/IP/RR/2020</w:t>
      </w:r>
      <w:r>
        <w:rPr>
          <w:rFonts w:ascii="Palatino Linotype" w:hAnsi="Palatino Linotype"/>
        </w:rPr>
        <w:t xml:space="preserve">, </w:t>
      </w:r>
      <w:r>
        <w:rPr>
          <w:rFonts w:ascii="Palatino Linotype" w:hAnsi="Palatino Linotype" w:cs="Arial"/>
        </w:rPr>
        <w:t xml:space="preserve">en </w:t>
      </w:r>
      <w:r>
        <w:rPr>
          <w:rFonts w:ascii="Palatino Linotype" w:hAnsi="Palatino Linotype"/>
          <w:szCs w:val="17"/>
          <w:lang w:eastAsia="es-ES_tradnl"/>
        </w:rPr>
        <w:t>términos</w:t>
      </w:r>
      <w:r>
        <w:rPr>
          <w:rFonts w:ascii="Palatino Linotype" w:hAnsi="Palatino Linotype" w:cs="Arial"/>
        </w:rPr>
        <w:t xml:space="preserve"> del Considerando </w:t>
      </w:r>
      <w:r>
        <w:rPr>
          <w:rFonts w:ascii="Palatino Linotype" w:hAnsi="Palatino Linotype" w:cs="Arial"/>
          <w:b/>
        </w:rPr>
        <w:t>QUINTO</w:t>
      </w:r>
      <w:r>
        <w:rPr>
          <w:rFonts w:ascii="Palatino Linotype" w:hAnsi="Palatino Linotype" w:cs="Arial"/>
        </w:rPr>
        <w:t xml:space="preserve"> </w:t>
      </w:r>
      <w:r>
        <w:rPr>
          <w:rFonts w:ascii="Palatino Linotype" w:hAnsi="Palatino Linotype"/>
        </w:rPr>
        <w:t xml:space="preserve">de la presente resolución </w:t>
      </w:r>
      <w:r>
        <w:rPr>
          <w:rFonts w:ascii="Palatino Linotype" w:hAnsi="Palatino Linotype" w:cs="Arial"/>
        </w:rPr>
        <w:t xml:space="preserve">y haga entrega al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xml:space="preserve"> de lo siguiente</w:t>
      </w:r>
      <w:r>
        <w:rPr>
          <w:rFonts w:ascii="Palatino Linotype" w:hAnsi="Palatino Linotype"/>
          <w:shd w:val="clear" w:color="auto" w:fill="FFFFFF"/>
        </w:rPr>
        <w:t>:</w:t>
      </w:r>
    </w:p>
    <w:p w:rsidR="00456D2D" w:rsidRDefault="000E1C43">
      <w:pPr>
        <w:pStyle w:val="Prrafodelista"/>
        <w:widowControl w:val="0"/>
        <w:tabs>
          <w:tab w:val="left" w:pos="1701"/>
        </w:tabs>
        <w:spacing w:beforeAutospacing="1" w:afterAutospacing="1"/>
        <w:ind w:left="851" w:right="902"/>
        <w:contextualSpacing/>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“El Acuerdo que emita el Comité de Transparencia mediante el que confirme la declaratoria de incompetencia respecto de la información requerida a través de la solicitud de acceso a la información pública.”</w:t>
      </w:r>
    </w:p>
    <w:p w:rsidR="00456D2D" w:rsidRDefault="00456D2D">
      <w:pPr>
        <w:pStyle w:val="Prrafodelista"/>
        <w:widowControl w:val="0"/>
        <w:tabs>
          <w:tab w:val="left" w:pos="1701"/>
        </w:tabs>
        <w:spacing w:before="240" w:afterAutospacing="1" w:line="360" w:lineRule="auto"/>
        <w:ind w:left="0"/>
        <w:jc w:val="both"/>
        <w:rPr>
          <w:rFonts w:ascii="Palatino Linotype" w:hAnsi="Palatino Linotype"/>
          <w:b/>
          <w:sz w:val="16"/>
          <w:szCs w:val="16"/>
          <w:lang w:eastAsia="es-ES_tradnl"/>
        </w:rPr>
      </w:pPr>
    </w:p>
    <w:p w:rsidR="00456D2D" w:rsidRDefault="000E1C43">
      <w:pPr>
        <w:pStyle w:val="Prrafodelista"/>
        <w:widowControl w:val="0"/>
        <w:tabs>
          <w:tab w:val="left" w:pos="1701"/>
        </w:tabs>
        <w:spacing w:before="240" w:afterAutospacing="1" w:line="360" w:lineRule="auto"/>
        <w:ind w:left="0"/>
        <w:jc w:val="both"/>
        <w:rPr>
          <w:rFonts w:ascii="Palatino Linotype" w:hAnsi="Palatino Linotype"/>
          <w:highlight w:val="white"/>
        </w:rPr>
      </w:pPr>
      <w:r>
        <w:rPr>
          <w:rFonts w:ascii="Palatino Linotype" w:hAnsi="Palatino Linotype"/>
          <w:b/>
          <w:sz w:val="28"/>
          <w:szCs w:val="28"/>
          <w:lang w:eastAsia="es-ES_tradnl"/>
        </w:rPr>
        <w:t>TERCERO</w:t>
      </w:r>
      <w:r>
        <w:rPr>
          <w:rFonts w:ascii="Palatino Linotype" w:hAnsi="Palatino Linotype"/>
          <w:b/>
          <w:szCs w:val="17"/>
          <w:lang w:eastAsia="es-ES_tradnl"/>
        </w:rPr>
        <w:t>. 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456D2D" w:rsidRDefault="000E1C43">
      <w:pPr>
        <w:pStyle w:val="Prrafodelista"/>
        <w:spacing w:line="360" w:lineRule="auto"/>
        <w:ind w:left="0"/>
        <w:jc w:val="both"/>
        <w:rPr>
          <w:rFonts w:ascii="Palatino Linotype" w:hAnsi="Palatino Linotype"/>
          <w:color w:val="222222"/>
          <w:highlight w:val="white"/>
        </w:rPr>
      </w:pPr>
      <w:r>
        <w:rPr>
          <w:rFonts w:ascii="Palatino Linotype" w:hAnsi="Palatino Linotype"/>
          <w:b/>
          <w:color w:val="222222"/>
          <w:sz w:val="28"/>
          <w:szCs w:val="28"/>
          <w:shd w:val="clear" w:color="auto" w:fill="FFFFFF"/>
        </w:rPr>
        <w:t>CUARTO</w:t>
      </w:r>
      <w:r>
        <w:rPr>
          <w:rFonts w:ascii="Palatino Linotype" w:hAnsi="Palatino Linotype"/>
          <w:color w:val="222222"/>
          <w:shd w:val="clear" w:color="auto" w:fill="FFFFFF"/>
        </w:rPr>
        <w:t xml:space="preserve">. Con fundamento en el artículo 198 de la Ley de Transparencia y Acceso a la Información Pública del Estado de México y Municipios, se apercibe al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rsidR="00456D2D" w:rsidRDefault="000E1C43">
      <w:pPr>
        <w:pStyle w:val="Prrafodelista"/>
        <w:widowControl w:val="0"/>
        <w:tabs>
          <w:tab w:val="left" w:pos="1701"/>
        </w:tabs>
        <w:spacing w:before="240" w:after="240" w:line="360" w:lineRule="auto"/>
        <w:ind w:left="0"/>
        <w:jc w:val="both"/>
        <w:rPr>
          <w:rFonts w:ascii="Palatino Linotype" w:hAnsi="Palatino Linotype"/>
          <w:szCs w:val="17"/>
          <w:lang w:eastAsia="es-ES_tradnl"/>
        </w:rPr>
      </w:pPr>
      <w:r>
        <w:rPr>
          <w:rFonts w:ascii="Palatino Linotype" w:hAnsi="Palatino Linotype"/>
          <w:b/>
          <w:sz w:val="28"/>
          <w:szCs w:val="28"/>
          <w:lang w:eastAsia="es-ES_tradnl"/>
        </w:rPr>
        <w:t>QUINTO</w:t>
      </w:r>
      <w:r>
        <w:rPr>
          <w:rFonts w:ascii="Palatino Linotype" w:hAnsi="Palatino Linotype"/>
          <w:b/>
          <w:szCs w:val="17"/>
          <w:lang w:eastAsia="es-ES_tradnl"/>
        </w:rPr>
        <w:t>. 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456D2D" w:rsidRDefault="000E1C43">
      <w:pPr>
        <w:pStyle w:val="Prrafodelista"/>
        <w:widowControl w:val="0"/>
        <w:tabs>
          <w:tab w:val="left" w:pos="1701"/>
        </w:tabs>
        <w:spacing w:before="240" w:after="240" w:line="360" w:lineRule="auto"/>
        <w:ind w:left="0" w:right="49"/>
        <w:jc w:val="both"/>
        <w:rPr>
          <w:rFonts w:ascii="Palatino Linotype" w:hAnsi="Palatino Linotype"/>
          <w:szCs w:val="17"/>
          <w:lang w:eastAsia="es-ES_tradnl"/>
        </w:rPr>
      </w:pPr>
      <w:r>
        <w:rPr>
          <w:rFonts w:ascii="Palatino Linotype" w:hAnsi="Palatino Linotype"/>
          <w:b/>
          <w:sz w:val="28"/>
          <w:szCs w:val="28"/>
          <w:lang w:eastAsia="es-ES_tradnl"/>
        </w:rPr>
        <w:t>SEXTO</w:t>
      </w:r>
      <w:r>
        <w:rPr>
          <w:rFonts w:ascii="Palatino Linotype" w:hAnsi="Palatino Linotype"/>
          <w:b/>
          <w:szCs w:val="17"/>
          <w:lang w:eastAsia="es-ES_tradnl"/>
        </w:rPr>
        <w:t>. 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456D2D" w:rsidRDefault="000E1C43">
      <w:pPr>
        <w:pStyle w:val="Prrafodelista"/>
        <w:widowControl w:val="0"/>
        <w:tabs>
          <w:tab w:val="left" w:pos="1701"/>
        </w:tabs>
        <w:spacing w:before="240" w:after="240" w:line="360" w:lineRule="auto"/>
        <w:ind w:left="0" w:right="49"/>
        <w:jc w:val="both"/>
        <w:rPr>
          <w:rFonts w:ascii="Palatino Linotype" w:hAnsi="Palatino Linotype"/>
          <w:color w:val="222222"/>
          <w:szCs w:val="17"/>
          <w:lang w:eastAsia="es-ES_tradnl"/>
        </w:rPr>
      </w:pPr>
      <w:r>
        <w:rPr>
          <w:rFonts w:ascii="Palatino Linotype" w:hAnsi="Palatino Linotype"/>
          <w:szCs w:val="17"/>
          <w:lang w:eastAsia="es-ES_tradnl"/>
        </w:rPr>
        <w:t>Se dejan a salvo los derechos del particular para presentar las solicitudes de información a los Sujetos Obligados que estime competentes.</w:t>
      </w:r>
    </w:p>
    <w:p w:rsidR="00456D2D" w:rsidRDefault="000E1C43">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w:t>
      </w:r>
      <w:r w:rsidR="00751958">
        <w:rPr>
          <w:rFonts w:ascii="Palatino Linotype" w:hAnsi="Palatino Linotype" w:cs="Arial"/>
        </w:rPr>
        <w:t>TERCERA SESIÓN</w:t>
      </w:r>
      <w:r>
        <w:rPr>
          <w:rFonts w:ascii="Palatino Linotype" w:hAnsi="Palatino Linotype" w:cs="Arial"/>
        </w:rPr>
        <w:t xml:space="preserve"> ORDINARIA CELEBRADA EL DÍA DOCE DE AGOSTO DE DOS MIL VEINTE, ANTE EL SECRETARIO TÉCNICO DEL PLENO, ALEXIS TAPIA RAMÍREZ.</w:t>
      </w:r>
    </w:p>
    <w:p w:rsidR="00751958" w:rsidRDefault="00751958">
      <w:pPr>
        <w:spacing w:beforeAutospacing="1" w:afterAutospacing="1" w:line="360" w:lineRule="auto"/>
        <w:jc w:val="both"/>
        <w:rPr>
          <w:rFonts w:ascii="Palatino Linotype" w:hAnsi="Palatino Linotype" w:cs="Arial"/>
        </w:rPr>
      </w:pPr>
    </w:p>
    <w:tbl>
      <w:tblPr>
        <w:tblW w:w="9214" w:type="dxa"/>
        <w:jc w:val="center"/>
        <w:tblLook w:val="04A0" w:firstRow="1" w:lastRow="0" w:firstColumn="1" w:lastColumn="0" w:noHBand="0" w:noVBand="1"/>
      </w:tblPr>
      <w:tblGrid>
        <w:gridCol w:w="4757"/>
        <w:gridCol w:w="4457"/>
      </w:tblGrid>
      <w:tr w:rsidR="00456D2D">
        <w:trPr>
          <w:jc w:val="center"/>
        </w:trPr>
        <w:tc>
          <w:tcPr>
            <w:tcW w:w="9213" w:type="dxa"/>
            <w:gridSpan w:val="2"/>
            <w:shd w:val="clear" w:color="auto" w:fill="auto"/>
          </w:tcPr>
          <w:p w:rsidR="00456D2D" w:rsidRDefault="00456D2D">
            <w:pPr>
              <w:jc w:val="center"/>
              <w:rPr>
                <w:rFonts w:ascii="Palatino Linotype" w:hAnsi="Palatino Linotype" w:cs="Arial"/>
                <w:b/>
              </w:rPr>
            </w:pPr>
          </w:p>
          <w:p w:rsidR="00456D2D" w:rsidRDefault="00456D2D">
            <w:pPr>
              <w:jc w:val="center"/>
              <w:rPr>
                <w:rFonts w:ascii="Palatino Linotype" w:hAnsi="Palatino Linotype" w:cs="Arial"/>
                <w:b/>
              </w:rPr>
            </w:pPr>
          </w:p>
          <w:p w:rsidR="00456D2D" w:rsidRDefault="00456D2D">
            <w:pPr>
              <w:jc w:val="center"/>
              <w:rPr>
                <w:rFonts w:ascii="Palatino Linotype" w:hAnsi="Palatino Linotype" w:cs="Arial"/>
                <w:b/>
              </w:rPr>
            </w:pPr>
          </w:p>
          <w:p w:rsidR="00456D2D" w:rsidRDefault="00456D2D">
            <w:pPr>
              <w:jc w:val="center"/>
              <w:rPr>
                <w:rFonts w:ascii="Palatino Linotype" w:hAnsi="Palatino Linotype" w:cs="Arial"/>
                <w:b/>
              </w:rPr>
            </w:pPr>
          </w:p>
          <w:p w:rsidR="00456D2D" w:rsidRDefault="00456D2D">
            <w:pPr>
              <w:jc w:val="center"/>
              <w:rPr>
                <w:rFonts w:ascii="Palatino Linotype" w:hAnsi="Palatino Linotype" w:cs="Arial"/>
                <w:b/>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Zulema Martínez Sánchez</w:t>
            </w:r>
          </w:p>
          <w:p w:rsidR="00456D2D" w:rsidRDefault="000E1C43">
            <w:pPr>
              <w:jc w:val="center"/>
              <w:rPr>
                <w:rFonts w:ascii="Palatino Linotype" w:hAnsi="Palatino Linotype" w:cs="Arial"/>
                <w:b/>
                <w:lang w:val="es-ES_tradnl"/>
              </w:rPr>
            </w:pPr>
            <w:r>
              <w:rPr>
                <w:rFonts w:ascii="Palatino Linotype" w:hAnsi="Palatino Linotype" w:cs="Arial"/>
                <w:lang w:val="es-ES_tradnl"/>
              </w:rPr>
              <w:t>Comisionada Presidenta</w:t>
            </w:r>
          </w:p>
          <w:p w:rsidR="00456D2D" w:rsidRDefault="000E1C43">
            <w:pPr>
              <w:jc w:val="center"/>
              <w:rPr>
                <w:rFonts w:ascii="Palatino Linotype" w:hAnsi="Palatino Linotype" w:cs="Arial"/>
                <w:b/>
                <w:lang w:val="es-ES_tradnl"/>
              </w:rPr>
            </w:pPr>
            <w:r>
              <w:rPr>
                <w:rFonts w:ascii="Palatino Linotype" w:hAnsi="Palatino Linotype" w:cs="Arial"/>
                <w:b/>
                <w:lang w:val="es-ES_tradnl"/>
              </w:rPr>
              <w:t>(RÚBRICA)</w:t>
            </w:r>
          </w:p>
          <w:p w:rsidR="00456D2D" w:rsidRDefault="00456D2D">
            <w:pPr>
              <w:jc w:val="center"/>
              <w:rPr>
                <w:rFonts w:ascii="Palatino Linotype" w:hAnsi="Palatino Linotype" w:cs="Arial"/>
                <w:b/>
                <w:lang w:val="es-ES_tradnl"/>
              </w:rPr>
            </w:pPr>
          </w:p>
        </w:tc>
      </w:tr>
      <w:tr w:rsidR="00456D2D">
        <w:trPr>
          <w:jc w:val="center"/>
        </w:trPr>
        <w:tc>
          <w:tcPr>
            <w:tcW w:w="4756" w:type="dxa"/>
            <w:shd w:val="clear" w:color="auto" w:fill="auto"/>
          </w:tcPr>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Eva Abaid Yapur</w:t>
            </w:r>
          </w:p>
          <w:p w:rsidR="00456D2D" w:rsidRDefault="000E1C43">
            <w:pPr>
              <w:jc w:val="center"/>
              <w:rPr>
                <w:rFonts w:ascii="Palatino Linotype" w:hAnsi="Palatino Linotype" w:cs="Arial"/>
                <w:lang w:val="es-ES_tradnl"/>
              </w:rPr>
            </w:pPr>
            <w:r>
              <w:rPr>
                <w:rFonts w:ascii="Palatino Linotype" w:hAnsi="Palatino Linotype" w:cs="Arial"/>
                <w:lang w:val="es-ES_tradnl"/>
              </w:rPr>
              <w:t>Comisionada</w:t>
            </w:r>
          </w:p>
          <w:p w:rsidR="00456D2D" w:rsidRDefault="000E1C43">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456D2D" w:rsidRDefault="000E1C43">
            <w:pPr>
              <w:jc w:val="center"/>
              <w:rPr>
                <w:rFonts w:ascii="Palatino Linotype" w:hAnsi="Palatino Linotype" w:cs="Arial"/>
                <w:lang w:val="es-ES_tradnl"/>
              </w:rPr>
            </w:pPr>
            <w:r>
              <w:rPr>
                <w:rFonts w:ascii="Palatino Linotype" w:hAnsi="Palatino Linotype" w:cs="Arial"/>
                <w:lang w:val="es-ES_tradnl"/>
              </w:rPr>
              <w:t>Comisionado</w:t>
            </w:r>
          </w:p>
          <w:p w:rsidR="00456D2D" w:rsidRDefault="000E1C43">
            <w:pPr>
              <w:jc w:val="center"/>
              <w:rPr>
                <w:rFonts w:ascii="Palatino Linotype" w:hAnsi="Palatino Linotype" w:cs="Arial"/>
                <w:b/>
                <w:lang w:val="es-ES_tradnl"/>
              </w:rPr>
            </w:pPr>
            <w:r>
              <w:rPr>
                <w:rFonts w:ascii="Palatino Linotype" w:hAnsi="Palatino Linotype" w:cs="Arial"/>
                <w:b/>
                <w:lang w:val="es-ES_tradnl"/>
              </w:rPr>
              <w:t>(RÚBRICA)</w:t>
            </w:r>
          </w:p>
        </w:tc>
      </w:tr>
      <w:tr w:rsidR="00456D2D">
        <w:trPr>
          <w:jc w:val="center"/>
        </w:trPr>
        <w:tc>
          <w:tcPr>
            <w:tcW w:w="4756" w:type="dxa"/>
            <w:shd w:val="clear" w:color="auto" w:fill="auto"/>
          </w:tcPr>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Javier Martínez Cruz</w:t>
            </w:r>
          </w:p>
          <w:p w:rsidR="00456D2D" w:rsidRDefault="000E1C43">
            <w:pPr>
              <w:jc w:val="center"/>
              <w:rPr>
                <w:rFonts w:ascii="Palatino Linotype" w:hAnsi="Palatino Linotype" w:cs="Arial"/>
                <w:lang w:val="es-ES_tradnl"/>
              </w:rPr>
            </w:pPr>
            <w:r>
              <w:rPr>
                <w:rFonts w:ascii="Palatino Linotype" w:hAnsi="Palatino Linotype" w:cs="Arial"/>
                <w:lang w:val="es-ES_tradnl"/>
              </w:rPr>
              <w:t>Comisionado</w:t>
            </w:r>
          </w:p>
          <w:p w:rsidR="00456D2D" w:rsidRDefault="000E1C43">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Luis Gustavo Parra Noriega</w:t>
            </w:r>
          </w:p>
          <w:p w:rsidR="00456D2D" w:rsidRDefault="000E1C43">
            <w:pPr>
              <w:jc w:val="center"/>
              <w:rPr>
                <w:rFonts w:ascii="Palatino Linotype" w:hAnsi="Palatino Linotype" w:cs="Arial"/>
                <w:lang w:val="es-ES_tradnl"/>
              </w:rPr>
            </w:pPr>
            <w:r>
              <w:rPr>
                <w:rFonts w:ascii="Palatino Linotype" w:hAnsi="Palatino Linotype" w:cs="Arial"/>
                <w:lang w:val="es-ES_tradnl"/>
              </w:rPr>
              <w:t>Comisionado</w:t>
            </w:r>
          </w:p>
          <w:p w:rsidR="00456D2D" w:rsidRDefault="000E1C43">
            <w:pPr>
              <w:jc w:val="center"/>
              <w:rPr>
                <w:rFonts w:ascii="Palatino Linotype" w:hAnsi="Palatino Linotype" w:cs="Arial"/>
                <w:b/>
                <w:lang w:val="es-ES_tradnl"/>
              </w:rPr>
            </w:pPr>
            <w:r>
              <w:rPr>
                <w:rFonts w:ascii="Palatino Linotype" w:hAnsi="Palatino Linotype" w:cs="Arial"/>
                <w:b/>
                <w:lang w:val="es-ES_tradnl"/>
              </w:rPr>
              <w:t>(RÚBRICA)</w:t>
            </w:r>
          </w:p>
          <w:p w:rsidR="00456D2D" w:rsidRDefault="00456D2D">
            <w:pPr>
              <w:jc w:val="center"/>
              <w:rPr>
                <w:rFonts w:ascii="Palatino Linotype" w:hAnsi="Palatino Linotype" w:cs="Arial"/>
                <w:b/>
                <w:lang w:val="es-ES_tradnl"/>
              </w:rPr>
            </w:pPr>
          </w:p>
        </w:tc>
      </w:tr>
      <w:tr w:rsidR="00456D2D">
        <w:trPr>
          <w:jc w:val="center"/>
        </w:trPr>
        <w:tc>
          <w:tcPr>
            <w:tcW w:w="9213" w:type="dxa"/>
            <w:gridSpan w:val="2"/>
            <w:shd w:val="clear" w:color="auto" w:fill="auto"/>
          </w:tcPr>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751958" w:rsidRDefault="00751958">
            <w:pPr>
              <w:jc w:val="center"/>
              <w:rPr>
                <w:rFonts w:ascii="Palatino Linotype" w:hAnsi="Palatino Linotype" w:cs="Arial"/>
                <w:b/>
                <w:lang w:val="es-ES_tradnl"/>
              </w:rPr>
            </w:pPr>
          </w:p>
          <w:p w:rsidR="00456D2D" w:rsidRDefault="00456D2D">
            <w:pPr>
              <w:jc w:val="center"/>
              <w:rPr>
                <w:rFonts w:ascii="Palatino Linotype" w:hAnsi="Palatino Linotype" w:cs="Arial"/>
                <w:b/>
                <w:lang w:val="es-ES_tradnl"/>
              </w:rPr>
            </w:pPr>
          </w:p>
          <w:p w:rsidR="00456D2D" w:rsidRDefault="000E1C43">
            <w:pPr>
              <w:jc w:val="center"/>
              <w:rPr>
                <w:rFonts w:ascii="Palatino Linotype" w:hAnsi="Palatino Linotype" w:cs="Arial"/>
                <w:b/>
                <w:lang w:val="es-ES_tradnl"/>
              </w:rPr>
            </w:pPr>
            <w:r>
              <w:rPr>
                <w:rFonts w:ascii="Palatino Linotype" w:hAnsi="Palatino Linotype" w:cs="Arial"/>
                <w:b/>
                <w:lang w:val="es-ES_tradnl"/>
              </w:rPr>
              <w:t>Alexis Tapia Ramírez</w:t>
            </w:r>
          </w:p>
          <w:p w:rsidR="00456D2D" w:rsidRDefault="000E1C43">
            <w:pPr>
              <w:jc w:val="center"/>
              <w:rPr>
                <w:rFonts w:ascii="Palatino Linotype" w:hAnsi="Palatino Linotype" w:cs="Arial"/>
                <w:lang w:val="es-ES_tradnl"/>
              </w:rPr>
            </w:pPr>
            <w:r>
              <w:rPr>
                <w:rFonts w:ascii="Palatino Linotype" w:hAnsi="Palatino Linotype" w:cs="Arial"/>
                <w:lang w:val="es-ES_tradnl"/>
              </w:rPr>
              <w:t>Secretario Técnico del Pleno</w:t>
            </w:r>
          </w:p>
          <w:p w:rsidR="00456D2D" w:rsidRDefault="000E1C43">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456D2D" w:rsidRDefault="00456D2D">
      <w:pPr>
        <w:jc w:val="both"/>
        <w:rPr>
          <w:rFonts w:ascii="Palatino Linotype" w:hAnsi="Palatino Linotype" w:cs="Arial"/>
          <w:sz w:val="20"/>
          <w:szCs w:val="20"/>
          <w:lang w:val="es-ES"/>
        </w:rPr>
      </w:pPr>
    </w:p>
    <w:p w:rsidR="00456D2D" w:rsidRDefault="000E1C43">
      <w:pPr>
        <w:jc w:val="both"/>
        <w:rPr>
          <w:rFonts w:ascii="Palatino Linotype" w:hAnsi="Palatino Linotype" w:cs="Arial"/>
          <w:sz w:val="20"/>
          <w:szCs w:val="20"/>
          <w:lang w:val="es-ES"/>
        </w:rPr>
      </w:pPr>
      <w:r>
        <w:rPr>
          <w:rFonts w:ascii="Palatino Linotype" w:hAnsi="Palatino Linotype" w:cs="Arial"/>
          <w:sz w:val="20"/>
          <w:szCs w:val="20"/>
          <w:lang w:val="es-ES"/>
        </w:rPr>
        <w:t xml:space="preserve">Esta hoja corresponde a la resolución de fecha doce de agosto de dos mil veinte, emitida en el recurso de revisión número 01162/INFOEM/IP/RR/2020. </w:t>
      </w:r>
    </w:p>
    <w:p w:rsidR="00456D2D" w:rsidRDefault="000E1C43">
      <w:pPr>
        <w:spacing w:line="360" w:lineRule="auto"/>
        <w:jc w:val="both"/>
        <w:rPr>
          <w:rFonts w:ascii="Palatino Linotype" w:hAnsi="Palatino Linotype"/>
        </w:rPr>
      </w:pPr>
      <w:r>
        <w:rPr>
          <w:rFonts w:ascii="Palatino Linotype" w:hAnsi="Palatino Linotype" w:cs="Arial"/>
          <w:sz w:val="20"/>
          <w:szCs w:val="20"/>
          <w:lang w:val="es-ES"/>
        </w:rPr>
        <w:t>YSM/AMV</w:t>
      </w:r>
      <w:bookmarkStart w:id="3" w:name="_GoBack"/>
      <w:bookmarkEnd w:id="3"/>
    </w:p>
    <w:sectPr w:rsidR="00456D2D">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43" w:rsidRDefault="000E1C43">
      <w:r>
        <w:separator/>
      </w:r>
    </w:p>
  </w:endnote>
  <w:endnote w:type="continuationSeparator" w:id="0">
    <w:p w:rsidR="000E1C43" w:rsidRDefault="000E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2D" w:rsidRDefault="000E1C4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025C2">
      <w:rPr>
        <w:rFonts w:ascii="Palatino Linotype" w:hAnsi="Palatino Linotype" w:cs="Arial"/>
        <w:bCs/>
        <w:noProof/>
        <w:sz w:val="22"/>
        <w:szCs w:val="22"/>
      </w:rPr>
      <w:t>27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025C2">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2D" w:rsidRDefault="000E1C4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025C2">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025C2">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43" w:rsidRDefault="000E1C43">
      <w:r>
        <w:separator/>
      </w:r>
    </w:p>
  </w:footnote>
  <w:footnote w:type="continuationSeparator" w:id="0">
    <w:p w:rsidR="000E1C43" w:rsidRDefault="000E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2D" w:rsidRDefault="000E1C4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456D2D">
      <w:tc>
        <w:tcPr>
          <w:tcW w:w="3260" w:type="dxa"/>
          <w:vMerge w:val="restart"/>
        </w:tcPr>
        <w:p w:rsidR="00456D2D" w:rsidRDefault="000E1C4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456D2D" w:rsidRDefault="000E1C43">
          <w:pPr>
            <w:jc w:val="both"/>
            <w:rPr>
              <w:rFonts w:ascii="Palatino Linotype" w:hAnsi="Palatino Linotype"/>
              <w:b/>
              <w:lang w:val="es-ES_tradnl"/>
            </w:rPr>
          </w:pPr>
          <w:r>
            <w:rPr>
              <w:rFonts w:ascii="Palatino Linotype" w:hAnsi="Palatino Linotype"/>
              <w:b/>
              <w:sz w:val="22"/>
              <w:szCs w:val="22"/>
              <w:lang w:val="es-ES_tradnl"/>
            </w:rPr>
            <w:t>01162/INFOEM/IP/RR/2020</w:t>
          </w:r>
        </w:p>
      </w:tc>
    </w:tr>
    <w:tr w:rsidR="00456D2D">
      <w:tc>
        <w:tcPr>
          <w:tcW w:w="3260" w:type="dxa"/>
          <w:vMerge/>
        </w:tcPr>
        <w:p w:rsidR="00456D2D" w:rsidRDefault="00456D2D">
          <w:pPr>
            <w:rPr>
              <w:rFonts w:ascii="Palatino Linotype" w:hAnsi="Palatino Linotype"/>
              <w:b/>
              <w:sz w:val="22"/>
              <w:szCs w:val="22"/>
              <w:lang w:val="es-ES_tradnl"/>
            </w:rPr>
          </w:pPr>
        </w:p>
      </w:tc>
      <w:tc>
        <w:tcPr>
          <w:tcW w:w="2551"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456D2D" w:rsidRDefault="000E1C43">
          <w:pPr>
            <w:jc w:val="both"/>
            <w:rPr>
              <w:rFonts w:ascii="Palatino Linotype" w:hAnsi="Palatino Linotype"/>
              <w:b/>
            </w:rPr>
          </w:pPr>
          <w:r>
            <w:rPr>
              <w:rFonts w:ascii="Palatino Linotype" w:hAnsi="Palatino Linotype"/>
              <w:b/>
              <w:bCs/>
              <w:sz w:val="22"/>
              <w:szCs w:val="22"/>
            </w:rPr>
            <w:t xml:space="preserve">Ayuntamiento de Ecatepec de Morelos </w:t>
          </w:r>
        </w:p>
      </w:tc>
    </w:tr>
    <w:tr w:rsidR="00456D2D">
      <w:trPr>
        <w:trHeight w:val="228"/>
      </w:trPr>
      <w:tc>
        <w:tcPr>
          <w:tcW w:w="3260" w:type="dxa"/>
          <w:vMerge/>
        </w:tcPr>
        <w:p w:rsidR="00456D2D" w:rsidRDefault="00456D2D">
          <w:pPr>
            <w:rPr>
              <w:rFonts w:ascii="Palatino Linotype" w:hAnsi="Palatino Linotype"/>
              <w:b/>
              <w:sz w:val="22"/>
              <w:szCs w:val="22"/>
              <w:lang w:val="es-ES_tradnl"/>
            </w:rPr>
          </w:pPr>
        </w:p>
      </w:tc>
      <w:tc>
        <w:tcPr>
          <w:tcW w:w="2551"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456D2D" w:rsidRDefault="000E1C4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56D2D" w:rsidRDefault="00456D2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2D" w:rsidRDefault="000E1C43">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7.6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456D2D">
      <w:tc>
        <w:tcPr>
          <w:tcW w:w="4252" w:type="dxa"/>
          <w:vMerge w:val="restart"/>
          <w:shd w:val="clear" w:color="auto" w:fill="auto"/>
        </w:tcPr>
        <w:p w:rsidR="00456D2D" w:rsidRDefault="000E1C4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456D2D" w:rsidRDefault="000E1C43">
          <w:pPr>
            <w:jc w:val="both"/>
            <w:rPr>
              <w:rFonts w:ascii="Palatino Linotype" w:hAnsi="Palatino Linotype"/>
              <w:b/>
              <w:lang w:val="es-ES_tradnl"/>
            </w:rPr>
          </w:pPr>
          <w:r>
            <w:rPr>
              <w:rFonts w:ascii="Palatino Linotype" w:hAnsi="Palatino Linotype"/>
              <w:b/>
              <w:sz w:val="22"/>
              <w:szCs w:val="22"/>
              <w:lang w:val="es-ES_tradnl"/>
            </w:rPr>
            <w:t>01162/INFOEM/IP/RR/2020</w:t>
          </w:r>
        </w:p>
      </w:tc>
    </w:tr>
    <w:tr w:rsidR="00456D2D">
      <w:tc>
        <w:tcPr>
          <w:tcW w:w="4252" w:type="dxa"/>
          <w:vMerge/>
          <w:shd w:val="clear" w:color="auto" w:fill="auto"/>
        </w:tcPr>
        <w:p w:rsidR="00456D2D" w:rsidRDefault="00456D2D">
          <w:pPr>
            <w:rPr>
              <w:rFonts w:ascii="Palatino Linotype" w:hAnsi="Palatino Linotype"/>
              <w:b/>
              <w:sz w:val="22"/>
              <w:szCs w:val="22"/>
              <w:lang w:val="es-ES_tradnl"/>
            </w:rPr>
          </w:pPr>
        </w:p>
      </w:tc>
      <w:tc>
        <w:tcPr>
          <w:tcW w:w="2552"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456D2D" w:rsidRDefault="00456D2D">
          <w:pPr>
            <w:jc w:val="both"/>
            <w:rPr>
              <w:rFonts w:ascii="Palatino Linotype" w:hAnsi="Palatino Linotype"/>
              <w:b/>
              <w:lang w:val="es-ES_tradnl"/>
            </w:rPr>
          </w:pPr>
        </w:p>
      </w:tc>
    </w:tr>
    <w:tr w:rsidR="00456D2D">
      <w:trPr>
        <w:trHeight w:val="228"/>
      </w:trPr>
      <w:tc>
        <w:tcPr>
          <w:tcW w:w="4252" w:type="dxa"/>
          <w:vMerge/>
          <w:shd w:val="clear" w:color="auto" w:fill="auto"/>
        </w:tcPr>
        <w:p w:rsidR="00456D2D" w:rsidRDefault="00456D2D">
          <w:pPr>
            <w:rPr>
              <w:rFonts w:ascii="Palatino Linotype" w:hAnsi="Palatino Linotype"/>
              <w:b/>
              <w:sz w:val="22"/>
              <w:szCs w:val="22"/>
              <w:lang w:val="es-ES_tradnl"/>
            </w:rPr>
          </w:pPr>
        </w:p>
      </w:tc>
      <w:tc>
        <w:tcPr>
          <w:tcW w:w="2552"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456D2D" w:rsidRDefault="000E1C43">
          <w:pPr>
            <w:jc w:val="both"/>
            <w:rPr>
              <w:rFonts w:ascii="Palatino Linotype" w:hAnsi="Palatino Linotype"/>
              <w:b/>
            </w:rPr>
          </w:pPr>
          <w:r>
            <w:rPr>
              <w:rFonts w:ascii="Palatino Linotype" w:hAnsi="Palatino Linotype"/>
              <w:b/>
              <w:bCs/>
              <w:sz w:val="22"/>
              <w:szCs w:val="22"/>
            </w:rPr>
            <w:t>Ayuntamiento de Ecatepec de Morelos</w:t>
          </w:r>
        </w:p>
      </w:tc>
    </w:tr>
    <w:tr w:rsidR="00456D2D">
      <w:tc>
        <w:tcPr>
          <w:tcW w:w="4252" w:type="dxa"/>
          <w:vMerge/>
          <w:shd w:val="clear" w:color="auto" w:fill="auto"/>
        </w:tcPr>
        <w:p w:rsidR="00456D2D" w:rsidRDefault="00456D2D">
          <w:pPr>
            <w:rPr>
              <w:rFonts w:ascii="Palatino Linotype" w:hAnsi="Palatino Linotype"/>
              <w:b/>
              <w:sz w:val="22"/>
              <w:szCs w:val="22"/>
              <w:lang w:val="es-ES_tradnl"/>
            </w:rPr>
          </w:pPr>
        </w:p>
      </w:tc>
      <w:tc>
        <w:tcPr>
          <w:tcW w:w="2552" w:type="dxa"/>
          <w:shd w:val="clear" w:color="auto" w:fill="auto"/>
        </w:tcPr>
        <w:p w:rsidR="00456D2D" w:rsidRDefault="000E1C4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456D2D" w:rsidRDefault="000E1C4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56D2D" w:rsidRDefault="00456D2D">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D489A"/>
    <w:multiLevelType w:val="multilevel"/>
    <w:tmpl w:val="165AC226"/>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6C096426"/>
    <w:multiLevelType w:val="multilevel"/>
    <w:tmpl w:val="980EE0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2D"/>
    <w:rsid w:val="000E1C43"/>
    <w:rsid w:val="00456D2D"/>
    <w:rsid w:val="00751958"/>
    <w:rsid w:val="00E025C2"/>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8C2EC-BA36-4966-BB25-C8D11AF4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FB2C-E7A5-4926-BA9D-28AD8262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8075</Words>
  <Characters>44414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2020-09-07T21:48:00Z</dcterms:created>
  <dcterms:modified xsi:type="dcterms:W3CDTF">2020-09-07T21:48:00Z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