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01AC0" w14:textId="77777777" w:rsidR="008C15B3" w:rsidRPr="00B73666" w:rsidRDefault="008C15B3" w:rsidP="008C15B3">
      <w:pPr>
        <w:spacing w:before="240" w:after="240" w:line="360" w:lineRule="auto"/>
        <w:jc w:val="center"/>
        <w:rPr>
          <w:rFonts w:ascii="Palatino Linotype" w:hAnsi="Palatino Linotype"/>
          <w:b/>
        </w:rPr>
      </w:pPr>
      <w:r w:rsidRPr="00B73666">
        <w:rPr>
          <w:rFonts w:ascii="Palatino Linotype" w:hAnsi="Palatino Linotype"/>
          <w:b/>
        </w:rPr>
        <w:t>LÍNEAS ARGUMENTATIVAS</w:t>
      </w:r>
    </w:p>
    <w:p w14:paraId="6AFF206C" w14:textId="77777777" w:rsidR="009F5CF5" w:rsidRPr="00B73666" w:rsidRDefault="009F5CF5" w:rsidP="009F5CF5">
      <w:pPr>
        <w:tabs>
          <w:tab w:val="left" w:pos="0"/>
        </w:tabs>
        <w:spacing w:line="360" w:lineRule="auto"/>
        <w:jc w:val="both"/>
        <w:rPr>
          <w:rFonts w:ascii="Palatino Linotype" w:eastAsia="Arial Unicode MS" w:hAnsi="Palatino Linotype" w:cs="Arial"/>
        </w:rPr>
      </w:pPr>
      <w:r w:rsidRPr="00B73666">
        <w:rPr>
          <w:rFonts w:ascii="Palatino Linotype" w:eastAsia="Arial Unicode MS" w:hAnsi="Palatino Linotype" w:cs="Arial"/>
          <w:b/>
        </w:rPr>
        <w:t>DEBERES DE LAS AUTORIDADES</w:t>
      </w:r>
      <w:r w:rsidRPr="00B73666">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588BC5EB" w14:textId="77777777" w:rsidR="009F5CF5" w:rsidRPr="00B73666" w:rsidRDefault="009F5CF5" w:rsidP="00441401">
      <w:pPr>
        <w:spacing w:line="360" w:lineRule="auto"/>
        <w:jc w:val="both"/>
        <w:rPr>
          <w:rFonts w:ascii="Palatino Linotype" w:eastAsia="MS Mincho" w:hAnsi="Palatino Linotype" w:cs="Arial"/>
          <w:b/>
          <w:noProof/>
          <w:color w:val="000000" w:themeColor="text1"/>
          <w:lang w:val="es-MX"/>
        </w:rPr>
      </w:pPr>
    </w:p>
    <w:p w14:paraId="0534BDCA" w14:textId="77777777" w:rsidR="001734FD" w:rsidRPr="00B73666" w:rsidRDefault="001734FD" w:rsidP="001734FD">
      <w:pPr>
        <w:spacing w:before="240" w:after="240" w:line="360" w:lineRule="auto"/>
        <w:jc w:val="both"/>
        <w:rPr>
          <w:rFonts w:ascii="Palatino Linotype" w:eastAsia="Times New Roman" w:hAnsi="Palatino Linotype" w:cs="Arial"/>
          <w:color w:val="000000"/>
          <w:lang w:val="es-ES" w:eastAsia="es-MX"/>
        </w:rPr>
      </w:pPr>
      <w:r w:rsidRPr="00B73666">
        <w:rPr>
          <w:rFonts w:ascii="Palatino Linotype" w:eastAsia="MS Mincho" w:hAnsi="Palatino Linotype"/>
          <w:b/>
        </w:rPr>
        <w:t>NEGATIVA FICTA, NO EXISTE PLAZO PERENTORIO PARA INTERPONER EL RECURSO.</w:t>
      </w:r>
      <w:r w:rsidRPr="00B73666">
        <w:rPr>
          <w:rFonts w:ascii="Palatino Linotype" w:eastAsia="MS Mincho" w:hAnsi="Palatino Linotype"/>
        </w:rPr>
        <w:t xml:space="preserve"> </w:t>
      </w:r>
      <w:r w:rsidRPr="00B73666">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536193B2" w14:textId="77777777" w:rsidR="001734FD" w:rsidRPr="00B73666" w:rsidRDefault="001734FD" w:rsidP="001734FD">
      <w:pPr>
        <w:spacing w:before="240" w:after="240" w:line="360" w:lineRule="auto"/>
        <w:jc w:val="both"/>
        <w:rPr>
          <w:rFonts w:ascii="Palatino Linotype" w:eastAsia="Times New Roman" w:hAnsi="Palatino Linotype" w:cs="Arial"/>
          <w:color w:val="000000"/>
          <w:lang w:val="es-ES" w:eastAsia="es-MX"/>
        </w:rPr>
      </w:pPr>
    </w:p>
    <w:p w14:paraId="616BFF09" w14:textId="77777777" w:rsidR="001734FD" w:rsidRPr="00B73666" w:rsidRDefault="001734FD" w:rsidP="001734FD">
      <w:pPr>
        <w:tabs>
          <w:tab w:val="left" w:pos="0"/>
        </w:tabs>
        <w:spacing w:line="360" w:lineRule="auto"/>
        <w:jc w:val="both"/>
        <w:rPr>
          <w:rFonts w:ascii="Palatino Linotype" w:eastAsia="Calibri" w:hAnsi="Palatino Linotype" w:cs="Times New Roman"/>
        </w:rPr>
      </w:pPr>
      <w:r w:rsidRPr="00B73666">
        <w:rPr>
          <w:rFonts w:ascii="Palatino Linotype" w:eastAsia="Calibri" w:hAnsi="Palatino Linotype" w:cs="Times New Roman"/>
          <w:b/>
        </w:rPr>
        <w:t>DE LA GARANTÍA DE PROPORCIONAR LA INFORMACIÓN PÚBLICA GUBERNAMENTAL.</w:t>
      </w:r>
      <w:r w:rsidRPr="00B73666">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723E147" w14:textId="77777777" w:rsidR="00C75B8F" w:rsidRPr="00B73666" w:rsidRDefault="00C75B8F">
      <w:pPr>
        <w:spacing w:after="160" w:line="259" w:lineRule="auto"/>
        <w:rPr>
          <w:rFonts w:ascii="Palatino Linotype" w:hAnsi="Palatino Linotype"/>
          <w:b/>
        </w:rPr>
      </w:pPr>
      <w:r w:rsidRPr="00B73666">
        <w:rPr>
          <w:rFonts w:ascii="Palatino Linotype" w:hAnsi="Palatino Linotype"/>
          <w:b/>
        </w:rPr>
        <w:br w:type="page"/>
      </w:r>
    </w:p>
    <w:p w14:paraId="06860E94" w14:textId="77777777" w:rsidR="00A55BA0" w:rsidRPr="00B73666" w:rsidRDefault="008C54C1" w:rsidP="00A55BA0">
      <w:pPr>
        <w:spacing w:before="240" w:after="240" w:line="360" w:lineRule="auto"/>
        <w:jc w:val="center"/>
        <w:rPr>
          <w:rFonts w:ascii="Palatino Linotype" w:hAnsi="Palatino Linotype"/>
        </w:rPr>
      </w:pPr>
      <w:r w:rsidRPr="00B73666">
        <w:rPr>
          <w:rFonts w:ascii="Palatino Linotype" w:hAnsi="Palatino Linotype"/>
          <w:b/>
        </w:rPr>
        <w:lastRenderedPageBreak/>
        <w:t>ÍNDICE</w:t>
      </w:r>
      <w:r w:rsidR="00A55BA0" w:rsidRPr="00B7366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rFonts w:ascii="Palatino Linotype" w:hAnsi="Palatino Linotype"/>
          <w:b/>
          <w:sz w:val="22"/>
          <w:szCs w:val="22"/>
        </w:rPr>
      </w:sdtEndPr>
      <w:sdtContent>
        <w:p w14:paraId="5FE9F691" w14:textId="77777777" w:rsidR="00A55BA0" w:rsidRPr="00B73666" w:rsidRDefault="00A55BA0" w:rsidP="00A55BA0">
          <w:pPr>
            <w:pStyle w:val="TtulodeTDC"/>
            <w:spacing w:line="480" w:lineRule="auto"/>
          </w:pPr>
        </w:p>
        <w:p w14:paraId="5F2D87D8" w14:textId="2B3F636B" w:rsidR="003764D0" w:rsidRPr="00B73666" w:rsidRDefault="00A55BA0">
          <w:pPr>
            <w:pStyle w:val="TDC1"/>
            <w:tabs>
              <w:tab w:val="right" w:leader="dot" w:pos="8779"/>
            </w:tabs>
            <w:rPr>
              <w:rFonts w:ascii="Palatino Linotype" w:hAnsi="Palatino Linotype"/>
              <w:b/>
              <w:noProof/>
              <w:sz w:val="20"/>
              <w:szCs w:val="20"/>
              <w:lang w:val="es-MX" w:eastAsia="es-MX"/>
            </w:rPr>
          </w:pPr>
          <w:r w:rsidRPr="00B73666">
            <w:rPr>
              <w:rFonts w:ascii="Palatino Linotype" w:hAnsi="Palatino Linotype"/>
              <w:b/>
              <w:sz w:val="22"/>
              <w:szCs w:val="22"/>
            </w:rPr>
            <w:fldChar w:fldCharType="begin"/>
          </w:r>
          <w:r w:rsidRPr="00B73666">
            <w:rPr>
              <w:rFonts w:ascii="Palatino Linotype" w:hAnsi="Palatino Linotype"/>
              <w:b/>
              <w:sz w:val="22"/>
              <w:szCs w:val="22"/>
            </w:rPr>
            <w:instrText xml:space="preserve"> TOC \o "1-3" \h \z \u </w:instrText>
          </w:r>
          <w:r w:rsidRPr="00B73666">
            <w:rPr>
              <w:rFonts w:ascii="Palatino Linotype" w:hAnsi="Palatino Linotype"/>
              <w:b/>
              <w:sz w:val="22"/>
              <w:szCs w:val="22"/>
            </w:rPr>
            <w:fldChar w:fldCharType="separate"/>
          </w:r>
          <w:hyperlink w:anchor="_Toc48216079" w:history="1">
            <w:r w:rsidR="003764D0" w:rsidRPr="00B73666">
              <w:rPr>
                <w:rStyle w:val="Hipervnculo"/>
                <w:rFonts w:ascii="Palatino Linotype" w:hAnsi="Palatino Linotype"/>
                <w:b/>
                <w:noProof/>
                <w:sz w:val="22"/>
                <w:szCs w:val="22"/>
              </w:rPr>
              <w:t>ANTECEDENTES</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_Toc48216079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3</w:t>
            </w:r>
            <w:r w:rsidR="003764D0" w:rsidRPr="00B73666">
              <w:rPr>
                <w:rFonts w:ascii="Palatino Linotype" w:hAnsi="Palatino Linotype"/>
                <w:b/>
                <w:noProof/>
                <w:webHidden/>
                <w:sz w:val="22"/>
                <w:szCs w:val="22"/>
              </w:rPr>
              <w:fldChar w:fldCharType="end"/>
            </w:r>
          </w:hyperlink>
        </w:p>
        <w:p w14:paraId="70C14986" w14:textId="57A9FF5B" w:rsidR="003764D0" w:rsidRPr="00B73666" w:rsidRDefault="003576F9">
          <w:pPr>
            <w:pStyle w:val="TDC1"/>
            <w:tabs>
              <w:tab w:val="right" w:leader="dot" w:pos="8779"/>
            </w:tabs>
            <w:rPr>
              <w:rFonts w:ascii="Palatino Linotype" w:hAnsi="Palatino Linotype"/>
              <w:b/>
              <w:noProof/>
              <w:sz w:val="20"/>
              <w:szCs w:val="20"/>
              <w:lang w:val="es-MX" w:eastAsia="es-MX"/>
            </w:rPr>
          </w:pPr>
          <w:hyperlink w:anchor="_Toc48216080" w:history="1">
            <w:r w:rsidR="003764D0" w:rsidRPr="00B73666">
              <w:rPr>
                <w:rStyle w:val="Hipervnculo"/>
                <w:rFonts w:ascii="Palatino Linotype" w:hAnsi="Palatino Linotype"/>
                <w:b/>
                <w:noProof/>
                <w:sz w:val="22"/>
                <w:szCs w:val="22"/>
              </w:rPr>
              <w:t>CONSIDERANDO</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_Toc48216080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6</w:t>
            </w:r>
            <w:r w:rsidR="003764D0" w:rsidRPr="00B73666">
              <w:rPr>
                <w:rFonts w:ascii="Palatino Linotype" w:hAnsi="Palatino Linotype"/>
                <w:b/>
                <w:noProof/>
                <w:webHidden/>
                <w:sz w:val="22"/>
                <w:szCs w:val="22"/>
              </w:rPr>
              <w:fldChar w:fldCharType="end"/>
            </w:r>
          </w:hyperlink>
        </w:p>
        <w:p w14:paraId="422E94A3" w14:textId="78E42CDF" w:rsidR="003764D0" w:rsidRPr="00B73666" w:rsidRDefault="003576F9">
          <w:pPr>
            <w:pStyle w:val="TDC2"/>
            <w:rPr>
              <w:rFonts w:ascii="Palatino Linotype" w:hAnsi="Palatino Linotype"/>
              <w:b/>
              <w:noProof/>
              <w:sz w:val="20"/>
              <w:szCs w:val="20"/>
              <w:lang w:val="es-MX" w:eastAsia="es-MX"/>
            </w:rPr>
          </w:pPr>
          <w:hyperlink w:anchor="_Toc48216081" w:history="1">
            <w:r w:rsidR="003764D0" w:rsidRPr="00B73666">
              <w:rPr>
                <w:rStyle w:val="Hipervnculo"/>
                <w:rFonts w:ascii="Palatino Linotype" w:hAnsi="Palatino Linotype"/>
                <w:b/>
                <w:noProof/>
                <w:sz w:val="22"/>
                <w:szCs w:val="22"/>
              </w:rPr>
              <w:t>PRIMERO. De la competencia</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_Toc48216081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6</w:t>
            </w:r>
            <w:r w:rsidR="003764D0" w:rsidRPr="00B73666">
              <w:rPr>
                <w:rFonts w:ascii="Palatino Linotype" w:hAnsi="Palatino Linotype"/>
                <w:b/>
                <w:noProof/>
                <w:webHidden/>
                <w:sz w:val="22"/>
                <w:szCs w:val="22"/>
              </w:rPr>
              <w:fldChar w:fldCharType="end"/>
            </w:r>
          </w:hyperlink>
        </w:p>
        <w:p w14:paraId="10090DE8" w14:textId="0FBBFA15" w:rsidR="003764D0" w:rsidRPr="00B73666" w:rsidRDefault="003576F9">
          <w:pPr>
            <w:pStyle w:val="TDC2"/>
            <w:rPr>
              <w:rFonts w:ascii="Palatino Linotype" w:hAnsi="Palatino Linotype"/>
              <w:b/>
              <w:noProof/>
              <w:sz w:val="20"/>
              <w:szCs w:val="20"/>
              <w:lang w:val="es-MX" w:eastAsia="es-MX"/>
            </w:rPr>
          </w:pPr>
          <w:hyperlink w:anchor="_Toc48216082" w:history="1">
            <w:r w:rsidR="003764D0" w:rsidRPr="00B73666">
              <w:rPr>
                <w:rStyle w:val="Hipervnculo"/>
                <w:rFonts w:ascii="Palatino Linotype" w:hAnsi="Palatino Linotype"/>
                <w:b/>
                <w:noProof/>
                <w:sz w:val="22"/>
                <w:szCs w:val="22"/>
              </w:rPr>
              <w:t>SEGUNDO. De la oportunidad y procedencia.</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_Toc48216082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6</w:t>
            </w:r>
            <w:r w:rsidR="003764D0" w:rsidRPr="00B73666">
              <w:rPr>
                <w:rFonts w:ascii="Palatino Linotype" w:hAnsi="Palatino Linotype"/>
                <w:b/>
                <w:noProof/>
                <w:webHidden/>
                <w:sz w:val="22"/>
                <w:szCs w:val="22"/>
              </w:rPr>
              <w:fldChar w:fldCharType="end"/>
            </w:r>
          </w:hyperlink>
        </w:p>
        <w:p w14:paraId="466724D8" w14:textId="72B91666" w:rsidR="003764D0" w:rsidRPr="00B73666" w:rsidRDefault="003576F9">
          <w:pPr>
            <w:pStyle w:val="TDC2"/>
            <w:rPr>
              <w:rFonts w:ascii="Palatino Linotype" w:hAnsi="Palatino Linotype"/>
              <w:b/>
              <w:noProof/>
              <w:sz w:val="20"/>
              <w:szCs w:val="20"/>
              <w:lang w:val="es-MX" w:eastAsia="es-MX"/>
            </w:rPr>
          </w:pPr>
          <w:hyperlink w:anchor="_Toc48216083" w:history="1">
            <w:r w:rsidR="003764D0" w:rsidRPr="00B73666">
              <w:rPr>
                <w:rStyle w:val="Hipervnculo"/>
                <w:rFonts w:ascii="Palatino Linotype" w:eastAsia="Calibri" w:hAnsi="Palatino Linotype" w:cs="Times New Roman"/>
                <w:b/>
                <w:noProof/>
                <w:sz w:val="22"/>
                <w:szCs w:val="22"/>
                <w:lang w:val="es-ES"/>
              </w:rPr>
              <w:t xml:space="preserve">TERCERO. Del planteamiento de la </w:t>
            </w:r>
            <w:r w:rsidR="003764D0" w:rsidRPr="00B73666">
              <w:rPr>
                <w:rStyle w:val="Hipervnculo"/>
                <w:rFonts w:ascii="Palatino Linotype" w:eastAsia="Calibri" w:hAnsi="Palatino Linotype" w:cs="Times New Roman"/>
                <w:b/>
                <w:i/>
                <w:noProof/>
                <w:sz w:val="22"/>
                <w:szCs w:val="22"/>
                <w:lang w:val="es-ES"/>
              </w:rPr>
              <w:t>Litis</w:t>
            </w:r>
            <w:r w:rsidR="003764D0" w:rsidRPr="00B73666">
              <w:rPr>
                <w:rStyle w:val="Hipervnculo"/>
                <w:rFonts w:ascii="Palatino Linotype" w:eastAsia="Calibri" w:hAnsi="Palatino Linotype" w:cs="Times New Roman"/>
                <w:b/>
                <w:noProof/>
                <w:sz w:val="22"/>
                <w:szCs w:val="22"/>
                <w:lang w:val="es-ES"/>
              </w:rPr>
              <w:t>.</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_Toc48216083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10</w:t>
            </w:r>
            <w:r w:rsidR="003764D0" w:rsidRPr="00B73666">
              <w:rPr>
                <w:rFonts w:ascii="Palatino Linotype" w:hAnsi="Palatino Linotype"/>
                <w:b/>
                <w:noProof/>
                <w:webHidden/>
                <w:sz w:val="22"/>
                <w:szCs w:val="22"/>
              </w:rPr>
              <w:fldChar w:fldCharType="end"/>
            </w:r>
          </w:hyperlink>
        </w:p>
        <w:p w14:paraId="7DFD48B5" w14:textId="496A64A8" w:rsidR="003764D0" w:rsidRPr="00B73666" w:rsidRDefault="003576F9">
          <w:pPr>
            <w:pStyle w:val="TDC2"/>
            <w:rPr>
              <w:rFonts w:ascii="Palatino Linotype" w:hAnsi="Palatino Linotype"/>
              <w:b/>
              <w:noProof/>
              <w:sz w:val="20"/>
              <w:szCs w:val="20"/>
              <w:lang w:val="es-MX" w:eastAsia="es-MX"/>
            </w:rPr>
          </w:pPr>
          <w:hyperlink w:anchor="_Toc48216084" w:history="1">
            <w:r w:rsidR="003764D0" w:rsidRPr="00B73666">
              <w:rPr>
                <w:rStyle w:val="Hipervnculo"/>
                <w:rFonts w:ascii="Palatino Linotype" w:eastAsia="MS Gothic" w:hAnsi="Palatino Linotype" w:cs="Times New Roman"/>
                <w:b/>
                <w:noProof/>
                <w:sz w:val="22"/>
                <w:szCs w:val="22"/>
              </w:rPr>
              <w:t>CUARTO. Del estudio y resolución del asunto</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_Toc48216084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11</w:t>
            </w:r>
            <w:r w:rsidR="003764D0" w:rsidRPr="00B73666">
              <w:rPr>
                <w:rFonts w:ascii="Palatino Linotype" w:hAnsi="Palatino Linotype"/>
                <w:b/>
                <w:noProof/>
                <w:webHidden/>
                <w:sz w:val="22"/>
                <w:szCs w:val="22"/>
              </w:rPr>
              <w:fldChar w:fldCharType="end"/>
            </w:r>
          </w:hyperlink>
        </w:p>
        <w:p w14:paraId="78DB4A93" w14:textId="6B13799A"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85" w:history="1">
            <w:r w:rsidR="003764D0" w:rsidRPr="00B73666">
              <w:rPr>
                <w:rStyle w:val="Hipervnculo"/>
                <w:rFonts w:ascii="Palatino Linotype" w:eastAsia="MS Gothic" w:hAnsi="Palatino Linotype" w:cs="Times New Roman"/>
                <w:b/>
                <w:noProof/>
                <w:sz w:val="22"/>
                <w:szCs w:val="22"/>
              </w:rPr>
              <w:t>I. Del deber de las autoridades de promover, respetar, proteger y garantizar el derecho de acceso a la información pública.</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_Toc48216085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11</w:t>
            </w:r>
            <w:r w:rsidR="003764D0" w:rsidRPr="00B73666">
              <w:rPr>
                <w:rFonts w:ascii="Palatino Linotype" w:hAnsi="Palatino Linotype"/>
                <w:b/>
                <w:noProof/>
                <w:webHidden/>
                <w:sz w:val="22"/>
                <w:szCs w:val="22"/>
              </w:rPr>
              <w:fldChar w:fldCharType="end"/>
            </w:r>
          </w:hyperlink>
        </w:p>
        <w:p w14:paraId="0FC8EF4D" w14:textId="08C54B03"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86" w:history="1">
            <w:r w:rsidR="003764D0" w:rsidRPr="00B73666">
              <w:rPr>
                <w:rStyle w:val="Hipervnculo"/>
                <w:rFonts w:ascii="Palatino Linotype" w:eastAsia="Times New Roman" w:hAnsi="Palatino Linotype"/>
                <w:b/>
                <w:noProof/>
                <w:sz w:val="22"/>
                <w:szCs w:val="22"/>
              </w:rPr>
              <w:t>II. Del derecho de acceso a la información pública.</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_Toc48216086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14</w:t>
            </w:r>
            <w:r w:rsidR="003764D0" w:rsidRPr="00B73666">
              <w:rPr>
                <w:rFonts w:ascii="Palatino Linotype" w:hAnsi="Palatino Linotype"/>
                <w:b/>
                <w:noProof/>
                <w:webHidden/>
                <w:sz w:val="22"/>
                <w:szCs w:val="22"/>
              </w:rPr>
              <w:fldChar w:fldCharType="end"/>
            </w:r>
          </w:hyperlink>
        </w:p>
        <w:p w14:paraId="2A91273A" w14:textId="60EE7334"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87" w:history="1">
            <w:r w:rsidR="003764D0" w:rsidRPr="00B73666">
              <w:rPr>
                <w:rStyle w:val="Hipervnculo"/>
                <w:rFonts w:ascii="Palatino Linotype" w:eastAsia="MS Gothic" w:hAnsi="Palatino Linotype" w:cs="Times New Roman"/>
                <w:b/>
                <w:noProof/>
                <w:sz w:val="22"/>
                <w:szCs w:val="22"/>
              </w:rPr>
              <w:t>III. Del informe justificado.</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_Toc48216087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19</w:t>
            </w:r>
            <w:r w:rsidR="003764D0" w:rsidRPr="00B73666">
              <w:rPr>
                <w:rFonts w:ascii="Palatino Linotype" w:hAnsi="Palatino Linotype"/>
                <w:b/>
                <w:noProof/>
                <w:webHidden/>
                <w:sz w:val="22"/>
                <w:szCs w:val="22"/>
              </w:rPr>
              <w:fldChar w:fldCharType="end"/>
            </w:r>
          </w:hyperlink>
        </w:p>
        <w:p w14:paraId="1D9AB623" w14:textId="75F18D29"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88" w:history="1">
            <w:r w:rsidR="003764D0" w:rsidRPr="00B73666">
              <w:rPr>
                <w:rStyle w:val="Hipervnculo"/>
                <w:rFonts w:ascii="Palatino Linotype" w:eastAsia="MS Gothic" w:hAnsi="Palatino Linotype" w:cs="Times New Roman"/>
                <w:b/>
                <w:noProof/>
                <w:sz w:val="22"/>
                <w:szCs w:val="22"/>
              </w:rPr>
              <w:t>IV. Del Comité de Adquisiciones.</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_Toc48216088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24</w:t>
            </w:r>
            <w:r w:rsidR="003764D0" w:rsidRPr="00B73666">
              <w:rPr>
                <w:rFonts w:ascii="Palatino Linotype" w:hAnsi="Palatino Linotype"/>
                <w:b/>
                <w:noProof/>
                <w:webHidden/>
                <w:sz w:val="22"/>
                <w:szCs w:val="22"/>
              </w:rPr>
              <w:fldChar w:fldCharType="end"/>
            </w:r>
          </w:hyperlink>
        </w:p>
        <w:p w14:paraId="534A1CED" w14:textId="6C1B4D34" w:rsidR="003764D0" w:rsidRPr="00B73666" w:rsidRDefault="003576F9">
          <w:pPr>
            <w:pStyle w:val="TDC2"/>
            <w:rPr>
              <w:rFonts w:ascii="Palatino Linotype" w:hAnsi="Palatino Linotype"/>
              <w:b/>
              <w:noProof/>
              <w:sz w:val="20"/>
              <w:szCs w:val="20"/>
              <w:lang w:val="es-MX" w:eastAsia="es-MX"/>
            </w:rPr>
          </w:pPr>
          <w:hyperlink w:anchor="_Toc48216089" w:history="1">
            <w:r w:rsidR="003764D0" w:rsidRPr="00B73666">
              <w:rPr>
                <w:rStyle w:val="Hipervnculo"/>
                <w:rFonts w:ascii="Palatino Linotype" w:eastAsia="MS Gothic" w:hAnsi="Palatino Linotype" w:cs="Times New Roman"/>
                <w:b/>
                <w:noProof/>
                <w:sz w:val="22"/>
                <w:szCs w:val="22"/>
              </w:rPr>
              <w:t>QUINTO. De la versión pública.</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_Toc48216089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29</w:t>
            </w:r>
            <w:r w:rsidR="003764D0" w:rsidRPr="00B73666">
              <w:rPr>
                <w:rFonts w:ascii="Palatino Linotype" w:hAnsi="Palatino Linotype"/>
                <w:b/>
                <w:noProof/>
                <w:webHidden/>
                <w:sz w:val="22"/>
                <w:szCs w:val="22"/>
              </w:rPr>
              <w:fldChar w:fldCharType="end"/>
            </w:r>
          </w:hyperlink>
        </w:p>
        <w:p w14:paraId="5D44A37C" w14:textId="7FFAED39"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0" w:history="1">
            <w:r w:rsidR="003764D0" w:rsidRPr="00B73666">
              <w:rPr>
                <w:rStyle w:val="Hipervnculo"/>
                <w:rFonts w:ascii="Palatino Linotype" w:eastAsia="MS Gothic" w:hAnsi="Palatino Linotype" w:cs="Times New Roman"/>
                <w:b/>
                <w:noProof/>
                <w:sz w:val="22"/>
                <w:szCs w:val="22"/>
              </w:rPr>
              <w:t>I. De la clasificación de la información.</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_Toc48216090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30</w:t>
            </w:r>
            <w:r w:rsidR="003764D0" w:rsidRPr="00B73666">
              <w:rPr>
                <w:rFonts w:ascii="Palatino Linotype" w:hAnsi="Palatino Linotype"/>
                <w:b/>
                <w:noProof/>
                <w:webHidden/>
                <w:sz w:val="22"/>
                <w:szCs w:val="22"/>
              </w:rPr>
              <w:fldChar w:fldCharType="end"/>
            </w:r>
          </w:hyperlink>
        </w:p>
        <w:p w14:paraId="2D40C1C3" w14:textId="353F6A99"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1" w:history="1">
            <w:r w:rsidR="003764D0" w:rsidRPr="00B73666">
              <w:rPr>
                <w:rStyle w:val="Hipervnculo"/>
                <w:rFonts w:ascii="Palatino Linotype" w:eastAsia="MS Gothic" w:hAnsi="Palatino Linotype" w:cs="Times New Roman"/>
                <w:b/>
                <w:noProof/>
                <w:sz w:val="22"/>
                <w:szCs w:val="22"/>
              </w:rPr>
              <w:t>I.I Requisitos previos.</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_Toc48216091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32</w:t>
            </w:r>
            <w:r w:rsidR="003764D0" w:rsidRPr="00B73666">
              <w:rPr>
                <w:rFonts w:ascii="Palatino Linotype" w:hAnsi="Palatino Linotype"/>
                <w:b/>
                <w:noProof/>
                <w:webHidden/>
                <w:sz w:val="22"/>
                <w:szCs w:val="22"/>
              </w:rPr>
              <w:fldChar w:fldCharType="end"/>
            </w:r>
          </w:hyperlink>
        </w:p>
        <w:p w14:paraId="28561707" w14:textId="7BEC2ED4"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2" w:history="1">
            <w:r w:rsidR="003764D0" w:rsidRPr="00B73666">
              <w:rPr>
                <w:rStyle w:val="Hipervnculo"/>
                <w:rFonts w:ascii="Palatino Linotype" w:eastAsia="MS Gothic" w:hAnsi="Palatino Linotype" w:cs="Times New Roman"/>
                <w:b/>
                <w:noProof/>
                <w:sz w:val="22"/>
                <w:szCs w:val="22"/>
              </w:rPr>
              <w:t>I.II Supuestos de clasificación.</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_Toc48216092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34</w:t>
            </w:r>
            <w:r w:rsidR="003764D0" w:rsidRPr="00B73666">
              <w:rPr>
                <w:rFonts w:ascii="Palatino Linotype" w:hAnsi="Palatino Linotype"/>
                <w:b/>
                <w:noProof/>
                <w:webHidden/>
                <w:sz w:val="22"/>
                <w:szCs w:val="22"/>
              </w:rPr>
              <w:fldChar w:fldCharType="end"/>
            </w:r>
          </w:hyperlink>
        </w:p>
        <w:p w14:paraId="09BE426F" w14:textId="188A6CB9"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3" w:history="1">
            <w:r w:rsidR="003764D0" w:rsidRPr="00B73666">
              <w:rPr>
                <w:rStyle w:val="Hipervnculo"/>
                <w:rFonts w:ascii="Palatino Linotype" w:eastAsia="MS Gothic" w:hAnsi="Palatino Linotype" w:cs="Times New Roman"/>
                <w:b/>
                <w:noProof/>
                <w:sz w:val="22"/>
                <w:szCs w:val="22"/>
              </w:rPr>
              <w:t>II. La intervención del Comité de Transparencia.</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_Toc48216093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37</w:t>
            </w:r>
            <w:r w:rsidR="003764D0" w:rsidRPr="00B73666">
              <w:rPr>
                <w:rFonts w:ascii="Palatino Linotype" w:hAnsi="Palatino Linotype"/>
                <w:b/>
                <w:noProof/>
                <w:webHidden/>
                <w:sz w:val="22"/>
                <w:szCs w:val="22"/>
              </w:rPr>
              <w:fldChar w:fldCharType="end"/>
            </w:r>
          </w:hyperlink>
        </w:p>
        <w:p w14:paraId="63075C76" w14:textId="03183573"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4" w:history="1">
            <w:r w:rsidR="003764D0" w:rsidRPr="00B73666">
              <w:rPr>
                <w:rStyle w:val="Hipervnculo"/>
                <w:rFonts w:ascii="Palatino Linotype" w:eastAsia="MS Gothic" w:hAnsi="Palatino Linotype" w:cs="Times New Roman"/>
                <w:b/>
                <w:noProof/>
                <w:sz w:val="22"/>
                <w:szCs w:val="22"/>
              </w:rPr>
              <w:t>II.I Formalidades para emitir el Acuerdo de Clasificación.</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_Toc48216094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37</w:t>
            </w:r>
            <w:r w:rsidR="003764D0" w:rsidRPr="00B73666">
              <w:rPr>
                <w:rFonts w:ascii="Palatino Linotype" w:hAnsi="Palatino Linotype"/>
                <w:b/>
                <w:noProof/>
                <w:webHidden/>
                <w:sz w:val="22"/>
                <w:szCs w:val="22"/>
              </w:rPr>
              <w:fldChar w:fldCharType="end"/>
            </w:r>
          </w:hyperlink>
        </w:p>
        <w:p w14:paraId="2C73074A" w14:textId="3D81EB93"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5" w:history="1">
            <w:r w:rsidR="003764D0" w:rsidRPr="00B73666">
              <w:rPr>
                <w:rStyle w:val="Hipervnculo"/>
                <w:rFonts w:ascii="Palatino Linotype" w:eastAsia="MS Gothic" w:hAnsi="Palatino Linotype" w:cs="Times New Roman"/>
                <w:b/>
                <w:noProof/>
                <w:sz w:val="22"/>
                <w:szCs w:val="22"/>
              </w:rPr>
              <w:t>III. Condiciones especiales de la clasificación de la información como reservada.</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_Toc48216095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42</w:t>
            </w:r>
            <w:r w:rsidR="003764D0" w:rsidRPr="00B73666">
              <w:rPr>
                <w:rFonts w:ascii="Palatino Linotype" w:hAnsi="Palatino Linotype"/>
                <w:b/>
                <w:noProof/>
                <w:webHidden/>
                <w:sz w:val="22"/>
                <w:szCs w:val="22"/>
              </w:rPr>
              <w:fldChar w:fldCharType="end"/>
            </w:r>
          </w:hyperlink>
        </w:p>
        <w:p w14:paraId="53EB755A" w14:textId="2D77A9E8"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6" w:history="1">
            <w:r w:rsidR="003764D0" w:rsidRPr="00B73666">
              <w:rPr>
                <w:rStyle w:val="Hipervnculo"/>
                <w:rFonts w:ascii="Palatino Linotype" w:eastAsia="MS Gothic" w:hAnsi="Palatino Linotype" w:cs="Times New Roman"/>
                <w:b/>
                <w:noProof/>
                <w:sz w:val="22"/>
                <w:szCs w:val="22"/>
              </w:rPr>
              <w:t>III.I La fundamentación específica.</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_Toc48216096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42</w:t>
            </w:r>
            <w:r w:rsidR="003764D0" w:rsidRPr="00B73666">
              <w:rPr>
                <w:rFonts w:ascii="Palatino Linotype" w:hAnsi="Palatino Linotype"/>
                <w:b/>
                <w:noProof/>
                <w:webHidden/>
                <w:sz w:val="22"/>
                <w:szCs w:val="22"/>
              </w:rPr>
              <w:fldChar w:fldCharType="end"/>
            </w:r>
          </w:hyperlink>
        </w:p>
        <w:p w14:paraId="0B01E4E0" w14:textId="2AF2B752"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7" w:history="1">
            <w:r w:rsidR="003764D0" w:rsidRPr="00B73666">
              <w:rPr>
                <w:rStyle w:val="Hipervnculo"/>
                <w:rFonts w:ascii="Palatino Linotype" w:eastAsia="MS Gothic" w:hAnsi="Palatino Linotype" w:cs="Times New Roman"/>
                <w:b/>
                <w:noProof/>
                <w:sz w:val="22"/>
                <w:szCs w:val="22"/>
              </w:rPr>
              <w:t>III.II La prueba de daño.</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_Toc48216097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43</w:t>
            </w:r>
            <w:r w:rsidR="003764D0" w:rsidRPr="00B73666">
              <w:rPr>
                <w:rFonts w:ascii="Palatino Linotype" w:hAnsi="Palatino Linotype"/>
                <w:b/>
                <w:noProof/>
                <w:webHidden/>
                <w:sz w:val="22"/>
                <w:szCs w:val="22"/>
              </w:rPr>
              <w:fldChar w:fldCharType="end"/>
            </w:r>
          </w:hyperlink>
        </w:p>
        <w:p w14:paraId="62B61D6B" w14:textId="1D7C4253"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8" w:history="1">
            <w:r w:rsidR="003764D0" w:rsidRPr="00B73666">
              <w:rPr>
                <w:rStyle w:val="Hipervnculo"/>
                <w:rFonts w:ascii="Palatino Linotype" w:eastAsia="MS Gothic" w:hAnsi="Palatino Linotype" w:cs="Times New Roman"/>
                <w:b/>
                <w:noProof/>
                <w:sz w:val="22"/>
                <w:szCs w:val="22"/>
              </w:rPr>
              <w:t>III.III La clasificación de la información reservada debe ser de manera temporal.</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_Toc48216098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46</w:t>
            </w:r>
            <w:r w:rsidR="003764D0" w:rsidRPr="00B73666">
              <w:rPr>
                <w:rFonts w:ascii="Palatino Linotype" w:hAnsi="Palatino Linotype"/>
                <w:b/>
                <w:noProof/>
                <w:webHidden/>
                <w:sz w:val="22"/>
                <w:szCs w:val="22"/>
              </w:rPr>
              <w:fldChar w:fldCharType="end"/>
            </w:r>
          </w:hyperlink>
        </w:p>
        <w:p w14:paraId="7F938CFA" w14:textId="4FCDFAA4" w:rsidR="003764D0" w:rsidRPr="00B73666" w:rsidRDefault="003576F9">
          <w:pPr>
            <w:pStyle w:val="TDC3"/>
            <w:tabs>
              <w:tab w:val="right" w:leader="dot" w:pos="8779"/>
            </w:tabs>
            <w:rPr>
              <w:rFonts w:ascii="Palatino Linotype" w:hAnsi="Palatino Linotype"/>
              <w:b/>
              <w:noProof/>
              <w:sz w:val="20"/>
              <w:szCs w:val="20"/>
              <w:lang w:val="es-MX" w:eastAsia="es-MX"/>
            </w:rPr>
          </w:pPr>
          <w:hyperlink w:anchor="_Toc48216099" w:history="1">
            <w:r w:rsidR="003764D0" w:rsidRPr="00B73666">
              <w:rPr>
                <w:rStyle w:val="Hipervnculo"/>
                <w:rFonts w:ascii="Palatino Linotype" w:eastAsia="MS Gothic" w:hAnsi="Palatino Linotype" w:cs="Times New Roman"/>
                <w:b/>
                <w:noProof/>
                <w:sz w:val="22"/>
                <w:szCs w:val="22"/>
              </w:rPr>
              <w:t>IV. Condiciones especiales de la clasificación de la información como confidencial.</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_Toc48216099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47</w:t>
            </w:r>
            <w:r w:rsidR="003764D0" w:rsidRPr="00B73666">
              <w:rPr>
                <w:rFonts w:ascii="Palatino Linotype" w:hAnsi="Palatino Linotype"/>
                <w:b/>
                <w:noProof/>
                <w:webHidden/>
                <w:sz w:val="22"/>
                <w:szCs w:val="22"/>
              </w:rPr>
              <w:fldChar w:fldCharType="end"/>
            </w:r>
          </w:hyperlink>
        </w:p>
        <w:p w14:paraId="5A943D5E" w14:textId="4964D88E" w:rsidR="003764D0" w:rsidRPr="00B73666" w:rsidRDefault="003576F9">
          <w:pPr>
            <w:pStyle w:val="TDC2"/>
            <w:rPr>
              <w:rFonts w:ascii="Palatino Linotype" w:hAnsi="Palatino Linotype"/>
              <w:b/>
              <w:noProof/>
              <w:sz w:val="20"/>
              <w:szCs w:val="20"/>
              <w:lang w:val="es-MX" w:eastAsia="es-MX"/>
            </w:rPr>
          </w:pPr>
          <w:hyperlink w:anchor="_Toc48216100" w:history="1">
            <w:r w:rsidR="003764D0" w:rsidRPr="00B73666">
              <w:rPr>
                <w:rStyle w:val="Hipervnculo"/>
                <w:rFonts w:ascii="Palatino Linotype" w:eastAsia="MS Gothic" w:hAnsi="Palatino Linotype" w:cs="Times New Roman"/>
                <w:b/>
                <w:noProof/>
                <w:sz w:val="22"/>
                <w:szCs w:val="22"/>
              </w:rPr>
              <w:t>SEXTO. Vista al Órgano de Control Interno.</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_Toc48216100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52</w:t>
            </w:r>
            <w:r w:rsidR="003764D0" w:rsidRPr="00B73666">
              <w:rPr>
                <w:rFonts w:ascii="Palatino Linotype" w:hAnsi="Palatino Linotype"/>
                <w:b/>
                <w:noProof/>
                <w:webHidden/>
                <w:sz w:val="22"/>
                <w:szCs w:val="22"/>
              </w:rPr>
              <w:fldChar w:fldCharType="end"/>
            </w:r>
          </w:hyperlink>
        </w:p>
        <w:p w14:paraId="04032461" w14:textId="4495AAAE" w:rsidR="003764D0" w:rsidRPr="00B73666" w:rsidRDefault="003576F9">
          <w:pPr>
            <w:pStyle w:val="TDC1"/>
            <w:tabs>
              <w:tab w:val="right" w:leader="dot" w:pos="8779"/>
            </w:tabs>
            <w:rPr>
              <w:rFonts w:ascii="Palatino Linotype" w:hAnsi="Palatino Linotype"/>
              <w:b/>
              <w:noProof/>
              <w:sz w:val="20"/>
              <w:szCs w:val="20"/>
              <w:lang w:val="es-MX" w:eastAsia="es-MX"/>
            </w:rPr>
          </w:pPr>
          <w:hyperlink w:anchor="_Toc48216101" w:history="1">
            <w:r w:rsidR="003764D0" w:rsidRPr="00B73666">
              <w:rPr>
                <w:rStyle w:val="Hipervnculo"/>
                <w:rFonts w:ascii="Palatino Linotype" w:hAnsi="Palatino Linotype"/>
                <w:b/>
                <w:noProof/>
                <w:sz w:val="22"/>
                <w:szCs w:val="22"/>
                <w:lang w:val="es-ES"/>
              </w:rPr>
              <w:t>R E S O L U T I V O S</w:t>
            </w:r>
            <w:r w:rsidR="003764D0" w:rsidRPr="00B73666">
              <w:rPr>
                <w:rFonts w:ascii="Palatino Linotype" w:hAnsi="Palatino Linotype"/>
                <w:b/>
                <w:noProof/>
                <w:webHidden/>
                <w:sz w:val="22"/>
                <w:szCs w:val="22"/>
              </w:rPr>
              <w:tab/>
            </w:r>
            <w:r w:rsidR="003764D0" w:rsidRPr="00B73666">
              <w:rPr>
                <w:rFonts w:ascii="Palatino Linotype" w:hAnsi="Palatino Linotype"/>
                <w:b/>
                <w:noProof/>
                <w:webHidden/>
                <w:sz w:val="22"/>
                <w:szCs w:val="22"/>
              </w:rPr>
              <w:fldChar w:fldCharType="begin"/>
            </w:r>
            <w:r w:rsidR="003764D0" w:rsidRPr="00B73666">
              <w:rPr>
                <w:rFonts w:ascii="Palatino Linotype" w:hAnsi="Palatino Linotype"/>
                <w:b/>
                <w:noProof/>
                <w:webHidden/>
                <w:sz w:val="22"/>
                <w:szCs w:val="22"/>
              </w:rPr>
              <w:instrText xml:space="preserve"> PAGEREF _Toc48216101 \h </w:instrText>
            </w:r>
            <w:r w:rsidR="003764D0" w:rsidRPr="00B73666">
              <w:rPr>
                <w:rFonts w:ascii="Palatino Linotype" w:hAnsi="Palatino Linotype"/>
                <w:b/>
                <w:noProof/>
                <w:webHidden/>
                <w:sz w:val="22"/>
                <w:szCs w:val="22"/>
              </w:rPr>
            </w:r>
            <w:r w:rsidR="003764D0" w:rsidRPr="00B73666">
              <w:rPr>
                <w:rFonts w:ascii="Palatino Linotype" w:hAnsi="Palatino Linotype"/>
                <w:b/>
                <w:noProof/>
                <w:webHidden/>
                <w:sz w:val="22"/>
                <w:szCs w:val="22"/>
              </w:rPr>
              <w:fldChar w:fldCharType="separate"/>
            </w:r>
            <w:r w:rsidR="008D30D2" w:rsidRPr="00B73666">
              <w:rPr>
                <w:rFonts w:ascii="Palatino Linotype" w:hAnsi="Palatino Linotype"/>
                <w:b/>
                <w:noProof/>
                <w:webHidden/>
                <w:sz w:val="22"/>
                <w:szCs w:val="22"/>
              </w:rPr>
              <w:t>57</w:t>
            </w:r>
            <w:r w:rsidR="003764D0" w:rsidRPr="00B73666">
              <w:rPr>
                <w:rFonts w:ascii="Palatino Linotype" w:hAnsi="Palatino Linotype"/>
                <w:b/>
                <w:noProof/>
                <w:webHidden/>
                <w:sz w:val="22"/>
                <w:szCs w:val="22"/>
              </w:rPr>
              <w:fldChar w:fldCharType="end"/>
            </w:r>
          </w:hyperlink>
        </w:p>
        <w:p w14:paraId="06B546A1" w14:textId="07975FEE" w:rsidR="00A55BA0" w:rsidRPr="00B73666" w:rsidRDefault="00A55BA0" w:rsidP="008C54C1">
          <w:pPr>
            <w:pStyle w:val="TDC1"/>
            <w:tabs>
              <w:tab w:val="right" w:leader="dot" w:pos="8779"/>
            </w:tabs>
            <w:rPr>
              <w:rFonts w:ascii="Palatino Linotype" w:hAnsi="Palatino Linotype"/>
              <w:b/>
              <w:sz w:val="22"/>
              <w:szCs w:val="22"/>
              <w:lang w:val="es-ES"/>
            </w:rPr>
          </w:pPr>
          <w:r w:rsidRPr="00B73666">
            <w:rPr>
              <w:rFonts w:ascii="Palatino Linotype" w:hAnsi="Palatino Linotype"/>
              <w:b/>
              <w:sz w:val="22"/>
              <w:szCs w:val="22"/>
              <w:lang w:val="es-ES"/>
            </w:rPr>
            <w:fldChar w:fldCharType="end"/>
          </w:r>
        </w:p>
      </w:sdtContent>
    </w:sdt>
    <w:p w14:paraId="736351FF" w14:textId="77777777" w:rsidR="006E5EF0" w:rsidRPr="00B73666" w:rsidRDefault="006E5EF0">
      <w:pPr>
        <w:spacing w:after="160" w:line="259" w:lineRule="auto"/>
        <w:rPr>
          <w:rFonts w:ascii="Palatino Linotype" w:hAnsi="Palatino Linotype"/>
        </w:rPr>
      </w:pPr>
      <w:r w:rsidRPr="00B73666">
        <w:rPr>
          <w:rFonts w:ascii="Palatino Linotype" w:hAnsi="Palatino Linotype"/>
        </w:rPr>
        <w:br w:type="page"/>
      </w:r>
    </w:p>
    <w:p w14:paraId="444D96BA" w14:textId="3D55EDC2" w:rsidR="00A55BA0" w:rsidRPr="00B73666" w:rsidRDefault="00A55BA0" w:rsidP="00A55BA0">
      <w:pPr>
        <w:spacing w:before="240" w:after="240" w:line="360" w:lineRule="auto"/>
        <w:jc w:val="both"/>
        <w:rPr>
          <w:rFonts w:ascii="Palatino Linotype" w:hAnsi="Palatino Linotype"/>
        </w:rPr>
      </w:pPr>
      <w:r w:rsidRPr="00B7366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B73666">
        <w:rPr>
          <w:rFonts w:ascii="Palatino Linotype" w:hAnsi="Palatino Linotype"/>
        </w:rPr>
        <w:t>fecha  veintiséis (26) de agosto de dos mil veinte</w:t>
      </w:r>
      <w:r w:rsidRPr="00B73666">
        <w:rPr>
          <w:rFonts w:ascii="Palatino Linotype" w:hAnsi="Palatino Linotype"/>
        </w:rPr>
        <w:t>.</w:t>
      </w:r>
    </w:p>
    <w:p w14:paraId="6F9C3768" w14:textId="0B2DC2D3" w:rsidR="00301B89" w:rsidRPr="00B73666" w:rsidRDefault="00301B89" w:rsidP="00301B89">
      <w:pPr>
        <w:spacing w:before="240" w:after="360" w:line="360" w:lineRule="auto"/>
        <w:jc w:val="both"/>
        <w:rPr>
          <w:rFonts w:ascii="Palatino Linotype" w:hAnsi="Palatino Linotype"/>
        </w:rPr>
      </w:pPr>
      <w:r w:rsidRPr="00B73666">
        <w:rPr>
          <w:rFonts w:ascii="Palatino Linotype" w:hAnsi="Palatino Linotype"/>
          <w:b/>
        </w:rPr>
        <w:t>VISTO</w:t>
      </w:r>
      <w:r w:rsidRPr="00B73666">
        <w:rPr>
          <w:rFonts w:ascii="Palatino Linotype" w:hAnsi="Palatino Linotype"/>
        </w:rPr>
        <w:t xml:space="preserve"> el expediente electrónico formado con motivo del recurso de revisión </w:t>
      </w:r>
      <w:r w:rsidR="00D114C0" w:rsidRPr="00B73666">
        <w:rPr>
          <w:rFonts w:ascii="Palatino Linotype" w:hAnsi="Palatino Linotype" w:cs="Arial"/>
          <w:b/>
          <w:bCs/>
        </w:rPr>
        <w:t>01058/INFOEM/IP/RR/2020</w:t>
      </w:r>
      <w:r w:rsidRPr="00B73666">
        <w:rPr>
          <w:rFonts w:ascii="Palatino Linotype" w:hAnsi="Palatino Linotype" w:cs="Arial"/>
          <w:b/>
          <w:bCs/>
        </w:rPr>
        <w:t xml:space="preserve">, </w:t>
      </w:r>
      <w:r w:rsidR="00FC0C18" w:rsidRPr="00B73666">
        <w:rPr>
          <w:rFonts w:ascii="Palatino Linotype" w:hAnsi="Palatino Linotype"/>
        </w:rPr>
        <w:t xml:space="preserve">promovido por </w:t>
      </w:r>
      <w:r w:rsidR="00D72878" w:rsidRPr="00D72878">
        <w:rPr>
          <w:rFonts w:ascii="Palatino Linotype" w:hAnsi="Palatino Linotype"/>
          <w:b/>
          <w:highlight w:val="black"/>
        </w:rPr>
        <w:t>****************</w:t>
      </w:r>
      <w:r w:rsidRPr="00B73666">
        <w:rPr>
          <w:rFonts w:ascii="Palatino Linotype" w:hAnsi="Palatino Linotype" w:cs="Arial"/>
        </w:rPr>
        <w:t xml:space="preserve">, en contra de la </w:t>
      </w:r>
      <w:r w:rsidR="008261FA">
        <w:rPr>
          <w:rFonts w:ascii="Palatino Linotype" w:hAnsi="Palatino Linotype" w:cs="Arial"/>
        </w:rPr>
        <w:t xml:space="preserve">falta de </w:t>
      </w:r>
      <w:r w:rsidRPr="00B73666">
        <w:rPr>
          <w:rFonts w:ascii="Palatino Linotype" w:hAnsi="Palatino Linotype" w:cs="Arial"/>
        </w:rPr>
        <w:t xml:space="preserve">respuesta del </w:t>
      </w:r>
      <w:r w:rsidR="00D114C0" w:rsidRPr="00B73666">
        <w:rPr>
          <w:rFonts w:ascii="Palatino Linotype" w:hAnsi="Palatino Linotype" w:cs="Arial"/>
          <w:b/>
        </w:rPr>
        <w:t xml:space="preserve">Ayuntamiento de </w:t>
      </w:r>
      <w:proofErr w:type="spellStart"/>
      <w:r w:rsidR="00D114C0" w:rsidRPr="00B73666">
        <w:rPr>
          <w:rFonts w:ascii="Palatino Linotype" w:hAnsi="Palatino Linotype" w:cs="Arial"/>
          <w:b/>
        </w:rPr>
        <w:t>Ocoyoacac</w:t>
      </w:r>
      <w:proofErr w:type="spellEnd"/>
      <w:r w:rsidRPr="00B73666">
        <w:rPr>
          <w:rFonts w:ascii="Palatino Linotype" w:hAnsi="Palatino Linotype" w:cs="Arial"/>
          <w:b/>
        </w:rPr>
        <w:t xml:space="preserve">, </w:t>
      </w:r>
      <w:r w:rsidRPr="00B73666">
        <w:rPr>
          <w:rFonts w:ascii="Palatino Linotype" w:hAnsi="Palatino Linotype"/>
        </w:rPr>
        <w:t>en lo sucesivo el</w:t>
      </w:r>
      <w:r w:rsidRPr="00B73666">
        <w:rPr>
          <w:rFonts w:ascii="Palatino Linotype" w:hAnsi="Palatino Linotype"/>
          <w:b/>
        </w:rPr>
        <w:t xml:space="preserve"> SUJETO OBLIGADO, </w:t>
      </w:r>
      <w:r w:rsidRPr="00B73666">
        <w:rPr>
          <w:rFonts w:ascii="Palatino Linotype" w:hAnsi="Palatino Linotype"/>
        </w:rPr>
        <w:t xml:space="preserve">se procede a dictar la presente resolución, con base en los siguientes: </w:t>
      </w:r>
    </w:p>
    <w:p w14:paraId="570688D1" w14:textId="77777777" w:rsidR="00A55BA0" w:rsidRPr="00B73666" w:rsidRDefault="00A55BA0" w:rsidP="00A55BA0">
      <w:pPr>
        <w:pStyle w:val="Ttulo1"/>
        <w:jc w:val="center"/>
        <w:rPr>
          <w:b w:val="0"/>
        </w:rPr>
      </w:pPr>
      <w:bookmarkStart w:id="0" w:name="_Toc48216079"/>
      <w:r w:rsidRPr="00B73666">
        <w:t>ANTECEDENTES</w:t>
      </w:r>
      <w:bookmarkEnd w:id="0"/>
    </w:p>
    <w:p w14:paraId="30BB9377" w14:textId="77777777" w:rsidR="006E5EF0" w:rsidRPr="00B73666" w:rsidRDefault="006E5EF0" w:rsidP="006E5EF0">
      <w:pPr>
        <w:pStyle w:val="Prrafodelista"/>
        <w:spacing w:before="240" w:after="240" w:line="360" w:lineRule="auto"/>
        <w:ind w:left="0"/>
        <w:jc w:val="both"/>
        <w:rPr>
          <w:rFonts w:ascii="Palatino Linotype" w:eastAsia="Calibri" w:hAnsi="Palatino Linotype" w:cs="Arial"/>
          <w:lang w:val="es-ES"/>
        </w:rPr>
      </w:pPr>
    </w:p>
    <w:p w14:paraId="27151865" w14:textId="340F18C6" w:rsidR="00A55BA0" w:rsidRPr="00B73666"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B73666">
        <w:rPr>
          <w:rFonts w:ascii="Palatino Linotype" w:eastAsia="Calibri" w:hAnsi="Palatino Linotype" w:cs="Arial"/>
          <w:lang w:val="es-ES"/>
        </w:rPr>
        <w:t>E</w:t>
      </w:r>
      <w:r w:rsidR="00A55BA0" w:rsidRPr="00B73666">
        <w:rPr>
          <w:rFonts w:ascii="Palatino Linotype" w:eastAsia="Calibri" w:hAnsi="Palatino Linotype" w:cs="Arial"/>
          <w:lang w:val="es-ES"/>
        </w:rPr>
        <w:t xml:space="preserve">l </w:t>
      </w:r>
      <w:r w:rsidR="00D114C0" w:rsidRPr="00B73666">
        <w:rPr>
          <w:rFonts w:ascii="Palatino Linotype" w:eastAsia="Calibri" w:hAnsi="Palatino Linotype" w:cs="Arial"/>
          <w:lang w:val="es-ES"/>
        </w:rPr>
        <w:t>veintitrés</w:t>
      </w:r>
      <w:r w:rsidR="00A55BA0" w:rsidRPr="00B73666">
        <w:rPr>
          <w:rFonts w:ascii="Palatino Linotype" w:eastAsia="Calibri" w:hAnsi="Palatino Linotype" w:cs="Arial"/>
          <w:lang w:val="es-ES"/>
        </w:rPr>
        <w:t xml:space="preserve"> (</w:t>
      </w:r>
      <w:r w:rsidR="00D114C0" w:rsidRPr="00B73666">
        <w:rPr>
          <w:rFonts w:ascii="Palatino Linotype" w:eastAsia="Calibri" w:hAnsi="Palatino Linotype" w:cs="Arial"/>
          <w:lang w:val="es-ES"/>
        </w:rPr>
        <w:t>23</w:t>
      </w:r>
      <w:r w:rsidR="009E411C" w:rsidRPr="00B73666">
        <w:rPr>
          <w:rFonts w:ascii="Palatino Linotype" w:eastAsia="Calibri" w:hAnsi="Palatino Linotype" w:cs="Arial"/>
          <w:lang w:val="es-ES"/>
        </w:rPr>
        <w:t>)</w:t>
      </w:r>
      <w:r w:rsidR="00A55BA0" w:rsidRPr="00B73666">
        <w:rPr>
          <w:rFonts w:ascii="Palatino Linotype" w:eastAsia="Calibri" w:hAnsi="Palatino Linotype" w:cs="Arial"/>
          <w:lang w:val="es-ES"/>
        </w:rPr>
        <w:t xml:space="preserve"> de </w:t>
      </w:r>
      <w:r w:rsidR="00D114C0" w:rsidRPr="00B73666">
        <w:rPr>
          <w:rFonts w:ascii="Palatino Linotype" w:eastAsia="Calibri" w:hAnsi="Palatino Linotype" w:cs="Arial"/>
          <w:lang w:val="es-ES"/>
        </w:rPr>
        <w:t>enero</w:t>
      </w:r>
      <w:r w:rsidR="0030660D" w:rsidRPr="00B73666">
        <w:rPr>
          <w:rFonts w:ascii="Palatino Linotype" w:eastAsia="Calibri" w:hAnsi="Palatino Linotype" w:cs="Arial"/>
          <w:lang w:val="es-ES"/>
        </w:rPr>
        <w:t xml:space="preserve"> d</w:t>
      </w:r>
      <w:r w:rsidR="00A55BA0" w:rsidRPr="00B73666">
        <w:rPr>
          <w:rFonts w:ascii="Palatino Linotype" w:eastAsia="Calibri" w:hAnsi="Palatino Linotype" w:cs="Arial"/>
          <w:lang w:val="es-ES"/>
        </w:rPr>
        <w:t xml:space="preserve">e dos mil </w:t>
      </w:r>
      <w:r w:rsidR="00D114C0" w:rsidRPr="00B73666">
        <w:rPr>
          <w:rFonts w:ascii="Palatino Linotype" w:eastAsia="Calibri" w:hAnsi="Palatino Linotype" w:cs="Arial"/>
          <w:lang w:val="es-ES"/>
        </w:rPr>
        <w:t>veinte</w:t>
      </w:r>
      <w:r w:rsidR="00A55BA0" w:rsidRPr="00B73666">
        <w:rPr>
          <w:rFonts w:ascii="Palatino Linotype" w:eastAsia="Calibri" w:hAnsi="Palatino Linotype" w:cs="Arial"/>
          <w:lang w:val="es-ES"/>
        </w:rPr>
        <w:t>,</w:t>
      </w:r>
      <w:r w:rsidR="00A55BA0" w:rsidRPr="00B73666">
        <w:rPr>
          <w:rFonts w:ascii="Palatino Linotype" w:eastAsia="Calibri" w:hAnsi="Palatino Linotype" w:cs="Times New Roman"/>
          <w:lang w:val="es-ES"/>
        </w:rPr>
        <w:t xml:space="preserve"> se</w:t>
      </w:r>
      <w:r w:rsidR="00A55BA0" w:rsidRPr="00B73666">
        <w:rPr>
          <w:rFonts w:ascii="Palatino Linotype" w:hAnsi="Palatino Linotype"/>
          <w:b/>
          <w:szCs w:val="22"/>
        </w:rPr>
        <w:t xml:space="preserve"> </w:t>
      </w:r>
      <w:r w:rsidR="00A55BA0" w:rsidRPr="00B73666">
        <w:rPr>
          <w:rFonts w:ascii="Palatino Linotype" w:hAnsi="Palatino Linotype"/>
          <w:szCs w:val="22"/>
        </w:rPr>
        <w:t xml:space="preserve">presentó </w:t>
      </w:r>
      <w:r w:rsidR="00A55BA0" w:rsidRPr="00B73666">
        <w:rPr>
          <w:rFonts w:ascii="Palatino Linotype" w:eastAsia="Calibri" w:hAnsi="Palatino Linotype" w:cs="Arial"/>
          <w:lang w:val="es-ES"/>
        </w:rPr>
        <w:t xml:space="preserve">ante el </w:t>
      </w:r>
      <w:r w:rsidR="00A55BA0" w:rsidRPr="00B73666">
        <w:rPr>
          <w:rFonts w:ascii="Palatino Linotype" w:eastAsia="Calibri" w:hAnsi="Palatino Linotype" w:cs="Arial"/>
          <w:b/>
          <w:lang w:val="es-ES"/>
        </w:rPr>
        <w:t>SUJETO OBLIGADO,</w:t>
      </w:r>
      <w:r w:rsidR="00A55BA0" w:rsidRPr="00B73666">
        <w:rPr>
          <w:rFonts w:ascii="Palatino Linotype" w:eastAsia="Calibri" w:hAnsi="Palatino Linotype" w:cs="Arial"/>
        </w:rPr>
        <w:t xml:space="preserve"> </w:t>
      </w:r>
      <w:r w:rsidR="005F6961" w:rsidRPr="00B73666">
        <w:rPr>
          <w:rFonts w:ascii="Palatino Linotype" w:eastAsia="Calibri" w:hAnsi="Palatino Linotype" w:cs="Arial"/>
        </w:rPr>
        <w:t>vía</w:t>
      </w:r>
      <w:r w:rsidR="00230CEB" w:rsidRPr="00B73666">
        <w:rPr>
          <w:rFonts w:ascii="Palatino Linotype" w:eastAsia="Calibri" w:hAnsi="Palatino Linotype" w:cs="Arial"/>
        </w:rPr>
        <w:t xml:space="preserve"> </w:t>
      </w:r>
      <w:r w:rsidR="00A55BA0" w:rsidRPr="00B73666">
        <w:rPr>
          <w:rFonts w:ascii="Palatino Linotype" w:eastAsia="Calibri" w:hAnsi="Palatino Linotype" w:cs="Arial"/>
          <w:lang w:val="es-ES"/>
        </w:rPr>
        <w:t>Sistema de Acceso a la Información Mexiquense (</w:t>
      </w:r>
      <w:r w:rsidR="00A55BA0" w:rsidRPr="00B73666">
        <w:rPr>
          <w:rFonts w:ascii="Palatino Linotype" w:eastAsia="Calibri" w:hAnsi="Palatino Linotype" w:cs="Arial"/>
          <w:b/>
          <w:i/>
          <w:lang w:val="es-ES"/>
        </w:rPr>
        <w:t>SAIMEX</w:t>
      </w:r>
      <w:r w:rsidR="00A55BA0" w:rsidRPr="00B73666">
        <w:rPr>
          <w:rFonts w:ascii="Palatino Linotype" w:eastAsia="Calibri" w:hAnsi="Palatino Linotype" w:cs="Arial"/>
          <w:lang w:val="es-ES"/>
        </w:rPr>
        <w:t xml:space="preserve">), la solicitud de información pública registrada con el número </w:t>
      </w:r>
      <w:r w:rsidR="00D114C0" w:rsidRPr="00B73666">
        <w:rPr>
          <w:rFonts w:ascii="Palatino Linotype" w:eastAsia="Times New Roman" w:hAnsi="Palatino Linotype" w:cs="Arial"/>
          <w:b/>
          <w:lang w:val="es-ES"/>
        </w:rPr>
        <w:t>00017/OCOYOAC/IP/2020</w:t>
      </w:r>
      <w:r w:rsidR="00A55BA0" w:rsidRPr="00B73666">
        <w:rPr>
          <w:rFonts w:ascii="Palatino Linotype" w:eastAsia="Calibri" w:hAnsi="Palatino Linotype" w:cs="Arial"/>
          <w:lang w:val="es-ES"/>
        </w:rPr>
        <w:t>, mediante la cual requirió</w:t>
      </w:r>
      <w:r w:rsidR="009F5CF5" w:rsidRPr="00B73666">
        <w:rPr>
          <w:rFonts w:ascii="Palatino Linotype" w:eastAsia="Calibri" w:hAnsi="Palatino Linotype" w:cs="Arial"/>
          <w:lang w:val="es-ES"/>
        </w:rPr>
        <w:t xml:space="preserve"> lo siguiente</w:t>
      </w:r>
      <w:r w:rsidR="00A55BA0" w:rsidRPr="00B73666">
        <w:rPr>
          <w:rFonts w:ascii="Palatino Linotype" w:eastAsia="Calibri" w:hAnsi="Palatino Linotype" w:cs="Arial"/>
          <w:lang w:val="es-ES"/>
        </w:rPr>
        <w:t>:</w:t>
      </w:r>
    </w:p>
    <w:p w14:paraId="6F559E33" w14:textId="2C4484FF" w:rsidR="00A55BA0" w:rsidRPr="00B73666" w:rsidRDefault="00A55BA0" w:rsidP="00763406">
      <w:pPr>
        <w:spacing w:line="360" w:lineRule="auto"/>
        <w:ind w:left="851" w:right="709"/>
        <w:jc w:val="both"/>
        <w:rPr>
          <w:rFonts w:ascii="Palatino Linotype" w:hAnsi="Palatino Linotype"/>
          <w:i/>
          <w:sz w:val="22"/>
          <w:szCs w:val="22"/>
        </w:rPr>
      </w:pPr>
      <w:r w:rsidRPr="00B73666">
        <w:rPr>
          <w:rFonts w:ascii="Palatino Linotype" w:eastAsia="Calibri" w:hAnsi="Palatino Linotype" w:cs="Times New Roman"/>
          <w:i/>
          <w:color w:val="000000"/>
          <w:sz w:val="22"/>
          <w:szCs w:val="22"/>
          <w:lang w:val="es-MX" w:eastAsia="en-US"/>
        </w:rPr>
        <w:t>“</w:t>
      </w:r>
      <w:r w:rsidR="00D114C0" w:rsidRPr="00B73666">
        <w:rPr>
          <w:rFonts w:ascii="Palatino Linotype" w:eastAsia="Times New Roman" w:hAnsi="Palatino Linotype" w:cs="Times New Roman"/>
          <w:i/>
          <w:sz w:val="22"/>
          <w:szCs w:val="22"/>
          <w:lang w:val="es-MX" w:eastAsia="es-MX"/>
        </w:rPr>
        <w:t>todas las actas celebradas por el comite de adquisiciones del año 2018, 2019 y 2020</w:t>
      </w:r>
      <w:r w:rsidRPr="00B73666">
        <w:rPr>
          <w:rFonts w:ascii="Palatino Linotype" w:hAnsi="Palatino Linotype"/>
          <w:i/>
          <w:sz w:val="22"/>
          <w:szCs w:val="22"/>
        </w:rPr>
        <w:t xml:space="preserve">” </w:t>
      </w:r>
      <w:r w:rsidRPr="00B73666">
        <w:rPr>
          <w:rFonts w:ascii="Palatino Linotype" w:hAnsi="Palatino Linotype"/>
          <w:sz w:val="22"/>
          <w:szCs w:val="22"/>
        </w:rPr>
        <w:t>(Sic)</w:t>
      </w:r>
      <w:r w:rsidR="00A46B18" w:rsidRPr="00B73666">
        <w:rPr>
          <w:rFonts w:ascii="Palatino Linotype" w:hAnsi="Palatino Linotype"/>
          <w:sz w:val="22"/>
          <w:szCs w:val="22"/>
        </w:rPr>
        <w:t>.</w:t>
      </w:r>
    </w:p>
    <w:p w14:paraId="42A2FD9E" w14:textId="77777777" w:rsidR="00763406" w:rsidRPr="00B73666"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73666">
        <w:rPr>
          <w:rFonts w:ascii="Palatino Linotype" w:eastAsia="Times New Roman" w:hAnsi="Palatino Linotype" w:cs="Arial"/>
          <w:lang w:val="es-ES"/>
        </w:rPr>
        <w:t>Señaló como modalidad de entrega de la información</w:t>
      </w:r>
      <w:r w:rsidR="0065533B" w:rsidRPr="00B73666">
        <w:rPr>
          <w:rFonts w:ascii="Palatino Linotype" w:eastAsia="Times New Roman" w:hAnsi="Palatino Linotype" w:cs="Arial"/>
          <w:lang w:val="es-ES"/>
        </w:rPr>
        <w:t xml:space="preserve"> </w:t>
      </w:r>
      <w:r w:rsidR="005F6961" w:rsidRPr="00B73666">
        <w:rPr>
          <w:rFonts w:ascii="Palatino Linotype" w:eastAsia="Times New Roman" w:hAnsi="Palatino Linotype" w:cs="Arial"/>
          <w:b/>
          <w:i/>
          <w:lang w:val="es-ES"/>
        </w:rPr>
        <w:t>a través del SAIMEX</w:t>
      </w:r>
      <w:r w:rsidR="0065533B" w:rsidRPr="00B73666">
        <w:rPr>
          <w:rFonts w:ascii="Palatino Linotype" w:eastAsia="Times New Roman" w:hAnsi="Palatino Linotype" w:cs="Arial"/>
          <w:lang w:val="es-ES"/>
        </w:rPr>
        <w:t>.</w:t>
      </w:r>
    </w:p>
    <w:p w14:paraId="5D244233" w14:textId="77777777" w:rsidR="007F5531" w:rsidRPr="00B73666" w:rsidRDefault="007F5531" w:rsidP="007F5531">
      <w:pPr>
        <w:pStyle w:val="Prrafodelista"/>
        <w:tabs>
          <w:tab w:val="left" w:pos="142"/>
          <w:tab w:val="left" w:pos="284"/>
        </w:tabs>
        <w:spacing w:before="240" w:after="240" w:line="360" w:lineRule="auto"/>
        <w:ind w:left="0"/>
        <w:jc w:val="both"/>
        <w:rPr>
          <w:rFonts w:ascii="Palatino Linotype" w:hAnsi="Palatino Linotype" w:cs="Arial"/>
          <w:iCs/>
        </w:rPr>
      </w:pPr>
    </w:p>
    <w:p w14:paraId="4D26A5D5" w14:textId="7C8D5F0F" w:rsidR="00D369A5" w:rsidRPr="00B73666" w:rsidRDefault="00F7379A"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73666">
        <w:rPr>
          <w:rFonts w:ascii="Palatino Linotype" w:hAnsi="Palatino Linotype" w:cs="Arial"/>
        </w:rPr>
        <w:t>E</w:t>
      </w:r>
      <w:r w:rsidR="00D369A5" w:rsidRPr="00B73666">
        <w:rPr>
          <w:rFonts w:ascii="Palatino Linotype" w:hAnsi="Palatino Linotype" w:cs="Arial"/>
        </w:rPr>
        <w:t xml:space="preserve">l </w:t>
      </w:r>
      <w:r w:rsidR="0006128A" w:rsidRPr="00B73666">
        <w:rPr>
          <w:rFonts w:ascii="Palatino Linotype" w:hAnsi="Palatino Linotype"/>
          <w:b/>
          <w:color w:val="000000"/>
          <w:szCs w:val="14"/>
          <w:lang w:val="es-MX"/>
        </w:rPr>
        <w:t>SUJETO OBLIGADO no dio respuesta a la solicitud de información</w:t>
      </w:r>
      <w:r w:rsidR="0006128A" w:rsidRPr="00B73666">
        <w:rPr>
          <w:rFonts w:ascii="Palatino Linotype" w:hAnsi="Palatino Linotype"/>
          <w:color w:val="000000"/>
          <w:szCs w:val="14"/>
          <w:lang w:val="es-MX"/>
        </w:rPr>
        <w:t>.</w:t>
      </w:r>
    </w:p>
    <w:p w14:paraId="5EB4B5C5" w14:textId="77777777" w:rsidR="00D369A5" w:rsidRPr="00B73666" w:rsidRDefault="00D369A5" w:rsidP="00763406">
      <w:pPr>
        <w:pStyle w:val="Prrafodelista"/>
        <w:tabs>
          <w:tab w:val="left" w:pos="142"/>
          <w:tab w:val="left" w:pos="284"/>
        </w:tabs>
        <w:spacing w:before="240" w:after="240" w:line="360" w:lineRule="auto"/>
        <w:ind w:left="0"/>
        <w:jc w:val="both"/>
        <w:rPr>
          <w:rFonts w:ascii="Palatino Linotype" w:hAnsi="Palatino Linotype" w:cs="Arial"/>
          <w:i/>
        </w:rPr>
      </w:pPr>
    </w:p>
    <w:p w14:paraId="58DFA5E9" w14:textId="7FAE6291" w:rsidR="00A55BA0" w:rsidRPr="00B73666" w:rsidRDefault="009F5CF5"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r w:rsidRPr="00B73666">
        <w:rPr>
          <w:rFonts w:ascii="Palatino Linotype" w:eastAsia="Calibri" w:hAnsi="Palatino Linotype" w:cs="Arial"/>
          <w:lang w:val="es-AR"/>
        </w:rPr>
        <w:lastRenderedPageBreak/>
        <w:t>D</w:t>
      </w:r>
      <w:r w:rsidR="00F44A85" w:rsidRPr="00B73666">
        <w:rPr>
          <w:rFonts w:ascii="Palatino Linotype" w:eastAsia="Calibri" w:hAnsi="Palatino Linotype" w:cs="Arial"/>
          <w:lang w:val="es-AR"/>
        </w:rPr>
        <w:t xml:space="preserve">erivado </w:t>
      </w:r>
      <w:bookmarkStart w:id="1" w:name="_Toc462307683"/>
      <w:bookmarkStart w:id="2" w:name="_Toc472427085"/>
      <w:bookmarkStart w:id="3" w:name="_Toc472500652"/>
      <w:r w:rsidRPr="00B73666">
        <w:rPr>
          <w:rFonts w:ascii="Palatino Linotype" w:eastAsia="Times New Roman" w:hAnsi="Palatino Linotype" w:cs="Arial"/>
          <w:lang w:val="es-ES"/>
        </w:rPr>
        <w:t xml:space="preserve">de la </w:t>
      </w:r>
      <w:r w:rsidR="00D114C0" w:rsidRPr="00B73666">
        <w:rPr>
          <w:rFonts w:ascii="Palatino Linotype" w:eastAsia="Times New Roman" w:hAnsi="Palatino Linotype" w:cs="Arial"/>
          <w:lang w:val="es-ES"/>
        </w:rPr>
        <w:t>falta de respuesta</w:t>
      </w:r>
      <w:r w:rsidR="0006128A" w:rsidRPr="00B73666">
        <w:rPr>
          <w:rFonts w:ascii="Palatino Linotype" w:eastAsia="Times New Roman" w:hAnsi="Palatino Linotype" w:cs="Arial"/>
          <w:lang w:val="es-ES"/>
        </w:rPr>
        <w:t xml:space="preserve"> por parte del </w:t>
      </w:r>
      <w:r w:rsidR="0006128A" w:rsidRPr="00B73666">
        <w:rPr>
          <w:rFonts w:ascii="Palatino Linotype" w:eastAsia="Times New Roman" w:hAnsi="Palatino Linotype" w:cs="Arial"/>
          <w:b/>
          <w:lang w:val="es-ES"/>
        </w:rPr>
        <w:t>SUJETO OBLIGADO</w:t>
      </w:r>
      <w:r w:rsidRPr="00B73666">
        <w:rPr>
          <w:rFonts w:ascii="Palatino Linotype" w:eastAsia="Times New Roman" w:hAnsi="Palatino Linotype" w:cs="Arial"/>
          <w:lang w:val="es-ES"/>
        </w:rPr>
        <w:t xml:space="preserve">, el </w:t>
      </w:r>
      <w:r w:rsidR="00D114C0" w:rsidRPr="00B73666">
        <w:rPr>
          <w:rFonts w:ascii="Palatino Linotype" w:eastAsia="Times New Roman" w:hAnsi="Palatino Linotype" w:cs="Arial"/>
          <w:lang w:val="es-ES"/>
        </w:rPr>
        <w:t>diecisiete</w:t>
      </w:r>
      <w:r w:rsidR="00122D83" w:rsidRPr="00B73666">
        <w:rPr>
          <w:rFonts w:ascii="Palatino Linotype" w:eastAsia="Times New Roman" w:hAnsi="Palatino Linotype" w:cs="Arial"/>
          <w:lang w:val="es-ES"/>
        </w:rPr>
        <w:t xml:space="preserve"> </w:t>
      </w:r>
      <w:r w:rsidRPr="00B73666">
        <w:rPr>
          <w:rFonts w:ascii="Palatino Linotype" w:eastAsia="Times New Roman" w:hAnsi="Palatino Linotype" w:cs="Arial"/>
          <w:lang w:val="es-ES"/>
        </w:rPr>
        <w:t>(</w:t>
      </w:r>
      <w:r w:rsidR="00D114C0" w:rsidRPr="00B73666">
        <w:rPr>
          <w:rFonts w:ascii="Palatino Linotype" w:eastAsia="Times New Roman" w:hAnsi="Palatino Linotype" w:cs="Arial"/>
          <w:lang w:val="es-ES"/>
        </w:rPr>
        <w:t>17</w:t>
      </w:r>
      <w:r w:rsidRPr="00B73666">
        <w:rPr>
          <w:rFonts w:ascii="Palatino Linotype" w:eastAsia="Times New Roman" w:hAnsi="Palatino Linotype" w:cs="Arial"/>
          <w:lang w:val="es-ES"/>
        </w:rPr>
        <w:t xml:space="preserve">) de </w:t>
      </w:r>
      <w:r w:rsidR="00D114C0" w:rsidRPr="00B73666">
        <w:rPr>
          <w:rFonts w:ascii="Palatino Linotype" w:eastAsia="Times New Roman" w:hAnsi="Palatino Linotype" w:cs="Arial"/>
          <w:lang w:val="es-ES"/>
        </w:rPr>
        <w:t>febrero</w:t>
      </w:r>
      <w:r w:rsidRPr="00B73666">
        <w:rPr>
          <w:rFonts w:ascii="Palatino Linotype" w:eastAsia="Times New Roman" w:hAnsi="Palatino Linotype" w:cs="Arial"/>
          <w:lang w:val="es-ES"/>
        </w:rPr>
        <w:t xml:space="preserve"> del dos mil </w:t>
      </w:r>
      <w:r w:rsidR="00D114C0" w:rsidRPr="00B73666">
        <w:rPr>
          <w:rFonts w:ascii="Palatino Linotype" w:eastAsia="Times New Roman" w:hAnsi="Palatino Linotype" w:cs="Arial"/>
          <w:lang w:val="es-ES"/>
        </w:rPr>
        <w:t>veinte</w:t>
      </w:r>
      <w:r w:rsidRPr="00B73666">
        <w:rPr>
          <w:rFonts w:ascii="Palatino Linotype" w:eastAsia="Times New Roman" w:hAnsi="Palatino Linotype" w:cs="Arial"/>
          <w:lang w:val="es-ES"/>
        </w:rPr>
        <w:t xml:space="preserve">, </w:t>
      </w:r>
      <w:r w:rsidR="00122D83" w:rsidRPr="00B73666">
        <w:rPr>
          <w:rFonts w:ascii="Palatino Linotype" w:eastAsia="Times New Roman" w:hAnsi="Palatino Linotype" w:cs="Arial"/>
          <w:lang w:val="es-ES"/>
        </w:rPr>
        <w:t>el</w:t>
      </w:r>
      <w:r w:rsidRPr="00B73666">
        <w:rPr>
          <w:rFonts w:ascii="Palatino Linotype" w:eastAsia="Times New Roman" w:hAnsi="Palatino Linotype" w:cs="Arial"/>
          <w:lang w:val="es-ES"/>
        </w:rPr>
        <w:t xml:space="preserve"> particular interpuso el recurso de revisión </w:t>
      </w:r>
      <w:r w:rsidR="00D114C0" w:rsidRPr="00B73666">
        <w:rPr>
          <w:rFonts w:ascii="Palatino Linotype" w:eastAsia="Calibri" w:hAnsi="Palatino Linotype" w:cs="Arial"/>
          <w:b/>
          <w:lang w:val="es-ES"/>
        </w:rPr>
        <w:t>01058/INFOEM/IP/RR/2020</w:t>
      </w:r>
      <w:r w:rsidRPr="00B73666">
        <w:rPr>
          <w:rFonts w:ascii="Palatino Linotype" w:eastAsia="Calibri" w:hAnsi="Palatino Linotype" w:cs="Arial"/>
          <w:b/>
          <w:lang w:val="es-ES"/>
        </w:rPr>
        <w:t>;</w:t>
      </w:r>
      <w:r w:rsidRPr="00B73666">
        <w:rPr>
          <w:rFonts w:ascii="Palatino Linotype" w:eastAsia="Times New Roman" w:hAnsi="Palatino Linotype" w:cs="Arial"/>
          <w:lang w:val="es-ES"/>
        </w:rPr>
        <w:t xml:space="preserve"> impugnación en la que refirió lo siguiente:</w:t>
      </w:r>
    </w:p>
    <w:p w14:paraId="16ECBC74" w14:textId="77777777" w:rsidR="005D791C" w:rsidRPr="00B73666" w:rsidRDefault="005D791C" w:rsidP="005D791C">
      <w:pPr>
        <w:pStyle w:val="Prrafodelista"/>
        <w:tabs>
          <w:tab w:val="left" w:pos="142"/>
          <w:tab w:val="left" w:pos="284"/>
        </w:tabs>
        <w:spacing w:before="240" w:after="240" w:line="360" w:lineRule="auto"/>
        <w:ind w:left="0"/>
        <w:jc w:val="both"/>
        <w:rPr>
          <w:rFonts w:ascii="Palatino Linotype" w:hAnsi="Palatino Linotype" w:cs="Arial"/>
          <w:sz w:val="22"/>
          <w:szCs w:val="22"/>
        </w:rPr>
      </w:pPr>
    </w:p>
    <w:bookmarkEnd w:id="1"/>
    <w:bookmarkEnd w:id="2"/>
    <w:bookmarkEnd w:id="3"/>
    <w:p w14:paraId="13067BB2" w14:textId="0E624C48" w:rsidR="006E5EF0" w:rsidRPr="00B73666"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B73666">
        <w:rPr>
          <w:rFonts w:ascii="Palatino Linotype" w:hAnsi="Palatino Linotype" w:cs="Arial"/>
          <w:b/>
          <w:szCs w:val="22"/>
        </w:rPr>
        <w:t>Acto impugnado:</w:t>
      </w:r>
      <w:r w:rsidRPr="00B73666">
        <w:rPr>
          <w:rFonts w:ascii="Palatino Linotype" w:hAnsi="Palatino Linotype" w:cs="Arial"/>
          <w:szCs w:val="22"/>
        </w:rPr>
        <w:t xml:space="preserve"> “</w:t>
      </w:r>
      <w:r w:rsidR="00D114C0" w:rsidRPr="00B73666">
        <w:rPr>
          <w:rFonts w:ascii="Palatino Linotype" w:hAnsi="Palatino Linotype" w:cs="Arial"/>
          <w:i/>
          <w:szCs w:val="22"/>
        </w:rPr>
        <w:t>NO ME ENTREGARON LA INFORMACIÓN SOLICITADA</w:t>
      </w:r>
      <w:r w:rsidRPr="00B73666">
        <w:rPr>
          <w:rFonts w:ascii="Palatino Linotype" w:hAnsi="Palatino Linotype" w:cs="Arial"/>
          <w:i/>
          <w:szCs w:val="22"/>
        </w:rPr>
        <w:t>”</w:t>
      </w:r>
      <w:r w:rsidR="005D791C" w:rsidRPr="00B73666">
        <w:rPr>
          <w:rFonts w:ascii="Palatino Linotype" w:hAnsi="Palatino Linotype" w:cs="Arial"/>
          <w:szCs w:val="22"/>
        </w:rPr>
        <w:t xml:space="preserve"> </w:t>
      </w:r>
      <w:r w:rsidRPr="00B73666">
        <w:rPr>
          <w:rFonts w:ascii="Palatino Linotype" w:hAnsi="Palatino Linotype" w:cs="Arial"/>
          <w:szCs w:val="22"/>
        </w:rPr>
        <w:t>(Sic).</w:t>
      </w:r>
    </w:p>
    <w:p w14:paraId="7AC40F10" w14:textId="77777777" w:rsidR="006E5EF0" w:rsidRPr="00B73666" w:rsidRDefault="006E5EF0" w:rsidP="005D791C">
      <w:pPr>
        <w:pStyle w:val="Prrafodelista"/>
        <w:tabs>
          <w:tab w:val="left" w:pos="142"/>
          <w:tab w:val="left" w:pos="284"/>
        </w:tabs>
        <w:spacing w:line="360" w:lineRule="auto"/>
        <w:ind w:left="567" w:right="567"/>
        <w:jc w:val="both"/>
        <w:rPr>
          <w:rFonts w:ascii="Palatino Linotype" w:hAnsi="Palatino Linotype" w:cs="Arial"/>
          <w:b/>
          <w:szCs w:val="22"/>
        </w:rPr>
      </w:pPr>
    </w:p>
    <w:p w14:paraId="4E82C9E1" w14:textId="0E2F9959" w:rsidR="006E5EF0" w:rsidRPr="00B73666"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B73666">
        <w:rPr>
          <w:rFonts w:ascii="Palatino Linotype" w:hAnsi="Palatino Linotype" w:cs="Arial"/>
          <w:b/>
          <w:szCs w:val="22"/>
        </w:rPr>
        <w:t>Razones o motivos de inconformidad:</w:t>
      </w:r>
      <w:r w:rsidRPr="00B73666">
        <w:rPr>
          <w:rFonts w:ascii="Palatino Linotype" w:hAnsi="Palatino Linotype" w:cs="Arial"/>
          <w:szCs w:val="22"/>
        </w:rPr>
        <w:t xml:space="preserve"> </w:t>
      </w:r>
      <w:r w:rsidRPr="00B73666">
        <w:rPr>
          <w:rFonts w:ascii="Palatino Linotype" w:hAnsi="Palatino Linotype" w:cs="Arial"/>
          <w:i/>
          <w:szCs w:val="22"/>
        </w:rPr>
        <w:t>“</w:t>
      </w:r>
      <w:r w:rsidR="00D114C0" w:rsidRPr="00B73666">
        <w:rPr>
          <w:rFonts w:ascii="Palatino Linotype" w:hAnsi="Palatino Linotype" w:cs="Arial"/>
          <w:i/>
          <w:szCs w:val="22"/>
        </w:rPr>
        <w:t>NO ME ENTREGARON LA INFORMACIÓN SOLICITADA</w:t>
      </w:r>
      <w:r w:rsidRPr="00B73666">
        <w:rPr>
          <w:rFonts w:ascii="Palatino Linotype" w:hAnsi="Palatino Linotype" w:cs="Arial"/>
          <w:i/>
          <w:szCs w:val="22"/>
        </w:rPr>
        <w:t>”</w:t>
      </w:r>
      <w:r w:rsidR="00591A27" w:rsidRPr="00B73666">
        <w:rPr>
          <w:rFonts w:ascii="Palatino Linotype" w:hAnsi="Palatino Linotype" w:cs="Arial"/>
          <w:i/>
          <w:szCs w:val="22"/>
        </w:rPr>
        <w:t xml:space="preserve"> </w:t>
      </w:r>
      <w:r w:rsidRPr="00B73666">
        <w:rPr>
          <w:rFonts w:ascii="Palatino Linotype" w:hAnsi="Palatino Linotype" w:cs="Arial"/>
          <w:szCs w:val="22"/>
        </w:rPr>
        <w:t>(Sic).</w:t>
      </w:r>
    </w:p>
    <w:p w14:paraId="0A879A54" w14:textId="77777777" w:rsidR="006E5EF0" w:rsidRPr="00B73666" w:rsidRDefault="006E5EF0" w:rsidP="00763406">
      <w:pPr>
        <w:pStyle w:val="Prrafodelista"/>
        <w:tabs>
          <w:tab w:val="left" w:pos="142"/>
          <w:tab w:val="left" w:pos="284"/>
        </w:tabs>
        <w:spacing w:line="360" w:lineRule="auto"/>
        <w:ind w:left="0" w:right="567"/>
        <w:jc w:val="both"/>
        <w:rPr>
          <w:rFonts w:ascii="Palatino Linotype" w:hAnsi="Palatino Linotype" w:cs="Arial"/>
          <w:sz w:val="22"/>
          <w:szCs w:val="22"/>
        </w:rPr>
      </w:pPr>
    </w:p>
    <w:p w14:paraId="0F3836F9" w14:textId="77777777" w:rsidR="00A55BA0" w:rsidRPr="00B73666"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B73666">
        <w:rPr>
          <w:rFonts w:ascii="Palatino Linotype" w:eastAsia="Times New Roman" w:hAnsi="Palatino Linotype" w:cs="Arial"/>
          <w:lang w:val="es-ES"/>
        </w:rPr>
        <w:t xml:space="preserve">Se registró el recurso de revisión bajo el número de expediente </w:t>
      </w:r>
      <w:r w:rsidRPr="00B73666">
        <w:rPr>
          <w:rFonts w:ascii="Palatino Linotype" w:hAnsi="Palatino Linotype" w:cs="Arial"/>
          <w:bCs/>
        </w:rPr>
        <w:t xml:space="preserve">al rubro indicado, asimismo con fundamento en lo dispuesto por el </w:t>
      </w:r>
      <w:r w:rsidRPr="00B73666">
        <w:rPr>
          <w:rFonts w:ascii="Palatino Linotype" w:eastAsia="Calibri" w:hAnsi="Palatino Linotype" w:cs="Arial"/>
          <w:lang w:val="es-ES"/>
        </w:rPr>
        <w:t xml:space="preserve">artículo 185 fracción I de la </w:t>
      </w:r>
      <w:r w:rsidRPr="00B73666">
        <w:rPr>
          <w:rFonts w:ascii="Palatino Linotype" w:eastAsia="Calibri" w:hAnsi="Palatino Linotype" w:cs="Arial"/>
          <w:b/>
          <w:lang w:val="es-ES"/>
        </w:rPr>
        <w:t xml:space="preserve">Ley de Transparencia y Acceso a la Información Pública del Estado de México y Municipios </w:t>
      </w:r>
      <w:r w:rsidRPr="00B73666">
        <w:rPr>
          <w:rFonts w:ascii="Palatino Linotype" w:eastAsia="Times New Roman" w:hAnsi="Palatino Linotype" w:cs="Arial"/>
          <w:lang w:val="es-ES"/>
        </w:rPr>
        <w:t xml:space="preserve">se turnó al </w:t>
      </w:r>
      <w:r w:rsidRPr="00B73666">
        <w:rPr>
          <w:rFonts w:ascii="Palatino Linotype" w:eastAsia="Times New Roman" w:hAnsi="Palatino Linotype" w:cs="Arial"/>
          <w:b/>
          <w:lang w:val="es-ES"/>
        </w:rPr>
        <w:t xml:space="preserve">Comisionado José Guadalupe Luna Hernández, </w:t>
      </w:r>
      <w:r w:rsidRPr="00B73666">
        <w:rPr>
          <w:rFonts w:ascii="Palatino Linotype" w:eastAsia="Times New Roman" w:hAnsi="Palatino Linotype" w:cs="Arial"/>
          <w:lang w:val="es-ES"/>
        </w:rPr>
        <w:t xml:space="preserve">con el objeto de </w:t>
      </w:r>
      <w:r w:rsidRPr="00B73666">
        <w:rPr>
          <w:rFonts w:ascii="Palatino Linotype" w:eastAsia="Times New Roman" w:hAnsi="Palatino Linotype" w:cs="Arial"/>
          <w:lang w:val="es-MX"/>
        </w:rPr>
        <w:t>su análisis.</w:t>
      </w:r>
    </w:p>
    <w:p w14:paraId="7AA1B99B" w14:textId="77777777" w:rsidR="00A55BA0" w:rsidRPr="00B73666" w:rsidRDefault="00A55BA0" w:rsidP="00763406">
      <w:pPr>
        <w:pStyle w:val="Prrafodelista"/>
        <w:tabs>
          <w:tab w:val="left" w:pos="142"/>
          <w:tab w:val="left" w:pos="284"/>
        </w:tabs>
        <w:ind w:left="0"/>
        <w:rPr>
          <w:rFonts w:ascii="Palatino Linotype" w:hAnsi="Palatino Linotype"/>
          <w:i/>
          <w:color w:val="000000"/>
          <w:sz w:val="22"/>
          <w:szCs w:val="22"/>
        </w:rPr>
      </w:pPr>
    </w:p>
    <w:p w14:paraId="295A76A1" w14:textId="1E98DEFE" w:rsidR="00A55BA0" w:rsidRPr="00B73666"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2"/>
          <w:szCs w:val="22"/>
        </w:rPr>
      </w:pPr>
      <w:r w:rsidRPr="00B73666">
        <w:rPr>
          <w:rFonts w:ascii="Palatino Linotype" w:eastAsia="Calibri" w:hAnsi="Palatino Linotype" w:cs="Arial"/>
          <w:lang w:val="es-ES"/>
        </w:rPr>
        <w:t>El Comisionado Ponente</w:t>
      </w:r>
      <w:r w:rsidR="00591A27" w:rsidRPr="00B73666">
        <w:rPr>
          <w:rFonts w:ascii="Palatino Linotype" w:eastAsia="Calibri" w:hAnsi="Palatino Linotype" w:cs="Arial"/>
          <w:lang w:val="es-ES"/>
        </w:rPr>
        <w:t>,</w:t>
      </w:r>
      <w:r w:rsidRPr="00B73666">
        <w:rPr>
          <w:rFonts w:ascii="Palatino Linotype" w:eastAsia="Calibri" w:hAnsi="Palatino Linotype" w:cs="Arial"/>
          <w:lang w:val="es-ES"/>
        </w:rPr>
        <w:t xml:space="preserve"> con fundamento en lo dispuesto por el artículo 185 fracción II de la ley de la materia, a través del acuerdo de admisión de </w:t>
      </w:r>
      <w:r w:rsidR="00D114C0" w:rsidRPr="00B73666">
        <w:rPr>
          <w:rFonts w:ascii="Palatino Linotype" w:eastAsia="Calibri" w:hAnsi="Palatino Linotype" w:cs="Arial"/>
          <w:lang w:val="es-ES"/>
        </w:rPr>
        <w:t>veintiuno</w:t>
      </w:r>
      <w:r w:rsidRPr="00B73666">
        <w:rPr>
          <w:rFonts w:ascii="Palatino Linotype" w:eastAsia="Calibri" w:hAnsi="Palatino Linotype" w:cs="Arial"/>
          <w:lang w:val="es-ES"/>
        </w:rPr>
        <w:t xml:space="preserve"> (</w:t>
      </w:r>
      <w:r w:rsidR="00D114C0" w:rsidRPr="00B73666">
        <w:rPr>
          <w:rFonts w:ascii="Palatino Linotype" w:eastAsia="Calibri" w:hAnsi="Palatino Linotype" w:cs="Arial"/>
          <w:lang w:val="es-ES"/>
        </w:rPr>
        <w:t>21</w:t>
      </w:r>
      <w:r w:rsidR="00D004ED" w:rsidRPr="00B73666">
        <w:rPr>
          <w:rFonts w:ascii="Palatino Linotype" w:eastAsia="Calibri" w:hAnsi="Palatino Linotype" w:cs="Arial"/>
          <w:lang w:val="es-ES"/>
        </w:rPr>
        <w:t xml:space="preserve">) de </w:t>
      </w:r>
      <w:r w:rsidR="00D114C0" w:rsidRPr="00B73666">
        <w:rPr>
          <w:rFonts w:ascii="Palatino Linotype" w:eastAsia="Calibri" w:hAnsi="Palatino Linotype" w:cs="Arial"/>
          <w:lang w:val="es-ES"/>
        </w:rPr>
        <w:t>febrero</w:t>
      </w:r>
      <w:r w:rsidR="00D004ED" w:rsidRPr="00B73666">
        <w:rPr>
          <w:rFonts w:ascii="Palatino Linotype" w:eastAsia="Calibri" w:hAnsi="Palatino Linotype" w:cs="Arial"/>
          <w:lang w:val="es-ES"/>
        </w:rPr>
        <w:t xml:space="preserve"> </w:t>
      </w:r>
      <w:r w:rsidR="00030E8B" w:rsidRPr="00B73666">
        <w:rPr>
          <w:rFonts w:ascii="Palatino Linotype" w:eastAsia="Calibri" w:hAnsi="Palatino Linotype" w:cs="Arial"/>
          <w:lang w:val="es-ES"/>
        </w:rPr>
        <w:t xml:space="preserve">de </w:t>
      </w:r>
      <w:r w:rsidRPr="00B73666">
        <w:rPr>
          <w:rFonts w:ascii="Palatino Linotype" w:eastAsia="Calibri" w:hAnsi="Palatino Linotype" w:cs="Arial"/>
          <w:lang w:val="es-ES"/>
        </w:rPr>
        <w:t xml:space="preserve">dos mil </w:t>
      </w:r>
      <w:r w:rsidR="00D114C0" w:rsidRPr="00B73666">
        <w:rPr>
          <w:rFonts w:ascii="Palatino Linotype" w:eastAsia="Calibri" w:hAnsi="Palatino Linotype" w:cs="Arial"/>
          <w:lang w:val="es-ES"/>
        </w:rPr>
        <w:t>veinte</w:t>
      </w:r>
      <w:r w:rsidRPr="00B73666">
        <w:rPr>
          <w:rFonts w:ascii="Palatino Linotype" w:eastAsia="Calibri" w:hAnsi="Palatino Linotype" w:cs="Arial"/>
          <w:lang w:val="es-ES"/>
        </w:rPr>
        <w:t xml:space="preserve">, puso a disposición de las partes el expediente electrónico </w:t>
      </w:r>
      <w:r w:rsidRPr="00B73666">
        <w:rPr>
          <w:rFonts w:ascii="Palatino Linotype" w:eastAsia="Calibri" w:hAnsi="Palatino Linotype" w:cs="Arial"/>
        </w:rPr>
        <w:t xml:space="preserve">vía </w:t>
      </w:r>
      <w:r w:rsidRPr="00B73666">
        <w:rPr>
          <w:rFonts w:ascii="Palatino Linotype" w:eastAsia="Calibri" w:hAnsi="Palatino Linotype" w:cs="Arial"/>
          <w:lang w:val="es-ES"/>
        </w:rPr>
        <w:t xml:space="preserve">Sistema de Acceso a la Información Mexiquense </w:t>
      </w:r>
      <w:r w:rsidRPr="00B73666">
        <w:rPr>
          <w:rFonts w:ascii="Palatino Linotype" w:eastAsia="Calibri" w:hAnsi="Palatino Linotype" w:cs="Arial"/>
          <w:b/>
          <w:i/>
          <w:lang w:val="es-ES"/>
        </w:rPr>
        <w:t>SAIMEX</w:t>
      </w:r>
      <w:r w:rsidRPr="00B73666">
        <w:rPr>
          <w:rFonts w:ascii="Palatino Linotype" w:eastAsia="Calibri" w:hAnsi="Palatino Linotype" w:cs="Arial"/>
          <w:b/>
          <w:lang w:val="es-ES"/>
        </w:rPr>
        <w:t xml:space="preserve"> </w:t>
      </w:r>
      <w:r w:rsidRPr="00B7366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73666">
        <w:rPr>
          <w:rFonts w:ascii="Palatino Linotype" w:eastAsia="Calibri" w:hAnsi="Palatino Linotype" w:cs="Arial"/>
          <w:b/>
          <w:lang w:val="es-ES"/>
        </w:rPr>
        <w:t>SUJETO OBLIGADO</w:t>
      </w:r>
      <w:r w:rsidRPr="00B73666">
        <w:rPr>
          <w:rFonts w:ascii="Palatino Linotype" w:eastAsia="Calibri" w:hAnsi="Palatino Linotype" w:cs="Arial"/>
          <w:lang w:val="es-ES"/>
        </w:rPr>
        <w:t xml:space="preserve"> presentar</w:t>
      </w:r>
      <w:r w:rsidR="00763406" w:rsidRPr="00B73666">
        <w:rPr>
          <w:rFonts w:ascii="Palatino Linotype" w:eastAsia="Calibri" w:hAnsi="Palatino Linotype" w:cs="Arial"/>
          <w:lang w:val="es-ES"/>
        </w:rPr>
        <w:t>a</w:t>
      </w:r>
      <w:r w:rsidRPr="00B73666">
        <w:rPr>
          <w:rFonts w:ascii="Palatino Linotype" w:eastAsia="Calibri" w:hAnsi="Palatino Linotype" w:cs="Arial"/>
          <w:lang w:val="es-ES"/>
        </w:rPr>
        <w:t xml:space="preserve"> el I</w:t>
      </w:r>
      <w:r w:rsidR="00763406" w:rsidRPr="00B73666">
        <w:rPr>
          <w:rFonts w:ascii="Palatino Linotype" w:eastAsia="Calibri" w:hAnsi="Palatino Linotype" w:cs="Arial"/>
          <w:lang w:val="es-ES"/>
        </w:rPr>
        <w:t>nforme Justificado procedente.</w:t>
      </w:r>
    </w:p>
    <w:p w14:paraId="0E85DA21" w14:textId="77777777" w:rsidR="0077177C" w:rsidRPr="00B73666" w:rsidRDefault="0077177C" w:rsidP="0077177C">
      <w:pPr>
        <w:pStyle w:val="Prrafodelista"/>
        <w:tabs>
          <w:tab w:val="left" w:pos="142"/>
          <w:tab w:val="left" w:pos="284"/>
        </w:tabs>
        <w:spacing w:before="240" w:after="240" w:line="360" w:lineRule="auto"/>
        <w:ind w:left="0"/>
        <w:jc w:val="both"/>
        <w:rPr>
          <w:rFonts w:ascii="Palatino Linotype" w:hAnsi="Palatino Linotype"/>
          <w:color w:val="000000"/>
          <w:sz w:val="22"/>
          <w:szCs w:val="22"/>
        </w:rPr>
      </w:pPr>
    </w:p>
    <w:p w14:paraId="400DDD15" w14:textId="5C6CE067" w:rsidR="00A66C2E" w:rsidRPr="00B73666" w:rsidRDefault="00D114C0" w:rsidP="00A66C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B73666">
        <w:rPr>
          <w:rFonts w:ascii="Palatino Linotype" w:eastAsia="Calibri" w:hAnsi="Palatino Linotype" w:cs="Arial"/>
          <w:lang w:val="es-ES"/>
        </w:rPr>
        <w:lastRenderedPageBreak/>
        <w:t xml:space="preserve">El </w:t>
      </w:r>
      <w:r w:rsidR="00180631" w:rsidRPr="00B73666">
        <w:rPr>
          <w:rFonts w:ascii="Palatino Linotype" w:eastAsia="Calibri" w:hAnsi="Palatino Linotype" w:cs="Arial"/>
          <w:color w:val="000000" w:themeColor="text1"/>
          <w:lang w:val="es-ES"/>
        </w:rPr>
        <w:t>cinco</w:t>
      </w:r>
      <w:r w:rsidRPr="00B73666">
        <w:rPr>
          <w:rFonts w:ascii="Palatino Linotype" w:eastAsia="Calibri" w:hAnsi="Palatino Linotype" w:cs="Arial"/>
          <w:color w:val="000000" w:themeColor="text1"/>
          <w:lang w:val="es-ES"/>
        </w:rPr>
        <w:t xml:space="preserve"> (</w:t>
      </w:r>
      <w:r w:rsidR="00180631" w:rsidRPr="00B73666">
        <w:rPr>
          <w:rFonts w:ascii="Palatino Linotype" w:eastAsia="Calibri" w:hAnsi="Palatino Linotype" w:cs="Arial"/>
          <w:color w:val="000000" w:themeColor="text1"/>
          <w:lang w:val="es-ES"/>
        </w:rPr>
        <w:t>05</w:t>
      </w:r>
      <w:r w:rsidRPr="00B73666">
        <w:rPr>
          <w:rFonts w:ascii="Palatino Linotype" w:eastAsia="Calibri" w:hAnsi="Palatino Linotype" w:cs="Arial"/>
          <w:color w:val="000000" w:themeColor="text1"/>
          <w:lang w:val="es-ES"/>
        </w:rPr>
        <w:t xml:space="preserve">) de </w:t>
      </w:r>
      <w:r w:rsidR="00180631" w:rsidRPr="00B73666">
        <w:rPr>
          <w:rFonts w:ascii="Palatino Linotype" w:eastAsia="Calibri" w:hAnsi="Palatino Linotype" w:cs="Arial"/>
          <w:color w:val="000000" w:themeColor="text1"/>
          <w:lang w:val="es-ES"/>
        </w:rPr>
        <w:t>marzo</w:t>
      </w:r>
      <w:r w:rsidRPr="00B73666">
        <w:rPr>
          <w:rFonts w:ascii="Palatino Linotype" w:eastAsia="Calibri" w:hAnsi="Palatino Linotype" w:cs="Arial"/>
          <w:color w:val="000000" w:themeColor="text1"/>
          <w:lang w:val="es-ES"/>
        </w:rPr>
        <w:t xml:space="preserve"> de dos mil veinte, el </w:t>
      </w:r>
      <w:r w:rsidRPr="00B73666">
        <w:rPr>
          <w:rFonts w:ascii="Palatino Linotype" w:eastAsia="Calibri" w:hAnsi="Palatino Linotype" w:cs="Arial"/>
          <w:b/>
          <w:bCs/>
          <w:color w:val="000000" w:themeColor="text1"/>
          <w:lang w:val="es-ES"/>
        </w:rPr>
        <w:t>SUJETO OBLIGADO</w:t>
      </w:r>
      <w:r w:rsidRPr="00B73666">
        <w:rPr>
          <w:rFonts w:ascii="Palatino Linotype" w:eastAsia="Calibri" w:hAnsi="Palatino Linotype" w:cs="Arial"/>
          <w:color w:val="000000" w:themeColor="text1"/>
          <w:lang w:val="es-ES"/>
        </w:rPr>
        <w:t xml:space="preserve"> presentó su Informe Justificado mediante el archivo electrónico descrito a continuación:</w:t>
      </w:r>
    </w:p>
    <w:p w14:paraId="04ED56A6" w14:textId="5CB93F0C" w:rsidR="00D114C0" w:rsidRPr="00B73666" w:rsidRDefault="00D114C0" w:rsidP="00D114C0">
      <w:pPr>
        <w:pStyle w:val="Prrafodelista"/>
        <w:numPr>
          <w:ilvl w:val="1"/>
          <w:numId w:val="2"/>
        </w:numPr>
        <w:tabs>
          <w:tab w:val="left" w:pos="142"/>
          <w:tab w:val="left" w:pos="284"/>
          <w:tab w:val="left" w:pos="1134"/>
        </w:tabs>
        <w:spacing w:before="240" w:after="240" w:line="360" w:lineRule="auto"/>
        <w:ind w:left="567" w:firstLine="0"/>
        <w:jc w:val="both"/>
        <w:rPr>
          <w:rFonts w:ascii="Palatino Linotype" w:eastAsia="Calibri" w:hAnsi="Palatino Linotype" w:cs="Arial"/>
          <w:lang w:val="es-ES"/>
        </w:rPr>
      </w:pPr>
      <w:r w:rsidRPr="00B73666">
        <w:rPr>
          <w:rFonts w:ascii="Palatino Linotype" w:eastAsia="Calibri" w:hAnsi="Palatino Linotype" w:cs="Arial"/>
          <w:b/>
          <w:bCs/>
          <w:i/>
          <w:iCs/>
          <w:lang w:val="es-ES"/>
        </w:rPr>
        <w:t>“comité de adquisiciones y servicios 2019.pdf”</w:t>
      </w:r>
      <w:r w:rsidRPr="00B73666">
        <w:rPr>
          <w:rFonts w:ascii="Palatino Linotype" w:eastAsia="Calibri" w:hAnsi="Palatino Linotype" w:cs="Arial"/>
          <w:lang w:val="es-ES"/>
        </w:rPr>
        <w:t xml:space="preserve">: Documento constante de 217 fojas que </w:t>
      </w:r>
      <w:r w:rsidR="00A00D57" w:rsidRPr="00B73666">
        <w:rPr>
          <w:rFonts w:ascii="Palatino Linotype" w:eastAsia="Calibri" w:hAnsi="Palatino Linotype" w:cs="Arial"/>
          <w:lang w:val="es-ES"/>
        </w:rPr>
        <w:t xml:space="preserve">muestra diversas Actas de Sesiones celebradas por el Comité de Adquisiciones y Servicios del Ayuntamiento de </w:t>
      </w:r>
      <w:proofErr w:type="spellStart"/>
      <w:r w:rsidR="00A00D57" w:rsidRPr="00B73666">
        <w:rPr>
          <w:rFonts w:ascii="Palatino Linotype" w:eastAsia="Calibri" w:hAnsi="Palatino Linotype" w:cs="Arial"/>
          <w:lang w:val="es-ES"/>
        </w:rPr>
        <w:t>Ocoyoacac</w:t>
      </w:r>
      <w:proofErr w:type="spellEnd"/>
      <w:r w:rsidR="00A00D57" w:rsidRPr="00B73666">
        <w:rPr>
          <w:rFonts w:ascii="Palatino Linotype" w:eastAsia="Calibri" w:hAnsi="Palatino Linotype" w:cs="Arial"/>
          <w:lang w:val="es-ES"/>
        </w:rPr>
        <w:t xml:space="preserve"> durante el dos mil diecinueve.</w:t>
      </w:r>
    </w:p>
    <w:p w14:paraId="0937E823" w14:textId="77777777" w:rsidR="00CC011C" w:rsidRPr="00B73666" w:rsidRDefault="00CC011C" w:rsidP="00A66C2E">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14:paraId="21868C48" w14:textId="63F709F2" w:rsidR="00D114C0" w:rsidRPr="00B73666" w:rsidRDefault="00D114C0" w:rsidP="00134368">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B73666">
        <w:rPr>
          <w:rFonts w:ascii="Palatino Linotype" w:eastAsia="Calibri" w:hAnsi="Palatino Linotype" w:cs="Arial"/>
          <w:lang w:val="es-ES"/>
        </w:rPr>
        <w:t xml:space="preserve">Del </w:t>
      </w:r>
      <w:r w:rsidRPr="00B73666">
        <w:rPr>
          <w:rFonts w:ascii="Palatino Linotype" w:hAnsi="Palatino Linotype"/>
          <w:color w:val="000000" w:themeColor="text1"/>
        </w:rPr>
        <w:t xml:space="preserve">análisis realizado </w:t>
      </w:r>
      <w:r w:rsidR="00A00D57" w:rsidRPr="00B73666">
        <w:rPr>
          <w:rFonts w:ascii="Palatino Linotype" w:hAnsi="Palatino Linotype"/>
          <w:color w:val="000000" w:themeColor="text1"/>
        </w:rPr>
        <w:t>al</w:t>
      </w:r>
      <w:r w:rsidRPr="00B73666">
        <w:rPr>
          <w:rFonts w:ascii="Palatino Linotype" w:hAnsi="Palatino Linotype"/>
          <w:color w:val="000000" w:themeColor="text1"/>
        </w:rPr>
        <w:t xml:space="preserve"> archivo entregado por el </w:t>
      </w:r>
      <w:r w:rsidRPr="00B73666">
        <w:rPr>
          <w:rFonts w:ascii="Palatino Linotype" w:hAnsi="Palatino Linotype"/>
          <w:b/>
          <w:bCs/>
          <w:color w:val="000000" w:themeColor="text1"/>
        </w:rPr>
        <w:t>SUJETO OBLIGADO</w:t>
      </w:r>
      <w:r w:rsidRPr="00B73666">
        <w:rPr>
          <w:rFonts w:ascii="Palatino Linotype" w:hAnsi="Palatino Linotype"/>
          <w:color w:val="000000" w:themeColor="text1"/>
        </w:rPr>
        <w:t xml:space="preserve"> en el apartado de </w:t>
      </w:r>
      <w:r w:rsidRPr="00B73666">
        <w:rPr>
          <w:rFonts w:ascii="Palatino Linotype" w:hAnsi="Palatino Linotype"/>
          <w:i/>
          <w:iCs/>
          <w:color w:val="000000" w:themeColor="text1"/>
        </w:rPr>
        <w:t>Manifestaciones</w:t>
      </w:r>
      <w:r w:rsidRPr="00B73666">
        <w:rPr>
          <w:rFonts w:ascii="Palatino Linotype" w:hAnsi="Palatino Linotype"/>
          <w:color w:val="000000" w:themeColor="text1"/>
        </w:rPr>
        <w:t xml:space="preserve"> del </w:t>
      </w:r>
      <w:r w:rsidRPr="00B73666">
        <w:rPr>
          <w:rFonts w:ascii="Palatino Linotype" w:hAnsi="Palatino Linotype"/>
          <w:b/>
          <w:bCs/>
          <w:color w:val="000000" w:themeColor="text1"/>
        </w:rPr>
        <w:t>SAIMEX</w:t>
      </w:r>
      <w:r w:rsidRPr="00B73666">
        <w:rPr>
          <w:rFonts w:ascii="Palatino Linotype" w:hAnsi="Palatino Linotype"/>
          <w:color w:val="000000" w:themeColor="text1"/>
        </w:rPr>
        <w:t xml:space="preserve">, la Ponencia </w:t>
      </w:r>
      <w:proofErr w:type="spellStart"/>
      <w:r w:rsidRPr="00B73666">
        <w:rPr>
          <w:rFonts w:ascii="Palatino Linotype" w:hAnsi="Palatino Linotype"/>
          <w:color w:val="000000" w:themeColor="text1"/>
        </w:rPr>
        <w:t>Resolutora</w:t>
      </w:r>
      <w:proofErr w:type="spellEnd"/>
      <w:r w:rsidRPr="00B73666">
        <w:rPr>
          <w:rFonts w:ascii="Palatino Linotype" w:hAnsi="Palatino Linotype"/>
          <w:color w:val="000000" w:themeColor="text1"/>
        </w:rPr>
        <w:t xml:space="preserve"> concluyó que </w:t>
      </w:r>
      <w:r w:rsidR="00A00D57" w:rsidRPr="00B73666">
        <w:rPr>
          <w:rFonts w:ascii="Palatino Linotype" w:hAnsi="Palatino Linotype"/>
          <w:color w:val="000000" w:themeColor="text1"/>
        </w:rPr>
        <w:t>éste</w:t>
      </w:r>
      <w:r w:rsidRPr="00B73666">
        <w:rPr>
          <w:rFonts w:ascii="Palatino Linotype" w:hAnsi="Palatino Linotype"/>
          <w:color w:val="000000" w:themeColor="text1"/>
        </w:rPr>
        <w:t xml:space="preserve"> contenía información novedosa y de interés para el </w:t>
      </w:r>
      <w:r w:rsidRPr="00B73666">
        <w:rPr>
          <w:rFonts w:ascii="Palatino Linotype" w:hAnsi="Palatino Linotype"/>
          <w:b/>
          <w:bCs/>
          <w:color w:val="000000" w:themeColor="text1"/>
        </w:rPr>
        <w:t>RECURRENTE</w:t>
      </w:r>
      <w:r w:rsidRPr="00B73666">
        <w:rPr>
          <w:rFonts w:ascii="Palatino Linotype" w:hAnsi="Palatino Linotype"/>
          <w:color w:val="000000" w:themeColor="text1"/>
        </w:rPr>
        <w:t xml:space="preserve">, por lo que </w:t>
      </w:r>
      <w:r w:rsidR="00A00D57" w:rsidRPr="00B73666">
        <w:rPr>
          <w:rFonts w:ascii="Palatino Linotype" w:hAnsi="Palatino Linotype"/>
          <w:color w:val="000000" w:themeColor="text1"/>
        </w:rPr>
        <w:t>fue</w:t>
      </w:r>
      <w:r w:rsidRPr="00B73666">
        <w:rPr>
          <w:rFonts w:ascii="Palatino Linotype" w:hAnsi="Palatino Linotype"/>
          <w:color w:val="000000" w:themeColor="text1"/>
        </w:rPr>
        <w:t xml:space="preserve"> puesto a la vista del particular el </w:t>
      </w:r>
      <w:r w:rsidR="00180631" w:rsidRPr="00B73666">
        <w:rPr>
          <w:rFonts w:ascii="Palatino Linotype" w:hAnsi="Palatino Linotype"/>
          <w:color w:val="000000" w:themeColor="text1"/>
        </w:rPr>
        <w:t>cuatro</w:t>
      </w:r>
      <w:r w:rsidRPr="00B73666">
        <w:rPr>
          <w:rFonts w:ascii="Palatino Linotype" w:hAnsi="Palatino Linotype"/>
          <w:color w:val="000000" w:themeColor="text1"/>
        </w:rPr>
        <w:t xml:space="preserve"> (</w:t>
      </w:r>
      <w:r w:rsidR="00180631" w:rsidRPr="00B73666">
        <w:rPr>
          <w:rFonts w:ascii="Palatino Linotype" w:hAnsi="Palatino Linotype"/>
          <w:color w:val="000000" w:themeColor="text1"/>
        </w:rPr>
        <w:t>04</w:t>
      </w:r>
      <w:r w:rsidRPr="00B73666">
        <w:rPr>
          <w:rFonts w:ascii="Palatino Linotype" w:hAnsi="Palatino Linotype"/>
          <w:color w:val="000000" w:themeColor="text1"/>
        </w:rPr>
        <w:t xml:space="preserve">) de </w:t>
      </w:r>
      <w:r w:rsidR="00180631" w:rsidRPr="00B73666">
        <w:rPr>
          <w:rFonts w:ascii="Palatino Linotype" w:hAnsi="Palatino Linotype"/>
          <w:color w:val="000000" w:themeColor="text1"/>
        </w:rPr>
        <w:t>agosto</w:t>
      </w:r>
      <w:r w:rsidRPr="00B73666">
        <w:rPr>
          <w:rFonts w:ascii="Palatino Linotype" w:hAnsi="Palatino Linotype"/>
          <w:color w:val="000000" w:themeColor="text1"/>
        </w:rPr>
        <w:t xml:space="preserve"> de dos mil veinte, concediéndole un plazo de tres (03) días para que manifestara lo que a su derecho conviniera, de conformidad con el artículo 185, fracción III, de la Ley de Transparencia y Acceso a la Información Pública del Estado de México y Municipios. Empero, se hace constar que el </w:t>
      </w:r>
      <w:r w:rsidRPr="00B73666">
        <w:rPr>
          <w:rFonts w:ascii="Palatino Linotype" w:hAnsi="Palatino Linotype"/>
          <w:b/>
          <w:bCs/>
          <w:color w:val="000000" w:themeColor="text1"/>
        </w:rPr>
        <w:t>RECURRENTE</w:t>
      </w:r>
      <w:r w:rsidRPr="00B73666">
        <w:rPr>
          <w:rFonts w:ascii="Palatino Linotype" w:hAnsi="Palatino Linotype"/>
          <w:color w:val="000000" w:themeColor="text1"/>
        </w:rPr>
        <w:t xml:space="preserve"> no ejerció su derecho de réplica sobre los nuevos contenidos.</w:t>
      </w:r>
    </w:p>
    <w:p w14:paraId="2B4B99B2" w14:textId="77777777" w:rsidR="00D114C0" w:rsidRPr="00B73666" w:rsidRDefault="00D114C0" w:rsidP="00D114C0">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14:paraId="28A83C67" w14:textId="3110C8A6" w:rsidR="00841C0E" w:rsidRPr="00B73666" w:rsidRDefault="00180631" w:rsidP="008159F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B73666">
        <w:rPr>
          <w:rFonts w:ascii="Palatino Linotype" w:hAnsi="Palatino Linotype"/>
        </w:rPr>
        <w:t>El</w:t>
      </w:r>
      <w:r w:rsidR="00707855" w:rsidRPr="00B73666">
        <w:rPr>
          <w:rFonts w:ascii="Palatino Linotype" w:hAnsi="Palatino Linotype"/>
        </w:rPr>
        <w:t xml:space="preserve"> </w:t>
      </w:r>
      <w:r w:rsidR="008159F7" w:rsidRPr="00B73666">
        <w:rPr>
          <w:rFonts w:ascii="Palatino Linotype" w:hAnsi="Palatino Linotype"/>
        </w:rPr>
        <w:t>Comisionado Ponente decretó el cierre de instrucción</w:t>
      </w:r>
      <w:r w:rsidR="008159F7" w:rsidRPr="00B73666">
        <w:rPr>
          <w:rFonts w:ascii="Palatino Linotype" w:hAnsi="Palatino Linotype" w:cs="Arial"/>
        </w:rPr>
        <w:t xml:space="preserve"> del recurso de revisión de referencia </w:t>
      </w:r>
      <w:r w:rsidR="008159F7" w:rsidRPr="00B73666">
        <w:rPr>
          <w:rFonts w:ascii="Palatino Linotype" w:hAnsi="Palatino Linotype"/>
        </w:rPr>
        <w:t xml:space="preserve">mediante acuerdo de once (11) de agosto de dos mil veinte. Posteriormente, el trece (13) de agosto de la misma anualidad, se amplió el plazo de treinta (30) días para resolver el recurso de revisión, </w:t>
      </w:r>
      <w:r w:rsidR="008159F7" w:rsidRPr="00B73666">
        <w:rPr>
          <w:rFonts w:ascii="Palatino Linotype" w:hAnsi="Palatino Linotype" w:cs="Arial"/>
        </w:rPr>
        <w:t>por lo que ordenó turnar el expediente a resolución, misma que ahora se pronuncia; y---------------------------------</w:t>
      </w:r>
    </w:p>
    <w:p w14:paraId="0AEC072F" w14:textId="77777777" w:rsidR="008159F7" w:rsidRPr="00B73666" w:rsidRDefault="008159F7" w:rsidP="008159F7">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14:paraId="019C70C5" w14:textId="699EE704" w:rsidR="00180631" w:rsidRPr="00B73666" w:rsidRDefault="00180631">
      <w:pPr>
        <w:spacing w:after="160" w:line="259" w:lineRule="auto"/>
        <w:rPr>
          <w:rFonts w:ascii="Palatino Linotype" w:hAnsi="Palatino Linotype"/>
          <w:noProof/>
          <w:lang w:val="es-MX" w:eastAsia="es-MX"/>
        </w:rPr>
      </w:pPr>
    </w:p>
    <w:p w14:paraId="1011802A" w14:textId="77777777" w:rsidR="00180631" w:rsidRPr="00B73666" w:rsidRDefault="00180631">
      <w:pPr>
        <w:spacing w:after="160" w:line="259" w:lineRule="auto"/>
        <w:rPr>
          <w:rFonts w:ascii="Palatino Linotype" w:hAnsi="Palatino Linotype"/>
          <w:noProof/>
          <w:lang w:val="es-MX" w:eastAsia="es-MX"/>
        </w:rPr>
      </w:pPr>
    </w:p>
    <w:p w14:paraId="5922011A" w14:textId="77777777" w:rsidR="00A55BA0" w:rsidRPr="00B73666" w:rsidRDefault="00A55BA0" w:rsidP="00763406">
      <w:pPr>
        <w:pStyle w:val="Ttulo1"/>
        <w:tabs>
          <w:tab w:val="left" w:pos="142"/>
          <w:tab w:val="left" w:pos="284"/>
        </w:tabs>
        <w:jc w:val="center"/>
        <w:rPr>
          <w:szCs w:val="24"/>
        </w:rPr>
      </w:pPr>
      <w:bookmarkStart w:id="4" w:name="_Toc48216080"/>
      <w:r w:rsidRPr="00B73666">
        <w:rPr>
          <w:szCs w:val="24"/>
        </w:rPr>
        <w:t>CONSIDERANDO</w:t>
      </w:r>
      <w:bookmarkEnd w:id="4"/>
    </w:p>
    <w:p w14:paraId="089127D4" w14:textId="77777777" w:rsidR="00A55BA0" w:rsidRPr="00B73666" w:rsidRDefault="00A55BA0" w:rsidP="00763406">
      <w:pPr>
        <w:tabs>
          <w:tab w:val="left" w:pos="142"/>
          <w:tab w:val="left" w:pos="284"/>
        </w:tabs>
        <w:rPr>
          <w:rFonts w:ascii="Palatino Linotype" w:hAnsi="Palatino Linotype"/>
          <w:lang w:val="es-MX" w:eastAsia="en-US"/>
        </w:rPr>
      </w:pPr>
    </w:p>
    <w:p w14:paraId="43B19A46" w14:textId="77777777" w:rsidR="00A55BA0" w:rsidRPr="00B73666" w:rsidRDefault="00A55BA0" w:rsidP="00763406">
      <w:pPr>
        <w:pStyle w:val="Ttulo2"/>
        <w:tabs>
          <w:tab w:val="left" w:pos="142"/>
          <w:tab w:val="left" w:pos="284"/>
        </w:tabs>
        <w:rPr>
          <w:rFonts w:ascii="Palatino Linotype" w:hAnsi="Palatino Linotype"/>
          <w:b/>
          <w:color w:val="auto"/>
          <w:sz w:val="24"/>
        </w:rPr>
      </w:pPr>
      <w:bookmarkStart w:id="5" w:name="_Toc48216081"/>
      <w:r w:rsidRPr="00B73666">
        <w:rPr>
          <w:rFonts w:ascii="Palatino Linotype" w:hAnsi="Palatino Linotype"/>
          <w:b/>
          <w:color w:val="auto"/>
          <w:sz w:val="24"/>
        </w:rPr>
        <w:t>PRIMERO. De la competencia</w:t>
      </w:r>
      <w:bookmarkEnd w:id="5"/>
    </w:p>
    <w:p w14:paraId="0F785A5B" w14:textId="77777777" w:rsidR="00A55BA0" w:rsidRPr="00B73666" w:rsidRDefault="00A55BA0" w:rsidP="00763406">
      <w:pPr>
        <w:tabs>
          <w:tab w:val="left" w:pos="142"/>
          <w:tab w:val="left" w:pos="284"/>
        </w:tabs>
        <w:rPr>
          <w:rFonts w:ascii="Palatino Linotype" w:hAnsi="Palatino Linotype"/>
          <w:lang w:val="es-MX" w:eastAsia="en-US"/>
        </w:rPr>
      </w:pPr>
    </w:p>
    <w:p w14:paraId="172F1041" w14:textId="77777777" w:rsidR="00A55BA0" w:rsidRPr="00B73666" w:rsidRDefault="00A55BA0" w:rsidP="00AC71D5">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73666">
        <w:rPr>
          <w:rFonts w:ascii="Palatino Linotype" w:eastAsia="Calibri" w:hAnsi="Palatino Linotype" w:cs="Times New Roman"/>
          <w:b/>
          <w:lang w:val="es-ES"/>
        </w:rPr>
        <w:t>Constitución Política de los Estados Unidos Mexicanos</w:t>
      </w:r>
      <w:r w:rsidRPr="00B73666">
        <w:rPr>
          <w:rFonts w:ascii="Palatino Linotype" w:eastAsia="Calibri" w:hAnsi="Palatino Linotype" w:cs="Times New Roman"/>
          <w:lang w:val="es-ES"/>
        </w:rPr>
        <w:t xml:space="preserve">; 5, párrafos </w:t>
      </w:r>
      <w:r w:rsidR="008C7782" w:rsidRPr="00B73666">
        <w:rPr>
          <w:rFonts w:ascii="Palatino Linotype" w:eastAsia="Calibri" w:hAnsi="Palatino Linotype" w:cs="Times New Roman"/>
          <w:lang w:val="es-ES"/>
        </w:rPr>
        <w:t>vigésimo segundo, vigésimo tercero y vigésimo cuarto</w:t>
      </w:r>
      <w:r w:rsidRPr="00B73666">
        <w:rPr>
          <w:rFonts w:ascii="Palatino Linotype" w:hAnsi="Palatino Linotype" w:cs="Arial"/>
          <w:bCs/>
          <w:color w:val="222222"/>
          <w:lang w:val="es-ES"/>
        </w:rPr>
        <w:t xml:space="preserve"> </w:t>
      </w:r>
      <w:r w:rsidRPr="00B73666">
        <w:rPr>
          <w:rFonts w:ascii="Palatino Linotype" w:eastAsia="Calibri" w:hAnsi="Palatino Linotype" w:cs="Times New Roman"/>
          <w:lang w:val="es-ES"/>
        </w:rPr>
        <w:t xml:space="preserve">fracciones IV y V de la </w:t>
      </w:r>
      <w:r w:rsidRPr="00B73666">
        <w:rPr>
          <w:rFonts w:ascii="Palatino Linotype" w:eastAsia="Calibri" w:hAnsi="Palatino Linotype" w:cs="Times New Roman"/>
          <w:b/>
          <w:lang w:val="es-ES"/>
        </w:rPr>
        <w:t>Constitución Política del Estado Libre y Soberano de México</w:t>
      </w:r>
      <w:r w:rsidRPr="00B73666">
        <w:rPr>
          <w:rFonts w:ascii="Palatino Linotype" w:eastAsia="Calibri" w:hAnsi="Palatino Linotype" w:cs="Times New Roman"/>
          <w:lang w:val="es-ES"/>
        </w:rPr>
        <w:t xml:space="preserve">; artículos 1, 2 fracción II, 13, 29, 36 fracciones I y II, 176, 178, 179, 181 párrafo tercero y 185 </w:t>
      </w:r>
      <w:r w:rsidRPr="00B73666">
        <w:rPr>
          <w:rFonts w:ascii="Palatino Linotype" w:eastAsia="Calibri" w:hAnsi="Palatino Linotype" w:cs="Arial"/>
          <w:lang w:val="es-ES"/>
        </w:rPr>
        <w:t xml:space="preserve">de la </w:t>
      </w:r>
      <w:r w:rsidRPr="00B73666">
        <w:rPr>
          <w:rFonts w:ascii="Palatino Linotype" w:eastAsia="Calibri" w:hAnsi="Palatino Linotype" w:cs="Arial"/>
          <w:b/>
          <w:lang w:val="es-ES"/>
        </w:rPr>
        <w:t>Ley de Transparencia y Acceso a la Información Pública del Estado de México y Municipios</w:t>
      </w:r>
      <w:r w:rsidRPr="00B73666">
        <w:rPr>
          <w:rFonts w:ascii="Palatino Linotype" w:eastAsia="Calibri" w:hAnsi="Palatino Linotype" w:cs="Arial"/>
          <w:lang w:val="es-ES"/>
        </w:rPr>
        <w:t xml:space="preserve">; y 7, 9 fracciones I y XXIV, y 11 del </w:t>
      </w:r>
      <w:r w:rsidRPr="00B7366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73666">
        <w:rPr>
          <w:rFonts w:ascii="Palatino Linotype" w:hAnsi="Palatino Linotype"/>
        </w:rPr>
        <w:t>.</w:t>
      </w:r>
    </w:p>
    <w:p w14:paraId="038F5420" w14:textId="77777777" w:rsidR="00A55BA0" w:rsidRPr="00B73666" w:rsidRDefault="00A55BA0" w:rsidP="00763406">
      <w:pPr>
        <w:tabs>
          <w:tab w:val="left" w:pos="142"/>
          <w:tab w:val="left" w:pos="284"/>
        </w:tabs>
        <w:spacing w:before="240" w:after="240" w:line="360" w:lineRule="auto"/>
        <w:jc w:val="both"/>
        <w:rPr>
          <w:rFonts w:ascii="Palatino Linotype" w:hAnsi="Palatino Linotype"/>
        </w:rPr>
      </w:pPr>
    </w:p>
    <w:p w14:paraId="2C9B002E" w14:textId="77777777" w:rsidR="00A55BA0" w:rsidRPr="00B73666" w:rsidRDefault="00A55BA0" w:rsidP="00763406">
      <w:pPr>
        <w:pStyle w:val="Ttulo2"/>
        <w:tabs>
          <w:tab w:val="left" w:pos="142"/>
          <w:tab w:val="left" w:pos="284"/>
        </w:tabs>
        <w:rPr>
          <w:rFonts w:ascii="Palatino Linotype" w:hAnsi="Palatino Linotype"/>
          <w:b/>
          <w:color w:val="auto"/>
          <w:sz w:val="24"/>
        </w:rPr>
      </w:pPr>
      <w:bookmarkStart w:id="6" w:name="_Toc48216082"/>
      <w:r w:rsidRPr="00B73666">
        <w:rPr>
          <w:rFonts w:ascii="Palatino Linotype" w:hAnsi="Palatino Linotype"/>
          <w:b/>
          <w:color w:val="auto"/>
          <w:sz w:val="24"/>
        </w:rPr>
        <w:t>SEGUNDO. De la oportunidad y procedencia.</w:t>
      </w:r>
      <w:bookmarkEnd w:id="6"/>
    </w:p>
    <w:p w14:paraId="5162B329" w14:textId="77777777" w:rsidR="008174E3" w:rsidRPr="00B73666" w:rsidRDefault="008174E3" w:rsidP="008174E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sz w:val="10"/>
        </w:rPr>
      </w:pPr>
    </w:p>
    <w:p w14:paraId="52800C8D" w14:textId="77777777" w:rsidR="001A4CD6" w:rsidRPr="00B73666" w:rsidRDefault="008174E3"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Calibri" w:hAnsi="Palatino Linotype" w:cs="Arial"/>
          <w:lang w:val="es-ES"/>
        </w:rPr>
        <w:t>E</w:t>
      </w:r>
      <w:r w:rsidR="0006128A" w:rsidRPr="00B73666">
        <w:rPr>
          <w:rFonts w:ascii="Palatino Linotype" w:eastAsia="Calibri" w:hAnsi="Palatino Linotype" w:cs="Arial"/>
          <w:lang w:val="es-ES"/>
        </w:rPr>
        <w:t>s</w:t>
      </w:r>
      <w:r w:rsidR="001A4CD6" w:rsidRPr="00B73666">
        <w:rPr>
          <w:rFonts w:ascii="Palatino Linotype" w:eastAsia="Calibri" w:hAnsi="Palatino Linotype" w:cs="Arial"/>
          <w:lang w:val="es-ES"/>
        </w:rPr>
        <w:t xml:space="preserve"> </w:t>
      </w:r>
      <w:r w:rsidR="0006128A" w:rsidRPr="00B73666">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06128A" w:rsidRPr="00B73666">
        <w:rPr>
          <w:rFonts w:ascii="Palatino Linotype" w:eastAsia="Calibri" w:hAnsi="Palatino Linotype" w:cs="Arial"/>
          <w:b/>
          <w:lang w:val="es-ES"/>
        </w:rPr>
        <w:t>SUJETO OBLIGADO</w:t>
      </w:r>
      <w:r w:rsidR="0006128A" w:rsidRPr="00B73666">
        <w:rPr>
          <w:rFonts w:ascii="Palatino Linotype" w:eastAsia="Calibri" w:hAnsi="Palatino Linotype" w:cs="Arial"/>
          <w:lang w:val="es-ES"/>
        </w:rPr>
        <w:t xml:space="preserve"> para entregar la respuesta a una solicitud de información pública, es de quince (15) días hábiles posteriores a la presentación de ésta; por lo que transcurrido este término, </w:t>
      </w:r>
      <w:r w:rsidR="0006128A" w:rsidRPr="00B73666">
        <w:rPr>
          <w:rFonts w:ascii="Palatino Linotype" w:eastAsia="Calibri" w:hAnsi="Palatino Linotype" w:cs="Arial"/>
          <w:lang w:val="es-ES"/>
        </w:rPr>
        <w:lastRenderedPageBreak/>
        <w:t xml:space="preserve">cuando el </w:t>
      </w:r>
      <w:r w:rsidR="0006128A" w:rsidRPr="00B73666">
        <w:rPr>
          <w:rFonts w:ascii="Palatino Linotype" w:eastAsia="Calibri" w:hAnsi="Palatino Linotype" w:cs="Arial"/>
          <w:b/>
          <w:lang w:val="es-ES"/>
        </w:rPr>
        <w:t xml:space="preserve">SUJETO OBLIGADO </w:t>
      </w:r>
      <w:r w:rsidR="0006128A" w:rsidRPr="00B73666">
        <w:rPr>
          <w:rFonts w:ascii="Palatino Linotype" w:eastAsia="Calibri" w:hAnsi="Palatino Linotype" w:cs="Arial"/>
          <w:lang w:val="es-ES"/>
        </w:rPr>
        <w:t xml:space="preserve">no entregue la respuesta a la solicitud dentro del plazo previsto en la Ley, la solicitud se entenderá negada y el </w:t>
      </w:r>
      <w:r w:rsidR="0006128A" w:rsidRPr="00B73666">
        <w:rPr>
          <w:rFonts w:ascii="Palatino Linotype" w:eastAsia="Calibri" w:hAnsi="Palatino Linotype" w:cs="Arial"/>
          <w:b/>
          <w:lang w:val="es-ES"/>
        </w:rPr>
        <w:t>SOLICITANTE</w:t>
      </w:r>
      <w:r w:rsidR="0006128A" w:rsidRPr="00B73666">
        <w:rPr>
          <w:rFonts w:ascii="Palatino Linotype" w:eastAsia="Calibri" w:hAnsi="Palatino Linotype" w:cs="Arial"/>
          <w:lang w:val="es-ES"/>
        </w:rPr>
        <w:t xml:space="preserve"> podrá interponer el recurso de revisión previsto en el ordenamiento en cita.</w:t>
      </w:r>
    </w:p>
    <w:p w14:paraId="2D3CBABA" w14:textId="77777777" w:rsidR="001A4CD6" w:rsidRPr="00B73666" w:rsidRDefault="001A4CD6"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14:paraId="0DD42FC4" w14:textId="77777777" w:rsidR="001B4D2F" w:rsidRPr="00B73666" w:rsidRDefault="0006128A"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Times New Roman" w:hAnsi="Palatino Linotype" w:cs="Arial"/>
          <w:color w:val="000000"/>
        </w:rPr>
        <w:t xml:space="preserve">Por </w:t>
      </w:r>
      <w:r w:rsidRPr="00B73666">
        <w:rPr>
          <w:rFonts w:ascii="Palatino Linotype" w:eastAsia="Calibri" w:hAnsi="Palatino Linotype" w:cs="Arial"/>
          <w:lang w:val="es-ES"/>
        </w:rPr>
        <w:t xml:space="preserve">ende, se constituye la figura jurídica de la </w:t>
      </w:r>
      <w:r w:rsidRPr="00B73666">
        <w:rPr>
          <w:rFonts w:ascii="Palatino Linotype" w:eastAsia="Calibri" w:hAnsi="Palatino Linotype" w:cs="Arial"/>
          <w:i/>
          <w:lang w:val="es-ES"/>
        </w:rPr>
        <w:t>negativa ficta</w:t>
      </w:r>
      <w:r w:rsidRPr="00B73666">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B73666">
        <w:rPr>
          <w:rFonts w:ascii="Palatino Linotype" w:eastAsia="Calibri" w:hAnsi="Palatino Linotype" w:cs="Times New Roman"/>
          <w:color w:val="000000"/>
          <w:shd w:val="clear" w:color="auto" w:fill="FFFFFF"/>
        </w:rPr>
        <w:t xml:space="preserve">, que dispone; ante la falta de respuesta del </w:t>
      </w:r>
      <w:r w:rsidRPr="00B73666">
        <w:rPr>
          <w:rFonts w:ascii="Palatino Linotype" w:eastAsia="Calibri" w:hAnsi="Palatino Linotype" w:cs="Times New Roman"/>
          <w:b/>
          <w:color w:val="000000"/>
          <w:shd w:val="clear" w:color="auto" w:fill="FFFFFF"/>
        </w:rPr>
        <w:t>SUJETO OBLIGADO,</w:t>
      </w:r>
      <w:r w:rsidRPr="00B73666">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B73666">
        <w:rPr>
          <w:rFonts w:ascii="Palatino Linotype" w:eastAsia="Calibri" w:hAnsi="Palatino Linotype" w:cs="Times New Roman"/>
          <w:b/>
          <w:color w:val="000000"/>
          <w:shd w:val="clear" w:color="auto" w:fill="FFFFFF"/>
        </w:rPr>
        <w:t>podrá ser interpuesto en cualquier momento.</w:t>
      </w:r>
    </w:p>
    <w:p w14:paraId="20391C8A" w14:textId="77777777" w:rsidR="0006128A" w:rsidRPr="00B73666" w:rsidRDefault="0006128A" w:rsidP="0006128A">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4A08A5A9" w14:textId="77777777" w:rsidR="0006128A" w:rsidRPr="00B73666" w:rsidRDefault="0006128A"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Times New Roman" w:hAnsi="Palatino Linotype" w:cs="Arial"/>
          <w:color w:val="000000"/>
        </w:rPr>
        <w:t xml:space="preserve">Por </w:t>
      </w:r>
      <w:r w:rsidRPr="00B73666">
        <w:rPr>
          <w:rFonts w:ascii="Palatino Linotype" w:eastAsia="Calibri" w:hAnsi="Palatino Linotype" w:cs="Arial"/>
          <w:lang w:val="es-ES"/>
        </w:rPr>
        <w:t xml:space="preserve">lo que tratándose de la </w:t>
      </w:r>
      <w:r w:rsidRPr="00B73666">
        <w:rPr>
          <w:rFonts w:ascii="Palatino Linotype" w:eastAsia="Calibri" w:hAnsi="Palatino Linotype" w:cs="Arial"/>
          <w:i/>
          <w:lang w:val="es-ES"/>
        </w:rPr>
        <w:t>negativa ficta,</w:t>
      </w:r>
      <w:r w:rsidRPr="00B73666">
        <w:rPr>
          <w:rFonts w:ascii="Palatino Linotype" w:eastAsia="Calibri" w:hAnsi="Palatino Linotype" w:cs="Arial"/>
          <w:lang w:val="es-ES"/>
        </w:rPr>
        <w:t xml:space="preserve"> no existe respuesta que se haga del conocimiento al </w:t>
      </w:r>
      <w:r w:rsidRPr="00B73666">
        <w:rPr>
          <w:rFonts w:ascii="Palatino Linotype" w:eastAsia="Calibri" w:hAnsi="Palatino Linotype" w:cs="Arial"/>
          <w:b/>
          <w:lang w:val="es-ES"/>
        </w:rPr>
        <w:t>SOLICITANTE</w:t>
      </w:r>
      <w:r w:rsidRPr="00B73666">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B73666">
        <w:rPr>
          <w:rFonts w:ascii="Palatino Linotype" w:eastAsia="Calibri" w:hAnsi="Palatino Linotype" w:cs="Arial"/>
          <w:b/>
          <w:lang w:val="es-ES"/>
        </w:rPr>
        <w:t>001-15</w:t>
      </w:r>
      <w:r w:rsidRPr="00B73666">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73666">
        <w:rPr>
          <w:rFonts w:ascii="Palatino Linotype" w:eastAsia="Calibri" w:hAnsi="Palatino Linotype" w:cs="Arial"/>
          <w:i/>
          <w:lang w:val="es-ES"/>
        </w:rPr>
        <w:t>negativa ficta</w:t>
      </w:r>
      <w:r w:rsidRPr="00B73666">
        <w:rPr>
          <w:rFonts w:ascii="Palatino Linotype" w:eastAsia="Calibri" w:hAnsi="Palatino Linotype" w:cs="Arial"/>
          <w:lang w:val="es-ES"/>
        </w:rPr>
        <w:t>, que señala:</w:t>
      </w:r>
    </w:p>
    <w:p w14:paraId="48C821D4" w14:textId="77777777" w:rsidR="0006128A" w:rsidRPr="00B73666" w:rsidRDefault="0006128A" w:rsidP="0006128A">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40C6AF43" w14:textId="77777777" w:rsidR="0006128A" w:rsidRPr="00B73666" w:rsidRDefault="0006128A" w:rsidP="0006128A">
      <w:pPr>
        <w:pStyle w:val="Sinespaciado"/>
        <w:ind w:left="851" w:right="567"/>
        <w:jc w:val="both"/>
        <w:rPr>
          <w:rFonts w:ascii="Palatino Linotype" w:eastAsia="Calibri" w:hAnsi="Palatino Linotype"/>
          <w:i/>
          <w:sz w:val="22"/>
          <w:lang w:val="es-ES"/>
        </w:rPr>
      </w:pPr>
      <w:r w:rsidRPr="00B73666">
        <w:rPr>
          <w:rFonts w:ascii="Palatino Linotype" w:eastAsia="Calibri" w:hAnsi="Palatino Linotype"/>
          <w:b/>
          <w:i/>
          <w:sz w:val="22"/>
          <w:lang w:val="es-ES"/>
        </w:rPr>
        <w:lastRenderedPageBreak/>
        <w:t>NEGATIVA FICTA. PLAZO PARA INTERPONER EL RECURSO DE REVISIÓN TRATÁNDOSE DE.</w:t>
      </w:r>
      <w:r w:rsidRPr="00B73666">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13E70BD" w14:textId="77777777" w:rsidR="0006128A" w:rsidRPr="00B73666" w:rsidRDefault="0006128A" w:rsidP="0006128A">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7377BC81" w14:textId="77777777" w:rsidR="0006128A" w:rsidRPr="00B73666" w:rsidRDefault="0006128A"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Times New Roman" w:hAnsi="Palatino Linotype" w:cs="Arial"/>
          <w:color w:val="000000"/>
        </w:rPr>
        <w:t xml:space="preserve">Lo </w:t>
      </w:r>
      <w:r w:rsidRPr="00B73666">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B73666">
        <w:rPr>
          <w:rFonts w:ascii="Palatino Linotype" w:eastAsia="Times New Roman" w:hAnsi="Palatino Linotype" w:cs="Arial"/>
          <w:b/>
          <w:color w:val="000000" w:themeColor="text1"/>
          <w:lang w:val="es-ES" w:eastAsia="es-MX"/>
        </w:rPr>
        <w:t>SUJETO OBLIGADO</w:t>
      </w:r>
      <w:r w:rsidRPr="00B73666">
        <w:rPr>
          <w:rFonts w:ascii="Palatino Linotype" w:eastAsia="Times New Roman" w:hAnsi="Palatino Linotype" w:cs="Arial"/>
          <w:color w:val="000000" w:themeColor="text1"/>
          <w:lang w:val="es-ES" w:eastAsia="es-MX"/>
        </w:rPr>
        <w:t>.</w:t>
      </w:r>
    </w:p>
    <w:p w14:paraId="53878365" w14:textId="77777777" w:rsidR="0006128A" w:rsidRPr="00B73666" w:rsidRDefault="0006128A" w:rsidP="0006128A">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10C88E24" w14:textId="77777777" w:rsidR="0006128A" w:rsidRPr="00B73666" w:rsidRDefault="0006128A"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Times New Roman" w:hAnsi="Palatino Linotype" w:cs="Arial"/>
          <w:color w:val="000000"/>
        </w:rPr>
        <w:t xml:space="preserve">Así </w:t>
      </w:r>
      <w:r w:rsidRPr="00B73666">
        <w:rPr>
          <w:rFonts w:ascii="Palatino Linotype" w:hAnsi="Palatino Linotype"/>
        </w:rPr>
        <w:t>las cosas, tratándose</w:t>
      </w:r>
      <w:r w:rsidRPr="00B73666">
        <w:rPr>
          <w:rFonts w:ascii="Palatino Linotype" w:eastAsia="Times New Roman" w:hAnsi="Palatino Linotype" w:cs="Arial"/>
          <w:color w:val="000000" w:themeColor="text1"/>
          <w:lang w:val="es-ES" w:eastAsia="es-MX"/>
        </w:rPr>
        <w:t xml:space="preserve"> de </w:t>
      </w:r>
      <w:r w:rsidRPr="00B73666">
        <w:rPr>
          <w:rFonts w:ascii="Palatino Linotype" w:eastAsia="Times New Roman" w:hAnsi="Palatino Linotype" w:cs="Arial"/>
          <w:i/>
          <w:color w:val="000000" w:themeColor="text1"/>
          <w:lang w:val="es-ES" w:eastAsia="es-MX"/>
        </w:rPr>
        <w:t>negativa ficta</w:t>
      </w:r>
      <w:r w:rsidRPr="00B73666">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7901A363" w14:textId="77777777" w:rsidR="001B4D2F" w:rsidRPr="00B73666" w:rsidRDefault="001B4D2F" w:rsidP="001B4D2F">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4EE60287" w14:textId="269064C8" w:rsidR="001B4D2F" w:rsidRPr="00B73666" w:rsidRDefault="001B4D2F"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Calibri" w:hAnsi="Palatino Linotype" w:cs="Arial"/>
          <w:lang w:val="es-ES"/>
        </w:rPr>
        <w:t xml:space="preserve">Por otro lado, de la revisión al expediente electrónico contenido en el </w:t>
      </w:r>
      <w:r w:rsidRPr="00B73666">
        <w:rPr>
          <w:rFonts w:ascii="Palatino Linotype" w:eastAsia="Calibri" w:hAnsi="Palatino Linotype" w:cs="Arial"/>
          <w:b/>
          <w:i/>
          <w:lang w:val="es-ES"/>
        </w:rPr>
        <w:t>SAIMEX</w:t>
      </w:r>
      <w:r w:rsidRPr="00B73666">
        <w:rPr>
          <w:rFonts w:ascii="Palatino Linotype" w:eastAsia="Calibri" w:hAnsi="Palatino Linotype" w:cs="Arial"/>
          <w:lang w:val="es-ES"/>
        </w:rPr>
        <w:t xml:space="preserve"> se desprende que la parte solicitante, en ejercicio de su derecho de acceso a la información pública en el expediente que se revisa, tanto en la solicitud de información como en el recurso de revisión </w:t>
      </w:r>
      <w:r w:rsidRPr="00B73666">
        <w:rPr>
          <w:rFonts w:ascii="Palatino Linotype" w:eastAsia="Calibri" w:hAnsi="Palatino Linotype" w:cs="Arial"/>
          <w:b/>
          <w:lang w:val="es-ES"/>
        </w:rPr>
        <w:t xml:space="preserve">no proporcionó </w:t>
      </w:r>
      <w:r w:rsidR="006E6ACB" w:rsidRPr="00B73666">
        <w:rPr>
          <w:rFonts w:ascii="Palatino Linotype" w:eastAsia="Calibri" w:hAnsi="Palatino Linotype" w:cs="Arial"/>
          <w:b/>
          <w:lang w:val="es-ES"/>
        </w:rPr>
        <w:t xml:space="preserve">su nombre </w:t>
      </w:r>
      <w:r w:rsidRPr="00B73666">
        <w:rPr>
          <w:rFonts w:ascii="Palatino Linotype" w:eastAsia="Calibri" w:hAnsi="Palatino Linotype" w:cs="Arial"/>
          <w:b/>
          <w:lang w:val="es-ES"/>
        </w:rPr>
        <w:t xml:space="preserve">para que sea </w:t>
      </w:r>
      <w:r w:rsidRPr="00B73666">
        <w:rPr>
          <w:rFonts w:ascii="Palatino Linotype" w:eastAsia="Calibri" w:hAnsi="Palatino Linotype" w:cs="Arial"/>
          <w:b/>
          <w:u w:val="single"/>
          <w:lang w:val="es-ES"/>
        </w:rPr>
        <w:t>identificada</w:t>
      </w:r>
      <w:r w:rsidRPr="00B73666">
        <w:rPr>
          <w:rFonts w:ascii="Palatino Linotype" w:eastAsia="Calibri" w:hAnsi="Palatino Linotype" w:cs="Arial"/>
          <w:b/>
          <w:lang w:val="es-ES"/>
        </w:rPr>
        <w:t>,</w:t>
      </w:r>
      <w:r w:rsidRPr="00B73666">
        <w:rPr>
          <w:rFonts w:ascii="Palatino Linotype" w:eastAsia="Calibri" w:hAnsi="Palatino Linotype" w:cs="Arial"/>
          <w:lang w:val="es-ES"/>
        </w:rPr>
        <w:t xml:space="preserve"> por lo que no se tiene la certeza sobre su identidad. Sin embargo, es importante señalar también que </w:t>
      </w:r>
      <w:r w:rsidRPr="00B73666">
        <w:rPr>
          <w:rFonts w:ascii="Palatino Linotype" w:eastAsia="Calibri" w:hAnsi="Palatino Linotype" w:cs="Arial"/>
          <w:lang w:val="es-MX"/>
        </w:rPr>
        <w:t xml:space="preserve">el nombre o seudónimo de los Solicitantes y </w:t>
      </w:r>
      <w:r w:rsidRPr="00B73666">
        <w:rPr>
          <w:rFonts w:ascii="Palatino Linotype" w:eastAsia="Calibri" w:hAnsi="Palatino Linotype" w:cs="Arial"/>
          <w:lang w:val="es-MX"/>
        </w:rPr>
        <w:lastRenderedPageBreak/>
        <w:t>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FBCEBB" w14:textId="77777777" w:rsidR="001B4D2F" w:rsidRPr="00B73666" w:rsidRDefault="001B4D2F" w:rsidP="001B4D2F">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1F36C609" w14:textId="77777777" w:rsidR="001B4D2F" w:rsidRPr="00B73666" w:rsidRDefault="00D0401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Calibri" w:hAnsi="Palatino Linotype" w:cs="Arial"/>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358028A" w14:textId="77777777" w:rsidR="001B4D2F" w:rsidRPr="00B73666" w:rsidRDefault="001B4D2F" w:rsidP="001B4D2F">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3266359C" w14:textId="77777777" w:rsidR="001B4D2F" w:rsidRPr="00B73666" w:rsidRDefault="00D0401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Calibri" w:hAnsi="Palatino Linotype" w:cs="Arial"/>
          <w:lang w:val="es-ES"/>
        </w:rPr>
        <w:t xml:space="preserve">Por </w:t>
      </w:r>
      <w:r w:rsidRPr="00B73666">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237478" w14:textId="77777777" w:rsidR="001B4D2F" w:rsidRPr="00B73666" w:rsidRDefault="001B4D2F" w:rsidP="001B4D2F">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6937EE6B" w14:textId="77777777" w:rsidR="001B4D2F" w:rsidRPr="00B73666" w:rsidRDefault="00D0401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Calibri" w:hAnsi="Palatino Linotype" w:cs="Arial"/>
          <w:lang w:val="es-ES"/>
        </w:rPr>
        <w:lastRenderedPageBreak/>
        <w:t xml:space="preserve">En </w:t>
      </w:r>
      <w:r w:rsidRPr="00B73666">
        <w:rPr>
          <w:rFonts w:ascii="Palatino Linotype" w:eastAsia="Calibri" w:hAnsi="Palatino Linotype" w:cs="Times New Roman"/>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1C25C02" w14:textId="77777777" w:rsidR="001B4D2F" w:rsidRPr="00B73666" w:rsidRDefault="001B4D2F" w:rsidP="001B4D2F">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14:paraId="38508A19" w14:textId="77777777" w:rsidR="001B4D2F" w:rsidRPr="00B73666" w:rsidRDefault="00D04019"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73666">
        <w:rPr>
          <w:rFonts w:ascii="Palatino Linotype" w:eastAsia="Times New Roman" w:hAnsi="Palatino Linotype" w:cs="Arial"/>
          <w:color w:val="000000"/>
        </w:rPr>
        <w:t xml:space="preserve">Por </w:t>
      </w:r>
      <w:r w:rsidRPr="00B73666">
        <w:rPr>
          <w:rFonts w:ascii="Palatino Linotype" w:eastAsia="Times New Roman" w:hAnsi="Palatino Linotype" w:cs="Arial"/>
          <w:lang w:val="es-ES"/>
        </w:rPr>
        <w:t xml:space="preserve">lo que el nombre del entonces </w:t>
      </w:r>
      <w:r w:rsidRPr="00B73666">
        <w:rPr>
          <w:rFonts w:ascii="Palatino Linotype" w:eastAsia="Times New Roman" w:hAnsi="Palatino Linotype" w:cs="Arial"/>
          <w:b/>
          <w:lang w:val="es-ES"/>
        </w:rPr>
        <w:t>SOLICITANTE</w:t>
      </w:r>
      <w:r w:rsidRPr="00B73666">
        <w:rPr>
          <w:rFonts w:ascii="Palatino Linotype" w:eastAsia="Times New Roman" w:hAnsi="Palatino Linotype" w:cs="Arial"/>
          <w:lang w:val="es-ES"/>
        </w:rPr>
        <w:t xml:space="preserve"> y subsecuente </w:t>
      </w:r>
      <w:r w:rsidRPr="00B73666">
        <w:rPr>
          <w:rFonts w:ascii="Palatino Linotype" w:eastAsia="Times New Roman" w:hAnsi="Palatino Linotype" w:cs="Arial"/>
          <w:b/>
          <w:lang w:val="es-ES"/>
        </w:rPr>
        <w:t>RECURRENTE</w:t>
      </w:r>
      <w:r w:rsidRPr="00B73666">
        <w:rPr>
          <w:rFonts w:ascii="Palatino Linotype" w:eastAsia="Times New Roman" w:hAnsi="Palatino Linotype" w:cs="Arial"/>
          <w:lang w:val="es-ES"/>
        </w:rPr>
        <w:t xml:space="preserve"> no puede ser considerado un requisito indispensable de </w:t>
      </w:r>
      <w:proofErr w:type="spellStart"/>
      <w:r w:rsidRPr="00B73666">
        <w:rPr>
          <w:rFonts w:ascii="Palatino Linotype" w:eastAsia="Times New Roman" w:hAnsi="Palatino Linotype" w:cs="Arial"/>
          <w:lang w:val="es-ES"/>
        </w:rPr>
        <w:t>procedibilidad</w:t>
      </w:r>
      <w:proofErr w:type="spellEnd"/>
      <w:r w:rsidRPr="00B73666">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B73666">
        <w:rPr>
          <w:rFonts w:ascii="Palatino Linotype" w:eastAsia="Times New Roman" w:hAnsi="Palatino Linotype" w:cs="Arial"/>
          <w:lang w:val="es-ES"/>
        </w:rPr>
        <w:t>Resolutor</w:t>
      </w:r>
      <w:proofErr w:type="spellEnd"/>
      <w:r w:rsidRPr="00B73666">
        <w:rPr>
          <w:rFonts w:ascii="Palatino Linotype" w:eastAsia="Times New Roman" w:hAnsi="Palatino Linotype" w:cs="Arial"/>
          <w:lang w:val="es-ES"/>
        </w:rPr>
        <w:t>.</w:t>
      </w:r>
    </w:p>
    <w:p w14:paraId="04CEC4F7" w14:textId="77777777" w:rsidR="000F0A44" w:rsidRPr="00B73666" w:rsidRDefault="000F0A44" w:rsidP="001B537C">
      <w:pPr>
        <w:pStyle w:val="Prrafodelista"/>
        <w:tabs>
          <w:tab w:val="left" w:pos="142"/>
          <w:tab w:val="left" w:pos="284"/>
          <w:tab w:val="left" w:pos="426"/>
        </w:tabs>
        <w:ind w:left="0"/>
        <w:rPr>
          <w:rFonts w:ascii="Palatino Linotype" w:eastAsia="Times New Roman" w:hAnsi="Palatino Linotype" w:cs="Arial"/>
          <w:color w:val="000000" w:themeColor="text1"/>
          <w:lang w:val="es-ES" w:eastAsia="es-MX"/>
        </w:rPr>
      </w:pPr>
    </w:p>
    <w:p w14:paraId="0B66F015" w14:textId="77777777" w:rsidR="00E40A30" w:rsidRPr="00B73666" w:rsidRDefault="00D04019" w:rsidP="00D82CE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hAnsi="Palatino Linotype" w:cs="Arial"/>
        </w:rPr>
        <w:t>Consecuencia de lo anterior</w:t>
      </w:r>
      <w:r w:rsidR="001026A0" w:rsidRPr="00B73666">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14F986" w14:textId="0C772227" w:rsidR="00D113FB" w:rsidRPr="00B73666" w:rsidRDefault="00D113FB">
      <w:pPr>
        <w:spacing w:after="160" w:line="259" w:lineRule="auto"/>
        <w:rPr>
          <w:rFonts w:ascii="Palatino Linotype" w:hAnsi="Palatino Linotype"/>
        </w:rPr>
      </w:pPr>
    </w:p>
    <w:p w14:paraId="4AB53D61" w14:textId="77777777" w:rsidR="00E40A30" w:rsidRPr="00B73666" w:rsidRDefault="0054193B" w:rsidP="00093440">
      <w:pPr>
        <w:pStyle w:val="Ttulo2"/>
        <w:rPr>
          <w:rFonts w:ascii="Palatino Linotype" w:eastAsia="Calibri" w:hAnsi="Palatino Linotype" w:cs="Times New Roman"/>
          <w:b/>
          <w:bCs/>
          <w:color w:val="auto"/>
          <w:lang w:val="es-ES"/>
        </w:rPr>
      </w:pPr>
      <w:bookmarkStart w:id="7" w:name="_Toc48216083"/>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B73666">
        <w:rPr>
          <w:rFonts w:ascii="Palatino Linotype" w:eastAsia="Calibri" w:hAnsi="Palatino Linotype" w:cs="Times New Roman"/>
          <w:b/>
          <w:bCs/>
          <w:color w:val="auto"/>
          <w:lang w:val="es-ES"/>
        </w:rPr>
        <w:t>TERCERO</w:t>
      </w:r>
      <w:r w:rsidR="00B549FD" w:rsidRPr="00B73666">
        <w:rPr>
          <w:rFonts w:ascii="Palatino Linotype" w:eastAsia="Calibri" w:hAnsi="Palatino Linotype" w:cs="Times New Roman"/>
          <w:b/>
          <w:bCs/>
          <w:color w:val="auto"/>
          <w:lang w:val="es-ES"/>
        </w:rPr>
        <w:t xml:space="preserve">. </w:t>
      </w:r>
      <w:r w:rsidR="00A55BA0" w:rsidRPr="00B73666">
        <w:rPr>
          <w:rFonts w:ascii="Palatino Linotype" w:eastAsia="Calibri" w:hAnsi="Palatino Linotype" w:cs="Times New Roman"/>
          <w:b/>
          <w:bCs/>
          <w:color w:val="auto"/>
          <w:lang w:val="es-ES"/>
        </w:rPr>
        <w:t xml:space="preserve">Del planteamiento de la </w:t>
      </w:r>
      <w:r w:rsidR="00E40A30" w:rsidRPr="00B73666">
        <w:rPr>
          <w:rFonts w:ascii="Palatino Linotype" w:eastAsia="Calibri" w:hAnsi="Palatino Linotype" w:cs="Times New Roman"/>
          <w:b/>
          <w:bCs/>
          <w:i/>
          <w:color w:val="auto"/>
          <w:lang w:val="es-ES"/>
        </w:rPr>
        <w:t>L</w:t>
      </w:r>
      <w:r w:rsidR="00A55BA0" w:rsidRPr="00B73666">
        <w:rPr>
          <w:rFonts w:ascii="Palatino Linotype" w:eastAsia="Calibri" w:hAnsi="Palatino Linotype" w:cs="Times New Roman"/>
          <w:b/>
          <w:bCs/>
          <w:i/>
          <w:color w:val="auto"/>
          <w:lang w:val="es-ES"/>
        </w:rPr>
        <w:t>itis</w:t>
      </w:r>
      <w:r w:rsidR="00A55BA0" w:rsidRPr="00B73666">
        <w:rPr>
          <w:rFonts w:ascii="Palatino Linotype" w:eastAsia="Calibri" w:hAnsi="Palatino Linotype" w:cs="Times New Roman"/>
          <w:b/>
          <w:bCs/>
          <w:color w:val="auto"/>
          <w:lang w:val="es-ES"/>
        </w:rPr>
        <w:t>.</w:t>
      </w:r>
      <w:bookmarkEnd w:id="7"/>
    </w:p>
    <w:p w14:paraId="46CF96D3" w14:textId="392C51C7" w:rsidR="00000640" w:rsidRPr="00B73666" w:rsidRDefault="00000640" w:rsidP="00000640">
      <w:pPr>
        <w:pStyle w:val="Prrafodelista"/>
        <w:tabs>
          <w:tab w:val="left" w:pos="142"/>
          <w:tab w:val="left" w:pos="284"/>
          <w:tab w:val="left" w:pos="426"/>
        </w:tabs>
        <w:spacing w:before="240" w:after="240" w:line="360" w:lineRule="auto"/>
        <w:ind w:left="0"/>
        <w:jc w:val="both"/>
        <w:rPr>
          <w:rFonts w:ascii="Palatino Linotype" w:hAnsi="Palatino Linotype"/>
          <w:sz w:val="22"/>
          <w:szCs w:val="18"/>
        </w:rPr>
      </w:pPr>
      <w:bookmarkStart w:id="15" w:name="_Toc454968928"/>
      <w:bookmarkStart w:id="16" w:name="_Toc455743517"/>
      <w:bookmarkStart w:id="17" w:name="_Toc458016386"/>
      <w:bookmarkStart w:id="18" w:name="_Toc461555893"/>
      <w:bookmarkStart w:id="19" w:name="_Toc462307690"/>
      <w:bookmarkStart w:id="20" w:name="_Toc475005143"/>
      <w:bookmarkEnd w:id="8"/>
      <w:bookmarkEnd w:id="9"/>
      <w:bookmarkEnd w:id="10"/>
      <w:bookmarkEnd w:id="11"/>
      <w:bookmarkEnd w:id="12"/>
      <w:bookmarkEnd w:id="13"/>
      <w:bookmarkEnd w:id="14"/>
    </w:p>
    <w:p w14:paraId="5F45D1A7" w14:textId="439EABA9" w:rsidR="00000640" w:rsidRPr="00B73666" w:rsidRDefault="00000640" w:rsidP="00DE7DC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szCs w:val="18"/>
        </w:rPr>
      </w:pPr>
      <w:r w:rsidRPr="00B73666">
        <w:rPr>
          <w:rFonts w:ascii="Palatino Linotype" w:hAnsi="Palatino Linotype" w:cs="Arial"/>
          <w:szCs w:val="23"/>
        </w:rPr>
        <w:t xml:space="preserve">El </w:t>
      </w:r>
      <w:r w:rsidRPr="00B73666">
        <w:rPr>
          <w:rFonts w:ascii="Palatino Linotype" w:hAnsi="Palatino Linotype" w:cs="Arial"/>
          <w:color w:val="000000" w:themeColor="text1"/>
        </w:rPr>
        <w:t xml:space="preserve">particular requirió al Ayuntamiento de </w:t>
      </w:r>
      <w:proofErr w:type="spellStart"/>
      <w:r w:rsidRPr="00B73666">
        <w:rPr>
          <w:rFonts w:ascii="Palatino Linotype" w:hAnsi="Palatino Linotype" w:cs="Arial"/>
          <w:color w:val="000000" w:themeColor="text1"/>
        </w:rPr>
        <w:t>Ocoyoacac</w:t>
      </w:r>
      <w:proofErr w:type="spellEnd"/>
      <w:r w:rsidRPr="00B73666">
        <w:rPr>
          <w:rFonts w:ascii="Palatino Linotype" w:hAnsi="Palatino Linotype" w:cs="Arial"/>
          <w:color w:val="000000" w:themeColor="text1"/>
        </w:rPr>
        <w:t xml:space="preserve"> las Actas del Comité de Adquisiciones del dos mil dieciocho, dos mil diecinueve y dos mil veinte. El </w:t>
      </w:r>
      <w:r w:rsidRPr="00B73666">
        <w:rPr>
          <w:rFonts w:ascii="Palatino Linotype" w:hAnsi="Palatino Linotype" w:cs="Arial"/>
          <w:b/>
          <w:bCs/>
          <w:color w:val="000000" w:themeColor="text1"/>
        </w:rPr>
        <w:t>SUJETO OBLIGADO</w:t>
      </w:r>
      <w:r w:rsidRPr="00B73666">
        <w:rPr>
          <w:rFonts w:ascii="Palatino Linotype" w:hAnsi="Palatino Linotype" w:cs="Arial"/>
          <w:color w:val="000000" w:themeColor="text1"/>
        </w:rPr>
        <w:t xml:space="preserve"> no atendió la solicitud de información. Por ello, mediante recurso de revisión, el particular impugnó la falta de entrega de la información.</w:t>
      </w:r>
    </w:p>
    <w:p w14:paraId="3E59476A" w14:textId="77777777" w:rsidR="00000640" w:rsidRPr="00B73666" w:rsidRDefault="00000640" w:rsidP="00000640">
      <w:pPr>
        <w:pStyle w:val="Prrafodelista"/>
        <w:tabs>
          <w:tab w:val="left" w:pos="142"/>
          <w:tab w:val="left" w:pos="284"/>
          <w:tab w:val="left" w:pos="426"/>
        </w:tabs>
        <w:spacing w:before="240" w:after="240" w:line="360" w:lineRule="auto"/>
        <w:ind w:left="0"/>
        <w:jc w:val="both"/>
        <w:rPr>
          <w:rFonts w:ascii="Palatino Linotype" w:hAnsi="Palatino Linotype"/>
          <w:sz w:val="22"/>
          <w:szCs w:val="18"/>
        </w:rPr>
      </w:pPr>
    </w:p>
    <w:p w14:paraId="7A0A27DD" w14:textId="098ED009" w:rsidR="00DE7DC7" w:rsidRPr="00B73666" w:rsidRDefault="00DE7DC7" w:rsidP="00DE7DC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szCs w:val="18"/>
        </w:rPr>
      </w:pPr>
      <w:r w:rsidRPr="00B73666">
        <w:rPr>
          <w:rFonts w:ascii="Palatino Linotype" w:hAnsi="Palatino Linotype" w:cs="Arial"/>
          <w:szCs w:val="23"/>
        </w:rPr>
        <w:lastRenderedPageBreak/>
        <w:t xml:space="preserve">En </w:t>
      </w:r>
      <w:r w:rsidRPr="00B73666">
        <w:rPr>
          <w:rFonts w:ascii="Palatino Linotype" w:hAnsi="Palatino Linotype" w:cs="Arial"/>
          <w:color w:val="000000" w:themeColor="text1"/>
        </w:rPr>
        <w:t xml:space="preserve">ese sentido, el agravio manifestado por el </w:t>
      </w:r>
      <w:r w:rsidRPr="00B73666">
        <w:rPr>
          <w:rFonts w:ascii="Palatino Linotype" w:hAnsi="Palatino Linotype" w:cs="Arial"/>
          <w:b/>
          <w:bCs/>
          <w:color w:val="000000" w:themeColor="text1"/>
        </w:rPr>
        <w:t>RECURRENTE</w:t>
      </w:r>
      <w:r w:rsidRPr="00B73666">
        <w:rPr>
          <w:rFonts w:ascii="Palatino Linotype" w:hAnsi="Palatino Linotype" w:cs="Arial"/>
          <w:color w:val="000000" w:themeColor="text1"/>
        </w:rPr>
        <w:t xml:space="preserve"> a través del recurso de revisión sugiere que la respuesta proporcionada por el </w:t>
      </w:r>
      <w:r w:rsidRPr="00B73666">
        <w:rPr>
          <w:rFonts w:ascii="Palatino Linotype" w:hAnsi="Palatino Linotype" w:cs="Arial"/>
          <w:b/>
          <w:bCs/>
          <w:color w:val="000000" w:themeColor="text1"/>
        </w:rPr>
        <w:t>SUJETO OBLIGADO</w:t>
      </w:r>
      <w:r w:rsidRPr="00B73666">
        <w:rPr>
          <w:rFonts w:ascii="Palatino Linotype" w:hAnsi="Palatino Linotype" w:cs="Arial"/>
          <w:color w:val="000000" w:themeColor="text1"/>
        </w:rPr>
        <w:t xml:space="preserve"> no garantizó el principio contendido en el artículo 11 de la Ley de Transparencia y Acceso a la Información Pública del Estado de México y Municipios, el cual señala que en la generación, publicación y entrega de información se deberá garantizar que ésta sea </w:t>
      </w:r>
      <w:r w:rsidR="003E47DF" w:rsidRPr="00B73666">
        <w:rPr>
          <w:rFonts w:ascii="Palatino Linotype" w:hAnsi="Palatino Linotype" w:cs="Arial"/>
          <w:b/>
          <w:bCs/>
          <w:color w:val="000000" w:themeColor="text1"/>
        </w:rPr>
        <w:t>oportuna</w:t>
      </w:r>
      <w:r w:rsidRPr="00B73666">
        <w:rPr>
          <w:rFonts w:ascii="Palatino Linotype" w:hAnsi="Palatino Linotype" w:cs="Arial"/>
          <w:color w:val="000000" w:themeColor="text1"/>
        </w:rPr>
        <w:t>.</w:t>
      </w:r>
    </w:p>
    <w:p w14:paraId="372EB43A" w14:textId="77777777" w:rsidR="00DE7DC7" w:rsidRPr="00B73666" w:rsidRDefault="00DE7DC7" w:rsidP="00DE7DC7">
      <w:pPr>
        <w:pStyle w:val="Prrafodelista"/>
        <w:tabs>
          <w:tab w:val="left" w:pos="142"/>
          <w:tab w:val="left" w:pos="284"/>
          <w:tab w:val="left" w:pos="426"/>
        </w:tabs>
        <w:spacing w:before="240" w:after="240" w:line="360" w:lineRule="auto"/>
        <w:ind w:left="0"/>
        <w:jc w:val="both"/>
        <w:rPr>
          <w:rFonts w:ascii="Palatino Linotype" w:hAnsi="Palatino Linotype"/>
          <w:sz w:val="22"/>
          <w:szCs w:val="18"/>
        </w:rPr>
      </w:pPr>
    </w:p>
    <w:p w14:paraId="7606E476" w14:textId="26C63EA6" w:rsidR="00DE7DC7" w:rsidRPr="00B73666" w:rsidRDefault="00DE7DC7" w:rsidP="00DE7DC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szCs w:val="18"/>
        </w:rPr>
      </w:pPr>
      <w:r w:rsidRPr="00B73666">
        <w:rPr>
          <w:rFonts w:ascii="Palatino Linotype" w:hAnsi="Palatino Linotype" w:cs="Arial"/>
          <w:szCs w:val="23"/>
        </w:rPr>
        <w:t xml:space="preserve">Por </w:t>
      </w:r>
      <w:r w:rsidRPr="00B73666">
        <w:rPr>
          <w:rFonts w:ascii="Palatino Linotype" w:hAnsi="Palatino Linotype" w:cs="Arial"/>
          <w:color w:val="000000" w:themeColor="text1"/>
          <w:szCs w:val="23"/>
        </w:rPr>
        <w:t xml:space="preserve">lo anterior, se </w:t>
      </w:r>
      <w:r w:rsidRPr="00B73666">
        <w:rPr>
          <w:rFonts w:ascii="Palatino Linotype" w:hAnsi="Palatino Linotype"/>
          <w:color w:val="000000" w:themeColor="text1"/>
        </w:rPr>
        <w:t>actualiza la causal de procedencia</w:t>
      </w:r>
      <w:r w:rsidRPr="00B73666">
        <w:rPr>
          <w:rFonts w:ascii="Palatino Linotype" w:hAnsi="Palatino Linotype" w:cs="Arial"/>
          <w:color w:val="000000" w:themeColor="text1"/>
          <w:szCs w:val="23"/>
        </w:rPr>
        <w:t xml:space="preserve"> del recurso de revisión establecida en el artículo 179 fracción </w:t>
      </w:r>
      <w:r w:rsidR="003E47DF" w:rsidRPr="00B73666">
        <w:rPr>
          <w:rFonts w:ascii="Palatino Linotype" w:hAnsi="Palatino Linotype" w:cs="Arial"/>
          <w:color w:val="000000" w:themeColor="text1"/>
          <w:szCs w:val="23"/>
        </w:rPr>
        <w:t>VII</w:t>
      </w:r>
      <w:r w:rsidRPr="00B73666">
        <w:rPr>
          <w:rFonts w:ascii="Palatino Linotype" w:hAnsi="Palatino Linotype" w:cs="Arial"/>
          <w:color w:val="000000" w:themeColor="text1"/>
          <w:szCs w:val="23"/>
        </w:rPr>
        <w:t xml:space="preserve"> de la Ley de Transparencia y Acceso a la Información Pública del Estado de México y Municipios, mismo que se transcribe a continuación:</w:t>
      </w:r>
    </w:p>
    <w:p w14:paraId="20C1B09F" w14:textId="77777777" w:rsidR="00DE7DC7" w:rsidRPr="00B73666" w:rsidRDefault="00DE7DC7" w:rsidP="00DE7DC7">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p>
    <w:p w14:paraId="193584BC" w14:textId="3CA85495" w:rsidR="00DE7DC7" w:rsidRPr="00B73666" w:rsidRDefault="00DE7DC7" w:rsidP="00DE7DC7">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B73666">
        <w:rPr>
          <w:rFonts w:ascii="Palatino Linotype" w:hAnsi="Palatino Linotype" w:cs="Arial"/>
          <w:i/>
          <w:iCs/>
          <w:color w:val="000000" w:themeColor="text1"/>
          <w:sz w:val="22"/>
          <w:szCs w:val="22"/>
        </w:rPr>
        <w:t>“</w:t>
      </w:r>
      <w:r w:rsidRPr="00B73666">
        <w:rPr>
          <w:rFonts w:ascii="Palatino Linotype" w:hAnsi="Palatino Linotype" w:cs="Arial"/>
          <w:b/>
          <w:bCs/>
          <w:i/>
          <w:iCs/>
          <w:color w:val="000000" w:themeColor="text1"/>
          <w:sz w:val="22"/>
          <w:szCs w:val="22"/>
        </w:rPr>
        <w:t>Artículo 179.</w:t>
      </w:r>
      <w:r w:rsidRPr="00B73666">
        <w:rPr>
          <w:rFonts w:ascii="Palatino Linotype" w:hAnsi="Palatino Linotype" w:cs="Arial"/>
          <w:i/>
          <w:iCs/>
          <w:color w:val="000000" w:themeColor="text1"/>
          <w:sz w:val="22"/>
          <w:szCs w:val="22"/>
        </w:rPr>
        <w:t xml:space="preserve"> El recurso de revisión es un medio de protección que la Ley otorga a los particulares, para hacer valer su derecho de acceso a la información pública, y procederá en contra de las siguientes causas:</w:t>
      </w:r>
    </w:p>
    <w:p w14:paraId="3531F15F" w14:textId="77777777" w:rsidR="00DE7DC7" w:rsidRPr="00B73666" w:rsidRDefault="00DE7DC7" w:rsidP="00DE7DC7">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B73666">
        <w:rPr>
          <w:rFonts w:ascii="Palatino Linotype" w:hAnsi="Palatino Linotype" w:cs="Arial"/>
          <w:i/>
          <w:iCs/>
          <w:color w:val="000000" w:themeColor="text1"/>
          <w:sz w:val="22"/>
          <w:szCs w:val="22"/>
        </w:rPr>
        <w:t>(…)</w:t>
      </w:r>
    </w:p>
    <w:p w14:paraId="58059184" w14:textId="1FB85ED4" w:rsidR="00DE7DC7" w:rsidRPr="00B73666" w:rsidRDefault="003E47DF" w:rsidP="00DE7DC7">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B73666">
        <w:rPr>
          <w:rFonts w:ascii="Palatino Linotype" w:hAnsi="Palatino Linotype" w:cs="Arial"/>
          <w:b/>
          <w:bCs/>
          <w:i/>
          <w:iCs/>
          <w:color w:val="000000" w:themeColor="text1"/>
          <w:sz w:val="22"/>
          <w:szCs w:val="22"/>
        </w:rPr>
        <w:t>VII</w:t>
      </w:r>
      <w:r w:rsidR="00DE7DC7" w:rsidRPr="00B73666">
        <w:rPr>
          <w:rFonts w:ascii="Palatino Linotype" w:hAnsi="Palatino Linotype" w:cs="Arial"/>
          <w:b/>
          <w:bCs/>
          <w:i/>
          <w:iCs/>
          <w:color w:val="000000" w:themeColor="text1"/>
          <w:sz w:val="22"/>
          <w:szCs w:val="22"/>
        </w:rPr>
        <w:t>.</w:t>
      </w:r>
      <w:r w:rsidR="00DE7DC7" w:rsidRPr="00B73666">
        <w:rPr>
          <w:rFonts w:ascii="Palatino Linotype" w:hAnsi="Palatino Linotype" w:cs="Arial"/>
          <w:i/>
          <w:iCs/>
          <w:color w:val="000000" w:themeColor="text1"/>
          <w:sz w:val="22"/>
          <w:szCs w:val="22"/>
        </w:rPr>
        <w:t xml:space="preserve"> La </w:t>
      </w:r>
      <w:r w:rsidRPr="00B73666">
        <w:rPr>
          <w:rFonts w:ascii="Palatino Linotype" w:hAnsi="Palatino Linotype" w:cs="Arial"/>
          <w:i/>
          <w:iCs/>
          <w:color w:val="000000" w:themeColor="text1"/>
          <w:sz w:val="22"/>
          <w:szCs w:val="22"/>
        </w:rPr>
        <w:t>falta de respuesta a una solicitud de acceso a la información</w:t>
      </w:r>
      <w:r w:rsidR="00DE7DC7" w:rsidRPr="00B73666">
        <w:rPr>
          <w:rFonts w:ascii="Palatino Linotype" w:hAnsi="Palatino Linotype" w:cs="Arial"/>
          <w:i/>
          <w:iCs/>
          <w:color w:val="000000" w:themeColor="text1"/>
          <w:sz w:val="22"/>
          <w:szCs w:val="22"/>
        </w:rPr>
        <w:t>;</w:t>
      </w:r>
    </w:p>
    <w:p w14:paraId="29B244F2" w14:textId="68AC6425" w:rsidR="00DE7DC7" w:rsidRPr="00B73666" w:rsidRDefault="00DE7DC7" w:rsidP="00DE7DC7">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B73666">
        <w:rPr>
          <w:rFonts w:ascii="Palatino Linotype" w:hAnsi="Palatino Linotype" w:cs="Arial"/>
          <w:i/>
          <w:iCs/>
          <w:color w:val="000000" w:themeColor="text1"/>
          <w:sz w:val="22"/>
          <w:szCs w:val="22"/>
        </w:rPr>
        <w:t>(…)”</w:t>
      </w:r>
    </w:p>
    <w:p w14:paraId="59A0601F" w14:textId="77777777" w:rsidR="00DE7DC7" w:rsidRPr="00B73666" w:rsidRDefault="00DE7DC7" w:rsidP="00DE7DC7">
      <w:pPr>
        <w:pStyle w:val="Prrafodelista"/>
        <w:tabs>
          <w:tab w:val="left" w:pos="142"/>
          <w:tab w:val="left" w:pos="284"/>
          <w:tab w:val="left" w:pos="426"/>
        </w:tabs>
        <w:spacing w:before="240" w:after="240" w:line="360" w:lineRule="auto"/>
        <w:ind w:left="0"/>
        <w:jc w:val="both"/>
        <w:rPr>
          <w:rFonts w:ascii="Palatino Linotype" w:hAnsi="Palatino Linotype"/>
          <w:sz w:val="22"/>
          <w:szCs w:val="18"/>
        </w:rPr>
      </w:pPr>
    </w:p>
    <w:p w14:paraId="06A3F196" w14:textId="77777777" w:rsidR="00390C2D" w:rsidRPr="00B73666" w:rsidRDefault="002572AE" w:rsidP="00763406">
      <w:pPr>
        <w:keepNext/>
        <w:keepLines/>
        <w:tabs>
          <w:tab w:val="left" w:pos="142"/>
          <w:tab w:val="left" w:pos="284"/>
        </w:tabs>
        <w:spacing w:before="40"/>
        <w:outlineLvl w:val="1"/>
        <w:rPr>
          <w:rFonts w:ascii="Palatino Linotype" w:eastAsia="MS Gothic" w:hAnsi="Palatino Linotype" w:cs="Times New Roman"/>
          <w:b/>
          <w:szCs w:val="26"/>
        </w:rPr>
      </w:pPr>
      <w:bookmarkStart w:id="21" w:name="_Toc48216084"/>
      <w:bookmarkStart w:id="22" w:name="_Toc499659080"/>
      <w:r w:rsidRPr="00B73666">
        <w:rPr>
          <w:rFonts w:ascii="Palatino Linotype" w:eastAsia="MS Gothic" w:hAnsi="Palatino Linotype" w:cs="Times New Roman"/>
          <w:b/>
          <w:szCs w:val="26"/>
        </w:rPr>
        <w:t>CUARTO</w:t>
      </w:r>
      <w:r w:rsidR="001E4669" w:rsidRPr="00B73666">
        <w:rPr>
          <w:rFonts w:ascii="Palatino Linotype" w:eastAsia="MS Gothic" w:hAnsi="Palatino Linotype" w:cs="Times New Roman"/>
          <w:b/>
          <w:szCs w:val="26"/>
        </w:rPr>
        <w:t xml:space="preserve">. </w:t>
      </w:r>
      <w:r w:rsidR="00390C2D" w:rsidRPr="00B73666">
        <w:rPr>
          <w:rFonts w:ascii="Palatino Linotype" w:eastAsia="MS Gothic" w:hAnsi="Palatino Linotype" w:cs="Times New Roman"/>
          <w:b/>
          <w:szCs w:val="26"/>
        </w:rPr>
        <w:t>Del estudio y resolución del asunto</w:t>
      </w:r>
      <w:bookmarkEnd w:id="21"/>
    </w:p>
    <w:p w14:paraId="5A77CCE0" w14:textId="77777777" w:rsidR="0052144D" w:rsidRPr="00B73666" w:rsidRDefault="0052144D" w:rsidP="0052144D">
      <w:pPr>
        <w:rPr>
          <w:rFonts w:ascii="Palatino Linotype" w:eastAsia="MS Gothic" w:hAnsi="Palatino Linotype" w:cs="Times New Roman"/>
          <w:b/>
          <w:szCs w:val="26"/>
        </w:rPr>
      </w:pPr>
      <w:bookmarkStart w:id="23" w:name="_Toc498528948"/>
    </w:p>
    <w:p w14:paraId="40FB8EDB" w14:textId="77777777" w:rsidR="00390C2D" w:rsidRPr="00B73666"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24" w:name="_Toc48216085"/>
      <w:r w:rsidRPr="00B73666">
        <w:rPr>
          <w:rFonts w:ascii="Palatino Linotype" w:eastAsia="MS Gothic" w:hAnsi="Palatino Linotype" w:cs="Times New Roman"/>
          <w:b/>
          <w:szCs w:val="26"/>
        </w:rPr>
        <w:t xml:space="preserve">I. </w:t>
      </w:r>
      <w:r w:rsidR="00390C2D" w:rsidRPr="00B73666">
        <w:rPr>
          <w:rFonts w:ascii="Palatino Linotype" w:eastAsia="MS Gothic" w:hAnsi="Palatino Linotype" w:cs="Times New Roman"/>
          <w:b/>
          <w:szCs w:val="26"/>
        </w:rPr>
        <w:t>Del deber de las autoridades de promover, respetar, proteger y garantizar el derecho de acceso a la información pública.</w:t>
      </w:r>
      <w:bookmarkEnd w:id="23"/>
      <w:bookmarkEnd w:id="24"/>
      <w:r w:rsidR="00390C2D" w:rsidRPr="00B73666">
        <w:rPr>
          <w:rFonts w:ascii="Palatino Linotype" w:eastAsia="MS Gothic" w:hAnsi="Palatino Linotype" w:cs="Times New Roman"/>
          <w:b/>
          <w:szCs w:val="26"/>
        </w:rPr>
        <w:t xml:space="preserve"> </w:t>
      </w:r>
    </w:p>
    <w:p w14:paraId="0DA44D77" w14:textId="77777777" w:rsidR="00390C2D" w:rsidRPr="00B73666" w:rsidRDefault="00390C2D" w:rsidP="00763406">
      <w:pPr>
        <w:pStyle w:val="Prrafodelista"/>
        <w:tabs>
          <w:tab w:val="left" w:pos="142"/>
          <w:tab w:val="left" w:pos="284"/>
        </w:tabs>
        <w:ind w:left="0"/>
        <w:rPr>
          <w:rFonts w:ascii="Palatino Linotype" w:eastAsia="MS Mincho" w:hAnsi="Palatino Linotype" w:cs="Arial"/>
        </w:rPr>
      </w:pPr>
    </w:p>
    <w:p w14:paraId="733C82E7" w14:textId="77777777" w:rsidR="00390C2D" w:rsidRPr="00B73666"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73666">
        <w:rPr>
          <w:rFonts w:ascii="Palatino Linotype" w:hAnsi="Palatino Linotype"/>
        </w:rPr>
        <w:t xml:space="preserve">Es menester precisar que este </w:t>
      </w:r>
      <w:r w:rsidRPr="00B73666">
        <w:rPr>
          <w:rFonts w:ascii="Palatino Linotype" w:eastAsia="MS Mincho" w:hAnsi="Palatino Linotype" w:cs="Times New Roman"/>
          <w:color w:val="000000"/>
        </w:rPr>
        <w:t xml:space="preserve">Órgano Garante parte de que </w:t>
      </w:r>
      <w:r w:rsidRPr="00B73666">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w:t>
      </w:r>
      <w:r w:rsidRPr="00B73666">
        <w:rPr>
          <w:rFonts w:ascii="Palatino Linotype" w:eastAsia="Times New Roman" w:hAnsi="Palatino Linotype" w:cs="Arial"/>
          <w:color w:val="000000"/>
          <w:lang w:eastAsia="es-MX"/>
        </w:rPr>
        <w:lastRenderedPageBreak/>
        <w:t>Política de los Estados Unidos Mexicanos y en el artículo quinto de la Particular del Estado de México, por lo que al respecto</w:t>
      </w:r>
      <w:r w:rsidR="00C73AB8" w:rsidRPr="00B73666">
        <w:rPr>
          <w:rFonts w:ascii="Palatino Linotype" w:eastAsia="Times New Roman" w:hAnsi="Palatino Linotype" w:cs="Arial"/>
          <w:color w:val="000000"/>
          <w:lang w:eastAsia="es-MX"/>
        </w:rPr>
        <w:t>,</w:t>
      </w:r>
      <w:r w:rsidRPr="00B73666">
        <w:rPr>
          <w:rFonts w:ascii="Palatino Linotype" w:eastAsia="Times New Roman" w:hAnsi="Palatino Linotype" w:cs="Arial"/>
          <w:color w:val="000000"/>
          <w:lang w:eastAsia="es-MX"/>
        </w:rPr>
        <w:t xml:space="preserve"> el</w:t>
      </w:r>
      <w:r w:rsidRPr="00B73666">
        <w:rPr>
          <w:rFonts w:ascii="Palatino Linotype" w:eastAsia="Times New Roman" w:hAnsi="Palatino Linotype" w:cs="Arial"/>
          <w:color w:val="000000"/>
        </w:rPr>
        <w:t xml:space="preserve"> </w:t>
      </w:r>
      <w:r w:rsidRPr="00B73666">
        <w:rPr>
          <w:rFonts w:ascii="Palatino Linotype" w:eastAsia="Times New Roman" w:hAnsi="Palatino Linotype" w:cs="Arial"/>
          <w:b/>
          <w:color w:val="000000"/>
        </w:rPr>
        <w:t>SUJETO OBLIGADO</w:t>
      </w:r>
      <w:r w:rsidRPr="00B73666">
        <w:rPr>
          <w:rFonts w:ascii="Palatino Linotype" w:eastAsia="Times New Roman" w:hAnsi="Palatino Linotype" w:cs="Arial"/>
          <w:color w:val="000000"/>
        </w:rPr>
        <w:t xml:space="preserve"> debe ser cuidadoso del debido cumplimiento de las obligaciones constitucionales que se le imponen</w:t>
      </w:r>
      <w:r w:rsidR="002C4B4C" w:rsidRPr="00B73666">
        <w:rPr>
          <w:rFonts w:ascii="Palatino Linotype" w:eastAsia="Times New Roman" w:hAnsi="Palatino Linotype" w:cs="Arial"/>
          <w:color w:val="000000"/>
        </w:rPr>
        <w:t>,</w:t>
      </w:r>
      <w:r w:rsidRPr="00B73666">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B73666">
        <w:rPr>
          <w:rFonts w:ascii="Palatino Linotype" w:eastAsia="Times New Roman" w:hAnsi="Palatino Linotype" w:cs="Arial"/>
          <w:b/>
          <w:color w:val="000000"/>
        </w:rPr>
        <w:t xml:space="preserve">Constitución Política de los Estados Unidos Mexicanos </w:t>
      </w:r>
      <w:r w:rsidRPr="00B73666">
        <w:rPr>
          <w:rFonts w:ascii="Palatino Linotype" w:eastAsia="Times New Roman" w:hAnsi="Palatino Linotype" w:cs="Arial"/>
          <w:color w:val="000000"/>
        </w:rPr>
        <w:t xml:space="preserve">al señalar la obligación de “promover, </w:t>
      </w:r>
      <w:r w:rsidRPr="00B73666">
        <w:rPr>
          <w:rFonts w:ascii="Palatino Linotype" w:eastAsia="Times New Roman" w:hAnsi="Palatino Linotype" w:cs="Arial"/>
          <w:b/>
          <w:color w:val="000000"/>
        </w:rPr>
        <w:t>respetar</w:t>
      </w:r>
      <w:r w:rsidRPr="00B73666">
        <w:rPr>
          <w:rFonts w:ascii="Palatino Linotype" w:eastAsia="Times New Roman" w:hAnsi="Palatino Linotype" w:cs="Arial"/>
          <w:color w:val="000000"/>
        </w:rPr>
        <w:t xml:space="preserve">, proteger y </w:t>
      </w:r>
      <w:r w:rsidRPr="00B73666">
        <w:rPr>
          <w:rFonts w:ascii="Palatino Linotype" w:eastAsia="Times New Roman" w:hAnsi="Palatino Linotype" w:cs="Arial"/>
          <w:b/>
          <w:color w:val="000000"/>
          <w:u w:val="single"/>
        </w:rPr>
        <w:t>garantizar</w:t>
      </w:r>
      <w:r w:rsidRPr="00B73666">
        <w:rPr>
          <w:rFonts w:ascii="Palatino Linotype" w:eastAsia="Times New Roman" w:hAnsi="Palatino Linotype" w:cs="Arial"/>
          <w:color w:val="000000"/>
        </w:rPr>
        <w:t xml:space="preserve"> los derechos humanos”, entre los cuales se encuentra dicho derecho. </w:t>
      </w:r>
    </w:p>
    <w:p w14:paraId="7376CC5B" w14:textId="77777777" w:rsidR="00390C2D" w:rsidRPr="00B73666" w:rsidRDefault="00390C2D" w:rsidP="002C4B4C">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F8AA364" w14:textId="77777777" w:rsidR="00390C2D" w:rsidRPr="00B73666"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73666">
        <w:rPr>
          <w:rFonts w:ascii="Palatino Linotype" w:eastAsia="Times New Roman" w:hAnsi="Palatino Linotype"/>
        </w:rPr>
        <w:t xml:space="preserve">Definiendo el Derecho de Acceso a la Información Pública como: </w:t>
      </w:r>
      <w:r w:rsidRPr="00B73666">
        <w:rPr>
          <w:rFonts w:ascii="Palatino Linotype" w:hAnsi="Palatino Linotype"/>
          <w:i/>
          <w:color w:val="000000"/>
        </w:rPr>
        <w:t>La igualdad de oportunidades para recibir, buscar e impartir información</w:t>
      </w:r>
      <w:r w:rsidRPr="00B73666">
        <w:rPr>
          <w:rStyle w:val="Refdenotaalpie"/>
          <w:rFonts w:ascii="Palatino Linotype" w:hAnsi="Palatino Linotype"/>
          <w:i/>
          <w:color w:val="000000"/>
        </w:rPr>
        <w:footnoteReference w:id="1"/>
      </w:r>
      <w:r w:rsidRPr="00B7366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73666">
        <w:rPr>
          <w:rStyle w:val="Refdenotaalpie"/>
          <w:rFonts w:ascii="Palatino Linotype" w:hAnsi="Palatino Linotype"/>
          <w:i/>
          <w:color w:val="000000"/>
        </w:rPr>
        <w:footnoteReference w:id="2"/>
      </w:r>
      <w:r w:rsidRPr="00B73666">
        <w:rPr>
          <w:rFonts w:ascii="Palatino Linotype" w:hAnsi="Palatino Linotype"/>
          <w:color w:val="000000"/>
        </w:rPr>
        <w:t>que se constituye como una herramienta fundamental para ejercer</w:t>
      </w:r>
      <w:r w:rsidRPr="00B7366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73666">
        <w:rPr>
          <w:rStyle w:val="Refdenotaalpie"/>
          <w:rFonts w:ascii="Palatino Linotype" w:hAnsi="Palatino Linotype"/>
          <w:i/>
          <w:color w:val="000000"/>
        </w:rPr>
        <w:footnoteReference w:id="3"/>
      </w:r>
      <w:r w:rsidR="00555E8F" w:rsidRPr="00B73666">
        <w:rPr>
          <w:rFonts w:ascii="Palatino Linotype" w:hAnsi="Palatino Linotype"/>
          <w:i/>
          <w:color w:val="000000"/>
        </w:rPr>
        <w:t xml:space="preserve"> </w:t>
      </w:r>
      <w:r w:rsidRPr="00B73666">
        <w:rPr>
          <w:rFonts w:ascii="Palatino Linotype" w:hAnsi="Palatino Linotype"/>
          <w:color w:val="000000"/>
        </w:rPr>
        <w:t>fomentando</w:t>
      </w:r>
      <w:r w:rsidRPr="00B73666">
        <w:rPr>
          <w:rFonts w:ascii="Palatino Linotype" w:hAnsi="Palatino Linotype"/>
          <w:i/>
          <w:color w:val="000000"/>
        </w:rPr>
        <w:t xml:space="preserve"> la transparencia de las actividades estatales y </w:t>
      </w:r>
      <w:r w:rsidRPr="00B73666">
        <w:rPr>
          <w:rFonts w:ascii="Palatino Linotype" w:hAnsi="Palatino Linotype"/>
          <w:color w:val="000000"/>
        </w:rPr>
        <w:t>promoviendo</w:t>
      </w:r>
      <w:r w:rsidRPr="00B73666">
        <w:rPr>
          <w:rFonts w:ascii="Palatino Linotype" w:hAnsi="Palatino Linotype"/>
          <w:i/>
          <w:color w:val="000000"/>
        </w:rPr>
        <w:t xml:space="preserve"> la responsabilidad de los funcionarios sobre su gestión pública,</w:t>
      </w:r>
      <w:r w:rsidRPr="00B73666">
        <w:rPr>
          <w:rStyle w:val="Refdenotaalpie"/>
          <w:rFonts w:ascii="Palatino Linotype" w:hAnsi="Palatino Linotype"/>
          <w:i/>
          <w:color w:val="000000"/>
        </w:rPr>
        <w:footnoteReference w:id="4"/>
      </w:r>
      <w:r w:rsidRPr="00B73666">
        <w:rPr>
          <w:rFonts w:ascii="Palatino Linotype" w:hAnsi="Palatino Linotype"/>
          <w:color w:val="000000"/>
        </w:rPr>
        <w:t>que permite</w:t>
      </w:r>
      <w:r w:rsidRPr="00B7366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4AAEF31" w14:textId="77777777" w:rsidR="00390C2D" w:rsidRPr="00B73666" w:rsidRDefault="00390C2D" w:rsidP="002C4B4C">
      <w:pPr>
        <w:pStyle w:val="Prrafodelista"/>
        <w:tabs>
          <w:tab w:val="left" w:pos="142"/>
          <w:tab w:val="left" w:pos="284"/>
          <w:tab w:val="left" w:pos="426"/>
        </w:tabs>
        <w:ind w:left="0"/>
        <w:rPr>
          <w:rFonts w:ascii="Palatino Linotype" w:eastAsia="Times New Roman" w:hAnsi="Palatino Linotype"/>
        </w:rPr>
      </w:pPr>
    </w:p>
    <w:p w14:paraId="5CA73006" w14:textId="77777777" w:rsidR="00390C2D" w:rsidRPr="00B73666"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73666">
        <w:rPr>
          <w:rFonts w:ascii="Palatino Linotype" w:eastAsia="Times New Roman" w:hAnsi="Palatino Linotype"/>
        </w:rPr>
        <w:t>Por lo anterior, se deduce que el derecho de acceso a la información pública es un derecho humano constitucionalmente reconocido</w:t>
      </w:r>
      <w:r w:rsidR="00C73AB8" w:rsidRPr="00B73666">
        <w:rPr>
          <w:rFonts w:ascii="Palatino Linotype" w:eastAsia="Times New Roman" w:hAnsi="Palatino Linotype"/>
        </w:rPr>
        <w:t xml:space="preserve"> y</w:t>
      </w:r>
      <w:r w:rsidR="002C4B4C" w:rsidRPr="00B73666">
        <w:rPr>
          <w:rFonts w:ascii="Palatino Linotype" w:eastAsia="Times New Roman" w:hAnsi="Palatino Linotype"/>
        </w:rPr>
        <w:t>,</w:t>
      </w:r>
      <w:r w:rsidR="00C73AB8" w:rsidRPr="00B73666">
        <w:rPr>
          <w:rFonts w:ascii="Palatino Linotype" w:eastAsia="Times New Roman" w:hAnsi="Palatino Linotype"/>
        </w:rPr>
        <w:t xml:space="preserve"> a</w:t>
      </w:r>
      <w:r w:rsidRPr="00B73666">
        <w:rPr>
          <w:rFonts w:ascii="Palatino Linotype" w:eastAsia="Times New Roman" w:hAnsi="Palatino Linotype"/>
        </w:rPr>
        <w:t xml:space="preserve"> consecuencia</w:t>
      </w:r>
      <w:r w:rsidR="00C73AB8" w:rsidRPr="00B73666">
        <w:rPr>
          <w:rFonts w:ascii="Palatino Linotype" w:eastAsia="Times New Roman" w:hAnsi="Palatino Linotype"/>
        </w:rPr>
        <w:t xml:space="preserve"> de ello,</w:t>
      </w:r>
      <w:r w:rsidRPr="00B73666">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B73666">
        <w:rPr>
          <w:rFonts w:ascii="Palatino Linotype" w:eastAsia="Times New Roman" w:hAnsi="Palatino Linotype"/>
        </w:rPr>
        <w:t>.</w:t>
      </w:r>
    </w:p>
    <w:p w14:paraId="14EA2E86" w14:textId="77777777" w:rsidR="00390C2D" w:rsidRPr="00B73666" w:rsidRDefault="00390C2D" w:rsidP="002C4B4C">
      <w:pPr>
        <w:pStyle w:val="Prrafodelista"/>
        <w:tabs>
          <w:tab w:val="left" w:pos="142"/>
          <w:tab w:val="left" w:pos="284"/>
          <w:tab w:val="left" w:pos="426"/>
        </w:tabs>
        <w:ind w:left="0"/>
        <w:rPr>
          <w:rFonts w:ascii="Palatino Linotype" w:eastAsia="Times New Roman" w:hAnsi="Palatino Linotype"/>
        </w:rPr>
      </w:pPr>
    </w:p>
    <w:p w14:paraId="77078412" w14:textId="227FAAA0" w:rsidR="00390C2D" w:rsidRPr="00B73666" w:rsidRDefault="00390C2D" w:rsidP="00351A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r w:rsidRPr="00B73666">
        <w:rPr>
          <w:rFonts w:ascii="Palatino Linotype" w:eastAsia="Times New Roman" w:hAnsi="Palatino Linotype"/>
        </w:rPr>
        <w:t>En el caso co</w:t>
      </w:r>
      <w:r w:rsidR="00C73AB8" w:rsidRPr="00B73666">
        <w:rPr>
          <w:rFonts w:ascii="Palatino Linotype" w:eastAsia="Times New Roman" w:hAnsi="Palatino Linotype"/>
        </w:rPr>
        <w:t xml:space="preserve">ncreto que nos ocupa, </w:t>
      </w:r>
      <w:r w:rsidR="008E29C5" w:rsidRPr="00B73666">
        <w:rPr>
          <w:rFonts w:ascii="Palatino Linotype" w:eastAsia="Times New Roman" w:hAnsi="Palatino Linotype"/>
        </w:rPr>
        <w:t>el</w:t>
      </w:r>
      <w:r w:rsidRPr="00B73666">
        <w:rPr>
          <w:rFonts w:ascii="Palatino Linotype" w:eastAsia="Times New Roman" w:hAnsi="Palatino Linotype"/>
        </w:rPr>
        <w:t xml:space="preserve"> particular</w:t>
      </w:r>
      <w:r w:rsidR="00E56C11" w:rsidRPr="00B73666">
        <w:rPr>
          <w:rFonts w:ascii="Palatino Linotype" w:eastAsia="Times New Roman" w:hAnsi="Palatino Linotype"/>
        </w:rPr>
        <w:t xml:space="preserve"> requirió </w:t>
      </w:r>
      <w:r w:rsidR="00180631" w:rsidRPr="00B73666">
        <w:rPr>
          <w:rFonts w:ascii="Palatino Linotype" w:eastAsia="Times New Roman" w:hAnsi="Palatino Linotype"/>
        </w:rPr>
        <w:t>las Actas del Comité de Adquisiciones del dos mil dieciocho, dos mil diecinueve y dos mil veinte</w:t>
      </w:r>
      <w:r w:rsidR="00A4775A" w:rsidRPr="00B73666">
        <w:rPr>
          <w:rFonts w:ascii="Palatino Linotype" w:hAnsi="Palatino Linotype"/>
          <w:sz w:val="22"/>
        </w:rPr>
        <w:t>;</w:t>
      </w:r>
      <w:r w:rsidR="008E29C5" w:rsidRPr="00B73666">
        <w:rPr>
          <w:rFonts w:ascii="Palatino Linotype" w:eastAsia="Times New Roman" w:hAnsi="Palatino Linotype"/>
        </w:rPr>
        <w:t xml:space="preserve"> solicitud que</w:t>
      </w:r>
      <w:r w:rsidR="00142A26" w:rsidRPr="00B73666">
        <w:rPr>
          <w:rFonts w:ascii="Palatino Linotype" w:eastAsia="Times New Roman" w:hAnsi="Palatino Linotype"/>
        </w:rPr>
        <w:t>,</w:t>
      </w:r>
      <w:r w:rsidR="008E29C5" w:rsidRPr="00B73666">
        <w:rPr>
          <w:rFonts w:ascii="Palatino Linotype" w:eastAsia="Times New Roman" w:hAnsi="Palatino Linotype"/>
        </w:rPr>
        <w:t xml:space="preserve"> de acuerdo con los agravios expuestos por el ahora </w:t>
      </w:r>
      <w:r w:rsidR="008E29C5" w:rsidRPr="00B73666">
        <w:rPr>
          <w:rFonts w:ascii="Palatino Linotype" w:eastAsia="Times New Roman" w:hAnsi="Palatino Linotype"/>
          <w:b/>
        </w:rPr>
        <w:t>RECURRENTE</w:t>
      </w:r>
      <w:r w:rsidR="008E29C5" w:rsidRPr="00B73666">
        <w:rPr>
          <w:rFonts w:ascii="Palatino Linotype" w:eastAsia="Times New Roman" w:hAnsi="Palatino Linotype"/>
        </w:rPr>
        <w:t xml:space="preserve"> en su recurso de revisión</w:t>
      </w:r>
      <w:r w:rsidRPr="00B73666">
        <w:rPr>
          <w:rFonts w:ascii="Palatino Linotype" w:eastAsia="Times New Roman" w:hAnsi="Palatino Linotype"/>
        </w:rPr>
        <w:t xml:space="preserve">, no fue atendida por el </w:t>
      </w:r>
      <w:r w:rsidRPr="00B73666">
        <w:rPr>
          <w:rFonts w:ascii="Palatino Linotype" w:eastAsia="Times New Roman" w:hAnsi="Palatino Linotype"/>
          <w:b/>
        </w:rPr>
        <w:t>SUJETO OBLIGADO</w:t>
      </w:r>
      <w:r w:rsidR="008E29C5" w:rsidRPr="00B73666">
        <w:rPr>
          <w:rFonts w:ascii="Palatino Linotype" w:eastAsia="Times New Roman" w:hAnsi="Palatino Linotype"/>
        </w:rPr>
        <w:t>.</w:t>
      </w:r>
    </w:p>
    <w:p w14:paraId="7662ABFC" w14:textId="77777777" w:rsidR="00404CB5" w:rsidRPr="00B73666" w:rsidRDefault="00404CB5" w:rsidP="00404CB5">
      <w:pPr>
        <w:pStyle w:val="Prrafodelista"/>
        <w:tabs>
          <w:tab w:val="left" w:pos="142"/>
          <w:tab w:val="left" w:pos="284"/>
          <w:tab w:val="left" w:pos="426"/>
        </w:tabs>
        <w:spacing w:before="240" w:after="240" w:line="360" w:lineRule="auto"/>
        <w:ind w:left="0"/>
        <w:jc w:val="both"/>
        <w:rPr>
          <w:rFonts w:ascii="Palatino Linotype" w:hAnsi="Palatino Linotype"/>
          <w:i/>
          <w:sz w:val="22"/>
        </w:rPr>
      </w:pPr>
    </w:p>
    <w:p w14:paraId="426CCFB8" w14:textId="42A3A1B7" w:rsidR="00404CB5" w:rsidRPr="00B73666" w:rsidRDefault="00404CB5" w:rsidP="00351A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r w:rsidRPr="00B73666">
        <w:rPr>
          <w:rFonts w:ascii="Palatino Linotype" w:eastAsia="Times New Roman" w:hAnsi="Palatino Linotype"/>
        </w:rPr>
        <w:t xml:space="preserve">Por lo tanto, derivado de lo señalado en la interposición del recurso de revisión, </w:t>
      </w:r>
      <w:r w:rsidRPr="00B73666">
        <w:rPr>
          <w:rFonts w:ascii="Palatino Linotype" w:eastAsia="Times New Roman" w:hAnsi="Palatino Linotype"/>
          <w:b/>
        </w:rPr>
        <w:t xml:space="preserve">la actuación del </w:t>
      </w:r>
      <w:r w:rsidR="00D114C0" w:rsidRPr="00B73666">
        <w:rPr>
          <w:rFonts w:ascii="Palatino Linotype" w:hAnsi="Palatino Linotype" w:cs="Arial"/>
          <w:b/>
          <w:szCs w:val="23"/>
        </w:rPr>
        <w:t xml:space="preserve">Ayuntamiento de </w:t>
      </w:r>
      <w:proofErr w:type="spellStart"/>
      <w:r w:rsidR="00D114C0" w:rsidRPr="00B73666">
        <w:rPr>
          <w:rFonts w:ascii="Palatino Linotype" w:hAnsi="Palatino Linotype" w:cs="Arial"/>
          <w:b/>
          <w:szCs w:val="23"/>
        </w:rPr>
        <w:t>Ocoyoacac</w:t>
      </w:r>
      <w:proofErr w:type="spellEnd"/>
      <w:r w:rsidRPr="00B73666">
        <w:rPr>
          <w:rFonts w:ascii="Palatino Linotype" w:hAnsi="Palatino Linotype" w:cs="Arial"/>
          <w:szCs w:val="23"/>
        </w:rPr>
        <w:t xml:space="preserve"> constituye una afectación al derecho humano de acceso a la información pública del particular, en virtud de que éste se encuentra incumpliendo de manera continua con sus obligaciones de transparencia al no entregar la información.</w:t>
      </w:r>
    </w:p>
    <w:p w14:paraId="63699258" w14:textId="77777777" w:rsidR="000E2E37" w:rsidRPr="00B73666" w:rsidRDefault="000E2E37" w:rsidP="002C4B4C">
      <w:pPr>
        <w:pStyle w:val="Prrafodelista"/>
        <w:tabs>
          <w:tab w:val="left" w:pos="142"/>
          <w:tab w:val="left" w:pos="284"/>
          <w:tab w:val="left" w:pos="426"/>
        </w:tabs>
        <w:ind w:left="0"/>
        <w:rPr>
          <w:rFonts w:ascii="Palatino Linotype" w:hAnsi="Palatino Linotype"/>
          <w:i/>
          <w:sz w:val="22"/>
        </w:rPr>
      </w:pPr>
    </w:p>
    <w:p w14:paraId="64202544" w14:textId="77777777" w:rsidR="00390C2D" w:rsidRPr="00B73666" w:rsidRDefault="00404CB5"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73666">
        <w:rPr>
          <w:rFonts w:ascii="Palatino Linotype" w:hAnsi="Palatino Linotype" w:cs="Arial"/>
          <w:szCs w:val="23"/>
        </w:rPr>
        <w:t>Ante tal afectación,</w:t>
      </w:r>
      <w:r w:rsidR="00F06525" w:rsidRPr="00B73666">
        <w:rPr>
          <w:rFonts w:ascii="Palatino Linotype" w:hAnsi="Palatino Linotype" w:cs="Arial"/>
          <w:szCs w:val="23"/>
        </w:rPr>
        <w:t xml:space="preserve"> </w:t>
      </w:r>
      <w:r w:rsidR="00390C2D" w:rsidRPr="00B73666">
        <w:rPr>
          <w:rFonts w:ascii="Palatino Linotype" w:hAnsi="Palatino Linotype" w:cs="Arial"/>
          <w:szCs w:val="23"/>
        </w:rPr>
        <w:t>el artículo primero Constitucional</w:t>
      </w:r>
      <w:r w:rsidR="00F06525" w:rsidRPr="00B73666">
        <w:rPr>
          <w:rFonts w:ascii="Palatino Linotype" w:hAnsi="Palatino Linotype" w:cs="Arial"/>
          <w:szCs w:val="23"/>
        </w:rPr>
        <w:t>,</w:t>
      </w:r>
      <w:r w:rsidR="00390C2D" w:rsidRPr="00B73666">
        <w:rPr>
          <w:rFonts w:ascii="Palatino Linotype" w:hAnsi="Palatino Linotype" w:cs="Arial"/>
          <w:szCs w:val="23"/>
        </w:rPr>
        <w:t xml:space="preserve"> de forma clara y precisa</w:t>
      </w:r>
      <w:r w:rsidR="00F06525" w:rsidRPr="00B73666">
        <w:rPr>
          <w:rFonts w:ascii="Palatino Linotype" w:hAnsi="Palatino Linotype" w:cs="Arial"/>
          <w:szCs w:val="23"/>
        </w:rPr>
        <w:t>,</w:t>
      </w:r>
      <w:r w:rsidR="00390C2D" w:rsidRPr="00B73666">
        <w:rPr>
          <w:rFonts w:ascii="Palatino Linotype" w:hAnsi="Palatino Linotype" w:cs="Arial"/>
          <w:szCs w:val="23"/>
        </w:rPr>
        <w:t xml:space="preserve"> dispone que como consecuencia de la obligación que tienen las autoridades de promover, respetar, proteger y garantizar el derecho humano; el Estado deberá </w:t>
      </w:r>
      <w:r w:rsidR="00390C2D" w:rsidRPr="00B73666">
        <w:rPr>
          <w:rFonts w:ascii="Palatino Linotype" w:hAnsi="Palatino Linotype" w:cs="Arial"/>
          <w:szCs w:val="23"/>
          <w:u w:val="single"/>
        </w:rPr>
        <w:t>prevenir, investigar, sancionar y reparar las violaciones a los derechos humanos</w:t>
      </w:r>
      <w:r w:rsidR="006228CD" w:rsidRPr="00B73666">
        <w:rPr>
          <w:rFonts w:ascii="Palatino Linotype" w:hAnsi="Palatino Linotype" w:cs="Arial"/>
          <w:szCs w:val="23"/>
        </w:rPr>
        <w:t>.</w:t>
      </w:r>
    </w:p>
    <w:p w14:paraId="40427FBD" w14:textId="77777777" w:rsidR="00390C2D" w:rsidRPr="00B73666" w:rsidRDefault="00390C2D" w:rsidP="002C4B4C">
      <w:pPr>
        <w:pStyle w:val="Prrafodelista"/>
        <w:tabs>
          <w:tab w:val="left" w:pos="142"/>
          <w:tab w:val="left" w:pos="284"/>
          <w:tab w:val="left" w:pos="426"/>
        </w:tabs>
        <w:ind w:left="0"/>
        <w:rPr>
          <w:rFonts w:ascii="Palatino Linotype" w:eastAsia="Times New Roman" w:hAnsi="Palatino Linotype"/>
        </w:rPr>
      </w:pPr>
    </w:p>
    <w:p w14:paraId="522B4DED" w14:textId="77777777" w:rsidR="00390C2D" w:rsidRPr="00B73666"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73666">
        <w:rPr>
          <w:rFonts w:ascii="Palatino Linotype" w:eastAsia="Times New Roman" w:hAnsi="Palatino Linotype"/>
        </w:rPr>
        <w:t xml:space="preserve">Es así que la </w:t>
      </w:r>
      <w:r w:rsidRPr="00B73666">
        <w:rPr>
          <w:rFonts w:ascii="Palatino Linotype" w:eastAsia="Times New Roman" w:hAnsi="Palatino Linotype"/>
          <w:b/>
        </w:rPr>
        <w:t xml:space="preserve">Ley de Transparencia y Acceso a la Información Pública del Estado de México y Municipios, </w:t>
      </w:r>
      <w:r w:rsidRPr="00B73666">
        <w:rPr>
          <w:rFonts w:ascii="Palatino Linotype" w:eastAsia="Times New Roman" w:hAnsi="Palatino Linotype"/>
        </w:rPr>
        <w:t xml:space="preserve">cuyo objeto es establecer principios, bases generales y procedimientos para tutelar y garantizar la transparencia y el derecho humano de acceso a la información pública en posesión de los sujetos obligados; en </w:t>
      </w:r>
      <w:r w:rsidRPr="00B73666">
        <w:rPr>
          <w:rFonts w:ascii="Palatino Linotype" w:eastAsia="Times New Roman" w:hAnsi="Palatino Linotype"/>
        </w:rPr>
        <w:lastRenderedPageBreak/>
        <w:t>su artículo 176</w:t>
      </w:r>
      <w:r w:rsidRPr="00B73666">
        <w:rPr>
          <w:rFonts w:ascii="Palatino Linotype" w:eastAsia="Times New Roman" w:hAnsi="Palatino Linotype"/>
          <w:b/>
        </w:rPr>
        <w:t xml:space="preserve"> </w:t>
      </w:r>
      <w:r w:rsidRPr="00B73666">
        <w:rPr>
          <w:rFonts w:ascii="Palatino Linotype" w:eastAsia="Times New Roman" w:hAnsi="Palatino Linotype"/>
        </w:rPr>
        <w:t xml:space="preserve">establece que </w:t>
      </w:r>
      <w:r w:rsidRPr="00B73666">
        <w:rPr>
          <w:rFonts w:ascii="Palatino Linotype" w:eastAsia="Times New Roman" w:hAnsi="Palatino Linotype"/>
          <w:i/>
        </w:rPr>
        <w:t xml:space="preserve">el </w:t>
      </w:r>
      <w:r w:rsidRPr="00B73666">
        <w:rPr>
          <w:rFonts w:ascii="Palatino Linotype" w:eastAsia="Times New Roman" w:hAnsi="Palatino Linotype"/>
          <w:i/>
          <w:u w:val="single"/>
        </w:rPr>
        <w:t>recurso de revisión</w:t>
      </w:r>
      <w:r w:rsidRPr="00B73666">
        <w:rPr>
          <w:rFonts w:ascii="Palatino Linotype" w:eastAsia="Times New Roman" w:hAnsi="Palatino Linotype"/>
          <w:i/>
        </w:rPr>
        <w:t xml:space="preserve"> es la garantía secundaria mediante la cual se pretende reparar cualquier posible afectación al derecho de acceso a la información pública</w:t>
      </w:r>
      <w:r w:rsidRPr="00B7366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5955E3" w14:textId="77777777" w:rsidR="00E5521B" w:rsidRPr="00B73666" w:rsidRDefault="00E5521B" w:rsidP="00E5521B">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1840C8AC" w14:textId="77777777" w:rsidR="00E5521B" w:rsidRPr="00B73666" w:rsidRDefault="00E5521B" w:rsidP="00E5521B">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rPr>
      </w:pPr>
      <w:bookmarkStart w:id="25" w:name="_Toc48216086"/>
      <w:r w:rsidRPr="00B73666">
        <w:rPr>
          <w:rFonts w:ascii="Palatino Linotype" w:eastAsia="Times New Roman" w:hAnsi="Palatino Linotype"/>
          <w:b/>
        </w:rPr>
        <w:t>II. De</w:t>
      </w:r>
      <w:r w:rsidR="00A4775A" w:rsidRPr="00B73666">
        <w:rPr>
          <w:rFonts w:ascii="Palatino Linotype" w:eastAsia="Times New Roman" w:hAnsi="Palatino Linotype"/>
          <w:b/>
        </w:rPr>
        <w:t xml:space="preserve">l </w:t>
      </w:r>
      <w:r w:rsidR="002D11FC" w:rsidRPr="00B73666">
        <w:rPr>
          <w:rFonts w:ascii="Palatino Linotype" w:eastAsia="Times New Roman" w:hAnsi="Palatino Linotype"/>
          <w:b/>
        </w:rPr>
        <w:t>derecho de acceso a la información pública</w:t>
      </w:r>
      <w:r w:rsidRPr="00B73666">
        <w:rPr>
          <w:rFonts w:ascii="Palatino Linotype" w:eastAsia="Times New Roman" w:hAnsi="Palatino Linotype"/>
          <w:b/>
        </w:rPr>
        <w:t>.</w:t>
      </w:r>
      <w:bookmarkEnd w:id="25"/>
    </w:p>
    <w:p w14:paraId="085F34D9" w14:textId="77777777" w:rsidR="00E5521B" w:rsidRPr="00B73666" w:rsidRDefault="00E5521B" w:rsidP="00E5521B">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14:paraId="477B0B73" w14:textId="77777777" w:rsidR="002D11FC" w:rsidRPr="00B73666" w:rsidRDefault="002D11FC" w:rsidP="002D11F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eastAsia="Times New Roman" w:hAnsi="Palatino Linotype"/>
        </w:rPr>
        <w:t xml:space="preserve">A efecto de entender los alcances de la información pública se considera importante citar el criterio </w:t>
      </w:r>
      <w:r w:rsidRPr="00B73666">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3666">
        <w:rPr>
          <w:rFonts w:ascii="Palatino Linotype" w:eastAsia="Times New Roman" w:hAnsi="Palatino Linotype"/>
        </w:rPr>
        <w:t>cuyo rubro y texto dispone:</w:t>
      </w:r>
    </w:p>
    <w:p w14:paraId="56731178"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hAnsi="Palatino Linotype"/>
        </w:rPr>
      </w:pPr>
    </w:p>
    <w:p w14:paraId="17720881" w14:textId="77777777" w:rsidR="002D11FC" w:rsidRPr="00B73666" w:rsidRDefault="002D11FC" w:rsidP="002D11FC">
      <w:pPr>
        <w:autoSpaceDE w:val="0"/>
        <w:autoSpaceDN w:val="0"/>
        <w:adjustRightInd w:val="0"/>
        <w:spacing w:line="276" w:lineRule="auto"/>
        <w:ind w:left="567" w:right="567"/>
        <w:jc w:val="both"/>
        <w:rPr>
          <w:rFonts w:ascii="Palatino Linotype" w:hAnsi="Palatino Linotype" w:cs="Arial"/>
          <w:b/>
          <w:i/>
          <w:sz w:val="22"/>
          <w:szCs w:val="22"/>
          <w:lang w:val="es-MX" w:eastAsia="es-MX"/>
        </w:rPr>
      </w:pPr>
      <w:r w:rsidRPr="00B73666">
        <w:rPr>
          <w:rFonts w:ascii="Palatino Linotype" w:hAnsi="Palatino Linotype" w:cs="Arial"/>
          <w:b/>
          <w:i/>
          <w:sz w:val="22"/>
          <w:szCs w:val="22"/>
          <w:lang w:val="es-MX" w:eastAsia="es-MX"/>
        </w:rPr>
        <w:t>“CRITERIO 0002-11</w:t>
      </w:r>
    </w:p>
    <w:p w14:paraId="0CBD0386" w14:textId="77777777" w:rsidR="002D11FC" w:rsidRPr="00B73666" w:rsidRDefault="002D11FC" w:rsidP="002D11F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B7366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73666">
        <w:rPr>
          <w:rFonts w:ascii="Palatino Linotype" w:hAnsi="Palatino Linotype" w:cs="Arial"/>
          <w:b/>
          <w:bCs/>
          <w:i/>
          <w:sz w:val="22"/>
          <w:szCs w:val="22"/>
          <w:lang w:val="es-MX" w:eastAsia="es-MX"/>
        </w:rPr>
        <w:t xml:space="preserve">V, XV, Y XVI, </w:t>
      </w:r>
      <w:r w:rsidRPr="00B73666">
        <w:rPr>
          <w:rFonts w:ascii="Palatino Linotype" w:hAnsi="Palatino Linotype" w:cs="Arial"/>
          <w:b/>
          <w:i/>
          <w:sz w:val="22"/>
          <w:szCs w:val="22"/>
          <w:lang w:val="es-MX" w:eastAsia="es-MX"/>
        </w:rPr>
        <w:t>3, 4,11 Y 41.</w:t>
      </w:r>
      <w:r w:rsidRPr="00B7366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3CEA2B" w14:textId="77777777" w:rsidR="002D11FC" w:rsidRPr="00B73666" w:rsidRDefault="002D11FC" w:rsidP="002D11F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B73666">
        <w:rPr>
          <w:rFonts w:ascii="Palatino Linotype" w:hAnsi="Palatino Linotype" w:cs="Arial"/>
          <w:i/>
          <w:sz w:val="22"/>
          <w:szCs w:val="22"/>
          <w:lang w:val="es-MX" w:eastAsia="es-MX"/>
        </w:rPr>
        <w:t>En consecuencia el acceso a la información se refiere a que se cumplan cualquiera de los siguientes tres supuestos:</w:t>
      </w:r>
    </w:p>
    <w:p w14:paraId="1DF06032" w14:textId="77777777" w:rsidR="002D11FC" w:rsidRPr="00B73666" w:rsidRDefault="002D11FC" w:rsidP="002D11F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B73666">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29A71936" w14:textId="77777777" w:rsidR="002D11FC" w:rsidRPr="00B73666" w:rsidRDefault="002D11FC" w:rsidP="002D11FC">
      <w:pPr>
        <w:autoSpaceDE w:val="0"/>
        <w:autoSpaceDN w:val="0"/>
        <w:adjustRightInd w:val="0"/>
        <w:spacing w:line="276" w:lineRule="auto"/>
        <w:ind w:left="567" w:right="567"/>
        <w:jc w:val="both"/>
        <w:rPr>
          <w:rFonts w:ascii="Palatino Linotype" w:hAnsi="Palatino Linotype" w:cs="Arial"/>
          <w:i/>
          <w:sz w:val="22"/>
          <w:szCs w:val="22"/>
          <w:lang w:val="es-MX" w:eastAsia="es-MX"/>
        </w:rPr>
      </w:pPr>
      <w:r w:rsidRPr="00B7366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A7EE531" w14:textId="77777777" w:rsidR="002D11FC" w:rsidRPr="00B73666" w:rsidRDefault="002D11FC" w:rsidP="002D11FC">
      <w:pPr>
        <w:autoSpaceDE w:val="0"/>
        <w:autoSpaceDN w:val="0"/>
        <w:adjustRightInd w:val="0"/>
        <w:spacing w:line="276" w:lineRule="auto"/>
        <w:ind w:left="567" w:right="567"/>
        <w:jc w:val="both"/>
        <w:rPr>
          <w:rFonts w:ascii="Palatino Linotype" w:hAnsi="Palatino Linotype"/>
        </w:rPr>
      </w:pPr>
      <w:r w:rsidRPr="00B7366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412B4199"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hAnsi="Palatino Linotype"/>
        </w:rPr>
      </w:pPr>
    </w:p>
    <w:p w14:paraId="33805849" w14:textId="77777777" w:rsidR="002D11FC" w:rsidRPr="00B73666" w:rsidRDefault="002D11FC" w:rsidP="002D11F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rPr>
        <w:t xml:space="preserve">El </w:t>
      </w:r>
      <w:r w:rsidRPr="00B73666">
        <w:rPr>
          <w:rFonts w:ascii="Palatino Linotype" w:hAnsi="Palatino Linotype"/>
          <w:lang w:val="es-ES"/>
        </w:rPr>
        <w:t>derecho de acceso a la información encuentra su materia elemental en los documentos, y la Ley de Transparencia local nos brinda el siguiente concepto, para darnos un mejor panorama:</w:t>
      </w:r>
    </w:p>
    <w:p w14:paraId="5DC7A9DB"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FCC1F62" w14:textId="77777777" w:rsidR="002D11FC" w:rsidRPr="00B73666" w:rsidRDefault="002D11FC" w:rsidP="002D11FC">
      <w:pPr>
        <w:autoSpaceDE w:val="0"/>
        <w:autoSpaceDN w:val="0"/>
        <w:adjustRightInd w:val="0"/>
        <w:spacing w:line="276" w:lineRule="auto"/>
        <w:ind w:left="567" w:right="567"/>
        <w:jc w:val="both"/>
        <w:rPr>
          <w:rFonts w:ascii="Palatino Linotype" w:hAnsi="Palatino Linotype"/>
          <w:i/>
          <w:sz w:val="28"/>
          <w:lang w:val="es-ES"/>
        </w:rPr>
      </w:pPr>
      <w:r w:rsidRPr="00B73666">
        <w:rPr>
          <w:rFonts w:ascii="Palatino Linotype" w:eastAsiaTheme="minorHAnsi" w:hAnsi="Palatino Linotype" w:cs="Bookman Old Style,Bold"/>
          <w:b/>
          <w:bCs/>
          <w:i/>
          <w:sz w:val="22"/>
          <w:szCs w:val="20"/>
          <w:lang w:val="es-MX" w:eastAsia="en-US"/>
        </w:rPr>
        <w:t xml:space="preserve">XI. Documento: </w:t>
      </w:r>
      <w:r w:rsidRPr="00B7366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73666">
        <w:rPr>
          <w:rFonts w:ascii="Palatino Linotype" w:eastAsiaTheme="minorHAnsi" w:hAnsi="Palatino Linotype" w:cs="Bookman Old Style"/>
          <w:b/>
          <w:i/>
          <w:sz w:val="22"/>
          <w:szCs w:val="20"/>
          <w:lang w:val="es-MX" w:eastAsia="en-US"/>
        </w:rPr>
        <w:t>cualquier otro registro</w:t>
      </w:r>
      <w:r w:rsidRPr="00B7366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DCD0DC"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6457519" w14:textId="77777777" w:rsidR="006B3E1D" w:rsidRPr="00B73666" w:rsidRDefault="002D11FC"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Es </w:t>
      </w:r>
      <w:r w:rsidR="00CC330A" w:rsidRPr="00B73666">
        <w:rPr>
          <w:rFonts w:ascii="Palatino Linotype" w:hAnsi="Palatino Linotype"/>
          <w:lang w:val="es-ES"/>
        </w:rPr>
        <w:t>así que</w:t>
      </w:r>
      <w:r w:rsidRPr="00B73666">
        <w:rPr>
          <w:rFonts w:ascii="Palatino Linotype" w:hAnsi="Palatino Linotype"/>
          <w:lang w:val="es-ES"/>
        </w:rPr>
        <w:t xml:space="preserv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1A9E626"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DEEFDC5" w14:textId="77777777" w:rsidR="002D11FC" w:rsidRPr="00B73666" w:rsidRDefault="002D11FC"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El </w:t>
      </w:r>
      <w:r w:rsidRPr="00B73666">
        <w:rPr>
          <w:rFonts w:ascii="Palatino Linotype" w:eastAsia="MS Mincho" w:hAnsi="Palatino Linotype"/>
        </w:rPr>
        <w:t xml:space="preserve">acceso a la información es un derecho humano constitucional y convencionalmente reconocido y para tal efecto </w:t>
      </w:r>
      <w:r w:rsidRPr="00B73666">
        <w:rPr>
          <w:rFonts w:ascii="Palatino Linotype" w:eastAsia="Calibri" w:hAnsi="Palatino Linotype"/>
          <w:lang w:val="es-ES"/>
        </w:rPr>
        <w:t xml:space="preserve">el párrafo tercero del artículo primero de la Constitución Política de los Estados Unidos Mexicanos establece el </w:t>
      </w:r>
      <w:r w:rsidRPr="00B73666">
        <w:rPr>
          <w:rFonts w:ascii="Palatino Linotype" w:eastAsia="Calibri" w:hAnsi="Palatino Linotype"/>
          <w:lang w:val="es-ES"/>
        </w:rPr>
        <w:lastRenderedPageBreak/>
        <w:t xml:space="preserve">deber de todas las autoridades, </w:t>
      </w:r>
      <w:r w:rsidRPr="00B73666">
        <w:rPr>
          <w:rFonts w:ascii="Palatino Linotype" w:eastAsia="Calibri" w:hAnsi="Palatino Linotype"/>
          <w:i/>
          <w:lang w:val="es-ES"/>
        </w:rPr>
        <w:t xml:space="preserve">en el ámbito de sus atribuciones, de promover, respetar, proteger y </w:t>
      </w:r>
      <w:r w:rsidRPr="00B73666">
        <w:rPr>
          <w:rFonts w:ascii="Palatino Linotype" w:eastAsia="Calibri" w:hAnsi="Palatino Linotype"/>
          <w:b/>
          <w:i/>
          <w:lang w:val="es-ES"/>
        </w:rPr>
        <w:t>garantizar</w:t>
      </w:r>
      <w:r w:rsidRPr="00B73666">
        <w:rPr>
          <w:rFonts w:ascii="Palatino Linotype" w:eastAsia="Calibri" w:hAnsi="Palatino Linotype"/>
          <w:i/>
          <w:lang w:val="es-ES"/>
        </w:rPr>
        <w:t xml:space="preserve"> los derechos humanos. </w:t>
      </w:r>
      <w:r w:rsidRPr="00B7366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73666">
        <w:rPr>
          <w:rFonts w:ascii="Palatino Linotype" w:eastAsia="Calibri" w:hAnsi="Palatino Linotype"/>
          <w:b/>
          <w:i/>
          <w:lang w:val="es-ES"/>
        </w:rPr>
        <w:t xml:space="preserve"> e</w:t>
      </w:r>
      <w:r w:rsidRPr="00B7366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73666">
        <w:rPr>
          <w:rStyle w:val="Refdenotaalpie"/>
          <w:rFonts w:ascii="Palatino Linotype" w:hAnsi="Palatino Linotype"/>
          <w:i/>
        </w:rPr>
        <w:footnoteReference w:id="5"/>
      </w:r>
      <w:r w:rsidRPr="00B73666">
        <w:rPr>
          <w:rFonts w:ascii="Palatino Linotype" w:hAnsi="Palatino Linotype"/>
          <w:i/>
        </w:rPr>
        <w:t xml:space="preserve">, </w:t>
      </w:r>
      <w:r w:rsidRPr="00B73666">
        <w:rPr>
          <w:rFonts w:ascii="Palatino Linotype" w:hAnsi="Palatino Linotype"/>
        </w:rPr>
        <w:t>asimismo establece</w:t>
      </w:r>
      <w:r w:rsidRPr="00B7366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48A50B9"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947A119" w14:textId="77777777" w:rsidR="002D11FC" w:rsidRPr="00B73666"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El </w:t>
      </w:r>
      <w:r w:rsidRPr="00B73666">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73666">
        <w:rPr>
          <w:rFonts w:ascii="Palatino Linotype" w:eastAsia="MS Mincho" w:hAnsi="Palatino Linotype" w:cstheme="majorBidi"/>
          <w:b/>
        </w:rPr>
        <w:t>los Sujetos Obligados deberán documentar todo acto que se derive del ejercicio de sus facultades, competencias o funciones,</w:t>
      </w:r>
      <w:r w:rsidRPr="00B73666">
        <w:rPr>
          <w:rFonts w:ascii="Palatino Linotype" w:eastAsia="MS Mincho" w:hAnsi="Palatino Linotype" w:cstheme="majorBidi"/>
        </w:rPr>
        <w:t xml:space="preserve"> considerando desde su origen la eventual publicidad y reutilización de la información que generen, posean o administren.</w:t>
      </w:r>
    </w:p>
    <w:p w14:paraId="0BFC1866"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140AC23" w14:textId="77777777" w:rsidR="002D11FC" w:rsidRPr="00B73666"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lastRenderedPageBreak/>
        <w:t xml:space="preserve">Además, </w:t>
      </w:r>
      <w:r w:rsidRPr="00B73666">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0918A591"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1945FE7" w14:textId="77777777" w:rsidR="0018071A" w:rsidRPr="00B73666" w:rsidRDefault="0018071A" w:rsidP="0018071A">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B73666">
        <w:rPr>
          <w:rFonts w:ascii="Palatino Linotype" w:hAnsi="Palatino Linotype" w:cs="Bookman Old Style,Bold"/>
          <w:b/>
          <w:bCs/>
          <w:i/>
          <w:sz w:val="22"/>
          <w:szCs w:val="20"/>
          <w:lang w:val="es-MX"/>
        </w:rPr>
        <w:t xml:space="preserve">Artículo 4. </w:t>
      </w:r>
      <w:r w:rsidRPr="00B7366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42FEB8D" w14:textId="77777777" w:rsidR="0018071A" w:rsidRPr="00B73666" w:rsidRDefault="0018071A" w:rsidP="0018071A">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B73666">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6C3067" w14:textId="77777777" w:rsidR="0018071A" w:rsidRPr="00B73666" w:rsidRDefault="0018071A" w:rsidP="0018071A">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B7366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7A89B163" w14:textId="77777777" w:rsidR="0018071A" w:rsidRPr="00B73666" w:rsidRDefault="0018071A" w:rsidP="0018071A">
      <w:pPr>
        <w:autoSpaceDE w:val="0"/>
        <w:autoSpaceDN w:val="0"/>
        <w:adjustRightInd w:val="0"/>
        <w:spacing w:line="276" w:lineRule="auto"/>
        <w:ind w:right="567"/>
        <w:jc w:val="both"/>
        <w:rPr>
          <w:rFonts w:ascii="Palatino Linotype" w:eastAsia="Times New Roman" w:hAnsi="Palatino Linotype" w:cs="Arial"/>
          <w:i/>
          <w:color w:val="000000"/>
          <w:sz w:val="28"/>
        </w:rPr>
      </w:pPr>
    </w:p>
    <w:p w14:paraId="0F67183B" w14:textId="77777777" w:rsidR="0018071A" w:rsidRPr="00B73666" w:rsidRDefault="0018071A" w:rsidP="0018071A">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B73666">
        <w:rPr>
          <w:rFonts w:ascii="Palatino Linotype" w:hAnsi="Palatino Linotype" w:cs="Bookman Old Style,Bold"/>
          <w:b/>
          <w:bCs/>
          <w:i/>
          <w:sz w:val="22"/>
          <w:szCs w:val="20"/>
          <w:lang w:val="es-MX"/>
        </w:rPr>
        <w:t xml:space="preserve">Artículo 12. </w:t>
      </w:r>
      <w:r w:rsidRPr="00B7366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01194D41" w14:textId="77777777" w:rsidR="0018071A" w:rsidRPr="00B73666" w:rsidRDefault="0018071A" w:rsidP="0018071A">
      <w:pPr>
        <w:autoSpaceDE w:val="0"/>
        <w:autoSpaceDN w:val="0"/>
        <w:adjustRightInd w:val="0"/>
        <w:spacing w:line="276" w:lineRule="auto"/>
        <w:ind w:left="567" w:right="567"/>
        <w:jc w:val="both"/>
        <w:rPr>
          <w:rFonts w:ascii="Palatino Linotype" w:eastAsia="MS Gothic" w:hAnsi="Palatino Linotype" w:cs="Times New Roman"/>
          <w:szCs w:val="26"/>
        </w:rPr>
      </w:pPr>
      <w:r w:rsidRPr="00B7366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7366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42B56478" w14:textId="77777777" w:rsidR="0018071A" w:rsidRPr="00B73666" w:rsidRDefault="0018071A"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3DC2FBA" w14:textId="77777777" w:rsidR="002D11FC" w:rsidRPr="00B73666" w:rsidRDefault="00CC330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En ese sentido</w:t>
      </w:r>
      <w:r w:rsidR="0018071A" w:rsidRPr="00B73666">
        <w:rPr>
          <w:rFonts w:ascii="Palatino Linotype" w:hAnsi="Palatino Linotype"/>
          <w:lang w:val="es-ES"/>
        </w:rPr>
        <w:t>, por un lado</w:t>
      </w:r>
      <w:r w:rsidRPr="00B73666">
        <w:rPr>
          <w:rFonts w:ascii="Palatino Linotype" w:hAnsi="Palatino Linotype"/>
          <w:lang w:val="es-ES"/>
        </w:rPr>
        <w:t>,</w:t>
      </w:r>
      <w:r w:rsidR="0018071A" w:rsidRPr="00B73666">
        <w:rPr>
          <w:rFonts w:ascii="Palatino Linotype" w:hAnsi="Palatino Linotype"/>
          <w:lang w:val="es-ES"/>
        </w:rPr>
        <w:t xml:space="preserve"> se tiene la obligación de documentar todos los actos que se lleven a cabo en el ejercicio de sus funciones, atribuciones y competencias</w:t>
      </w:r>
      <w:r w:rsidRPr="00B73666">
        <w:rPr>
          <w:rFonts w:ascii="Palatino Linotype" w:hAnsi="Palatino Linotype"/>
          <w:lang w:val="es-ES"/>
        </w:rPr>
        <w:t>;</w:t>
      </w:r>
      <w:r w:rsidR="0018071A" w:rsidRPr="00B73666">
        <w:rPr>
          <w:rFonts w:ascii="Palatino Linotype" w:hAnsi="Palatino Linotype"/>
          <w:lang w:val="es-ES"/>
        </w:rPr>
        <w:t xml:space="preserve"> </w:t>
      </w:r>
      <w:r w:rsidR="0018071A" w:rsidRPr="00B73666">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0018071A" w:rsidRPr="00B73666">
        <w:rPr>
          <w:rStyle w:val="Refdenotaalpie"/>
          <w:rFonts w:ascii="Palatino Linotype" w:hAnsi="Palatino Linotype"/>
          <w:lang w:val="es-ES"/>
        </w:rPr>
        <w:footnoteReference w:id="6"/>
      </w:r>
      <w:r w:rsidR="0018071A" w:rsidRPr="00B7366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11FD998"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DEB930D" w14:textId="77777777" w:rsidR="002D11FC" w:rsidRPr="00B73666"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Robustece </w:t>
      </w:r>
      <w:r w:rsidRPr="00B73666">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01755D3A" w14:textId="77777777" w:rsidR="002D11FC" w:rsidRPr="00B73666" w:rsidRDefault="002D11FC"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E862528" w14:textId="77777777" w:rsidR="0018071A" w:rsidRPr="00B73666" w:rsidRDefault="0018071A" w:rsidP="0047391B">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B73666">
        <w:rPr>
          <w:rFonts w:ascii="Palatino Linotype" w:hAnsi="Palatino Linotype"/>
          <w:b/>
          <w:i/>
          <w:sz w:val="22"/>
        </w:rPr>
        <w:t>ACCESO A LA INFORMACIÓN. IMPLICACIÓN DEL PRINCIPIO DE MÁXIMA PUBLICIDAD EN EL DERECHO FUNDAMENTAL RELATIVO.</w:t>
      </w:r>
      <w:r w:rsidRPr="00B73666">
        <w:rPr>
          <w:rFonts w:ascii="Palatino Linotype" w:hAnsi="Palatino Linotype"/>
          <w:i/>
          <w:sz w:val="22"/>
        </w:rPr>
        <w:t xml:space="preserve"> </w:t>
      </w:r>
      <w:r w:rsidR="0047391B" w:rsidRPr="00B73666">
        <w:rPr>
          <w:rFonts w:ascii="Palatino Linotype" w:hAnsi="Palatino Linotype"/>
          <w:i/>
          <w:sz w:val="22"/>
        </w:rPr>
        <w:t>“</w:t>
      </w:r>
      <w:r w:rsidRPr="00B73666">
        <w:rPr>
          <w:rFonts w:ascii="Palatino Linotype" w:hAnsi="Palatino Linotype"/>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w:t>
      </w:r>
      <w:r w:rsidRPr="00B73666">
        <w:rPr>
          <w:rFonts w:ascii="Palatino Linotype" w:hAnsi="Palatino Linotype"/>
          <w:i/>
          <w:sz w:val="22"/>
        </w:rPr>
        <w:lastRenderedPageBreak/>
        <w:t>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B4C3404" w14:textId="77777777" w:rsidR="0018071A" w:rsidRPr="00B73666" w:rsidRDefault="0018071A"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574638B" w14:textId="77777777" w:rsidR="002D11FC" w:rsidRPr="00B73666" w:rsidRDefault="0018071A" w:rsidP="003A329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Tal </w:t>
      </w:r>
      <w:r w:rsidRPr="00B73666">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w:t>
      </w:r>
      <w:r w:rsidR="00996535" w:rsidRPr="00B73666">
        <w:rPr>
          <w:rFonts w:ascii="Palatino Linotype" w:hAnsi="Palatino Linotype"/>
          <w:lang w:val="es-ES"/>
        </w:rPr>
        <w:t>jerciendo</w:t>
      </w:r>
      <w:r w:rsidRPr="00B73666">
        <w:rPr>
          <w:rFonts w:ascii="Palatino Linotype" w:hAnsi="Palatino Linotype"/>
          <w:lang w:val="es-ES"/>
        </w:rPr>
        <w:t xml:space="preserve"> y evaluar su desempeño.</w:t>
      </w:r>
    </w:p>
    <w:p w14:paraId="1D1BA4D0" w14:textId="77777777" w:rsidR="00BE5305" w:rsidRPr="00B73666" w:rsidRDefault="00BE5305"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88E86D2" w14:textId="2112DCF0" w:rsidR="00996535" w:rsidRPr="00B73666" w:rsidRDefault="00996535" w:rsidP="00996535">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szCs w:val="26"/>
        </w:rPr>
      </w:pPr>
      <w:bookmarkStart w:id="26" w:name="_Toc48216087"/>
      <w:r w:rsidRPr="00B73666">
        <w:rPr>
          <w:rFonts w:ascii="Palatino Linotype" w:eastAsia="MS Gothic" w:hAnsi="Palatino Linotype" w:cs="Times New Roman"/>
          <w:b/>
          <w:szCs w:val="26"/>
        </w:rPr>
        <w:t xml:space="preserve">III. </w:t>
      </w:r>
      <w:r w:rsidR="00142A26" w:rsidRPr="00B73666">
        <w:rPr>
          <w:rFonts w:ascii="Palatino Linotype" w:eastAsia="MS Gothic" w:hAnsi="Palatino Linotype" w:cs="Times New Roman"/>
          <w:b/>
          <w:szCs w:val="26"/>
        </w:rPr>
        <w:t>Del informe justificado</w:t>
      </w:r>
      <w:r w:rsidRPr="00B73666">
        <w:rPr>
          <w:rFonts w:ascii="Palatino Linotype" w:eastAsia="MS Gothic" w:hAnsi="Palatino Linotype" w:cs="Times New Roman"/>
          <w:b/>
          <w:szCs w:val="26"/>
        </w:rPr>
        <w:t>.</w:t>
      </w:r>
      <w:bookmarkEnd w:id="26"/>
    </w:p>
    <w:p w14:paraId="1ED6F62A" w14:textId="77777777" w:rsidR="00996535" w:rsidRPr="00B73666" w:rsidRDefault="00996535"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FC2B85B" w14:textId="7F3AF2A1" w:rsidR="00CC330A" w:rsidRPr="00B73666" w:rsidRDefault="00F41B3C"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Ahora</w:t>
      </w:r>
      <w:r w:rsidR="001E7203" w:rsidRPr="00B73666">
        <w:rPr>
          <w:rFonts w:ascii="Palatino Linotype" w:eastAsia="MS Gothic" w:hAnsi="Palatino Linotype" w:cs="Times New Roman"/>
          <w:szCs w:val="26"/>
        </w:rPr>
        <w:t xml:space="preserve"> bien, </w:t>
      </w:r>
      <w:r w:rsidR="00D9060F" w:rsidRPr="00B73666">
        <w:rPr>
          <w:rFonts w:ascii="Palatino Linotype" w:eastAsia="MS Gothic" w:hAnsi="Palatino Linotype" w:cs="Times New Roman"/>
          <w:szCs w:val="26"/>
        </w:rPr>
        <w:t xml:space="preserve">como fuera referido en el apartado de </w:t>
      </w:r>
      <w:r w:rsidR="00D9060F" w:rsidRPr="00B73666">
        <w:rPr>
          <w:rFonts w:ascii="Palatino Linotype" w:eastAsia="MS Gothic" w:hAnsi="Palatino Linotype" w:cs="Times New Roman"/>
          <w:i/>
          <w:iCs/>
          <w:szCs w:val="26"/>
        </w:rPr>
        <w:t>Antecedentes</w:t>
      </w:r>
      <w:r w:rsidR="00D9060F" w:rsidRPr="00B73666">
        <w:rPr>
          <w:rFonts w:ascii="Palatino Linotype" w:eastAsia="MS Gothic" w:hAnsi="Palatino Linotype" w:cs="Times New Roman"/>
          <w:szCs w:val="26"/>
        </w:rPr>
        <w:t xml:space="preserve"> del presente estudio, el cinco (05) de marzo de dos mil veinte, el </w:t>
      </w:r>
      <w:r w:rsidR="00D9060F" w:rsidRPr="00B73666">
        <w:rPr>
          <w:rFonts w:ascii="Palatino Linotype" w:eastAsia="MS Gothic" w:hAnsi="Palatino Linotype" w:cs="Times New Roman"/>
          <w:b/>
          <w:bCs/>
          <w:szCs w:val="26"/>
        </w:rPr>
        <w:t>SUJETO OBLIGADO</w:t>
      </w:r>
      <w:r w:rsidR="00D9060F" w:rsidRPr="00B73666">
        <w:rPr>
          <w:rFonts w:ascii="Palatino Linotype" w:eastAsia="MS Gothic" w:hAnsi="Palatino Linotype" w:cs="Times New Roman"/>
          <w:szCs w:val="26"/>
        </w:rPr>
        <w:t xml:space="preserve">, a manera de informe justificado, subió al apartado de </w:t>
      </w:r>
      <w:r w:rsidR="00D9060F" w:rsidRPr="00B73666">
        <w:rPr>
          <w:rFonts w:ascii="Palatino Linotype" w:eastAsia="MS Gothic" w:hAnsi="Palatino Linotype" w:cs="Times New Roman"/>
          <w:i/>
          <w:iCs/>
          <w:szCs w:val="26"/>
        </w:rPr>
        <w:t>Manifestaciones</w:t>
      </w:r>
      <w:r w:rsidR="00D9060F" w:rsidRPr="00B73666">
        <w:rPr>
          <w:rFonts w:ascii="Palatino Linotype" w:eastAsia="MS Gothic" w:hAnsi="Palatino Linotype" w:cs="Times New Roman"/>
          <w:szCs w:val="26"/>
        </w:rPr>
        <w:t xml:space="preserve"> del SAIMEX, el archivo electrónico titulado </w:t>
      </w:r>
      <w:r w:rsidR="00D9060F" w:rsidRPr="00B73666">
        <w:rPr>
          <w:rFonts w:ascii="Palatino Linotype" w:eastAsia="MS Gothic" w:hAnsi="Palatino Linotype" w:cs="Times New Roman"/>
          <w:b/>
          <w:bCs/>
          <w:i/>
          <w:iCs/>
          <w:szCs w:val="26"/>
        </w:rPr>
        <w:t>“comité de adquisiciones y servicios 2019.pdf”</w:t>
      </w:r>
      <w:r w:rsidR="00D9060F" w:rsidRPr="00B73666">
        <w:rPr>
          <w:rFonts w:ascii="Palatino Linotype" w:eastAsia="MS Gothic" w:hAnsi="Palatino Linotype" w:cs="Times New Roman"/>
          <w:szCs w:val="26"/>
        </w:rPr>
        <w:t xml:space="preserve">, cuyo contenido muestra </w:t>
      </w:r>
      <w:r w:rsidR="006E5138" w:rsidRPr="00B73666">
        <w:rPr>
          <w:rFonts w:ascii="Palatino Linotype" w:eastAsia="MS Gothic" w:hAnsi="Palatino Linotype" w:cs="Times New Roman"/>
          <w:szCs w:val="26"/>
        </w:rPr>
        <w:t xml:space="preserve">diversos oficios y Actas de sesiones del Comité de Adquisiciones y Servicios del Ayuntamiento de </w:t>
      </w:r>
      <w:proofErr w:type="spellStart"/>
      <w:r w:rsidR="006E5138" w:rsidRPr="00B73666">
        <w:rPr>
          <w:rFonts w:ascii="Palatino Linotype" w:eastAsia="MS Gothic" w:hAnsi="Palatino Linotype" w:cs="Times New Roman"/>
          <w:szCs w:val="26"/>
        </w:rPr>
        <w:t>Ocoyoacac</w:t>
      </w:r>
      <w:proofErr w:type="spellEnd"/>
      <w:r w:rsidR="006E5138" w:rsidRPr="00B73666">
        <w:rPr>
          <w:rFonts w:ascii="Palatino Linotype" w:eastAsia="MS Gothic" w:hAnsi="Palatino Linotype" w:cs="Times New Roman"/>
          <w:szCs w:val="26"/>
        </w:rPr>
        <w:t>, celebradas a lo largo del dos mil diecinueve. Mismas que se enlistan a continuación:</w:t>
      </w:r>
    </w:p>
    <w:p w14:paraId="5758D019" w14:textId="77777777" w:rsidR="004664A7" w:rsidRPr="00B73666" w:rsidRDefault="006E5138" w:rsidP="006E5138">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lastRenderedPageBreak/>
        <w:t>Oficio número DGA/AS/001/2019, de quince (15) de febrero de dos mil diecinueve, signado por la Encargada de la Dirección General de Administración y Presidenta del Comité de Adquisiciones y Servicios, por el que convoca a la primera sesión ordinaria del Comité</w:t>
      </w:r>
    </w:p>
    <w:p w14:paraId="137B0500" w14:textId="24B48ECB" w:rsidR="006E5138" w:rsidRPr="00B73666" w:rsidRDefault="004664A7" w:rsidP="006E5138">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Orden del día, lista de asistencia y Acta de la primera sesión ordinaria del Comité de Adquisiciones y Servicios, número CAS/ORD/001/2019</w:t>
      </w:r>
      <w:r w:rsidR="006E5138" w:rsidRPr="00B73666">
        <w:rPr>
          <w:rFonts w:ascii="Palatino Linotype" w:eastAsia="MS Gothic" w:hAnsi="Palatino Linotype" w:cs="Times New Roman"/>
          <w:szCs w:val="26"/>
        </w:rPr>
        <w:t>.</w:t>
      </w:r>
    </w:p>
    <w:p w14:paraId="72886B24" w14:textId="483E833F" w:rsidR="004664A7" w:rsidRPr="00B73666" w:rsidRDefault="004664A7" w:rsidP="004664A7">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Oficio número DGA/AS/002/2019, de veinticinco (25) de febrero de dos mil diecinueve, signado por la Encargada de la Dirección General de Administración y Presidenta del Comité de Adquisiciones y Servicios, por el que convoca a la primera sesión extraordinaria del Comité</w:t>
      </w:r>
    </w:p>
    <w:p w14:paraId="60BB4F34" w14:textId="78DBDF99" w:rsidR="004664A7" w:rsidRPr="00B73666" w:rsidRDefault="004664A7" w:rsidP="004664A7">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Orden del día, lista de asistencia y Acta de la primera sesión extraordinaria del Comité de Adquisiciones y Servicios, número CAS/EXT/001/2019.</w:t>
      </w:r>
    </w:p>
    <w:p w14:paraId="5FD4DE02" w14:textId="1AA9173E" w:rsidR="004664A7" w:rsidRPr="00B73666" w:rsidRDefault="004664A7" w:rsidP="004664A7">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Oficio número DGA/AS/004/2019, de ocho (08) de marzo de dos mil diecinueve, signado por la Encargada de la Dirección General de Administración y Presidenta del Comité de Adquisiciones y Servicios, por el que convoca a la segunda sesión ordinaria del Comité</w:t>
      </w:r>
    </w:p>
    <w:p w14:paraId="0455D303" w14:textId="2E24D2F7" w:rsidR="004664A7" w:rsidRPr="00B73666" w:rsidRDefault="004664A7" w:rsidP="004664A7">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Orden del día, lista de asistencia, diagrama de flujo del procedimiento de adquisición de bienes y servicios y, Acta de la </w:t>
      </w:r>
      <w:r w:rsidR="00955DD3" w:rsidRPr="00B73666">
        <w:rPr>
          <w:rFonts w:ascii="Palatino Linotype" w:eastAsia="MS Gothic" w:hAnsi="Palatino Linotype" w:cs="Times New Roman"/>
          <w:szCs w:val="26"/>
        </w:rPr>
        <w:t>segunda</w:t>
      </w:r>
      <w:r w:rsidRPr="00B73666">
        <w:rPr>
          <w:rFonts w:ascii="Palatino Linotype" w:eastAsia="MS Gothic" w:hAnsi="Palatino Linotype" w:cs="Times New Roman"/>
          <w:szCs w:val="26"/>
        </w:rPr>
        <w:t xml:space="preserve"> sesión ordinaria del Comité de Adquisiciones y Servicios, número CAS/ORD/002/2019.</w:t>
      </w:r>
    </w:p>
    <w:p w14:paraId="1E90A5CC" w14:textId="60813AB5" w:rsidR="004664A7" w:rsidRPr="00B73666" w:rsidRDefault="004664A7" w:rsidP="004664A7">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Oficio número DGA/AS/003/2019, de veintisiete (27) de febrero de dos mil diecinueve, signado por la Encargada de la Dirección General de </w:t>
      </w:r>
      <w:r w:rsidRPr="00B73666">
        <w:rPr>
          <w:rFonts w:ascii="Palatino Linotype" w:eastAsia="MS Gothic" w:hAnsi="Palatino Linotype" w:cs="Times New Roman"/>
          <w:szCs w:val="26"/>
        </w:rPr>
        <w:lastRenderedPageBreak/>
        <w:t>Administración y Presidenta del Comité de Adquisiciones y Servicios, por el que convoca a la segunda sesión extraordinaria del Comité</w:t>
      </w:r>
    </w:p>
    <w:p w14:paraId="2E35548F" w14:textId="43815F8D" w:rsidR="004664A7" w:rsidRPr="00B73666" w:rsidRDefault="004664A7" w:rsidP="004664A7">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Orden del día, lista de asistencia y Acta de la segunda sesión extraordinaria del Comité de Adquisiciones y Servicios, número CAS/EXT/002/2019.</w:t>
      </w:r>
    </w:p>
    <w:p w14:paraId="553B7C90" w14:textId="0BCF0331" w:rsidR="004664A7" w:rsidRPr="00B73666" w:rsidRDefault="004664A7" w:rsidP="004664A7">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Oficio número DGA/AS/005/2019, de veintidós (22) de marzo de dos mil diecinueve, signado por la </w:t>
      </w:r>
      <w:r w:rsidR="00CB4FAB" w:rsidRPr="00B73666">
        <w:rPr>
          <w:rFonts w:ascii="Palatino Linotype" w:eastAsia="MS Gothic" w:hAnsi="Palatino Linotype" w:cs="Times New Roman"/>
          <w:szCs w:val="26"/>
        </w:rPr>
        <w:t xml:space="preserve">Directora </w:t>
      </w:r>
      <w:r w:rsidRPr="00B73666">
        <w:rPr>
          <w:rFonts w:ascii="Palatino Linotype" w:eastAsia="MS Gothic" w:hAnsi="Palatino Linotype" w:cs="Times New Roman"/>
          <w:szCs w:val="26"/>
        </w:rPr>
        <w:t>General de Administración y Presidenta del Comité de Adquisiciones y Servicios, por el que convoca a la tercera sesión ordinaria del Comité</w:t>
      </w:r>
    </w:p>
    <w:p w14:paraId="66268012" w14:textId="16D8CE7D" w:rsidR="004664A7" w:rsidRPr="00B73666" w:rsidRDefault="004664A7" w:rsidP="004664A7">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Orden del día, lista de asistencia, PbRM-06 </w:t>
      </w:r>
      <w:r w:rsidRPr="00B73666">
        <w:rPr>
          <w:rFonts w:ascii="Palatino Linotype" w:eastAsia="MS Gothic" w:hAnsi="Palatino Linotype" w:cs="Times New Roman"/>
          <w:i/>
          <w:iCs/>
          <w:szCs w:val="26"/>
        </w:rPr>
        <w:t>Programa Anual de Adquisiciones</w:t>
      </w:r>
      <w:r w:rsidRPr="00B73666">
        <w:rPr>
          <w:rFonts w:ascii="Palatino Linotype" w:eastAsia="MS Gothic" w:hAnsi="Palatino Linotype" w:cs="Times New Roman"/>
          <w:szCs w:val="26"/>
        </w:rPr>
        <w:t xml:space="preserve"> del ejercicio dos mil dieciocho, y Acta de la </w:t>
      </w:r>
      <w:r w:rsidR="00955DD3" w:rsidRPr="00B73666">
        <w:rPr>
          <w:rFonts w:ascii="Palatino Linotype" w:eastAsia="MS Gothic" w:hAnsi="Palatino Linotype" w:cs="Times New Roman"/>
          <w:szCs w:val="26"/>
        </w:rPr>
        <w:t>tercera</w:t>
      </w:r>
      <w:r w:rsidRPr="00B73666">
        <w:rPr>
          <w:rFonts w:ascii="Palatino Linotype" w:eastAsia="MS Gothic" w:hAnsi="Palatino Linotype" w:cs="Times New Roman"/>
          <w:szCs w:val="26"/>
        </w:rPr>
        <w:t xml:space="preserve"> sesión ordinaria del Comité de Adquisiciones y Servicios, número CAS/</w:t>
      </w:r>
      <w:r w:rsidR="00CB4FAB" w:rsidRPr="00B73666">
        <w:rPr>
          <w:rFonts w:ascii="Palatino Linotype" w:eastAsia="MS Gothic" w:hAnsi="Palatino Linotype" w:cs="Times New Roman"/>
          <w:szCs w:val="26"/>
        </w:rPr>
        <w:t>ORD</w:t>
      </w:r>
      <w:r w:rsidRPr="00B73666">
        <w:rPr>
          <w:rFonts w:ascii="Palatino Linotype" w:eastAsia="MS Gothic" w:hAnsi="Palatino Linotype" w:cs="Times New Roman"/>
          <w:szCs w:val="26"/>
        </w:rPr>
        <w:t>/00</w:t>
      </w:r>
      <w:r w:rsidR="00CB4FAB" w:rsidRPr="00B73666">
        <w:rPr>
          <w:rFonts w:ascii="Palatino Linotype" w:eastAsia="MS Gothic" w:hAnsi="Palatino Linotype" w:cs="Times New Roman"/>
          <w:szCs w:val="26"/>
        </w:rPr>
        <w:t>3</w:t>
      </w:r>
      <w:r w:rsidRPr="00B73666">
        <w:rPr>
          <w:rFonts w:ascii="Palatino Linotype" w:eastAsia="MS Gothic" w:hAnsi="Palatino Linotype" w:cs="Times New Roman"/>
          <w:szCs w:val="26"/>
        </w:rPr>
        <w:t>/2019.</w:t>
      </w:r>
    </w:p>
    <w:p w14:paraId="162E8CBF" w14:textId="3C065437" w:rsidR="00CB4FAB" w:rsidRPr="00B73666" w:rsidRDefault="00CB4FAB" w:rsidP="00CB4FAB">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Oficio número DGA/AS/006/2019, de cinco (05) de abril de dos mil diecinueve, signado por la Directora General de Administración y Presidenta del Comité de Adquisiciones y Servicios, por el que convoca a la cuarta sesión ordinaria del Comité</w:t>
      </w:r>
    </w:p>
    <w:p w14:paraId="12DA2C05" w14:textId="6483AF63" w:rsidR="00CB4FAB" w:rsidRPr="00B73666" w:rsidRDefault="00CB4FAB" w:rsidP="00CB4FAB">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Orden del día, lista de asistencia, Manual de Operación del Comité de Adquisiciones y Servicios del Ayuntamiento de </w:t>
      </w:r>
      <w:proofErr w:type="spellStart"/>
      <w:r w:rsidRPr="00B73666">
        <w:rPr>
          <w:rFonts w:ascii="Palatino Linotype" w:eastAsia="MS Gothic" w:hAnsi="Palatino Linotype" w:cs="Times New Roman"/>
          <w:szCs w:val="26"/>
        </w:rPr>
        <w:t>Ocoyoacac</w:t>
      </w:r>
      <w:proofErr w:type="spellEnd"/>
      <w:r w:rsidRPr="00B73666">
        <w:rPr>
          <w:rFonts w:ascii="Palatino Linotype" w:eastAsia="MS Gothic" w:hAnsi="Palatino Linotype" w:cs="Times New Roman"/>
          <w:szCs w:val="26"/>
        </w:rPr>
        <w:t>; y, Acta de la cuarta sesión ordinaria del Comité de Adquisiciones y Servicios, número CAS/ORD/004/2019.</w:t>
      </w:r>
    </w:p>
    <w:p w14:paraId="2AEC5AEF" w14:textId="5CD7A0E3" w:rsidR="00CB4FAB" w:rsidRPr="00B73666" w:rsidRDefault="00CB4FAB" w:rsidP="00CB4FAB">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Oficio número DGA/AS/007/2019, de veinticuatro (24) de abril de dos mil diecinueve, signado por la Directora General de Administración y </w:t>
      </w:r>
      <w:r w:rsidRPr="00B73666">
        <w:rPr>
          <w:rFonts w:ascii="Palatino Linotype" w:eastAsia="MS Gothic" w:hAnsi="Palatino Linotype" w:cs="Times New Roman"/>
          <w:szCs w:val="26"/>
        </w:rPr>
        <w:lastRenderedPageBreak/>
        <w:t>Presidenta del Comité de Adquisiciones y Servicios, por el que convoca a la quinta sesión ordinaria del Comité</w:t>
      </w:r>
    </w:p>
    <w:p w14:paraId="486940DD" w14:textId="1A4F6BE5" w:rsidR="00CB4FAB" w:rsidRPr="00B73666" w:rsidRDefault="00CB4FAB" w:rsidP="00CB4FAB">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Orden del día, lista de asistencia y Acta de la quinta sesión ordinaria del Comité de Adquisiciones y Servicios, número CAS/ORD/005/2019.</w:t>
      </w:r>
    </w:p>
    <w:p w14:paraId="73EAF293" w14:textId="4C508692" w:rsidR="00CB4FAB" w:rsidRPr="00B73666" w:rsidRDefault="00CB4FAB" w:rsidP="00CB4FAB">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Oficio número DGA/AS/008/2019, de ocho (08) de mayo de dos mil diecinueve, signado por la Directora General de Administración y Presidenta del Comité de Adquisiciones y Servicios, por el que convoca a la sexta sesión ordinaria del Comité</w:t>
      </w:r>
    </w:p>
    <w:p w14:paraId="1768EF0F" w14:textId="723F5A71" w:rsidR="00CB4FAB" w:rsidRPr="00B73666" w:rsidRDefault="00CB4FAB" w:rsidP="00CB4FAB">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Orden del día, lista de asistencia, Manual de Adquisición de Bienes y Servicios; y, Acta de la sexta sesión ordinaria del Comité de Adquisiciones y Servicios, número CAS/ORD/006/2019.</w:t>
      </w:r>
    </w:p>
    <w:p w14:paraId="503B6C28" w14:textId="295BAA2B" w:rsidR="00CB4FAB" w:rsidRPr="00B73666" w:rsidRDefault="00CB4FAB" w:rsidP="00CB4FAB">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Oficio número DGA/AS/009/2019, de </w:t>
      </w:r>
      <w:r w:rsidR="00541216" w:rsidRPr="00B73666">
        <w:rPr>
          <w:rFonts w:ascii="Palatino Linotype" w:eastAsia="MS Gothic" w:hAnsi="Palatino Linotype" w:cs="Times New Roman"/>
          <w:szCs w:val="26"/>
        </w:rPr>
        <w:t>veinticuatro</w:t>
      </w:r>
      <w:r w:rsidRPr="00B73666">
        <w:rPr>
          <w:rFonts w:ascii="Palatino Linotype" w:eastAsia="MS Gothic" w:hAnsi="Palatino Linotype" w:cs="Times New Roman"/>
          <w:szCs w:val="26"/>
        </w:rPr>
        <w:t xml:space="preserve"> (</w:t>
      </w:r>
      <w:r w:rsidR="00541216" w:rsidRPr="00B73666">
        <w:rPr>
          <w:rFonts w:ascii="Palatino Linotype" w:eastAsia="MS Gothic" w:hAnsi="Palatino Linotype" w:cs="Times New Roman"/>
          <w:szCs w:val="26"/>
        </w:rPr>
        <w:t>24</w:t>
      </w:r>
      <w:r w:rsidRPr="00B73666">
        <w:rPr>
          <w:rFonts w:ascii="Palatino Linotype" w:eastAsia="MS Gothic" w:hAnsi="Palatino Linotype" w:cs="Times New Roman"/>
          <w:szCs w:val="26"/>
        </w:rPr>
        <w:t xml:space="preserve">) de mayo de dos mil diecinueve, signado por la Directora General de Administración y Presidenta del Comité de Adquisiciones y Servicios, por el que convoca a la </w:t>
      </w:r>
      <w:r w:rsidR="00541216" w:rsidRPr="00B73666">
        <w:rPr>
          <w:rFonts w:ascii="Palatino Linotype" w:eastAsia="MS Gothic" w:hAnsi="Palatino Linotype" w:cs="Times New Roman"/>
          <w:szCs w:val="26"/>
        </w:rPr>
        <w:t>séptima</w:t>
      </w:r>
      <w:r w:rsidRPr="00B73666">
        <w:rPr>
          <w:rFonts w:ascii="Palatino Linotype" w:eastAsia="MS Gothic" w:hAnsi="Palatino Linotype" w:cs="Times New Roman"/>
          <w:szCs w:val="26"/>
        </w:rPr>
        <w:t xml:space="preserve"> sesión ordinaria del Comité</w:t>
      </w:r>
    </w:p>
    <w:p w14:paraId="12B1259B" w14:textId="3AAEC60A" w:rsidR="00CB4FAB" w:rsidRPr="00B73666" w:rsidRDefault="00CB4FAB" w:rsidP="00CB4FAB">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Orden del día, lista de asistencia</w:t>
      </w:r>
      <w:r w:rsidR="00541216" w:rsidRPr="00B73666">
        <w:rPr>
          <w:rFonts w:ascii="Palatino Linotype" w:eastAsia="MS Gothic" w:hAnsi="Palatino Linotype" w:cs="Times New Roman"/>
          <w:szCs w:val="26"/>
        </w:rPr>
        <w:t xml:space="preserve"> </w:t>
      </w:r>
      <w:r w:rsidRPr="00B73666">
        <w:rPr>
          <w:rFonts w:ascii="Palatino Linotype" w:eastAsia="MS Gothic" w:hAnsi="Palatino Linotype" w:cs="Times New Roman"/>
          <w:szCs w:val="26"/>
        </w:rPr>
        <w:t>y</w:t>
      </w:r>
      <w:r w:rsidR="00541216" w:rsidRPr="00B73666">
        <w:rPr>
          <w:rFonts w:ascii="Palatino Linotype" w:eastAsia="MS Gothic" w:hAnsi="Palatino Linotype" w:cs="Times New Roman"/>
          <w:szCs w:val="26"/>
        </w:rPr>
        <w:t xml:space="preserve"> </w:t>
      </w:r>
      <w:r w:rsidRPr="00B73666">
        <w:rPr>
          <w:rFonts w:ascii="Palatino Linotype" w:eastAsia="MS Gothic" w:hAnsi="Palatino Linotype" w:cs="Times New Roman"/>
          <w:szCs w:val="26"/>
        </w:rPr>
        <w:t xml:space="preserve">Acta de la </w:t>
      </w:r>
      <w:r w:rsidR="00541216" w:rsidRPr="00B73666">
        <w:rPr>
          <w:rFonts w:ascii="Palatino Linotype" w:eastAsia="MS Gothic" w:hAnsi="Palatino Linotype" w:cs="Times New Roman"/>
          <w:szCs w:val="26"/>
        </w:rPr>
        <w:t>séptima</w:t>
      </w:r>
      <w:r w:rsidRPr="00B73666">
        <w:rPr>
          <w:rFonts w:ascii="Palatino Linotype" w:eastAsia="MS Gothic" w:hAnsi="Palatino Linotype" w:cs="Times New Roman"/>
          <w:szCs w:val="26"/>
        </w:rPr>
        <w:t xml:space="preserve"> sesión ordinaria del Comité de Adquisiciones y Servicios, número CAS/ORD/</w:t>
      </w:r>
      <w:r w:rsidR="00541216" w:rsidRPr="00B73666">
        <w:rPr>
          <w:rFonts w:ascii="Palatino Linotype" w:eastAsia="MS Gothic" w:hAnsi="Palatino Linotype" w:cs="Times New Roman"/>
          <w:szCs w:val="26"/>
        </w:rPr>
        <w:t>007</w:t>
      </w:r>
      <w:r w:rsidRPr="00B73666">
        <w:rPr>
          <w:rFonts w:ascii="Palatino Linotype" w:eastAsia="MS Gothic" w:hAnsi="Palatino Linotype" w:cs="Times New Roman"/>
          <w:szCs w:val="26"/>
        </w:rPr>
        <w:t>/2019.</w:t>
      </w:r>
    </w:p>
    <w:p w14:paraId="5DF0393C" w14:textId="049DC84A" w:rsidR="00541216" w:rsidRPr="00B73666" w:rsidRDefault="00541216" w:rsidP="00541216">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Oficio número DGA/AS/010/2019, de diez (10) de junio de dos mil diecinueve, signado por la Directora General de Administración y Presidenta del Comité de Adquisiciones y Servicios, por el que convoca a la octava sesión ordinaria del Comité</w:t>
      </w:r>
    </w:p>
    <w:p w14:paraId="63D09733" w14:textId="5CF2E7D0" w:rsidR="00541216" w:rsidRPr="00B73666" w:rsidRDefault="00541216" w:rsidP="00541216">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Orden del día, lista de asistencia, Invitación Restringida número OCO/DGA/IR01/2019, para la </w:t>
      </w:r>
      <w:r w:rsidRPr="00B73666">
        <w:rPr>
          <w:rFonts w:ascii="Palatino Linotype" w:eastAsia="MS Gothic" w:hAnsi="Palatino Linotype" w:cs="Times New Roman"/>
          <w:i/>
          <w:iCs/>
          <w:szCs w:val="26"/>
        </w:rPr>
        <w:t xml:space="preserve">Elaboración del Atlas de Riesgo del </w:t>
      </w:r>
      <w:r w:rsidRPr="00B73666">
        <w:rPr>
          <w:rFonts w:ascii="Palatino Linotype" w:eastAsia="MS Gothic" w:hAnsi="Palatino Linotype" w:cs="Times New Roman"/>
          <w:i/>
          <w:iCs/>
          <w:szCs w:val="26"/>
        </w:rPr>
        <w:lastRenderedPageBreak/>
        <w:t xml:space="preserve">Municipio de </w:t>
      </w:r>
      <w:proofErr w:type="spellStart"/>
      <w:r w:rsidRPr="00B73666">
        <w:rPr>
          <w:rFonts w:ascii="Palatino Linotype" w:eastAsia="MS Gothic" w:hAnsi="Palatino Linotype" w:cs="Times New Roman"/>
          <w:i/>
          <w:iCs/>
          <w:szCs w:val="26"/>
        </w:rPr>
        <w:t>Ocoyoacac</w:t>
      </w:r>
      <w:proofErr w:type="spellEnd"/>
      <w:r w:rsidRPr="00B73666">
        <w:rPr>
          <w:rFonts w:ascii="Palatino Linotype" w:eastAsia="MS Gothic" w:hAnsi="Palatino Linotype" w:cs="Times New Roman"/>
          <w:szCs w:val="26"/>
        </w:rPr>
        <w:t xml:space="preserve"> y anexos; y, Acta de la octava sesión ordinaria del Comité de Adquisiciones y Servicios, número CAS/ORD/008/2019.</w:t>
      </w:r>
    </w:p>
    <w:p w14:paraId="6DB3F9B1" w14:textId="0D299C13" w:rsidR="00541216" w:rsidRPr="00B73666" w:rsidRDefault="00541216" w:rsidP="00541216">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Oficio número DGA/AS/011/2019, de veinticinco (25) de junio de dos mil diecinueve, signado por la Directora General de Administración y Presidenta del Comité de Adquisiciones y Servicios, por el que convoca a la novena sesión ordinaria del Comité</w:t>
      </w:r>
    </w:p>
    <w:p w14:paraId="2C7EE10E" w14:textId="7B4A5A45" w:rsidR="00541216" w:rsidRPr="00B73666" w:rsidRDefault="00541216" w:rsidP="00541216">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Orden del día, lista de asistencia, Invitación Restringida número OCO/DGA/IR02/2019, para la </w:t>
      </w:r>
      <w:r w:rsidRPr="00B73666">
        <w:rPr>
          <w:rFonts w:ascii="Palatino Linotype" w:eastAsia="MS Gothic" w:hAnsi="Palatino Linotype" w:cs="Times New Roman"/>
          <w:i/>
          <w:iCs/>
          <w:szCs w:val="26"/>
        </w:rPr>
        <w:t xml:space="preserve">Actualización del Plan de Desarrollo Urbano 2019 </w:t>
      </w:r>
      <w:r w:rsidRPr="00B73666">
        <w:rPr>
          <w:rFonts w:ascii="Palatino Linotype" w:eastAsia="MS Gothic" w:hAnsi="Palatino Linotype" w:cs="Times New Roman"/>
          <w:szCs w:val="26"/>
        </w:rPr>
        <w:t>y anexos; y, Acta de la sexta sesión ordinaria del Comité de Adquisiciones y Servicios, número CAS/ORD/009/2019.</w:t>
      </w:r>
    </w:p>
    <w:p w14:paraId="26469248" w14:textId="4DFA6646" w:rsidR="00541216" w:rsidRPr="00B73666" w:rsidRDefault="00541216" w:rsidP="00541216">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Oficio número DGA/AS/014/2019, de nueve (09) de agosto de dos mil diecinueve, signado por la Directora General de Administración y Presidenta del Comité de Adquisiciones y Servicios, por el que convoca a la décima </w:t>
      </w:r>
      <w:r w:rsidR="00555448" w:rsidRPr="00B73666">
        <w:rPr>
          <w:rFonts w:ascii="Palatino Linotype" w:eastAsia="MS Gothic" w:hAnsi="Palatino Linotype" w:cs="Times New Roman"/>
          <w:szCs w:val="26"/>
        </w:rPr>
        <w:t xml:space="preserve">segunda </w:t>
      </w:r>
      <w:r w:rsidRPr="00B73666">
        <w:rPr>
          <w:rFonts w:ascii="Palatino Linotype" w:eastAsia="MS Gothic" w:hAnsi="Palatino Linotype" w:cs="Times New Roman"/>
          <w:szCs w:val="26"/>
        </w:rPr>
        <w:t>sesión ordinaria del Comité</w:t>
      </w:r>
    </w:p>
    <w:p w14:paraId="7C669A49" w14:textId="3279CC15" w:rsidR="00541216" w:rsidRPr="00B73666" w:rsidRDefault="00541216" w:rsidP="00541216">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Orden del día, lista de asistencia, </w:t>
      </w:r>
      <w:r w:rsidR="00555448" w:rsidRPr="00B73666">
        <w:rPr>
          <w:rFonts w:ascii="Palatino Linotype" w:eastAsia="MS Gothic" w:hAnsi="Palatino Linotype" w:cs="Times New Roman"/>
          <w:szCs w:val="26"/>
        </w:rPr>
        <w:t xml:space="preserve">documentos relativos a la Adjudicación Directa para la contratación del servicio de seguro de vida del personal de la Dirección General de Seguridad Pública del Ayuntamiento de </w:t>
      </w:r>
      <w:proofErr w:type="spellStart"/>
      <w:r w:rsidR="00555448" w:rsidRPr="00B73666">
        <w:rPr>
          <w:rFonts w:ascii="Palatino Linotype" w:eastAsia="MS Gothic" w:hAnsi="Palatino Linotype" w:cs="Times New Roman"/>
          <w:szCs w:val="26"/>
        </w:rPr>
        <w:t>Ocoyoacac</w:t>
      </w:r>
      <w:proofErr w:type="spellEnd"/>
      <w:r w:rsidRPr="00B73666">
        <w:rPr>
          <w:rFonts w:ascii="Palatino Linotype" w:eastAsia="MS Gothic" w:hAnsi="Palatino Linotype" w:cs="Times New Roman"/>
          <w:szCs w:val="26"/>
        </w:rPr>
        <w:t xml:space="preserve">; y, Acta de la </w:t>
      </w:r>
      <w:r w:rsidR="00555448" w:rsidRPr="00B73666">
        <w:rPr>
          <w:rFonts w:ascii="Palatino Linotype" w:eastAsia="MS Gothic" w:hAnsi="Palatino Linotype" w:cs="Times New Roman"/>
          <w:szCs w:val="26"/>
        </w:rPr>
        <w:t>décima segunda sesión</w:t>
      </w:r>
      <w:r w:rsidRPr="00B73666">
        <w:rPr>
          <w:rFonts w:ascii="Palatino Linotype" w:eastAsia="MS Gothic" w:hAnsi="Palatino Linotype" w:cs="Times New Roman"/>
          <w:szCs w:val="26"/>
        </w:rPr>
        <w:t xml:space="preserve"> ordinaria del Comité de Adquisiciones y Servicios, número CAS/ORD/</w:t>
      </w:r>
      <w:r w:rsidR="00555448" w:rsidRPr="00B73666">
        <w:rPr>
          <w:rFonts w:ascii="Palatino Linotype" w:eastAsia="MS Gothic" w:hAnsi="Palatino Linotype" w:cs="Times New Roman"/>
          <w:szCs w:val="26"/>
        </w:rPr>
        <w:t>012</w:t>
      </w:r>
      <w:r w:rsidRPr="00B73666">
        <w:rPr>
          <w:rFonts w:ascii="Palatino Linotype" w:eastAsia="MS Gothic" w:hAnsi="Palatino Linotype" w:cs="Times New Roman"/>
          <w:szCs w:val="26"/>
        </w:rPr>
        <w:t>/2019.</w:t>
      </w:r>
    </w:p>
    <w:p w14:paraId="40D4FE3F" w14:textId="1E66B957" w:rsidR="00555448" w:rsidRPr="00B73666" w:rsidRDefault="00555448" w:rsidP="00555448">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t>Oficio de veinticuatro (24) de septiembre de dos mil diecinueve, signado por la Directora General de Administración y Presidenta del Comité de Adquisiciones y Servicios, por el que convoca a la décima cuarta sesión ordinaria del Comité</w:t>
      </w:r>
    </w:p>
    <w:p w14:paraId="1444C5CE" w14:textId="4F94F1C8" w:rsidR="004664A7" w:rsidRPr="00B73666" w:rsidRDefault="00555448" w:rsidP="00555448">
      <w:pPr>
        <w:pStyle w:val="Prrafodelista"/>
        <w:numPr>
          <w:ilvl w:val="1"/>
          <w:numId w:val="2"/>
        </w:numPr>
        <w:tabs>
          <w:tab w:val="left" w:pos="142"/>
          <w:tab w:val="left" w:pos="284"/>
          <w:tab w:val="left" w:pos="426"/>
        </w:tabs>
        <w:spacing w:before="240" w:after="240" w:line="360" w:lineRule="auto"/>
        <w:ind w:left="1276" w:hanging="436"/>
        <w:jc w:val="both"/>
        <w:rPr>
          <w:rFonts w:ascii="Palatino Linotype" w:eastAsia="MS Gothic" w:hAnsi="Palatino Linotype" w:cs="Times New Roman"/>
          <w:szCs w:val="26"/>
        </w:rPr>
      </w:pPr>
      <w:r w:rsidRPr="00B73666">
        <w:rPr>
          <w:rFonts w:ascii="Palatino Linotype" w:eastAsia="MS Gothic" w:hAnsi="Palatino Linotype" w:cs="Times New Roman"/>
          <w:szCs w:val="26"/>
        </w:rPr>
        <w:lastRenderedPageBreak/>
        <w:t>Orden del día, lista de asistencia y, Acta de la décima cuarta sesión ordinaria del Comité de Adquisiciones y Servicios, número CAS/ORD/014/2019.</w:t>
      </w:r>
    </w:p>
    <w:p w14:paraId="690F7EF9" w14:textId="77777777" w:rsidR="006E5138" w:rsidRPr="00B73666" w:rsidRDefault="006E5138" w:rsidP="00D5487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47556C6" w14:textId="639687D3" w:rsidR="00D54876" w:rsidRPr="00B73666" w:rsidRDefault="00FC3E1B"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Así las cosas,</w:t>
      </w:r>
      <w:r w:rsidR="00555448" w:rsidRPr="00B73666">
        <w:rPr>
          <w:rFonts w:ascii="Palatino Linotype" w:eastAsia="MS Gothic" w:hAnsi="Palatino Linotype" w:cs="Times New Roman"/>
          <w:szCs w:val="26"/>
        </w:rPr>
        <w:t xml:space="preserve"> se aprecia que el </w:t>
      </w:r>
      <w:r w:rsidR="00555448" w:rsidRPr="00B73666">
        <w:rPr>
          <w:rFonts w:ascii="Palatino Linotype" w:eastAsia="MS Gothic" w:hAnsi="Palatino Linotype" w:cs="Times New Roman"/>
          <w:b/>
          <w:bCs/>
          <w:szCs w:val="26"/>
        </w:rPr>
        <w:t>SUJETO OBLIGADO</w:t>
      </w:r>
      <w:r w:rsidR="00555448" w:rsidRPr="00B73666">
        <w:rPr>
          <w:rFonts w:ascii="Palatino Linotype" w:eastAsia="MS Gothic" w:hAnsi="Palatino Linotype" w:cs="Times New Roman"/>
          <w:szCs w:val="26"/>
        </w:rPr>
        <w:t xml:space="preserve"> entregó al particular las Actas </w:t>
      </w:r>
      <w:r w:rsidR="00102DB6" w:rsidRPr="00B73666">
        <w:rPr>
          <w:rFonts w:ascii="Palatino Linotype" w:eastAsia="MS Gothic" w:hAnsi="Palatino Linotype" w:cs="Times New Roman"/>
          <w:szCs w:val="26"/>
        </w:rPr>
        <w:t>de la primera, segunda, tercera, cuarta, quinta, sexta, séptima, octava, novena, décimo segunda y décimo cuarta sesiones ordinarias del Comité de Adquisiciones y Servicios del ejercicio dos mil diecinueve; hizo entrega de las Actas de la primera y segunda sesiones extraordinarias del Comité, celebradas durante el mismo ejercicio fiscal.</w:t>
      </w:r>
    </w:p>
    <w:p w14:paraId="0F4CC829" w14:textId="0FA79188" w:rsidR="00142A26" w:rsidRPr="00B73666" w:rsidRDefault="00142A26" w:rsidP="00142A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A86D092" w14:textId="4A0ABCD8" w:rsidR="00142A26" w:rsidRPr="00B73666" w:rsidRDefault="00142A26" w:rsidP="00142A26">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27" w:name="_Toc48216088"/>
      <w:r w:rsidRPr="00B73666">
        <w:rPr>
          <w:rFonts w:ascii="Palatino Linotype" w:eastAsia="MS Gothic" w:hAnsi="Palatino Linotype" w:cs="Times New Roman"/>
          <w:b/>
          <w:bCs/>
          <w:szCs w:val="26"/>
        </w:rPr>
        <w:t>IV. Del Comité de Adquisiciones.</w:t>
      </w:r>
      <w:bookmarkEnd w:id="27"/>
    </w:p>
    <w:p w14:paraId="364DB3E4" w14:textId="77777777" w:rsidR="00142A26" w:rsidRPr="00B73666" w:rsidRDefault="00142A26" w:rsidP="00142A26">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3F19C68" w14:textId="757503B1" w:rsidR="00FC3E1B" w:rsidRPr="00B73666" w:rsidRDefault="00AC7991"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La Ley Orgánica Municipal del Estado de México y Municipios, en su artículo 86, refiere que,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p>
    <w:p w14:paraId="4F434D97" w14:textId="77777777" w:rsidR="00FC3E1B" w:rsidRPr="00B73666" w:rsidRDefault="00FC3E1B"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A07D9EE" w14:textId="1B84C6C6" w:rsidR="00FC3E1B" w:rsidRPr="00B73666" w:rsidRDefault="00AC7991"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En ese sentido, el artículo 57 del Bando Municipal de </w:t>
      </w:r>
      <w:proofErr w:type="spellStart"/>
      <w:r w:rsidRPr="00B73666">
        <w:rPr>
          <w:rFonts w:ascii="Palatino Linotype" w:eastAsia="MS Gothic" w:hAnsi="Palatino Linotype" w:cs="Times New Roman"/>
          <w:szCs w:val="26"/>
        </w:rPr>
        <w:t>Ocoyoacac</w:t>
      </w:r>
      <w:proofErr w:type="spellEnd"/>
      <w:r w:rsidRPr="00B73666">
        <w:rPr>
          <w:rFonts w:ascii="Palatino Linotype" w:eastAsia="MS Gothic" w:hAnsi="Palatino Linotype" w:cs="Times New Roman"/>
          <w:szCs w:val="26"/>
        </w:rPr>
        <w:t xml:space="preserve"> 2019 señala que para que estudio, planeación y despacho de los asuntos de la administración pública municipal centralizada y descentralizada, la Presidenta Municipal se auxiliará de las siguientes dependencias:</w:t>
      </w:r>
    </w:p>
    <w:p w14:paraId="4FCA6874" w14:textId="231611C5" w:rsidR="00AC7991" w:rsidRPr="00B73666" w:rsidRDefault="00AC7991" w:rsidP="00AC799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351C745" w14:textId="334A380A"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lastRenderedPageBreak/>
        <w:t xml:space="preserve">“I. Secretaría del Ayuntamiento. </w:t>
      </w:r>
    </w:p>
    <w:p w14:paraId="3D2EC7A7" w14:textId="7777777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II. Tesorería Municipal. </w:t>
      </w:r>
    </w:p>
    <w:p w14:paraId="232F673F" w14:textId="7777777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III. Contraloría Municipal </w:t>
      </w:r>
    </w:p>
    <w:p w14:paraId="3472EC71" w14:textId="7777777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b/>
          <w:bCs/>
          <w:i/>
          <w:iCs/>
          <w:sz w:val="22"/>
        </w:rPr>
      </w:pPr>
      <w:r w:rsidRPr="00B73666">
        <w:rPr>
          <w:rFonts w:ascii="Palatino Linotype" w:eastAsia="MS Gothic" w:hAnsi="Palatino Linotype" w:cs="Times New Roman"/>
          <w:b/>
          <w:bCs/>
          <w:i/>
          <w:iCs/>
          <w:sz w:val="22"/>
        </w:rPr>
        <w:t xml:space="preserve">IV. Dirección General de Administración </w:t>
      </w:r>
    </w:p>
    <w:p w14:paraId="774B1CFC" w14:textId="7777777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V. Dirección General Desarrollo Económico </w:t>
      </w:r>
    </w:p>
    <w:p w14:paraId="06DB2E61" w14:textId="7777777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VI. Dirección General de Bienestar Social </w:t>
      </w:r>
    </w:p>
    <w:p w14:paraId="77145D94" w14:textId="7777777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VII. Dirección General de Obras Públicas y Desarrollo Urbano </w:t>
      </w:r>
    </w:p>
    <w:p w14:paraId="18593059" w14:textId="7777777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VIII. Dirección General de Gobierno </w:t>
      </w:r>
    </w:p>
    <w:p w14:paraId="16A1B50E" w14:textId="7777777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IX. Dirección de Seguridad Pública </w:t>
      </w:r>
    </w:p>
    <w:p w14:paraId="20B46E10" w14:textId="74054437"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X. Dirección General de Servicios Públicos”</w:t>
      </w:r>
    </w:p>
    <w:p w14:paraId="0916F7CE" w14:textId="2DD0B81D" w:rsidR="00AC7991" w:rsidRPr="00B73666" w:rsidRDefault="00AC7991" w:rsidP="00AC7991">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 w:val="22"/>
        </w:rPr>
      </w:pPr>
      <w:r w:rsidRPr="00B73666">
        <w:rPr>
          <w:rFonts w:ascii="Palatino Linotype" w:eastAsia="MS Gothic" w:hAnsi="Palatino Linotype" w:cs="Times New Roman"/>
          <w:sz w:val="22"/>
        </w:rPr>
        <w:t>(Énfasis añadido)</w:t>
      </w:r>
    </w:p>
    <w:p w14:paraId="6C6BBD14" w14:textId="77777777" w:rsidR="00FC3E1B" w:rsidRPr="00B73666" w:rsidRDefault="00FC3E1B"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4D4B272" w14:textId="70F7E53C" w:rsidR="00FC3E1B" w:rsidRPr="00B73666" w:rsidRDefault="00AC7991"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Siendo de especial interés para el presente asunto la dependencia denominada Dirección General de Administración, la cual, de conformidad con el numeral 75 del Bando Municipal del </w:t>
      </w:r>
      <w:r w:rsidRPr="00B73666">
        <w:rPr>
          <w:rFonts w:ascii="Palatino Linotype" w:eastAsia="MS Gothic" w:hAnsi="Palatino Linotype" w:cs="Times New Roman"/>
          <w:b/>
          <w:bCs/>
          <w:szCs w:val="26"/>
        </w:rPr>
        <w:t>SUJETO OBLIGADO</w:t>
      </w:r>
      <w:r w:rsidR="001E7F6E" w:rsidRPr="00B73666">
        <w:rPr>
          <w:rFonts w:ascii="Palatino Linotype" w:eastAsia="MS Gothic" w:hAnsi="Palatino Linotype" w:cs="Times New Roman"/>
          <w:b/>
          <w:bCs/>
          <w:szCs w:val="26"/>
        </w:rPr>
        <w:t>,</w:t>
      </w:r>
      <w:r w:rsidRPr="00B73666">
        <w:rPr>
          <w:rFonts w:ascii="Palatino Linotype" w:eastAsia="MS Gothic" w:hAnsi="Palatino Linotype" w:cs="Times New Roman"/>
          <w:szCs w:val="26"/>
        </w:rPr>
        <w:t xml:space="preserve"> será la responsable de administrar los recursos humanos, materiales, tecnológicos y de servicios de las diversas unidades administrativas que conforman la administración pública municipal y asignará a estas, en acuerdo con la Presidenta Municipal, el personal capacitado que requieran para el cumplimiento de sus atribuciones, llevando el registro del mismo y, en coordinación con la Tesorería Municipal, efectuará el pago de los salarios, atenderá las relaciones laborales</w:t>
      </w:r>
      <w:r w:rsidR="001E7F6E" w:rsidRPr="00B73666">
        <w:rPr>
          <w:rFonts w:ascii="Palatino Linotype" w:eastAsia="MS Gothic" w:hAnsi="Palatino Linotype" w:cs="Times New Roman"/>
          <w:szCs w:val="26"/>
        </w:rPr>
        <w:t xml:space="preserve"> y</w:t>
      </w:r>
      <w:r w:rsidRPr="00B73666">
        <w:rPr>
          <w:rFonts w:ascii="Palatino Linotype" w:eastAsia="MS Gothic" w:hAnsi="Palatino Linotype" w:cs="Times New Roman"/>
          <w:szCs w:val="26"/>
        </w:rPr>
        <w:t xml:space="preserve">, efectuará las adquisiciones que requieran las dependencias de la Administración Pública Municipal </w:t>
      </w:r>
      <w:r w:rsidRPr="00B73666">
        <w:rPr>
          <w:rFonts w:ascii="Palatino Linotype" w:eastAsia="MS Gothic" w:hAnsi="Palatino Linotype" w:cs="Times New Roman"/>
          <w:b/>
          <w:bCs/>
          <w:szCs w:val="26"/>
        </w:rPr>
        <w:t>a través del Comité de Adquisiciones</w:t>
      </w:r>
      <w:r w:rsidR="001E7F6E" w:rsidRPr="00B73666">
        <w:rPr>
          <w:rFonts w:ascii="Palatino Linotype" w:eastAsia="MS Gothic" w:hAnsi="Palatino Linotype" w:cs="Times New Roman"/>
          <w:szCs w:val="26"/>
        </w:rPr>
        <w:t>.</w:t>
      </w:r>
    </w:p>
    <w:p w14:paraId="7CFD1FF1" w14:textId="77777777" w:rsidR="00FC3E1B" w:rsidRPr="00B73666" w:rsidRDefault="00FC3E1B"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9D2DF27" w14:textId="092A35D7" w:rsidR="00FC3E1B" w:rsidRPr="00B73666" w:rsidRDefault="001E7F6E"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Ahora bien, el Comité de Adquisiciones y Servicios es un órgano colegiado con facultades de opinión, que tiene por objeto auxiliar al Municipio de </w:t>
      </w:r>
      <w:proofErr w:type="spellStart"/>
      <w:r w:rsidRPr="00B73666">
        <w:rPr>
          <w:rFonts w:ascii="Palatino Linotype" w:eastAsia="MS Gothic" w:hAnsi="Palatino Linotype" w:cs="Times New Roman"/>
          <w:szCs w:val="26"/>
        </w:rPr>
        <w:t>Ocoyoacac</w:t>
      </w:r>
      <w:proofErr w:type="spellEnd"/>
      <w:r w:rsidRPr="00B73666">
        <w:rPr>
          <w:rFonts w:ascii="Palatino Linotype" w:eastAsia="MS Gothic" w:hAnsi="Palatino Linotype" w:cs="Times New Roman"/>
          <w:szCs w:val="26"/>
        </w:rPr>
        <w:t xml:space="preserve"> en </w:t>
      </w:r>
      <w:r w:rsidRPr="00B73666">
        <w:rPr>
          <w:rFonts w:ascii="Palatino Linotype" w:eastAsia="MS Gothic" w:hAnsi="Palatino Linotype" w:cs="Times New Roman"/>
          <w:szCs w:val="26"/>
        </w:rPr>
        <w:lastRenderedPageBreak/>
        <w:t>la substanciación de los procedimientos de adquisiciones y de servicios</w:t>
      </w:r>
      <w:r w:rsidRPr="00B73666">
        <w:rPr>
          <w:rStyle w:val="Refdenotaalpie"/>
          <w:rFonts w:ascii="Palatino Linotype" w:eastAsia="MS Gothic" w:hAnsi="Palatino Linotype" w:cs="Times New Roman"/>
          <w:szCs w:val="26"/>
        </w:rPr>
        <w:footnoteReference w:id="7"/>
      </w:r>
      <w:r w:rsidRPr="00B73666">
        <w:rPr>
          <w:rFonts w:ascii="Palatino Linotype" w:eastAsia="MS Gothic" w:hAnsi="Palatino Linotype" w:cs="Times New Roman"/>
          <w:szCs w:val="26"/>
        </w:rPr>
        <w:t>; y, que de conformidad con el artículo 23 de la Ley de contratación Pública del Estado de México y Municipios, tendrá las siguientes funciones:</w:t>
      </w:r>
    </w:p>
    <w:p w14:paraId="2F0DA021" w14:textId="336022B1" w:rsidR="00FC3E1B" w:rsidRPr="00B73666" w:rsidRDefault="00FC3E1B"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3245D42" w14:textId="77777777" w:rsidR="001E7F6E" w:rsidRPr="00B73666" w:rsidRDefault="001E7F6E" w:rsidP="001E7F6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“Artículo 23.- Los comités de adquisiciones y de servicios tendrán las funciones siguientes: </w:t>
      </w:r>
    </w:p>
    <w:p w14:paraId="32828D55" w14:textId="77777777" w:rsidR="001E7F6E" w:rsidRPr="00B73666" w:rsidRDefault="001E7F6E" w:rsidP="001E7F6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I. Dictaminar sobre la procedencia de los casos de excepción al procedimiento de licitación pública. </w:t>
      </w:r>
    </w:p>
    <w:p w14:paraId="79102887" w14:textId="77777777" w:rsidR="001E7F6E" w:rsidRPr="00B73666" w:rsidRDefault="001E7F6E" w:rsidP="001E7F6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366A4D7F" w14:textId="77777777" w:rsidR="001E7F6E" w:rsidRPr="00B73666" w:rsidRDefault="001E7F6E" w:rsidP="001E7F6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 xml:space="preserve">III. Emitir los dictámenes de adjudicación. </w:t>
      </w:r>
    </w:p>
    <w:p w14:paraId="0A1FB2E0" w14:textId="34BF60F9" w:rsidR="001E7F6E" w:rsidRPr="00B73666" w:rsidRDefault="001E7F6E" w:rsidP="001E7F6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i/>
          <w:iCs/>
          <w:sz w:val="22"/>
        </w:rPr>
      </w:pPr>
      <w:r w:rsidRPr="00B73666">
        <w:rPr>
          <w:rFonts w:ascii="Palatino Linotype" w:eastAsia="MS Gothic" w:hAnsi="Palatino Linotype" w:cs="Times New Roman"/>
          <w:i/>
          <w:iCs/>
          <w:sz w:val="22"/>
        </w:rPr>
        <w:t>IV. Las demás que establezca el reglamento de esta Ley.”</w:t>
      </w:r>
    </w:p>
    <w:p w14:paraId="015827C0" w14:textId="77777777" w:rsidR="001E7F6E" w:rsidRPr="00B73666" w:rsidRDefault="001E7F6E"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B7C1215" w14:textId="2B36DBA7" w:rsidR="00FC3E1B" w:rsidRPr="00B73666" w:rsidRDefault="00902845"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As</w:t>
      </w:r>
      <w:r w:rsidR="007E49F5" w:rsidRPr="00B73666">
        <w:rPr>
          <w:rFonts w:ascii="Palatino Linotype" w:eastAsia="MS Gothic" w:hAnsi="Palatino Linotype" w:cs="Times New Roman"/>
          <w:szCs w:val="26"/>
        </w:rPr>
        <w:t>imismo, el Reglamento de la Ley de Contratación Pública del Estado de México y Municipios, en su artículo 44, refiere que el Comité de Adquisiciones y Servicios se integrará por:</w:t>
      </w:r>
    </w:p>
    <w:p w14:paraId="561D955E" w14:textId="77777777" w:rsidR="007E49F5" w:rsidRPr="00B73666" w:rsidRDefault="007E49F5" w:rsidP="007E49F5">
      <w:pPr>
        <w:pStyle w:val="Prrafodelista"/>
        <w:numPr>
          <w:ilvl w:val="1"/>
          <w:numId w:val="2"/>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B73666">
        <w:rPr>
          <w:rFonts w:ascii="Palatino Linotype" w:eastAsia="MS Gothic" w:hAnsi="Palatino Linotype" w:cs="Times New Roman"/>
          <w:szCs w:val="26"/>
        </w:rPr>
        <w:t>En la Secretaría, por el titular del área encargada de operar el sistema de adquisiciones de las dependencias del Poder Ejecutivo, y en los organismos auxiliares, tribunales administrativos y municipios, por el titular de la unidad administrativa, quien fungirá como presidente;</w:t>
      </w:r>
    </w:p>
    <w:p w14:paraId="4890F422" w14:textId="77777777" w:rsidR="007E49F5" w:rsidRPr="00B73666" w:rsidRDefault="007E49F5" w:rsidP="007E49F5">
      <w:pPr>
        <w:pStyle w:val="Prrafodelista"/>
        <w:numPr>
          <w:ilvl w:val="1"/>
          <w:numId w:val="2"/>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Un representante del área financiera de la Secretaría, entidad, tribunal administrativo o municipio, con función de vocal; </w:t>
      </w:r>
    </w:p>
    <w:p w14:paraId="282662A5" w14:textId="77777777" w:rsidR="007E49F5" w:rsidRPr="00B73666" w:rsidRDefault="007E49F5" w:rsidP="007E49F5">
      <w:pPr>
        <w:pStyle w:val="Prrafodelista"/>
        <w:numPr>
          <w:ilvl w:val="1"/>
          <w:numId w:val="2"/>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B73666">
        <w:rPr>
          <w:rFonts w:ascii="Palatino Linotype" w:eastAsia="MS Gothic" w:hAnsi="Palatino Linotype" w:cs="Times New Roman"/>
          <w:szCs w:val="26"/>
        </w:rPr>
        <w:lastRenderedPageBreak/>
        <w:t xml:space="preserve">Un representante de cada dependencia o unidad administrativa interesada en la adquisición de los bienes o contratación del servicio, con función de vocal; </w:t>
      </w:r>
    </w:p>
    <w:p w14:paraId="4C823F68" w14:textId="77777777" w:rsidR="007E49F5" w:rsidRPr="00B73666" w:rsidRDefault="007E49F5" w:rsidP="007E49F5">
      <w:pPr>
        <w:pStyle w:val="Prrafodelista"/>
        <w:numPr>
          <w:ilvl w:val="1"/>
          <w:numId w:val="2"/>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Un representante de la Consejería Jurídica o del área jurídica respectiva o quien lleve a cabo las funciones de esta naturaleza, con función de vocal; </w:t>
      </w:r>
    </w:p>
    <w:p w14:paraId="1C2E15F2" w14:textId="77777777" w:rsidR="007E49F5" w:rsidRPr="00B73666" w:rsidRDefault="007E49F5" w:rsidP="007E49F5">
      <w:pPr>
        <w:pStyle w:val="Prrafodelista"/>
        <w:numPr>
          <w:ilvl w:val="1"/>
          <w:numId w:val="2"/>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Un representante del Órgano de Control, con función de vocal; y </w:t>
      </w:r>
    </w:p>
    <w:p w14:paraId="72956371" w14:textId="3BE0050A" w:rsidR="007E49F5" w:rsidRPr="00B73666" w:rsidRDefault="007E49F5" w:rsidP="007E49F5">
      <w:pPr>
        <w:pStyle w:val="Prrafodelista"/>
        <w:numPr>
          <w:ilvl w:val="1"/>
          <w:numId w:val="2"/>
        </w:numPr>
        <w:tabs>
          <w:tab w:val="left" w:pos="142"/>
          <w:tab w:val="left" w:pos="284"/>
          <w:tab w:val="left" w:pos="426"/>
        </w:tabs>
        <w:spacing w:before="240" w:after="240" w:line="360" w:lineRule="auto"/>
        <w:jc w:val="both"/>
        <w:rPr>
          <w:rFonts w:ascii="Palatino Linotype" w:eastAsia="MS Gothic" w:hAnsi="Palatino Linotype" w:cs="Times New Roman"/>
          <w:szCs w:val="26"/>
        </w:rPr>
      </w:pPr>
      <w:r w:rsidRPr="00B73666">
        <w:rPr>
          <w:rFonts w:ascii="Palatino Linotype" w:eastAsia="MS Gothic" w:hAnsi="Palatino Linotype" w:cs="Times New Roman"/>
          <w:szCs w:val="26"/>
        </w:rPr>
        <w:t>Un secretario ejecutivo, que será designado por el presidente.</w:t>
      </w:r>
    </w:p>
    <w:p w14:paraId="3323D9C7" w14:textId="77777777" w:rsidR="00FC3E1B" w:rsidRPr="00B73666" w:rsidRDefault="00FC3E1B"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3621979" w14:textId="714B4D37" w:rsidR="00FC3E1B" w:rsidRPr="00B73666" w:rsidRDefault="007E49F5"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Ahora bien, por cuando hace a las sesiones ordinarias del Comité de Adquisiciones y Servicios, se desarrollarán, por lo menos, cada 15 días, salvo que no existan asuntos por tratar, mientras que las sesiones extraordinarias se realizaran cuando éstas se requieran. No obstante, para ambas sesiones, ordinarias y extraordinarias, al término de éstas se levantará acta que será firmada por los integrantes del comité que hubieran asistido a la sesión. En dicha acta se deberá señalar el sentido del acuerdo tomado por los integrantes y los comentarios fundados y motivados relevantes de cada caso.</w:t>
      </w:r>
    </w:p>
    <w:p w14:paraId="53FC0C74" w14:textId="77777777" w:rsidR="00FC3E1B" w:rsidRPr="00B73666" w:rsidRDefault="00FC3E1B"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700AFD4" w14:textId="04A2F3DE" w:rsidR="00FC3E1B" w:rsidRPr="00B73666" w:rsidRDefault="007E49F5"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Ahora bien, de la lectura al contenido del Acta de la primera sesión extraordinaria</w:t>
      </w:r>
      <w:r w:rsidR="00BA1BA1" w:rsidRPr="00B73666">
        <w:rPr>
          <w:rFonts w:ascii="Palatino Linotype" w:eastAsia="MS Gothic" w:hAnsi="Palatino Linotype" w:cs="Times New Roman"/>
          <w:szCs w:val="26"/>
        </w:rPr>
        <w:t xml:space="preserve"> del Comité de Adquisiciones y Servicios del Ayuntamiento de </w:t>
      </w:r>
      <w:proofErr w:type="spellStart"/>
      <w:r w:rsidR="00BA1BA1" w:rsidRPr="00B73666">
        <w:rPr>
          <w:rFonts w:ascii="Palatino Linotype" w:eastAsia="MS Gothic" w:hAnsi="Palatino Linotype" w:cs="Times New Roman"/>
          <w:szCs w:val="26"/>
        </w:rPr>
        <w:t>Ocoyoacac</w:t>
      </w:r>
      <w:proofErr w:type="spellEnd"/>
      <w:r w:rsidR="00BA1BA1" w:rsidRPr="00B73666">
        <w:rPr>
          <w:rFonts w:ascii="Palatino Linotype" w:eastAsia="MS Gothic" w:hAnsi="Palatino Linotype" w:cs="Times New Roman"/>
          <w:szCs w:val="26"/>
        </w:rPr>
        <w:t xml:space="preserve">, celebrada el veintiséis (26) de febrero de dos mil diecinueve, como punto cinco de su Orden del Día, se aprecia al presentación y aprobación del calendario de sesiones ordinarias para el ejercicio fiscal dos mil diecinueve, mismo que se inserta a continuación para efectos </w:t>
      </w:r>
      <w:proofErr w:type="spellStart"/>
      <w:r w:rsidR="00BA1BA1" w:rsidRPr="00B73666">
        <w:rPr>
          <w:rFonts w:ascii="Palatino Linotype" w:eastAsia="MS Gothic" w:hAnsi="Palatino Linotype" w:cs="Times New Roman"/>
          <w:szCs w:val="26"/>
        </w:rPr>
        <w:t>referenciativos</w:t>
      </w:r>
      <w:proofErr w:type="spellEnd"/>
      <w:r w:rsidR="00BA1BA1" w:rsidRPr="00B73666">
        <w:rPr>
          <w:rFonts w:ascii="Palatino Linotype" w:eastAsia="MS Gothic" w:hAnsi="Palatino Linotype" w:cs="Times New Roman"/>
          <w:szCs w:val="26"/>
        </w:rPr>
        <w:t>:</w:t>
      </w:r>
    </w:p>
    <w:p w14:paraId="6E913436" w14:textId="5A6EF520" w:rsidR="00FC3E1B" w:rsidRPr="00B73666" w:rsidRDefault="00FC3E1B"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DBEC123" w14:textId="7E907FF0" w:rsidR="00BA1BA1" w:rsidRPr="00B73666" w:rsidRDefault="00BA1BA1" w:rsidP="00BA1BA1">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szCs w:val="26"/>
        </w:rPr>
      </w:pPr>
      <w:r w:rsidRPr="00B73666">
        <w:rPr>
          <w:rFonts w:ascii="Palatino Linotype" w:eastAsia="MS Gothic" w:hAnsi="Palatino Linotype" w:cs="Times New Roman"/>
          <w:noProof/>
          <w:szCs w:val="26"/>
          <w:lang w:val="es-MX" w:eastAsia="es-MX"/>
        </w:rPr>
        <w:drawing>
          <wp:inline distT="0" distB="0" distL="0" distR="0" wp14:anchorId="5A85F994" wp14:editId="76A3CAAB">
            <wp:extent cx="4771390" cy="2589547"/>
            <wp:effectExtent l="57150" t="57150" r="86360" b="965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9344" cy="259929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1F5C89" w14:textId="77777777" w:rsidR="00BA1BA1" w:rsidRPr="00B73666" w:rsidRDefault="00BA1BA1" w:rsidP="00FC3E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1A7A753" w14:textId="65836717" w:rsidR="00FC3E1B" w:rsidRPr="00B73666" w:rsidRDefault="00BA1BA1"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De la imagen anterior se aprecia que el Comité de Adquisiciones y Servicios del </w:t>
      </w:r>
      <w:r w:rsidRPr="00B73666">
        <w:rPr>
          <w:rFonts w:ascii="Palatino Linotype" w:eastAsia="MS Gothic" w:hAnsi="Palatino Linotype" w:cs="Times New Roman"/>
          <w:b/>
          <w:bCs/>
          <w:szCs w:val="26"/>
        </w:rPr>
        <w:t>SUJETO OBLIGADO</w:t>
      </w:r>
      <w:r w:rsidRPr="00B73666">
        <w:rPr>
          <w:rFonts w:ascii="Palatino Linotype" w:eastAsia="MS Gothic" w:hAnsi="Palatino Linotype" w:cs="Times New Roman"/>
          <w:szCs w:val="26"/>
        </w:rPr>
        <w:t xml:space="preserve"> estableció un calendario para sesionar dos veces al mes desde marzo hasta diciembre de dos mil diecinueve, lo que significa que se agendaron, al menos, 20 sesiones ordinarias. No obstante, como fuera </w:t>
      </w:r>
      <w:r w:rsidR="00F35B68" w:rsidRPr="00B73666">
        <w:rPr>
          <w:rFonts w:ascii="Palatino Linotype" w:eastAsia="MS Gothic" w:hAnsi="Palatino Linotype" w:cs="Times New Roman"/>
          <w:szCs w:val="26"/>
        </w:rPr>
        <w:t xml:space="preserve">señalado en el punto anterior de este estudio, el </w:t>
      </w:r>
      <w:r w:rsidR="00F35B68" w:rsidRPr="00B73666">
        <w:rPr>
          <w:rFonts w:ascii="Palatino Linotype" w:eastAsia="MS Gothic" w:hAnsi="Palatino Linotype" w:cs="Times New Roman"/>
          <w:b/>
          <w:bCs/>
          <w:szCs w:val="26"/>
        </w:rPr>
        <w:t>SUJETO OBLIGADO</w:t>
      </w:r>
      <w:r w:rsidR="00F35B68" w:rsidRPr="00B73666">
        <w:rPr>
          <w:rFonts w:ascii="Palatino Linotype" w:eastAsia="MS Gothic" w:hAnsi="Palatino Linotype" w:cs="Times New Roman"/>
          <w:szCs w:val="26"/>
        </w:rPr>
        <w:t xml:space="preserve"> únicamente entregó al particular las Actas de la primera, segunda, tercera, cuarta, quinta, sexta, séptima, octava, novena, décimo segunda y décimo cuarta sesiones ordinarias; y, las de la primera y segunda sesiones extraordinarias del dos mil diecinueve.</w:t>
      </w:r>
    </w:p>
    <w:p w14:paraId="178BAA2E" w14:textId="77777777" w:rsidR="00BA1BA1" w:rsidRPr="00B73666" w:rsidRDefault="00BA1BA1" w:rsidP="00BA1BA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A6591E4" w14:textId="7A50E594" w:rsidR="00BA1BA1" w:rsidRPr="00B73666" w:rsidRDefault="00F35B68"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Por ello, esta Ponencia </w:t>
      </w:r>
      <w:proofErr w:type="spellStart"/>
      <w:r w:rsidRPr="00B73666">
        <w:rPr>
          <w:rFonts w:ascii="Palatino Linotype" w:eastAsia="MS Gothic" w:hAnsi="Palatino Linotype" w:cs="Times New Roman"/>
          <w:szCs w:val="26"/>
        </w:rPr>
        <w:t>Resolutora</w:t>
      </w:r>
      <w:proofErr w:type="spellEnd"/>
      <w:r w:rsidRPr="00B73666">
        <w:rPr>
          <w:rFonts w:ascii="Palatino Linotype" w:eastAsia="MS Gothic" w:hAnsi="Palatino Linotype" w:cs="Times New Roman"/>
          <w:szCs w:val="26"/>
        </w:rPr>
        <w:t xml:space="preserve"> advierte que el </w:t>
      </w:r>
      <w:r w:rsidRPr="00B73666">
        <w:rPr>
          <w:rFonts w:ascii="Palatino Linotype" w:eastAsia="MS Gothic" w:hAnsi="Palatino Linotype" w:cs="Times New Roman"/>
          <w:b/>
          <w:bCs/>
          <w:szCs w:val="26"/>
        </w:rPr>
        <w:t>SUJETO OBLIGADO</w:t>
      </w:r>
      <w:r w:rsidRPr="00B73666">
        <w:rPr>
          <w:rFonts w:ascii="Palatino Linotype" w:eastAsia="MS Gothic" w:hAnsi="Palatino Linotype" w:cs="Times New Roman"/>
          <w:szCs w:val="26"/>
        </w:rPr>
        <w:t xml:space="preserve"> omitió entregar al particular las Actas de la décima y décimo primera sesiones ordinarias del Comité de Adquisiciones y Servicios, así como el resto de las sesiones que se hubieran celebrado del veintiocho (28) de septiembre al treinta y uno (31) de </w:t>
      </w:r>
      <w:r w:rsidRPr="00B73666">
        <w:rPr>
          <w:rFonts w:ascii="Palatino Linotype" w:eastAsia="MS Gothic" w:hAnsi="Palatino Linotype" w:cs="Times New Roman"/>
          <w:szCs w:val="26"/>
        </w:rPr>
        <w:lastRenderedPageBreak/>
        <w:t>diciembre de dos mil diecinueve, toda vez que la última Acta de sesión ordinaria entregada (de la décimo cuarta sesión) data del veintisiete (27) de septiembre del dos mil diecinueve.</w:t>
      </w:r>
    </w:p>
    <w:p w14:paraId="4CD7E7F9" w14:textId="77777777" w:rsidR="00BA1BA1" w:rsidRPr="00B73666" w:rsidRDefault="00BA1BA1" w:rsidP="00BA1BA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A1A2192" w14:textId="38E66823" w:rsidR="00BA1BA1" w:rsidRPr="00B73666" w:rsidRDefault="00F35B68"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Por otro lado, no se ignora el hecho que el </w:t>
      </w:r>
      <w:r w:rsidRPr="00B73666">
        <w:rPr>
          <w:rFonts w:ascii="Palatino Linotype" w:eastAsia="MS Gothic" w:hAnsi="Palatino Linotype" w:cs="Times New Roman"/>
          <w:b/>
          <w:bCs/>
          <w:szCs w:val="26"/>
        </w:rPr>
        <w:t>SUJETO OBLIGADO</w:t>
      </w:r>
      <w:r w:rsidRPr="00B73666">
        <w:rPr>
          <w:rFonts w:ascii="Palatino Linotype" w:eastAsia="MS Gothic" w:hAnsi="Palatino Linotype" w:cs="Times New Roman"/>
          <w:szCs w:val="26"/>
        </w:rPr>
        <w:t xml:space="preserve"> no se pronunció respecto de las Actas de Sesiones de Cabildo, ordinarias y extraordinarias, celebradas en el ejercicio fiscal 2018 y 2020.</w:t>
      </w:r>
    </w:p>
    <w:p w14:paraId="0579D54F" w14:textId="77777777" w:rsidR="00BA1BA1" w:rsidRPr="00B73666" w:rsidRDefault="00BA1BA1" w:rsidP="00BA1BA1">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5E9664F" w14:textId="29488517" w:rsidR="00BA1BA1" w:rsidRPr="00B73666" w:rsidRDefault="00F35B68"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MS Gothic" w:hAnsi="Palatino Linotype" w:cs="Times New Roman"/>
          <w:szCs w:val="26"/>
        </w:rPr>
        <w:t xml:space="preserve">En consecuencia, </w:t>
      </w:r>
      <w:r w:rsidRPr="00B73666">
        <w:rPr>
          <w:rFonts w:ascii="Palatino Linotype" w:hAnsi="Palatino Linotype" w:cs="Arial"/>
        </w:rPr>
        <w:t xml:space="preserve">esta Ponencia </w:t>
      </w:r>
      <w:proofErr w:type="spellStart"/>
      <w:r w:rsidRPr="00B73666">
        <w:rPr>
          <w:rFonts w:ascii="Palatino Linotype" w:hAnsi="Palatino Linotype" w:cs="Arial"/>
        </w:rPr>
        <w:t>Resolutora</w:t>
      </w:r>
      <w:proofErr w:type="spellEnd"/>
      <w:r w:rsidRPr="00B73666">
        <w:rPr>
          <w:rFonts w:ascii="Palatino Linotype" w:hAnsi="Palatino Linotype" w:cs="Arial"/>
        </w:rPr>
        <w:t xml:space="preserve"> encuentra conforme a derecho </w:t>
      </w:r>
      <w:r w:rsidRPr="00B73666">
        <w:rPr>
          <w:rFonts w:ascii="Palatino Linotype" w:hAnsi="Palatino Linotype" w:cs="Arial"/>
          <w:b/>
        </w:rPr>
        <w:t>ordenar</w:t>
      </w:r>
      <w:r w:rsidRPr="00B73666">
        <w:rPr>
          <w:rFonts w:ascii="Palatino Linotype" w:hAnsi="Palatino Linotype" w:cs="Arial"/>
        </w:rPr>
        <w:t xml:space="preserve"> al </w:t>
      </w:r>
      <w:r w:rsidRPr="00B73666">
        <w:rPr>
          <w:rFonts w:ascii="Palatino Linotype" w:hAnsi="Palatino Linotype" w:cs="Arial"/>
          <w:b/>
        </w:rPr>
        <w:t>SUJETO OBLIGADO</w:t>
      </w:r>
      <w:r w:rsidRPr="00B73666">
        <w:rPr>
          <w:rFonts w:ascii="Palatino Linotype" w:hAnsi="Palatino Linotype" w:cs="Arial"/>
        </w:rPr>
        <w:t xml:space="preserve"> realizar una búsqueda exhaustiva y razonable de la información en sus archivos a efecto de entregar al particular, de ser procedente en versión pública, las Actas de Sesiones Ordinarias y Extraordinarias emitidas por el Comité de Adquisiciones y Servicios del ejercicio dos mil dieciocho, las faltantes del ejercicio dos mil diecinueve; y, las que se hayan emitido durante el ejercicio dos mil veinte al </w:t>
      </w:r>
      <w:r w:rsidR="0060473E" w:rsidRPr="00B73666">
        <w:rPr>
          <w:rFonts w:ascii="Palatino Linotype" w:hAnsi="Palatino Linotype" w:cs="Arial"/>
        </w:rPr>
        <w:t xml:space="preserve">veintitrés de enero de la presente anualidad, al ser la fecha en que se promovió la solicitud de información </w:t>
      </w:r>
      <w:r w:rsidR="0060473E" w:rsidRPr="00B73666">
        <w:rPr>
          <w:rFonts w:ascii="Palatino Linotype" w:hAnsi="Palatino Linotype" w:cs="Arial"/>
          <w:b/>
          <w:bCs/>
        </w:rPr>
        <w:t>00017/OCOYOACAC/IP/2020</w:t>
      </w:r>
      <w:r w:rsidRPr="00B73666">
        <w:rPr>
          <w:rFonts w:ascii="Palatino Linotype" w:hAnsi="Palatino Linotype" w:cs="Arial"/>
        </w:rPr>
        <w:t>.</w:t>
      </w:r>
    </w:p>
    <w:p w14:paraId="5E8615F2" w14:textId="526F0997"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8CFBB6D" w14:textId="3244F910" w:rsidR="003D3963" w:rsidRPr="00B73666" w:rsidRDefault="003D3963" w:rsidP="003D3963">
      <w:pPr>
        <w:pStyle w:val="Prrafodelista"/>
        <w:tabs>
          <w:tab w:val="left" w:pos="142"/>
          <w:tab w:val="left" w:pos="284"/>
          <w:tab w:val="left" w:pos="426"/>
        </w:tabs>
        <w:spacing w:before="240" w:after="240" w:line="360" w:lineRule="auto"/>
        <w:ind w:left="0"/>
        <w:jc w:val="both"/>
        <w:outlineLvl w:val="1"/>
        <w:rPr>
          <w:rFonts w:ascii="Palatino Linotype" w:eastAsia="MS Gothic" w:hAnsi="Palatino Linotype" w:cs="Times New Roman"/>
          <w:b/>
          <w:bCs/>
          <w:szCs w:val="26"/>
        </w:rPr>
      </w:pPr>
      <w:bookmarkStart w:id="28" w:name="_Toc48216089"/>
      <w:r w:rsidRPr="00B73666">
        <w:rPr>
          <w:rFonts w:ascii="Palatino Linotype" w:eastAsia="MS Gothic" w:hAnsi="Palatino Linotype" w:cs="Times New Roman"/>
          <w:b/>
          <w:bCs/>
          <w:szCs w:val="26"/>
        </w:rPr>
        <w:t>QUINTO. De la versión pública.</w:t>
      </w:r>
      <w:bookmarkEnd w:id="28"/>
    </w:p>
    <w:p w14:paraId="1398E5DE"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E81997A" w14:textId="5B1B8190"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Por </w:t>
      </w:r>
      <w:r w:rsidRPr="00B73666">
        <w:rPr>
          <w:rFonts w:ascii="Palatino Linotype" w:hAnsi="Palatino Linotype" w:cs="Arial"/>
          <w:color w:val="000000" w:themeColor="text1"/>
        </w:rPr>
        <w:t>otro lado, debe destacarse que debido a la naturaleza de la información solicitada</w:t>
      </w:r>
      <w:r w:rsidRPr="00B73666">
        <w:rPr>
          <w:rFonts w:ascii="Palatino Linotype" w:hAnsi="Palatino Linotype" w:cs="Arial"/>
          <w:b/>
          <w:color w:val="000000" w:themeColor="text1"/>
        </w:rPr>
        <w:t xml:space="preserve">, </w:t>
      </w:r>
      <w:r w:rsidRPr="00B73666">
        <w:rPr>
          <w:rFonts w:ascii="Palatino Linotype" w:hAnsi="Palatino Linotype" w:cs="Arial"/>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w:t>
      </w:r>
      <w:r w:rsidRPr="00B73666">
        <w:rPr>
          <w:rFonts w:ascii="Palatino Linotype" w:hAnsi="Palatino Linotype" w:cs="Arial"/>
          <w:color w:val="000000" w:themeColor="text1"/>
        </w:rPr>
        <w:lastRenderedPageBreak/>
        <w:t xml:space="preserve">públicos y en su caso generar la </w:t>
      </w:r>
      <w:r w:rsidRPr="00B73666">
        <w:rPr>
          <w:rFonts w:ascii="Palatino Linotype" w:hAnsi="Palatino Linotype" w:cs="Arial"/>
          <w:b/>
          <w:color w:val="000000" w:themeColor="text1"/>
          <w:u w:val="single"/>
        </w:rPr>
        <w:t>versión pública</w:t>
      </w:r>
      <w:r w:rsidRPr="00B73666">
        <w:rPr>
          <w:rFonts w:ascii="Palatino Linotype" w:hAnsi="Palatino Linotype" w:cs="Arial"/>
          <w:color w:val="000000" w:themeColor="text1"/>
        </w:rPr>
        <w:t xml:space="preserve"> de los documentos por las consideraciones que se estimen pertinentes.</w:t>
      </w:r>
    </w:p>
    <w:p w14:paraId="282A8BDD" w14:textId="77777777"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7844FFB" w14:textId="22FBDB8A"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Es </w:t>
      </w:r>
      <w:r w:rsidRPr="00B73666">
        <w:rPr>
          <w:rFonts w:ascii="Palatino Linotype" w:eastAsia="Calibri" w:hAnsi="Palatino Linotype" w:cs="Arial"/>
          <w:color w:val="000000" w:themeColor="text1"/>
          <w:lang w:val="es-ES" w:eastAsia="es-MX"/>
        </w:rPr>
        <w:t xml:space="preserve">de señalar, que por lo que hace a las versiones públicas, el </w:t>
      </w:r>
      <w:r w:rsidRPr="00B73666">
        <w:rPr>
          <w:rFonts w:ascii="Palatino Linotype" w:eastAsia="Calibri" w:hAnsi="Palatino Linotype" w:cs="Arial"/>
          <w:b/>
          <w:color w:val="000000" w:themeColor="text1"/>
          <w:lang w:val="es-ES" w:eastAsia="es-MX"/>
        </w:rPr>
        <w:t>SUJETO OBLIGADO</w:t>
      </w:r>
      <w:r w:rsidRPr="00B73666">
        <w:rPr>
          <w:rFonts w:ascii="Palatino Linotype" w:eastAsia="Calibri" w:hAnsi="Palatino Linotype" w:cs="Arial"/>
          <w:color w:val="000000" w:themeColor="text1"/>
          <w:lang w:val="es-ES" w:eastAsia="es-MX"/>
        </w:rPr>
        <w:t xml:space="preserve"> debe cumplir con las formalidades exigidas en la Ley, por lo que </w:t>
      </w:r>
      <w:r w:rsidRPr="00B73666">
        <w:rPr>
          <w:rFonts w:ascii="Palatino Linotype" w:eastAsia="Times New Roman" w:hAnsi="Palatino Linotype" w:cs="Arial"/>
          <w:color w:val="000000" w:themeColor="text1"/>
          <w:lang w:eastAsia="es-MX"/>
        </w:rPr>
        <w:t xml:space="preserve">para tal efecto emitirá el </w:t>
      </w:r>
      <w:r w:rsidRPr="00B73666">
        <w:rPr>
          <w:rFonts w:ascii="Palatino Linotype" w:eastAsia="Calibri" w:hAnsi="Palatino Linotype" w:cs="Arial"/>
          <w:color w:val="000000" w:themeColor="text1"/>
          <w:lang w:val="es-ES" w:eastAsia="es-MX"/>
        </w:rPr>
        <w:t>Acuerdo del Comité de Transparencia en términos de los artículos 49 fracción</w:t>
      </w:r>
      <w:r w:rsidRPr="00B73666">
        <w:rPr>
          <w:rFonts w:ascii="Palatino Linotype" w:eastAsia="Calibri" w:hAnsi="Palatino Linotype" w:cs="Arial"/>
          <w:bCs/>
          <w:color w:val="000000" w:themeColor="text1"/>
        </w:rPr>
        <w:t xml:space="preserve"> VIII,</w:t>
      </w:r>
      <w:r w:rsidRPr="00B73666">
        <w:rPr>
          <w:rFonts w:ascii="Palatino Linotype" w:eastAsia="Calibri" w:hAnsi="Palatino Linotype" w:cs="Arial"/>
          <w:color w:val="000000" w:themeColor="text1"/>
          <w:lang w:val="es-ES" w:eastAsia="es-MX"/>
        </w:rPr>
        <w:t xml:space="preserve"> 122</w:t>
      </w:r>
      <w:r w:rsidRPr="00B73666">
        <w:rPr>
          <w:rFonts w:cs="Times New Roman"/>
          <w:vertAlign w:val="superscript"/>
          <w:lang w:val="es-ES" w:eastAsia="es-MX"/>
        </w:rPr>
        <w:footnoteReference w:id="8"/>
      </w:r>
      <w:r w:rsidRPr="00B73666">
        <w:rPr>
          <w:rFonts w:ascii="Palatino Linotype" w:eastAsia="Calibri" w:hAnsi="Palatino Linotype" w:cs="Arial"/>
          <w:color w:val="000000" w:themeColor="text1"/>
          <w:lang w:val="es-ES" w:eastAsia="es-MX"/>
        </w:rPr>
        <w:t>, 135</w:t>
      </w:r>
      <w:r w:rsidRPr="00B73666">
        <w:rPr>
          <w:rFonts w:cs="Times New Roman"/>
          <w:vertAlign w:val="superscript"/>
          <w:lang w:val="es-ES" w:eastAsia="es-MX"/>
        </w:rPr>
        <w:footnoteReference w:id="9"/>
      </w:r>
      <w:r w:rsidRPr="00B73666">
        <w:rPr>
          <w:rFonts w:ascii="Palatino Linotype" w:eastAsia="Calibri" w:hAnsi="Palatino Linotype" w:cs="Arial"/>
          <w:color w:val="000000" w:themeColor="text1"/>
          <w:lang w:val="es-ES" w:eastAsia="es-MX"/>
        </w:rPr>
        <w:t xml:space="preserve"> y 149 de la </w:t>
      </w:r>
      <w:r w:rsidRPr="00B73666">
        <w:rPr>
          <w:rFonts w:ascii="Palatino Linotype" w:eastAsia="Calibri" w:hAnsi="Palatino Linotype" w:cs="Arial"/>
          <w:b/>
          <w:color w:val="000000" w:themeColor="text1"/>
          <w:lang w:val="es-ES" w:eastAsia="es-MX"/>
        </w:rPr>
        <w:t>Ley de Transparencia y Acceso a la Información Pública del Estado de México y Municipios</w:t>
      </w:r>
      <w:r w:rsidRPr="00B73666">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6F84B2E1" w14:textId="1085C753"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73C6A34" w14:textId="72D883EF" w:rsidR="003D3963" w:rsidRPr="00B73666" w:rsidRDefault="003D3963" w:rsidP="003D3963">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29" w:name="_Toc48216090"/>
      <w:r w:rsidRPr="00B73666">
        <w:rPr>
          <w:rFonts w:ascii="Palatino Linotype" w:eastAsia="MS Gothic" w:hAnsi="Palatino Linotype" w:cs="Times New Roman"/>
          <w:b/>
          <w:bCs/>
          <w:szCs w:val="26"/>
        </w:rPr>
        <w:t>I. De la clasificación de la información.</w:t>
      </w:r>
      <w:bookmarkEnd w:id="29"/>
    </w:p>
    <w:p w14:paraId="56D8DECF"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22954E7" w14:textId="547805E8"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La </w:t>
      </w:r>
      <w:r w:rsidRPr="00B73666">
        <w:rPr>
          <w:rFonts w:ascii="Palatino Linotype" w:hAnsi="Palatino Linotype"/>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w:t>
      </w:r>
      <w:r w:rsidRPr="00B73666">
        <w:rPr>
          <w:rFonts w:ascii="Palatino Linotype" w:hAnsi="Palatino Linotype"/>
          <w:color w:val="000000" w:themeColor="text1"/>
        </w:rPr>
        <w:lastRenderedPageBreak/>
        <w:t>jurisdiccionales, ningún derecho es absoluto</w:t>
      </w:r>
      <w:r w:rsidRPr="00B73666">
        <w:rPr>
          <w:vertAlign w:val="superscript"/>
        </w:rPr>
        <w:footnoteReference w:id="10"/>
      </w:r>
      <w:r w:rsidRPr="00B73666">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73666">
        <w:rPr>
          <w:vertAlign w:val="superscript"/>
        </w:rPr>
        <w:footnoteReference w:id="11"/>
      </w:r>
      <w:r w:rsidRPr="00B73666">
        <w:rPr>
          <w:rFonts w:ascii="Palatino Linotype" w:hAnsi="Palatino Linotype"/>
          <w:color w:val="000000" w:themeColor="text1"/>
        </w:rPr>
        <w:t xml:space="preserve"> En este caso, la clasificación total o parcial de la información es un </w:t>
      </w:r>
      <w:r w:rsidRPr="00B73666">
        <w:rPr>
          <w:rFonts w:ascii="Palatino Linotype" w:hAnsi="Palatino Linotype"/>
          <w:color w:val="000000" w:themeColor="text1"/>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CEABA73" w14:textId="77777777"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F03631E" w14:textId="1A1333C1"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El </w:t>
      </w:r>
      <w:r w:rsidRPr="00B73666">
        <w:rPr>
          <w:rFonts w:ascii="Palatino Linotype" w:hAnsi="Palatino Linotype"/>
          <w:color w:val="000000" w:themeColor="text1"/>
        </w:rPr>
        <w:t>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2BCBF56" w14:textId="77777777"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100ED7D" w14:textId="1F340DCC"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Por </w:t>
      </w:r>
      <w:r w:rsidRPr="00B73666">
        <w:rPr>
          <w:rFonts w:ascii="Palatino Linotype" w:hAnsi="Palatino Linotype"/>
          <w:color w:val="000000" w:themeColor="text1"/>
        </w:rPr>
        <w:t>esa razón, es que en esta ocasión se presenta un apretado resumen de las formalidades, elementos y procedimientos que debe considerar el sujeto obligado para emitir este tipo de acuerdos y que el Órgano Garante debe verificar que se cumplan.</w:t>
      </w:r>
    </w:p>
    <w:p w14:paraId="1616F285" w14:textId="7711F6C6"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734F322" w14:textId="33D00892" w:rsidR="003D3963" w:rsidRPr="00B73666" w:rsidRDefault="003D3963" w:rsidP="003D3963">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0" w:name="_Toc48216091"/>
      <w:r w:rsidRPr="00B73666">
        <w:rPr>
          <w:rFonts w:ascii="Palatino Linotype" w:eastAsia="MS Gothic" w:hAnsi="Palatino Linotype" w:cs="Times New Roman"/>
          <w:b/>
          <w:bCs/>
          <w:szCs w:val="26"/>
        </w:rPr>
        <w:t>I.I Requisitos previos.</w:t>
      </w:r>
      <w:bookmarkEnd w:id="30"/>
    </w:p>
    <w:p w14:paraId="21E19F23"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115CC59" w14:textId="73914A21"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Los </w:t>
      </w:r>
      <w:r w:rsidRPr="00B73666">
        <w:rPr>
          <w:rFonts w:ascii="Palatino Linotype" w:hAnsi="Palatino Linotype"/>
          <w:color w:val="000000" w:themeColor="text1"/>
        </w:rPr>
        <w:t>artículos</w:t>
      </w:r>
      <w:r w:rsidRPr="00B73666">
        <w:rPr>
          <w:rFonts w:ascii="Palatino Linotype" w:hAnsi="Palatino Linotype" w:cs="Arial"/>
          <w:color w:val="000000" w:themeColor="text1"/>
        </w:rPr>
        <w:t xml:space="preserve"> 122 y 100 de la Ley Estatal y de la Ley General, respectivamente, señalan que los sujetos obligados determinan que la información actualiza alguno </w:t>
      </w:r>
      <w:r w:rsidRPr="00B73666">
        <w:rPr>
          <w:rFonts w:ascii="Palatino Linotype" w:hAnsi="Palatino Linotype" w:cs="Arial"/>
          <w:color w:val="000000" w:themeColor="text1"/>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4ADDB84" w14:textId="77777777"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976AB67" w14:textId="77777777" w:rsidR="003D3963" w:rsidRPr="00B73666" w:rsidRDefault="003D3963" w:rsidP="003D3963">
      <w:pPr>
        <w:numPr>
          <w:ilvl w:val="0"/>
          <w:numId w:val="2"/>
        </w:numPr>
        <w:tabs>
          <w:tab w:val="left" w:pos="426"/>
        </w:tabs>
        <w:spacing w:line="360" w:lineRule="auto"/>
        <w:ind w:left="0" w:firstLine="0"/>
        <w:contextualSpacing/>
        <w:jc w:val="both"/>
        <w:rPr>
          <w:rFonts w:ascii="Palatino Linotype" w:hAnsi="Palatino Linotype" w:cs="Arial"/>
          <w:color w:val="000000" w:themeColor="text1"/>
        </w:rPr>
      </w:pPr>
      <w:r w:rsidRPr="00B73666">
        <w:rPr>
          <w:rFonts w:ascii="Palatino Linotype" w:hAnsi="Palatino Linotype" w:cs="Arial"/>
        </w:rPr>
        <w:t xml:space="preserve">Además, </w:t>
      </w:r>
      <w:r w:rsidRPr="00B73666">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89A4950" w14:textId="77777777" w:rsidR="003D3963" w:rsidRPr="00B73666" w:rsidRDefault="003D3963" w:rsidP="003D3963">
      <w:pPr>
        <w:tabs>
          <w:tab w:val="left" w:pos="426"/>
        </w:tabs>
        <w:spacing w:line="360" w:lineRule="auto"/>
        <w:contextualSpacing/>
        <w:jc w:val="both"/>
        <w:rPr>
          <w:rFonts w:ascii="Palatino Linotype" w:hAnsi="Palatino Linotype" w:cs="Arial"/>
          <w:color w:val="000000" w:themeColor="text1"/>
        </w:rPr>
      </w:pPr>
    </w:p>
    <w:p w14:paraId="1AE68929" w14:textId="41FB530F" w:rsidR="00E44778" w:rsidRPr="00B73666" w:rsidRDefault="003D3963" w:rsidP="003D396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5B7BFFC" w14:textId="0E1A8730"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AC101E6" w14:textId="104EAF07" w:rsidR="003D3963" w:rsidRPr="00B73666" w:rsidRDefault="003D3963" w:rsidP="003D3963">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1" w:name="_Toc48216092"/>
      <w:r w:rsidRPr="00B73666">
        <w:rPr>
          <w:rFonts w:ascii="Palatino Linotype" w:eastAsia="MS Gothic" w:hAnsi="Palatino Linotype" w:cs="Times New Roman"/>
          <w:b/>
          <w:bCs/>
          <w:szCs w:val="26"/>
        </w:rPr>
        <w:lastRenderedPageBreak/>
        <w:t>I.II Supuestos de clasificación.</w:t>
      </w:r>
      <w:bookmarkEnd w:id="31"/>
    </w:p>
    <w:p w14:paraId="4C09F35C"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D3C6E6F" w14:textId="77777777" w:rsidR="003D3963" w:rsidRPr="00B73666" w:rsidRDefault="003D3963" w:rsidP="003D3963">
      <w:pPr>
        <w:numPr>
          <w:ilvl w:val="0"/>
          <w:numId w:val="2"/>
        </w:numPr>
        <w:tabs>
          <w:tab w:val="left" w:pos="426"/>
        </w:tabs>
        <w:spacing w:line="360" w:lineRule="auto"/>
        <w:ind w:left="0" w:firstLine="0"/>
        <w:contextualSpacing/>
        <w:jc w:val="both"/>
        <w:rPr>
          <w:rFonts w:ascii="Palatino Linotype" w:hAnsi="Palatino Linotype" w:cs="Arial"/>
          <w:color w:val="000000" w:themeColor="text1"/>
        </w:rPr>
      </w:pPr>
      <w:r w:rsidRPr="00B73666">
        <w:rPr>
          <w:rFonts w:ascii="Palatino Linotype" w:hAnsi="Palatino Linotype" w:cs="Arial"/>
        </w:rPr>
        <w:t xml:space="preserve">Las </w:t>
      </w:r>
      <w:r w:rsidRPr="00B73666">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426596E1" w14:textId="77777777" w:rsidR="003D3963" w:rsidRPr="00B73666" w:rsidRDefault="003D3963" w:rsidP="003D3963">
      <w:pPr>
        <w:tabs>
          <w:tab w:val="left" w:pos="426"/>
        </w:tabs>
        <w:spacing w:line="360" w:lineRule="auto"/>
        <w:contextualSpacing/>
        <w:jc w:val="both"/>
        <w:rPr>
          <w:rFonts w:ascii="Palatino Linotype" w:hAnsi="Palatino Linotype" w:cs="Arial"/>
          <w:color w:val="000000" w:themeColor="text1"/>
        </w:rPr>
      </w:pPr>
    </w:p>
    <w:p w14:paraId="6EFC6881" w14:textId="4E5A07A2" w:rsidR="00E44778" w:rsidRPr="00B73666" w:rsidRDefault="003D3963" w:rsidP="003D396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76064848" w14:textId="237DF413"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04F92EE" w14:textId="77777777" w:rsidR="003D3963" w:rsidRPr="00B73666" w:rsidRDefault="003D3963" w:rsidP="003D3963">
      <w:pPr>
        <w:widowControl w:val="0"/>
        <w:autoSpaceDE w:val="0"/>
        <w:autoSpaceDN w:val="0"/>
        <w:adjustRightInd w:val="0"/>
        <w:spacing w:line="360" w:lineRule="auto"/>
        <w:ind w:left="567" w:right="616"/>
        <w:jc w:val="both"/>
        <w:rPr>
          <w:rFonts w:ascii="Palatino Linotype" w:hAnsi="Palatino Linotype" w:cs="Times"/>
          <w:i/>
          <w:color w:val="000000" w:themeColor="text1"/>
          <w:sz w:val="22"/>
          <w:szCs w:val="22"/>
        </w:rPr>
      </w:pPr>
      <w:r w:rsidRPr="00B73666">
        <w:rPr>
          <w:rFonts w:ascii="Palatino Linotype" w:hAnsi="Palatino Linotype" w:cs="Bookman Old Style"/>
          <w:b/>
          <w:bCs/>
          <w:i/>
          <w:color w:val="000000" w:themeColor="text1"/>
          <w:sz w:val="22"/>
          <w:szCs w:val="22"/>
        </w:rPr>
        <w:t xml:space="preserve">“I. </w:t>
      </w:r>
      <w:r w:rsidRPr="00B73666">
        <w:rPr>
          <w:rFonts w:ascii="Palatino Linotype" w:hAnsi="Palatino Linotype" w:cs="Bookman Old Style"/>
          <w:i/>
          <w:color w:val="000000" w:themeColor="text1"/>
          <w:sz w:val="22"/>
          <w:szCs w:val="22"/>
        </w:rPr>
        <w:t xml:space="preserve">Se refiera a la información privada y los datos personales concernientes a una persona física o jurídico-colectiva identificada o identificable; </w:t>
      </w:r>
    </w:p>
    <w:p w14:paraId="57C47C9E" w14:textId="77777777" w:rsidR="003D3963" w:rsidRPr="00B73666" w:rsidRDefault="003D3963" w:rsidP="003D3963">
      <w:pPr>
        <w:widowControl w:val="0"/>
        <w:autoSpaceDE w:val="0"/>
        <w:autoSpaceDN w:val="0"/>
        <w:adjustRightInd w:val="0"/>
        <w:spacing w:line="360" w:lineRule="auto"/>
        <w:ind w:left="567" w:right="616"/>
        <w:jc w:val="both"/>
        <w:rPr>
          <w:rFonts w:ascii="Palatino Linotype" w:hAnsi="Palatino Linotype" w:cs="Times"/>
          <w:i/>
          <w:color w:val="000000" w:themeColor="text1"/>
          <w:sz w:val="22"/>
          <w:szCs w:val="22"/>
        </w:rPr>
      </w:pPr>
      <w:r w:rsidRPr="00B73666">
        <w:rPr>
          <w:rFonts w:ascii="Palatino Linotype" w:hAnsi="Palatino Linotype" w:cs="Bookman Old Style"/>
          <w:b/>
          <w:bCs/>
          <w:i/>
          <w:color w:val="000000" w:themeColor="text1"/>
          <w:sz w:val="22"/>
          <w:szCs w:val="22"/>
        </w:rPr>
        <w:t>II.</w:t>
      </w:r>
      <w:r w:rsidRPr="00B73666">
        <w:rPr>
          <w:rFonts w:ascii="Palatino Linotype" w:hAnsi="Palatino Linotype" w:cs="Bookman Old Style"/>
          <w:bCs/>
          <w:i/>
          <w:color w:val="000000" w:themeColor="text1"/>
          <w:sz w:val="22"/>
          <w:szCs w:val="22"/>
        </w:rPr>
        <w:t xml:space="preserve"> </w:t>
      </w:r>
      <w:r w:rsidRPr="00B73666">
        <w:rPr>
          <w:rFonts w:ascii="Palatino Linotype" w:hAnsi="Palatino Linotype" w:cs="Bookman Old Style"/>
          <w:i/>
          <w:color w:val="000000" w:themeColor="text1"/>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7EDA72C" w14:textId="77777777" w:rsidR="003D3963" w:rsidRPr="00B73666" w:rsidRDefault="003D3963" w:rsidP="003D3963">
      <w:pPr>
        <w:widowControl w:val="0"/>
        <w:autoSpaceDE w:val="0"/>
        <w:autoSpaceDN w:val="0"/>
        <w:adjustRightInd w:val="0"/>
        <w:spacing w:line="360" w:lineRule="auto"/>
        <w:ind w:left="567" w:right="616"/>
        <w:jc w:val="both"/>
        <w:rPr>
          <w:rFonts w:ascii="Palatino Linotype" w:hAnsi="Palatino Linotype" w:cs="Times"/>
          <w:i/>
          <w:color w:val="000000" w:themeColor="text1"/>
          <w:sz w:val="22"/>
          <w:szCs w:val="22"/>
        </w:rPr>
      </w:pPr>
      <w:r w:rsidRPr="00B73666">
        <w:rPr>
          <w:rFonts w:ascii="Palatino Linotype" w:hAnsi="Palatino Linotype" w:cs="Bookman Old Style"/>
          <w:b/>
          <w:bCs/>
          <w:i/>
          <w:color w:val="000000" w:themeColor="text1"/>
          <w:sz w:val="22"/>
          <w:szCs w:val="22"/>
        </w:rPr>
        <w:t>III.</w:t>
      </w:r>
      <w:r w:rsidRPr="00B73666">
        <w:rPr>
          <w:rFonts w:ascii="Palatino Linotype" w:hAnsi="Palatino Linotype" w:cs="Bookman Old Style"/>
          <w:bCs/>
          <w:i/>
          <w:color w:val="000000" w:themeColor="text1"/>
          <w:sz w:val="22"/>
          <w:szCs w:val="22"/>
        </w:rPr>
        <w:t xml:space="preserve"> </w:t>
      </w:r>
      <w:r w:rsidRPr="00B73666">
        <w:rPr>
          <w:rFonts w:ascii="Palatino Linotype" w:hAnsi="Palatino Linotype" w:cs="Bookman Old Style"/>
          <w:i/>
          <w:color w:val="000000" w:themeColor="text1"/>
          <w:sz w:val="22"/>
          <w:szCs w:val="22"/>
        </w:rPr>
        <w:t xml:space="preserve">La que presenten los particulares a los Sujetos Obligados, de conformidad con lo dispuesto por las Leyes o los tratados internacionales. </w:t>
      </w:r>
    </w:p>
    <w:p w14:paraId="6332FA6E" w14:textId="77777777" w:rsidR="003D3963" w:rsidRPr="00B73666" w:rsidRDefault="003D3963" w:rsidP="003D3963">
      <w:pPr>
        <w:widowControl w:val="0"/>
        <w:autoSpaceDE w:val="0"/>
        <w:autoSpaceDN w:val="0"/>
        <w:adjustRightInd w:val="0"/>
        <w:spacing w:line="360" w:lineRule="auto"/>
        <w:ind w:left="567" w:right="616"/>
        <w:jc w:val="both"/>
        <w:rPr>
          <w:rFonts w:ascii="Palatino Linotype" w:hAnsi="Palatino Linotype" w:cs="Times"/>
          <w:i/>
          <w:color w:val="000000" w:themeColor="text1"/>
          <w:sz w:val="22"/>
          <w:szCs w:val="22"/>
        </w:rPr>
      </w:pPr>
      <w:r w:rsidRPr="00B73666">
        <w:rPr>
          <w:rFonts w:ascii="Palatino Linotype" w:hAnsi="Palatino Linotype" w:cs="Bookman Old Style"/>
          <w:i/>
          <w:color w:val="000000" w:themeColor="text1"/>
          <w:sz w:val="22"/>
          <w:szCs w:val="22"/>
        </w:rPr>
        <w:t xml:space="preserve">La información confidencial no estará sujeta a temporalidad alguna y sólo podrán tener acceso a ella los titulares de la misma, sus representantes y los servidores públicos facultados para ello. </w:t>
      </w:r>
    </w:p>
    <w:p w14:paraId="32094549" w14:textId="17259598" w:rsidR="003D3963" w:rsidRPr="00B73666" w:rsidRDefault="003D3963" w:rsidP="003D3963">
      <w:pPr>
        <w:widowControl w:val="0"/>
        <w:autoSpaceDE w:val="0"/>
        <w:autoSpaceDN w:val="0"/>
        <w:adjustRightInd w:val="0"/>
        <w:spacing w:line="360" w:lineRule="auto"/>
        <w:ind w:left="567" w:right="616"/>
        <w:jc w:val="both"/>
        <w:rPr>
          <w:rFonts w:ascii="Palatino Linotype" w:hAnsi="Palatino Linotype" w:cs="Times"/>
          <w:i/>
          <w:color w:val="000000" w:themeColor="text1"/>
          <w:sz w:val="22"/>
          <w:szCs w:val="22"/>
        </w:rPr>
      </w:pPr>
      <w:r w:rsidRPr="00B73666">
        <w:rPr>
          <w:rFonts w:ascii="Palatino Linotype" w:hAnsi="Palatino Linotype" w:cs="Bookman Old Style"/>
          <w:i/>
          <w:color w:val="000000" w:themeColor="text1"/>
          <w:sz w:val="22"/>
          <w:szCs w:val="22"/>
        </w:rPr>
        <w:t>No se considerará confidencial la información que se encuentre en los registros públicos o en fuentes de acceso público, ni tampoco la que sea considerada por la presente ley como información pública.”</w:t>
      </w:r>
    </w:p>
    <w:p w14:paraId="13DF8D88"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1AAF817" w14:textId="77777777" w:rsidR="003D3963" w:rsidRPr="00B73666" w:rsidRDefault="003D3963" w:rsidP="003D3963">
      <w:pPr>
        <w:numPr>
          <w:ilvl w:val="0"/>
          <w:numId w:val="2"/>
        </w:numPr>
        <w:tabs>
          <w:tab w:val="left" w:pos="426"/>
        </w:tabs>
        <w:spacing w:line="360" w:lineRule="auto"/>
        <w:ind w:left="0" w:firstLine="0"/>
        <w:contextualSpacing/>
        <w:jc w:val="both"/>
        <w:rPr>
          <w:rFonts w:ascii="Palatino Linotype" w:hAnsi="Palatino Linotype" w:cs="Arial"/>
          <w:color w:val="000000" w:themeColor="text1"/>
        </w:rPr>
      </w:pPr>
      <w:r w:rsidRPr="00B73666">
        <w:rPr>
          <w:rFonts w:ascii="Palatino Linotype" w:hAnsi="Palatino Linotype" w:cs="Arial"/>
        </w:rPr>
        <w:t xml:space="preserve">Mientras </w:t>
      </w:r>
      <w:r w:rsidRPr="00B73666">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6FC8337" w14:textId="77777777" w:rsidR="003D3963" w:rsidRPr="00B73666" w:rsidRDefault="003D3963" w:rsidP="003D3963">
      <w:pPr>
        <w:tabs>
          <w:tab w:val="left" w:pos="426"/>
        </w:tabs>
        <w:spacing w:line="360" w:lineRule="auto"/>
        <w:contextualSpacing/>
        <w:jc w:val="both"/>
        <w:rPr>
          <w:rFonts w:ascii="Palatino Linotype" w:hAnsi="Palatino Linotype" w:cs="Arial"/>
          <w:color w:val="000000" w:themeColor="text1"/>
        </w:rPr>
      </w:pPr>
    </w:p>
    <w:p w14:paraId="6042AE5E" w14:textId="77777777" w:rsidR="003D3963" w:rsidRPr="00B73666" w:rsidRDefault="003D3963" w:rsidP="003D3963">
      <w:pPr>
        <w:numPr>
          <w:ilvl w:val="0"/>
          <w:numId w:val="2"/>
        </w:numPr>
        <w:tabs>
          <w:tab w:val="left" w:pos="426"/>
        </w:tabs>
        <w:spacing w:line="360" w:lineRule="auto"/>
        <w:ind w:left="0" w:firstLine="0"/>
        <w:contextualSpacing/>
        <w:jc w:val="both"/>
        <w:rPr>
          <w:rFonts w:ascii="Palatino Linotype" w:hAnsi="Palatino Linotype" w:cs="Arial"/>
          <w:color w:val="000000" w:themeColor="text1"/>
        </w:rPr>
      </w:pPr>
      <w:r w:rsidRPr="00B73666">
        <w:rPr>
          <w:rFonts w:ascii="Palatino Linotype" w:hAnsi="Palatino Linotype" w:cs="Arial"/>
          <w:color w:val="000000" w:themeColor="text1"/>
        </w:rPr>
        <w:t xml:space="preserve">Como consecuencia de lo anterior, el </w:t>
      </w:r>
      <w:r w:rsidRPr="00B73666">
        <w:rPr>
          <w:rFonts w:ascii="Palatino Linotype" w:hAnsi="Palatino Linotype" w:cs="Arial"/>
          <w:b/>
          <w:color w:val="000000" w:themeColor="text1"/>
        </w:rPr>
        <w:t>SUJETO OBLIGADO</w:t>
      </w:r>
      <w:r w:rsidRPr="00B73666">
        <w:rPr>
          <w:rFonts w:ascii="Palatino Linotype" w:hAnsi="Palatino Linotype" w:cs="Arial"/>
          <w:color w:val="000000" w:themeColor="text1"/>
        </w:rPr>
        <w:t xml:space="preserve"> debe identificar claramente el tipo de información y hacer un juicio de subsunción o encaje</w:t>
      </w:r>
      <w:r w:rsidRPr="00B73666">
        <w:rPr>
          <w:rFonts w:ascii="Palatino Linotype" w:hAnsi="Palatino Linotype" w:cs="Arial"/>
          <w:color w:val="000000" w:themeColor="text1"/>
          <w:vertAlign w:val="superscript"/>
        </w:rPr>
        <w:footnoteReference w:id="12"/>
      </w:r>
      <w:r w:rsidRPr="00B7366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92840BC" w14:textId="77777777" w:rsidR="003D3963" w:rsidRPr="00B73666" w:rsidRDefault="003D3963" w:rsidP="003D3963">
      <w:pPr>
        <w:tabs>
          <w:tab w:val="left" w:pos="426"/>
        </w:tabs>
        <w:spacing w:line="360" w:lineRule="auto"/>
        <w:contextualSpacing/>
        <w:jc w:val="both"/>
        <w:rPr>
          <w:rFonts w:ascii="Palatino Linotype" w:hAnsi="Palatino Linotype" w:cs="Arial"/>
          <w:color w:val="000000" w:themeColor="text1"/>
        </w:rPr>
      </w:pPr>
    </w:p>
    <w:p w14:paraId="4F3DD871" w14:textId="18485E6A" w:rsidR="00E44778" w:rsidRPr="00B73666" w:rsidRDefault="003D3963" w:rsidP="003D396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4E38B646" w14:textId="26B6C69E"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CEE5684" w14:textId="4A772FC1"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bCs/>
          <w:szCs w:val="26"/>
        </w:rPr>
      </w:pPr>
      <w:r w:rsidRPr="00B73666">
        <w:rPr>
          <w:rFonts w:ascii="Palatino Linotype" w:eastAsia="MS Gothic" w:hAnsi="Palatino Linotype" w:cs="Times New Roman"/>
          <w:b/>
          <w:bCs/>
          <w:szCs w:val="26"/>
        </w:rPr>
        <w:t>I.III Excepciones a los supuestos de clasificación de la información como reservada.</w:t>
      </w:r>
    </w:p>
    <w:p w14:paraId="565A0B98"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41E5B92" w14:textId="211EDC54"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En </w:t>
      </w:r>
      <w:r w:rsidRPr="00B73666">
        <w:rPr>
          <w:rFonts w:ascii="Palatino Linotype" w:eastAsia="Times New Roman" w:hAnsi="Palatino Linotype" w:cs="Times New Roman"/>
          <w:color w:val="000000" w:themeColor="text1"/>
          <w:lang w:val="es-ES"/>
        </w:rPr>
        <w:t xml:space="preserve">todos aquellos casos en los que se pretende adoptar una clasificación de la información como reservada, hay que considerar lo señalado por los artículos 5, 140 y 142 de la Ley Estatal y 5, 113 fracción III y 115 de la Ley General, que establecen </w:t>
      </w:r>
      <w:r w:rsidRPr="00B73666">
        <w:rPr>
          <w:rFonts w:ascii="Palatino Linotype" w:eastAsia="Times New Roman" w:hAnsi="Palatino Linotype" w:cs="Times New Roman"/>
          <w:b/>
          <w:color w:val="000000" w:themeColor="text1"/>
          <w:lang w:val="es-ES"/>
        </w:rPr>
        <w:t>que no puede clasificarse como información reservada:</w:t>
      </w:r>
    </w:p>
    <w:p w14:paraId="306CDD53" w14:textId="6C36A120"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0C1A3CF" w14:textId="77777777" w:rsidR="003D3963" w:rsidRPr="00B73666" w:rsidRDefault="003D3963" w:rsidP="003D3963">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B73666">
        <w:rPr>
          <w:rFonts w:ascii="Palatino Linotype" w:eastAsia="Times New Roman" w:hAnsi="Palatino Linotype" w:cs="Times New Roman"/>
          <w:b/>
          <w:i/>
          <w:color w:val="000000" w:themeColor="text1"/>
          <w:sz w:val="22"/>
          <w:lang w:val="es-ES"/>
        </w:rPr>
        <w:t xml:space="preserve">“I. </w:t>
      </w:r>
      <w:r w:rsidRPr="00B73666">
        <w:rPr>
          <w:rFonts w:ascii="Palatino Linotype" w:eastAsia="Times New Roman" w:hAnsi="Palatino Linotype" w:cs="Times New Roman"/>
          <w:i/>
          <w:color w:val="000000" w:themeColor="text1"/>
          <w:sz w:val="22"/>
          <w:lang w:val="es-ES"/>
        </w:rPr>
        <w:t xml:space="preserve">Se trate de </w:t>
      </w:r>
      <w:r w:rsidRPr="00B73666">
        <w:rPr>
          <w:rFonts w:ascii="Palatino Linotype" w:eastAsia="Times New Roman" w:hAnsi="Palatino Linotype" w:cs="Times New Roman"/>
          <w:b/>
          <w:i/>
          <w:color w:val="000000" w:themeColor="text1"/>
          <w:sz w:val="22"/>
          <w:lang w:val="es-ES"/>
        </w:rPr>
        <w:t>violaciones graves de derechos humanos</w:t>
      </w:r>
      <w:r w:rsidRPr="00B73666">
        <w:rPr>
          <w:rFonts w:ascii="Palatino Linotype" w:eastAsia="Times New Roman" w:hAnsi="Palatino Linotype" w:cs="Times New Roman"/>
          <w:i/>
          <w:color w:val="000000" w:themeColor="text1"/>
          <w:sz w:val="22"/>
          <w:lang w:val="es-ES"/>
        </w:rPr>
        <w:t>, calificada así por autoridad competente;</w:t>
      </w:r>
    </w:p>
    <w:p w14:paraId="4FB61FA1" w14:textId="77777777" w:rsidR="003D3963" w:rsidRPr="00B73666" w:rsidRDefault="003D3963" w:rsidP="003D3963">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B73666">
        <w:rPr>
          <w:rFonts w:ascii="Palatino Linotype" w:eastAsia="Times New Roman" w:hAnsi="Palatino Linotype" w:cs="Times New Roman"/>
          <w:b/>
          <w:i/>
          <w:color w:val="000000" w:themeColor="text1"/>
          <w:sz w:val="22"/>
          <w:lang w:val="es-ES"/>
        </w:rPr>
        <w:t>II.</w:t>
      </w:r>
      <w:r w:rsidRPr="00B73666">
        <w:rPr>
          <w:rFonts w:ascii="Palatino Linotype" w:eastAsia="Times New Roman" w:hAnsi="Palatino Linotype" w:cs="Times New Roman"/>
          <w:i/>
          <w:color w:val="000000" w:themeColor="text1"/>
          <w:sz w:val="22"/>
          <w:lang w:val="es-ES"/>
        </w:rPr>
        <w:t xml:space="preserve"> Se trate de la </w:t>
      </w:r>
      <w:r w:rsidRPr="00B73666">
        <w:rPr>
          <w:rFonts w:ascii="Palatino Linotype" w:eastAsia="Times New Roman" w:hAnsi="Palatino Linotype" w:cs="Times New Roman"/>
          <w:b/>
          <w:i/>
          <w:color w:val="000000" w:themeColor="text1"/>
          <w:sz w:val="22"/>
          <w:lang w:val="es-ES"/>
        </w:rPr>
        <w:t>investigación de posibles violaciones graves de derechos humanos</w:t>
      </w:r>
      <w:r w:rsidRPr="00B73666">
        <w:rPr>
          <w:rFonts w:ascii="Palatino Linotype" w:eastAsia="Times New Roman" w:hAnsi="Palatino Linotype" w:cs="Times New Roman"/>
          <w:i/>
          <w:color w:val="000000" w:themeColor="text1"/>
          <w:sz w:val="22"/>
          <w:lang w:val="es-ES"/>
        </w:rPr>
        <w:t xml:space="preserve"> aun cuando no exista pronunciamiento previo de autoridad competente, cuando se determine, a partir de criterios cuantitativos y cualitativos la trascendencia social de las violaciones;</w:t>
      </w:r>
    </w:p>
    <w:p w14:paraId="18E83ED4" w14:textId="77777777" w:rsidR="003D3963" w:rsidRPr="00B73666" w:rsidRDefault="003D3963" w:rsidP="003D3963">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B73666">
        <w:rPr>
          <w:rFonts w:ascii="Palatino Linotype" w:eastAsia="Times New Roman" w:hAnsi="Palatino Linotype" w:cs="Times New Roman"/>
          <w:b/>
          <w:i/>
          <w:color w:val="000000" w:themeColor="text1"/>
          <w:sz w:val="22"/>
          <w:lang w:val="es-ES"/>
        </w:rPr>
        <w:t>III.</w:t>
      </w:r>
      <w:r w:rsidRPr="00B73666">
        <w:rPr>
          <w:rFonts w:ascii="Palatino Linotype" w:eastAsia="Times New Roman" w:hAnsi="Palatino Linotype" w:cs="Times New Roman"/>
          <w:i/>
          <w:color w:val="000000" w:themeColor="text1"/>
          <w:sz w:val="22"/>
          <w:lang w:val="es-ES"/>
        </w:rPr>
        <w:t xml:space="preserve"> Se trate de </w:t>
      </w:r>
      <w:r w:rsidRPr="00B73666">
        <w:rPr>
          <w:rFonts w:ascii="Palatino Linotype" w:eastAsia="Times New Roman" w:hAnsi="Palatino Linotype" w:cs="Times New Roman"/>
          <w:b/>
          <w:i/>
          <w:color w:val="000000" w:themeColor="text1"/>
          <w:sz w:val="22"/>
          <w:lang w:val="es-ES"/>
        </w:rPr>
        <w:t>delitos de lesa humanidad</w:t>
      </w:r>
      <w:r w:rsidRPr="00B73666">
        <w:rPr>
          <w:rFonts w:ascii="Palatino Linotype" w:eastAsia="Times New Roman" w:hAnsi="Palatino Linotype" w:cs="Times New Roman"/>
          <w:i/>
          <w:color w:val="000000" w:themeColor="text1"/>
          <w:sz w:val="22"/>
          <w:lang w:val="es-ES"/>
        </w:rPr>
        <w:t xml:space="preserve"> conforme a los tratados ratificados por el Senado de la República, las resoluciones emitidas por organismos internacionales cuya competencia sea reconocida por el Estado Mexicano, así como en las disposiciones jurídicas aplicables; y</w:t>
      </w:r>
    </w:p>
    <w:p w14:paraId="20BF0E9A" w14:textId="77777777" w:rsidR="003D3963" w:rsidRPr="00B73666" w:rsidRDefault="003D3963" w:rsidP="003D3963">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B73666">
        <w:rPr>
          <w:rFonts w:ascii="Palatino Linotype" w:eastAsia="Times New Roman" w:hAnsi="Palatino Linotype" w:cs="Times New Roman"/>
          <w:b/>
          <w:i/>
          <w:color w:val="000000" w:themeColor="text1"/>
          <w:sz w:val="22"/>
          <w:lang w:val="es-ES"/>
        </w:rPr>
        <w:t>IV.</w:t>
      </w:r>
      <w:r w:rsidRPr="00B73666">
        <w:rPr>
          <w:rFonts w:ascii="Palatino Linotype" w:eastAsia="Times New Roman" w:hAnsi="Palatino Linotype" w:cs="Times New Roman"/>
          <w:i/>
          <w:color w:val="000000" w:themeColor="text1"/>
          <w:sz w:val="22"/>
          <w:lang w:val="es-ES"/>
        </w:rPr>
        <w:t xml:space="preserve"> Se trate de </w:t>
      </w:r>
      <w:r w:rsidRPr="00B73666">
        <w:rPr>
          <w:rFonts w:ascii="Palatino Linotype" w:eastAsia="Times New Roman" w:hAnsi="Palatino Linotype" w:cs="Times New Roman"/>
          <w:b/>
          <w:i/>
          <w:color w:val="000000" w:themeColor="text1"/>
          <w:sz w:val="22"/>
          <w:lang w:val="es-ES"/>
        </w:rPr>
        <w:t>información relacionada con actos de corrupción</w:t>
      </w:r>
      <w:r w:rsidRPr="00B73666">
        <w:rPr>
          <w:rFonts w:ascii="Palatino Linotype" w:eastAsia="Times New Roman" w:hAnsi="Palatino Linotype" w:cs="Times New Roman"/>
          <w:i/>
          <w:color w:val="000000" w:themeColor="text1"/>
          <w:sz w:val="22"/>
          <w:lang w:val="es-ES"/>
        </w:rPr>
        <w:t xml:space="preserve"> de conformidad con las disposiciones jurídicas aplicables.”</w:t>
      </w:r>
    </w:p>
    <w:p w14:paraId="77C39B54"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B674A73" w14:textId="18F6C764"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En </w:t>
      </w:r>
      <w:r w:rsidRPr="00B73666">
        <w:rPr>
          <w:rFonts w:ascii="Palatino Linotype" w:eastAsia="Times New Roman" w:hAnsi="Palatino Linotype" w:cs="Times New Roman"/>
          <w:color w:val="000000" w:themeColor="text1"/>
          <w:lang w:val="es-ES"/>
        </w:rPr>
        <w:t xml:space="preserve">ese tenor, si la información solicitada, encuadra en cualquiera de los supuestos señalados con anterioridad, no será procedente la clasificación de la información bajo ninguna circunstancia, dicho de otro modo, no aplica a excepción </w:t>
      </w:r>
      <w:r w:rsidRPr="00B73666">
        <w:rPr>
          <w:rFonts w:ascii="Palatino Linotype" w:eastAsia="Times New Roman" w:hAnsi="Palatino Linotype" w:cs="Times New Roman"/>
          <w:color w:val="000000" w:themeColor="text1"/>
          <w:lang w:val="es-ES"/>
        </w:rPr>
        <w:lastRenderedPageBreak/>
        <w:t>a la regla general, derivado que este tipo de casos, deberá de ser del escrutinio público, lo cual ayudará a tener un país informado, que posibilita la población cuestione, indague y verifique los actos de autoridad.</w:t>
      </w:r>
    </w:p>
    <w:p w14:paraId="78DB6E79" w14:textId="6762ECCC"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9233CA1" w14:textId="469FC1A7" w:rsidR="003D3963" w:rsidRPr="00B73666" w:rsidRDefault="003D3963" w:rsidP="003D3963">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2" w:name="_Toc48216093"/>
      <w:r w:rsidRPr="00B73666">
        <w:rPr>
          <w:rFonts w:ascii="Palatino Linotype" w:eastAsia="MS Gothic" w:hAnsi="Palatino Linotype" w:cs="Times New Roman"/>
          <w:b/>
          <w:bCs/>
          <w:szCs w:val="26"/>
        </w:rPr>
        <w:t>II. La intervención del Comité de Transparencia.</w:t>
      </w:r>
      <w:bookmarkEnd w:id="32"/>
    </w:p>
    <w:p w14:paraId="79D50BF7" w14:textId="7D38FCEF"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12"/>
          <w:szCs w:val="14"/>
        </w:rPr>
      </w:pPr>
    </w:p>
    <w:p w14:paraId="0E4C66EC" w14:textId="54E7C48F" w:rsidR="003D3963" w:rsidRPr="00B73666" w:rsidRDefault="003D3963" w:rsidP="003D3963">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3" w:name="_Toc48216094"/>
      <w:r w:rsidRPr="00B73666">
        <w:rPr>
          <w:rFonts w:ascii="Palatino Linotype" w:eastAsia="MS Gothic" w:hAnsi="Palatino Linotype" w:cs="Times New Roman"/>
          <w:b/>
          <w:bCs/>
          <w:szCs w:val="26"/>
        </w:rPr>
        <w:t>II.I Formalidades para emitir el Acuerdo de Clasificación.</w:t>
      </w:r>
      <w:bookmarkEnd w:id="33"/>
    </w:p>
    <w:p w14:paraId="38247B7E"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6559BF5" w14:textId="77777777" w:rsidR="003D3963" w:rsidRPr="00B73666" w:rsidRDefault="003D3963" w:rsidP="003D3963">
      <w:pPr>
        <w:numPr>
          <w:ilvl w:val="0"/>
          <w:numId w:val="2"/>
        </w:numPr>
        <w:tabs>
          <w:tab w:val="left" w:pos="426"/>
        </w:tabs>
        <w:spacing w:line="360" w:lineRule="auto"/>
        <w:ind w:left="0" w:firstLine="0"/>
        <w:contextualSpacing/>
        <w:jc w:val="both"/>
        <w:rPr>
          <w:rFonts w:ascii="Palatino Linotype" w:eastAsia="Times New Roman" w:hAnsi="Palatino Linotype"/>
          <w:color w:val="000000" w:themeColor="text1"/>
          <w:lang w:eastAsia="es-ES_tradnl"/>
        </w:rPr>
      </w:pPr>
      <w:r w:rsidRPr="00B73666">
        <w:rPr>
          <w:rFonts w:ascii="Palatino Linotype" w:hAnsi="Palatino Linotype" w:cs="Arial"/>
        </w:rPr>
        <w:t xml:space="preserve">El </w:t>
      </w:r>
      <w:r w:rsidRPr="00B73666">
        <w:rPr>
          <w:rFonts w:ascii="Palatino Linotype" w:hAnsi="Palatino Linotype" w:cs="Arial"/>
          <w:color w:val="000000" w:themeColor="text1"/>
        </w:rPr>
        <w:t xml:space="preserve">Comité de Transparencia, según lo dispuesto en los artículos 128 y 103 de la Ley Estatal y de la Ley General, respectivamente, y </w:t>
      </w:r>
      <w:r w:rsidRPr="00B73666">
        <w:rPr>
          <w:rFonts w:ascii="Palatino Linotype" w:hAnsi="Palatino Linotype"/>
          <w:color w:val="000000" w:themeColor="text1"/>
        </w:rPr>
        <w:t xml:space="preserve">la fracción III del numeral Segundo de los </w:t>
      </w:r>
      <w:r w:rsidRPr="00B73666">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B73666">
        <w:rPr>
          <w:rFonts w:ascii="Palatino Linotype" w:hAnsi="Palatino Linotype"/>
          <w:color w:val="000000" w:themeColor="text1"/>
        </w:rPr>
        <w:t xml:space="preserve"> </w:t>
      </w:r>
      <w:r w:rsidRPr="00B73666">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4CD474" w14:textId="77777777" w:rsidR="003D3963" w:rsidRPr="00B73666" w:rsidRDefault="003D3963" w:rsidP="003D3963">
      <w:pPr>
        <w:tabs>
          <w:tab w:val="left" w:pos="426"/>
        </w:tabs>
        <w:spacing w:line="360" w:lineRule="auto"/>
        <w:contextualSpacing/>
        <w:jc w:val="both"/>
        <w:rPr>
          <w:rFonts w:ascii="Palatino Linotype" w:hAnsi="Palatino Linotype" w:cs="Arial"/>
          <w:color w:val="000000" w:themeColor="text1"/>
        </w:rPr>
      </w:pPr>
    </w:p>
    <w:p w14:paraId="377F46CD" w14:textId="77777777" w:rsidR="003D3963" w:rsidRPr="00B73666" w:rsidRDefault="003D3963" w:rsidP="003D3963">
      <w:pPr>
        <w:numPr>
          <w:ilvl w:val="0"/>
          <w:numId w:val="2"/>
        </w:numPr>
        <w:tabs>
          <w:tab w:val="left" w:pos="426"/>
        </w:tabs>
        <w:spacing w:line="360" w:lineRule="auto"/>
        <w:ind w:left="0" w:firstLine="0"/>
        <w:contextualSpacing/>
        <w:jc w:val="both"/>
        <w:rPr>
          <w:rFonts w:ascii="Palatino Linotype" w:hAnsi="Palatino Linotype" w:cs="Arial"/>
          <w:color w:val="000000" w:themeColor="text1"/>
        </w:rPr>
      </w:pPr>
      <w:r w:rsidRPr="00B7366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B73666">
        <w:rPr>
          <w:rFonts w:ascii="Palatino Linotype" w:hAnsi="Palatino Linotype" w:cs="Arial"/>
          <w:color w:val="000000" w:themeColor="text1"/>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8CBE63D" w14:textId="77777777" w:rsidR="003D3963" w:rsidRPr="00B73666" w:rsidRDefault="003D3963" w:rsidP="003D3963">
      <w:pPr>
        <w:tabs>
          <w:tab w:val="left" w:pos="426"/>
        </w:tabs>
        <w:spacing w:line="360" w:lineRule="auto"/>
        <w:jc w:val="both"/>
        <w:rPr>
          <w:rFonts w:ascii="Palatino Linotype" w:hAnsi="Palatino Linotype"/>
          <w:color w:val="000000" w:themeColor="text1"/>
        </w:rPr>
      </w:pPr>
    </w:p>
    <w:p w14:paraId="3C73E9BE" w14:textId="314C7BBE" w:rsidR="00E44778" w:rsidRPr="00B73666" w:rsidRDefault="003D3963" w:rsidP="003D396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907E493" w14:textId="015ADA50"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575D2BB" w14:textId="5DA1649B"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bCs/>
          <w:szCs w:val="26"/>
        </w:rPr>
      </w:pPr>
      <w:r w:rsidRPr="00B73666">
        <w:rPr>
          <w:rFonts w:ascii="Palatino Linotype" w:eastAsia="MS Gothic" w:hAnsi="Palatino Linotype" w:cs="Times New Roman"/>
          <w:b/>
          <w:bCs/>
          <w:szCs w:val="26"/>
        </w:rPr>
        <w:t>II.II Requisitos de fondo del Acuerdo de clasificación.</w:t>
      </w:r>
    </w:p>
    <w:p w14:paraId="0A9011CD"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6C176A8C" w14:textId="77777777" w:rsidR="003D3963" w:rsidRPr="00B73666" w:rsidRDefault="003D3963" w:rsidP="003D3963">
      <w:pPr>
        <w:numPr>
          <w:ilvl w:val="0"/>
          <w:numId w:val="2"/>
        </w:numPr>
        <w:tabs>
          <w:tab w:val="left" w:pos="426"/>
        </w:tabs>
        <w:spacing w:line="360" w:lineRule="auto"/>
        <w:ind w:left="0" w:firstLine="0"/>
        <w:contextualSpacing/>
        <w:jc w:val="both"/>
        <w:rPr>
          <w:rFonts w:ascii="Palatino Linotype" w:hAnsi="Palatino Linotype" w:cs="Arial"/>
          <w:color w:val="000000" w:themeColor="text1"/>
        </w:rPr>
      </w:pPr>
      <w:r w:rsidRPr="00B73666">
        <w:rPr>
          <w:rFonts w:ascii="Palatino Linotype" w:hAnsi="Palatino Linotype" w:cs="Arial"/>
        </w:rPr>
        <w:t xml:space="preserve">Como </w:t>
      </w:r>
      <w:r w:rsidRPr="00B73666">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B73666">
        <w:rPr>
          <w:rFonts w:ascii="Palatino Linotype" w:hAnsi="Palatino Linotype" w:cs="Arial"/>
          <w:color w:val="000000" w:themeColor="text1"/>
        </w:rPr>
        <w:lastRenderedPageBreak/>
        <w:t xml:space="preserve">sexagésimo segundo de los Lineamientos Generales,  al señalar que la carga de la prueba, para justificar las restricciones, corresponde a los sujetos obligados, por lo que deberán fundar y motivar debidamente la clasificación. </w:t>
      </w:r>
    </w:p>
    <w:p w14:paraId="595F5B1E" w14:textId="77777777" w:rsidR="003D3963" w:rsidRPr="00B73666" w:rsidRDefault="003D3963" w:rsidP="003D3963">
      <w:pPr>
        <w:tabs>
          <w:tab w:val="left" w:pos="426"/>
        </w:tabs>
        <w:spacing w:line="360" w:lineRule="auto"/>
        <w:contextualSpacing/>
        <w:jc w:val="both"/>
        <w:rPr>
          <w:rFonts w:ascii="Palatino Linotype" w:hAnsi="Palatino Linotype"/>
          <w:color w:val="000000" w:themeColor="text1"/>
        </w:rPr>
      </w:pPr>
    </w:p>
    <w:p w14:paraId="3A377B38" w14:textId="77777777" w:rsidR="003D3963" w:rsidRPr="00B73666" w:rsidRDefault="003D3963" w:rsidP="003D3963">
      <w:pPr>
        <w:numPr>
          <w:ilvl w:val="0"/>
          <w:numId w:val="2"/>
        </w:numPr>
        <w:tabs>
          <w:tab w:val="left" w:pos="567"/>
        </w:tabs>
        <w:spacing w:line="360" w:lineRule="auto"/>
        <w:ind w:left="0" w:firstLine="0"/>
        <w:contextualSpacing/>
        <w:jc w:val="both"/>
        <w:rPr>
          <w:rFonts w:ascii="Palatino Linotype" w:hAnsi="Palatino Linotype"/>
          <w:color w:val="000000" w:themeColor="text1"/>
        </w:rPr>
      </w:pPr>
      <w:r w:rsidRPr="00B73666">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D7EEDB4" w14:textId="77777777" w:rsidR="003D3963" w:rsidRPr="00B73666" w:rsidRDefault="003D3963" w:rsidP="003D3963">
      <w:pPr>
        <w:shd w:val="clear" w:color="auto" w:fill="FFFFFF"/>
        <w:tabs>
          <w:tab w:val="left" w:pos="567"/>
        </w:tabs>
        <w:spacing w:line="360" w:lineRule="auto"/>
        <w:contextualSpacing/>
        <w:jc w:val="both"/>
        <w:rPr>
          <w:rFonts w:ascii="Palatino Linotype" w:eastAsia="Times New Roman" w:hAnsi="Palatino Linotype" w:cs="Arial"/>
          <w:color w:val="000000" w:themeColor="text1"/>
          <w:lang w:eastAsia="es-MX"/>
        </w:rPr>
      </w:pPr>
    </w:p>
    <w:p w14:paraId="7077F040" w14:textId="097214D8" w:rsidR="00E44778" w:rsidRPr="00B73666" w:rsidRDefault="003D3963" w:rsidP="003D396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w:t>
      </w:r>
      <w:r w:rsidRPr="00B73666">
        <w:rPr>
          <w:rFonts w:ascii="Palatino Linotype" w:eastAsia="Times New Roman" w:hAnsi="Palatino Linotype" w:cs="Arial"/>
          <w:i/>
          <w:color w:val="000000" w:themeColor="text1"/>
          <w:lang w:eastAsia="es-MX"/>
        </w:rPr>
        <w:t>Garantías Constitucionales del Proceso</w:t>
      </w:r>
      <w:r w:rsidRPr="00B73666">
        <w:rPr>
          <w:rFonts w:ascii="Palatino Linotype" w:eastAsia="Times New Roman" w:hAnsi="Palatino Linotype" w:cs="Arial"/>
          <w:color w:val="000000" w:themeColor="text1"/>
          <w:lang w:eastAsia="es-MX"/>
        </w:rPr>
        <w:t xml:space="preserve">”, refiere que </w:t>
      </w:r>
      <w:r w:rsidRPr="00B73666">
        <w:rPr>
          <w:rFonts w:ascii="Palatino Linotype" w:eastAsia="Times New Roman" w:hAnsi="Palatino Linotype" w:cs="Arial"/>
          <w:i/>
          <w:color w:val="000000" w:themeColor="text1"/>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73666">
        <w:rPr>
          <w:rFonts w:ascii="Palatino Linotype" w:eastAsia="Times New Roman" w:hAnsi="Palatino Linotype" w:cs="Arial"/>
          <w:color w:val="000000" w:themeColor="text1"/>
          <w:lang w:eastAsia="es-MX"/>
        </w:rPr>
        <w:t>.”.</w:t>
      </w:r>
      <w:r w:rsidRPr="00B73666">
        <w:rPr>
          <w:rFonts w:ascii="Palatino Linotype" w:eastAsia="Times New Roman" w:hAnsi="Palatino Linotype" w:cs="Arial"/>
          <w:color w:val="000000" w:themeColor="text1"/>
          <w:vertAlign w:val="superscript"/>
          <w:lang w:eastAsia="es-MX"/>
        </w:rPr>
        <w:footnoteReference w:id="13"/>
      </w:r>
    </w:p>
    <w:p w14:paraId="27D69DEB" w14:textId="77777777"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5851B82D" w14:textId="3A09ABD8" w:rsidR="00E44778" w:rsidRPr="00B73666" w:rsidRDefault="003D3963"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Por </w:t>
      </w:r>
      <w:r w:rsidRPr="00B73666">
        <w:rPr>
          <w:rFonts w:ascii="Palatino Linotype" w:eastAsia="Times New Roman" w:hAnsi="Palatino Linotype" w:cs="Arial"/>
          <w:color w:val="000000" w:themeColor="text1"/>
          <w:lang w:eastAsia="es-MX"/>
        </w:rPr>
        <w:t>su parte, el intérprete judicial del país ha establecido una jurisprudencia respecto a qué debe entenderse por fundamentación y motivación, en los siguientes términos:</w:t>
      </w:r>
    </w:p>
    <w:p w14:paraId="75AFF282" w14:textId="593ACEA6"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EB0F87D" w14:textId="77777777" w:rsidR="003D3963" w:rsidRPr="00B73666" w:rsidRDefault="003D3963" w:rsidP="003D3963">
      <w:pPr>
        <w:spacing w:line="276" w:lineRule="auto"/>
        <w:ind w:left="567" w:right="618"/>
        <w:contextualSpacing/>
        <w:jc w:val="both"/>
        <w:rPr>
          <w:rFonts w:ascii="Palatino Linotype" w:hAnsi="Palatino Linotype" w:cs="Arial"/>
          <w:i/>
          <w:color w:val="000000" w:themeColor="text1"/>
          <w:sz w:val="22"/>
          <w:szCs w:val="22"/>
        </w:rPr>
      </w:pPr>
      <w:r w:rsidRPr="00B73666">
        <w:rPr>
          <w:rFonts w:ascii="Palatino Linotype" w:hAnsi="Palatino Linotype" w:cs="Arial"/>
          <w:b/>
          <w:i/>
          <w:color w:val="000000" w:themeColor="text1"/>
          <w:sz w:val="22"/>
          <w:szCs w:val="22"/>
        </w:rPr>
        <w:t>FUNDAMENTACIÓN Y MOTIVACIÓN.</w:t>
      </w:r>
      <w:r w:rsidRPr="00B73666">
        <w:rPr>
          <w:rFonts w:ascii="Palatino Linotype" w:hAnsi="Palatino Linotype" w:cs="Arial"/>
          <w:i/>
          <w:color w:val="000000" w:themeColor="text1"/>
          <w:sz w:val="22"/>
          <w:szCs w:val="22"/>
        </w:rPr>
        <w:t xml:space="preserve"> La </w:t>
      </w:r>
      <w:r w:rsidRPr="00B73666">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666">
        <w:rPr>
          <w:rFonts w:ascii="Palatino Linotype" w:hAnsi="Palatino Linotype" w:cs="Arial"/>
          <w:i/>
          <w:color w:val="000000" w:themeColor="text1"/>
          <w:sz w:val="22"/>
          <w:szCs w:val="22"/>
        </w:rPr>
        <w:t>.</w:t>
      </w:r>
    </w:p>
    <w:p w14:paraId="56398E61" w14:textId="77777777" w:rsidR="003D3963" w:rsidRPr="00B73666" w:rsidRDefault="003D3963" w:rsidP="003D3963">
      <w:pPr>
        <w:spacing w:line="276" w:lineRule="auto"/>
        <w:ind w:left="567" w:right="618"/>
        <w:contextualSpacing/>
        <w:jc w:val="both"/>
        <w:rPr>
          <w:rFonts w:ascii="Palatino Linotype" w:hAnsi="Palatino Linotype" w:cs="Arial"/>
          <w:i/>
          <w:color w:val="000000" w:themeColor="text1"/>
          <w:sz w:val="22"/>
          <w:szCs w:val="22"/>
        </w:rPr>
      </w:pPr>
      <w:r w:rsidRPr="00B73666">
        <w:rPr>
          <w:rFonts w:ascii="Palatino Linotype" w:hAnsi="Palatino Linotype" w:cs="Arial"/>
          <w:i/>
          <w:color w:val="000000" w:themeColor="text1"/>
          <w:sz w:val="22"/>
          <w:szCs w:val="22"/>
        </w:rPr>
        <w:t>SEGUNDO TRIBUNAL COLEGIADO DEL SEXTO CIRCUITO.</w:t>
      </w:r>
    </w:p>
    <w:p w14:paraId="7917F733" w14:textId="77777777" w:rsidR="003D3963" w:rsidRPr="00B73666" w:rsidRDefault="003D3963" w:rsidP="003D3963">
      <w:pPr>
        <w:spacing w:line="276" w:lineRule="auto"/>
        <w:ind w:left="567" w:right="618"/>
        <w:contextualSpacing/>
        <w:jc w:val="both"/>
        <w:rPr>
          <w:rFonts w:ascii="Palatino Linotype" w:hAnsi="Palatino Linotype" w:cs="Arial"/>
          <w:i/>
          <w:color w:val="000000" w:themeColor="text1"/>
          <w:sz w:val="22"/>
          <w:szCs w:val="22"/>
        </w:rPr>
      </w:pPr>
      <w:r w:rsidRPr="00B73666">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2773692C" w14:textId="77777777" w:rsidR="003D3963" w:rsidRPr="00B73666" w:rsidRDefault="003D3963" w:rsidP="003D3963">
      <w:pPr>
        <w:spacing w:line="276" w:lineRule="auto"/>
        <w:ind w:left="567" w:right="618"/>
        <w:contextualSpacing/>
        <w:jc w:val="both"/>
        <w:rPr>
          <w:rFonts w:ascii="Palatino Linotype" w:hAnsi="Palatino Linotype" w:cs="Arial"/>
          <w:i/>
          <w:color w:val="000000" w:themeColor="text1"/>
          <w:sz w:val="22"/>
          <w:szCs w:val="22"/>
        </w:rPr>
      </w:pPr>
      <w:r w:rsidRPr="00B73666">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B73666">
        <w:rPr>
          <w:rFonts w:ascii="Palatino Linotype" w:hAnsi="Palatino Linotype" w:cs="Arial"/>
          <w:i/>
          <w:color w:val="000000" w:themeColor="text1"/>
          <w:sz w:val="22"/>
          <w:szCs w:val="22"/>
        </w:rPr>
        <w:t>Esponda</w:t>
      </w:r>
      <w:proofErr w:type="spellEnd"/>
      <w:r w:rsidRPr="00B73666">
        <w:rPr>
          <w:rFonts w:ascii="Palatino Linotype" w:hAnsi="Palatino Linotype" w:cs="Arial"/>
          <w:i/>
          <w:color w:val="000000" w:themeColor="text1"/>
          <w:sz w:val="22"/>
          <w:szCs w:val="22"/>
        </w:rPr>
        <w:t xml:space="preserve"> Rincón.</w:t>
      </w:r>
    </w:p>
    <w:p w14:paraId="11968A63" w14:textId="77777777" w:rsidR="003D3963" w:rsidRPr="00B73666" w:rsidRDefault="003D3963" w:rsidP="003D3963">
      <w:pPr>
        <w:spacing w:line="276" w:lineRule="auto"/>
        <w:ind w:left="567" w:right="618"/>
        <w:contextualSpacing/>
        <w:jc w:val="both"/>
        <w:rPr>
          <w:rFonts w:ascii="Palatino Linotype" w:hAnsi="Palatino Linotype" w:cs="Arial"/>
          <w:i/>
          <w:color w:val="000000" w:themeColor="text1"/>
          <w:sz w:val="22"/>
          <w:szCs w:val="22"/>
        </w:rPr>
      </w:pPr>
      <w:r w:rsidRPr="00B73666">
        <w:rPr>
          <w:rFonts w:ascii="Palatino Linotype" w:hAnsi="Palatino Linotype" w:cs="Arial"/>
          <w:i/>
          <w:color w:val="000000" w:themeColor="text1"/>
          <w:sz w:val="22"/>
          <w:szCs w:val="22"/>
        </w:rPr>
        <w:t xml:space="preserve">Amparo en revisión 333/88. </w:t>
      </w:r>
      <w:proofErr w:type="spellStart"/>
      <w:r w:rsidRPr="00B73666">
        <w:rPr>
          <w:rFonts w:ascii="Palatino Linotype" w:hAnsi="Palatino Linotype" w:cs="Arial"/>
          <w:i/>
          <w:color w:val="000000" w:themeColor="text1"/>
          <w:sz w:val="22"/>
          <w:szCs w:val="22"/>
        </w:rPr>
        <w:t>Adilia</w:t>
      </w:r>
      <w:proofErr w:type="spellEnd"/>
      <w:r w:rsidRPr="00B73666">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5747C3CB" w14:textId="77777777" w:rsidR="003D3963" w:rsidRPr="00B73666" w:rsidRDefault="003D3963" w:rsidP="003D3963">
      <w:pPr>
        <w:spacing w:line="276" w:lineRule="auto"/>
        <w:ind w:left="567" w:right="618"/>
        <w:contextualSpacing/>
        <w:jc w:val="both"/>
        <w:rPr>
          <w:rFonts w:ascii="Palatino Linotype" w:hAnsi="Palatino Linotype" w:cs="Arial"/>
          <w:i/>
          <w:color w:val="000000" w:themeColor="text1"/>
          <w:sz w:val="22"/>
          <w:szCs w:val="22"/>
        </w:rPr>
      </w:pPr>
      <w:r w:rsidRPr="00B73666">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B73666">
        <w:rPr>
          <w:rFonts w:ascii="Palatino Linotype" w:hAnsi="Palatino Linotype" w:cs="Arial"/>
          <w:i/>
          <w:color w:val="000000" w:themeColor="text1"/>
          <w:sz w:val="22"/>
          <w:szCs w:val="22"/>
        </w:rPr>
        <w:t>Goyzueta</w:t>
      </w:r>
      <w:proofErr w:type="spellEnd"/>
      <w:r w:rsidRPr="00B73666">
        <w:rPr>
          <w:rFonts w:ascii="Palatino Linotype" w:hAnsi="Palatino Linotype" w:cs="Arial"/>
          <w:i/>
          <w:color w:val="000000" w:themeColor="text1"/>
          <w:sz w:val="22"/>
          <w:szCs w:val="22"/>
        </w:rPr>
        <w:t>. Secretario: Gonzalo Carrera Molina.</w:t>
      </w:r>
    </w:p>
    <w:p w14:paraId="772F15B0" w14:textId="77777777" w:rsidR="003D3963" w:rsidRPr="00B73666" w:rsidRDefault="003D3963" w:rsidP="003D3963">
      <w:pPr>
        <w:spacing w:line="276" w:lineRule="auto"/>
        <w:ind w:left="567" w:right="618"/>
        <w:contextualSpacing/>
        <w:jc w:val="both"/>
        <w:rPr>
          <w:rFonts w:ascii="Palatino Linotype" w:hAnsi="Palatino Linotype" w:cs="Arial"/>
          <w:i/>
          <w:color w:val="000000" w:themeColor="text1"/>
          <w:sz w:val="22"/>
          <w:szCs w:val="22"/>
        </w:rPr>
      </w:pPr>
      <w:r w:rsidRPr="00B73666">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B73666">
        <w:rPr>
          <w:rFonts w:ascii="Palatino Linotype" w:hAnsi="Palatino Linotype" w:cs="Arial"/>
          <w:i/>
          <w:color w:val="000000" w:themeColor="text1"/>
          <w:sz w:val="22"/>
          <w:szCs w:val="22"/>
        </w:rPr>
        <w:t>Baigts</w:t>
      </w:r>
      <w:proofErr w:type="spellEnd"/>
      <w:r w:rsidRPr="00B73666">
        <w:rPr>
          <w:rFonts w:ascii="Palatino Linotype" w:hAnsi="Palatino Linotype" w:cs="Arial"/>
          <w:i/>
          <w:color w:val="000000" w:themeColor="text1"/>
          <w:sz w:val="22"/>
          <w:szCs w:val="22"/>
        </w:rPr>
        <w:t xml:space="preserve"> Muñoz.</w:t>
      </w:r>
      <w:r w:rsidRPr="00B73666">
        <w:rPr>
          <w:rFonts w:ascii="Palatino Linotype" w:hAnsi="Palatino Linotype" w:cs="Arial"/>
          <w:i/>
          <w:color w:val="000000" w:themeColor="text1"/>
          <w:sz w:val="22"/>
          <w:szCs w:val="22"/>
          <w:vertAlign w:val="superscript"/>
        </w:rPr>
        <w:footnoteReference w:id="14"/>
      </w:r>
    </w:p>
    <w:p w14:paraId="55090887"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1279820" w14:textId="77777777" w:rsidR="003D3963" w:rsidRPr="00B73666" w:rsidRDefault="003D3963" w:rsidP="003D3963">
      <w:pPr>
        <w:numPr>
          <w:ilvl w:val="0"/>
          <w:numId w:val="2"/>
        </w:numPr>
        <w:shd w:val="clear" w:color="auto" w:fill="FFFFFF"/>
        <w:tabs>
          <w:tab w:val="left" w:pos="567"/>
        </w:tabs>
        <w:spacing w:line="360" w:lineRule="auto"/>
        <w:ind w:left="0" w:firstLine="0"/>
        <w:contextualSpacing/>
        <w:jc w:val="both"/>
        <w:rPr>
          <w:rFonts w:ascii="Palatino Linotype" w:eastAsia="Times New Roman" w:hAnsi="Palatino Linotype" w:cs="Arial"/>
          <w:color w:val="000000" w:themeColor="text1"/>
          <w:lang w:eastAsia="es-MX"/>
        </w:rPr>
      </w:pPr>
      <w:r w:rsidRPr="00B73666">
        <w:rPr>
          <w:rFonts w:ascii="Palatino Linotype" w:hAnsi="Palatino Linotype" w:cs="Arial"/>
        </w:rPr>
        <w:lastRenderedPageBreak/>
        <w:t xml:space="preserve">Así, </w:t>
      </w:r>
      <w:r w:rsidRPr="00B73666">
        <w:rPr>
          <w:rFonts w:ascii="Palatino Linotype" w:eastAsia="Times New Roman" w:hAnsi="Palatino Linotype" w:cs="Arial"/>
          <w:color w:val="000000" w:themeColor="text1"/>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03CD95" w14:textId="77777777" w:rsidR="003D3963" w:rsidRPr="00B73666" w:rsidRDefault="003D3963" w:rsidP="003D3963">
      <w:pPr>
        <w:shd w:val="clear" w:color="auto" w:fill="FFFFFF"/>
        <w:tabs>
          <w:tab w:val="left" w:pos="567"/>
        </w:tabs>
        <w:spacing w:line="360" w:lineRule="auto"/>
        <w:contextualSpacing/>
        <w:jc w:val="both"/>
        <w:rPr>
          <w:rFonts w:ascii="Palatino Linotype" w:eastAsia="Times New Roman" w:hAnsi="Palatino Linotype" w:cs="Arial"/>
          <w:color w:val="000000" w:themeColor="text1"/>
          <w:lang w:eastAsia="es-MX"/>
        </w:rPr>
      </w:pPr>
    </w:p>
    <w:p w14:paraId="37F28B52" w14:textId="77777777" w:rsidR="003D3963" w:rsidRPr="00B73666" w:rsidRDefault="003D3963" w:rsidP="003D3963">
      <w:pPr>
        <w:numPr>
          <w:ilvl w:val="0"/>
          <w:numId w:val="2"/>
        </w:numPr>
        <w:shd w:val="clear" w:color="auto" w:fill="FFFFFF"/>
        <w:tabs>
          <w:tab w:val="left" w:pos="567"/>
        </w:tabs>
        <w:spacing w:line="360" w:lineRule="auto"/>
        <w:ind w:left="0" w:firstLine="0"/>
        <w:contextualSpacing/>
        <w:jc w:val="both"/>
        <w:rPr>
          <w:rFonts w:ascii="Palatino Linotype" w:eastAsia="Times New Roman" w:hAnsi="Palatino Linotype" w:cs="Arial"/>
          <w:color w:val="000000" w:themeColor="text1"/>
          <w:lang w:eastAsia="es-MX"/>
        </w:rPr>
      </w:pPr>
      <w:r w:rsidRPr="00B73666">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D7997C" w14:textId="77777777" w:rsidR="003D3963" w:rsidRPr="00B73666" w:rsidRDefault="003D3963" w:rsidP="003D3963">
      <w:pPr>
        <w:shd w:val="clear" w:color="auto" w:fill="FFFFFF"/>
        <w:tabs>
          <w:tab w:val="left" w:pos="567"/>
        </w:tabs>
        <w:spacing w:line="360" w:lineRule="auto"/>
        <w:contextualSpacing/>
        <w:jc w:val="both"/>
        <w:rPr>
          <w:rFonts w:ascii="Palatino Linotype" w:eastAsia="Times New Roman" w:hAnsi="Palatino Linotype" w:cs="Arial"/>
          <w:color w:val="000000" w:themeColor="text1"/>
          <w:lang w:eastAsia="es-MX"/>
        </w:rPr>
      </w:pPr>
    </w:p>
    <w:p w14:paraId="60281BF0" w14:textId="77777777" w:rsidR="003D3963" w:rsidRPr="00B73666" w:rsidRDefault="003D3963" w:rsidP="003D3963">
      <w:pPr>
        <w:numPr>
          <w:ilvl w:val="0"/>
          <w:numId w:val="2"/>
        </w:numPr>
        <w:shd w:val="clear" w:color="auto" w:fill="FFFFFF"/>
        <w:tabs>
          <w:tab w:val="left" w:pos="567"/>
        </w:tabs>
        <w:spacing w:line="360" w:lineRule="auto"/>
        <w:ind w:left="0" w:firstLine="0"/>
        <w:contextualSpacing/>
        <w:jc w:val="both"/>
        <w:rPr>
          <w:rFonts w:ascii="Palatino Linotype" w:eastAsia="Times New Roman" w:hAnsi="Palatino Linotype" w:cs="Arial"/>
          <w:color w:val="000000" w:themeColor="text1"/>
          <w:lang w:eastAsia="es-MX"/>
        </w:rPr>
      </w:pPr>
      <w:r w:rsidRPr="00B73666">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7DC4A39F" w14:textId="77777777" w:rsidR="003D3963" w:rsidRPr="00B73666" w:rsidRDefault="003D3963" w:rsidP="003D3963">
      <w:pPr>
        <w:shd w:val="clear" w:color="auto" w:fill="FFFFFF"/>
        <w:tabs>
          <w:tab w:val="left" w:pos="567"/>
        </w:tabs>
        <w:spacing w:after="200" w:line="360" w:lineRule="auto"/>
        <w:contextualSpacing/>
        <w:jc w:val="both"/>
        <w:rPr>
          <w:rFonts w:ascii="Palatino Linotype" w:eastAsia="Times New Roman" w:hAnsi="Palatino Linotype" w:cs="Arial"/>
          <w:color w:val="000000" w:themeColor="text1"/>
          <w:lang w:eastAsia="es-MX"/>
        </w:rPr>
      </w:pPr>
    </w:p>
    <w:p w14:paraId="7BC5F801" w14:textId="77777777" w:rsidR="003D3963" w:rsidRPr="00B73666" w:rsidRDefault="003D3963" w:rsidP="003D3963">
      <w:pPr>
        <w:numPr>
          <w:ilvl w:val="0"/>
          <w:numId w:val="2"/>
        </w:numPr>
        <w:shd w:val="clear" w:color="auto" w:fill="FFFFFF"/>
        <w:tabs>
          <w:tab w:val="left" w:pos="567"/>
        </w:tabs>
        <w:spacing w:after="200" w:line="360" w:lineRule="auto"/>
        <w:ind w:left="0" w:firstLine="0"/>
        <w:contextualSpacing/>
        <w:jc w:val="both"/>
        <w:rPr>
          <w:rFonts w:ascii="Palatino Linotype" w:eastAsia="Times New Roman" w:hAnsi="Palatino Linotype" w:cs="Arial"/>
          <w:color w:val="000000" w:themeColor="text1"/>
          <w:lang w:eastAsia="es-MX"/>
        </w:rPr>
      </w:pPr>
      <w:r w:rsidRPr="00B73666">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73666">
        <w:rPr>
          <w:rFonts w:ascii="Palatino Linotype" w:hAnsi="Palatino Linotype"/>
          <w:color w:val="000000" w:themeColor="text1"/>
        </w:rPr>
        <w:t xml:space="preserve"> </w:t>
      </w:r>
      <w:r w:rsidRPr="00B73666">
        <w:rPr>
          <w:rFonts w:ascii="Palatino Linotype" w:eastAsia="Times New Roman" w:hAnsi="Palatino Linotype" w:cs="Arial"/>
          <w:color w:val="000000" w:themeColor="text1"/>
          <w:lang w:eastAsia="es-MX"/>
        </w:rPr>
        <w:t>datos personales</w:t>
      </w:r>
      <w:r w:rsidRPr="00B73666">
        <w:rPr>
          <w:rFonts w:ascii="Palatino Linotype" w:eastAsia="Times New Roman" w:hAnsi="Palatino Linotype" w:cs="Arial"/>
          <w:color w:val="000000" w:themeColor="text1"/>
          <w:vertAlign w:val="superscript"/>
          <w:lang w:eastAsia="es-MX"/>
        </w:rPr>
        <w:footnoteReference w:id="15"/>
      </w:r>
      <w:r w:rsidRPr="00B73666">
        <w:rPr>
          <w:rFonts w:ascii="Palatino Linotype" w:eastAsia="Times New Roman" w:hAnsi="Palatino Linotype" w:cs="Arial"/>
          <w:color w:val="000000" w:themeColor="text1"/>
          <w:lang w:eastAsia="es-MX"/>
        </w:rPr>
        <w:t xml:space="preserve"> del servidor público que no tienen ninguna injerencia en el tema de la transparencia </w:t>
      </w:r>
      <w:r w:rsidRPr="00B73666">
        <w:rPr>
          <w:rFonts w:ascii="Palatino Linotype" w:eastAsia="Times New Roman" w:hAnsi="Palatino Linotype" w:cs="Arial"/>
          <w:color w:val="000000" w:themeColor="text1"/>
          <w:lang w:eastAsia="es-MX"/>
        </w:rPr>
        <w:lastRenderedPageBreak/>
        <w:t xml:space="preserve">y la rendición de cuentas, por ejemplo, </w:t>
      </w:r>
      <w:r w:rsidRPr="00B73666">
        <w:rPr>
          <w:rFonts w:ascii="Palatino Linotype" w:eastAsia="Calibri" w:hAnsi="Palatino Linotype" w:cs="Arial"/>
          <w:color w:val="000000" w:themeColor="text1"/>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p>
    <w:p w14:paraId="74C83845" w14:textId="77777777" w:rsidR="003D3963" w:rsidRPr="00B73666" w:rsidRDefault="003D3963" w:rsidP="003D3963">
      <w:pPr>
        <w:shd w:val="clear" w:color="auto" w:fill="FFFFFF"/>
        <w:tabs>
          <w:tab w:val="left" w:pos="567"/>
        </w:tabs>
        <w:spacing w:after="200" w:line="360" w:lineRule="auto"/>
        <w:contextualSpacing/>
        <w:jc w:val="both"/>
        <w:rPr>
          <w:rFonts w:ascii="Palatino Linotype" w:eastAsia="Calibri" w:hAnsi="Palatino Linotype" w:cs="Arial"/>
          <w:color w:val="000000" w:themeColor="text1"/>
          <w:lang w:val="es-ES" w:eastAsia="es-MX"/>
        </w:rPr>
      </w:pPr>
    </w:p>
    <w:p w14:paraId="6E1FEFB0" w14:textId="40239D49" w:rsidR="00E44778" w:rsidRPr="00B73666" w:rsidRDefault="003D3963" w:rsidP="003D3963">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22C0805" w14:textId="5322DF45"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BDC3BFF" w14:textId="73139AB1" w:rsidR="003D3963" w:rsidRPr="00B73666" w:rsidRDefault="003D3963" w:rsidP="003D3963">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4" w:name="_Toc48216095"/>
      <w:r w:rsidRPr="00B73666">
        <w:rPr>
          <w:rFonts w:ascii="Palatino Linotype" w:eastAsia="MS Gothic" w:hAnsi="Palatino Linotype" w:cs="Times New Roman"/>
          <w:b/>
          <w:bCs/>
          <w:szCs w:val="26"/>
        </w:rPr>
        <w:t>III. Condiciones especiales de la clasificación de la información como reservada.</w:t>
      </w:r>
      <w:bookmarkEnd w:id="34"/>
    </w:p>
    <w:p w14:paraId="52227DF9" w14:textId="10479519"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10"/>
          <w:szCs w:val="12"/>
        </w:rPr>
      </w:pPr>
    </w:p>
    <w:p w14:paraId="252F992E" w14:textId="0A619B01" w:rsidR="003D3963" w:rsidRPr="00B73666" w:rsidRDefault="003D3963" w:rsidP="003D3963">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5" w:name="_Toc48216096"/>
      <w:r w:rsidRPr="00B73666">
        <w:rPr>
          <w:rFonts w:ascii="Palatino Linotype" w:eastAsia="MS Gothic" w:hAnsi="Palatino Linotype" w:cs="Times New Roman"/>
          <w:b/>
          <w:bCs/>
          <w:szCs w:val="26"/>
        </w:rPr>
        <w:t>III.I La fundamentación específica.</w:t>
      </w:r>
      <w:bookmarkEnd w:id="35"/>
    </w:p>
    <w:p w14:paraId="6FD8425E" w14:textId="77777777" w:rsidR="003D3963" w:rsidRPr="00B73666" w:rsidRDefault="003D3963"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C4E8EC1" w14:textId="14EEB943" w:rsidR="00E44778" w:rsidRPr="00B73666" w:rsidRDefault="00E559CA"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Los </w:t>
      </w:r>
      <w:r w:rsidRPr="00B73666">
        <w:rPr>
          <w:rFonts w:ascii="Palatino Linotype" w:hAnsi="Palatino Linotype" w:cs="Arial"/>
          <w:color w:val="000000" w:themeColor="text1"/>
        </w:rPr>
        <w:t xml:space="preserve">artículos 128 segundo párrafo y 103 segundo párrafo de las leyes estatal y general, respectivamente, señalan que, en el caso de la información reservada, se debe de señalar las razones, motivos o circunstancias especiales que llevan al </w:t>
      </w:r>
      <w:r w:rsidRPr="00B73666">
        <w:rPr>
          <w:rFonts w:ascii="Palatino Linotype" w:hAnsi="Palatino Linotype" w:cs="Arial"/>
          <w:b/>
          <w:color w:val="000000" w:themeColor="text1"/>
        </w:rPr>
        <w:t>SUJETO OBLIGADO</w:t>
      </w:r>
      <w:r w:rsidRPr="00B73666">
        <w:rPr>
          <w:rFonts w:ascii="Palatino Linotype" w:hAnsi="Palatino Linotype" w:cs="Arial"/>
          <w:color w:val="000000" w:themeColor="text1"/>
        </w:rPr>
        <w:t xml:space="preserve"> a concluir que el caso fáctico se corresponde con la norma. Por esta razón, la motivación del acto, el juicio de subsunción, para acreditar la </w:t>
      </w:r>
      <w:r w:rsidRPr="00B73666">
        <w:rPr>
          <w:rFonts w:ascii="Palatino Linotype" w:hAnsi="Palatino Linotype" w:cs="Arial"/>
          <w:color w:val="000000" w:themeColor="text1"/>
        </w:rPr>
        <w:lastRenderedPageBreak/>
        <w:t>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41BCE1E9" w14:textId="19F7515C"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FF8FA75" w14:textId="1F1C7A80" w:rsidR="00E559CA" w:rsidRPr="00B73666" w:rsidRDefault="00E559CA" w:rsidP="00E559CA">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6" w:name="_Toc48216097"/>
      <w:r w:rsidRPr="00B73666">
        <w:rPr>
          <w:rFonts w:ascii="Palatino Linotype" w:eastAsia="MS Gothic" w:hAnsi="Palatino Linotype" w:cs="Times New Roman"/>
          <w:b/>
          <w:bCs/>
          <w:szCs w:val="26"/>
        </w:rPr>
        <w:t>III.II La prueba de daño.</w:t>
      </w:r>
      <w:bookmarkEnd w:id="36"/>
    </w:p>
    <w:p w14:paraId="08566A4D" w14:textId="77777777" w:rsidR="00E559CA" w:rsidRPr="00B73666" w:rsidRDefault="00E559CA"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15685537" w14:textId="77777777" w:rsidR="00E559CA" w:rsidRPr="00B73666" w:rsidRDefault="00E559CA" w:rsidP="00E559CA">
      <w:pPr>
        <w:numPr>
          <w:ilvl w:val="0"/>
          <w:numId w:val="2"/>
        </w:numPr>
        <w:tabs>
          <w:tab w:val="left" w:pos="567"/>
        </w:tabs>
        <w:spacing w:line="360" w:lineRule="auto"/>
        <w:ind w:left="0" w:firstLine="0"/>
        <w:contextualSpacing/>
        <w:jc w:val="both"/>
        <w:rPr>
          <w:rFonts w:ascii="Palatino Linotype" w:hAnsi="Palatino Linotype"/>
          <w:color w:val="000000" w:themeColor="text1"/>
        </w:rPr>
      </w:pPr>
      <w:r w:rsidRPr="00B73666">
        <w:rPr>
          <w:rFonts w:ascii="Palatino Linotype" w:hAnsi="Palatino Linotype" w:cs="Arial"/>
        </w:rPr>
        <w:t xml:space="preserve">Las </w:t>
      </w:r>
      <w:r w:rsidRPr="00B73666">
        <w:rPr>
          <w:rFonts w:ascii="Palatino Linotype" w:hAnsi="Palatino Linotype"/>
          <w:color w:val="000000" w:themeColor="text1"/>
        </w:rPr>
        <w:t>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E99CFAF" w14:textId="77777777" w:rsidR="00E559CA" w:rsidRPr="00B73666" w:rsidRDefault="00E559CA" w:rsidP="00E559CA">
      <w:pPr>
        <w:tabs>
          <w:tab w:val="left" w:pos="567"/>
        </w:tabs>
        <w:spacing w:line="360" w:lineRule="auto"/>
        <w:contextualSpacing/>
        <w:jc w:val="both"/>
        <w:rPr>
          <w:rFonts w:ascii="Palatino Linotype" w:hAnsi="Palatino Linotype"/>
          <w:color w:val="000000" w:themeColor="text1"/>
        </w:rPr>
      </w:pPr>
    </w:p>
    <w:p w14:paraId="6AC232CC" w14:textId="4DC148F6" w:rsidR="00E44778" w:rsidRPr="00B73666" w:rsidRDefault="00E559CA" w:rsidP="00E559C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olor w:val="000000" w:themeColor="text1"/>
        </w:rPr>
        <w:t>Para aplicar la prueba de daño, se deberán de precisar la razones objetivas por las que la apertura genera una afectación, acreditando que:</w:t>
      </w:r>
    </w:p>
    <w:p w14:paraId="01CFFA27" w14:textId="4B771290"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421F7C7" w14:textId="77777777" w:rsidR="00E559CA" w:rsidRPr="00B73666" w:rsidRDefault="00E559CA" w:rsidP="00E559CA">
      <w:pPr>
        <w:widowControl w:val="0"/>
        <w:autoSpaceDE w:val="0"/>
        <w:autoSpaceDN w:val="0"/>
        <w:adjustRightInd w:val="0"/>
        <w:spacing w:line="276" w:lineRule="auto"/>
        <w:ind w:left="567" w:right="616"/>
        <w:jc w:val="both"/>
        <w:rPr>
          <w:rFonts w:ascii="Palatino Linotype" w:hAnsi="Palatino Linotype" w:cs="Bookman Old Style"/>
          <w:i/>
          <w:iCs/>
          <w:color w:val="000000" w:themeColor="text1"/>
          <w:sz w:val="22"/>
          <w:szCs w:val="22"/>
        </w:rPr>
      </w:pPr>
      <w:r w:rsidRPr="00B73666">
        <w:rPr>
          <w:rFonts w:ascii="Palatino Linotype" w:hAnsi="Palatino Linotype" w:cs="Bookman Old Style"/>
          <w:b/>
          <w:bCs/>
          <w:i/>
          <w:iCs/>
          <w:color w:val="000000" w:themeColor="text1"/>
          <w:sz w:val="22"/>
          <w:szCs w:val="22"/>
        </w:rPr>
        <w:lastRenderedPageBreak/>
        <w:t>I.</w:t>
      </w:r>
      <w:r w:rsidRPr="00B73666">
        <w:rPr>
          <w:rFonts w:ascii="Palatino Linotype" w:hAnsi="Palatino Linotype" w:cs="Bookman Old Style"/>
          <w:bCs/>
          <w:i/>
          <w:iCs/>
          <w:color w:val="000000" w:themeColor="text1"/>
          <w:sz w:val="22"/>
          <w:szCs w:val="22"/>
        </w:rPr>
        <w:t xml:space="preserve"> </w:t>
      </w:r>
      <w:r w:rsidRPr="00B73666">
        <w:rPr>
          <w:rFonts w:ascii="Palatino Linotype" w:hAnsi="Palatino Linotype" w:cs="Bookman Old Style"/>
          <w:i/>
          <w:iCs/>
          <w:color w:val="000000" w:themeColor="text1"/>
          <w:sz w:val="22"/>
          <w:szCs w:val="22"/>
        </w:rPr>
        <w:t xml:space="preserve">La divulgación de la información representa un riesgo real, demostrable e identificable del perjuicio significativo al interés público o a la seguridad pública; </w:t>
      </w:r>
    </w:p>
    <w:p w14:paraId="662B6B8D" w14:textId="77777777" w:rsidR="00E559CA" w:rsidRPr="00B73666" w:rsidRDefault="00E559CA" w:rsidP="00E559CA">
      <w:pPr>
        <w:widowControl w:val="0"/>
        <w:autoSpaceDE w:val="0"/>
        <w:autoSpaceDN w:val="0"/>
        <w:adjustRightInd w:val="0"/>
        <w:spacing w:line="276" w:lineRule="auto"/>
        <w:ind w:left="567" w:right="616"/>
        <w:jc w:val="both"/>
        <w:rPr>
          <w:rFonts w:ascii="Palatino Linotype" w:hAnsi="Palatino Linotype" w:cs="Times"/>
          <w:i/>
          <w:iCs/>
          <w:color w:val="000000" w:themeColor="text1"/>
          <w:sz w:val="22"/>
          <w:szCs w:val="22"/>
        </w:rPr>
      </w:pPr>
    </w:p>
    <w:p w14:paraId="742CE045" w14:textId="77777777" w:rsidR="00E559CA" w:rsidRPr="00B73666" w:rsidRDefault="00E559CA" w:rsidP="00E559CA">
      <w:pPr>
        <w:widowControl w:val="0"/>
        <w:autoSpaceDE w:val="0"/>
        <w:autoSpaceDN w:val="0"/>
        <w:adjustRightInd w:val="0"/>
        <w:spacing w:line="276" w:lineRule="auto"/>
        <w:ind w:left="567" w:right="616"/>
        <w:jc w:val="both"/>
        <w:rPr>
          <w:rFonts w:ascii="Palatino Linotype" w:hAnsi="Palatino Linotype" w:cs="Bookman Old Style"/>
          <w:i/>
          <w:iCs/>
          <w:color w:val="000000" w:themeColor="text1"/>
          <w:sz w:val="22"/>
          <w:szCs w:val="22"/>
        </w:rPr>
      </w:pPr>
      <w:r w:rsidRPr="00B73666">
        <w:rPr>
          <w:rFonts w:ascii="Palatino Linotype" w:hAnsi="Palatino Linotype" w:cs="Bookman Old Style"/>
          <w:b/>
          <w:bCs/>
          <w:i/>
          <w:iCs/>
          <w:color w:val="000000" w:themeColor="text1"/>
          <w:sz w:val="22"/>
          <w:szCs w:val="22"/>
        </w:rPr>
        <w:t>II.</w:t>
      </w:r>
      <w:r w:rsidRPr="00B73666">
        <w:rPr>
          <w:rFonts w:ascii="Palatino Linotype" w:hAnsi="Palatino Linotype" w:cs="Bookman Old Style"/>
          <w:bCs/>
          <w:i/>
          <w:iCs/>
          <w:color w:val="000000" w:themeColor="text1"/>
          <w:sz w:val="22"/>
          <w:szCs w:val="22"/>
        </w:rPr>
        <w:t xml:space="preserve"> </w:t>
      </w:r>
      <w:r w:rsidRPr="00B73666">
        <w:rPr>
          <w:rFonts w:ascii="Palatino Linotype" w:hAnsi="Palatino Linotype" w:cs="Bookman Old Style"/>
          <w:i/>
          <w:iCs/>
          <w:color w:val="000000" w:themeColor="text1"/>
          <w:sz w:val="22"/>
          <w:szCs w:val="22"/>
        </w:rPr>
        <w:t xml:space="preserve">El riesgo de perjuicio que supondría la divulgación supera el interés público general de que se difunda; y </w:t>
      </w:r>
    </w:p>
    <w:p w14:paraId="603D593A" w14:textId="77777777" w:rsidR="00E559CA" w:rsidRPr="00B73666" w:rsidRDefault="00E559CA" w:rsidP="00E559CA">
      <w:pPr>
        <w:widowControl w:val="0"/>
        <w:autoSpaceDE w:val="0"/>
        <w:autoSpaceDN w:val="0"/>
        <w:adjustRightInd w:val="0"/>
        <w:spacing w:line="276" w:lineRule="auto"/>
        <w:ind w:left="567" w:right="616"/>
        <w:jc w:val="both"/>
        <w:rPr>
          <w:rFonts w:ascii="Palatino Linotype" w:hAnsi="Palatino Linotype" w:cs="Bookman Old Style"/>
          <w:b/>
          <w:bCs/>
          <w:i/>
          <w:iCs/>
          <w:color w:val="000000" w:themeColor="text1"/>
          <w:sz w:val="22"/>
          <w:szCs w:val="22"/>
        </w:rPr>
      </w:pPr>
    </w:p>
    <w:p w14:paraId="32100BC9" w14:textId="78A4AAE7" w:rsidR="00E559CA" w:rsidRPr="00B73666" w:rsidRDefault="00E559CA" w:rsidP="00E559CA">
      <w:pPr>
        <w:widowControl w:val="0"/>
        <w:autoSpaceDE w:val="0"/>
        <w:autoSpaceDN w:val="0"/>
        <w:adjustRightInd w:val="0"/>
        <w:spacing w:line="276" w:lineRule="auto"/>
        <w:ind w:left="567" w:right="616"/>
        <w:jc w:val="both"/>
        <w:rPr>
          <w:rFonts w:ascii="Palatino Linotype" w:eastAsia="MS Gothic" w:hAnsi="Palatino Linotype" w:cs="Times New Roman"/>
          <w:i/>
          <w:iCs/>
          <w:sz w:val="22"/>
        </w:rPr>
      </w:pPr>
      <w:r w:rsidRPr="00B73666">
        <w:rPr>
          <w:rFonts w:ascii="Palatino Linotype" w:hAnsi="Palatino Linotype" w:cs="Bookman Old Style"/>
          <w:b/>
          <w:bCs/>
          <w:i/>
          <w:iCs/>
          <w:color w:val="000000" w:themeColor="text1"/>
          <w:sz w:val="22"/>
          <w:szCs w:val="22"/>
        </w:rPr>
        <w:t>III.</w:t>
      </w:r>
      <w:r w:rsidRPr="00B73666">
        <w:rPr>
          <w:rFonts w:ascii="Palatino Linotype" w:hAnsi="Palatino Linotype" w:cs="Bookman Old Style"/>
          <w:bCs/>
          <w:i/>
          <w:iCs/>
          <w:color w:val="000000" w:themeColor="text1"/>
          <w:sz w:val="22"/>
          <w:szCs w:val="22"/>
        </w:rPr>
        <w:t xml:space="preserve"> </w:t>
      </w:r>
      <w:r w:rsidRPr="00B73666">
        <w:rPr>
          <w:rFonts w:ascii="Palatino Linotype" w:hAnsi="Palatino Linotype" w:cs="Bookman Old Style"/>
          <w:i/>
          <w:iCs/>
          <w:color w:val="000000" w:themeColor="text1"/>
          <w:sz w:val="22"/>
          <w:szCs w:val="22"/>
        </w:rPr>
        <w:t>La limitación se adecua al principio de proporcionalidad y representa el medio menos restrictivo disponible para evitar el perjuicio.</w:t>
      </w:r>
    </w:p>
    <w:p w14:paraId="32BC8DDA" w14:textId="77777777" w:rsidR="00E559CA" w:rsidRPr="00B73666" w:rsidRDefault="00E559CA"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055988BF" w14:textId="77777777" w:rsidR="00E559CA" w:rsidRPr="00B73666" w:rsidRDefault="00E559CA" w:rsidP="00E559CA">
      <w:pPr>
        <w:numPr>
          <w:ilvl w:val="0"/>
          <w:numId w:val="2"/>
        </w:numPr>
        <w:shd w:val="clear" w:color="auto" w:fill="FFFFFF"/>
        <w:tabs>
          <w:tab w:val="left" w:pos="567"/>
        </w:tabs>
        <w:suppressAutoHyphens/>
        <w:spacing w:line="360" w:lineRule="auto"/>
        <w:ind w:left="0" w:firstLine="0"/>
        <w:jc w:val="both"/>
        <w:textAlignment w:val="baseline"/>
        <w:rPr>
          <w:rFonts w:ascii="Palatino Linotype" w:hAnsi="Palatino Linotype" w:cs="Times New Roman"/>
          <w:color w:val="000000" w:themeColor="text1"/>
          <w:lang w:eastAsia="es-ES_tradnl"/>
        </w:rPr>
      </w:pPr>
      <w:r w:rsidRPr="00B73666">
        <w:rPr>
          <w:rFonts w:ascii="Palatino Linotype" w:hAnsi="Palatino Linotype" w:cs="Arial"/>
        </w:rPr>
        <w:t xml:space="preserve">Sobre </w:t>
      </w:r>
      <w:r w:rsidRPr="00B73666">
        <w:rPr>
          <w:rFonts w:ascii="Palatino Linotype" w:hAnsi="Palatino Linotype" w:cs="Times New Roman"/>
          <w:color w:val="000000" w:themeColor="text1"/>
          <w:lang w:eastAsia="es-ES_tradnl"/>
        </w:rPr>
        <w:t>el primer supuesto consideremos que según el diccionario del español jurídico, por riesgo podemos entender “la contingencia o proximidad de un daño”,</w:t>
      </w:r>
      <w:r w:rsidRPr="00B73666">
        <w:rPr>
          <w:rFonts w:ascii="Palatino Linotype" w:hAnsi="Palatino Linotype" w:cs="Times New Roman"/>
          <w:color w:val="000000" w:themeColor="text1"/>
          <w:vertAlign w:val="superscript"/>
          <w:lang w:eastAsia="es-ES_tradnl"/>
        </w:rPr>
        <w:footnoteReference w:id="16"/>
      </w:r>
      <w:r w:rsidRPr="00B73666">
        <w:rPr>
          <w:rFonts w:ascii="Palatino Linotype" w:hAnsi="Palatino Linotype" w:cs="Times New Roman"/>
          <w:color w:val="000000" w:themeColor="text1"/>
          <w:lang w:eastAsia="es-ES_tradnl"/>
        </w:rPr>
        <w:t xml:space="preserve"> mientras que el daño es considerado como un “</w:t>
      </w:r>
      <w:r w:rsidRPr="00B73666">
        <w:rPr>
          <w:rFonts w:ascii="Palatino Linotype" w:hAnsi="Palatino Linotype" w:cs="Times New Roman"/>
          <w:i/>
          <w:color w:val="000000" w:themeColor="text1"/>
          <w:lang w:eastAsia="es-ES_tradnl"/>
        </w:rPr>
        <w:t>perjuicio o lesión</w:t>
      </w:r>
      <w:r w:rsidRPr="00B73666">
        <w:rPr>
          <w:rFonts w:ascii="Palatino Linotype" w:hAnsi="Palatino Linotype" w:cs="Times New Roman"/>
          <w:color w:val="000000" w:themeColor="text1"/>
          <w:lang w:eastAsia="es-ES_tradnl"/>
        </w:rPr>
        <w:t>”</w:t>
      </w:r>
      <w:r w:rsidRPr="00B73666">
        <w:rPr>
          <w:rFonts w:ascii="Palatino Linotype" w:hAnsi="Palatino Linotype" w:cs="Times New Roman"/>
          <w:color w:val="000000" w:themeColor="text1"/>
          <w:vertAlign w:val="superscript"/>
          <w:lang w:eastAsia="es-ES_tradnl"/>
        </w:rPr>
        <w:footnoteReference w:id="17"/>
      </w:r>
      <w:r w:rsidRPr="00B73666">
        <w:rPr>
          <w:rFonts w:ascii="Palatino Linotype" w:hAnsi="Palatino Linotype" w:cs="Times New Roman"/>
          <w:color w:val="000000" w:themeColor="text1"/>
          <w:lang w:eastAsia="es-ES_tradnl"/>
        </w:rPr>
        <w:t>, mientras que según el Diccionario de la Lengua Española, lo real es</w:t>
      </w:r>
      <w:r w:rsidRPr="00B73666">
        <w:rPr>
          <w:rFonts w:ascii="Palatino Linotype" w:eastAsia="Arial Unicode MS" w:hAnsi="Palatino Linotype" w:cs="Arial Unicode MS"/>
          <w:color w:val="000000" w:themeColor="text1"/>
          <w:spacing w:val="4"/>
          <w:shd w:val="clear" w:color="auto" w:fill="FFFFFF"/>
          <w:lang w:eastAsia="es-ES_tradnl"/>
        </w:rPr>
        <w:t xml:space="preserve"> lo </w:t>
      </w:r>
      <w:r w:rsidRPr="00B73666">
        <w:rPr>
          <w:rFonts w:ascii="Palatino Linotype" w:eastAsia="Arial Unicode MS" w:hAnsi="Palatino Linotype" w:cs="Arial Unicode MS"/>
          <w:i/>
          <w:color w:val="000000" w:themeColor="text1"/>
          <w:spacing w:val="4"/>
          <w:shd w:val="clear" w:color="auto" w:fill="FFFFFF"/>
          <w:lang w:eastAsia="es-ES_tradnl"/>
        </w:rPr>
        <w:t>“</w:t>
      </w:r>
      <w:r w:rsidRPr="00B73666">
        <w:rPr>
          <w:rFonts w:ascii="Palatino Linotype" w:eastAsia="Times New Roman" w:hAnsi="Palatino Linotype" w:cs="Times New Roman"/>
          <w:i/>
          <w:color w:val="000000" w:themeColor="text1"/>
          <w:lang w:eastAsia="es-ES_tradnl"/>
        </w:rPr>
        <w:t>(que</w:t>
      </w:r>
      <w:r w:rsidRPr="00B73666">
        <w:rPr>
          <w:rFonts w:ascii="Palatino Linotype" w:eastAsia="Arial Unicode MS" w:hAnsi="Palatino Linotype" w:cs="Arial Unicode MS"/>
          <w:i/>
          <w:color w:val="000000" w:themeColor="text1"/>
          <w:spacing w:val="4"/>
          <w:shd w:val="clear" w:color="auto" w:fill="FFFFFF"/>
          <w:lang w:eastAsia="es-ES_tradnl"/>
        </w:rPr>
        <w:t xml:space="preserve"> </w:t>
      </w:r>
      <w:r w:rsidRPr="00B73666">
        <w:rPr>
          <w:rFonts w:ascii="Palatino Linotype" w:eastAsia="Times New Roman" w:hAnsi="Palatino Linotype" w:cs="Times New Roman"/>
          <w:i/>
          <w:color w:val="000000" w:themeColor="text1"/>
          <w:lang w:eastAsia="es-ES_tradnl"/>
        </w:rPr>
        <w:t>tiene</w:t>
      </w:r>
      <w:r w:rsidRPr="00B73666">
        <w:rPr>
          <w:rFonts w:ascii="Palatino Linotype" w:eastAsia="Arial Unicode MS" w:hAnsi="Palatino Linotype" w:cs="Arial Unicode MS"/>
          <w:i/>
          <w:color w:val="000000" w:themeColor="text1"/>
          <w:spacing w:val="4"/>
          <w:shd w:val="clear" w:color="auto" w:fill="FFFFFF"/>
          <w:lang w:eastAsia="es-ES_tradnl"/>
        </w:rPr>
        <w:t xml:space="preserve"> </w:t>
      </w:r>
      <w:r w:rsidRPr="00B73666">
        <w:rPr>
          <w:rFonts w:ascii="Palatino Linotype" w:eastAsia="Times New Roman" w:hAnsi="Palatino Linotype" w:cs="Times New Roman"/>
          <w:i/>
          <w:color w:val="000000" w:themeColor="text1"/>
          <w:lang w:eastAsia="es-ES_tradnl"/>
        </w:rPr>
        <w:t>existencia</w:t>
      </w:r>
      <w:r w:rsidRPr="00B73666">
        <w:rPr>
          <w:rFonts w:ascii="Palatino Linotype" w:eastAsia="Arial Unicode MS" w:hAnsi="Palatino Linotype" w:cs="Arial Unicode MS"/>
          <w:i/>
          <w:color w:val="000000" w:themeColor="text1"/>
          <w:spacing w:val="4"/>
          <w:shd w:val="clear" w:color="auto" w:fill="FFFFFF"/>
          <w:lang w:eastAsia="es-ES_tradnl"/>
        </w:rPr>
        <w:t xml:space="preserve"> </w:t>
      </w:r>
      <w:r w:rsidRPr="00B73666">
        <w:rPr>
          <w:rFonts w:ascii="Palatino Linotype" w:eastAsia="Times New Roman" w:hAnsi="Palatino Linotype" w:cs="Times New Roman"/>
          <w:i/>
          <w:color w:val="000000" w:themeColor="text1"/>
          <w:lang w:eastAsia="es-ES_tradnl"/>
        </w:rPr>
        <w:t>objetiva”</w:t>
      </w:r>
      <w:r w:rsidRPr="00B73666">
        <w:rPr>
          <w:rFonts w:ascii="Palatino Linotype" w:eastAsia="Times New Roman" w:hAnsi="Palatino Linotype" w:cs="Times New Roman"/>
          <w:color w:val="000000" w:themeColor="text1"/>
          <w:lang w:eastAsia="es-ES_tradnl"/>
        </w:rPr>
        <w:t>,</w:t>
      </w:r>
      <w:r w:rsidRPr="00B73666">
        <w:rPr>
          <w:rFonts w:ascii="Palatino Linotype" w:eastAsia="Times New Roman" w:hAnsi="Palatino Linotype" w:cs="Times New Roman"/>
          <w:color w:val="000000" w:themeColor="text1"/>
          <w:vertAlign w:val="superscript"/>
          <w:lang w:eastAsia="es-ES_tradnl"/>
        </w:rPr>
        <w:footnoteReference w:id="18"/>
      </w:r>
      <w:r w:rsidRPr="00B73666">
        <w:rPr>
          <w:rFonts w:ascii="Palatino Linotype" w:eastAsia="Times New Roman" w:hAnsi="Palatino Linotype" w:cs="Times New Roman"/>
          <w:color w:val="000000" w:themeColor="text1"/>
          <w:lang w:eastAsia="es-ES_tradnl"/>
        </w:rPr>
        <w:t xml:space="preserve"> </w:t>
      </w:r>
      <w:r w:rsidRPr="00B73666">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B73666">
        <w:rPr>
          <w:rFonts w:ascii="Palatino Linotype" w:eastAsia="Arial Unicode MS" w:hAnsi="Palatino Linotype" w:cs="Arial Unicode MS"/>
          <w:color w:val="000000" w:themeColor="text1"/>
          <w:spacing w:val="4"/>
          <w:shd w:val="clear" w:color="auto" w:fill="FFFFFF"/>
          <w:vertAlign w:val="superscript"/>
          <w:lang w:eastAsia="es-ES_tradnl"/>
        </w:rPr>
        <w:footnoteReference w:id="19"/>
      </w:r>
      <w:r w:rsidRPr="00B73666">
        <w:rPr>
          <w:rFonts w:ascii="Palatino Linotype" w:eastAsia="Arial Unicode MS" w:hAnsi="Palatino Linotype" w:cs="Arial Unicode MS"/>
          <w:color w:val="000000" w:themeColor="text1"/>
          <w:spacing w:val="4"/>
          <w:shd w:val="clear" w:color="auto" w:fill="FFFFFF"/>
          <w:lang w:eastAsia="es-ES_tradnl"/>
        </w:rPr>
        <w:t xml:space="preserve"> es decir, </w:t>
      </w:r>
      <w:r w:rsidRPr="00B73666">
        <w:rPr>
          <w:rFonts w:ascii="Palatino Linotype" w:hAnsi="Palatino Linotype"/>
          <w:i/>
          <w:color w:val="000000" w:themeColor="text1"/>
        </w:rPr>
        <w:t xml:space="preserve">“(manifestar, declarar. Probar, sirviéndose de cualquier género de demostración, </w:t>
      </w:r>
      <w:hyperlink r:id="rId9" w:anchor="6nAyKjE" w:history="1">
        <w:r w:rsidRPr="00B73666">
          <w:rPr>
            <w:rFonts w:ascii="Palatino Linotype" w:hAnsi="Palatino Linotype"/>
            <w:i/>
            <w:color w:val="000000" w:themeColor="text1"/>
          </w:rPr>
          <w:t>enseñar</w:t>
        </w:r>
      </w:hyperlink>
      <w:r w:rsidRPr="00B73666">
        <w:rPr>
          <w:rFonts w:ascii="Palatino Linotype" w:hAnsi="Palatino Linotype"/>
          <w:i/>
          <w:color w:val="000000" w:themeColor="text1"/>
        </w:rPr>
        <w:t xml:space="preserve"> mostrar o exponer algo)”</w:t>
      </w:r>
      <w:r w:rsidRPr="00B73666">
        <w:rPr>
          <w:rFonts w:ascii="Palatino Linotype" w:hAnsi="Palatino Linotype"/>
          <w:color w:val="000000" w:themeColor="text1"/>
        </w:rPr>
        <w:t>.</w:t>
      </w:r>
      <w:r w:rsidRPr="00B73666">
        <w:rPr>
          <w:rFonts w:ascii="Palatino Linotype" w:hAnsi="Palatino Linotype"/>
          <w:color w:val="000000" w:themeColor="text1"/>
          <w:vertAlign w:val="superscript"/>
        </w:rPr>
        <w:footnoteReference w:id="20"/>
      </w:r>
      <w:r w:rsidRPr="00B73666">
        <w:rPr>
          <w:rFonts w:ascii="Palatino Linotype" w:hAnsi="Palatino Linotype"/>
          <w:color w:val="000000" w:themeColor="text1"/>
        </w:rPr>
        <w:t xml:space="preserve"> Mientras que lo identificable es lo que puede ser identificado,</w:t>
      </w:r>
      <w:r w:rsidRPr="00B73666">
        <w:rPr>
          <w:rFonts w:ascii="Palatino Linotype" w:hAnsi="Palatino Linotype"/>
          <w:color w:val="000000" w:themeColor="text1"/>
          <w:vertAlign w:val="superscript"/>
        </w:rPr>
        <w:footnoteReference w:id="21"/>
      </w:r>
      <w:r w:rsidRPr="00B73666">
        <w:rPr>
          <w:rFonts w:ascii="Palatino Linotype" w:hAnsi="Palatino Linotype"/>
          <w:color w:val="000000" w:themeColor="text1"/>
        </w:rPr>
        <w:t xml:space="preserve"> esto es,</w:t>
      </w:r>
      <w:r w:rsidRPr="00B73666">
        <w:rPr>
          <w:rFonts w:ascii="Palatino Linotype" w:hAnsi="Palatino Linotype"/>
          <w:color w:val="000000" w:themeColor="text1"/>
          <w:lang w:eastAsia="es-ES_tradnl"/>
        </w:rPr>
        <w:t xml:space="preserve"> </w:t>
      </w:r>
      <w:r w:rsidRPr="00B73666">
        <w:rPr>
          <w:rFonts w:ascii="Palatino Linotype" w:hAnsi="Palatino Linotype"/>
          <w:i/>
          <w:color w:val="000000" w:themeColor="text1"/>
          <w:lang w:eastAsia="es-ES_tradnl"/>
        </w:rPr>
        <w:t>“(dar los datos necesarios para ser reconocido”</w:t>
      </w:r>
      <w:r w:rsidRPr="00B73666">
        <w:rPr>
          <w:rFonts w:ascii="Palatino Linotype" w:hAnsi="Palatino Linotype"/>
          <w:color w:val="000000" w:themeColor="text1"/>
          <w:lang w:eastAsia="es-ES_tradnl"/>
        </w:rPr>
        <w:t>.</w:t>
      </w:r>
      <w:r w:rsidRPr="00B73666">
        <w:rPr>
          <w:rFonts w:ascii="Palatino Linotype" w:hAnsi="Palatino Linotype"/>
          <w:color w:val="000000" w:themeColor="text1"/>
          <w:vertAlign w:val="superscript"/>
          <w:lang w:eastAsia="es-ES_tradnl"/>
        </w:rPr>
        <w:footnoteReference w:id="22"/>
      </w:r>
    </w:p>
    <w:p w14:paraId="56DFC474" w14:textId="77777777" w:rsidR="00E559CA" w:rsidRPr="00B73666" w:rsidRDefault="00E559CA" w:rsidP="00E559CA">
      <w:pPr>
        <w:shd w:val="clear" w:color="auto" w:fill="FFFFFF"/>
        <w:tabs>
          <w:tab w:val="left" w:pos="567"/>
        </w:tabs>
        <w:suppressAutoHyphens/>
        <w:spacing w:line="360" w:lineRule="auto"/>
        <w:jc w:val="both"/>
        <w:textAlignment w:val="baseline"/>
        <w:rPr>
          <w:rFonts w:ascii="Palatino Linotype" w:hAnsi="Palatino Linotype" w:cs="Times New Roman"/>
          <w:color w:val="000000" w:themeColor="text1"/>
          <w:lang w:eastAsia="es-ES_tradnl"/>
        </w:rPr>
      </w:pPr>
    </w:p>
    <w:p w14:paraId="61807167" w14:textId="77777777" w:rsidR="00E559CA" w:rsidRPr="00B73666" w:rsidRDefault="00E559CA" w:rsidP="00E559CA">
      <w:pPr>
        <w:numPr>
          <w:ilvl w:val="0"/>
          <w:numId w:val="2"/>
        </w:numPr>
        <w:tabs>
          <w:tab w:val="left" w:pos="567"/>
        </w:tabs>
        <w:spacing w:line="360" w:lineRule="auto"/>
        <w:ind w:left="0" w:firstLine="0"/>
        <w:contextualSpacing/>
        <w:jc w:val="both"/>
        <w:rPr>
          <w:rFonts w:ascii="Palatino Linotype" w:hAnsi="Palatino Linotype"/>
          <w:color w:val="000000" w:themeColor="text1"/>
        </w:rPr>
      </w:pPr>
      <w:r w:rsidRPr="00B73666">
        <w:rPr>
          <w:rFonts w:ascii="Palatino Linotype" w:hAnsi="Palatino Linotype"/>
          <w:color w:val="000000" w:themeColor="text1"/>
        </w:rPr>
        <w:t xml:space="preserve">Por lo que entonces, el primer supuesto de la prueba de daño consiste en acreditar que la entrega de la información provoca tres aspectos concurrentes: 1) la </w:t>
      </w:r>
      <w:r w:rsidRPr="00B73666">
        <w:rPr>
          <w:rFonts w:ascii="Palatino Linotype" w:hAnsi="Palatino Linotype"/>
          <w:color w:val="000000" w:themeColor="text1"/>
        </w:rPr>
        <w:lastRenderedPageBreak/>
        <w:t>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78B5F67" w14:textId="77777777" w:rsidR="00E559CA" w:rsidRPr="00B73666" w:rsidRDefault="00E559CA" w:rsidP="00E559CA">
      <w:pPr>
        <w:tabs>
          <w:tab w:val="left" w:pos="567"/>
        </w:tabs>
        <w:spacing w:line="360" w:lineRule="auto"/>
        <w:contextualSpacing/>
        <w:jc w:val="both"/>
        <w:rPr>
          <w:rFonts w:ascii="Palatino Linotype" w:hAnsi="Palatino Linotype"/>
          <w:color w:val="000000" w:themeColor="text1"/>
        </w:rPr>
      </w:pPr>
    </w:p>
    <w:p w14:paraId="58D7A3DF" w14:textId="77777777" w:rsidR="00E559CA" w:rsidRPr="00B73666" w:rsidRDefault="00E559CA" w:rsidP="00E559CA">
      <w:pPr>
        <w:numPr>
          <w:ilvl w:val="0"/>
          <w:numId w:val="2"/>
        </w:numPr>
        <w:tabs>
          <w:tab w:val="left" w:pos="567"/>
        </w:tabs>
        <w:spacing w:line="360" w:lineRule="auto"/>
        <w:ind w:left="0" w:firstLine="0"/>
        <w:contextualSpacing/>
        <w:jc w:val="both"/>
        <w:rPr>
          <w:rFonts w:ascii="Palatino Linotype" w:hAnsi="Palatino Linotype"/>
          <w:color w:val="000000" w:themeColor="text1"/>
        </w:rPr>
      </w:pPr>
      <w:r w:rsidRPr="00B73666">
        <w:rPr>
          <w:rFonts w:ascii="Palatino Linotype" w:hAnsi="Palatino Linotype"/>
          <w:color w:val="000000" w:themeColor="text1"/>
        </w:rPr>
        <w:t xml:space="preserve">Identificado ese riesgo, se debe demostrar que el mismo supera el interés público general porque se difunda dicha información. </w:t>
      </w:r>
    </w:p>
    <w:p w14:paraId="63B6775A" w14:textId="77777777" w:rsidR="00E559CA" w:rsidRPr="00B73666" w:rsidRDefault="00E559CA" w:rsidP="00E559CA">
      <w:pPr>
        <w:tabs>
          <w:tab w:val="left" w:pos="567"/>
        </w:tabs>
        <w:spacing w:line="360" w:lineRule="auto"/>
        <w:contextualSpacing/>
        <w:jc w:val="both"/>
        <w:rPr>
          <w:rFonts w:ascii="Palatino Linotype" w:hAnsi="Palatino Linotype"/>
          <w:color w:val="000000" w:themeColor="text1"/>
        </w:rPr>
      </w:pPr>
    </w:p>
    <w:p w14:paraId="1011F0F5" w14:textId="6A0DB3A0" w:rsidR="00E44778" w:rsidRPr="00B73666" w:rsidRDefault="00E559CA" w:rsidP="00E559C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B73666">
        <w:rPr>
          <w:rFonts w:ascii="Palatino Linotype" w:hAnsi="Palatino Linotype"/>
          <w:color w:val="000000" w:themeColor="text1"/>
          <w:vertAlign w:val="superscript"/>
        </w:rPr>
        <w:footnoteReference w:id="23"/>
      </w:r>
      <w:r w:rsidRPr="00B73666">
        <w:rPr>
          <w:rFonts w:ascii="Palatino Linotype" w:hAnsi="Palatino Linotype"/>
          <w:color w:val="000000" w:themeColor="text1"/>
        </w:rPr>
        <w:t>, siguiendo el principio de ponderación propuesto por el Tribunal Constitucional Alemán,</w:t>
      </w:r>
      <w:r w:rsidRPr="00B73666">
        <w:rPr>
          <w:rFonts w:ascii="Palatino Linotype" w:hAnsi="Palatino Linotype"/>
          <w:color w:val="000000" w:themeColor="text1"/>
          <w:vertAlign w:val="superscript"/>
        </w:rPr>
        <w:footnoteReference w:id="24"/>
      </w:r>
      <w:r w:rsidRPr="00B73666">
        <w:rPr>
          <w:rFonts w:ascii="Palatino Linotype" w:hAnsi="Palatino Linotype"/>
          <w:color w:val="000000" w:themeColor="text1"/>
        </w:rPr>
        <w:t xml:space="preserve"> el juicio de idoneidad, que la medida adoptada sea la </w:t>
      </w:r>
      <w:r w:rsidRPr="00B73666">
        <w:rPr>
          <w:rFonts w:ascii="Palatino Linotype" w:hAnsi="Palatino Linotype"/>
          <w:color w:val="000000" w:themeColor="text1"/>
        </w:rPr>
        <w:lastRenderedPageBreak/>
        <w:t>idónea para el ejercicio del derecho; de necesidad, que sea necearía para que el derecho que prevalece se ejerza y el de estricta proporcionalidad esto es, que el derecho que prevalezca sea en la dimensión estrictamente proporcional al derecho que retrocede.</w:t>
      </w:r>
    </w:p>
    <w:p w14:paraId="2F9AD208" w14:textId="6F7D627B"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838000C" w14:textId="5FE1E3A5" w:rsidR="00E559CA" w:rsidRPr="00B73666" w:rsidRDefault="00E559CA" w:rsidP="00E559CA">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7" w:name="_Toc48216098"/>
      <w:r w:rsidRPr="00B73666">
        <w:rPr>
          <w:rFonts w:ascii="Palatino Linotype" w:eastAsia="MS Gothic" w:hAnsi="Palatino Linotype" w:cs="Times New Roman"/>
          <w:b/>
          <w:bCs/>
          <w:szCs w:val="26"/>
        </w:rPr>
        <w:t>III.III La clasificación de la información reservada debe ser de manera temporal.</w:t>
      </w:r>
      <w:bookmarkEnd w:id="37"/>
    </w:p>
    <w:p w14:paraId="144E2EE1" w14:textId="77777777" w:rsidR="00E559CA" w:rsidRPr="00B73666" w:rsidRDefault="00E559CA"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FC5C8FB" w14:textId="77777777" w:rsidR="00E559CA" w:rsidRPr="00B73666" w:rsidRDefault="00E559CA" w:rsidP="00E559CA">
      <w:pPr>
        <w:numPr>
          <w:ilvl w:val="0"/>
          <w:numId w:val="2"/>
        </w:numPr>
        <w:tabs>
          <w:tab w:val="left" w:pos="426"/>
        </w:tabs>
        <w:spacing w:line="360" w:lineRule="auto"/>
        <w:ind w:left="0" w:firstLine="0"/>
        <w:contextualSpacing/>
        <w:jc w:val="both"/>
        <w:rPr>
          <w:rFonts w:ascii="Palatino Linotype" w:hAnsi="Palatino Linotype"/>
          <w:color w:val="000000" w:themeColor="text1"/>
        </w:rPr>
      </w:pPr>
      <w:r w:rsidRPr="00B73666">
        <w:rPr>
          <w:rFonts w:ascii="Palatino Linotype" w:hAnsi="Palatino Linotype" w:cs="Arial"/>
        </w:rPr>
        <w:t xml:space="preserve">La </w:t>
      </w:r>
      <w:r w:rsidRPr="00B73666">
        <w:rPr>
          <w:rFonts w:ascii="Palatino Linotype" w:hAnsi="Palatino Linotype"/>
          <w:color w:val="000000" w:themeColor="text1"/>
        </w:rPr>
        <w:t>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1BC10B7" w14:textId="77777777" w:rsidR="00E559CA" w:rsidRPr="00B73666" w:rsidRDefault="00E559CA" w:rsidP="00E559CA">
      <w:pPr>
        <w:tabs>
          <w:tab w:val="left" w:pos="426"/>
        </w:tabs>
        <w:spacing w:line="360" w:lineRule="auto"/>
        <w:contextualSpacing/>
        <w:jc w:val="both"/>
        <w:rPr>
          <w:rFonts w:ascii="Palatino Linotype" w:hAnsi="Palatino Linotype"/>
          <w:color w:val="000000" w:themeColor="text1"/>
        </w:rPr>
      </w:pPr>
    </w:p>
    <w:p w14:paraId="46D9F38D" w14:textId="77777777" w:rsidR="00E559CA" w:rsidRPr="00B73666" w:rsidRDefault="00E559CA" w:rsidP="00E559CA">
      <w:pPr>
        <w:numPr>
          <w:ilvl w:val="0"/>
          <w:numId w:val="2"/>
        </w:numPr>
        <w:tabs>
          <w:tab w:val="left" w:pos="426"/>
        </w:tabs>
        <w:spacing w:line="360" w:lineRule="auto"/>
        <w:ind w:left="0" w:firstLine="0"/>
        <w:contextualSpacing/>
        <w:jc w:val="both"/>
        <w:rPr>
          <w:rFonts w:ascii="Palatino Linotype" w:hAnsi="Palatino Linotype"/>
          <w:color w:val="000000" w:themeColor="text1"/>
        </w:rPr>
      </w:pPr>
      <w:r w:rsidRPr="00B73666">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32615578" w14:textId="77777777" w:rsidR="00E559CA" w:rsidRPr="00B73666" w:rsidRDefault="00E559CA" w:rsidP="00E559CA">
      <w:pPr>
        <w:tabs>
          <w:tab w:val="left" w:pos="426"/>
        </w:tabs>
        <w:contextualSpacing/>
        <w:rPr>
          <w:rFonts w:ascii="Palatino Linotype" w:hAnsi="Palatino Linotype"/>
          <w:color w:val="000000" w:themeColor="text1"/>
        </w:rPr>
      </w:pPr>
    </w:p>
    <w:p w14:paraId="5B18AFFD" w14:textId="77777777" w:rsidR="00E559CA" w:rsidRPr="00B73666" w:rsidRDefault="00E559CA" w:rsidP="00E559CA">
      <w:pPr>
        <w:numPr>
          <w:ilvl w:val="0"/>
          <w:numId w:val="2"/>
        </w:numPr>
        <w:tabs>
          <w:tab w:val="left" w:pos="426"/>
        </w:tabs>
        <w:spacing w:line="360" w:lineRule="auto"/>
        <w:ind w:left="0" w:firstLine="0"/>
        <w:contextualSpacing/>
        <w:jc w:val="both"/>
        <w:rPr>
          <w:rFonts w:ascii="Palatino Linotype" w:hAnsi="Palatino Linotype"/>
          <w:color w:val="000000" w:themeColor="text1"/>
        </w:rPr>
      </w:pPr>
      <w:r w:rsidRPr="00B73666">
        <w:rPr>
          <w:rFonts w:ascii="Palatino Linotype" w:hAnsi="Palatino Linotype"/>
          <w:color w:val="000000" w:themeColor="text1"/>
        </w:rPr>
        <w:t xml:space="preserve">Ahora bien, los titulares de las áreas tienen la alta responsabilidad de determinar que el plazo de reserva sea el estrictamente necesario para proteger la información mientras subsistan las causas que dieron origen a la clasificación, </w:t>
      </w:r>
      <w:r w:rsidRPr="00B73666">
        <w:rPr>
          <w:rFonts w:ascii="Palatino Linotype" w:hAnsi="Palatino Linotype"/>
          <w:color w:val="000000" w:themeColor="text1"/>
        </w:rPr>
        <w:lastRenderedPageBreak/>
        <w:t>salvaguardando el interés público protegido y tomarán en cuenta las razones que justifican el periodo de reserva establecido.</w:t>
      </w:r>
    </w:p>
    <w:p w14:paraId="5D245D1E" w14:textId="77777777" w:rsidR="00E559CA" w:rsidRPr="00B73666" w:rsidRDefault="00E559CA" w:rsidP="00E559CA">
      <w:pPr>
        <w:tabs>
          <w:tab w:val="left" w:pos="426"/>
        </w:tabs>
        <w:contextualSpacing/>
        <w:rPr>
          <w:rFonts w:ascii="Palatino Linotype" w:hAnsi="Palatino Linotype"/>
          <w:b/>
          <w:color w:val="000000" w:themeColor="text1"/>
        </w:rPr>
      </w:pPr>
    </w:p>
    <w:p w14:paraId="57152A6E" w14:textId="77777777" w:rsidR="00E559CA" w:rsidRPr="00B73666" w:rsidRDefault="00E559CA" w:rsidP="00E559CA">
      <w:pPr>
        <w:numPr>
          <w:ilvl w:val="0"/>
          <w:numId w:val="2"/>
        </w:numPr>
        <w:tabs>
          <w:tab w:val="left" w:pos="426"/>
        </w:tabs>
        <w:spacing w:line="360" w:lineRule="auto"/>
        <w:ind w:left="0" w:firstLine="0"/>
        <w:contextualSpacing/>
        <w:jc w:val="both"/>
        <w:rPr>
          <w:rFonts w:ascii="Palatino Linotype" w:hAnsi="Palatino Linotype"/>
          <w:color w:val="000000" w:themeColor="text1"/>
        </w:rPr>
      </w:pPr>
      <w:r w:rsidRPr="00B73666">
        <w:rPr>
          <w:rFonts w:ascii="Palatino Linotype" w:hAnsi="Palatino Linotype"/>
          <w:color w:val="000000" w:themeColor="text1"/>
        </w:rPr>
        <w:t>De</w:t>
      </w:r>
      <w:r w:rsidRPr="00B73666">
        <w:rPr>
          <w:rFonts w:ascii="Palatino Linotype" w:hAnsi="Palatino Linotype"/>
          <w:b/>
          <w:color w:val="000000" w:themeColor="text1"/>
        </w:rPr>
        <w:t xml:space="preserve"> </w:t>
      </w:r>
      <w:r w:rsidRPr="00B73666">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2099254" w14:textId="77777777" w:rsidR="00E559CA" w:rsidRPr="00B73666" w:rsidRDefault="00E559CA" w:rsidP="00E559CA">
      <w:pPr>
        <w:tabs>
          <w:tab w:val="left" w:pos="426"/>
        </w:tabs>
        <w:contextualSpacing/>
        <w:rPr>
          <w:rFonts w:ascii="Palatino Linotype" w:hAnsi="Palatino Linotype"/>
          <w:color w:val="000000" w:themeColor="text1"/>
        </w:rPr>
      </w:pPr>
    </w:p>
    <w:p w14:paraId="40C830B5" w14:textId="243F8E96" w:rsidR="00E44778" w:rsidRPr="00B73666" w:rsidRDefault="00E559CA" w:rsidP="00E559C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D6BB42C" w14:textId="3A7F4E20"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40E4F59F" w14:textId="510D762F" w:rsidR="00E559CA" w:rsidRPr="00B73666" w:rsidRDefault="00E559CA" w:rsidP="00E559CA">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bCs/>
          <w:szCs w:val="26"/>
        </w:rPr>
      </w:pPr>
      <w:bookmarkStart w:id="38" w:name="_Toc48216099"/>
      <w:r w:rsidRPr="00B73666">
        <w:rPr>
          <w:rFonts w:ascii="Palatino Linotype" w:eastAsia="MS Gothic" w:hAnsi="Palatino Linotype" w:cs="Times New Roman"/>
          <w:b/>
          <w:bCs/>
          <w:szCs w:val="26"/>
        </w:rPr>
        <w:t>IV. Condiciones especiales de la clasificación de la información como confidencial.</w:t>
      </w:r>
      <w:bookmarkEnd w:id="38"/>
    </w:p>
    <w:p w14:paraId="2E9994D6" w14:textId="77777777" w:rsidR="00E559CA" w:rsidRPr="00B73666" w:rsidRDefault="00E559CA"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7578A30B" w14:textId="2ECFD89B" w:rsidR="00E44778" w:rsidRPr="00B73666" w:rsidRDefault="00E559CA" w:rsidP="00142A2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s="Arial"/>
        </w:rPr>
        <w:t xml:space="preserve">Los </w:t>
      </w:r>
      <w:r w:rsidRPr="00B73666">
        <w:rPr>
          <w:rFonts w:ascii="Palatino Linotype" w:hAnsi="Palatino Linotype"/>
          <w:color w:val="000000" w:themeColor="text1"/>
        </w:rPr>
        <w:t>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10035EE1" w14:textId="77777777" w:rsidR="00E559CA" w:rsidRPr="00B73666" w:rsidRDefault="00E559CA" w:rsidP="00E559CA">
      <w:pPr>
        <w:spacing w:line="276" w:lineRule="auto"/>
        <w:ind w:left="567" w:right="616"/>
        <w:jc w:val="both"/>
        <w:rPr>
          <w:rFonts w:ascii="Palatino Linotype" w:eastAsia="Times New Roman" w:hAnsi="Palatino Linotype" w:cs="Times New Roman"/>
          <w:bCs/>
          <w:i/>
          <w:color w:val="000000" w:themeColor="text1"/>
          <w:sz w:val="22"/>
          <w:szCs w:val="22"/>
          <w:lang w:val="es-ES"/>
        </w:rPr>
      </w:pPr>
      <w:r w:rsidRPr="00B73666">
        <w:rPr>
          <w:rFonts w:ascii="Palatino Linotype" w:eastAsia="Times New Roman" w:hAnsi="Palatino Linotype" w:cs="Times New Roman"/>
          <w:b/>
          <w:bCs/>
          <w:i/>
          <w:color w:val="000000" w:themeColor="text1"/>
          <w:sz w:val="22"/>
          <w:szCs w:val="22"/>
          <w:lang w:val="es-ES"/>
        </w:rPr>
        <w:lastRenderedPageBreak/>
        <w:t>“I.</w:t>
      </w:r>
      <w:r w:rsidRPr="00B73666">
        <w:rPr>
          <w:rFonts w:ascii="Palatino Linotype" w:eastAsia="Times New Roman" w:hAnsi="Palatino Linotype" w:cs="Times New Roman"/>
          <w:i/>
          <w:color w:val="000000" w:themeColor="text1"/>
          <w:sz w:val="22"/>
          <w:szCs w:val="22"/>
          <w:lang w:val="es-ES"/>
        </w:rPr>
        <w:t xml:space="preserve"> La información se encuentre en registros públicos o fuentes de acceso público;</w:t>
      </w:r>
    </w:p>
    <w:p w14:paraId="6C5B9F73" w14:textId="77777777" w:rsidR="00E559CA" w:rsidRPr="00B73666" w:rsidRDefault="00E559CA" w:rsidP="00E559CA">
      <w:pPr>
        <w:spacing w:line="276" w:lineRule="auto"/>
        <w:ind w:left="567" w:right="616"/>
        <w:jc w:val="both"/>
        <w:rPr>
          <w:rFonts w:ascii="Palatino Linotype" w:eastAsia="Times New Roman" w:hAnsi="Palatino Linotype" w:cs="Times New Roman"/>
          <w:bCs/>
          <w:i/>
          <w:color w:val="000000" w:themeColor="text1"/>
          <w:sz w:val="22"/>
          <w:szCs w:val="22"/>
          <w:lang w:val="es-ES"/>
        </w:rPr>
      </w:pPr>
      <w:r w:rsidRPr="00B73666">
        <w:rPr>
          <w:rFonts w:ascii="Palatino Linotype" w:eastAsia="Times New Roman" w:hAnsi="Palatino Linotype" w:cs="Times New Roman"/>
          <w:b/>
          <w:bCs/>
          <w:i/>
          <w:color w:val="000000" w:themeColor="text1"/>
          <w:sz w:val="22"/>
          <w:szCs w:val="22"/>
          <w:lang w:val="es-ES"/>
        </w:rPr>
        <w:t>II.</w:t>
      </w:r>
      <w:r w:rsidRPr="00B73666">
        <w:rPr>
          <w:rFonts w:ascii="Palatino Linotype" w:eastAsia="Times New Roman" w:hAnsi="Palatino Linotype" w:cs="Times New Roman"/>
          <w:bCs/>
          <w:i/>
          <w:color w:val="000000" w:themeColor="text1"/>
          <w:sz w:val="22"/>
          <w:szCs w:val="22"/>
          <w:lang w:val="es-ES"/>
        </w:rPr>
        <w:t xml:space="preserve"> </w:t>
      </w:r>
      <w:r w:rsidRPr="00B73666">
        <w:rPr>
          <w:rFonts w:ascii="Palatino Linotype" w:eastAsia="Times New Roman" w:hAnsi="Palatino Linotype" w:cs="Times New Roman"/>
          <w:i/>
          <w:color w:val="000000" w:themeColor="text1"/>
          <w:sz w:val="22"/>
          <w:szCs w:val="22"/>
          <w:lang w:val="es-ES"/>
        </w:rPr>
        <w:t>Por Ley tenga el carácter de pública;</w:t>
      </w:r>
    </w:p>
    <w:p w14:paraId="1200E415" w14:textId="77777777" w:rsidR="00E559CA" w:rsidRPr="00B73666" w:rsidRDefault="00E559CA" w:rsidP="00E559CA">
      <w:pPr>
        <w:spacing w:line="276" w:lineRule="auto"/>
        <w:ind w:left="567" w:right="616"/>
        <w:jc w:val="both"/>
        <w:rPr>
          <w:rFonts w:ascii="Palatino Linotype" w:eastAsia="Times New Roman" w:hAnsi="Palatino Linotype" w:cs="Times New Roman"/>
          <w:i/>
          <w:color w:val="000000" w:themeColor="text1"/>
          <w:sz w:val="22"/>
          <w:szCs w:val="22"/>
          <w:lang w:val="es-ES"/>
        </w:rPr>
      </w:pPr>
      <w:r w:rsidRPr="00B73666">
        <w:rPr>
          <w:rFonts w:ascii="Palatino Linotype" w:eastAsia="Times New Roman" w:hAnsi="Palatino Linotype" w:cs="Times New Roman"/>
          <w:b/>
          <w:bCs/>
          <w:i/>
          <w:color w:val="000000" w:themeColor="text1"/>
          <w:sz w:val="22"/>
          <w:szCs w:val="22"/>
          <w:lang w:val="es-ES"/>
        </w:rPr>
        <w:t>III.</w:t>
      </w:r>
      <w:r w:rsidRPr="00B73666">
        <w:rPr>
          <w:rFonts w:ascii="Palatino Linotype" w:eastAsia="Times New Roman" w:hAnsi="Palatino Linotype" w:cs="Times New Roman"/>
          <w:bCs/>
          <w:i/>
          <w:color w:val="000000" w:themeColor="text1"/>
          <w:sz w:val="22"/>
          <w:szCs w:val="22"/>
          <w:lang w:val="es-ES"/>
        </w:rPr>
        <w:t xml:space="preserve"> </w:t>
      </w:r>
      <w:r w:rsidRPr="00B73666">
        <w:rPr>
          <w:rFonts w:ascii="Palatino Linotype" w:eastAsia="Times New Roman" w:hAnsi="Palatino Linotype" w:cs="Times New Roman"/>
          <w:i/>
          <w:color w:val="000000" w:themeColor="text1"/>
          <w:sz w:val="22"/>
          <w:szCs w:val="22"/>
          <w:lang w:val="es-ES"/>
        </w:rPr>
        <w:t xml:space="preserve">Exista una orden judicial; </w:t>
      </w:r>
    </w:p>
    <w:p w14:paraId="473AC349" w14:textId="77777777" w:rsidR="00E559CA" w:rsidRPr="00B73666" w:rsidRDefault="00E559CA" w:rsidP="00E559CA">
      <w:pPr>
        <w:spacing w:line="276" w:lineRule="auto"/>
        <w:ind w:left="567" w:right="616"/>
        <w:jc w:val="both"/>
        <w:rPr>
          <w:rFonts w:ascii="Palatino Linotype" w:eastAsia="Times New Roman" w:hAnsi="Palatino Linotype" w:cs="Times New Roman"/>
          <w:i/>
          <w:color w:val="000000" w:themeColor="text1"/>
          <w:sz w:val="22"/>
          <w:szCs w:val="22"/>
          <w:lang w:val="es-ES"/>
        </w:rPr>
      </w:pPr>
      <w:r w:rsidRPr="00B73666">
        <w:rPr>
          <w:rFonts w:ascii="Palatino Linotype" w:eastAsia="Times New Roman" w:hAnsi="Palatino Linotype" w:cs="Times New Roman"/>
          <w:b/>
          <w:bCs/>
          <w:i/>
          <w:color w:val="000000" w:themeColor="text1"/>
          <w:sz w:val="22"/>
          <w:szCs w:val="22"/>
          <w:lang w:val="es-ES"/>
        </w:rPr>
        <w:t>IV.</w:t>
      </w:r>
      <w:r w:rsidRPr="00B73666">
        <w:rPr>
          <w:rFonts w:ascii="Palatino Linotype" w:eastAsia="Times New Roman" w:hAnsi="Palatino Linotype" w:cs="Times New Roman"/>
          <w:bCs/>
          <w:i/>
          <w:color w:val="000000" w:themeColor="text1"/>
          <w:sz w:val="22"/>
          <w:szCs w:val="22"/>
          <w:lang w:val="es-ES"/>
        </w:rPr>
        <w:t xml:space="preserve"> </w:t>
      </w:r>
      <w:r w:rsidRPr="00B73666">
        <w:rPr>
          <w:rFonts w:ascii="Palatino Linotype" w:eastAsia="Times New Roman" w:hAnsi="Palatino Linotype" w:cs="Times New Roman"/>
          <w:i/>
          <w:color w:val="000000" w:themeColor="text1"/>
          <w:sz w:val="22"/>
          <w:szCs w:val="22"/>
          <w:lang w:val="es-ES"/>
        </w:rPr>
        <w:t xml:space="preserve">Por razones de seguridad pública, o para proteger los derechos de terceros, se requiera su publicación; o </w:t>
      </w:r>
    </w:p>
    <w:p w14:paraId="34629033" w14:textId="77777777" w:rsidR="00E559CA" w:rsidRPr="00B73666" w:rsidRDefault="00E559CA" w:rsidP="00E559CA">
      <w:pPr>
        <w:spacing w:line="276" w:lineRule="auto"/>
        <w:ind w:left="567" w:right="616"/>
        <w:jc w:val="both"/>
        <w:rPr>
          <w:rFonts w:ascii="Palatino Linotype" w:eastAsia="Times New Roman" w:hAnsi="Palatino Linotype" w:cs="Times New Roman"/>
          <w:i/>
          <w:color w:val="000000" w:themeColor="text1"/>
          <w:sz w:val="22"/>
          <w:szCs w:val="22"/>
          <w:lang w:val="es-ES"/>
        </w:rPr>
      </w:pPr>
      <w:r w:rsidRPr="00B73666">
        <w:rPr>
          <w:rFonts w:ascii="Palatino Linotype" w:eastAsia="Times New Roman" w:hAnsi="Palatino Linotype" w:cs="Times New Roman"/>
          <w:b/>
          <w:bCs/>
          <w:i/>
          <w:color w:val="000000" w:themeColor="text1"/>
          <w:sz w:val="22"/>
          <w:szCs w:val="22"/>
          <w:lang w:val="es-ES"/>
        </w:rPr>
        <w:t>V.</w:t>
      </w:r>
      <w:r w:rsidRPr="00B73666">
        <w:rPr>
          <w:rFonts w:ascii="Palatino Linotype" w:eastAsia="Times New Roman" w:hAnsi="Palatino Linotype" w:cs="Times New Roman"/>
          <w:bCs/>
          <w:i/>
          <w:color w:val="000000" w:themeColor="text1"/>
          <w:sz w:val="22"/>
          <w:szCs w:val="22"/>
          <w:lang w:val="es-ES"/>
        </w:rPr>
        <w:t xml:space="preserve"> </w:t>
      </w:r>
      <w:r w:rsidRPr="00B73666">
        <w:rPr>
          <w:rFonts w:ascii="Palatino Linotype" w:eastAsia="Times New Roman" w:hAnsi="Palatino Linotype" w:cs="Times New Roman"/>
          <w:i/>
          <w:color w:val="000000" w:themeColor="text1"/>
          <w:sz w:val="22"/>
          <w:szCs w:val="22"/>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401D602B" w14:textId="77777777" w:rsidR="00E559CA" w:rsidRPr="00B73666" w:rsidRDefault="00E559CA" w:rsidP="00E559CA">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14:paraId="2A5C3966" w14:textId="77777777" w:rsidR="00E559CA" w:rsidRPr="00B73666" w:rsidRDefault="00E559CA" w:rsidP="00E559CA">
      <w:pPr>
        <w:numPr>
          <w:ilvl w:val="0"/>
          <w:numId w:val="2"/>
        </w:numPr>
        <w:shd w:val="clear" w:color="auto" w:fill="FFFFFF"/>
        <w:tabs>
          <w:tab w:val="left" w:pos="426"/>
        </w:tabs>
        <w:spacing w:line="360" w:lineRule="auto"/>
        <w:ind w:left="0" w:firstLine="0"/>
        <w:jc w:val="both"/>
        <w:textAlignment w:val="baseline"/>
        <w:rPr>
          <w:rFonts w:ascii="Palatino Linotype" w:hAnsi="Palatino Linotype" w:cs="Times New Roman"/>
          <w:color w:val="000000" w:themeColor="text1"/>
          <w:lang w:eastAsia="es-ES_tradnl"/>
        </w:rPr>
      </w:pPr>
      <w:r w:rsidRPr="00B73666">
        <w:rPr>
          <w:rFonts w:ascii="Palatino Linotype" w:hAnsi="Palatino Linotype" w:cs="Arial"/>
        </w:rPr>
        <w:t xml:space="preserve">En </w:t>
      </w:r>
      <w:r w:rsidRPr="00B73666">
        <w:rPr>
          <w:rFonts w:ascii="Palatino Linotype" w:hAnsi="Palatino Linotype" w:cs="Times New Roman"/>
          <w:color w:val="000000" w:themeColor="text1"/>
          <w:lang w:eastAsia="es-ES_tradnl"/>
        </w:rPr>
        <w:t xml:space="preserve">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F12D2BA" w14:textId="77777777" w:rsidR="00E559CA" w:rsidRPr="00B73666" w:rsidRDefault="00E559CA" w:rsidP="00E559CA">
      <w:pPr>
        <w:shd w:val="clear" w:color="auto" w:fill="FFFFFF"/>
        <w:tabs>
          <w:tab w:val="left" w:pos="426"/>
        </w:tabs>
        <w:spacing w:line="360" w:lineRule="auto"/>
        <w:jc w:val="both"/>
        <w:textAlignment w:val="baseline"/>
        <w:rPr>
          <w:rFonts w:ascii="Palatino Linotype" w:hAnsi="Palatino Linotype" w:cs="Times New Roman"/>
          <w:color w:val="000000" w:themeColor="text1"/>
          <w:lang w:eastAsia="es-ES_tradnl"/>
        </w:rPr>
      </w:pPr>
    </w:p>
    <w:p w14:paraId="002AE6CA" w14:textId="77777777" w:rsidR="00E559CA" w:rsidRPr="00B73666" w:rsidRDefault="00E559CA" w:rsidP="00E559CA">
      <w:pPr>
        <w:numPr>
          <w:ilvl w:val="0"/>
          <w:numId w:val="2"/>
        </w:numPr>
        <w:shd w:val="clear" w:color="auto" w:fill="FFFFFF"/>
        <w:tabs>
          <w:tab w:val="left" w:pos="426"/>
        </w:tabs>
        <w:spacing w:line="360" w:lineRule="auto"/>
        <w:ind w:left="0" w:firstLine="0"/>
        <w:contextualSpacing/>
        <w:jc w:val="both"/>
        <w:textAlignment w:val="baseline"/>
        <w:rPr>
          <w:rFonts w:ascii="Palatino Linotype" w:hAnsi="Palatino Linotype"/>
          <w:color w:val="000000" w:themeColor="text1"/>
        </w:rPr>
      </w:pPr>
      <w:r w:rsidRPr="00B73666">
        <w:rPr>
          <w:rFonts w:ascii="Palatino Linotype" w:hAnsi="Palatino Linotype"/>
          <w:color w:val="000000" w:themeColor="text1"/>
        </w:rPr>
        <w:t>Pero</w:t>
      </w:r>
      <w:r w:rsidRPr="00B73666">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8E49639" w14:textId="77777777" w:rsidR="00E559CA" w:rsidRPr="00B73666" w:rsidRDefault="00E559CA" w:rsidP="00E559CA">
      <w:pPr>
        <w:shd w:val="clear" w:color="auto" w:fill="FFFFFF"/>
        <w:tabs>
          <w:tab w:val="left" w:pos="426"/>
        </w:tabs>
        <w:spacing w:line="360" w:lineRule="auto"/>
        <w:contextualSpacing/>
        <w:jc w:val="both"/>
        <w:textAlignment w:val="baseline"/>
        <w:rPr>
          <w:rFonts w:ascii="Palatino Linotype" w:hAnsi="Palatino Linotype"/>
          <w:color w:val="000000" w:themeColor="text1"/>
        </w:rPr>
      </w:pPr>
    </w:p>
    <w:p w14:paraId="3990C576" w14:textId="4463BD15" w:rsidR="00E44778" w:rsidRPr="00B73666" w:rsidRDefault="00E559CA" w:rsidP="00E559CA">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B73666">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w:t>
      </w:r>
      <w:r w:rsidRPr="00B73666">
        <w:rPr>
          <w:rFonts w:ascii="Palatino Linotype" w:hAnsi="Palatino Linotype"/>
          <w:color w:val="000000" w:themeColor="text1"/>
        </w:rPr>
        <w:lastRenderedPageBreak/>
        <w:t>de ser, aún más gráficos y propiciar el mejor entendimiento de esta materia, se anexa a la presente opinión particular, la siguiente tabla.</w:t>
      </w:r>
    </w:p>
    <w:p w14:paraId="43A585AF" w14:textId="31921C42" w:rsidR="00E44778" w:rsidRPr="00B73666" w:rsidRDefault="00E44778"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tbl>
      <w:tblPr>
        <w:tblStyle w:val="Tablaconcuadrcula2"/>
        <w:tblW w:w="8451" w:type="dxa"/>
        <w:jc w:val="center"/>
        <w:tblLook w:val="04A0" w:firstRow="1" w:lastRow="0" w:firstColumn="1" w:lastColumn="0" w:noHBand="0" w:noVBand="1"/>
      </w:tblPr>
      <w:tblGrid>
        <w:gridCol w:w="2155"/>
        <w:gridCol w:w="1759"/>
        <w:gridCol w:w="2269"/>
        <w:gridCol w:w="2268"/>
      </w:tblGrid>
      <w:tr w:rsidR="00E559CA" w:rsidRPr="00B73666" w14:paraId="76E10F46" w14:textId="77777777" w:rsidTr="00E559CA">
        <w:trPr>
          <w:jc w:val="center"/>
        </w:trPr>
        <w:tc>
          <w:tcPr>
            <w:tcW w:w="2155" w:type="dxa"/>
            <w:vMerge w:val="restart"/>
            <w:shd w:val="clear" w:color="auto" w:fill="D5DCE4" w:themeFill="text2" w:themeFillTint="33"/>
          </w:tcPr>
          <w:p w14:paraId="09EDA7A7" w14:textId="77777777" w:rsidR="00E559CA" w:rsidRPr="00B73666" w:rsidRDefault="00E559CA" w:rsidP="00E559CA">
            <w:pPr>
              <w:jc w:val="both"/>
              <w:rPr>
                <w:rFonts w:ascii="Palatino Linotype" w:hAnsi="Palatino Linotype"/>
                <w:b/>
                <w:color w:val="000000" w:themeColor="text1"/>
                <w:sz w:val="20"/>
                <w:szCs w:val="20"/>
              </w:rPr>
            </w:pPr>
            <w:r w:rsidRPr="00B73666">
              <w:rPr>
                <w:rFonts w:ascii="Palatino Linotype" w:hAnsi="Palatino Linotype"/>
                <w:b/>
                <w:color w:val="000000" w:themeColor="text1"/>
                <w:sz w:val="20"/>
                <w:szCs w:val="20"/>
              </w:rPr>
              <w:t>Requisitos previos</w:t>
            </w:r>
          </w:p>
        </w:tc>
        <w:tc>
          <w:tcPr>
            <w:tcW w:w="1759" w:type="dxa"/>
          </w:tcPr>
          <w:p w14:paraId="7D457088"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6BFAFA74" w14:textId="77777777" w:rsidR="00E559CA" w:rsidRPr="00B73666" w:rsidRDefault="00E559CA" w:rsidP="00E559CA">
            <w:pPr>
              <w:jc w:val="both"/>
              <w:rPr>
                <w:rFonts w:ascii="Palatino Linotype" w:hAnsi="Palatino Linotype"/>
                <w:color w:val="000000" w:themeColor="text1"/>
                <w:sz w:val="20"/>
                <w:szCs w:val="20"/>
              </w:rPr>
            </w:pPr>
          </w:p>
          <w:p w14:paraId="16672775" w14:textId="77777777" w:rsidR="00E559CA" w:rsidRPr="00B73666" w:rsidRDefault="00E559CA" w:rsidP="00E559CA">
            <w:pPr>
              <w:jc w:val="both"/>
              <w:rPr>
                <w:rFonts w:ascii="Palatino Linotype" w:hAnsi="Palatino Linotype"/>
                <w:color w:val="000000" w:themeColor="text1"/>
                <w:sz w:val="20"/>
                <w:szCs w:val="20"/>
              </w:rPr>
            </w:pPr>
          </w:p>
          <w:p w14:paraId="0E617BF7" w14:textId="77777777" w:rsidR="00E559CA" w:rsidRPr="00B73666" w:rsidRDefault="00E559CA" w:rsidP="00E559CA">
            <w:pPr>
              <w:numPr>
                <w:ilvl w:val="0"/>
                <w:numId w:val="30"/>
              </w:numPr>
              <w:contextualSpacing/>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Confidencialidad </w:t>
            </w:r>
          </w:p>
          <w:p w14:paraId="4CDD58A5" w14:textId="77777777" w:rsidR="00E559CA" w:rsidRPr="00B73666" w:rsidRDefault="00E559CA" w:rsidP="00E559CA">
            <w:pPr>
              <w:numPr>
                <w:ilvl w:val="0"/>
                <w:numId w:val="30"/>
              </w:numPr>
              <w:contextualSpacing/>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Reserva</w:t>
            </w:r>
          </w:p>
        </w:tc>
        <w:tc>
          <w:tcPr>
            <w:tcW w:w="2268" w:type="dxa"/>
          </w:tcPr>
          <w:p w14:paraId="629E8855"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035AF7E1" w14:textId="77777777" w:rsidTr="00E559CA">
        <w:trPr>
          <w:jc w:val="center"/>
        </w:trPr>
        <w:tc>
          <w:tcPr>
            <w:tcW w:w="2155" w:type="dxa"/>
            <w:vMerge/>
            <w:shd w:val="clear" w:color="auto" w:fill="D5DCE4" w:themeFill="text2" w:themeFillTint="33"/>
          </w:tcPr>
          <w:p w14:paraId="3313EDF0" w14:textId="77777777" w:rsidR="00E559CA" w:rsidRPr="00B73666" w:rsidRDefault="00E559CA" w:rsidP="00E559CA">
            <w:pPr>
              <w:jc w:val="both"/>
              <w:rPr>
                <w:rFonts w:ascii="Palatino Linotype" w:hAnsi="Palatino Linotype"/>
                <w:b/>
                <w:color w:val="000000" w:themeColor="text1"/>
                <w:sz w:val="20"/>
                <w:szCs w:val="20"/>
              </w:rPr>
            </w:pPr>
          </w:p>
        </w:tc>
        <w:tc>
          <w:tcPr>
            <w:tcW w:w="1759" w:type="dxa"/>
          </w:tcPr>
          <w:p w14:paraId="1E9BCD42"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5A1E11E0" w14:textId="77777777" w:rsidR="00E559CA" w:rsidRPr="00B73666" w:rsidRDefault="00E559CA" w:rsidP="00E559CA">
            <w:pPr>
              <w:jc w:val="both"/>
              <w:rPr>
                <w:rFonts w:ascii="Palatino Linotype" w:hAnsi="Palatino Linotype"/>
                <w:color w:val="000000" w:themeColor="text1"/>
                <w:sz w:val="20"/>
                <w:szCs w:val="20"/>
              </w:rPr>
            </w:pPr>
          </w:p>
        </w:tc>
        <w:tc>
          <w:tcPr>
            <w:tcW w:w="2268" w:type="dxa"/>
          </w:tcPr>
          <w:p w14:paraId="4EA0A15B"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1529BA8E" w14:textId="77777777" w:rsidTr="00E559CA">
        <w:trPr>
          <w:jc w:val="center"/>
        </w:trPr>
        <w:tc>
          <w:tcPr>
            <w:tcW w:w="2155" w:type="dxa"/>
            <w:vMerge/>
            <w:shd w:val="clear" w:color="auto" w:fill="D5DCE4" w:themeFill="text2" w:themeFillTint="33"/>
          </w:tcPr>
          <w:p w14:paraId="53E421B8" w14:textId="77777777" w:rsidR="00E559CA" w:rsidRPr="00B73666" w:rsidRDefault="00E559CA" w:rsidP="00E559CA">
            <w:pPr>
              <w:jc w:val="both"/>
              <w:rPr>
                <w:rFonts w:ascii="Palatino Linotype" w:hAnsi="Palatino Linotype"/>
                <w:b/>
                <w:color w:val="000000" w:themeColor="text1"/>
                <w:sz w:val="20"/>
                <w:szCs w:val="20"/>
              </w:rPr>
            </w:pPr>
          </w:p>
        </w:tc>
        <w:tc>
          <w:tcPr>
            <w:tcW w:w="1759" w:type="dxa"/>
          </w:tcPr>
          <w:p w14:paraId="71EE6569"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La clasificación de la información se realiza al momento de:</w:t>
            </w:r>
          </w:p>
        </w:tc>
        <w:tc>
          <w:tcPr>
            <w:tcW w:w="2269" w:type="dxa"/>
          </w:tcPr>
          <w:p w14:paraId="61B5579E" w14:textId="77777777" w:rsidR="00E559CA" w:rsidRPr="00B73666" w:rsidRDefault="00E559CA" w:rsidP="00E559CA">
            <w:pPr>
              <w:numPr>
                <w:ilvl w:val="0"/>
                <w:numId w:val="29"/>
              </w:numPr>
              <w:contextualSpacing/>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Atender una solicitud</w:t>
            </w:r>
          </w:p>
          <w:p w14:paraId="04EF2696" w14:textId="77777777" w:rsidR="00E559CA" w:rsidRPr="00B73666" w:rsidRDefault="00E559CA" w:rsidP="00E559CA">
            <w:pPr>
              <w:numPr>
                <w:ilvl w:val="0"/>
                <w:numId w:val="29"/>
              </w:numPr>
              <w:contextualSpacing/>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Por mandato de una autoridad competente</w:t>
            </w:r>
          </w:p>
          <w:p w14:paraId="65A80854" w14:textId="77777777" w:rsidR="00E559CA" w:rsidRPr="00B73666" w:rsidRDefault="00E559CA" w:rsidP="00E559CA">
            <w:pPr>
              <w:numPr>
                <w:ilvl w:val="0"/>
                <w:numId w:val="29"/>
              </w:numPr>
              <w:contextualSpacing/>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Para elaborar una versión pública y cumplir una obligación de transparencia</w:t>
            </w:r>
          </w:p>
        </w:tc>
        <w:tc>
          <w:tcPr>
            <w:tcW w:w="2268" w:type="dxa"/>
          </w:tcPr>
          <w:p w14:paraId="7A54756C"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06625796" w14:textId="77777777" w:rsidTr="00E559CA">
        <w:trPr>
          <w:jc w:val="center"/>
        </w:trPr>
        <w:tc>
          <w:tcPr>
            <w:tcW w:w="2155" w:type="dxa"/>
            <w:vMerge/>
            <w:shd w:val="clear" w:color="auto" w:fill="D5DCE4" w:themeFill="text2" w:themeFillTint="33"/>
          </w:tcPr>
          <w:p w14:paraId="7CE6990C" w14:textId="77777777" w:rsidR="00E559CA" w:rsidRPr="00B73666" w:rsidRDefault="00E559CA" w:rsidP="00E559CA">
            <w:pPr>
              <w:jc w:val="both"/>
              <w:rPr>
                <w:rFonts w:ascii="Palatino Linotype" w:hAnsi="Palatino Linotype"/>
                <w:b/>
                <w:color w:val="000000" w:themeColor="text1"/>
                <w:sz w:val="20"/>
                <w:szCs w:val="20"/>
              </w:rPr>
            </w:pPr>
          </w:p>
        </w:tc>
        <w:tc>
          <w:tcPr>
            <w:tcW w:w="1759" w:type="dxa"/>
          </w:tcPr>
          <w:p w14:paraId="358A5BCB"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No se pueden emitir acuerdos de carácter general ni particular</w:t>
            </w:r>
          </w:p>
        </w:tc>
        <w:tc>
          <w:tcPr>
            <w:tcW w:w="2269" w:type="dxa"/>
          </w:tcPr>
          <w:p w14:paraId="17F04D18"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El Sujeto Obligado debe emitir un acuerdo describiendo y analizando cada documento de un expediente y todos los datos incluidos en un documento </w:t>
            </w:r>
          </w:p>
        </w:tc>
        <w:tc>
          <w:tcPr>
            <w:tcW w:w="2268" w:type="dxa"/>
          </w:tcPr>
          <w:p w14:paraId="78CA5D18"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19D105E3" w14:textId="77777777" w:rsidTr="00E559CA">
        <w:trPr>
          <w:jc w:val="center"/>
        </w:trPr>
        <w:tc>
          <w:tcPr>
            <w:tcW w:w="2155" w:type="dxa"/>
            <w:vMerge w:val="restart"/>
            <w:shd w:val="clear" w:color="auto" w:fill="D5DCE4" w:themeFill="text2" w:themeFillTint="33"/>
          </w:tcPr>
          <w:p w14:paraId="05C6BE55" w14:textId="77777777" w:rsidR="00E559CA" w:rsidRPr="00B73666" w:rsidRDefault="00E559CA" w:rsidP="00E559CA">
            <w:pPr>
              <w:jc w:val="both"/>
              <w:rPr>
                <w:rFonts w:ascii="Palatino Linotype" w:hAnsi="Palatino Linotype"/>
                <w:b/>
                <w:color w:val="000000" w:themeColor="text1"/>
                <w:sz w:val="20"/>
                <w:szCs w:val="20"/>
              </w:rPr>
            </w:pPr>
            <w:r w:rsidRPr="00B73666">
              <w:rPr>
                <w:rFonts w:ascii="Palatino Linotype" w:hAnsi="Palatino Linotype"/>
                <w:b/>
                <w:color w:val="000000" w:themeColor="text1"/>
                <w:sz w:val="20"/>
                <w:szCs w:val="20"/>
              </w:rPr>
              <w:t>Supuestos de clasificación</w:t>
            </w:r>
          </w:p>
        </w:tc>
        <w:tc>
          <w:tcPr>
            <w:tcW w:w="1759" w:type="dxa"/>
          </w:tcPr>
          <w:p w14:paraId="34807622"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Para clasificar la información como reservada hay:</w:t>
            </w:r>
          </w:p>
        </w:tc>
        <w:tc>
          <w:tcPr>
            <w:tcW w:w="2269" w:type="dxa"/>
          </w:tcPr>
          <w:p w14:paraId="3F40B31E" w14:textId="77777777" w:rsidR="00E559CA" w:rsidRPr="00B73666" w:rsidRDefault="00E559CA" w:rsidP="00E559CA">
            <w:pPr>
              <w:numPr>
                <w:ilvl w:val="0"/>
                <w:numId w:val="31"/>
              </w:numPr>
              <w:contextualSpacing/>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11 supuestos en la Ley Estatal</w:t>
            </w:r>
          </w:p>
          <w:p w14:paraId="30246BA7" w14:textId="77777777" w:rsidR="00E559CA" w:rsidRPr="00B73666" w:rsidRDefault="00E559CA" w:rsidP="00E559CA">
            <w:pPr>
              <w:numPr>
                <w:ilvl w:val="0"/>
                <w:numId w:val="31"/>
              </w:numPr>
              <w:contextualSpacing/>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13 supuestos en la Ley General</w:t>
            </w:r>
          </w:p>
        </w:tc>
        <w:tc>
          <w:tcPr>
            <w:tcW w:w="2268" w:type="dxa"/>
          </w:tcPr>
          <w:p w14:paraId="0042B2C6"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El Sujeto Obligado debe identificar claramente la información que se pretende clasificar y </w:t>
            </w:r>
            <w:r w:rsidRPr="00B73666">
              <w:rPr>
                <w:rFonts w:ascii="Palatino Linotype" w:hAnsi="Palatino Linotype"/>
                <w:color w:val="000000" w:themeColor="text1"/>
                <w:sz w:val="20"/>
                <w:szCs w:val="20"/>
              </w:rPr>
              <w:lastRenderedPageBreak/>
              <w:t>realizar un juicio de subsunción o encaje</w:t>
            </w:r>
          </w:p>
        </w:tc>
      </w:tr>
      <w:tr w:rsidR="00E559CA" w:rsidRPr="00B73666" w14:paraId="249004D5" w14:textId="77777777" w:rsidTr="00E559CA">
        <w:trPr>
          <w:jc w:val="center"/>
        </w:trPr>
        <w:tc>
          <w:tcPr>
            <w:tcW w:w="2155" w:type="dxa"/>
            <w:vMerge/>
            <w:shd w:val="clear" w:color="auto" w:fill="D5DCE4" w:themeFill="text2" w:themeFillTint="33"/>
          </w:tcPr>
          <w:p w14:paraId="02DB9289" w14:textId="77777777" w:rsidR="00E559CA" w:rsidRPr="00B73666" w:rsidRDefault="00E559CA" w:rsidP="00E559CA">
            <w:pPr>
              <w:jc w:val="both"/>
              <w:rPr>
                <w:rFonts w:ascii="Palatino Linotype" w:hAnsi="Palatino Linotype"/>
                <w:b/>
                <w:color w:val="000000" w:themeColor="text1"/>
                <w:sz w:val="20"/>
                <w:szCs w:val="20"/>
              </w:rPr>
            </w:pPr>
          </w:p>
        </w:tc>
        <w:tc>
          <w:tcPr>
            <w:tcW w:w="1759" w:type="dxa"/>
          </w:tcPr>
          <w:p w14:paraId="3C915509"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Para clasificar la información como confidencial hay:</w:t>
            </w:r>
          </w:p>
        </w:tc>
        <w:tc>
          <w:tcPr>
            <w:tcW w:w="2269" w:type="dxa"/>
          </w:tcPr>
          <w:p w14:paraId="2E78204F"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que considerar la definición de dato personal</w:t>
            </w:r>
          </w:p>
        </w:tc>
        <w:tc>
          <w:tcPr>
            <w:tcW w:w="2268" w:type="dxa"/>
          </w:tcPr>
          <w:p w14:paraId="517C31D1"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52DD4665" w14:textId="77777777" w:rsidTr="00E559CA">
        <w:trPr>
          <w:jc w:val="center"/>
        </w:trPr>
        <w:tc>
          <w:tcPr>
            <w:tcW w:w="2155" w:type="dxa"/>
            <w:vMerge/>
            <w:shd w:val="clear" w:color="auto" w:fill="D5DCE4" w:themeFill="text2" w:themeFillTint="33"/>
          </w:tcPr>
          <w:p w14:paraId="4416140E" w14:textId="77777777" w:rsidR="00E559CA" w:rsidRPr="00B73666" w:rsidRDefault="00E559CA" w:rsidP="00E559CA">
            <w:pPr>
              <w:jc w:val="both"/>
              <w:rPr>
                <w:rFonts w:ascii="Palatino Linotype" w:hAnsi="Palatino Linotype"/>
                <w:b/>
                <w:color w:val="000000" w:themeColor="text1"/>
                <w:sz w:val="20"/>
                <w:szCs w:val="20"/>
              </w:rPr>
            </w:pPr>
          </w:p>
        </w:tc>
        <w:tc>
          <w:tcPr>
            <w:tcW w:w="1759" w:type="dxa"/>
          </w:tcPr>
          <w:p w14:paraId="1E0C2B2A"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Estos supuestos se aplican de manera restrictiva y estricta, no pueden ampliarse</w:t>
            </w:r>
          </w:p>
        </w:tc>
        <w:tc>
          <w:tcPr>
            <w:tcW w:w="2269" w:type="dxa"/>
          </w:tcPr>
          <w:p w14:paraId="53E0A813" w14:textId="77777777" w:rsidR="00E559CA" w:rsidRPr="00B73666" w:rsidRDefault="00E559CA" w:rsidP="00E559CA">
            <w:pPr>
              <w:jc w:val="both"/>
              <w:rPr>
                <w:rFonts w:ascii="Palatino Linotype" w:hAnsi="Palatino Linotype"/>
                <w:color w:val="000000" w:themeColor="text1"/>
                <w:sz w:val="20"/>
                <w:szCs w:val="20"/>
              </w:rPr>
            </w:pPr>
          </w:p>
        </w:tc>
        <w:tc>
          <w:tcPr>
            <w:tcW w:w="2268" w:type="dxa"/>
          </w:tcPr>
          <w:p w14:paraId="6C9CB51F"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031E3097" w14:textId="77777777" w:rsidTr="00E559CA">
        <w:trPr>
          <w:jc w:val="center"/>
        </w:trPr>
        <w:tc>
          <w:tcPr>
            <w:tcW w:w="2155" w:type="dxa"/>
            <w:vMerge w:val="restart"/>
            <w:shd w:val="clear" w:color="auto" w:fill="D5DCE4" w:themeFill="text2" w:themeFillTint="33"/>
          </w:tcPr>
          <w:p w14:paraId="0DE26C55" w14:textId="77777777" w:rsidR="00E559CA" w:rsidRPr="00B73666" w:rsidRDefault="00E559CA" w:rsidP="00E559CA">
            <w:pPr>
              <w:jc w:val="both"/>
              <w:rPr>
                <w:rFonts w:ascii="Palatino Linotype" w:hAnsi="Palatino Linotype"/>
                <w:b/>
                <w:color w:val="000000" w:themeColor="text1"/>
                <w:sz w:val="20"/>
                <w:szCs w:val="20"/>
              </w:rPr>
            </w:pPr>
            <w:r w:rsidRPr="00B73666">
              <w:rPr>
                <w:rFonts w:ascii="Palatino Linotype" w:hAnsi="Palatino Linotype"/>
                <w:b/>
                <w:color w:val="000000" w:themeColor="text1"/>
                <w:sz w:val="20"/>
                <w:szCs w:val="20"/>
              </w:rPr>
              <w:t>Excepciones a la clasificación de reserva</w:t>
            </w:r>
          </w:p>
        </w:tc>
        <w:tc>
          <w:tcPr>
            <w:tcW w:w="1759" w:type="dxa"/>
            <w:vMerge w:val="restart"/>
          </w:tcPr>
          <w:p w14:paraId="4262B1F9"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No puede clasificarse como información reservada la concerniente a:</w:t>
            </w:r>
          </w:p>
        </w:tc>
        <w:tc>
          <w:tcPr>
            <w:tcW w:w="2269" w:type="dxa"/>
          </w:tcPr>
          <w:p w14:paraId="5F528708"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Actos (probados o en investigación) graves de violaciones a derechos humanos</w:t>
            </w:r>
          </w:p>
        </w:tc>
        <w:tc>
          <w:tcPr>
            <w:tcW w:w="2268" w:type="dxa"/>
          </w:tcPr>
          <w:p w14:paraId="7C13151F"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4872184B" w14:textId="77777777" w:rsidTr="00E559CA">
        <w:trPr>
          <w:jc w:val="center"/>
        </w:trPr>
        <w:tc>
          <w:tcPr>
            <w:tcW w:w="2155" w:type="dxa"/>
            <w:vMerge/>
            <w:shd w:val="clear" w:color="auto" w:fill="D5DCE4" w:themeFill="text2" w:themeFillTint="33"/>
          </w:tcPr>
          <w:p w14:paraId="383ABABE" w14:textId="77777777" w:rsidR="00E559CA" w:rsidRPr="00B73666" w:rsidRDefault="00E559CA" w:rsidP="00E559CA">
            <w:pPr>
              <w:jc w:val="both"/>
              <w:rPr>
                <w:rFonts w:ascii="Palatino Linotype" w:hAnsi="Palatino Linotype"/>
                <w:b/>
                <w:color w:val="000000" w:themeColor="text1"/>
                <w:sz w:val="20"/>
                <w:szCs w:val="20"/>
              </w:rPr>
            </w:pPr>
          </w:p>
        </w:tc>
        <w:tc>
          <w:tcPr>
            <w:tcW w:w="1759" w:type="dxa"/>
            <w:vMerge/>
          </w:tcPr>
          <w:p w14:paraId="401AD31B" w14:textId="77777777" w:rsidR="00E559CA" w:rsidRPr="00B73666" w:rsidRDefault="00E559CA" w:rsidP="00E559CA">
            <w:pPr>
              <w:jc w:val="both"/>
              <w:rPr>
                <w:rFonts w:ascii="Palatino Linotype" w:hAnsi="Palatino Linotype"/>
                <w:color w:val="000000" w:themeColor="text1"/>
                <w:sz w:val="20"/>
                <w:szCs w:val="20"/>
              </w:rPr>
            </w:pPr>
          </w:p>
        </w:tc>
        <w:tc>
          <w:tcPr>
            <w:tcW w:w="2269" w:type="dxa"/>
          </w:tcPr>
          <w:p w14:paraId="6021999C"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Delitos de </w:t>
            </w:r>
            <w:proofErr w:type="spellStart"/>
            <w:r w:rsidRPr="00B73666">
              <w:rPr>
                <w:rFonts w:ascii="Palatino Linotype" w:hAnsi="Palatino Linotype"/>
                <w:color w:val="000000" w:themeColor="text1"/>
                <w:sz w:val="20"/>
                <w:szCs w:val="20"/>
              </w:rPr>
              <w:t>lessa</w:t>
            </w:r>
            <w:proofErr w:type="spellEnd"/>
            <w:r w:rsidRPr="00B73666">
              <w:rPr>
                <w:rFonts w:ascii="Palatino Linotype" w:hAnsi="Palatino Linotype"/>
                <w:color w:val="000000" w:themeColor="text1"/>
                <w:sz w:val="20"/>
                <w:szCs w:val="20"/>
              </w:rPr>
              <w:t xml:space="preserve"> humanidad</w:t>
            </w:r>
          </w:p>
        </w:tc>
        <w:tc>
          <w:tcPr>
            <w:tcW w:w="2268" w:type="dxa"/>
          </w:tcPr>
          <w:p w14:paraId="040ED79B"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39AFCCB8" w14:textId="77777777" w:rsidTr="00E559CA">
        <w:trPr>
          <w:jc w:val="center"/>
        </w:trPr>
        <w:tc>
          <w:tcPr>
            <w:tcW w:w="2155" w:type="dxa"/>
            <w:vMerge/>
            <w:shd w:val="clear" w:color="auto" w:fill="D5DCE4" w:themeFill="text2" w:themeFillTint="33"/>
          </w:tcPr>
          <w:p w14:paraId="5C1ADDEB" w14:textId="77777777" w:rsidR="00E559CA" w:rsidRPr="00B73666" w:rsidRDefault="00E559CA" w:rsidP="00E559CA">
            <w:pPr>
              <w:jc w:val="both"/>
              <w:rPr>
                <w:rFonts w:ascii="Palatino Linotype" w:hAnsi="Palatino Linotype"/>
                <w:b/>
                <w:color w:val="000000" w:themeColor="text1"/>
                <w:sz w:val="20"/>
                <w:szCs w:val="20"/>
              </w:rPr>
            </w:pPr>
          </w:p>
        </w:tc>
        <w:tc>
          <w:tcPr>
            <w:tcW w:w="1759" w:type="dxa"/>
            <w:vMerge/>
          </w:tcPr>
          <w:p w14:paraId="0DC07710" w14:textId="77777777" w:rsidR="00E559CA" w:rsidRPr="00B73666" w:rsidRDefault="00E559CA" w:rsidP="00E559CA">
            <w:pPr>
              <w:jc w:val="both"/>
              <w:rPr>
                <w:rFonts w:ascii="Palatino Linotype" w:hAnsi="Palatino Linotype"/>
                <w:color w:val="000000" w:themeColor="text1"/>
                <w:sz w:val="20"/>
                <w:szCs w:val="20"/>
              </w:rPr>
            </w:pPr>
          </w:p>
        </w:tc>
        <w:tc>
          <w:tcPr>
            <w:tcW w:w="2269" w:type="dxa"/>
          </w:tcPr>
          <w:p w14:paraId="2BA44980"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Actos de Corrupción</w:t>
            </w:r>
          </w:p>
        </w:tc>
        <w:tc>
          <w:tcPr>
            <w:tcW w:w="2268" w:type="dxa"/>
          </w:tcPr>
          <w:p w14:paraId="58A47F2D"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Los comprendidos en el Título Sexto del Código Penal del Estado</w:t>
            </w:r>
          </w:p>
        </w:tc>
      </w:tr>
      <w:tr w:rsidR="00E559CA" w:rsidRPr="00B73666" w14:paraId="6A9CA88C" w14:textId="77777777" w:rsidTr="00E559CA">
        <w:trPr>
          <w:jc w:val="center"/>
        </w:trPr>
        <w:tc>
          <w:tcPr>
            <w:tcW w:w="2155" w:type="dxa"/>
            <w:vMerge w:val="restart"/>
            <w:shd w:val="clear" w:color="auto" w:fill="D5DCE4" w:themeFill="text2" w:themeFillTint="33"/>
          </w:tcPr>
          <w:p w14:paraId="284D93D9" w14:textId="77777777" w:rsidR="00E559CA" w:rsidRPr="00B73666" w:rsidRDefault="00E559CA" w:rsidP="00E559CA">
            <w:pPr>
              <w:rPr>
                <w:rFonts w:ascii="Palatino Linotype" w:hAnsi="Palatino Linotype"/>
                <w:b/>
                <w:sz w:val="20"/>
                <w:szCs w:val="20"/>
              </w:rPr>
            </w:pPr>
            <w:r w:rsidRPr="00B73666">
              <w:rPr>
                <w:rFonts w:ascii="Palatino Linotype" w:hAnsi="Palatino Linotype"/>
                <w:b/>
                <w:sz w:val="20"/>
                <w:szCs w:val="20"/>
              </w:rPr>
              <w:t>Participación del Comité de Transparencia</w:t>
            </w:r>
          </w:p>
        </w:tc>
        <w:tc>
          <w:tcPr>
            <w:tcW w:w="1759" w:type="dxa"/>
            <w:vMerge w:val="restart"/>
          </w:tcPr>
          <w:p w14:paraId="432DBFFA"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Formalidades</w:t>
            </w:r>
          </w:p>
        </w:tc>
        <w:tc>
          <w:tcPr>
            <w:tcW w:w="2269" w:type="dxa"/>
          </w:tcPr>
          <w:p w14:paraId="4D2AB2FC"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El Comité debe de estar debidamente integrado</w:t>
            </w:r>
          </w:p>
        </w:tc>
        <w:tc>
          <w:tcPr>
            <w:tcW w:w="2268" w:type="dxa"/>
          </w:tcPr>
          <w:p w14:paraId="7A214D3A"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1DD4FCF7" w14:textId="77777777" w:rsidTr="00E559CA">
        <w:trPr>
          <w:jc w:val="center"/>
        </w:trPr>
        <w:tc>
          <w:tcPr>
            <w:tcW w:w="2155" w:type="dxa"/>
            <w:vMerge/>
            <w:shd w:val="clear" w:color="auto" w:fill="D5DCE4" w:themeFill="text2" w:themeFillTint="33"/>
          </w:tcPr>
          <w:p w14:paraId="16FAF414" w14:textId="77777777" w:rsidR="00E559CA" w:rsidRPr="00B73666" w:rsidRDefault="00E559CA" w:rsidP="00E559CA">
            <w:pPr>
              <w:jc w:val="both"/>
              <w:rPr>
                <w:rFonts w:ascii="Palatino Linotype" w:hAnsi="Palatino Linotype"/>
                <w:b/>
                <w:color w:val="000000" w:themeColor="text1"/>
                <w:sz w:val="20"/>
                <w:szCs w:val="20"/>
              </w:rPr>
            </w:pPr>
          </w:p>
        </w:tc>
        <w:tc>
          <w:tcPr>
            <w:tcW w:w="1759" w:type="dxa"/>
            <w:vMerge/>
          </w:tcPr>
          <w:p w14:paraId="3472685A" w14:textId="77777777" w:rsidR="00E559CA" w:rsidRPr="00B73666" w:rsidRDefault="00E559CA" w:rsidP="00E559CA">
            <w:pPr>
              <w:jc w:val="both"/>
              <w:rPr>
                <w:rFonts w:ascii="Palatino Linotype" w:hAnsi="Palatino Linotype"/>
                <w:color w:val="000000" w:themeColor="text1"/>
                <w:sz w:val="20"/>
                <w:szCs w:val="20"/>
              </w:rPr>
            </w:pPr>
          </w:p>
        </w:tc>
        <w:tc>
          <w:tcPr>
            <w:tcW w:w="2269" w:type="dxa"/>
          </w:tcPr>
          <w:p w14:paraId="241A0A4E"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160A225D"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6A789467" w14:textId="77777777" w:rsidTr="00E559CA">
        <w:trPr>
          <w:jc w:val="center"/>
        </w:trPr>
        <w:tc>
          <w:tcPr>
            <w:tcW w:w="2155" w:type="dxa"/>
            <w:shd w:val="clear" w:color="auto" w:fill="D5DCE4" w:themeFill="text2" w:themeFillTint="33"/>
          </w:tcPr>
          <w:p w14:paraId="0EF94588" w14:textId="77777777" w:rsidR="00E559CA" w:rsidRPr="00B73666" w:rsidRDefault="00E559CA" w:rsidP="00E559CA">
            <w:pPr>
              <w:jc w:val="both"/>
              <w:rPr>
                <w:rFonts w:ascii="Palatino Linotype" w:hAnsi="Palatino Linotype"/>
                <w:b/>
                <w:color w:val="000000" w:themeColor="text1"/>
                <w:sz w:val="20"/>
                <w:szCs w:val="20"/>
              </w:rPr>
            </w:pPr>
            <w:r w:rsidRPr="00B73666">
              <w:rPr>
                <w:rFonts w:ascii="Palatino Linotype" w:hAnsi="Palatino Linotype"/>
                <w:b/>
                <w:color w:val="000000" w:themeColor="text1"/>
                <w:sz w:val="20"/>
                <w:szCs w:val="20"/>
              </w:rPr>
              <w:t>Fondo del Acuerdo de Clasificación</w:t>
            </w:r>
          </w:p>
        </w:tc>
        <w:tc>
          <w:tcPr>
            <w:tcW w:w="1759" w:type="dxa"/>
          </w:tcPr>
          <w:p w14:paraId="0BED35EC"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La carga de la prueba para justificar la restricción corresponde al sujeto obligado</w:t>
            </w:r>
          </w:p>
        </w:tc>
        <w:tc>
          <w:tcPr>
            <w:tcW w:w="2269" w:type="dxa"/>
          </w:tcPr>
          <w:p w14:paraId="263A4519"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Deber de fundar y motivar</w:t>
            </w:r>
          </w:p>
        </w:tc>
        <w:tc>
          <w:tcPr>
            <w:tcW w:w="2268" w:type="dxa"/>
          </w:tcPr>
          <w:p w14:paraId="2479A9EC"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66F500A2" w14:textId="77777777" w:rsidTr="00E559CA">
        <w:trPr>
          <w:trHeight w:val="486"/>
          <w:jc w:val="center"/>
        </w:trPr>
        <w:tc>
          <w:tcPr>
            <w:tcW w:w="2155" w:type="dxa"/>
            <w:vMerge w:val="restart"/>
            <w:shd w:val="clear" w:color="auto" w:fill="D5DCE4" w:themeFill="text2" w:themeFillTint="33"/>
          </w:tcPr>
          <w:p w14:paraId="2EE2332C" w14:textId="77777777" w:rsidR="00E559CA" w:rsidRPr="00B73666" w:rsidRDefault="00E559CA" w:rsidP="00E559CA">
            <w:pPr>
              <w:jc w:val="both"/>
              <w:rPr>
                <w:rFonts w:ascii="Palatino Linotype" w:hAnsi="Palatino Linotype"/>
                <w:b/>
                <w:color w:val="000000" w:themeColor="text1"/>
                <w:sz w:val="20"/>
                <w:szCs w:val="20"/>
              </w:rPr>
            </w:pPr>
            <w:r w:rsidRPr="00B73666">
              <w:rPr>
                <w:rFonts w:ascii="Palatino Linotype" w:hAnsi="Palatino Linotype"/>
                <w:b/>
                <w:color w:val="000000" w:themeColor="text1"/>
                <w:sz w:val="20"/>
                <w:szCs w:val="20"/>
              </w:rPr>
              <w:t>Condiciones especiales de la reserva</w:t>
            </w:r>
          </w:p>
        </w:tc>
        <w:tc>
          <w:tcPr>
            <w:tcW w:w="1759" w:type="dxa"/>
            <w:vMerge w:val="restart"/>
          </w:tcPr>
          <w:p w14:paraId="36D1ED36"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Motivar implica</w:t>
            </w:r>
          </w:p>
          <w:p w14:paraId="2E85FC5F"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Además se debe aplicar, caso por caso, una prueba de daño.</w:t>
            </w:r>
          </w:p>
        </w:tc>
        <w:tc>
          <w:tcPr>
            <w:tcW w:w="2269" w:type="dxa"/>
            <w:vMerge w:val="restart"/>
          </w:tcPr>
          <w:p w14:paraId="652F947D"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Señalar las razones, motivos o circunstancias.</w:t>
            </w:r>
          </w:p>
          <w:p w14:paraId="6D60604A"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lastRenderedPageBreak/>
              <w:t>Se deben señalar las razones objetivas y acreditar.</w:t>
            </w:r>
          </w:p>
          <w:p w14:paraId="255AF1C4" w14:textId="77777777" w:rsidR="00E559CA" w:rsidRPr="00B73666" w:rsidRDefault="00E559CA" w:rsidP="00E559CA">
            <w:pPr>
              <w:jc w:val="both"/>
              <w:rPr>
                <w:rFonts w:ascii="Palatino Linotype" w:hAnsi="Palatino Linotype"/>
                <w:color w:val="000000" w:themeColor="text1"/>
                <w:sz w:val="20"/>
                <w:szCs w:val="20"/>
              </w:rPr>
            </w:pPr>
          </w:p>
          <w:p w14:paraId="2CF9C1D9"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48E6CEA"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lastRenderedPageBreak/>
              <w:t xml:space="preserve">Que entregar la información provoca un riesgo real, demostrable e identificable al interés </w:t>
            </w:r>
            <w:r w:rsidRPr="00B73666">
              <w:rPr>
                <w:rFonts w:ascii="Palatino Linotype" w:hAnsi="Palatino Linotype"/>
                <w:color w:val="000000" w:themeColor="text1"/>
                <w:sz w:val="20"/>
                <w:szCs w:val="20"/>
              </w:rPr>
              <w:lastRenderedPageBreak/>
              <w:t>público o a la seguridad pública</w:t>
            </w:r>
          </w:p>
        </w:tc>
      </w:tr>
      <w:tr w:rsidR="00E559CA" w:rsidRPr="00B73666" w14:paraId="7B9CFDB0" w14:textId="77777777" w:rsidTr="00E559CA">
        <w:trPr>
          <w:trHeight w:val="486"/>
          <w:jc w:val="center"/>
        </w:trPr>
        <w:tc>
          <w:tcPr>
            <w:tcW w:w="2155" w:type="dxa"/>
            <w:vMerge/>
            <w:shd w:val="clear" w:color="auto" w:fill="D5DCE4" w:themeFill="text2" w:themeFillTint="33"/>
          </w:tcPr>
          <w:p w14:paraId="60262675" w14:textId="77777777" w:rsidR="00E559CA" w:rsidRPr="00B73666" w:rsidRDefault="00E559CA" w:rsidP="00E559CA">
            <w:pPr>
              <w:jc w:val="both"/>
              <w:rPr>
                <w:rFonts w:ascii="Palatino Linotype" w:hAnsi="Palatino Linotype"/>
                <w:b/>
                <w:color w:val="000000" w:themeColor="text1"/>
                <w:sz w:val="20"/>
                <w:szCs w:val="20"/>
              </w:rPr>
            </w:pPr>
          </w:p>
        </w:tc>
        <w:tc>
          <w:tcPr>
            <w:tcW w:w="1759" w:type="dxa"/>
            <w:vMerge/>
          </w:tcPr>
          <w:p w14:paraId="329E4E04" w14:textId="77777777" w:rsidR="00E559CA" w:rsidRPr="00B73666" w:rsidRDefault="00E559CA" w:rsidP="00E559CA">
            <w:pPr>
              <w:jc w:val="both"/>
              <w:rPr>
                <w:rFonts w:ascii="Palatino Linotype" w:hAnsi="Palatino Linotype"/>
                <w:color w:val="000000" w:themeColor="text1"/>
                <w:sz w:val="20"/>
                <w:szCs w:val="20"/>
              </w:rPr>
            </w:pPr>
          </w:p>
        </w:tc>
        <w:tc>
          <w:tcPr>
            <w:tcW w:w="2269" w:type="dxa"/>
            <w:vMerge/>
          </w:tcPr>
          <w:p w14:paraId="7E23BE6D" w14:textId="77777777" w:rsidR="00E559CA" w:rsidRPr="00B73666" w:rsidRDefault="00E559CA" w:rsidP="00E559CA">
            <w:pPr>
              <w:jc w:val="both"/>
              <w:rPr>
                <w:rFonts w:ascii="Palatino Linotype" w:hAnsi="Palatino Linotype"/>
                <w:color w:val="000000" w:themeColor="text1"/>
                <w:sz w:val="20"/>
                <w:szCs w:val="20"/>
              </w:rPr>
            </w:pPr>
          </w:p>
        </w:tc>
        <w:tc>
          <w:tcPr>
            <w:tcW w:w="2268" w:type="dxa"/>
            <w:vMerge/>
          </w:tcPr>
          <w:p w14:paraId="3C4D46AC"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2B03269E" w14:textId="77777777" w:rsidTr="00E559CA">
        <w:trPr>
          <w:jc w:val="center"/>
        </w:trPr>
        <w:tc>
          <w:tcPr>
            <w:tcW w:w="2155" w:type="dxa"/>
            <w:vMerge/>
            <w:shd w:val="clear" w:color="auto" w:fill="D5DCE4" w:themeFill="text2" w:themeFillTint="33"/>
          </w:tcPr>
          <w:p w14:paraId="50BD3489" w14:textId="77777777" w:rsidR="00E559CA" w:rsidRPr="00B73666" w:rsidRDefault="00E559CA" w:rsidP="00E559CA">
            <w:pPr>
              <w:jc w:val="both"/>
              <w:rPr>
                <w:rFonts w:ascii="Palatino Linotype" w:hAnsi="Palatino Linotype"/>
                <w:b/>
                <w:color w:val="000000" w:themeColor="text1"/>
                <w:sz w:val="20"/>
                <w:szCs w:val="20"/>
              </w:rPr>
            </w:pPr>
          </w:p>
        </w:tc>
        <w:tc>
          <w:tcPr>
            <w:tcW w:w="1759" w:type="dxa"/>
            <w:vMerge/>
          </w:tcPr>
          <w:p w14:paraId="05953F52" w14:textId="77777777" w:rsidR="00E559CA" w:rsidRPr="00B73666" w:rsidRDefault="00E559CA" w:rsidP="00E559CA">
            <w:pPr>
              <w:jc w:val="both"/>
              <w:rPr>
                <w:rFonts w:ascii="Palatino Linotype" w:hAnsi="Palatino Linotype"/>
                <w:color w:val="000000" w:themeColor="text1"/>
                <w:sz w:val="20"/>
                <w:szCs w:val="20"/>
              </w:rPr>
            </w:pPr>
          </w:p>
        </w:tc>
        <w:tc>
          <w:tcPr>
            <w:tcW w:w="2269" w:type="dxa"/>
            <w:vMerge/>
          </w:tcPr>
          <w:p w14:paraId="49AACE35" w14:textId="77777777" w:rsidR="00E559CA" w:rsidRPr="00B73666" w:rsidRDefault="00E559CA" w:rsidP="00E559CA">
            <w:pPr>
              <w:jc w:val="both"/>
              <w:rPr>
                <w:rFonts w:ascii="Palatino Linotype" w:hAnsi="Palatino Linotype"/>
                <w:color w:val="000000" w:themeColor="text1"/>
                <w:sz w:val="20"/>
                <w:szCs w:val="20"/>
              </w:rPr>
            </w:pPr>
          </w:p>
        </w:tc>
        <w:tc>
          <w:tcPr>
            <w:tcW w:w="2268" w:type="dxa"/>
          </w:tcPr>
          <w:p w14:paraId="38B5A18B"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El riesgo por divulgar es mayor que el interés público de que se difunda  </w:t>
            </w:r>
          </w:p>
        </w:tc>
      </w:tr>
      <w:tr w:rsidR="00E559CA" w:rsidRPr="00B73666" w14:paraId="7C67C483" w14:textId="77777777" w:rsidTr="00E559CA">
        <w:trPr>
          <w:trHeight w:val="1454"/>
          <w:jc w:val="center"/>
        </w:trPr>
        <w:tc>
          <w:tcPr>
            <w:tcW w:w="2155" w:type="dxa"/>
            <w:vMerge/>
            <w:shd w:val="clear" w:color="auto" w:fill="D5DCE4" w:themeFill="text2" w:themeFillTint="33"/>
          </w:tcPr>
          <w:p w14:paraId="32ED3C10" w14:textId="77777777" w:rsidR="00E559CA" w:rsidRPr="00B73666" w:rsidRDefault="00E559CA" w:rsidP="00E559CA">
            <w:pPr>
              <w:jc w:val="both"/>
              <w:rPr>
                <w:rFonts w:ascii="Palatino Linotype" w:hAnsi="Palatino Linotype"/>
                <w:b/>
                <w:color w:val="000000" w:themeColor="text1"/>
                <w:sz w:val="20"/>
                <w:szCs w:val="20"/>
              </w:rPr>
            </w:pPr>
          </w:p>
        </w:tc>
        <w:tc>
          <w:tcPr>
            <w:tcW w:w="1759" w:type="dxa"/>
            <w:vMerge/>
          </w:tcPr>
          <w:p w14:paraId="52260249" w14:textId="77777777" w:rsidR="00E559CA" w:rsidRPr="00B73666" w:rsidRDefault="00E559CA" w:rsidP="00E559CA">
            <w:pPr>
              <w:jc w:val="both"/>
              <w:rPr>
                <w:rFonts w:ascii="Palatino Linotype" w:hAnsi="Palatino Linotype"/>
                <w:color w:val="000000" w:themeColor="text1"/>
                <w:sz w:val="20"/>
                <w:szCs w:val="20"/>
              </w:rPr>
            </w:pPr>
          </w:p>
        </w:tc>
        <w:tc>
          <w:tcPr>
            <w:tcW w:w="2269" w:type="dxa"/>
            <w:vMerge/>
          </w:tcPr>
          <w:p w14:paraId="17328782" w14:textId="77777777" w:rsidR="00E559CA" w:rsidRPr="00B73666" w:rsidRDefault="00E559CA" w:rsidP="00E559CA">
            <w:pPr>
              <w:jc w:val="both"/>
              <w:rPr>
                <w:rFonts w:ascii="Palatino Linotype" w:hAnsi="Palatino Linotype"/>
                <w:color w:val="000000" w:themeColor="text1"/>
                <w:sz w:val="20"/>
                <w:szCs w:val="20"/>
              </w:rPr>
            </w:pPr>
          </w:p>
        </w:tc>
        <w:tc>
          <w:tcPr>
            <w:tcW w:w="2268" w:type="dxa"/>
          </w:tcPr>
          <w:p w14:paraId="088549AA"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El principio de proporcionalidad</w:t>
            </w:r>
          </w:p>
        </w:tc>
      </w:tr>
      <w:tr w:rsidR="00E559CA" w:rsidRPr="00B73666" w14:paraId="19186C22" w14:textId="77777777" w:rsidTr="00E559CA">
        <w:trPr>
          <w:jc w:val="center"/>
        </w:trPr>
        <w:tc>
          <w:tcPr>
            <w:tcW w:w="2155" w:type="dxa"/>
            <w:vMerge w:val="restart"/>
            <w:shd w:val="clear" w:color="auto" w:fill="D5DCE4" w:themeFill="text2" w:themeFillTint="33"/>
          </w:tcPr>
          <w:p w14:paraId="33EAD9EA" w14:textId="77777777" w:rsidR="00E559CA" w:rsidRPr="00B73666" w:rsidRDefault="00E559CA" w:rsidP="00E559CA">
            <w:pPr>
              <w:jc w:val="both"/>
              <w:rPr>
                <w:rFonts w:ascii="Palatino Linotype" w:hAnsi="Palatino Linotype"/>
                <w:b/>
                <w:color w:val="000000" w:themeColor="text1"/>
                <w:sz w:val="20"/>
                <w:szCs w:val="20"/>
              </w:rPr>
            </w:pPr>
            <w:r w:rsidRPr="00B73666">
              <w:rPr>
                <w:rFonts w:ascii="Palatino Linotype" w:hAnsi="Palatino Linotype"/>
                <w:b/>
                <w:color w:val="000000" w:themeColor="text1"/>
                <w:sz w:val="20"/>
                <w:szCs w:val="20"/>
              </w:rPr>
              <w:t>Condiciones especiales de la confidencialidad</w:t>
            </w:r>
          </w:p>
        </w:tc>
        <w:tc>
          <w:tcPr>
            <w:tcW w:w="1759" w:type="dxa"/>
          </w:tcPr>
          <w:p w14:paraId="53B6B774"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23A8C7FE"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1D0D0F80" w14:textId="77777777" w:rsidR="00E559CA" w:rsidRPr="00B73666" w:rsidRDefault="00E559CA" w:rsidP="00E559CA">
            <w:pPr>
              <w:jc w:val="both"/>
              <w:rPr>
                <w:rFonts w:ascii="Palatino Linotype" w:hAnsi="Palatino Linotype"/>
                <w:color w:val="000000" w:themeColor="text1"/>
                <w:sz w:val="20"/>
                <w:szCs w:val="20"/>
              </w:rPr>
            </w:pPr>
          </w:p>
        </w:tc>
      </w:tr>
      <w:tr w:rsidR="00E559CA" w:rsidRPr="00B73666" w14:paraId="16A4FA8B" w14:textId="77777777" w:rsidTr="00E559CA">
        <w:trPr>
          <w:trHeight w:val="3404"/>
          <w:jc w:val="center"/>
        </w:trPr>
        <w:tc>
          <w:tcPr>
            <w:tcW w:w="2155" w:type="dxa"/>
            <w:vMerge/>
            <w:shd w:val="clear" w:color="auto" w:fill="D5DCE4" w:themeFill="text2" w:themeFillTint="33"/>
          </w:tcPr>
          <w:p w14:paraId="58F90487" w14:textId="77777777" w:rsidR="00E559CA" w:rsidRPr="00B73666" w:rsidRDefault="00E559CA" w:rsidP="00E559CA">
            <w:pPr>
              <w:jc w:val="both"/>
              <w:rPr>
                <w:rFonts w:ascii="Palatino Linotype" w:hAnsi="Palatino Linotype"/>
                <w:b/>
                <w:color w:val="000000" w:themeColor="text1"/>
                <w:sz w:val="20"/>
                <w:szCs w:val="20"/>
              </w:rPr>
            </w:pPr>
          </w:p>
        </w:tc>
        <w:tc>
          <w:tcPr>
            <w:tcW w:w="1759" w:type="dxa"/>
          </w:tcPr>
          <w:p w14:paraId="642FA760" w14:textId="77777777" w:rsidR="00E559CA" w:rsidRPr="00B73666" w:rsidRDefault="00E559CA" w:rsidP="00E559CA">
            <w:pPr>
              <w:jc w:val="both"/>
              <w:rPr>
                <w:rFonts w:ascii="Palatino Linotype" w:hAnsi="Palatino Linotype"/>
                <w:color w:val="000000" w:themeColor="text1"/>
                <w:sz w:val="20"/>
                <w:szCs w:val="20"/>
              </w:rPr>
            </w:pPr>
            <w:r w:rsidRPr="00B73666">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13350324" w14:textId="77777777" w:rsidR="00E559CA" w:rsidRPr="00B73666" w:rsidRDefault="00E559CA" w:rsidP="00E559CA">
            <w:pPr>
              <w:jc w:val="both"/>
              <w:rPr>
                <w:rFonts w:ascii="Palatino Linotype" w:hAnsi="Palatino Linotype"/>
                <w:color w:val="000000" w:themeColor="text1"/>
                <w:sz w:val="20"/>
                <w:szCs w:val="20"/>
              </w:rPr>
            </w:pPr>
          </w:p>
        </w:tc>
        <w:tc>
          <w:tcPr>
            <w:tcW w:w="2268" w:type="dxa"/>
          </w:tcPr>
          <w:p w14:paraId="73C639D1" w14:textId="77777777" w:rsidR="00E559CA" w:rsidRPr="00B73666" w:rsidRDefault="00E559CA" w:rsidP="00E559CA">
            <w:pPr>
              <w:jc w:val="both"/>
              <w:rPr>
                <w:rFonts w:ascii="Palatino Linotype" w:hAnsi="Palatino Linotype"/>
                <w:color w:val="000000" w:themeColor="text1"/>
                <w:sz w:val="20"/>
                <w:szCs w:val="20"/>
              </w:rPr>
            </w:pPr>
          </w:p>
        </w:tc>
      </w:tr>
    </w:tbl>
    <w:p w14:paraId="7664F731" w14:textId="77777777" w:rsidR="00E559CA" w:rsidRPr="00B73666" w:rsidRDefault="00E559CA" w:rsidP="00E44778">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395789E9" w14:textId="77777777" w:rsidR="00E559CA" w:rsidRPr="00B73666" w:rsidRDefault="00E559CA" w:rsidP="00E559C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lang w:eastAsia="es-ES_tradnl"/>
        </w:rPr>
      </w:pPr>
      <w:r w:rsidRPr="00B73666">
        <w:rPr>
          <w:rFonts w:ascii="Palatino Linotype" w:hAnsi="Palatino Linotype" w:cs="Arial"/>
        </w:rPr>
        <w:t xml:space="preserve">Pero </w:t>
      </w:r>
      <w:r w:rsidRPr="00B73666">
        <w:rPr>
          <w:rFonts w:ascii="Palatino Linotype" w:hAnsi="Palatino Linotype" w:cs="Times New Roman"/>
          <w:color w:val="000000" w:themeColor="text1"/>
          <w:lang w:eastAsia="es-ES_tradnl"/>
        </w:rPr>
        <w:t>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E5287E8" w14:textId="77777777" w:rsidR="00E559CA" w:rsidRPr="00B73666" w:rsidRDefault="00E559CA" w:rsidP="00E559CA">
      <w:pPr>
        <w:shd w:val="clear" w:color="auto" w:fill="FFFFFF"/>
        <w:tabs>
          <w:tab w:val="left" w:pos="426"/>
        </w:tabs>
        <w:spacing w:beforeAutospacing="1" w:after="240" w:line="360" w:lineRule="auto"/>
        <w:jc w:val="both"/>
        <w:textAlignment w:val="baseline"/>
        <w:rPr>
          <w:rFonts w:ascii="Palatino Linotype" w:hAnsi="Palatino Linotype" w:cs="Times New Roman"/>
          <w:color w:val="000000" w:themeColor="text1"/>
          <w:lang w:eastAsia="es-ES_tradnl"/>
        </w:rPr>
      </w:pPr>
    </w:p>
    <w:p w14:paraId="5E9EDFF6" w14:textId="303C99AF" w:rsidR="00E44778" w:rsidRPr="00B73666" w:rsidRDefault="00E559CA" w:rsidP="00E559C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Cs w:val="26"/>
        </w:rPr>
      </w:pPr>
      <w:r w:rsidRPr="00B73666">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FE0A378" w14:textId="77777777" w:rsidR="00E559CA" w:rsidRPr="00B73666" w:rsidRDefault="00E559CA" w:rsidP="00E559CA">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14:paraId="2C2744B7" w14:textId="77A0A1F5" w:rsidR="00A55BA0" w:rsidRPr="00B73666" w:rsidRDefault="003D3963" w:rsidP="00763406">
      <w:pPr>
        <w:keepNext/>
        <w:keepLines/>
        <w:tabs>
          <w:tab w:val="left" w:pos="142"/>
          <w:tab w:val="left" w:pos="284"/>
        </w:tabs>
        <w:spacing w:before="40"/>
        <w:outlineLvl w:val="1"/>
        <w:rPr>
          <w:rFonts w:ascii="Palatino Linotype" w:eastAsia="MS Gothic" w:hAnsi="Palatino Linotype" w:cs="Times New Roman"/>
          <w:b/>
          <w:szCs w:val="26"/>
        </w:rPr>
      </w:pPr>
      <w:bookmarkStart w:id="39" w:name="_Toc48216100"/>
      <w:bookmarkEnd w:id="22"/>
      <w:r w:rsidRPr="00B73666">
        <w:rPr>
          <w:rFonts w:ascii="Palatino Linotype" w:eastAsia="MS Gothic" w:hAnsi="Palatino Linotype" w:cs="Times New Roman"/>
          <w:b/>
          <w:szCs w:val="26"/>
        </w:rPr>
        <w:t>SEXTO</w:t>
      </w:r>
      <w:r w:rsidR="00390C2D" w:rsidRPr="00B73666">
        <w:rPr>
          <w:rFonts w:ascii="Palatino Linotype" w:eastAsia="MS Gothic" w:hAnsi="Palatino Linotype" w:cs="Times New Roman"/>
          <w:b/>
          <w:szCs w:val="26"/>
        </w:rPr>
        <w:t xml:space="preserve">. </w:t>
      </w:r>
      <w:r w:rsidR="007F0566" w:rsidRPr="00B73666">
        <w:rPr>
          <w:rFonts w:ascii="Palatino Linotype" w:eastAsia="MS Gothic" w:hAnsi="Palatino Linotype" w:cs="Times New Roman"/>
          <w:b/>
          <w:szCs w:val="26"/>
        </w:rPr>
        <w:t>Vista al Órgano de Control Interno</w:t>
      </w:r>
      <w:r w:rsidR="00BE1A6D" w:rsidRPr="00B73666">
        <w:rPr>
          <w:rFonts w:ascii="Palatino Linotype" w:eastAsia="MS Gothic" w:hAnsi="Palatino Linotype" w:cs="Times New Roman"/>
          <w:b/>
          <w:szCs w:val="26"/>
        </w:rPr>
        <w:t>.</w:t>
      </w:r>
      <w:bookmarkEnd w:id="39"/>
    </w:p>
    <w:p w14:paraId="7983E928" w14:textId="77777777" w:rsidR="00BE1A6D" w:rsidRPr="00B73666" w:rsidRDefault="00BE1A6D" w:rsidP="00BE1A6D">
      <w:pPr>
        <w:pStyle w:val="Prrafodelista"/>
        <w:tabs>
          <w:tab w:val="left" w:pos="142"/>
          <w:tab w:val="left" w:pos="284"/>
        </w:tabs>
        <w:spacing w:before="240" w:after="240" w:line="360" w:lineRule="auto"/>
        <w:ind w:left="0"/>
        <w:jc w:val="both"/>
        <w:rPr>
          <w:rFonts w:ascii="Palatino Linotype" w:hAnsi="Palatino Linotype"/>
        </w:rPr>
      </w:pPr>
      <w:bookmarkStart w:id="40" w:name="_Toc447183492"/>
      <w:bookmarkStart w:id="41" w:name="_Toc450120667"/>
      <w:bookmarkStart w:id="42" w:name="_Toc461555895"/>
      <w:bookmarkEnd w:id="15"/>
      <w:bookmarkEnd w:id="16"/>
      <w:bookmarkEnd w:id="17"/>
      <w:bookmarkEnd w:id="18"/>
      <w:bookmarkEnd w:id="19"/>
      <w:bookmarkEnd w:id="20"/>
    </w:p>
    <w:p w14:paraId="5494AB13" w14:textId="77777777" w:rsidR="007F0566" w:rsidRPr="00B73666" w:rsidRDefault="007F0566" w:rsidP="007F056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hAnsi="Palatino Linotype"/>
        </w:rPr>
        <w:t xml:space="preserve">Es </w:t>
      </w:r>
      <w:r w:rsidR="00785A87" w:rsidRPr="00B73666">
        <w:rPr>
          <w:rFonts w:ascii="Palatino Linotype" w:eastAsia="MS Mincho" w:hAnsi="Palatino Linotype" w:cs="Times New Roman"/>
        </w:rPr>
        <w:t xml:space="preserve">necesario resaltar que el recurso de revisión previsto en la Ley de la materia no es el medio para investigar y en su caso, sancionar a servidores públicos </w:t>
      </w:r>
      <w:r w:rsidR="00785A87" w:rsidRPr="00B73666">
        <w:rPr>
          <w:rFonts w:ascii="Palatino Linotype" w:eastAsia="MS Mincho" w:hAnsi="Palatino Linotype" w:cs="Times New Roman"/>
          <w:b/>
          <w:u w:val="single"/>
        </w:rPr>
        <w:t>por la omisión de la entrega de información pública y en la omisión de atención a la solicitud de información;</w:t>
      </w:r>
      <w:r w:rsidR="00785A87" w:rsidRPr="00B73666">
        <w:rPr>
          <w:rFonts w:ascii="Palatino Linotype" w:eastAsia="MS Mincho" w:hAnsi="Palatino Linotype" w:cs="Times New Roman"/>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00785A87" w:rsidRPr="00B73666">
        <w:rPr>
          <w:rFonts w:ascii="Palatino Linotype" w:eastAsia="MS Mincho" w:hAnsi="Palatino Linotype" w:cs="Times New Roman"/>
          <w:b/>
        </w:rPr>
        <w:t>SUJETO OBLIGADO</w:t>
      </w:r>
      <w:r w:rsidR="00785A87" w:rsidRPr="00B73666">
        <w:rPr>
          <w:rFonts w:ascii="Palatino Linotype" w:eastAsia="MS Mincho" w:hAnsi="Palatino Linotype" w:cs="Times New Roman"/>
        </w:rPr>
        <w:t>.</w:t>
      </w:r>
    </w:p>
    <w:p w14:paraId="6673E85E" w14:textId="77777777" w:rsidR="007F0566" w:rsidRPr="00B73666" w:rsidRDefault="007F0566"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07A650A5" w14:textId="77777777" w:rsidR="007F0566" w:rsidRPr="00B73666" w:rsidRDefault="007F0566" w:rsidP="007F056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hAnsi="Palatino Linotype"/>
        </w:rPr>
        <w:t xml:space="preserve">Por </w:t>
      </w:r>
      <w:r w:rsidRPr="00B73666">
        <w:rPr>
          <w:rFonts w:ascii="Palatino Linotype" w:eastAsia="MS Mincho" w:hAnsi="Palatino Linotype" w:cs="Times New Roman"/>
        </w:rPr>
        <w:t>ello, es conveniente señalar la fracción X, del artículo 36, de la Ley de Transparencia y Acceso a la Información Pública del Estado de México y Municipios, que establece:</w:t>
      </w:r>
    </w:p>
    <w:p w14:paraId="12706C09" w14:textId="77777777" w:rsidR="007F0566" w:rsidRPr="00B73666" w:rsidRDefault="007F0566"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7DED618B" w14:textId="77777777" w:rsidR="007F0566" w:rsidRPr="00B73666" w:rsidRDefault="007F0566" w:rsidP="007F0566">
      <w:pPr>
        <w:pStyle w:val="Sinespaciado"/>
        <w:ind w:left="567" w:right="567"/>
        <w:jc w:val="both"/>
        <w:rPr>
          <w:rFonts w:ascii="Palatino Linotype" w:eastAsia="MS Mincho" w:hAnsi="Palatino Linotype"/>
          <w:i/>
          <w:sz w:val="22"/>
        </w:rPr>
      </w:pPr>
      <w:r w:rsidRPr="00B73666">
        <w:rPr>
          <w:rFonts w:ascii="Palatino Linotype" w:eastAsia="MS Mincho" w:hAnsi="Palatino Linotype"/>
          <w:i/>
          <w:sz w:val="22"/>
        </w:rPr>
        <w:lastRenderedPageBreak/>
        <w:t>“</w:t>
      </w:r>
      <w:r w:rsidRPr="00B73666">
        <w:rPr>
          <w:rFonts w:ascii="Palatino Linotype" w:eastAsia="MS Mincho" w:hAnsi="Palatino Linotype"/>
          <w:b/>
          <w:i/>
          <w:sz w:val="22"/>
        </w:rPr>
        <w:t>Artículo 36.</w:t>
      </w:r>
      <w:r w:rsidRPr="00B73666">
        <w:rPr>
          <w:rFonts w:ascii="Palatino Linotype" w:eastAsia="MS Mincho" w:hAnsi="Palatino Linotype"/>
          <w:i/>
          <w:sz w:val="22"/>
        </w:rPr>
        <w:t xml:space="preserve"> El Instituto tendrá, en el ámbito de su competencia, las siguientes atribuciones:</w:t>
      </w:r>
    </w:p>
    <w:p w14:paraId="16C40E41" w14:textId="77777777" w:rsidR="007F0566" w:rsidRPr="00B73666" w:rsidRDefault="007F0566" w:rsidP="007F0566">
      <w:pPr>
        <w:pStyle w:val="Sinespaciado"/>
        <w:ind w:left="567" w:right="567"/>
        <w:jc w:val="both"/>
        <w:rPr>
          <w:rFonts w:ascii="Palatino Linotype" w:eastAsia="MS Mincho" w:hAnsi="Palatino Linotype"/>
          <w:i/>
          <w:sz w:val="22"/>
        </w:rPr>
      </w:pPr>
      <w:r w:rsidRPr="00B73666">
        <w:rPr>
          <w:rFonts w:ascii="Palatino Linotype" w:eastAsia="MS Mincho" w:hAnsi="Palatino Linotype"/>
          <w:i/>
          <w:sz w:val="22"/>
        </w:rPr>
        <w:t>(…)</w:t>
      </w:r>
    </w:p>
    <w:p w14:paraId="7A6397B8" w14:textId="77777777" w:rsidR="007F0566" w:rsidRPr="00B73666" w:rsidRDefault="007F0566" w:rsidP="007F0566">
      <w:pPr>
        <w:pStyle w:val="Sinespaciado"/>
        <w:ind w:left="567" w:right="567"/>
        <w:jc w:val="both"/>
        <w:rPr>
          <w:rFonts w:ascii="Palatino Linotype" w:eastAsia="MS Mincho" w:hAnsi="Palatino Linotype"/>
          <w:i/>
          <w:sz w:val="22"/>
        </w:rPr>
      </w:pPr>
      <w:r w:rsidRPr="00B73666">
        <w:rPr>
          <w:rFonts w:ascii="Palatino Linotype" w:eastAsia="MS Mincho" w:hAnsi="Palatino Linotype"/>
          <w:b/>
          <w:i/>
          <w:sz w:val="22"/>
        </w:rPr>
        <w:t>X.</w:t>
      </w:r>
      <w:r w:rsidRPr="00B73666">
        <w:rPr>
          <w:rFonts w:ascii="Palatino Linotype" w:eastAsia="MS Mincho" w:hAnsi="Palatino Linotype"/>
          <w:i/>
          <w:sz w:val="22"/>
        </w:rPr>
        <w:t xml:space="preserve"> Hacer del conocimiento del órgano de control interno o equivalente de cada Sujeto Obligado las infracciones a esta Ley; </w:t>
      </w:r>
    </w:p>
    <w:p w14:paraId="59C07251" w14:textId="77777777" w:rsidR="007F0566" w:rsidRPr="00B73666" w:rsidRDefault="007F0566" w:rsidP="007F0566">
      <w:pPr>
        <w:pStyle w:val="Sinespaciado"/>
        <w:ind w:left="567" w:right="567"/>
        <w:jc w:val="both"/>
        <w:rPr>
          <w:rFonts w:ascii="Palatino Linotype" w:eastAsia="MS Mincho" w:hAnsi="Palatino Linotype"/>
          <w:i/>
          <w:sz w:val="22"/>
        </w:rPr>
      </w:pPr>
      <w:r w:rsidRPr="00B73666">
        <w:rPr>
          <w:rFonts w:ascii="Palatino Linotype" w:eastAsia="MS Mincho" w:hAnsi="Palatino Linotype"/>
          <w:i/>
          <w:sz w:val="22"/>
        </w:rPr>
        <w:t>(…)”</w:t>
      </w:r>
    </w:p>
    <w:p w14:paraId="46EE6CA9" w14:textId="77777777" w:rsidR="007F0566" w:rsidRPr="00B73666" w:rsidRDefault="007F0566"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43CB6410" w14:textId="77777777" w:rsidR="007F0566" w:rsidRPr="00B73666" w:rsidRDefault="007F0566" w:rsidP="007F056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hAnsi="Palatino Linotype"/>
        </w:rPr>
        <w:t xml:space="preserve">Asimismo, </w:t>
      </w:r>
      <w:r w:rsidRPr="00B73666">
        <w:rPr>
          <w:rFonts w:ascii="Palatino Linotype" w:eastAsia="MS Mincho" w:hAnsi="Palatino Linotype" w:cs="Times New Roman"/>
        </w:rPr>
        <w:t xml:space="preserve">este Pleno hará del conocimiento del Órgano de Control de este Instituto de las infracciones en que el </w:t>
      </w:r>
      <w:r w:rsidRPr="00B73666">
        <w:rPr>
          <w:rFonts w:ascii="Palatino Linotype" w:eastAsia="MS Mincho" w:hAnsi="Palatino Linotype" w:cs="Times New Roman"/>
          <w:b/>
        </w:rPr>
        <w:t>SUJETO OBLIGADO</w:t>
      </w:r>
      <w:r w:rsidRPr="00B73666">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CCA9D64" w14:textId="77777777" w:rsidR="007F0566" w:rsidRPr="00B73666" w:rsidRDefault="007F0566"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3404EE87" w14:textId="77777777" w:rsidR="007F0566" w:rsidRPr="00B73666" w:rsidRDefault="007F0566" w:rsidP="007F0566">
      <w:pPr>
        <w:pStyle w:val="Sinespaciado"/>
        <w:spacing w:line="276" w:lineRule="auto"/>
        <w:ind w:left="567" w:right="567"/>
        <w:jc w:val="both"/>
        <w:rPr>
          <w:rFonts w:ascii="Palatino Linotype" w:eastAsia="MS Mincho" w:hAnsi="Palatino Linotype"/>
          <w:b/>
          <w:i/>
          <w:sz w:val="22"/>
          <w:szCs w:val="22"/>
        </w:rPr>
      </w:pPr>
      <w:r w:rsidRPr="00B73666">
        <w:rPr>
          <w:rFonts w:ascii="Palatino Linotype" w:eastAsia="MS Mincho" w:hAnsi="Palatino Linotype"/>
          <w:i/>
          <w:sz w:val="22"/>
          <w:szCs w:val="22"/>
        </w:rPr>
        <w:t>“</w:t>
      </w:r>
      <w:r w:rsidRPr="00B73666">
        <w:rPr>
          <w:rFonts w:ascii="Palatino Linotype" w:eastAsia="MS Mincho" w:hAnsi="Palatino Linotype" w:cs="Times New Roman"/>
          <w:b/>
          <w:i/>
          <w:sz w:val="22"/>
          <w:szCs w:val="22"/>
        </w:rPr>
        <w:t>Artículo 190.</w:t>
      </w:r>
      <w:r w:rsidRPr="00B73666">
        <w:rPr>
          <w:rFonts w:ascii="Palatino Linotype" w:eastAsia="MS Mincho"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C3F8BC8" w14:textId="77777777" w:rsidR="007F0566" w:rsidRPr="00B73666" w:rsidRDefault="007F0566" w:rsidP="007F0566">
      <w:pPr>
        <w:pStyle w:val="Sinespaciado"/>
        <w:spacing w:line="276" w:lineRule="auto"/>
        <w:ind w:left="567" w:right="567"/>
        <w:jc w:val="both"/>
        <w:rPr>
          <w:rFonts w:ascii="Palatino Linotype" w:eastAsia="MS Mincho" w:hAnsi="Palatino Linotype"/>
          <w:i/>
          <w:sz w:val="22"/>
          <w:szCs w:val="22"/>
        </w:rPr>
      </w:pPr>
    </w:p>
    <w:p w14:paraId="6CE25038" w14:textId="77777777" w:rsidR="007F0566" w:rsidRPr="00B73666" w:rsidRDefault="007F0566"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b/>
          <w:i/>
          <w:sz w:val="22"/>
          <w:szCs w:val="22"/>
        </w:rPr>
        <w:t>Artículo 222.</w:t>
      </w:r>
      <w:r w:rsidRPr="00B73666">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412C6902" w14:textId="77777777" w:rsidR="007F0566" w:rsidRPr="00B73666" w:rsidRDefault="007F0566"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i/>
          <w:sz w:val="22"/>
          <w:szCs w:val="22"/>
        </w:rPr>
        <w:t>(…(</w:t>
      </w:r>
    </w:p>
    <w:p w14:paraId="5FC54485" w14:textId="77777777" w:rsidR="007F0566" w:rsidRPr="00B73666" w:rsidRDefault="007F0566" w:rsidP="007F0566">
      <w:pPr>
        <w:pStyle w:val="Sinespaciado"/>
        <w:spacing w:line="276" w:lineRule="auto"/>
        <w:ind w:left="567" w:right="567"/>
        <w:jc w:val="both"/>
        <w:rPr>
          <w:rFonts w:ascii="Palatino Linotype" w:eastAsia="MS Mincho" w:hAnsi="Palatino Linotype"/>
          <w:b/>
          <w:i/>
          <w:sz w:val="22"/>
          <w:szCs w:val="22"/>
        </w:rPr>
      </w:pPr>
      <w:r w:rsidRPr="00B73666">
        <w:rPr>
          <w:rFonts w:ascii="Palatino Linotype" w:eastAsia="MS Mincho" w:hAnsi="Palatino Linotype"/>
          <w:b/>
          <w:i/>
          <w:sz w:val="22"/>
          <w:szCs w:val="22"/>
        </w:rPr>
        <w:t xml:space="preserve">I. Cualquier acto u </w:t>
      </w:r>
      <w:r w:rsidRPr="00B73666">
        <w:rPr>
          <w:rFonts w:ascii="Palatino Linotype" w:eastAsia="MS Mincho" w:hAnsi="Palatino Linotype"/>
          <w:b/>
          <w:i/>
          <w:sz w:val="22"/>
          <w:szCs w:val="22"/>
          <w:u w:val="single"/>
        </w:rPr>
        <w:t>omisión</w:t>
      </w:r>
      <w:r w:rsidRPr="00B73666">
        <w:rPr>
          <w:rFonts w:ascii="Palatino Linotype" w:eastAsia="MS Mincho" w:hAnsi="Palatino Linotype"/>
          <w:b/>
          <w:i/>
          <w:sz w:val="22"/>
          <w:szCs w:val="22"/>
        </w:rPr>
        <w:t xml:space="preserve"> que provoque la suspensión o deficiencia en la atención de las solicitudes de información;</w:t>
      </w:r>
    </w:p>
    <w:p w14:paraId="2DE29781" w14:textId="77777777" w:rsidR="007F0566" w:rsidRPr="00B73666" w:rsidRDefault="007F0566"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i/>
          <w:sz w:val="22"/>
          <w:szCs w:val="22"/>
        </w:rPr>
        <w:t>(…)</w:t>
      </w:r>
    </w:p>
    <w:p w14:paraId="68DB0CFF" w14:textId="77777777" w:rsidR="007F0566" w:rsidRPr="00B73666" w:rsidRDefault="007F0566"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b/>
          <w:i/>
          <w:sz w:val="22"/>
          <w:szCs w:val="22"/>
        </w:rPr>
        <w:t>III.</w:t>
      </w:r>
      <w:r w:rsidRPr="00B73666">
        <w:rPr>
          <w:rFonts w:ascii="Palatino Linotype" w:eastAsia="MS Mincho" w:hAnsi="Palatino Linotype"/>
          <w:i/>
          <w:sz w:val="22"/>
          <w:szCs w:val="22"/>
        </w:rPr>
        <w:t xml:space="preserve"> </w:t>
      </w:r>
      <w:r w:rsidRPr="00B73666">
        <w:rPr>
          <w:rFonts w:ascii="Palatino Linotype" w:eastAsia="MS Mincho" w:hAnsi="Palatino Linotype"/>
          <w:b/>
          <w:i/>
          <w:sz w:val="22"/>
          <w:szCs w:val="22"/>
        </w:rPr>
        <w:t>Actuar con negligencia, dolo o mala fe</w:t>
      </w:r>
      <w:r w:rsidRPr="00B73666">
        <w:rPr>
          <w:rFonts w:ascii="Palatino Linotype" w:eastAsia="MS Mincho" w:hAnsi="Palatino Linotype"/>
          <w:i/>
          <w:sz w:val="22"/>
          <w:szCs w:val="22"/>
        </w:rPr>
        <w:t xml:space="preserve"> en la clasificación o desclasificación de la información, así como </w:t>
      </w:r>
      <w:r w:rsidRPr="00B73666">
        <w:rPr>
          <w:rFonts w:ascii="Palatino Linotype" w:eastAsia="MS Mincho" w:hAnsi="Palatino Linotype"/>
          <w:b/>
          <w:i/>
          <w:sz w:val="22"/>
          <w:szCs w:val="22"/>
        </w:rPr>
        <w:t xml:space="preserve">durante la sustanciación de las solicitudes en materia de </w:t>
      </w:r>
      <w:r w:rsidRPr="00B73666">
        <w:rPr>
          <w:rFonts w:ascii="Palatino Linotype" w:eastAsia="MS Mincho" w:hAnsi="Palatino Linotype"/>
          <w:b/>
          <w:i/>
          <w:sz w:val="22"/>
          <w:szCs w:val="22"/>
        </w:rPr>
        <w:lastRenderedPageBreak/>
        <w:t>acceso a la información</w:t>
      </w:r>
      <w:r w:rsidRPr="00B73666">
        <w:rPr>
          <w:rFonts w:ascii="Palatino Linotype" w:eastAsia="MS Mincho" w:hAnsi="Palatino Linotype"/>
          <w:i/>
          <w:sz w:val="22"/>
          <w:szCs w:val="22"/>
        </w:rPr>
        <w:t xml:space="preserve"> o bien, al no difundir la información relativa a las obligaciones de transparencia prevista en la presente Ley;</w:t>
      </w:r>
    </w:p>
    <w:p w14:paraId="368E8A5F" w14:textId="77777777" w:rsidR="007223A0" w:rsidRPr="00B73666" w:rsidRDefault="007223A0"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i/>
          <w:sz w:val="22"/>
          <w:szCs w:val="22"/>
        </w:rPr>
        <w:t>(…)</w:t>
      </w:r>
    </w:p>
    <w:p w14:paraId="155F4265" w14:textId="77777777" w:rsidR="007223A0" w:rsidRPr="00B73666" w:rsidRDefault="007223A0"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b/>
          <w:i/>
          <w:sz w:val="22"/>
          <w:szCs w:val="22"/>
        </w:rPr>
        <w:t>XVI.</w:t>
      </w:r>
      <w:r w:rsidRPr="00B73666">
        <w:rPr>
          <w:rFonts w:ascii="Palatino Linotype" w:eastAsia="MS Mincho" w:hAnsi="Palatino Linotype"/>
          <w:i/>
          <w:sz w:val="22"/>
          <w:szCs w:val="22"/>
        </w:rPr>
        <w:t xml:space="preserve"> </w:t>
      </w:r>
      <w:r w:rsidRPr="00B73666">
        <w:rPr>
          <w:rFonts w:ascii="Palatino Linotype" w:eastAsia="MS Mincho" w:hAnsi="Palatino Linotype"/>
          <w:b/>
          <w:i/>
          <w:sz w:val="22"/>
          <w:szCs w:val="22"/>
        </w:rPr>
        <w:t>Denegar intencionalmente información</w:t>
      </w:r>
      <w:r w:rsidRPr="00B73666">
        <w:rPr>
          <w:rFonts w:ascii="Palatino Linotype" w:eastAsia="MS Mincho" w:hAnsi="Palatino Linotype"/>
          <w:i/>
          <w:sz w:val="22"/>
          <w:szCs w:val="22"/>
        </w:rPr>
        <w:t xml:space="preserve"> que no se encuentre clasificada como reservada o confidencial;</w:t>
      </w:r>
    </w:p>
    <w:p w14:paraId="0282D50B" w14:textId="77777777" w:rsidR="007223A0" w:rsidRPr="00B73666" w:rsidRDefault="007223A0"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i/>
          <w:sz w:val="22"/>
          <w:szCs w:val="22"/>
        </w:rPr>
        <w:t>(…)</w:t>
      </w:r>
    </w:p>
    <w:p w14:paraId="7033AAE2" w14:textId="77777777" w:rsidR="007223A0" w:rsidRPr="00B73666" w:rsidRDefault="007223A0"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b/>
          <w:i/>
          <w:sz w:val="22"/>
          <w:szCs w:val="22"/>
        </w:rPr>
        <w:t>XXI.</w:t>
      </w:r>
      <w:r w:rsidRPr="00B73666">
        <w:rPr>
          <w:rFonts w:ascii="Palatino Linotype" w:eastAsia="MS Mincho" w:hAnsi="Palatino Linotype"/>
          <w:i/>
          <w:sz w:val="22"/>
          <w:szCs w:val="22"/>
        </w:rPr>
        <w:t xml:space="preserve"> En general, dejar de cumplir con las disposiciones de esta Ley.</w:t>
      </w:r>
    </w:p>
    <w:p w14:paraId="092FA089" w14:textId="77777777" w:rsidR="007223A0" w:rsidRPr="00B73666" w:rsidRDefault="007223A0"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i/>
          <w:sz w:val="22"/>
          <w:szCs w:val="22"/>
        </w:rPr>
        <w:t>(…)”</w:t>
      </w:r>
    </w:p>
    <w:p w14:paraId="032E58B4" w14:textId="77777777" w:rsidR="007F0566" w:rsidRPr="00B73666" w:rsidRDefault="007F0566" w:rsidP="007F0566">
      <w:pPr>
        <w:pStyle w:val="Sinespaciado"/>
        <w:spacing w:line="276" w:lineRule="auto"/>
        <w:ind w:left="567" w:right="567"/>
        <w:jc w:val="both"/>
        <w:rPr>
          <w:rFonts w:ascii="Palatino Linotype" w:eastAsia="MS Mincho" w:hAnsi="Palatino Linotype"/>
          <w:i/>
          <w:sz w:val="22"/>
          <w:szCs w:val="22"/>
        </w:rPr>
      </w:pPr>
    </w:p>
    <w:p w14:paraId="240D95F5" w14:textId="77777777" w:rsidR="007F0566" w:rsidRPr="00B73666" w:rsidRDefault="007F0566"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b/>
          <w:i/>
          <w:sz w:val="22"/>
          <w:szCs w:val="22"/>
        </w:rPr>
        <w:t>Artículo 223.</w:t>
      </w:r>
      <w:r w:rsidRPr="00B73666">
        <w:rPr>
          <w:rFonts w:ascii="Palatino Linotype" w:eastAsia="MS Mincho"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83EA40F" w14:textId="77777777" w:rsidR="007F0566" w:rsidRPr="00B73666" w:rsidRDefault="007F0566" w:rsidP="007F0566">
      <w:pPr>
        <w:pStyle w:val="Sinespaciado"/>
        <w:spacing w:line="276" w:lineRule="auto"/>
        <w:ind w:left="567" w:right="567"/>
        <w:jc w:val="both"/>
        <w:rPr>
          <w:rFonts w:ascii="Palatino Linotype" w:eastAsia="MS Mincho" w:hAnsi="Palatino Linotype"/>
          <w:i/>
          <w:sz w:val="22"/>
          <w:szCs w:val="22"/>
        </w:rPr>
      </w:pPr>
      <w:r w:rsidRPr="00B73666">
        <w:rPr>
          <w:rFonts w:ascii="Palatino Linotype" w:eastAsia="MS Mincho" w:hAnsi="Palatino Linotype"/>
          <w:i/>
          <w:sz w:val="22"/>
          <w:szCs w:val="22"/>
        </w:rPr>
        <w:t>(…)”</w:t>
      </w:r>
    </w:p>
    <w:p w14:paraId="5628ABF0" w14:textId="77777777" w:rsidR="007F0566" w:rsidRPr="00B73666" w:rsidRDefault="007F0566" w:rsidP="007F0566">
      <w:pPr>
        <w:pStyle w:val="Sinespaciado"/>
        <w:spacing w:line="276" w:lineRule="auto"/>
        <w:ind w:left="567" w:right="567"/>
        <w:jc w:val="both"/>
        <w:rPr>
          <w:rFonts w:ascii="Palatino Linotype" w:eastAsia="MS Mincho" w:hAnsi="Palatino Linotype"/>
          <w:sz w:val="22"/>
          <w:szCs w:val="22"/>
        </w:rPr>
      </w:pPr>
      <w:r w:rsidRPr="00B73666">
        <w:rPr>
          <w:rFonts w:ascii="Palatino Linotype" w:eastAsia="MS Mincho" w:hAnsi="Palatino Linotype"/>
          <w:sz w:val="22"/>
          <w:szCs w:val="22"/>
        </w:rPr>
        <w:t>(Énfasis añadido)</w:t>
      </w:r>
    </w:p>
    <w:p w14:paraId="715903E1" w14:textId="77777777" w:rsidR="007F0566" w:rsidRPr="00B73666" w:rsidRDefault="007F0566"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7EF6CBF1" w14:textId="33056DF7" w:rsidR="007F0566" w:rsidRPr="00B73666" w:rsidRDefault="00785A87" w:rsidP="007F056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hAnsi="Palatino Linotype"/>
        </w:rPr>
        <w:t xml:space="preserve">Así </w:t>
      </w:r>
      <w:r w:rsidRPr="00B73666">
        <w:rPr>
          <w:rFonts w:ascii="Palatino Linotype" w:eastAsia="Calibri" w:hAnsi="Palatino Linotype" w:cs="Arial"/>
          <w:color w:val="000000"/>
          <w:lang w:val="es-ES" w:eastAsia="es-MX"/>
        </w:rPr>
        <w:t xml:space="preserve">las cosas, del análisis realizado a las constancias que obran en el expediente digital del recurso de revisión indicado al rubro, se aprecia que la Unidad de Transparencia del </w:t>
      </w:r>
      <w:r w:rsidRPr="00B73666">
        <w:rPr>
          <w:rFonts w:ascii="Palatino Linotype" w:eastAsia="Calibri" w:hAnsi="Palatino Linotype" w:cs="Arial"/>
          <w:b/>
          <w:color w:val="000000"/>
          <w:lang w:val="es-ES" w:eastAsia="es-MX"/>
        </w:rPr>
        <w:t>SUJETO OBLIGADO</w:t>
      </w:r>
      <w:r w:rsidRPr="00B73666">
        <w:rPr>
          <w:rFonts w:ascii="Palatino Linotype" w:eastAsia="Calibri" w:hAnsi="Palatino Linotype" w:cs="Arial"/>
          <w:color w:val="000000"/>
          <w:lang w:val="es-ES" w:eastAsia="es-MX"/>
        </w:rPr>
        <w:t xml:space="preserve"> turnó la solicitud de información</w:t>
      </w:r>
      <w:r w:rsidR="00E559CA" w:rsidRPr="00B73666">
        <w:rPr>
          <w:rFonts w:ascii="Palatino Linotype" w:eastAsia="Calibri" w:hAnsi="Palatino Linotype" w:cs="Arial"/>
          <w:color w:val="000000"/>
          <w:lang w:val="es-ES" w:eastAsia="es-MX"/>
        </w:rPr>
        <w:t xml:space="preserve"> el veintisiete (27) de enero de dos mil veinte al servidor público habilitado Mtro. En A.P. Guillermo Juan de Dios Sánchez Aguirre; y éste, a su vez, atendió el requerimiento el catorce (14) de febrero de la presente anualidad, adjuntando dos archivos a su respuesta; no obstante, esta información no fue entregada al particular. Se adjuntan a continuación imágenes de referencia:</w:t>
      </w:r>
    </w:p>
    <w:p w14:paraId="620A108B" w14:textId="5ED7A42F" w:rsidR="00E559CA" w:rsidRPr="00B73666" w:rsidRDefault="003576F9" w:rsidP="00E559CA">
      <w:pPr>
        <w:pStyle w:val="Prrafodelista"/>
        <w:tabs>
          <w:tab w:val="left" w:pos="142"/>
          <w:tab w:val="left" w:pos="284"/>
          <w:tab w:val="left" w:pos="426"/>
        </w:tabs>
        <w:spacing w:before="240" w:after="240" w:line="360" w:lineRule="auto"/>
        <w:ind w:left="0"/>
        <w:jc w:val="center"/>
        <w:rPr>
          <w:rFonts w:ascii="Palatino Linotype" w:hAnsi="Palatino Linotype"/>
        </w:rPr>
      </w:pPr>
      <w:r w:rsidRPr="003576F9">
        <w:rPr>
          <w:rFonts w:ascii="Palatino Linotype" w:hAnsi="Palatino Linotype"/>
          <w:noProof/>
          <w:lang w:val="es-MX" w:eastAsia="es-MX"/>
        </w:rPr>
        <w:lastRenderedPageBreak/>
        <w:drawing>
          <wp:inline distT="0" distB="0" distL="0" distR="0" wp14:anchorId="4DD32146" wp14:editId="7A134C75">
            <wp:extent cx="5581015" cy="2292731"/>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292731"/>
                    </a:xfrm>
                    <a:prstGeom prst="rect">
                      <a:avLst/>
                    </a:prstGeom>
                    <a:noFill/>
                    <a:ln>
                      <a:noFill/>
                    </a:ln>
                  </pic:spPr>
                </pic:pic>
              </a:graphicData>
            </a:graphic>
          </wp:inline>
        </w:drawing>
      </w:r>
    </w:p>
    <w:p w14:paraId="0EBD0A6A" w14:textId="12B53F8C" w:rsidR="006150F7" w:rsidRPr="00B73666" w:rsidRDefault="006150F7" w:rsidP="00E559CA">
      <w:pPr>
        <w:pStyle w:val="Prrafodelista"/>
        <w:tabs>
          <w:tab w:val="left" w:pos="142"/>
          <w:tab w:val="left" w:pos="284"/>
          <w:tab w:val="left" w:pos="426"/>
        </w:tabs>
        <w:spacing w:before="240" w:after="240" w:line="360" w:lineRule="auto"/>
        <w:ind w:left="0"/>
        <w:jc w:val="center"/>
        <w:rPr>
          <w:rFonts w:ascii="Palatino Linotype" w:hAnsi="Palatino Linotype"/>
        </w:rPr>
      </w:pPr>
      <w:r w:rsidRPr="00B73666">
        <w:rPr>
          <w:rFonts w:ascii="Palatino Linotype" w:hAnsi="Palatino Linotype"/>
          <w:noProof/>
          <w:lang w:val="es-MX" w:eastAsia="es-MX"/>
        </w:rPr>
        <w:drawing>
          <wp:inline distT="0" distB="0" distL="0" distR="0" wp14:anchorId="05264CD9" wp14:editId="1A6FB268">
            <wp:extent cx="4838065" cy="949558"/>
            <wp:effectExtent l="57150" t="57150" r="95885" b="984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9162" cy="95762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6D5494" w14:textId="77777777" w:rsidR="00E559CA" w:rsidRPr="00B73666" w:rsidRDefault="00E559CA"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3A93396F" w14:textId="77777777" w:rsidR="007F0566" w:rsidRPr="00B73666" w:rsidRDefault="007223A0" w:rsidP="007F056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hAnsi="Palatino Linotype"/>
        </w:rPr>
        <w:t xml:space="preserve">Por </w:t>
      </w:r>
      <w:r w:rsidRPr="00B73666">
        <w:rPr>
          <w:rFonts w:ascii="Palatino Linotype" w:eastAsia="Calibri" w:hAnsi="Palatino Linotype" w:cs="Arial"/>
          <w:color w:val="000000"/>
          <w:lang w:val="es-ES" w:eastAsia="es-MX"/>
        </w:rPr>
        <w:t>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D0F21E1" w14:textId="77777777" w:rsidR="007F0566" w:rsidRPr="00B73666" w:rsidRDefault="007F0566"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08938451" w14:textId="77777777" w:rsidR="007F0566" w:rsidRPr="00B73666" w:rsidRDefault="00785A87" w:rsidP="007F056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hAnsi="Palatino Linotype"/>
        </w:rPr>
        <w:lastRenderedPageBreak/>
        <w:t>Consecuentemente</w:t>
      </w:r>
      <w:r w:rsidR="007223A0" w:rsidRPr="00B73666">
        <w:rPr>
          <w:rFonts w:ascii="Palatino Linotype" w:hAnsi="Palatino Linotype"/>
        </w:rPr>
        <w:t xml:space="preserve">, </w:t>
      </w:r>
      <w:r w:rsidRPr="00B73666">
        <w:rPr>
          <w:rFonts w:ascii="Palatino Linotype" w:eastAsia="MS Mincho" w:hAnsi="Palatino Linotype" w:cs="Arial"/>
          <w:color w:val="000000"/>
        </w:rPr>
        <w:t xml:space="preserve">en términos del artículo 179 </w:t>
      </w:r>
      <w:r w:rsidR="00DF2FA3" w:rsidRPr="00B73666">
        <w:rPr>
          <w:rFonts w:ascii="Palatino Linotype" w:eastAsia="MS Mincho" w:hAnsi="Palatino Linotype" w:cs="Arial"/>
          <w:color w:val="000000"/>
        </w:rPr>
        <w:t>fracciones</w:t>
      </w:r>
      <w:r w:rsidRPr="00B73666">
        <w:rPr>
          <w:rFonts w:ascii="Palatino Linotype" w:eastAsia="MS Mincho" w:hAnsi="Palatino Linotype" w:cs="Arial"/>
          <w:color w:val="000000"/>
        </w:rPr>
        <w:t xml:space="preserve"> VII</w:t>
      </w:r>
      <w:r w:rsidR="00DF2FA3" w:rsidRPr="00B73666">
        <w:rPr>
          <w:rFonts w:ascii="Palatino Linotype" w:eastAsia="MS Mincho" w:hAnsi="Palatino Linotype" w:cs="Arial"/>
          <w:color w:val="000000"/>
        </w:rPr>
        <w:t xml:space="preserve"> y XI</w:t>
      </w:r>
      <w:r w:rsidRPr="00B73666">
        <w:rPr>
          <w:rFonts w:ascii="Palatino Linotype" w:eastAsia="MS Mincho" w:hAnsi="Palatino Linotype" w:cs="Arial"/>
          <w:color w:val="000000"/>
        </w:rPr>
        <w:t xml:space="preserve">, </w:t>
      </w:r>
      <w:r w:rsidRPr="00B73666">
        <w:rPr>
          <w:rFonts w:ascii="Palatino Linotype" w:eastAsia="MS Mincho" w:hAnsi="Palatino Linotype" w:cs="Times New Roman"/>
        </w:rPr>
        <w:t xml:space="preserve">resultan </w:t>
      </w:r>
      <w:r w:rsidRPr="00B73666">
        <w:rPr>
          <w:rFonts w:ascii="Palatino Linotype" w:eastAsia="Times New Roman" w:hAnsi="Palatino Linotype" w:cs="Arial"/>
        </w:rPr>
        <w:t>fundadas las</w:t>
      </w:r>
      <w:r w:rsidRPr="00B73666">
        <w:rPr>
          <w:rFonts w:ascii="Palatino Linotype" w:eastAsia="Times New Roman" w:hAnsi="Palatino Linotype" w:cs="Arial"/>
          <w:b/>
        </w:rPr>
        <w:t xml:space="preserve"> </w:t>
      </w:r>
      <w:r w:rsidRPr="00B73666">
        <w:rPr>
          <w:rFonts w:ascii="Palatino Linotype" w:eastAsia="Times New Roman" w:hAnsi="Palatino Linotype" w:cs="Arial"/>
        </w:rPr>
        <w:t xml:space="preserve">razones o motivos de inconformidad hechos valer por el </w:t>
      </w:r>
      <w:r w:rsidRPr="00B73666">
        <w:rPr>
          <w:rFonts w:ascii="Palatino Linotype" w:eastAsia="Times New Roman" w:hAnsi="Palatino Linotype" w:cs="Arial"/>
          <w:b/>
        </w:rPr>
        <w:t>RECURRENTE</w:t>
      </w:r>
      <w:r w:rsidRPr="00B73666">
        <w:rPr>
          <w:rFonts w:ascii="Palatino Linotype" w:eastAsia="Times New Roman" w:hAnsi="Palatino Linotype" w:cs="Arial"/>
        </w:rPr>
        <w:t xml:space="preserve"> </w:t>
      </w:r>
      <w:r w:rsidRPr="00B73666">
        <w:rPr>
          <w:rFonts w:ascii="Palatino Linotype" w:eastAsia="Calibri" w:hAnsi="Palatino Linotype" w:cs="Arial"/>
        </w:rPr>
        <w:t xml:space="preserve">en el presente recurso de revisión, </w:t>
      </w:r>
      <w:r w:rsidRPr="00B73666">
        <w:rPr>
          <w:rFonts w:ascii="Palatino Linotype" w:eastAsia="Calibri" w:hAnsi="Palatino Linotype" w:cs="Arial"/>
          <w:b/>
        </w:rPr>
        <w:t>en razón de la negativa de la información solicitada.</w:t>
      </w:r>
    </w:p>
    <w:p w14:paraId="1E47C728" w14:textId="77777777" w:rsidR="007F0566" w:rsidRPr="00B73666" w:rsidRDefault="007F0566"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42B0180E" w14:textId="77777777" w:rsidR="007F0566" w:rsidRPr="00B73666" w:rsidRDefault="007223A0" w:rsidP="007F0566">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hAnsi="Palatino Linotype"/>
        </w:rPr>
        <w:t xml:space="preserve">Finalmente, </w:t>
      </w:r>
      <w:r w:rsidRPr="00B73666">
        <w:rPr>
          <w:rFonts w:ascii="Palatino Linotype" w:hAnsi="Palatino Linotype"/>
          <w:lang w:val="es-MX"/>
        </w:rPr>
        <w:t xml:space="preserve">en términos del artículo 186 fracción IV este Pleno determina </w:t>
      </w:r>
      <w:r w:rsidRPr="00B73666">
        <w:rPr>
          <w:rFonts w:ascii="Palatino Linotype" w:hAnsi="Palatino Linotype"/>
          <w:b/>
          <w:lang w:val="es-MX"/>
        </w:rPr>
        <w:t xml:space="preserve">ORDENAR </w:t>
      </w:r>
      <w:r w:rsidRPr="00B73666">
        <w:rPr>
          <w:rFonts w:ascii="Palatino Linotype" w:hAnsi="Palatino Linotype"/>
          <w:lang w:val="es-MX"/>
        </w:rPr>
        <w:t>la entrega de la información que fue requerida en la solicitud, toda vez que hubo una afectación al derecho de acceso a la información pública establecido constitucionalmente a favor del particular.</w:t>
      </w:r>
    </w:p>
    <w:p w14:paraId="7897B8B5" w14:textId="77777777" w:rsidR="007F0566" w:rsidRPr="00B73666" w:rsidRDefault="007F0566" w:rsidP="007F0566">
      <w:pPr>
        <w:pStyle w:val="Prrafodelista"/>
        <w:tabs>
          <w:tab w:val="left" w:pos="142"/>
          <w:tab w:val="left" w:pos="284"/>
          <w:tab w:val="left" w:pos="426"/>
        </w:tabs>
        <w:spacing w:before="240" w:after="240" w:line="360" w:lineRule="auto"/>
        <w:ind w:left="0"/>
        <w:jc w:val="both"/>
        <w:rPr>
          <w:rFonts w:ascii="Palatino Linotype" w:hAnsi="Palatino Linotype"/>
        </w:rPr>
      </w:pPr>
    </w:p>
    <w:p w14:paraId="6F95FFF9" w14:textId="77777777" w:rsidR="003A6589" w:rsidRPr="00B73666" w:rsidRDefault="003D50AD"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73666">
        <w:rPr>
          <w:rFonts w:ascii="Palatino Linotype" w:eastAsia="Calibri" w:hAnsi="Palatino Linotype" w:cs="Arial"/>
          <w:lang w:val="es-ES"/>
        </w:rPr>
        <w:t>P</w:t>
      </w:r>
      <w:r w:rsidRPr="00B73666">
        <w:rPr>
          <w:rFonts w:ascii="Palatino Linotype" w:eastAsia="Times New Roman" w:hAnsi="Palatino Linotype" w:cs="Arial"/>
          <w:lang w:val="es-ES"/>
        </w:rPr>
        <w:t>or lo anteriormente expuesto</w:t>
      </w:r>
      <w:r w:rsidR="00D41C54" w:rsidRPr="00B73666">
        <w:rPr>
          <w:rFonts w:ascii="Palatino Linotype" w:eastAsia="Times New Roman" w:hAnsi="Palatino Linotype" w:cs="Arial"/>
          <w:lang w:val="es-ES"/>
        </w:rPr>
        <w:t xml:space="preserve"> y fundado</w:t>
      </w:r>
      <w:r w:rsidRPr="00B73666">
        <w:rPr>
          <w:rFonts w:ascii="Palatino Linotype" w:eastAsia="Times New Roman" w:hAnsi="Palatino Linotype" w:cs="Arial"/>
          <w:lang w:val="es-ES"/>
        </w:rPr>
        <w:t xml:space="preserve">, </w:t>
      </w:r>
      <w:r w:rsidR="00D41C54" w:rsidRPr="00B73666">
        <w:rPr>
          <w:rFonts w:ascii="Palatino Linotype" w:eastAsia="Times New Roman" w:hAnsi="Palatino Linotype" w:cs="Arial"/>
          <w:lang w:val="es-ES"/>
        </w:rPr>
        <w:t>este Órgano Garante emite los siguientes:-----------------------------------------------------------------------------------------------</w:t>
      </w:r>
    </w:p>
    <w:bookmarkEnd w:id="40"/>
    <w:bookmarkEnd w:id="41"/>
    <w:bookmarkEnd w:id="42"/>
    <w:p w14:paraId="6889D5FC" w14:textId="77777777" w:rsidR="0063186F" w:rsidRPr="00B73666" w:rsidRDefault="0063186F">
      <w:pPr>
        <w:spacing w:after="160" w:line="259" w:lineRule="auto"/>
        <w:rPr>
          <w:rFonts w:ascii="Palatino Linotype" w:hAnsi="Palatino Linotype"/>
          <w:lang w:val="es-ES"/>
        </w:rPr>
      </w:pPr>
      <w:r w:rsidRPr="00B73666">
        <w:rPr>
          <w:rFonts w:ascii="Palatino Linotype" w:hAnsi="Palatino Linotype"/>
          <w:lang w:val="es-ES"/>
        </w:rPr>
        <w:br w:type="page"/>
      </w:r>
    </w:p>
    <w:p w14:paraId="0AE31F5C" w14:textId="77777777" w:rsidR="006E5EF0" w:rsidRPr="00B73666" w:rsidRDefault="006E5EF0" w:rsidP="004C0DA1">
      <w:pPr>
        <w:pStyle w:val="Ttulo1"/>
        <w:spacing w:line="360" w:lineRule="auto"/>
        <w:jc w:val="center"/>
        <w:rPr>
          <w:lang w:val="es-ES"/>
        </w:rPr>
      </w:pPr>
      <w:bookmarkStart w:id="43" w:name="_Toc48216101"/>
      <w:r w:rsidRPr="00B73666">
        <w:rPr>
          <w:lang w:val="es-ES"/>
        </w:rPr>
        <w:lastRenderedPageBreak/>
        <w:t>R E S O L U T I V O S</w:t>
      </w:r>
      <w:bookmarkEnd w:id="43"/>
    </w:p>
    <w:p w14:paraId="4636B4BC" w14:textId="77777777" w:rsidR="00087EFD" w:rsidRPr="00B73666" w:rsidRDefault="00087EFD" w:rsidP="004C0DA1">
      <w:pPr>
        <w:spacing w:line="360" w:lineRule="auto"/>
        <w:jc w:val="both"/>
        <w:rPr>
          <w:rFonts w:ascii="Palatino Linotype" w:eastAsia="Times New Roman" w:hAnsi="Palatino Linotype" w:cs="Arial"/>
          <w:b/>
        </w:rPr>
      </w:pPr>
    </w:p>
    <w:p w14:paraId="3BC05F7F" w14:textId="2DACFE32" w:rsidR="003D50AD" w:rsidRPr="00B73666" w:rsidRDefault="003D50AD" w:rsidP="004C0DA1">
      <w:pPr>
        <w:spacing w:line="360" w:lineRule="auto"/>
        <w:jc w:val="both"/>
        <w:rPr>
          <w:rFonts w:ascii="Palatino Linotype" w:eastAsia="Calibri" w:hAnsi="Palatino Linotype" w:cs="Arial"/>
          <w:lang w:val="es-ES"/>
        </w:rPr>
      </w:pPr>
      <w:r w:rsidRPr="00B73666">
        <w:rPr>
          <w:rFonts w:ascii="Palatino Linotype" w:eastAsia="Times New Roman" w:hAnsi="Palatino Linotype" w:cs="Arial"/>
          <w:b/>
        </w:rPr>
        <w:t>PRIMERO</w:t>
      </w:r>
      <w:r w:rsidRPr="00B73666">
        <w:rPr>
          <w:rFonts w:ascii="Palatino Linotype" w:eastAsia="Times New Roman" w:hAnsi="Palatino Linotype" w:cs="Arial"/>
          <w:lang w:val="es-ES"/>
        </w:rPr>
        <w:t>.</w:t>
      </w:r>
      <w:r w:rsidR="00087EFD" w:rsidRPr="00B73666">
        <w:rPr>
          <w:rFonts w:ascii="Palatino Linotype" w:eastAsia="Times New Roman" w:hAnsi="Palatino Linotype" w:cs="Arial"/>
          <w:lang w:val="es-ES"/>
        </w:rPr>
        <w:t xml:space="preserve"> Resultan fundadas las razones o</w:t>
      </w:r>
      <w:r w:rsidRPr="00B73666">
        <w:rPr>
          <w:rFonts w:ascii="Palatino Linotype" w:eastAsia="Times New Roman" w:hAnsi="Palatino Linotype" w:cs="Arial"/>
          <w:lang w:val="es-ES"/>
        </w:rPr>
        <w:t xml:space="preserve"> motivo</w:t>
      </w:r>
      <w:r w:rsidR="00614478" w:rsidRPr="00B73666">
        <w:rPr>
          <w:rFonts w:ascii="Palatino Linotype" w:eastAsia="Times New Roman" w:hAnsi="Palatino Linotype" w:cs="Arial"/>
          <w:lang w:val="es-ES"/>
        </w:rPr>
        <w:t>s de inconformidad hechos valer e</w:t>
      </w:r>
      <w:r w:rsidRPr="00B73666">
        <w:rPr>
          <w:rFonts w:ascii="Palatino Linotype" w:eastAsia="Calibri" w:hAnsi="Palatino Linotype" w:cs="Arial"/>
          <w:lang w:val="es-ES"/>
        </w:rPr>
        <w:t xml:space="preserve">n el recurso de revisión </w:t>
      </w:r>
      <w:r w:rsidR="00D114C0" w:rsidRPr="00B73666">
        <w:rPr>
          <w:rFonts w:ascii="Palatino Linotype" w:eastAsia="Times New Roman" w:hAnsi="Palatino Linotype" w:cs="Times New Roman"/>
          <w:b/>
        </w:rPr>
        <w:t>01058/INFOEM/IP/RR/2020</w:t>
      </w:r>
      <w:r w:rsidR="00096913" w:rsidRPr="00B73666">
        <w:rPr>
          <w:rFonts w:ascii="Palatino Linotype" w:eastAsia="Times New Roman" w:hAnsi="Palatino Linotype" w:cs="Times New Roman"/>
          <w:b/>
        </w:rPr>
        <w:t xml:space="preserve"> </w:t>
      </w:r>
      <w:r w:rsidR="00B96B07" w:rsidRPr="00B73666">
        <w:rPr>
          <w:rFonts w:ascii="Palatino Linotype" w:eastAsia="Times New Roman" w:hAnsi="Palatino Linotype" w:cs="Times New Roman"/>
        </w:rPr>
        <w:t>en términos de</w:t>
      </w:r>
      <w:r w:rsidR="00B05E35" w:rsidRPr="00B73666">
        <w:rPr>
          <w:rFonts w:ascii="Palatino Linotype" w:eastAsia="Times New Roman" w:hAnsi="Palatino Linotype" w:cs="Times New Roman"/>
        </w:rPr>
        <w:t>l</w:t>
      </w:r>
      <w:r w:rsidR="00B96B07" w:rsidRPr="00B73666">
        <w:rPr>
          <w:rFonts w:ascii="Palatino Linotype" w:eastAsia="Times New Roman" w:hAnsi="Palatino Linotype" w:cs="Times New Roman"/>
        </w:rPr>
        <w:t xml:space="preserve"> </w:t>
      </w:r>
      <w:r w:rsidR="007034F5" w:rsidRPr="00B73666">
        <w:rPr>
          <w:rFonts w:ascii="Palatino Linotype" w:eastAsia="Times New Roman" w:hAnsi="Palatino Linotype" w:cs="Times New Roman"/>
          <w:b/>
        </w:rPr>
        <w:t>C</w:t>
      </w:r>
      <w:r w:rsidR="00B96B07" w:rsidRPr="00B73666">
        <w:rPr>
          <w:rFonts w:ascii="Palatino Linotype" w:eastAsia="Times New Roman" w:hAnsi="Palatino Linotype" w:cs="Times New Roman"/>
          <w:b/>
        </w:rPr>
        <w:t>onsiderando</w:t>
      </w:r>
      <w:r w:rsidRPr="00B73666">
        <w:rPr>
          <w:rFonts w:ascii="Palatino Linotype" w:eastAsia="Times New Roman" w:hAnsi="Palatino Linotype" w:cs="Times New Roman"/>
          <w:b/>
        </w:rPr>
        <w:t xml:space="preserve"> </w:t>
      </w:r>
      <w:r w:rsidR="00292BCC" w:rsidRPr="00B73666">
        <w:rPr>
          <w:rFonts w:ascii="Palatino Linotype" w:eastAsia="Times New Roman" w:hAnsi="Palatino Linotype" w:cs="Times New Roman"/>
          <w:b/>
        </w:rPr>
        <w:t>CUARTO</w:t>
      </w:r>
      <w:r w:rsidR="006150F7" w:rsidRPr="00B73666">
        <w:rPr>
          <w:rFonts w:ascii="Palatino Linotype" w:eastAsia="Times New Roman" w:hAnsi="Palatino Linotype" w:cs="Times New Roman"/>
          <w:b/>
        </w:rPr>
        <w:t xml:space="preserve"> </w:t>
      </w:r>
      <w:r w:rsidR="006150F7" w:rsidRPr="00B73666">
        <w:rPr>
          <w:rFonts w:ascii="Palatino Linotype" w:eastAsia="Times New Roman" w:hAnsi="Palatino Linotype" w:cs="Times New Roman"/>
          <w:bCs/>
        </w:rPr>
        <w:t xml:space="preserve">y </w:t>
      </w:r>
      <w:r w:rsidR="006150F7" w:rsidRPr="00B73666">
        <w:rPr>
          <w:rFonts w:ascii="Palatino Linotype" w:eastAsia="Times New Roman" w:hAnsi="Palatino Linotype" w:cs="Times New Roman"/>
          <w:b/>
        </w:rPr>
        <w:t>QUINTO</w:t>
      </w:r>
      <w:r w:rsidR="00292BCC" w:rsidRPr="00B73666">
        <w:rPr>
          <w:rFonts w:ascii="Palatino Linotype" w:eastAsia="Times New Roman" w:hAnsi="Palatino Linotype" w:cs="Times New Roman"/>
          <w:b/>
        </w:rPr>
        <w:t xml:space="preserve"> </w:t>
      </w:r>
      <w:r w:rsidR="00BA5158" w:rsidRPr="00B73666">
        <w:rPr>
          <w:rFonts w:ascii="Palatino Linotype" w:eastAsia="Times New Roman" w:hAnsi="Palatino Linotype" w:cs="Times New Roman"/>
        </w:rPr>
        <w:t>d</w:t>
      </w:r>
      <w:r w:rsidRPr="00B73666">
        <w:rPr>
          <w:rFonts w:ascii="Palatino Linotype" w:eastAsia="Times New Roman" w:hAnsi="Palatino Linotype" w:cs="Times New Roman"/>
        </w:rPr>
        <w:t>e la presente resolución.</w:t>
      </w:r>
    </w:p>
    <w:p w14:paraId="5E1C64C0" w14:textId="77777777" w:rsidR="008C54C1" w:rsidRPr="00B73666" w:rsidRDefault="008C54C1" w:rsidP="004C0DA1">
      <w:pPr>
        <w:spacing w:line="360" w:lineRule="auto"/>
        <w:jc w:val="both"/>
        <w:rPr>
          <w:rFonts w:ascii="Palatino Linotype" w:eastAsia="Calibri" w:hAnsi="Palatino Linotype" w:cs="Arial"/>
          <w:bCs/>
          <w:lang w:val="es-ES"/>
        </w:rPr>
      </w:pPr>
    </w:p>
    <w:p w14:paraId="0251FCE2" w14:textId="2C38A082" w:rsidR="00BA5158" w:rsidRPr="00B73666" w:rsidRDefault="008C54C1" w:rsidP="004C0DA1">
      <w:pPr>
        <w:spacing w:line="360" w:lineRule="auto"/>
        <w:jc w:val="both"/>
        <w:rPr>
          <w:rFonts w:ascii="Palatino Linotype" w:eastAsia="Calibri" w:hAnsi="Palatino Linotype" w:cs="Arial"/>
          <w:lang w:val="es-ES"/>
        </w:rPr>
      </w:pPr>
      <w:r w:rsidRPr="00B73666">
        <w:rPr>
          <w:rFonts w:ascii="Palatino Linotype" w:eastAsia="Calibri" w:hAnsi="Palatino Linotype" w:cs="Arial"/>
          <w:b/>
          <w:lang w:val="es-ES"/>
        </w:rPr>
        <w:t xml:space="preserve">SEGUNDO. </w:t>
      </w:r>
      <w:r w:rsidRPr="00B73666">
        <w:rPr>
          <w:rFonts w:ascii="Palatino Linotype" w:eastAsia="Calibri" w:hAnsi="Palatino Linotype" w:cs="Arial"/>
          <w:lang w:val="es-ES"/>
        </w:rPr>
        <w:t>Se</w:t>
      </w:r>
      <w:r w:rsidR="00D42F7C" w:rsidRPr="00B73666">
        <w:rPr>
          <w:rFonts w:ascii="Palatino Linotype" w:eastAsia="Calibri" w:hAnsi="Palatino Linotype" w:cs="Arial"/>
          <w:lang w:val="es-ES"/>
        </w:rPr>
        <w:t xml:space="preserve"> </w:t>
      </w:r>
      <w:r w:rsidR="00126762" w:rsidRPr="00B73666">
        <w:rPr>
          <w:rFonts w:ascii="Palatino Linotype" w:eastAsia="Calibri" w:hAnsi="Palatino Linotype" w:cs="Arial"/>
          <w:b/>
          <w:lang w:val="es-ES"/>
        </w:rPr>
        <w:t>ORDENA</w:t>
      </w:r>
      <w:r w:rsidR="00D42F7C" w:rsidRPr="00B73666">
        <w:rPr>
          <w:rFonts w:ascii="Palatino Linotype" w:eastAsia="Calibri" w:hAnsi="Palatino Linotype" w:cs="Arial"/>
          <w:b/>
          <w:lang w:val="es-ES"/>
        </w:rPr>
        <w:t xml:space="preserve"> </w:t>
      </w:r>
      <w:r w:rsidR="00126762" w:rsidRPr="00B73666">
        <w:rPr>
          <w:rFonts w:ascii="Palatino Linotype" w:eastAsia="Calibri" w:hAnsi="Palatino Linotype" w:cs="Arial"/>
          <w:b/>
          <w:lang w:val="es-ES"/>
        </w:rPr>
        <w:t>a</w:t>
      </w:r>
      <w:r w:rsidR="0013669F" w:rsidRPr="00B73666">
        <w:rPr>
          <w:rFonts w:ascii="Palatino Linotype" w:eastAsia="Calibri" w:hAnsi="Palatino Linotype" w:cs="Arial"/>
          <w:lang w:val="es-ES"/>
        </w:rPr>
        <w:t>l</w:t>
      </w:r>
      <w:r w:rsidR="00D42F7C" w:rsidRPr="00B73666">
        <w:rPr>
          <w:rFonts w:ascii="Palatino Linotype" w:eastAsia="Calibri" w:hAnsi="Palatino Linotype" w:cs="Arial"/>
          <w:b/>
          <w:lang w:val="es-ES"/>
        </w:rPr>
        <w:t xml:space="preserve"> </w:t>
      </w:r>
      <w:r w:rsidR="00D114C0" w:rsidRPr="00B73666">
        <w:rPr>
          <w:rFonts w:ascii="Palatino Linotype" w:hAnsi="Palatino Linotype" w:cs="Arial"/>
          <w:b/>
        </w:rPr>
        <w:t xml:space="preserve">Ayuntamiento de </w:t>
      </w:r>
      <w:proofErr w:type="spellStart"/>
      <w:r w:rsidR="00D114C0" w:rsidRPr="00B73666">
        <w:rPr>
          <w:rFonts w:ascii="Palatino Linotype" w:hAnsi="Palatino Linotype" w:cs="Arial"/>
          <w:b/>
        </w:rPr>
        <w:t>Ocoyoacac</w:t>
      </w:r>
      <w:proofErr w:type="spellEnd"/>
      <w:r w:rsidR="00126762" w:rsidRPr="00B73666">
        <w:rPr>
          <w:rFonts w:ascii="Palatino Linotype" w:hAnsi="Palatino Linotype" w:cs="Arial"/>
          <w:b/>
        </w:rPr>
        <w:t>,</w:t>
      </w:r>
      <w:r w:rsidR="00D42F7C" w:rsidRPr="00B73666">
        <w:rPr>
          <w:rFonts w:ascii="Palatino Linotype" w:hAnsi="Palatino Linotype"/>
          <w:b/>
          <w:bCs/>
        </w:rPr>
        <w:t xml:space="preserve"> </w:t>
      </w:r>
      <w:r w:rsidR="00096913" w:rsidRPr="00B73666">
        <w:rPr>
          <w:rFonts w:ascii="Palatino Linotype" w:eastAsia="Calibri" w:hAnsi="Palatino Linotype" w:cs="Arial"/>
          <w:lang w:val="es-ES"/>
        </w:rPr>
        <w:t>e</w:t>
      </w:r>
      <w:r w:rsidR="003D50AD" w:rsidRPr="00B73666">
        <w:rPr>
          <w:rFonts w:ascii="Palatino Linotype" w:eastAsia="Times New Roman" w:hAnsi="Palatino Linotype" w:cs="Arial"/>
          <w:lang w:val="es-ES"/>
        </w:rPr>
        <w:t xml:space="preserve">ntregar vía </w:t>
      </w:r>
      <w:r w:rsidR="003D50AD" w:rsidRPr="00B73666">
        <w:rPr>
          <w:rFonts w:ascii="Palatino Linotype" w:eastAsia="Times New Roman" w:hAnsi="Palatino Linotype" w:cs="Arial"/>
        </w:rPr>
        <w:t>Sistema de Acceso a Información Mexiquense (</w:t>
      </w:r>
      <w:r w:rsidR="003D50AD" w:rsidRPr="00B73666">
        <w:rPr>
          <w:rFonts w:ascii="Palatino Linotype" w:eastAsia="Times New Roman" w:hAnsi="Palatino Linotype" w:cs="Arial"/>
          <w:i/>
        </w:rPr>
        <w:t>SAIMEX</w:t>
      </w:r>
      <w:r w:rsidR="003D50AD" w:rsidRPr="00B73666">
        <w:rPr>
          <w:rFonts w:ascii="Palatino Linotype" w:eastAsia="Times New Roman" w:hAnsi="Palatino Linotype" w:cs="Arial"/>
        </w:rPr>
        <w:t>)</w:t>
      </w:r>
      <w:r w:rsidR="008D1B69" w:rsidRPr="00B73666">
        <w:rPr>
          <w:rFonts w:ascii="Palatino Linotype" w:eastAsia="Times New Roman" w:hAnsi="Palatino Linotype" w:cs="Arial"/>
          <w:lang w:val="es-ES"/>
        </w:rPr>
        <w:t xml:space="preserve">, </w:t>
      </w:r>
      <w:r w:rsidR="00E53FFA" w:rsidRPr="00B73666">
        <w:rPr>
          <w:rFonts w:ascii="Palatino Linotype" w:eastAsia="Times New Roman" w:hAnsi="Palatino Linotype" w:cs="Arial"/>
          <w:lang w:val="es-ES"/>
        </w:rPr>
        <w:t>de ser procedente en versión pública,</w:t>
      </w:r>
      <w:r w:rsidR="00D41C54" w:rsidRPr="00B73666">
        <w:rPr>
          <w:rFonts w:ascii="Palatino Linotype" w:eastAsia="Times New Roman" w:hAnsi="Palatino Linotype" w:cs="Arial"/>
          <w:lang w:val="es-ES"/>
        </w:rPr>
        <w:t xml:space="preserve"> </w:t>
      </w:r>
      <w:r w:rsidR="00B46E93" w:rsidRPr="00B73666">
        <w:rPr>
          <w:rFonts w:ascii="Palatino Linotype" w:eastAsia="Times New Roman" w:hAnsi="Palatino Linotype" w:cs="Arial"/>
          <w:lang w:val="es-ES"/>
        </w:rPr>
        <w:t>del ejercicio dos mil dieciocho, las faltantes del dos mil diecinueve y, del uno (01) al veintitrés (23) de enero de dos mil veinte, la siguiente información</w:t>
      </w:r>
      <w:r w:rsidR="003D50AD" w:rsidRPr="00B73666">
        <w:rPr>
          <w:rFonts w:ascii="Palatino Linotype" w:eastAsia="Calibri" w:hAnsi="Palatino Linotype" w:cs="Arial"/>
          <w:lang w:val="es-ES"/>
        </w:rPr>
        <w:t>:</w:t>
      </w:r>
    </w:p>
    <w:p w14:paraId="1A7D6B0E" w14:textId="44A7C4DF" w:rsidR="006150F7" w:rsidRPr="00B73666" w:rsidRDefault="006150F7" w:rsidP="001B4D2F">
      <w:pPr>
        <w:pStyle w:val="Prrafodelista"/>
        <w:numPr>
          <w:ilvl w:val="1"/>
          <w:numId w:val="26"/>
        </w:numPr>
        <w:tabs>
          <w:tab w:val="left" w:pos="142"/>
          <w:tab w:val="left" w:pos="284"/>
        </w:tabs>
        <w:spacing w:before="240" w:after="240" w:line="360" w:lineRule="auto"/>
        <w:ind w:left="851" w:right="567" w:hanging="284"/>
        <w:jc w:val="both"/>
        <w:rPr>
          <w:rFonts w:ascii="Palatino Linotype" w:eastAsia="Calibri" w:hAnsi="Palatino Linotype" w:cs="Arial"/>
          <w:b/>
        </w:rPr>
      </w:pPr>
      <w:bookmarkStart w:id="44" w:name="_Toc503891610"/>
      <w:bookmarkStart w:id="45" w:name="_Toc453696503"/>
      <w:bookmarkStart w:id="46" w:name="_Toc454301156"/>
      <w:bookmarkStart w:id="47" w:name="_Toc462653938"/>
      <w:bookmarkStart w:id="48" w:name="_Toc477891769"/>
      <w:bookmarkStart w:id="49" w:name="_Toc477891859"/>
      <w:bookmarkStart w:id="50" w:name="_Toc481576260"/>
      <w:bookmarkStart w:id="51" w:name="_Toc492590392"/>
      <w:r w:rsidRPr="00B73666">
        <w:rPr>
          <w:rFonts w:ascii="Palatino Linotype" w:hAnsi="Palatino Linotype" w:cs="Arial"/>
          <w:b/>
          <w:szCs w:val="23"/>
        </w:rPr>
        <w:t>Actas de las sesiones ordinarias y extraordinarias celebradas por el Comité de Adquisiciones y Servicios</w:t>
      </w:r>
      <w:r w:rsidR="00B46E93" w:rsidRPr="00B73666">
        <w:rPr>
          <w:rFonts w:ascii="Palatino Linotype" w:hAnsi="Palatino Linotype" w:cs="Arial"/>
          <w:b/>
          <w:szCs w:val="23"/>
        </w:rPr>
        <w:t>.</w:t>
      </w:r>
    </w:p>
    <w:p w14:paraId="350C782B" w14:textId="251B228B" w:rsidR="00ED0127" w:rsidRPr="00B73666" w:rsidRDefault="00ED0127" w:rsidP="004C0DA1">
      <w:pPr>
        <w:spacing w:line="360" w:lineRule="auto"/>
        <w:jc w:val="both"/>
        <w:rPr>
          <w:rFonts w:ascii="Palatino Linotype" w:eastAsia="Palatino Linotype" w:hAnsi="Palatino Linotype" w:cs="Palatino Linotype"/>
        </w:rPr>
      </w:pPr>
      <w:bookmarkStart w:id="52" w:name="_GoBack"/>
      <w:bookmarkEnd w:id="44"/>
      <w:bookmarkEnd w:id="45"/>
      <w:bookmarkEnd w:id="46"/>
      <w:bookmarkEnd w:id="47"/>
      <w:bookmarkEnd w:id="48"/>
      <w:bookmarkEnd w:id="49"/>
      <w:bookmarkEnd w:id="50"/>
      <w:bookmarkEnd w:id="51"/>
      <w:bookmarkEnd w:id="52"/>
      <w:r w:rsidRPr="00B73666">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D08F502" w14:textId="77777777" w:rsidR="00ED0127" w:rsidRPr="00B73666" w:rsidRDefault="00ED0127" w:rsidP="004C0DA1">
      <w:pPr>
        <w:spacing w:line="360" w:lineRule="auto"/>
        <w:jc w:val="both"/>
        <w:rPr>
          <w:rFonts w:ascii="Palatino Linotype" w:eastAsia="Palatino Linotype" w:hAnsi="Palatino Linotype" w:cs="Palatino Linotype"/>
          <w:b/>
        </w:rPr>
      </w:pPr>
    </w:p>
    <w:p w14:paraId="6FC2C364" w14:textId="77777777" w:rsidR="003D50AD" w:rsidRPr="00B73666" w:rsidRDefault="008C54C1" w:rsidP="004C0DA1">
      <w:pPr>
        <w:spacing w:line="360" w:lineRule="auto"/>
        <w:jc w:val="both"/>
        <w:rPr>
          <w:rFonts w:ascii="Palatino Linotype" w:hAnsi="Palatino Linotype"/>
          <w:shd w:val="clear" w:color="auto" w:fill="FFFFFF"/>
        </w:rPr>
      </w:pPr>
      <w:r w:rsidRPr="00B73666">
        <w:rPr>
          <w:rFonts w:ascii="Palatino Linotype" w:eastAsia="Palatino Linotype" w:hAnsi="Palatino Linotype" w:cs="Palatino Linotype"/>
          <w:b/>
        </w:rPr>
        <w:t>TERCERO. Notifíquese</w:t>
      </w:r>
      <w:r w:rsidRPr="00B73666">
        <w:rPr>
          <w:rFonts w:ascii="Palatino Linotype" w:eastAsia="Palatino Linotype" w:hAnsi="Palatino Linotype" w:cs="Palatino Linotype"/>
        </w:rPr>
        <w:t xml:space="preserve"> </w:t>
      </w:r>
      <w:r w:rsidR="003D50AD" w:rsidRPr="00B73666">
        <w:rPr>
          <w:rFonts w:ascii="Palatino Linotype" w:eastAsia="Palatino Linotype" w:hAnsi="Palatino Linotype" w:cs="Palatino Linotype"/>
        </w:rPr>
        <w:t xml:space="preserve">al Titular de la Unidad de Transparencia del </w:t>
      </w:r>
      <w:r w:rsidR="003D50AD" w:rsidRPr="00B73666">
        <w:rPr>
          <w:rFonts w:ascii="Palatino Linotype" w:eastAsia="Palatino Linotype" w:hAnsi="Palatino Linotype" w:cs="Palatino Linotype"/>
          <w:b/>
        </w:rPr>
        <w:t>SUJETO OBLIGADO</w:t>
      </w:r>
      <w:r w:rsidR="003D50AD" w:rsidRPr="00B7366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B73666">
        <w:rPr>
          <w:rFonts w:ascii="Palatino Linotype" w:hAnsi="Palatino Linotype"/>
          <w:shd w:val="clear" w:color="auto" w:fill="FFFFFF"/>
        </w:rPr>
        <w:t xml:space="preserve">vigente, dé cumplimiento a lo ordenado dentro del </w:t>
      </w:r>
      <w:r w:rsidR="003D50AD" w:rsidRPr="00B73666">
        <w:rPr>
          <w:rFonts w:ascii="Palatino Linotype" w:hAnsi="Palatino Linotype"/>
          <w:shd w:val="clear" w:color="auto" w:fill="FFFFFF"/>
        </w:rPr>
        <w:lastRenderedPageBreak/>
        <w:t>plazo de diez días hábiles, debiendo rendir a este Instituto el informe de cumplimiento de la resolución en un plazo de tres días hábiles posteriores.</w:t>
      </w:r>
    </w:p>
    <w:p w14:paraId="1DCECA8B" w14:textId="77777777" w:rsidR="008C54C1" w:rsidRPr="00B73666" w:rsidRDefault="008C54C1" w:rsidP="004C0DA1">
      <w:pPr>
        <w:spacing w:line="360" w:lineRule="auto"/>
        <w:jc w:val="both"/>
        <w:rPr>
          <w:rFonts w:ascii="Palatino Linotype" w:hAnsi="Palatino Linotype"/>
          <w:shd w:val="clear" w:color="auto" w:fill="FFFFFF"/>
        </w:rPr>
      </w:pPr>
    </w:p>
    <w:p w14:paraId="213CE9AD" w14:textId="2544DAA7" w:rsidR="00FD7733" w:rsidRPr="00B73666" w:rsidRDefault="008C54C1" w:rsidP="004C0DA1">
      <w:pPr>
        <w:spacing w:line="360" w:lineRule="auto"/>
        <w:jc w:val="both"/>
        <w:rPr>
          <w:rFonts w:ascii="Palatino Linotype" w:eastAsia="Times New Roman" w:hAnsi="Palatino Linotype" w:cs="Times New Roman"/>
          <w:lang w:val="es-ES" w:eastAsia="es-MX"/>
        </w:rPr>
      </w:pPr>
      <w:r w:rsidRPr="00B73666">
        <w:rPr>
          <w:rFonts w:ascii="Palatino Linotype" w:eastAsia="Times New Roman" w:hAnsi="Palatino Linotype" w:cs="Arial"/>
          <w:b/>
          <w:lang w:val="es-ES"/>
        </w:rPr>
        <w:t>CUARTO.</w:t>
      </w:r>
      <w:r w:rsidR="00951021" w:rsidRPr="00B73666">
        <w:rPr>
          <w:rFonts w:ascii="Palatino Linotype" w:eastAsia="Times New Roman" w:hAnsi="Palatino Linotype" w:cs="Arial"/>
          <w:lang w:val="es-ES"/>
        </w:rPr>
        <w:t xml:space="preserve"> Notifíquese </w:t>
      </w:r>
      <w:r w:rsidR="008D1B69" w:rsidRPr="00B73666">
        <w:rPr>
          <w:rFonts w:ascii="Palatino Linotype" w:eastAsia="Times New Roman" w:hAnsi="Palatino Linotype" w:cs="Arial"/>
          <w:lang w:val="es-ES"/>
        </w:rPr>
        <w:t>a</w:t>
      </w:r>
      <w:r w:rsidR="00DF2FA3" w:rsidRPr="00B73666">
        <w:rPr>
          <w:rFonts w:ascii="Palatino Linotype" w:eastAsia="Times New Roman" w:hAnsi="Palatino Linotype" w:cs="Arial"/>
          <w:lang w:val="es-ES"/>
        </w:rPr>
        <w:t xml:space="preserve"> </w:t>
      </w:r>
      <w:r w:rsidR="00D72878" w:rsidRPr="00D72878">
        <w:rPr>
          <w:rFonts w:ascii="Palatino Linotype" w:eastAsia="Times New Roman" w:hAnsi="Palatino Linotype" w:cs="Arial"/>
          <w:b/>
          <w:highlight w:val="black"/>
          <w:lang w:val="es-ES"/>
        </w:rPr>
        <w:t>****************</w:t>
      </w:r>
      <w:r w:rsidR="008D1B69" w:rsidRPr="00B73666">
        <w:rPr>
          <w:rFonts w:ascii="Palatino Linotype" w:eastAsia="Times New Roman" w:hAnsi="Palatino Linotype" w:cs="Arial"/>
          <w:lang w:val="es-ES"/>
        </w:rPr>
        <w:t xml:space="preserve"> </w:t>
      </w:r>
      <w:r w:rsidR="003D50AD" w:rsidRPr="00B73666">
        <w:rPr>
          <w:rStyle w:val="Ttulo2Car"/>
          <w:rFonts w:ascii="Palatino Linotype" w:hAnsi="Palatino Linotype"/>
          <w:color w:val="auto"/>
          <w:sz w:val="24"/>
          <w:szCs w:val="24"/>
        </w:rPr>
        <w:t>la presente</w:t>
      </w:r>
      <w:r w:rsidR="00FD7733" w:rsidRPr="00B73666">
        <w:rPr>
          <w:rFonts w:ascii="Palatino Linotype" w:eastAsia="Times New Roman" w:hAnsi="Palatino Linotype" w:cs="Times New Roman"/>
          <w:lang w:val="es-ES" w:eastAsia="es-MX"/>
        </w:rPr>
        <w:t xml:space="preserve"> resolución</w:t>
      </w:r>
      <w:r w:rsidR="0065533B" w:rsidRPr="00B73666">
        <w:rPr>
          <w:rFonts w:ascii="Palatino Linotype" w:eastAsia="Times New Roman" w:hAnsi="Palatino Linotype" w:cs="Times New Roman"/>
          <w:lang w:val="es-ES" w:eastAsia="es-MX"/>
        </w:rPr>
        <w:t>.</w:t>
      </w:r>
    </w:p>
    <w:p w14:paraId="38DD47A6" w14:textId="77777777" w:rsidR="0065533B" w:rsidRPr="00B73666" w:rsidRDefault="0065533B" w:rsidP="004C0DA1">
      <w:pPr>
        <w:spacing w:line="360" w:lineRule="auto"/>
        <w:jc w:val="both"/>
        <w:rPr>
          <w:rFonts w:ascii="Palatino Linotype" w:eastAsia="Times New Roman" w:hAnsi="Palatino Linotype" w:cs="Arial"/>
          <w:b/>
          <w:lang w:val="es-ES"/>
        </w:rPr>
      </w:pPr>
    </w:p>
    <w:p w14:paraId="1C126ED1" w14:textId="0AD2F2BD" w:rsidR="003D50AD" w:rsidRPr="00B73666" w:rsidRDefault="003D50AD" w:rsidP="004C0DA1">
      <w:pPr>
        <w:spacing w:line="360" w:lineRule="auto"/>
        <w:jc w:val="both"/>
        <w:rPr>
          <w:rFonts w:ascii="Palatino Linotype" w:eastAsia="Times New Roman" w:hAnsi="Palatino Linotype" w:cs="Times New Roman"/>
          <w:lang w:val="es-ES" w:eastAsia="es-MX"/>
        </w:rPr>
      </w:pPr>
      <w:r w:rsidRPr="00B73666">
        <w:rPr>
          <w:rFonts w:ascii="Palatino Linotype" w:eastAsia="Calibri" w:hAnsi="Palatino Linotype" w:cs="Times New Roman"/>
          <w:b/>
          <w:lang w:val="es-MX" w:eastAsia="en-US"/>
        </w:rPr>
        <w:t>QUINTO.</w:t>
      </w:r>
      <w:r w:rsidRPr="00B73666">
        <w:rPr>
          <w:rFonts w:ascii="Palatino Linotype" w:eastAsia="Calibri" w:hAnsi="Palatino Linotype" w:cs="Times New Roman"/>
          <w:lang w:val="es-MX" w:eastAsia="en-US"/>
        </w:rPr>
        <w:t xml:space="preserve"> </w:t>
      </w:r>
      <w:r w:rsidR="00FD7733" w:rsidRPr="00B73666">
        <w:rPr>
          <w:rFonts w:ascii="Palatino Linotype" w:eastAsia="Times New Roman" w:hAnsi="Palatino Linotype" w:cs="Times New Roman"/>
          <w:lang w:val="es-ES" w:eastAsia="es-MX"/>
        </w:rPr>
        <w:t xml:space="preserve">Se hace del conocimiento de </w:t>
      </w:r>
      <w:r w:rsidR="00D72878" w:rsidRPr="00D72878">
        <w:rPr>
          <w:rFonts w:ascii="Palatino Linotype" w:eastAsia="Times New Roman" w:hAnsi="Palatino Linotype" w:cs="Arial"/>
          <w:b/>
          <w:highlight w:val="black"/>
          <w:lang w:val="es-ES"/>
        </w:rPr>
        <w:t>****************</w:t>
      </w:r>
      <w:r w:rsidR="00D72878">
        <w:rPr>
          <w:rFonts w:ascii="Palatino Linotype" w:eastAsia="Times New Roman" w:hAnsi="Palatino Linotype" w:cs="Arial"/>
          <w:b/>
          <w:lang w:val="es-ES"/>
        </w:rPr>
        <w:t xml:space="preserve"> </w:t>
      </w:r>
      <w:r w:rsidRPr="00B73666">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B73666">
        <w:rPr>
          <w:rFonts w:ascii="Palatino Linotype" w:eastAsia="Times New Roman" w:hAnsi="Palatino Linotype" w:cs="Times New Roman"/>
          <w:lang w:val="es-ES" w:eastAsia="es-MX"/>
        </w:rPr>
        <w:t xml:space="preserve"> </w:t>
      </w:r>
      <w:r w:rsidRPr="00B73666">
        <w:rPr>
          <w:rFonts w:ascii="Palatino Linotype" w:eastAsia="Times New Roman" w:hAnsi="Palatino Linotype" w:cs="Times New Roman"/>
          <w:bCs/>
          <w:lang w:val="es-ES" w:eastAsia="es-MX"/>
        </w:rPr>
        <w:t>vía juicio de amparo</w:t>
      </w:r>
      <w:r w:rsidR="00110244" w:rsidRPr="00B73666">
        <w:rPr>
          <w:rFonts w:ascii="Palatino Linotype" w:eastAsia="Times New Roman" w:hAnsi="Palatino Linotype" w:cs="Times New Roman"/>
          <w:bCs/>
          <w:lang w:val="es-ES" w:eastAsia="es-MX"/>
        </w:rPr>
        <w:t xml:space="preserve"> </w:t>
      </w:r>
      <w:r w:rsidRPr="00B73666">
        <w:rPr>
          <w:rFonts w:ascii="Palatino Linotype" w:eastAsia="Times New Roman" w:hAnsi="Palatino Linotype" w:cs="Times New Roman"/>
          <w:lang w:val="es-ES" w:eastAsia="es-MX"/>
        </w:rPr>
        <w:t>en los términos de las leyes aplicables.</w:t>
      </w:r>
    </w:p>
    <w:p w14:paraId="0A3214A8" w14:textId="77777777" w:rsidR="00D41C54" w:rsidRPr="00B73666" w:rsidRDefault="00D41C54" w:rsidP="004C0DA1">
      <w:pPr>
        <w:spacing w:line="360" w:lineRule="auto"/>
        <w:jc w:val="both"/>
        <w:rPr>
          <w:rFonts w:ascii="Palatino Linotype" w:eastAsia="Times New Roman" w:hAnsi="Palatino Linotype" w:cs="Times New Roman"/>
          <w:lang w:val="es-ES" w:eastAsia="es-MX"/>
        </w:rPr>
      </w:pPr>
    </w:p>
    <w:p w14:paraId="3E4F2482" w14:textId="3E409BC0" w:rsidR="00D41C54" w:rsidRPr="00B73666" w:rsidRDefault="00D41C54" w:rsidP="00D41C54">
      <w:pPr>
        <w:spacing w:line="360" w:lineRule="auto"/>
        <w:jc w:val="both"/>
        <w:rPr>
          <w:rFonts w:ascii="Palatino Linotype" w:eastAsia="Times New Roman" w:hAnsi="Palatino Linotype" w:cs="Times New Roman"/>
          <w:lang w:val="es-MX" w:eastAsia="es-MX"/>
        </w:rPr>
      </w:pPr>
      <w:r w:rsidRPr="00B73666">
        <w:rPr>
          <w:rFonts w:ascii="Palatino Linotype" w:eastAsia="Times New Roman" w:hAnsi="Palatino Linotype" w:cs="Times New Roman"/>
          <w:b/>
          <w:lang w:val="es-MX" w:eastAsia="es-MX"/>
        </w:rPr>
        <w:t>SEXTO.</w:t>
      </w:r>
      <w:r w:rsidRPr="00B73666">
        <w:rPr>
          <w:rFonts w:ascii="Palatino Linotype" w:eastAsia="Times New Roman" w:hAnsi="Palatino Linotype" w:cs="Times New Roman"/>
          <w:lang w:val="es-MX" w:eastAsia="es-MX"/>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73666">
        <w:rPr>
          <w:rFonts w:ascii="Palatino Linotype" w:eastAsia="Times New Roman" w:hAnsi="Palatino Linotype" w:cs="Times New Roman"/>
          <w:b/>
          <w:lang w:val="es-MX" w:eastAsia="es-MX"/>
        </w:rPr>
        <w:t xml:space="preserve">Considerando </w:t>
      </w:r>
      <w:r w:rsidR="006150F7" w:rsidRPr="00B73666">
        <w:rPr>
          <w:rFonts w:ascii="Palatino Linotype" w:eastAsia="Times New Roman" w:hAnsi="Palatino Linotype" w:cs="Times New Roman"/>
          <w:b/>
          <w:lang w:val="es-MX" w:eastAsia="es-MX"/>
        </w:rPr>
        <w:t>SEXTO</w:t>
      </w:r>
      <w:r w:rsidRPr="00B73666">
        <w:rPr>
          <w:rFonts w:ascii="Palatino Linotype" w:eastAsia="Times New Roman" w:hAnsi="Palatino Linotype" w:cs="Times New Roman"/>
          <w:lang w:val="es-MX" w:eastAsia="es-MX"/>
        </w:rPr>
        <w:t xml:space="preserve">. </w:t>
      </w:r>
    </w:p>
    <w:p w14:paraId="7D3860E5" w14:textId="74BFED2E" w:rsidR="008C54C1" w:rsidRPr="00B73666" w:rsidRDefault="008C54C1" w:rsidP="004C0DA1">
      <w:pPr>
        <w:spacing w:line="360" w:lineRule="auto"/>
        <w:jc w:val="both"/>
        <w:rPr>
          <w:rFonts w:ascii="Palatino Linotype" w:eastAsia="Times New Roman" w:hAnsi="Palatino Linotype" w:cs="Times New Roman"/>
          <w:lang w:val="es-ES" w:eastAsia="es-MX"/>
        </w:rPr>
      </w:pPr>
    </w:p>
    <w:p w14:paraId="01FB032A" w14:textId="248F04CB" w:rsidR="00C441EE" w:rsidRDefault="00C441EE" w:rsidP="004C0DA1">
      <w:pPr>
        <w:spacing w:line="360" w:lineRule="auto"/>
        <w:jc w:val="both"/>
        <w:rPr>
          <w:rFonts w:ascii="Palatino Linotype" w:eastAsia="Times New Roman" w:hAnsi="Palatino Linotype" w:cs="Times New Roman"/>
          <w:lang w:eastAsia="es-MX"/>
        </w:rPr>
      </w:pPr>
      <w:r w:rsidRPr="00B73666">
        <w:rPr>
          <w:rFonts w:ascii="Palatino Linotype" w:eastAsia="Times New Roman" w:hAnsi="Palatino Linotype" w:cs="Times New Roman"/>
          <w:b/>
          <w:bCs/>
          <w:lang w:eastAsia="es-MX"/>
        </w:rPr>
        <w:t>SÉPTIMO.</w:t>
      </w:r>
      <w:r w:rsidRPr="00B73666">
        <w:rPr>
          <w:rFonts w:ascii="Palatino Linotype" w:eastAsia="Times New Roman" w:hAnsi="Palatino Linotype" w:cs="Times New Roman"/>
          <w:lang w:eastAsia="es-MX"/>
        </w:rPr>
        <w:t xml:space="preserve"> Con fundamento en el artículo 198 de la Ley de Transparencia y Acceso a la Información Pública del Estado de México y Municipios, se apercibe al </w:t>
      </w:r>
      <w:r w:rsidRPr="00B73666">
        <w:rPr>
          <w:rFonts w:ascii="Palatino Linotype" w:eastAsia="Times New Roman" w:hAnsi="Palatino Linotype" w:cs="Times New Roman"/>
          <w:b/>
          <w:bCs/>
          <w:lang w:eastAsia="es-MX"/>
        </w:rPr>
        <w:t xml:space="preserve">SUJETO OBLIGADO </w:t>
      </w:r>
      <w:r w:rsidRPr="00B73666">
        <w:rPr>
          <w:rFonts w:ascii="Palatino Linotype" w:eastAsia="Times New Roman" w:hAnsi="Palatino Linotype" w:cs="Times New Roman"/>
          <w:lang w:eastAsia="es-MX"/>
        </w:rPr>
        <w:t>de que, en caso de incumplimiento total o parcial de la presente resolución, se actuará de conformidad con lo dispuesto en los artículos 213, 214, 215, 216 y 217 de la ley en cita</w:t>
      </w:r>
      <w:r w:rsidR="00B73666">
        <w:rPr>
          <w:rFonts w:ascii="Palatino Linotype" w:eastAsia="Times New Roman" w:hAnsi="Palatino Linotype" w:cs="Times New Roman"/>
          <w:lang w:eastAsia="es-MX"/>
        </w:rPr>
        <w:t>.</w:t>
      </w:r>
    </w:p>
    <w:p w14:paraId="1DB7A701" w14:textId="77777777" w:rsidR="00B73666" w:rsidRDefault="00B73666" w:rsidP="004C0DA1">
      <w:pPr>
        <w:spacing w:line="360" w:lineRule="auto"/>
        <w:jc w:val="both"/>
        <w:rPr>
          <w:rFonts w:ascii="Palatino Linotype" w:eastAsia="Times New Roman" w:hAnsi="Palatino Linotype" w:cs="Times New Roman"/>
          <w:lang w:eastAsia="es-MX"/>
        </w:rPr>
      </w:pPr>
    </w:p>
    <w:p w14:paraId="47E6389A" w14:textId="77777777" w:rsidR="00B73666" w:rsidRPr="00B73666" w:rsidRDefault="00B73666" w:rsidP="00B73666">
      <w:pPr>
        <w:spacing w:line="360" w:lineRule="auto"/>
        <w:jc w:val="both"/>
        <w:rPr>
          <w:rFonts w:ascii="Palatino Linotype" w:hAnsi="Palatino Linotype"/>
          <w:sz w:val="22"/>
        </w:rPr>
      </w:pPr>
      <w:r w:rsidRPr="00B73666">
        <w:rPr>
          <w:rFonts w:ascii="Palatino Linotype" w:hAnsi="Palatino Linotype" w:cs="Arial"/>
          <w:sz w:val="22"/>
        </w:rPr>
        <w:lastRenderedPageBreak/>
        <w:t>ASÍ LO RESUELVE, POR UNANIMIDAD DE VOTOS, EL PLENO DEL</w:t>
      </w:r>
      <w:r w:rsidRPr="00B73666">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B73666">
        <w:rPr>
          <w:rFonts w:ascii="Palatino Linotype" w:hAnsi="Palatino Linotype" w:cs="Arial"/>
          <w:sz w:val="22"/>
        </w:rPr>
        <w:t xml:space="preserve">, CONFORMADO POR LOS COMISIONADOS ZULEMA MARTÍNEZ SÁNCHEZ, EVA ABAID YAPUR, JOSÉ GUADALUPE LUNA HERNÁNDEZ, JAVIER MARTÍNEZ CRUZ Y LUIS GUSTAVO PARRA NORIEGA, EN LA DÉCIMO QUINTA SESIÓN ORDINARIA CELEBRADA EL </w:t>
      </w:r>
      <w:r w:rsidRPr="00B73666">
        <w:rPr>
          <w:rFonts w:ascii="Palatino Linotype" w:eastAsia="Times New Roman" w:hAnsi="Palatino Linotype" w:cs="Arial"/>
          <w:color w:val="000000"/>
          <w:sz w:val="22"/>
          <w:lang w:eastAsia="es-MX"/>
        </w:rPr>
        <w:t xml:space="preserve">VEINTISÉIS DE AGOSTO  DE  </w:t>
      </w:r>
      <w:r w:rsidRPr="00B73666">
        <w:rPr>
          <w:rFonts w:ascii="Palatino Linotype" w:hAnsi="Palatino Linotype" w:cs="Arial"/>
          <w:sz w:val="22"/>
        </w:rPr>
        <w:t>DOS MIL VEINTE, ANTE EL SECRETARIO TÉCNICO DEL PLENO, ALEXIS TAPIA RAMÍREZ.</w:t>
      </w:r>
    </w:p>
    <w:p w14:paraId="66164974" w14:textId="77777777" w:rsidR="00B73666" w:rsidRDefault="00B73666" w:rsidP="00B73666">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B73666" w14:paraId="30AF3A82" w14:textId="77777777" w:rsidTr="00B73666">
        <w:trPr>
          <w:jc w:val="center"/>
        </w:trPr>
        <w:tc>
          <w:tcPr>
            <w:tcW w:w="10368" w:type="dxa"/>
            <w:gridSpan w:val="2"/>
          </w:tcPr>
          <w:p w14:paraId="000CDB5C" w14:textId="77777777" w:rsidR="00B73666" w:rsidRDefault="00B73666">
            <w:pPr>
              <w:rPr>
                <w:rFonts w:ascii="Palatino Linotype" w:hAnsi="Palatino Linotype"/>
              </w:rPr>
            </w:pPr>
          </w:p>
          <w:tbl>
            <w:tblPr>
              <w:tblW w:w="0" w:type="dxa"/>
              <w:jc w:val="center"/>
              <w:tblLayout w:type="fixed"/>
              <w:tblLook w:val="04A0" w:firstRow="1" w:lastRow="0" w:firstColumn="1" w:lastColumn="0" w:noHBand="0" w:noVBand="1"/>
            </w:tblPr>
            <w:tblGrid>
              <w:gridCol w:w="5182"/>
              <w:gridCol w:w="5058"/>
            </w:tblGrid>
            <w:tr w:rsidR="00B73666" w14:paraId="1076DAEB" w14:textId="77777777">
              <w:trPr>
                <w:jc w:val="center"/>
              </w:trPr>
              <w:tc>
                <w:tcPr>
                  <w:tcW w:w="10240" w:type="dxa"/>
                  <w:gridSpan w:val="2"/>
                  <w:hideMark/>
                </w:tcPr>
                <w:p w14:paraId="08480156" w14:textId="77777777" w:rsidR="00B73666" w:rsidRDefault="00B73666">
                  <w:pPr>
                    <w:spacing w:line="0" w:lineRule="atLeast"/>
                    <w:jc w:val="center"/>
                    <w:rPr>
                      <w:rFonts w:ascii="Palatino Linotype" w:hAnsi="Palatino Linotype" w:cs="Arial"/>
                      <w:b/>
                    </w:rPr>
                  </w:pPr>
                  <w:r>
                    <w:rPr>
                      <w:rFonts w:ascii="Palatino Linotype" w:hAnsi="Palatino Linotype" w:cs="Arial"/>
                      <w:b/>
                    </w:rPr>
                    <w:t>Zulema Martínez Sánchez</w:t>
                  </w:r>
                </w:p>
                <w:p w14:paraId="4D67FA76" w14:textId="77777777" w:rsidR="00B73666" w:rsidRDefault="00B73666">
                  <w:pPr>
                    <w:spacing w:line="0" w:lineRule="atLeast"/>
                    <w:jc w:val="center"/>
                    <w:rPr>
                      <w:rFonts w:ascii="Palatino Linotype" w:hAnsi="Palatino Linotype" w:cs="Arial"/>
                      <w:b/>
                    </w:rPr>
                  </w:pPr>
                  <w:r>
                    <w:rPr>
                      <w:rFonts w:ascii="Palatino Linotype" w:hAnsi="Palatino Linotype" w:cs="Arial"/>
                    </w:rPr>
                    <w:t>Comisionada Presidenta</w:t>
                  </w:r>
                </w:p>
                <w:p w14:paraId="29006D89" w14:textId="77777777" w:rsidR="00B73666" w:rsidRDefault="00B73666">
                  <w:pPr>
                    <w:spacing w:line="0" w:lineRule="atLeast"/>
                    <w:jc w:val="center"/>
                    <w:rPr>
                      <w:rFonts w:ascii="Palatino Linotype" w:hAnsi="Palatino Linotype" w:cs="Arial"/>
                      <w:b/>
                    </w:rPr>
                  </w:pPr>
                  <w:r>
                    <w:rPr>
                      <w:rFonts w:ascii="Palatino Linotype" w:hAnsi="Palatino Linotype" w:cs="Arial"/>
                      <w:b/>
                    </w:rPr>
                    <w:t xml:space="preserve">(RÚBRICA) </w:t>
                  </w:r>
                </w:p>
              </w:tc>
            </w:tr>
            <w:tr w:rsidR="00B73666" w14:paraId="0FA3FD69" w14:textId="77777777">
              <w:trPr>
                <w:jc w:val="center"/>
              </w:trPr>
              <w:tc>
                <w:tcPr>
                  <w:tcW w:w="5182" w:type="dxa"/>
                </w:tcPr>
                <w:p w14:paraId="3AB91B0D" w14:textId="77777777" w:rsidR="00B73666" w:rsidRDefault="00B73666">
                  <w:pPr>
                    <w:spacing w:line="0" w:lineRule="atLeast"/>
                    <w:jc w:val="center"/>
                    <w:rPr>
                      <w:rFonts w:ascii="Palatino Linotype" w:hAnsi="Palatino Linotype" w:cs="Arial"/>
                      <w:b/>
                    </w:rPr>
                  </w:pPr>
                </w:p>
                <w:p w14:paraId="07C57AE1" w14:textId="77777777" w:rsidR="00B73666" w:rsidRDefault="00B73666">
                  <w:pPr>
                    <w:spacing w:line="0" w:lineRule="atLeast"/>
                    <w:jc w:val="center"/>
                    <w:rPr>
                      <w:rFonts w:ascii="Palatino Linotype" w:hAnsi="Palatino Linotype" w:cs="Arial"/>
                      <w:b/>
                    </w:rPr>
                  </w:pPr>
                </w:p>
                <w:p w14:paraId="3E07CEF9" w14:textId="77777777" w:rsidR="00B73666" w:rsidRDefault="00B73666">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4C9BFA00" w14:textId="77777777" w:rsidR="00B73666" w:rsidRDefault="00B73666">
                  <w:pPr>
                    <w:spacing w:line="0" w:lineRule="atLeast"/>
                    <w:jc w:val="center"/>
                    <w:rPr>
                      <w:rFonts w:ascii="Palatino Linotype" w:hAnsi="Palatino Linotype" w:cs="Arial"/>
                    </w:rPr>
                  </w:pPr>
                  <w:r>
                    <w:rPr>
                      <w:rFonts w:ascii="Palatino Linotype" w:hAnsi="Palatino Linotype" w:cs="Arial"/>
                    </w:rPr>
                    <w:t>Comisionada</w:t>
                  </w:r>
                </w:p>
                <w:p w14:paraId="16D2C026" w14:textId="77777777" w:rsidR="00B73666" w:rsidRDefault="00B73666">
                  <w:pPr>
                    <w:spacing w:line="0" w:lineRule="atLeast"/>
                    <w:jc w:val="center"/>
                    <w:rPr>
                      <w:rFonts w:ascii="Palatino Linotype" w:hAnsi="Palatino Linotype" w:cs="Arial"/>
                      <w:b/>
                    </w:rPr>
                  </w:pPr>
                  <w:r>
                    <w:rPr>
                      <w:rFonts w:ascii="Palatino Linotype" w:hAnsi="Palatino Linotype" w:cs="Arial"/>
                      <w:b/>
                    </w:rPr>
                    <w:t>(RÚBRICA)</w:t>
                  </w:r>
                </w:p>
              </w:tc>
              <w:tc>
                <w:tcPr>
                  <w:tcW w:w="5058" w:type="dxa"/>
                </w:tcPr>
                <w:p w14:paraId="2E2225BB" w14:textId="77777777" w:rsidR="00B73666" w:rsidRDefault="00B73666">
                  <w:pPr>
                    <w:spacing w:line="0" w:lineRule="atLeast"/>
                    <w:jc w:val="center"/>
                    <w:rPr>
                      <w:rFonts w:ascii="Palatino Linotype" w:hAnsi="Palatino Linotype" w:cs="Arial"/>
                      <w:b/>
                    </w:rPr>
                  </w:pPr>
                </w:p>
                <w:p w14:paraId="128875C1" w14:textId="77777777" w:rsidR="00B73666" w:rsidRDefault="00B73666">
                  <w:pPr>
                    <w:spacing w:line="0" w:lineRule="atLeast"/>
                    <w:jc w:val="center"/>
                    <w:rPr>
                      <w:rFonts w:ascii="Palatino Linotype" w:hAnsi="Palatino Linotype" w:cs="Arial"/>
                      <w:b/>
                    </w:rPr>
                  </w:pPr>
                </w:p>
                <w:p w14:paraId="181A174D" w14:textId="77777777" w:rsidR="00B73666" w:rsidRDefault="00B73666">
                  <w:pPr>
                    <w:spacing w:line="0" w:lineRule="atLeast"/>
                    <w:jc w:val="center"/>
                    <w:rPr>
                      <w:rFonts w:ascii="Palatino Linotype" w:hAnsi="Palatino Linotype" w:cs="Arial"/>
                      <w:b/>
                    </w:rPr>
                  </w:pPr>
                  <w:r>
                    <w:rPr>
                      <w:rFonts w:ascii="Palatino Linotype" w:hAnsi="Palatino Linotype" w:cs="Arial"/>
                      <w:b/>
                    </w:rPr>
                    <w:t>José Guadalupe Luna Hernández</w:t>
                  </w:r>
                </w:p>
                <w:p w14:paraId="3BFCA290" w14:textId="77777777" w:rsidR="00B73666" w:rsidRDefault="00B73666">
                  <w:pPr>
                    <w:spacing w:line="0" w:lineRule="atLeast"/>
                    <w:jc w:val="center"/>
                    <w:rPr>
                      <w:rFonts w:ascii="Palatino Linotype" w:hAnsi="Palatino Linotype" w:cs="Arial"/>
                    </w:rPr>
                  </w:pPr>
                  <w:r>
                    <w:rPr>
                      <w:rFonts w:ascii="Palatino Linotype" w:hAnsi="Palatino Linotype" w:cs="Arial"/>
                    </w:rPr>
                    <w:t>Comisionado</w:t>
                  </w:r>
                </w:p>
                <w:p w14:paraId="65F553FD" w14:textId="77777777" w:rsidR="00B73666" w:rsidRDefault="00B73666">
                  <w:pPr>
                    <w:spacing w:line="0" w:lineRule="atLeast"/>
                    <w:jc w:val="center"/>
                    <w:rPr>
                      <w:rFonts w:ascii="Palatino Linotype" w:hAnsi="Palatino Linotype" w:cs="Arial"/>
                      <w:b/>
                    </w:rPr>
                  </w:pPr>
                  <w:r>
                    <w:rPr>
                      <w:rFonts w:ascii="Palatino Linotype" w:hAnsi="Palatino Linotype" w:cs="Arial"/>
                      <w:b/>
                    </w:rPr>
                    <w:t>(RÚBRICA)</w:t>
                  </w:r>
                </w:p>
              </w:tc>
            </w:tr>
            <w:tr w:rsidR="00B73666" w14:paraId="23C7A7BE" w14:textId="77777777">
              <w:trPr>
                <w:jc w:val="center"/>
              </w:trPr>
              <w:tc>
                <w:tcPr>
                  <w:tcW w:w="5182" w:type="dxa"/>
                </w:tcPr>
                <w:p w14:paraId="213D5939" w14:textId="77777777" w:rsidR="00B73666" w:rsidRDefault="00B73666">
                  <w:pPr>
                    <w:spacing w:line="0" w:lineRule="atLeast"/>
                    <w:jc w:val="center"/>
                    <w:rPr>
                      <w:rFonts w:ascii="Palatino Linotype" w:hAnsi="Palatino Linotype" w:cs="Arial"/>
                      <w:b/>
                    </w:rPr>
                  </w:pPr>
                </w:p>
                <w:p w14:paraId="49949C66" w14:textId="77777777" w:rsidR="00B73666" w:rsidRDefault="00B73666">
                  <w:pPr>
                    <w:spacing w:line="0" w:lineRule="atLeast"/>
                    <w:ind w:left="635"/>
                    <w:rPr>
                      <w:rFonts w:ascii="Palatino Linotype" w:hAnsi="Palatino Linotype" w:cs="Arial"/>
                      <w:b/>
                    </w:rPr>
                  </w:pPr>
                </w:p>
                <w:p w14:paraId="6540D3D6" w14:textId="77777777" w:rsidR="00B73666" w:rsidRDefault="00B73666">
                  <w:pPr>
                    <w:spacing w:line="0" w:lineRule="atLeast"/>
                    <w:jc w:val="center"/>
                    <w:rPr>
                      <w:rFonts w:ascii="Palatino Linotype" w:hAnsi="Palatino Linotype" w:cs="Arial"/>
                      <w:b/>
                    </w:rPr>
                  </w:pPr>
                </w:p>
                <w:p w14:paraId="030BB055" w14:textId="77777777" w:rsidR="00B73666" w:rsidRDefault="00B73666">
                  <w:pPr>
                    <w:spacing w:line="0" w:lineRule="atLeast"/>
                    <w:jc w:val="center"/>
                    <w:rPr>
                      <w:rFonts w:ascii="Palatino Linotype" w:hAnsi="Palatino Linotype" w:cs="Arial"/>
                      <w:b/>
                    </w:rPr>
                  </w:pPr>
                  <w:r>
                    <w:rPr>
                      <w:rFonts w:ascii="Palatino Linotype" w:hAnsi="Palatino Linotype" w:cs="Arial"/>
                      <w:b/>
                    </w:rPr>
                    <w:t>Javier Martínez Cruz</w:t>
                  </w:r>
                </w:p>
                <w:p w14:paraId="72785C75" w14:textId="77777777" w:rsidR="00B73666" w:rsidRDefault="00B73666">
                  <w:pPr>
                    <w:spacing w:line="0" w:lineRule="atLeast"/>
                    <w:jc w:val="center"/>
                    <w:rPr>
                      <w:rFonts w:ascii="Palatino Linotype" w:hAnsi="Palatino Linotype" w:cs="Arial"/>
                    </w:rPr>
                  </w:pPr>
                  <w:r>
                    <w:rPr>
                      <w:rFonts w:ascii="Palatino Linotype" w:hAnsi="Palatino Linotype" w:cs="Arial"/>
                    </w:rPr>
                    <w:t>Comisionado</w:t>
                  </w:r>
                </w:p>
                <w:p w14:paraId="0E7FDB76" w14:textId="77777777" w:rsidR="00B73666" w:rsidRDefault="00B73666">
                  <w:pPr>
                    <w:spacing w:line="0" w:lineRule="atLeast"/>
                    <w:jc w:val="center"/>
                    <w:rPr>
                      <w:rFonts w:ascii="Palatino Linotype" w:hAnsi="Palatino Linotype" w:cs="Arial"/>
                    </w:rPr>
                  </w:pPr>
                  <w:r>
                    <w:rPr>
                      <w:rFonts w:ascii="Palatino Linotype" w:hAnsi="Palatino Linotype" w:cs="Arial"/>
                      <w:b/>
                    </w:rPr>
                    <w:t>(RÚBRICA)</w:t>
                  </w:r>
                </w:p>
              </w:tc>
              <w:tc>
                <w:tcPr>
                  <w:tcW w:w="5058" w:type="dxa"/>
                </w:tcPr>
                <w:p w14:paraId="5A12F816" w14:textId="77777777" w:rsidR="00B73666" w:rsidRDefault="00B73666">
                  <w:pPr>
                    <w:spacing w:line="0" w:lineRule="atLeast"/>
                    <w:jc w:val="center"/>
                    <w:rPr>
                      <w:rFonts w:ascii="Palatino Linotype" w:hAnsi="Palatino Linotype" w:cs="Arial"/>
                      <w:b/>
                    </w:rPr>
                  </w:pPr>
                </w:p>
                <w:p w14:paraId="24C44301" w14:textId="77777777" w:rsidR="00B73666" w:rsidRDefault="00B73666">
                  <w:pPr>
                    <w:spacing w:line="0" w:lineRule="atLeast"/>
                    <w:jc w:val="center"/>
                    <w:rPr>
                      <w:rFonts w:ascii="Palatino Linotype" w:hAnsi="Palatino Linotype" w:cs="Arial"/>
                      <w:b/>
                    </w:rPr>
                  </w:pPr>
                </w:p>
                <w:p w14:paraId="184B3D21" w14:textId="77777777" w:rsidR="00B73666" w:rsidRDefault="00B73666">
                  <w:pPr>
                    <w:spacing w:line="0" w:lineRule="atLeast"/>
                    <w:rPr>
                      <w:rFonts w:ascii="Palatino Linotype" w:hAnsi="Palatino Linotype" w:cs="Arial"/>
                      <w:b/>
                    </w:rPr>
                  </w:pPr>
                </w:p>
                <w:p w14:paraId="1974E492" w14:textId="77777777" w:rsidR="00B73666" w:rsidRDefault="00B73666">
                  <w:pPr>
                    <w:spacing w:line="0" w:lineRule="atLeast"/>
                    <w:jc w:val="center"/>
                    <w:rPr>
                      <w:rFonts w:ascii="Palatino Linotype" w:hAnsi="Palatino Linotype" w:cs="Arial"/>
                      <w:b/>
                    </w:rPr>
                  </w:pPr>
                  <w:r>
                    <w:rPr>
                      <w:rFonts w:ascii="Palatino Linotype" w:hAnsi="Palatino Linotype" w:cs="Arial"/>
                      <w:b/>
                    </w:rPr>
                    <w:t>Luis Gustavo Parra Noriega</w:t>
                  </w:r>
                </w:p>
                <w:p w14:paraId="347176C1" w14:textId="77777777" w:rsidR="00B73666" w:rsidRDefault="00B73666">
                  <w:pPr>
                    <w:spacing w:line="0" w:lineRule="atLeast"/>
                    <w:jc w:val="center"/>
                    <w:rPr>
                      <w:rFonts w:ascii="Palatino Linotype" w:hAnsi="Palatino Linotype" w:cs="Arial"/>
                    </w:rPr>
                  </w:pPr>
                  <w:r>
                    <w:rPr>
                      <w:rFonts w:ascii="Palatino Linotype" w:hAnsi="Palatino Linotype" w:cs="Arial"/>
                    </w:rPr>
                    <w:t>Comisionado</w:t>
                  </w:r>
                </w:p>
                <w:p w14:paraId="7FE5890D" w14:textId="77777777" w:rsidR="00B73666" w:rsidRDefault="00B73666">
                  <w:pPr>
                    <w:spacing w:line="0" w:lineRule="atLeast"/>
                    <w:jc w:val="center"/>
                    <w:rPr>
                      <w:rFonts w:ascii="Palatino Linotype" w:hAnsi="Palatino Linotype" w:cs="Arial"/>
                      <w:b/>
                    </w:rPr>
                  </w:pPr>
                  <w:r>
                    <w:rPr>
                      <w:rFonts w:ascii="Palatino Linotype" w:hAnsi="Palatino Linotype" w:cs="Arial"/>
                      <w:b/>
                    </w:rPr>
                    <w:t>(RÚBRICA)</w:t>
                  </w:r>
                </w:p>
              </w:tc>
            </w:tr>
            <w:tr w:rsidR="00B73666" w14:paraId="7C6F3F9C" w14:textId="77777777">
              <w:trPr>
                <w:jc w:val="center"/>
              </w:trPr>
              <w:tc>
                <w:tcPr>
                  <w:tcW w:w="10240" w:type="dxa"/>
                  <w:gridSpan w:val="2"/>
                </w:tcPr>
                <w:p w14:paraId="3D7AECC7" w14:textId="77777777" w:rsidR="00B73666" w:rsidRDefault="00B73666">
                  <w:pPr>
                    <w:tabs>
                      <w:tab w:val="left" w:pos="3720"/>
                    </w:tabs>
                    <w:spacing w:line="0" w:lineRule="atLeast"/>
                    <w:rPr>
                      <w:rFonts w:ascii="Palatino Linotype" w:hAnsi="Palatino Linotype" w:cs="Arial"/>
                      <w:b/>
                    </w:rPr>
                  </w:pPr>
                  <w:r>
                    <w:rPr>
                      <w:rFonts w:ascii="Palatino Linotype" w:hAnsi="Palatino Linotype" w:cs="Arial"/>
                      <w:b/>
                    </w:rPr>
                    <w:tab/>
                  </w:r>
                </w:p>
                <w:p w14:paraId="2FDA7672" w14:textId="77777777" w:rsidR="00B73666" w:rsidRDefault="00B73666">
                  <w:pPr>
                    <w:spacing w:line="0" w:lineRule="atLeast"/>
                    <w:ind w:left="635"/>
                    <w:rPr>
                      <w:rFonts w:ascii="Palatino Linotype" w:hAnsi="Palatino Linotype" w:cs="Arial"/>
                      <w:b/>
                    </w:rPr>
                  </w:pPr>
                </w:p>
                <w:p w14:paraId="49186AB0" w14:textId="77777777" w:rsidR="00B73666" w:rsidRDefault="00B73666">
                  <w:pPr>
                    <w:spacing w:line="0" w:lineRule="atLeast"/>
                    <w:jc w:val="center"/>
                    <w:rPr>
                      <w:rFonts w:ascii="Palatino Linotype" w:hAnsi="Palatino Linotype" w:cs="Arial"/>
                      <w:b/>
                    </w:rPr>
                  </w:pPr>
                  <w:r>
                    <w:rPr>
                      <w:rFonts w:ascii="Palatino Linotype" w:hAnsi="Palatino Linotype" w:cs="Arial"/>
                      <w:b/>
                    </w:rPr>
                    <w:t>Alexis Tapia Ramírez</w:t>
                  </w:r>
                </w:p>
                <w:p w14:paraId="48C1AAFE" w14:textId="77777777" w:rsidR="00B73666" w:rsidRDefault="00B73666">
                  <w:pPr>
                    <w:spacing w:line="0" w:lineRule="atLeast"/>
                    <w:jc w:val="center"/>
                    <w:rPr>
                      <w:rFonts w:ascii="Palatino Linotype" w:hAnsi="Palatino Linotype" w:cs="Arial"/>
                    </w:rPr>
                  </w:pPr>
                  <w:r>
                    <w:rPr>
                      <w:rFonts w:ascii="Palatino Linotype" w:hAnsi="Palatino Linotype" w:cs="Arial"/>
                    </w:rPr>
                    <w:t>Secretario Técnico del Pleno</w:t>
                  </w:r>
                </w:p>
                <w:p w14:paraId="48C9AFEF" w14:textId="77777777" w:rsidR="00B73666" w:rsidRDefault="00B73666">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52E83111" w14:textId="77777777" w:rsidR="00B73666" w:rsidRDefault="00B73666">
            <w:pPr>
              <w:jc w:val="both"/>
              <w:rPr>
                <w:rFonts w:ascii="Palatino Linotype" w:hAnsi="Palatino Linotype" w:cs="Arial"/>
                <w:lang w:val="es-ES"/>
              </w:rPr>
            </w:pPr>
          </w:p>
        </w:tc>
      </w:tr>
      <w:tr w:rsidR="00B73666" w14:paraId="2F8FAEF5" w14:textId="77777777" w:rsidTr="00B73666">
        <w:trPr>
          <w:jc w:val="center"/>
        </w:trPr>
        <w:tc>
          <w:tcPr>
            <w:tcW w:w="5184" w:type="dxa"/>
            <w:hideMark/>
          </w:tcPr>
          <w:p w14:paraId="4D646531" w14:textId="77777777" w:rsidR="00B73666" w:rsidRDefault="00B73666">
            <w:pPr>
              <w:rPr>
                <w:rFonts w:ascii="Palatino Linotype" w:hAnsi="Palatino Linotype" w:cs="Arial"/>
                <w:lang w:val="es-ES"/>
              </w:rPr>
            </w:pPr>
          </w:p>
        </w:tc>
        <w:tc>
          <w:tcPr>
            <w:tcW w:w="5184" w:type="dxa"/>
          </w:tcPr>
          <w:p w14:paraId="1F8AEC15" w14:textId="77777777" w:rsidR="00B73666" w:rsidRDefault="00B73666">
            <w:pPr>
              <w:jc w:val="center"/>
              <w:rPr>
                <w:rFonts w:ascii="Palatino Linotype" w:hAnsi="Palatino Linotype" w:cs="Arial"/>
                <w:b/>
              </w:rPr>
            </w:pPr>
          </w:p>
        </w:tc>
      </w:tr>
    </w:tbl>
    <w:p w14:paraId="60428E10" w14:textId="510CBF4B" w:rsidR="00B73666" w:rsidRPr="00B73666" w:rsidRDefault="00B73666" w:rsidP="00B73666">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w:t>
      </w:r>
      <w:r>
        <w:rPr>
          <w:rFonts w:ascii="Palatino Linotype" w:hAnsi="Palatino Linotype"/>
        </w:rPr>
        <w:t>fecha  veintiséis (26) de agosto de dos mil veinte</w:t>
      </w:r>
      <w:r>
        <w:rPr>
          <w:rFonts w:ascii="Palatino Linotype" w:eastAsia="Times New Roman" w:hAnsi="Palatino Linotype" w:cs="Arial"/>
          <w:sz w:val="22"/>
          <w:szCs w:val="22"/>
          <w:lang w:val="es-MX"/>
        </w:rPr>
        <w:t xml:space="preserve">emitida en el recurso de revisión </w:t>
      </w:r>
      <w:r>
        <w:rPr>
          <w:rFonts w:ascii="Palatino Linotype" w:hAnsi="Palatino Linotype" w:cs="Arial"/>
          <w:b/>
          <w:bCs/>
          <w:sz w:val="22"/>
          <w:szCs w:val="22"/>
          <w:lang w:val="es-MX" w:eastAsia="es-MX"/>
        </w:rPr>
        <w:t>01058/INFOEM/IP/RR/2020</w:t>
      </w:r>
    </w:p>
    <w:sectPr w:rsidR="00B73666" w:rsidRPr="00B73666" w:rsidSect="001A4CD6">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1A90F" w14:textId="77777777" w:rsidR="000E4F33" w:rsidRDefault="000E4F33">
      <w:r>
        <w:separator/>
      </w:r>
    </w:p>
  </w:endnote>
  <w:endnote w:type="continuationSeparator" w:id="0">
    <w:p w14:paraId="5CF920A4" w14:textId="77777777" w:rsidR="000E4F33" w:rsidRDefault="000E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887047E" w14:textId="77777777" w:rsidR="00D72878" w:rsidRPr="00883450" w:rsidRDefault="00D7287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576F9">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576F9">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4EC42CB1" w14:textId="77777777" w:rsidR="00D72878" w:rsidRDefault="00D728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24AAD" w14:textId="77777777" w:rsidR="00D72878" w:rsidRPr="00883450" w:rsidRDefault="00D72878"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576F9" w:rsidRPr="003576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576F9" w:rsidRPr="003576F9">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60FC5" w14:textId="77777777" w:rsidR="000E4F33" w:rsidRDefault="000E4F33">
      <w:r>
        <w:separator/>
      </w:r>
    </w:p>
  </w:footnote>
  <w:footnote w:type="continuationSeparator" w:id="0">
    <w:p w14:paraId="490777C3" w14:textId="77777777" w:rsidR="000E4F33" w:rsidRDefault="000E4F33">
      <w:r>
        <w:continuationSeparator/>
      </w:r>
    </w:p>
  </w:footnote>
  <w:footnote w:id="1">
    <w:p w14:paraId="5B4C7B11" w14:textId="77777777" w:rsidR="00D72878" w:rsidRPr="009C43C2" w:rsidRDefault="00D7287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01A3370" w14:textId="77777777" w:rsidR="00D72878" w:rsidRPr="009C43C2" w:rsidRDefault="00D7287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2834179F" w14:textId="77777777" w:rsidR="00D72878" w:rsidRPr="009C43C2" w:rsidRDefault="00D7287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17AF09F" w14:textId="77777777" w:rsidR="00D72878" w:rsidRDefault="00D72878"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5">
    <w:p w14:paraId="146DF701" w14:textId="77777777" w:rsidR="00D72878" w:rsidRPr="00F06525" w:rsidRDefault="00D72878" w:rsidP="002D11FC">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14:paraId="59A9A2ED" w14:textId="77777777" w:rsidR="00D72878" w:rsidRPr="00F06525" w:rsidRDefault="00D72878" w:rsidP="002D11FC">
      <w:pPr>
        <w:pStyle w:val="Textonotapie"/>
        <w:rPr>
          <w:rFonts w:ascii="Palatino Linotype" w:hAnsi="Palatino Linotype"/>
          <w:sz w:val="18"/>
        </w:rPr>
      </w:pPr>
      <w:r w:rsidRPr="00F06525">
        <w:rPr>
          <w:rFonts w:ascii="Palatino Linotype" w:hAnsi="Palatino Linotype"/>
          <w:sz w:val="18"/>
        </w:rPr>
        <w:t>Artículo 151. Ibídem.</w:t>
      </w:r>
    </w:p>
  </w:footnote>
  <w:footnote w:id="6">
    <w:p w14:paraId="5BDC3576" w14:textId="77777777" w:rsidR="00D72878" w:rsidRPr="008E29C5" w:rsidRDefault="00D72878" w:rsidP="0018071A">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29FBE821" w14:textId="77777777" w:rsidR="00D72878" w:rsidRPr="008E29C5" w:rsidRDefault="00D72878" w:rsidP="0018071A">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400501EB" w14:textId="77777777" w:rsidR="00D72878" w:rsidRDefault="00D72878" w:rsidP="0018071A">
      <w:pPr>
        <w:pStyle w:val="Textonotapie"/>
      </w:pPr>
      <w:r>
        <w:t xml:space="preserve">… </w:t>
      </w:r>
    </w:p>
  </w:footnote>
  <w:footnote w:id="7">
    <w:p w14:paraId="5AAA2CCE" w14:textId="2605F311" w:rsidR="00D72878" w:rsidRDefault="00D72878">
      <w:pPr>
        <w:pStyle w:val="Textonotapie"/>
      </w:pPr>
      <w:r>
        <w:rPr>
          <w:rStyle w:val="Refdenotaalpie"/>
        </w:rPr>
        <w:footnoteRef/>
      </w:r>
      <w:r>
        <w:t xml:space="preserve"> Artículo 22 de l aLey de Contratación Pública del Estado de México y Municipios.</w:t>
      </w:r>
    </w:p>
  </w:footnote>
  <w:footnote w:id="8">
    <w:p w14:paraId="3321F0D6" w14:textId="77777777" w:rsidR="00D72878" w:rsidRPr="008653A5" w:rsidRDefault="00D72878" w:rsidP="003D3963">
      <w:pPr>
        <w:autoSpaceDE w:val="0"/>
        <w:autoSpaceDN w:val="0"/>
        <w:adjustRightInd w:val="0"/>
        <w:spacing w:line="276" w:lineRule="auto"/>
        <w:jc w:val="both"/>
        <w:rPr>
          <w:rFonts w:cs="Arial"/>
          <w:sz w:val="20"/>
          <w:szCs w:val="20"/>
        </w:rPr>
      </w:pPr>
      <w:r w:rsidRPr="008653A5">
        <w:rPr>
          <w:rStyle w:val="Refdenotaalpie"/>
          <w:sz w:val="20"/>
          <w:szCs w:val="20"/>
        </w:rPr>
        <w:footnoteRef/>
      </w:r>
      <w:r w:rsidRPr="008653A5">
        <w:rPr>
          <w:sz w:val="20"/>
          <w:szCs w:val="20"/>
        </w:rPr>
        <w:t xml:space="preserve"> </w:t>
      </w:r>
      <w:r w:rsidRPr="008653A5">
        <w:rPr>
          <w:rFonts w:cs="Arial"/>
          <w:b/>
          <w:bCs/>
          <w:sz w:val="20"/>
          <w:szCs w:val="20"/>
        </w:rPr>
        <w:t xml:space="preserve">Artículo 122. </w:t>
      </w:r>
      <w:r w:rsidRPr="008653A5">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82118F6" w14:textId="77777777" w:rsidR="00D72878" w:rsidRPr="008653A5" w:rsidRDefault="00D72878" w:rsidP="003D3963">
      <w:pPr>
        <w:autoSpaceDE w:val="0"/>
        <w:autoSpaceDN w:val="0"/>
        <w:adjustRightInd w:val="0"/>
        <w:spacing w:line="276" w:lineRule="auto"/>
        <w:jc w:val="both"/>
        <w:rPr>
          <w:rFonts w:cs="Arial"/>
          <w:sz w:val="20"/>
          <w:szCs w:val="20"/>
        </w:rPr>
      </w:pPr>
      <w:r w:rsidRPr="008653A5">
        <w:rPr>
          <w:rFonts w:cs="Arial"/>
          <w:sz w:val="20"/>
          <w:szCs w:val="20"/>
        </w:rPr>
        <w:t>Los supuestos de reserva o confidencialidad previstos en las leyes deberán ser acordes con las bases, principios y disposiciones establecidos en la Ley General y, en ningún caso, podrán contravenirla.</w:t>
      </w:r>
    </w:p>
    <w:p w14:paraId="68C75953" w14:textId="77777777" w:rsidR="00D72878" w:rsidRPr="008653A5" w:rsidRDefault="00D72878" w:rsidP="003D3963">
      <w:pPr>
        <w:autoSpaceDE w:val="0"/>
        <w:autoSpaceDN w:val="0"/>
        <w:adjustRightInd w:val="0"/>
        <w:spacing w:line="276" w:lineRule="auto"/>
        <w:jc w:val="both"/>
        <w:rPr>
          <w:rFonts w:cs="Arial"/>
          <w:sz w:val="20"/>
          <w:szCs w:val="20"/>
        </w:rPr>
      </w:pPr>
      <w:r w:rsidRPr="008653A5">
        <w:rPr>
          <w:rFonts w:cs="Arial"/>
          <w:sz w:val="20"/>
          <w:szCs w:val="20"/>
        </w:rPr>
        <w:t>Los titulares de las áreas de los sujetos obligados serán los responsables de clasificar la información, de conformidad con lo dispuesto en la presente Ley y demás disposiciones jurídicas aplicables.</w:t>
      </w:r>
    </w:p>
    <w:p w14:paraId="42BABBB0" w14:textId="77777777" w:rsidR="00D72878" w:rsidRPr="008653A5" w:rsidRDefault="00D72878" w:rsidP="003D3963">
      <w:pPr>
        <w:autoSpaceDE w:val="0"/>
        <w:autoSpaceDN w:val="0"/>
        <w:adjustRightInd w:val="0"/>
        <w:spacing w:line="276" w:lineRule="auto"/>
        <w:jc w:val="both"/>
        <w:rPr>
          <w:sz w:val="20"/>
          <w:szCs w:val="20"/>
        </w:rPr>
      </w:pPr>
    </w:p>
  </w:footnote>
  <w:footnote w:id="9">
    <w:p w14:paraId="10BF366B" w14:textId="77777777" w:rsidR="00D72878" w:rsidRDefault="00D72878" w:rsidP="003D3963">
      <w:pPr>
        <w:autoSpaceDE w:val="0"/>
        <w:autoSpaceDN w:val="0"/>
        <w:adjustRightInd w:val="0"/>
        <w:spacing w:line="276" w:lineRule="auto"/>
        <w:jc w:val="both"/>
        <w:rPr>
          <w:rFonts w:cs="Arial"/>
          <w:sz w:val="20"/>
          <w:szCs w:val="20"/>
        </w:rPr>
      </w:pPr>
      <w:r w:rsidRPr="008653A5">
        <w:rPr>
          <w:rStyle w:val="Refdenotaalpie"/>
          <w:sz w:val="20"/>
          <w:szCs w:val="20"/>
        </w:rPr>
        <w:footnoteRef/>
      </w:r>
      <w:r w:rsidRPr="008653A5">
        <w:rPr>
          <w:sz w:val="20"/>
          <w:szCs w:val="20"/>
        </w:rPr>
        <w:t xml:space="preserve"> </w:t>
      </w:r>
      <w:r w:rsidRPr="008653A5">
        <w:rPr>
          <w:rFonts w:cs="Arial"/>
          <w:b/>
          <w:sz w:val="20"/>
          <w:szCs w:val="20"/>
        </w:rPr>
        <w:t>Artículo 135.</w:t>
      </w:r>
      <w:r w:rsidRPr="008653A5">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p w14:paraId="1297546E" w14:textId="77777777" w:rsidR="00D72878" w:rsidRPr="008653A5" w:rsidRDefault="00D72878" w:rsidP="003D3963">
      <w:pPr>
        <w:autoSpaceDE w:val="0"/>
        <w:autoSpaceDN w:val="0"/>
        <w:adjustRightInd w:val="0"/>
        <w:spacing w:line="276" w:lineRule="auto"/>
        <w:jc w:val="both"/>
        <w:rPr>
          <w:rFonts w:cs="Arial"/>
          <w:sz w:val="20"/>
          <w:szCs w:val="20"/>
        </w:rPr>
      </w:pPr>
    </w:p>
  </w:footnote>
  <w:footnote w:id="10">
    <w:p w14:paraId="1B8775B7" w14:textId="77777777" w:rsidR="00D72878" w:rsidRDefault="00D72878" w:rsidP="003D3963">
      <w:pPr>
        <w:pStyle w:val="Textonotapie"/>
        <w:spacing w:line="276" w:lineRule="auto"/>
        <w:jc w:val="both"/>
      </w:pPr>
      <w:r w:rsidRPr="008653A5">
        <w:rPr>
          <w:rStyle w:val="Refdenotaalpie"/>
        </w:rPr>
        <w:footnoteRef/>
      </w:r>
      <w:r w:rsidRPr="008653A5">
        <w:rPr>
          <w:lang w:val="es-ES"/>
        </w:rPr>
        <w:t xml:space="preserve"> </w:t>
      </w:r>
      <w:r w:rsidRPr="008653A5">
        <w:rPr>
          <w:b/>
        </w:rPr>
        <w:t>RESTRICCIONES A LOS DERECHOS FUNDAMENTALES. ELEMENTOS QUE EL JUEZ CONSTITUCIONAL DEBE TOMAR EN CUENTA PARA CONSIDERARLAS VÁLIDAS.</w:t>
      </w:r>
      <w:r w:rsidRPr="008653A5">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w:t>
      </w:r>
      <w:r w:rsidRPr="00266430">
        <w:t xml:space="preserve">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6BBBE8E" w14:textId="77777777" w:rsidR="00D72878" w:rsidRPr="00266430" w:rsidRDefault="00D72878" w:rsidP="003D3963">
      <w:pPr>
        <w:pStyle w:val="Textonotapie"/>
        <w:jc w:val="both"/>
      </w:pPr>
      <w:r w:rsidRPr="00266430">
        <w:t xml:space="preserve">1a./J. 2/2012 (9a.). Primera Sala. Décima Época. Semanario Judicial de la Federación y su Gaceta. Libro V, Febrero de 2012, Pág. 533.  </w:t>
      </w:r>
    </w:p>
  </w:footnote>
  <w:footnote w:id="11">
    <w:p w14:paraId="5B8A1597" w14:textId="77777777" w:rsidR="00D72878" w:rsidRPr="00A870EF" w:rsidRDefault="00D72878" w:rsidP="003D3963">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2">
    <w:p w14:paraId="2B5AD490" w14:textId="77777777" w:rsidR="00D72878" w:rsidRDefault="00D72878" w:rsidP="003D396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69959CC" w14:textId="77777777" w:rsidR="00D72878" w:rsidRDefault="00D72878" w:rsidP="003D396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416DDDF" w14:textId="77777777" w:rsidR="00D72878" w:rsidRPr="001E1F95" w:rsidRDefault="00D72878" w:rsidP="003D396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3">
    <w:p w14:paraId="78965F15" w14:textId="77777777" w:rsidR="00D72878" w:rsidRPr="007F43A5" w:rsidRDefault="00D72878" w:rsidP="003D3963">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4">
    <w:p w14:paraId="6460040F" w14:textId="77777777" w:rsidR="00D72878" w:rsidRPr="0037004E" w:rsidRDefault="00D72878" w:rsidP="003D3963">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5288AEDB" w14:textId="77777777" w:rsidR="00D72878" w:rsidRDefault="00D72878" w:rsidP="003D3963">
      <w:pPr>
        <w:pStyle w:val="Textonotapie"/>
      </w:pPr>
    </w:p>
  </w:footnote>
  <w:footnote w:id="15">
    <w:p w14:paraId="3155DADA" w14:textId="77777777" w:rsidR="00D72878" w:rsidRDefault="00D72878" w:rsidP="003D3963">
      <w:pPr>
        <w:pStyle w:val="Textonotapie"/>
        <w:jc w:val="both"/>
      </w:pPr>
      <w:r>
        <w:rPr>
          <w:rStyle w:val="Refdenotaalpie"/>
        </w:rPr>
        <w:footnoteRef/>
      </w:r>
      <w:r>
        <w:t xml:space="preserve"> Artículo 3. Para los efectos de la presente Ley se entenderá por:</w:t>
      </w:r>
    </w:p>
    <w:p w14:paraId="45B9B529" w14:textId="77777777" w:rsidR="00D72878" w:rsidRDefault="00D72878" w:rsidP="003D3963">
      <w:pPr>
        <w:pStyle w:val="Textonotapie"/>
        <w:jc w:val="both"/>
      </w:pPr>
      <w:r>
        <w:t xml:space="preserve"> (…)</w:t>
      </w:r>
    </w:p>
    <w:p w14:paraId="0067C92E" w14:textId="77777777" w:rsidR="00D72878" w:rsidRDefault="00D72878" w:rsidP="003D3963">
      <w:pPr>
        <w:pStyle w:val="Textonotapie"/>
        <w:jc w:val="both"/>
      </w:pPr>
      <w:r>
        <w:t>IX. Datos personales: La información concerniente a una persona, identificada o identificable según lo dispuesto por la Ley de Protección de Datos Personales del Estado de México;</w:t>
      </w:r>
    </w:p>
  </w:footnote>
  <w:footnote w:id="16">
    <w:p w14:paraId="2AB0EB9A" w14:textId="77777777" w:rsidR="00D72878" w:rsidRPr="00ED2A04" w:rsidRDefault="00D72878" w:rsidP="00E559CA">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7">
    <w:p w14:paraId="604B2AB1" w14:textId="77777777" w:rsidR="00D72878" w:rsidRPr="00ED2A04" w:rsidRDefault="00D72878" w:rsidP="00E559CA">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8">
    <w:p w14:paraId="3EB1A789" w14:textId="77777777" w:rsidR="00D72878" w:rsidRPr="000406A4" w:rsidRDefault="00D72878" w:rsidP="00E559CA">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9">
    <w:p w14:paraId="40750770" w14:textId="77777777" w:rsidR="00D72878" w:rsidRPr="000406A4" w:rsidRDefault="00D72878" w:rsidP="00E559CA">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20">
    <w:p w14:paraId="64AB3744" w14:textId="77777777" w:rsidR="00D72878" w:rsidRPr="000406A4" w:rsidRDefault="00D72878" w:rsidP="00E559CA">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1">
    <w:p w14:paraId="177414E8" w14:textId="77777777" w:rsidR="00D72878" w:rsidRPr="000406A4" w:rsidRDefault="00D72878" w:rsidP="00E559CA">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2">
    <w:p w14:paraId="5B52BCA8" w14:textId="77777777" w:rsidR="00D72878" w:rsidRPr="000406A4" w:rsidRDefault="00D72878" w:rsidP="00E559CA">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3">
    <w:p w14:paraId="101C519A" w14:textId="77777777" w:rsidR="00D72878" w:rsidRPr="00042E67" w:rsidRDefault="00D72878" w:rsidP="00E559CA">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4">
    <w:p w14:paraId="297328E2" w14:textId="77777777" w:rsidR="00D72878" w:rsidRPr="00A4142C" w:rsidRDefault="00D72878" w:rsidP="00E559CA">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CE9E3" w14:textId="1CB49B3B" w:rsidR="00D72878" w:rsidRDefault="003576F9">
    <w:pPr>
      <w:pStyle w:val="Encabezado"/>
    </w:pPr>
    <w:r>
      <w:rPr>
        <w:noProof/>
        <w:lang w:val="es-MX" w:eastAsia="es-MX"/>
      </w:rPr>
      <w:pict w14:anchorId="3056D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84809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840F" w14:textId="2E8FB0B6" w:rsidR="00D72878" w:rsidRDefault="003576F9">
    <w:pPr>
      <w:pStyle w:val="Encabezado"/>
    </w:pPr>
    <w:r>
      <w:rPr>
        <w:noProof/>
        <w:lang w:val="es-MX" w:eastAsia="es-MX"/>
      </w:rPr>
      <w:pict w14:anchorId="34437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848095" o:spid="_x0000_s2050" type="#_x0000_t75" alt="resolución" style="position:absolute;margin-left:-85.15pt;margin-top:-124.2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p w14:paraId="57C0F4C9" w14:textId="77777777" w:rsidR="00D72878" w:rsidRDefault="00D72878">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D72878" w:rsidRPr="00EF13C1" w14:paraId="14D7DBBE" w14:textId="77777777" w:rsidTr="00262B20">
      <w:trPr>
        <w:trHeight w:val="138"/>
      </w:trPr>
      <w:tc>
        <w:tcPr>
          <w:tcW w:w="2835" w:type="dxa"/>
          <w:vAlign w:val="center"/>
        </w:tcPr>
        <w:p w14:paraId="207BABD9" w14:textId="77777777" w:rsidR="00D72878" w:rsidRPr="00EF13C1" w:rsidRDefault="00D72878"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14:paraId="437C5BBB" w14:textId="4633369A" w:rsidR="00D72878" w:rsidRPr="00EF13C1" w:rsidRDefault="00D72878" w:rsidP="00E51B74">
          <w:pPr>
            <w:pStyle w:val="Encabezado"/>
            <w:rPr>
              <w:rFonts w:ascii="Palatino Linotype" w:hAnsi="Palatino Linotype"/>
              <w:b/>
              <w:sz w:val="22"/>
              <w:szCs w:val="22"/>
            </w:rPr>
          </w:pPr>
          <w:r>
            <w:rPr>
              <w:rFonts w:ascii="Palatino Linotype" w:hAnsi="Palatino Linotype" w:cs="Arial"/>
              <w:b/>
              <w:bCs/>
              <w:sz w:val="22"/>
              <w:szCs w:val="22"/>
              <w:lang w:eastAsia="es-MX"/>
            </w:rPr>
            <w:t>01058/INFOEM/IP/RR/2020</w:t>
          </w:r>
        </w:p>
      </w:tc>
    </w:tr>
    <w:tr w:rsidR="00D72878" w:rsidRPr="00EF13C1" w14:paraId="406A01F7" w14:textId="77777777" w:rsidTr="00262B20">
      <w:trPr>
        <w:trHeight w:val="321"/>
      </w:trPr>
      <w:tc>
        <w:tcPr>
          <w:tcW w:w="2835" w:type="dxa"/>
          <w:vAlign w:val="center"/>
        </w:tcPr>
        <w:p w14:paraId="3815D473" w14:textId="77777777" w:rsidR="00D72878" w:rsidRPr="00EF13C1" w:rsidRDefault="00D72878"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3884241B" w14:textId="29D44983" w:rsidR="00D72878" w:rsidRPr="00EF13C1" w:rsidRDefault="00D72878" w:rsidP="0070785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Ocoyoacac</w:t>
          </w:r>
          <w:proofErr w:type="spellEnd"/>
        </w:p>
      </w:tc>
    </w:tr>
    <w:tr w:rsidR="00D72878" w:rsidRPr="00EF13C1" w14:paraId="5D319259" w14:textId="77777777" w:rsidTr="00262B20">
      <w:trPr>
        <w:trHeight w:val="321"/>
      </w:trPr>
      <w:tc>
        <w:tcPr>
          <w:tcW w:w="2835" w:type="dxa"/>
          <w:vAlign w:val="center"/>
        </w:tcPr>
        <w:p w14:paraId="3DDA389F" w14:textId="77777777" w:rsidR="00D72878" w:rsidRPr="00EF13C1" w:rsidRDefault="00D72878"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14:paraId="77BB0812" w14:textId="77777777" w:rsidR="00D72878" w:rsidRPr="00EF13C1" w:rsidRDefault="00D72878"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1C84B41" w14:textId="77777777" w:rsidR="00D72878" w:rsidRDefault="00D72878"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DB668" w14:textId="33C403BA" w:rsidR="00D72878" w:rsidRDefault="003576F9" w:rsidP="001A4CD6">
    <w:pPr>
      <w:pStyle w:val="Encabezado"/>
      <w:tabs>
        <w:tab w:val="clear" w:pos="4252"/>
        <w:tab w:val="clear" w:pos="8504"/>
        <w:tab w:val="left" w:pos="3103"/>
      </w:tabs>
    </w:pPr>
    <w:r>
      <w:rPr>
        <w:noProof/>
        <w:lang w:val="es-MX" w:eastAsia="es-MX"/>
      </w:rPr>
      <w:pict w14:anchorId="310E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848093"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D72878">
      <w:tab/>
    </w:r>
    <w:r w:rsidR="00D72878">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6"/>
      <w:gridCol w:w="3823"/>
    </w:tblGrid>
    <w:tr w:rsidR="00D72878" w:rsidRPr="00182113" w14:paraId="5C12F88D" w14:textId="77777777" w:rsidTr="009F5CF5">
      <w:trPr>
        <w:trHeight w:val="138"/>
      </w:trPr>
      <w:tc>
        <w:tcPr>
          <w:tcW w:w="2532" w:type="dxa"/>
          <w:vAlign w:val="center"/>
        </w:tcPr>
        <w:p w14:paraId="3EFB99C2" w14:textId="77777777" w:rsidR="00D72878" w:rsidRPr="00182113" w:rsidRDefault="00D72878"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6" w:type="dxa"/>
          <w:vAlign w:val="center"/>
        </w:tcPr>
        <w:p w14:paraId="5546897B" w14:textId="77777777" w:rsidR="00D72878" w:rsidRPr="00182113" w:rsidRDefault="00D72878" w:rsidP="001A4CD6">
          <w:pPr>
            <w:pStyle w:val="Encabezado"/>
            <w:jc w:val="center"/>
            <w:rPr>
              <w:rFonts w:ascii="Palatino Linotype" w:hAnsi="Palatino Linotype"/>
              <w:b/>
              <w:sz w:val="22"/>
              <w:szCs w:val="22"/>
            </w:rPr>
          </w:pPr>
        </w:p>
      </w:tc>
      <w:tc>
        <w:tcPr>
          <w:tcW w:w="3823" w:type="dxa"/>
          <w:vAlign w:val="center"/>
        </w:tcPr>
        <w:p w14:paraId="0E152401" w14:textId="036C2628" w:rsidR="00D72878" w:rsidRPr="005F6961" w:rsidRDefault="00D72878" w:rsidP="009F5CF5">
          <w:pPr>
            <w:pStyle w:val="Encabezado"/>
            <w:rPr>
              <w:rFonts w:ascii="Palatino Linotype" w:hAnsi="Palatino Linotype" w:cs="Arial"/>
              <w:b/>
              <w:bCs/>
              <w:sz w:val="22"/>
              <w:lang w:eastAsia="es-MX"/>
            </w:rPr>
          </w:pPr>
          <w:r>
            <w:rPr>
              <w:rFonts w:ascii="Palatino Linotype" w:hAnsi="Palatino Linotype" w:cs="Arial"/>
              <w:b/>
              <w:bCs/>
              <w:sz w:val="22"/>
              <w:lang w:eastAsia="es-MX"/>
            </w:rPr>
            <w:t>01058</w:t>
          </w:r>
          <w:r w:rsidRPr="005F6961">
            <w:rPr>
              <w:rFonts w:ascii="Palatino Linotype" w:hAnsi="Palatino Linotype" w:cs="Arial"/>
              <w:b/>
              <w:bCs/>
              <w:sz w:val="22"/>
              <w:lang w:eastAsia="es-MX"/>
            </w:rPr>
            <w:t>/INFOEM/IP/RR/</w:t>
          </w:r>
          <w:r>
            <w:rPr>
              <w:rFonts w:ascii="Palatino Linotype" w:hAnsi="Palatino Linotype" w:cs="Arial"/>
              <w:b/>
              <w:bCs/>
              <w:sz w:val="22"/>
              <w:lang w:eastAsia="es-MX"/>
            </w:rPr>
            <w:t>2020</w:t>
          </w:r>
        </w:p>
      </w:tc>
    </w:tr>
    <w:tr w:rsidR="00D72878" w:rsidRPr="00182113" w14:paraId="6BB249FD" w14:textId="77777777" w:rsidTr="009F5CF5">
      <w:trPr>
        <w:trHeight w:val="227"/>
      </w:trPr>
      <w:tc>
        <w:tcPr>
          <w:tcW w:w="2532" w:type="dxa"/>
          <w:vAlign w:val="center"/>
        </w:tcPr>
        <w:p w14:paraId="5ED63048" w14:textId="77777777" w:rsidR="00D72878" w:rsidRPr="00182113" w:rsidRDefault="00D72878" w:rsidP="001A4CD6">
          <w:pPr>
            <w:rPr>
              <w:rFonts w:ascii="Palatino Linotype" w:hAnsi="Palatino Linotype"/>
              <w:b/>
              <w:sz w:val="22"/>
              <w:szCs w:val="22"/>
            </w:rPr>
          </w:pPr>
          <w:r w:rsidRPr="00182113">
            <w:rPr>
              <w:rFonts w:ascii="Palatino Linotype" w:hAnsi="Palatino Linotype"/>
              <w:b/>
              <w:sz w:val="22"/>
              <w:szCs w:val="22"/>
            </w:rPr>
            <w:t>Recurrente:</w:t>
          </w:r>
        </w:p>
      </w:tc>
      <w:tc>
        <w:tcPr>
          <w:tcW w:w="326" w:type="dxa"/>
          <w:vAlign w:val="center"/>
        </w:tcPr>
        <w:p w14:paraId="5A072C0C" w14:textId="77777777" w:rsidR="00D72878" w:rsidRPr="00182113" w:rsidRDefault="00D72878" w:rsidP="001A4CD6">
          <w:pPr>
            <w:pStyle w:val="Encabezado"/>
            <w:jc w:val="center"/>
            <w:rPr>
              <w:rFonts w:ascii="Palatino Linotype" w:hAnsi="Palatino Linotype"/>
              <w:b/>
              <w:sz w:val="22"/>
              <w:szCs w:val="22"/>
            </w:rPr>
          </w:pPr>
        </w:p>
      </w:tc>
      <w:tc>
        <w:tcPr>
          <w:tcW w:w="3823" w:type="dxa"/>
          <w:vAlign w:val="center"/>
        </w:tcPr>
        <w:p w14:paraId="6031A5CB" w14:textId="1672F653" w:rsidR="00D72878" w:rsidRPr="0069792E" w:rsidRDefault="00D72878" w:rsidP="000772E2">
          <w:pPr>
            <w:pStyle w:val="Encabezado"/>
            <w:tabs>
              <w:tab w:val="clear" w:pos="4252"/>
            </w:tabs>
            <w:ind w:right="-112"/>
            <w:rPr>
              <w:rFonts w:ascii="Palatino Linotype" w:hAnsi="Palatino Linotype"/>
              <w:b/>
              <w:sz w:val="22"/>
              <w:szCs w:val="22"/>
            </w:rPr>
          </w:pPr>
          <w:r w:rsidRPr="00D72878">
            <w:rPr>
              <w:rFonts w:ascii="Palatino Linotype" w:hAnsi="Palatino Linotype"/>
              <w:b/>
              <w:sz w:val="22"/>
              <w:szCs w:val="22"/>
              <w:highlight w:val="black"/>
            </w:rPr>
            <w:t>****************</w:t>
          </w:r>
        </w:p>
      </w:tc>
    </w:tr>
    <w:tr w:rsidR="00D72878" w:rsidRPr="00182113" w14:paraId="1189879F" w14:textId="77777777" w:rsidTr="009F5CF5">
      <w:trPr>
        <w:trHeight w:val="232"/>
      </w:trPr>
      <w:tc>
        <w:tcPr>
          <w:tcW w:w="2532" w:type="dxa"/>
          <w:vAlign w:val="center"/>
        </w:tcPr>
        <w:p w14:paraId="31CD68AB" w14:textId="77777777" w:rsidR="00D72878" w:rsidRPr="00182113" w:rsidRDefault="00D72878"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6" w:type="dxa"/>
          <w:vAlign w:val="center"/>
        </w:tcPr>
        <w:p w14:paraId="30354868" w14:textId="77777777" w:rsidR="00D72878" w:rsidRPr="00182113" w:rsidRDefault="00D72878" w:rsidP="001A4CD6">
          <w:pPr>
            <w:pStyle w:val="Encabezado"/>
            <w:jc w:val="center"/>
            <w:rPr>
              <w:rFonts w:ascii="Palatino Linotype" w:hAnsi="Palatino Linotype"/>
              <w:b/>
              <w:sz w:val="22"/>
              <w:szCs w:val="22"/>
            </w:rPr>
          </w:pPr>
        </w:p>
      </w:tc>
      <w:tc>
        <w:tcPr>
          <w:tcW w:w="3823" w:type="dxa"/>
          <w:vAlign w:val="center"/>
        </w:tcPr>
        <w:p w14:paraId="072780EC" w14:textId="3ADB5719" w:rsidR="00D72878" w:rsidRPr="00182113" w:rsidRDefault="00D72878" w:rsidP="00707855">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Ocoyoacac</w:t>
          </w:r>
          <w:proofErr w:type="spellEnd"/>
        </w:p>
      </w:tc>
    </w:tr>
    <w:tr w:rsidR="00D72878" w:rsidRPr="00182113" w14:paraId="4C64E68D" w14:textId="77777777" w:rsidTr="009F5CF5">
      <w:trPr>
        <w:trHeight w:val="320"/>
      </w:trPr>
      <w:tc>
        <w:tcPr>
          <w:tcW w:w="2532" w:type="dxa"/>
          <w:vAlign w:val="center"/>
        </w:tcPr>
        <w:p w14:paraId="6424A6D7" w14:textId="77777777" w:rsidR="00D72878" w:rsidRPr="00182113" w:rsidRDefault="00D72878"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6" w:type="dxa"/>
          <w:vAlign w:val="center"/>
        </w:tcPr>
        <w:p w14:paraId="6D217C44" w14:textId="77777777" w:rsidR="00D72878" w:rsidRPr="00182113" w:rsidRDefault="00D72878" w:rsidP="001A4CD6">
          <w:pPr>
            <w:pStyle w:val="Encabezado"/>
            <w:jc w:val="center"/>
            <w:rPr>
              <w:rFonts w:ascii="Palatino Linotype" w:hAnsi="Palatino Linotype"/>
              <w:b/>
              <w:sz w:val="22"/>
              <w:szCs w:val="22"/>
            </w:rPr>
          </w:pPr>
        </w:p>
      </w:tc>
      <w:tc>
        <w:tcPr>
          <w:tcW w:w="3823" w:type="dxa"/>
          <w:vAlign w:val="center"/>
        </w:tcPr>
        <w:p w14:paraId="38A927B4" w14:textId="77777777" w:rsidR="00D72878" w:rsidRPr="00182113" w:rsidRDefault="00D72878" w:rsidP="009F5CF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55ED97F9" w14:textId="77777777" w:rsidR="00D72878" w:rsidRDefault="00D728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C7B2A1D0"/>
    <w:lvl w:ilvl="0" w:tplc="92BE0B36">
      <w:start w:val="1"/>
      <w:numFmt w:val="decimal"/>
      <w:lvlText w:val="%1."/>
      <w:lvlJc w:val="left"/>
      <w:pPr>
        <w:ind w:left="5464"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245664"/>
    <w:multiLevelType w:val="hybridMultilevel"/>
    <w:tmpl w:val="CD84CB30"/>
    <w:lvl w:ilvl="0" w:tplc="6C2EBABE">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E0071B6"/>
    <w:multiLevelType w:val="hybridMultilevel"/>
    <w:tmpl w:val="74E613A0"/>
    <w:lvl w:ilvl="0" w:tplc="92BE0B36">
      <w:start w:val="1"/>
      <w:numFmt w:val="decimal"/>
      <w:lvlText w:val="%1."/>
      <w:lvlJc w:val="left"/>
      <w:pPr>
        <w:ind w:left="5464"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i/>
      </w:rPr>
    </w:lvl>
    <w:lvl w:ilvl="2" w:tplc="080A0017">
      <w:start w:val="1"/>
      <w:numFmt w:val="lowerLetter"/>
      <w:lvlText w:val="%3)"/>
      <w:lvlJc w:val="lef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8"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7D7F82"/>
    <w:multiLevelType w:val="multilevel"/>
    <w:tmpl w:val="06BA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9"/>
  </w:num>
  <w:num w:numId="4">
    <w:abstractNumId w:val="10"/>
  </w:num>
  <w:num w:numId="5">
    <w:abstractNumId w:val="0"/>
  </w:num>
  <w:num w:numId="6">
    <w:abstractNumId w:val="2"/>
  </w:num>
  <w:num w:numId="7">
    <w:abstractNumId w:val="4"/>
  </w:num>
  <w:num w:numId="8">
    <w:abstractNumId w:val="26"/>
  </w:num>
  <w:num w:numId="9">
    <w:abstractNumId w:val="12"/>
  </w:num>
  <w:num w:numId="10">
    <w:abstractNumId w:val="13"/>
  </w:num>
  <w:num w:numId="11">
    <w:abstractNumId w:val="17"/>
  </w:num>
  <w:num w:numId="12">
    <w:abstractNumId w:val="6"/>
  </w:num>
  <w:num w:numId="13">
    <w:abstractNumId w:val="27"/>
  </w:num>
  <w:num w:numId="14">
    <w:abstractNumId w:val="11"/>
  </w:num>
  <w:num w:numId="15">
    <w:abstractNumId w:val="8"/>
  </w:num>
  <w:num w:numId="16">
    <w:abstractNumId w:val="3"/>
  </w:num>
  <w:num w:numId="17">
    <w:abstractNumId w:val="16"/>
  </w:num>
  <w:num w:numId="18">
    <w:abstractNumId w:val="18"/>
  </w:num>
  <w:num w:numId="19">
    <w:abstractNumId w:val="15"/>
  </w:num>
  <w:num w:numId="20">
    <w:abstractNumId w:val="28"/>
  </w:num>
  <w:num w:numId="21">
    <w:abstractNumId w:val="25"/>
  </w:num>
  <w:num w:numId="22">
    <w:abstractNumId w:val="7"/>
  </w:num>
  <w:num w:numId="23">
    <w:abstractNumId w:val="24"/>
  </w:num>
  <w:num w:numId="24">
    <w:abstractNumId w:val="9"/>
  </w:num>
  <w:num w:numId="25">
    <w:abstractNumId w:val="23"/>
  </w:num>
  <w:num w:numId="26">
    <w:abstractNumId w:val="21"/>
  </w:num>
  <w:num w:numId="27">
    <w:abstractNumId w:val="29"/>
  </w:num>
  <w:num w:numId="28">
    <w:abstractNumId w:val="14"/>
  </w:num>
  <w:num w:numId="29">
    <w:abstractNumId w:val="22"/>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640"/>
    <w:rsid w:val="0000547D"/>
    <w:rsid w:val="00006232"/>
    <w:rsid w:val="000134A1"/>
    <w:rsid w:val="00015D3B"/>
    <w:rsid w:val="00030E8B"/>
    <w:rsid w:val="00031242"/>
    <w:rsid w:val="00032BD5"/>
    <w:rsid w:val="00032F2E"/>
    <w:rsid w:val="000342A6"/>
    <w:rsid w:val="00034A4C"/>
    <w:rsid w:val="00035DCC"/>
    <w:rsid w:val="000365FB"/>
    <w:rsid w:val="000415A8"/>
    <w:rsid w:val="00057777"/>
    <w:rsid w:val="0006128A"/>
    <w:rsid w:val="00065257"/>
    <w:rsid w:val="000772E2"/>
    <w:rsid w:val="00087EFD"/>
    <w:rsid w:val="000906F8"/>
    <w:rsid w:val="00093440"/>
    <w:rsid w:val="00096913"/>
    <w:rsid w:val="000A333C"/>
    <w:rsid w:val="000B0798"/>
    <w:rsid w:val="000B6355"/>
    <w:rsid w:val="000D029A"/>
    <w:rsid w:val="000D4292"/>
    <w:rsid w:val="000D696D"/>
    <w:rsid w:val="000E14D4"/>
    <w:rsid w:val="000E1EF5"/>
    <w:rsid w:val="000E2E37"/>
    <w:rsid w:val="000E4F33"/>
    <w:rsid w:val="000E68DC"/>
    <w:rsid w:val="000F0893"/>
    <w:rsid w:val="000F0A44"/>
    <w:rsid w:val="000F2777"/>
    <w:rsid w:val="000F4181"/>
    <w:rsid w:val="000F578B"/>
    <w:rsid w:val="001026A0"/>
    <w:rsid w:val="00102DB6"/>
    <w:rsid w:val="001034F9"/>
    <w:rsid w:val="0010439E"/>
    <w:rsid w:val="001052C0"/>
    <w:rsid w:val="00110244"/>
    <w:rsid w:val="00111533"/>
    <w:rsid w:val="00112CE8"/>
    <w:rsid w:val="00113665"/>
    <w:rsid w:val="001202D1"/>
    <w:rsid w:val="00122D83"/>
    <w:rsid w:val="00124DD2"/>
    <w:rsid w:val="00126762"/>
    <w:rsid w:val="00130074"/>
    <w:rsid w:val="00134074"/>
    <w:rsid w:val="00134368"/>
    <w:rsid w:val="0013669F"/>
    <w:rsid w:val="001367B5"/>
    <w:rsid w:val="00141A5C"/>
    <w:rsid w:val="00142A26"/>
    <w:rsid w:val="001501C7"/>
    <w:rsid w:val="00155F00"/>
    <w:rsid w:val="001570F2"/>
    <w:rsid w:val="00157636"/>
    <w:rsid w:val="001631F8"/>
    <w:rsid w:val="00163BA3"/>
    <w:rsid w:val="001649AD"/>
    <w:rsid w:val="00167FBD"/>
    <w:rsid w:val="0017271A"/>
    <w:rsid w:val="001734FD"/>
    <w:rsid w:val="00175451"/>
    <w:rsid w:val="001804FB"/>
    <w:rsid w:val="00180631"/>
    <w:rsid w:val="0018071A"/>
    <w:rsid w:val="0018283F"/>
    <w:rsid w:val="00185980"/>
    <w:rsid w:val="001900FE"/>
    <w:rsid w:val="001A2852"/>
    <w:rsid w:val="001A4CD6"/>
    <w:rsid w:val="001B413D"/>
    <w:rsid w:val="001B4306"/>
    <w:rsid w:val="001B4D2F"/>
    <w:rsid w:val="001B537C"/>
    <w:rsid w:val="001C5876"/>
    <w:rsid w:val="001D306D"/>
    <w:rsid w:val="001D6F0D"/>
    <w:rsid w:val="001E225C"/>
    <w:rsid w:val="001E43E4"/>
    <w:rsid w:val="001E4669"/>
    <w:rsid w:val="001E7203"/>
    <w:rsid w:val="001E7F6E"/>
    <w:rsid w:val="001F1AF2"/>
    <w:rsid w:val="001F3FE7"/>
    <w:rsid w:val="001F499B"/>
    <w:rsid w:val="001F5E3A"/>
    <w:rsid w:val="002010C8"/>
    <w:rsid w:val="00202AC5"/>
    <w:rsid w:val="00205D1F"/>
    <w:rsid w:val="00207D59"/>
    <w:rsid w:val="00211CCB"/>
    <w:rsid w:val="00212853"/>
    <w:rsid w:val="00213898"/>
    <w:rsid w:val="0021402D"/>
    <w:rsid w:val="00214E34"/>
    <w:rsid w:val="00217859"/>
    <w:rsid w:val="00220341"/>
    <w:rsid w:val="00220743"/>
    <w:rsid w:val="00222D6C"/>
    <w:rsid w:val="00230CEB"/>
    <w:rsid w:val="00234B24"/>
    <w:rsid w:val="002406C0"/>
    <w:rsid w:val="00242193"/>
    <w:rsid w:val="00245D49"/>
    <w:rsid w:val="0024667A"/>
    <w:rsid w:val="00247376"/>
    <w:rsid w:val="002572AE"/>
    <w:rsid w:val="0026042E"/>
    <w:rsid w:val="002612E8"/>
    <w:rsid w:val="00261B54"/>
    <w:rsid w:val="00262B20"/>
    <w:rsid w:val="00277C08"/>
    <w:rsid w:val="00277D13"/>
    <w:rsid w:val="00284CD9"/>
    <w:rsid w:val="00292BCC"/>
    <w:rsid w:val="002A00B1"/>
    <w:rsid w:val="002A5ED3"/>
    <w:rsid w:val="002B4574"/>
    <w:rsid w:val="002B4601"/>
    <w:rsid w:val="002B7AEF"/>
    <w:rsid w:val="002C37C0"/>
    <w:rsid w:val="002C4B4C"/>
    <w:rsid w:val="002D1192"/>
    <w:rsid w:val="002D11FC"/>
    <w:rsid w:val="002D278B"/>
    <w:rsid w:val="002D5CC7"/>
    <w:rsid w:val="002E362D"/>
    <w:rsid w:val="002E6484"/>
    <w:rsid w:val="002F5CDE"/>
    <w:rsid w:val="00301B89"/>
    <w:rsid w:val="003024A6"/>
    <w:rsid w:val="00304E51"/>
    <w:rsid w:val="0030660D"/>
    <w:rsid w:val="00313913"/>
    <w:rsid w:val="00313EC3"/>
    <w:rsid w:val="00321228"/>
    <w:rsid w:val="00337251"/>
    <w:rsid w:val="00340AD2"/>
    <w:rsid w:val="00341755"/>
    <w:rsid w:val="003425A6"/>
    <w:rsid w:val="00343C60"/>
    <w:rsid w:val="00351A52"/>
    <w:rsid w:val="00352098"/>
    <w:rsid w:val="00355D0F"/>
    <w:rsid w:val="00356FFB"/>
    <w:rsid w:val="003576F9"/>
    <w:rsid w:val="00362814"/>
    <w:rsid w:val="003764D0"/>
    <w:rsid w:val="00383EB3"/>
    <w:rsid w:val="00390C2D"/>
    <w:rsid w:val="00397509"/>
    <w:rsid w:val="003A0535"/>
    <w:rsid w:val="003A232D"/>
    <w:rsid w:val="003A3292"/>
    <w:rsid w:val="003A3A3A"/>
    <w:rsid w:val="003A6589"/>
    <w:rsid w:val="003B5933"/>
    <w:rsid w:val="003C71AF"/>
    <w:rsid w:val="003D0081"/>
    <w:rsid w:val="003D3963"/>
    <w:rsid w:val="003D454E"/>
    <w:rsid w:val="003D50AD"/>
    <w:rsid w:val="003D525D"/>
    <w:rsid w:val="003D6A00"/>
    <w:rsid w:val="003D6EA6"/>
    <w:rsid w:val="003E47DF"/>
    <w:rsid w:val="003E56C5"/>
    <w:rsid w:val="003F28F9"/>
    <w:rsid w:val="003F609D"/>
    <w:rsid w:val="003F61D7"/>
    <w:rsid w:val="004017FC"/>
    <w:rsid w:val="00404CB5"/>
    <w:rsid w:val="00414324"/>
    <w:rsid w:val="00414C5B"/>
    <w:rsid w:val="004166B2"/>
    <w:rsid w:val="004229E6"/>
    <w:rsid w:val="00423161"/>
    <w:rsid w:val="0043098B"/>
    <w:rsid w:val="00432188"/>
    <w:rsid w:val="00433076"/>
    <w:rsid w:val="004406A6"/>
    <w:rsid w:val="00441401"/>
    <w:rsid w:val="00451617"/>
    <w:rsid w:val="004618F0"/>
    <w:rsid w:val="00462298"/>
    <w:rsid w:val="00464FF4"/>
    <w:rsid w:val="004664A7"/>
    <w:rsid w:val="0047391B"/>
    <w:rsid w:val="004919E3"/>
    <w:rsid w:val="00492F73"/>
    <w:rsid w:val="004A0E30"/>
    <w:rsid w:val="004A3547"/>
    <w:rsid w:val="004A3BF4"/>
    <w:rsid w:val="004B1809"/>
    <w:rsid w:val="004B1EA0"/>
    <w:rsid w:val="004B3740"/>
    <w:rsid w:val="004B60C9"/>
    <w:rsid w:val="004B6297"/>
    <w:rsid w:val="004C0DA1"/>
    <w:rsid w:val="004C5004"/>
    <w:rsid w:val="004E6F73"/>
    <w:rsid w:val="004F27AC"/>
    <w:rsid w:val="004F44D4"/>
    <w:rsid w:val="004F47E9"/>
    <w:rsid w:val="004F71FF"/>
    <w:rsid w:val="00500DD3"/>
    <w:rsid w:val="005054E8"/>
    <w:rsid w:val="00506433"/>
    <w:rsid w:val="0050688E"/>
    <w:rsid w:val="005143E6"/>
    <w:rsid w:val="0051758D"/>
    <w:rsid w:val="0052144D"/>
    <w:rsid w:val="005260B7"/>
    <w:rsid w:val="00531380"/>
    <w:rsid w:val="00537EB4"/>
    <w:rsid w:val="00541216"/>
    <w:rsid w:val="0054193B"/>
    <w:rsid w:val="00555448"/>
    <w:rsid w:val="00555E8F"/>
    <w:rsid w:val="00556554"/>
    <w:rsid w:val="00557FCA"/>
    <w:rsid w:val="005630E4"/>
    <w:rsid w:val="00563D8D"/>
    <w:rsid w:val="0056488B"/>
    <w:rsid w:val="00564987"/>
    <w:rsid w:val="0057083E"/>
    <w:rsid w:val="00570E89"/>
    <w:rsid w:val="00571AD4"/>
    <w:rsid w:val="005725E9"/>
    <w:rsid w:val="00572838"/>
    <w:rsid w:val="0057786F"/>
    <w:rsid w:val="00591A27"/>
    <w:rsid w:val="00591E4B"/>
    <w:rsid w:val="005921E9"/>
    <w:rsid w:val="005A1F06"/>
    <w:rsid w:val="005B0EC9"/>
    <w:rsid w:val="005B70B5"/>
    <w:rsid w:val="005C6377"/>
    <w:rsid w:val="005D1981"/>
    <w:rsid w:val="005D2D1C"/>
    <w:rsid w:val="005D3E69"/>
    <w:rsid w:val="005D791C"/>
    <w:rsid w:val="005E0AF0"/>
    <w:rsid w:val="005F6961"/>
    <w:rsid w:val="006041B2"/>
    <w:rsid w:val="0060473E"/>
    <w:rsid w:val="006057F0"/>
    <w:rsid w:val="0060674E"/>
    <w:rsid w:val="00606A49"/>
    <w:rsid w:val="00614478"/>
    <w:rsid w:val="006150F7"/>
    <w:rsid w:val="006228CD"/>
    <w:rsid w:val="00622E9B"/>
    <w:rsid w:val="00624357"/>
    <w:rsid w:val="006255DB"/>
    <w:rsid w:val="00626775"/>
    <w:rsid w:val="0063186F"/>
    <w:rsid w:val="00642B78"/>
    <w:rsid w:val="00642CED"/>
    <w:rsid w:val="00645492"/>
    <w:rsid w:val="0065533B"/>
    <w:rsid w:val="00657293"/>
    <w:rsid w:val="00663F49"/>
    <w:rsid w:val="00664309"/>
    <w:rsid w:val="00664711"/>
    <w:rsid w:val="0066549D"/>
    <w:rsid w:val="00665A75"/>
    <w:rsid w:val="006728A5"/>
    <w:rsid w:val="0067299D"/>
    <w:rsid w:val="006810DE"/>
    <w:rsid w:val="00686A55"/>
    <w:rsid w:val="00687528"/>
    <w:rsid w:val="006922C0"/>
    <w:rsid w:val="00694D7C"/>
    <w:rsid w:val="0069522F"/>
    <w:rsid w:val="00695A9A"/>
    <w:rsid w:val="0069792E"/>
    <w:rsid w:val="006B151B"/>
    <w:rsid w:val="006B2087"/>
    <w:rsid w:val="006B3E1D"/>
    <w:rsid w:val="006C2FB0"/>
    <w:rsid w:val="006C7C25"/>
    <w:rsid w:val="006D0FE4"/>
    <w:rsid w:val="006D4306"/>
    <w:rsid w:val="006D43CD"/>
    <w:rsid w:val="006E4922"/>
    <w:rsid w:val="006E5138"/>
    <w:rsid w:val="006E51FB"/>
    <w:rsid w:val="006E5427"/>
    <w:rsid w:val="006E5EF0"/>
    <w:rsid w:val="006E6ACB"/>
    <w:rsid w:val="006F2EAA"/>
    <w:rsid w:val="006F4D55"/>
    <w:rsid w:val="006F7BB6"/>
    <w:rsid w:val="0070173D"/>
    <w:rsid w:val="007034F5"/>
    <w:rsid w:val="00707855"/>
    <w:rsid w:val="007123EA"/>
    <w:rsid w:val="007223A0"/>
    <w:rsid w:val="00723244"/>
    <w:rsid w:val="00727DA4"/>
    <w:rsid w:val="00733D32"/>
    <w:rsid w:val="00742EAC"/>
    <w:rsid w:val="0074418E"/>
    <w:rsid w:val="00745ED5"/>
    <w:rsid w:val="007462ED"/>
    <w:rsid w:val="007464D0"/>
    <w:rsid w:val="00754333"/>
    <w:rsid w:val="007557A7"/>
    <w:rsid w:val="0076038C"/>
    <w:rsid w:val="007609C8"/>
    <w:rsid w:val="00763406"/>
    <w:rsid w:val="00763C28"/>
    <w:rsid w:val="007663E4"/>
    <w:rsid w:val="0077177C"/>
    <w:rsid w:val="00771B05"/>
    <w:rsid w:val="007744EC"/>
    <w:rsid w:val="00780382"/>
    <w:rsid w:val="00782400"/>
    <w:rsid w:val="00782BB1"/>
    <w:rsid w:val="00785A87"/>
    <w:rsid w:val="007946CF"/>
    <w:rsid w:val="007950EB"/>
    <w:rsid w:val="00795AA6"/>
    <w:rsid w:val="007A005B"/>
    <w:rsid w:val="007A6825"/>
    <w:rsid w:val="007A7015"/>
    <w:rsid w:val="007A7BA0"/>
    <w:rsid w:val="007B310F"/>
    <w:rsid w:val="007C2130"/>
    <w:rsid w:val="007C29E3"/>
    <w:rsid w:val="007C2E58"/>
    <w:rsid w:val="007C588E"/>
    <w:rsid w:val="007D02B4"/>
    <w:rsid w:val="007E41C2"/>
    <w:rsid w:val="007E49F5"/>
    <w:rsid w:val="007E6650"/>
    <w:rsid w:val="007F0566"/>
    <w:rsid w:val="007F2487"/>
    <w:rsid w:val="007F4F56"/>
    <w:rsid w:val="007F5531"/>
    <w:rsid w:val="0080681B"/>
    <w:rsid w:val="008159F7"/>
    <w:rsid w:val="008174E3"/>
    <w:rsid w:val="00825B5D"/>
    <w:rsid w:val="008261FA"/>
    <w:rsid w:val="00831505"/>
    <w:rsid w:val="008355F1"/>
    <w:rsid w:val="00841C0E"/>
    <w:rsid w:val="00846CEB"/>
    <w:rsid w:val="00850718"/>
    <w:rsid w:val="00852925"/>
    <w:rsid w:val="00854EE8"/>
    <w:rsid w:val="00855BBD"/>
    <w:rsid w:val="008626A8"/>
    <w:rsid w:val="00870842"/>
    <w:rsid w:val="008718AC"/>
    <w:rsid w:val="00881E13"/>
    <w:rsid w:val="00892203"/>
    <w:rsid w:val="00894D37"/>
    <w:rsid w:val="008C153E"/>
    <w:rsid w:val="008C1593"/>
    <w:rsid w:val="008C15B3"/>
    <w:rsid w:val="008C185F"/>
    <w:rsid w:val="008C35D2"/>
    <w:rsid w:val="008C54C1"/>
    <w:rsid w:val="008C7782"/>
    <w:rsid w:val="008C7CF8"/>
    <w:rsid w:val="008D1B69"/>
    <w:rsid w:val="008D30D2"/>
    <w:rsid w:val="008D3F52"/>
    <w:rsid w:val="008D53C3"/>
    <w:rsid w:val="008E29C5"/>
    <w:rsid w:val="008E3975"/>
    <w:rsid w:val="008E6205"/>
    <w:rsid w:val="008F23B8"/>
    <w:rsid w:val="008F5F66"/>
    <w:rsid w:val="00902845"/>
    <w:rsid w:val="00923510"/>
    <w:rsid w:val="00925AAD"/>
    <w:rsid w:val="00925D51"/>
    <w:rsid w:val="0093070D"/>
    <w:rsid w:val="00930C07"/>
    <w:rsid w:val="00933BFC"/>
    <w:rsid w:val="0093578E"/>
    <w:rsid w:val="00937188"/>
    <w:rsid w:val="00951021"/>
    <w:rsid w:val="00954D36"/>
    <w:rsid w:val="00955DD3"/>
    <w:rsid w:val="00957170"/>
    <w:rsid w:val="0096035B"/>
    <w:rsid w:val="0096307D"/>
    <w:rsid w:val="00966FDA"/>
    <w:rsid w:val="00971996"/>
    <w:rsid w:val="00983931"/>
    <w:rsid w:val="00990CEE"/>
    <w:rsid w:val="00995175"/>
    <w:rsid w:val="00996535"/>
    <w:rsid w:val="009A29D8"/>
    <w:rsid w:val="009B4FC2"/>
    <w:rsid w:val="009C36E7"/>
    <w:rsid w:val="009C43C2"/>
    <w:rsid w:val="009C5448"/>
    <w:rsid w:val="009D1C50"/>
    <w:rsid w:val="009D2081"/>
    <w:rsid w:val="009D69F5"/>
    <w:rsid w:val="009E2C36"/>
    <w:rsid w:val="009E411C"/>
    <w:rsid w:val="009F5CF5"/>
    <w:rsid w:val="00A00407"/>
    <w:rsid w:val="00A00D57"/>
    <w:rsid w:val="00A06BC9"/>
    <w:rsid w:val="00A121FF"/>
    <w:rsid w:val="00A12BB4"/>
    <w:rsid w:val="00A137B4"/>
    <w:rsid w:val="00A214C5"/>
    <w:rsid w:val="00A3158D"/>
    <w:rsid w:val="00A3714E"/>
    <w:rsid w:val="00A40DC7"/>
    <w:rsid w:val="00A41BF8"/>
    <w:rsid w:val="00A448F0"/>
    <w:rsid w:val="00A46B18"/>
    <w:rsid w:val="00A4775A"/>
    <w:rsid w:val="00A55BA0"/>
    <w:rsid w:val="00A66C2E"/>
    <w:rsid w:val="00A75266"/>
    <w:rsid w:val="00A76C3B"/>
    <w:rsid w:val="00A777F4"/>
    <w:rsid w:val="00A859DE"/>
    <w:rsid w:val="00A91238"/>
    <w:rsid w:val="00AA1DB8"/>
    <w:rsid w:val="00AA47F8"/>
    <w:rsid w:val="00AC041B"/>
    <w:rsid w:val="00AC26DD"/>
    <w:rsid w:val="00AC5F1B"/>
    <w:rsid w:val="00AC71D5"/>
    <w:rsid w:val="00AC7991"/>
    <w:rsid w:val="00AD2B94"/>
    <w:rsid w:val="00AD509E"/>
    <w:rsid w:val="00AE7E90"/>
    <w:rsid w:val="00AF107F"/>
    <w:rsid w:val="00AF2D44"/>
    <w:rsid w:val="00AF4E3D"/>
    <w:rsid w:val="00AF5C35"/>
    <w:rsid w:val="00AF625F"/>
    <w:rsid w:val="00AF727B"/>
    <w:rsid w:val="00B00B40"/>
    <w:rsid w:val="00B05E35"/>
    <w:rsid w:val="00B10CAF"/>
    <w:rsid w:val="00B12AE4"/>
    <w:rsid w:val="00B16B7C"/>
    <w:rsid w:val="00B22768"/>
    <w:rsid w:val="00B23971"/>
    <w:rsid w:val="00B34A1F"/>
    <w:rsid w:val="00B35EBF"/>
    <w:rsid w:val="00B36D77"/>
    <w:rsid w:val="00B448B8"/>
    <w:rsid w:val="00B46E93"/>
    <w:rsid w:val="00B549FD"/>
    <w:rsid w:val="00B57829"/>
    <w:rsid w:val="00B73666"/>
    <w:rsid w:val="00B74FFD"/>
    <w:rsid w:val="00B819AE"/>
    <w:rsid w:val="00B81B32"/>
    <w:rsid w:val="00B9306B"/>
    <w:rsid w:val="00B94FAD"/>
    <w:rsid w:val="00B96B07"/>
    <w:rsid w:val="00B97052"/>
    <w:rsid w:val="00BA15D4"/>
    <w:rsid w:val="00BA1BA1"/>
    <w:rsid w:val="00BA31EB"/>
    <w:rsid w:val="00BA5158"/>
    <w:rsid w:val="00BB7D1A"/>
    <w:rsid w:val="00BC26F1"/>
    <w:rsid w:val="00BC54E8"/>
    <w:rsid w:val="00BD40C4"/>
    <w:rsid w:val="00BD6F10"/>
    <w:rsid w:val="00BE1A6D"/>
    <w:rsid w:val="00BE2CBC"/>
    <w:rsid w:val="00BE5305"/>
    <w:rsid w:val="00BF7E3A"/>
    <w:rsid w:val="00C028D5"/>
    <w:rsid w:val="00C040E4"/>
    <w:rsid w:val="00C04C51"/>
    <w:rsid w:val="00C04CD2"/>
    <w:rsid w:val="00C05007"/>
    <w:rsid w:val="00C11B60"/>
    <w:rsid w:val="00C11DF7"/>
    <w:rsid w:val="00C14EEA"/>
    <w:rsid w:val="00C152B3"/>
    <w:rsid w:val="00C158E4"/>
    <w:rsid w:val="00C256D4"/>
    <w:rsid w:val="00C32B19"/>
    <w:rsid w:val="00C36B98"/>
    <w:rsid w:val="00C41AA2"/>
    <w:rsid w:val="00C441EE"/>
    <w:rsid w:val="00C567E1"/>
    <w:rsid w:val="00C64C18"/>
    <w:rsid w:val="00C73AB8"/>
    <w:rsid w:val="00C75B8F"/>
    <w:rsid w:val="00C83B83"/>
    <w:rsid w:val="00C86A73"/>
    <w:rsid w:val="00C8714B"/>
    <w:rsid w:val="00C87D41"/>
    <w:rsid w:val="00C92950"/>
    <w:rsid w:val="00CA21E9"/>
    <w:rsid w:val="00CA544A"/>
    <w:rsid w:val="00CB4FAB"/>
    <w:rsid w:val="00CC011C"/>
    <w:rsid w:val="00CC330A"/>
    <w:rsid w:val="00CC54B0"/>
    <w:rsid w:val="00CD6681"/>
    <w:rsid w:val="00CE0A58"/>
    <w:rsid w:val="00CE3BFC"/>
    <w:rsid w:val="00CE3C45"/>
    <w:rsid w:val="00CF20E6"/>
    <w:rsid w:val="00CF3989"/>
    <w:rsid w:val="00CF6A82"/>
    <w:rsid w:val="00D004ED"/>
    <w:rsid w:val="00D04019"/>
    <w:rsid w:val="00D113FB"/>
    <w:rsid w:val="00D114C0"/>
    <w:rsid w:val="00D16727"/>
    <w:rsid w:val="00D26A5E"/>
    <w:rsid w:val="00D351A8"/>
    <w:rsid w:val="00D369A5"/>
    <w:rsid w:val="00D374D2"/>
    <w:rsid w:val="00D41C54"/>
    <w:rsid w:val="00D42F7C"/>
    <w:rsid w:val="00D47A5B"/>
    <w:rsid w:val="00D50B61"/>
    <w:rsid w:val="00D53C1F"/>
    <w:rsid w:val="00D54876"/>
    <w:rsid w:val="00D664B9"/>
    <w:rsid w:val="00D72878"/>
    <w:rsid w:val="00D738A7"/>
    <w:rsid w:val="00D7644A"/>
    <w:rsid w:val="00D82B8B"/>
    <w:rsid w:val="00D82CE9"/>
    <w:rsid w:val="00D9060F"/>
    <w:rsid w:val="00D92653"/>
    <w:rsid w:val="00D93E60"/>
    <w:rsid w:val="00D95A7B"/>
    <w:rsid w:val="00DC632E"/>
    <w:rsid w:val="00DD1A51"/>
    <w:rsid w:val="00DE216C"/>
    <w:rsid w:val="00DE7DC7"/>
    <w:rsid w:val="00DF2FA3"/>
    <w:rsid w:val="00DF7495"/>
    <w:rsid w:val="00DF7C29"/>
    <w:rsid w:val="00E01D31"/>
    <w:rsid w:val="00E07D06"/>
    <w:rsid w:val="00E2041E"/>
    <w:rsid w:val="00E30553"/>
    <w:rsid w:val="00E33163"/>
    <w:rsid w:val="00E3617C"/>
    <w:rsid w:val="00E40A30"/>
    <w:rsid w:val="00E44778"/>
    <w:rsid w:val="00E464B4"/>
    <w:rsid w:val="00E465F2"/>
    <w:rsid w:val="00E507DF"/>
    <w:rsid w:val="00E50C1A"/>
    <w:rsid w:val="00E51B74"/>
    <w:rsid w:val="00E535FA"/>
    <w:rsid w:val="00E53FFA"/>
    <w:rsid w:val="00E5521B"/>
    <w:rsid w:val="00E559CA"/>
    <w:rsid w:val="00E55DA2"/>
    <w:rsid w:val="00E56784"/>
    <w:rsid w:val="00E56C11"/>
    <w:rsid w:val="00E67006"/>
    <w:rsid w:val="00E72CA5"/>
    <w:rsid w:val="00E76CD5"/>
    <w:rsid w:val="00E76F13"/>
    <w:rsid w:val="00EA0917"/>
    <w:rsid w:val="00EA18BA"/>
    <w:rsid w:val="00EA65D1"/>
    <w:rsid w:val="00EC1084"/>
    <w:rsid w:val="00EC140B"/>
    <w:rsid w:val="00EC2375"/>
    <w:rsid w:val="00EC74E4"/>
    <w:rsid w:val="00ED0127"/>
    <w:rsid w:val="00ED1D6D"/>
    <w:rsid w:val="00ED2A4D"/>
    <w:rsid w:val="00ED3283"/>
    <w:rsid w:val="00ED56BC"/>
    <w:rsid w:val="00ED6200"/>
    <w:rsid w:val="00EE1F37"/>
    <w:rsid w:val="00EF12E0"/>
    <w:rsid w:val="00EF1613"/>
    <w:rsid w:val="00EF766D"/>
    <w:rsid w:val="00F004B1"/>
    <w:rsid w:val="00F00D89"/>
    <w:rsid w:val="00F013AF"/>
    <w:rsid w:val="00F03A8E"/>
    <w:rsid w:val="00F06525"/>
    <w:rsid w:val="00F06C8F"/>
    <w:rsid w:val="00F06D8C"/>
    <w:rsid w:val="00F102E2"/>
    <w:rsid w:val="00F1061B"/>
    <w:rsid w:val="00F13BA3"/>
    <w:rsid w:val="00F16490"/>
    <w:rsid w:val="00F16F3C"/>
    <w:rsid w:val="00F2194B"/>
    <w:rsid w:val="00F21D21"/>
    <w:rsid w:val="00F25F3C"/>
    <w:rsid w:val="00F27567"/>
    <w:rsid w:val="00F3211E"/>
    <w:rsid w:val="00F34E37"/>
    <w:rsid w:val="00F35B68"/>
    <w:rsid w:val="00F37D52"/>
    <w:rsid w:val="00F41B3C"/>
    <w:rsid w:val="00F44A85"/>
    <w:rsid w:val="00F46CEB"/>
    <w:rsid w:val="00F56F46"/>
    <w:rsid w:val="00F60843"/>
    <w:rsid w:val="00F7379A"/>
    <w:rsid w:val="00F73E10"/>
    <w:rsid w:val="00F833B3"/>
    <w:rsid w:val="00F86D0F"/>
    <w:rsid w:val="00F90256"/>
    <w:rsid w:val="00F9687E"/>
    <w:rsid w:val="00F9694B"/>
    <w:rsid w:val="00F97E34"/>
    <w:rsid w:val="00FA0EEA"/>
    <w:rsid w:val="00FA4039"/>
    <w:rsid w:val="00FA4D09"/>
    <w:rsid w:val="00FA6E9B"/>
    <w:rsid w:val="00FA7F06"/>
    <w:rsid w:val="00FB6887"/>
    <w:rsid w:val="00FB6F23"/>
    <w:rsid w:val="00FC0C18"/>
    <w:rsid w:val="00FC3E1B"/>
    <w:rsid w:val="00FC679E"/>
    <w:rsid w:val="00FC702D"/>
    <w:rsid w:val="00FD0A82"/>
    <w:rsid w:val="00FD4BB0"/>
    <w:rsid w:val="00FD7733"/>
    <w:rsid w:val="00FE3095"/>
    <w:rsid w:val="00FE443E"/>
    <w:rsid w:val="00FE49FC"/>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E89A2"/>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styleId="Tabladecuadrcula6concolores">
    <w:name w:val="Grid Table 6 Colorful"/>
    <w:basedOn w:val="Tablanormal"/>
    <w:uiPriority w:val="51"/>
    <w:rsid w:val="00E465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950EB"/>
    <w:rPr>
      <w:color w:val="954F72" w:themeColor="followedHyperlink"/>
      <w:u w:val="single"/>
    </w:rPr>
  </w:style>
  <w:style w:type="paragraph" w:styleId="NormalWeb">
    <w:name w:val="Normal (Web)"/>
    <w:basedOn w:val="Normal"/>
    <w:uiPriority w:val="99"/>
    <w:semiHidden/>
    <w:unhideWhenUsed/>
    <w:rsid w:val="009D1C50"/>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9D1C50"/>
    <w:rPr>
      <w:b/>
      <w:bCs/>
    </w:rPr>
  </w:style>
  <w:style w:type="character" w:customStyle="1" w:styleId="apple-converted-space">
    <w:name w:val="apple-converted-space"/>
    <w:basedOn w:val="Fuentedeprrafopredeter"/>
    <w:rsid w:val="003D3963"/>
  </w:style>
  <w:style w:type="table" w:customStyle="1" w:styleId="Tablaconcuadrcula2">
    <w:name w:val="Tabla con cuadrícula2"/>
    <w:basedOn w:val="Tablanormal"/>
    <w:next w:val="Tablaconcuadrcula"/>
    <w:uiPriority w:val="39"/>
    <w:rsid w:val="00E559C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207648660">
      <w:bodyDiv w:val="1"/>
      <w:marLeft w:val="0"/>
      <w:marRight w:val="0"/>
      <w:marTop w:val="0"/>
      <w:marBottom w:val="0"/>
      <w:divBdr>
        <w:top w:val="none" w:sz="0" w:space="0" w:color="auto"/>
        <w:left w:val="none" w:sz="0" w:space="0" w:color="auto"/>
        <w:bottom w:val="none" w:sz="0" w:space="0" w:color="auto"/>
        <w:right w:val="none" w:sz="0" w:space="0" w:color="auto"/>
      </w:divBdr>
    </w:div>
    <w:div w:id="514656440">
      <w:bodyDiv w:val="1"/>
      <w:marLeft w:val="0"/>
      <w:marRight w:val="0"/>
      <w:marTop w:val="0"/>
      <w:marBottom w:val="0"/>
      <w:divBdr>
        <w:top w:val="none" w:sz="0" w:space="0" w:color="auto"/>
        <w:left w:val="none" w:sz="0" w:space="0" w:color="auto"/>
        <w:bottom w:val="none" w:sz="0" w:space="0" w:color="auto"/>
        <w:right w:val="none" w:sz="0" w:space="0" w:color="auto"/>
      </w:divBdr>
      <w:divsChild>
        <w:div w:id="760566105">
          <w:marLeft w:val="0"/>
          <w:marRight w:val="0"/>
          <w:marTop w:val="0"/>
          <w:marBottom w:val="0"/>
          <w:divBdr>
            <w:top w:val="none" w:sz="0" w:space="0" w:color="auto"/>
            <w:left w:val="none" w:sz="0" w:space="0" w:color="auto"/>
            <w:bottom w:val="none" w:sz="0" w:space="0" w:color="auto"/>
            <w:right w:val="none" w:sz="0" w:space="0" w:color="auto"/>
          </w:divBdr>
        </w:div>
        <w:div w:id="1963614476">
          <w:marLeft w:val="0"/>
          <w:marRight w:val="0"/>
          <w:marTop w:val="0"/>
          <w:marBottom w:val="0"/>
          <w:divBdr>
            <w:top w:val="none" w:sz="0" w:space="0" w:color="auto"/>
            <w:left w:val="none" w:sz="0" w:space="0" w:color="auto"/>
            <w:bottom w:val="none" w:sz="0" w:space="0" w:color="auto"/>
            <w:right w:val="none" w:sz="0" w:space="0" w:color="auto"/>
          </w:divBdr>
        </w:div>
        <w:div w:id="993296053">
          <w:marLeft w:val="0"/>
          <w:marRight w:val="0"/>
          <w:marTop w:val="0"/>
          <w:marBottom w:val="0"/>
          <w:divBdr>
            <w:top w:val="none" w:sz="0" w:space="0" w:color="auto"/>
            <w:left w:val="none" w:sz="0" w:space="0" w:color="auto"/>
            <w:bottom w:val="none" w:sz="0" w:space="0" w:color="auto"/>
            <w:right w:val="none" w:sz="0" w:space="0" w:color="auto"/>
          </w:divBdr>
        </w:div>
        <w:div w:id="46415887">
          <w:marLeft w:val="0"/>
          <w:marRight w:val="0"/>
          <w:marTop w:val="0"/>
          <w:marBottom w:val="0"/>
          <w:divBdr>
            <w:top w:val="none" w:sz="0" w:space="0" w:color="auto"/>
            <w:left w:val="none" w:sz="0" w:space="0" w:color="auto"/>
            <w:bottom w:val="none" w:sz="0" w:space="0" w:color="auto"/>
            <w:right w:val="none" w:sz="0" w:space="0" w:color="auto"/>
          </w:divBdr>
        </w:div>
        <w:div w:id="368917833">
          <w:marLeft w:val="0"/>
          <w:marRight w:val="0"/>
          <w:marTop w:val="0"/>
          <w:marBottom w:val="0"/>
          <w:divBdr>
            <w:top w:val="none" w:sz="0" w:space="0" w:color="auto"/>
            <w:left w:val="none" w:sz="0" w:space="0" w:color="auto"/>
            <w:bottom w:val="none" w:sz="0" w:space="0" w:color="auto"/>
            <w:right w:val="none" w:sz="0" w:space="0" w:color="auto"/>
          </w:divBdr>
        </w:div>
        <w:div w:id="594286584">
          <w:marLeft w:val="0"/>
          <w:marRight w:val="0"/>
          <w:marTop w:val="0"/>
          <w:marBottom w:val="0"/>
          <w:divBdr>
            <w:top w:val="none" w:sz="0" w:space="0" w:color="auto"/>
            <w:left w:val="none" w:sz="0" w:space="0" w:color="auto"/>
            <w:bottom w:val="none" w:sz="0" w:space="0" w:color="auto"/>
            <w:right w:val="none" w:sz="0" w:space="0" w:color="auto"/>
          </w:divBdr>
        </w:div>
      </w:divsChild>
    </w:div>
    <w:div w:id="556933365">
      <w:bodyDiv w:val="1"/>
      <w:marLeft w:val="0"/>
      <w:marRight w:val="0"/>
      <w:marTop w:val="0"/>
      <w:marBottom w:val="0"/>
      <w:divBdr>
        <w:top w:val="none" w:sz="0" w:space="0" w:color="auto"/>
        <w:left w:val="none" w:sz="0" w:space="0" w:color="auto"/>
        <w:bottom w:val="none" w:sz="0" w:space="0" w:color="auto"/>
        <w:right w:val="none" w:sz="0" w:space="0" w:color="auto"/>
      </w:divBdr>
    </w:div>
    <w:div w:id="747504935">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18701288">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3823638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772823914">
      <w:bodyDiv w:val="1"/>
      <w:marLeft w:val="0"/>
      <w:marRight w:val="0"/>
      <w:marTop w:val="0"/>
      <w:marBottom w:val="0"/>
      <w:divBdr>
        <w:top w:val="none" w:sz="0" w:space="0" w:color="auto"/>
        <w:left w:val="none" w:sz="0" w:space="0" w:color="auto"/>
        <w:bottom w:val="none" w:sz="0" w:space="0" w:color="auto"/>
        <w:right w:val="none" w:sz="0" w:space="0" w:color="auto"/>
      </w:divBdr>
    </w:div>
    <w:div w:id="1831562407">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09875892">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 w:id="1994600766">
      <w:bodyDiv w:val="1"/>
      <w:marLeft w:val="0"/>
      <w:marRight w:val="0"/>
      <w:marTop w:val="0"/>
      <w:marBottom w:val="0"/>
      <w:divBdr>
        <w:top w:val="none" w:sz="0" w:space="0" w:color="auto"/>
        <w:left w:val="none" w:sz="0" w:space="0" w:color="auto"/>
        <w:bottom w:val="none" w:sz="0" w:space="0" w:color="auto"/>
        <w:right w:val="none" w:sz="0" w:space="0" w:color="auto"/>
      </w:divBdr>
      <w:divsChild>
        <w:div w:id="1487358335">
          <w:marLeft w:val="0"/>
          <w:marRight w:val="0"/>
          <w:marTop w:val="0"/>
          <w:marBottom w:val="0"/>
          <w:divBdr>
            <w:top w:val="none" w:sz="0" w:space="0" w:color="auto"/>
            <w:left w:val="none" w:sz="0" w:space="0" w:color="auto"/>
            <w:bottom w:val="none" w:sz="0" w:space="0" w:color="auto"/>
            <w:right w:val="none" w:sz="0" w:space="0" w:color="auto"/>
          </w:divBdr>
        </w:div>
        <w:div w:id="450588530">
          <w:marLeft w:val="0"/>
          <w:marRight w:val="0"/>
          <w:marTop w:val="0"/>
          <w:marBottom w:val="0"/>
          <w:divBdr>
            <w:top w:val="none" w:sz="0" w:space="0" w:color="auto"/>
            <w:left w:val="none" w:sz="0" w:space="0" w:color="auto"/>
            <w:bottom w:val="none" w:sz="0" w:space="0" w:color="auto"/>
            <w:right w:val="none" w:sz="0" w:space="0" w:color="auto"/>
          </w:divBdr>
        </w:div>
        <w:div w:id="494035185">
          <w:marLeft w:val="0"/>
          <w:marRight w:val="0"/>
          <w:marTop w:val="0"/>
          <w:marBottom w:val="0"/>
          <w:divBdr>
            <w:top w:val="none" w:sz="0" w:space="0" w:color="auto"/>
            <w:left w:val="none" w:sz="0" w:space="0" w:color="auto"/>
            <w:bottom w:val="none" w:sz="0" w:space="0" w:color="auto"/>
            <w:right w:val="none" w:sz="0" w:space="0" w:color="auto"/>
          </w:divBdr>
        </w:div>
        <w:div w:id="407700005">
          <w:marLeft w:val="0"/>
          <w:marRight w:val="0"/>
          <w:marTop w:val="0"/>
          <w:marBottom w:val="0"/>
          <w:divBdr>
            <w:top w:val="none" w:sz="0" w:space="0" w:color="auto"/>
            <w:left w:val="none" w:sz="0" w:space="0" w:color="auto"/>
            <w:bottom w:val="none" w:sz="0" w:space="0" w:color="auto"/>
            <w:right w:val="none" w:sz="0" w:space="0" w:color="auto"/>
          </w:divBdr>
        </w:div>
        <w:div w:id="1438253207">
          <w:marLeft w:val="0"/>
          <w:marRight w:val="0"/>
          <w:marTop w:val="0"/>
          <w:marBottom w:val="0"/>
          <w:divBdr>
            <w:top w:val="none" w:sz="0" w:space="0" w:color="auto"/>
            <w:left w:val="none" w:sz="0" w:space="0" w:color="auto"/>
            <w:bottom w:val="none" w:sz="0" w:space="0" w:color="auto"/>
            <w:right w:val="none" w:sz="0" w:space="0" w:color="auto"/>
          </w:divBdr>
        </w:div>
        <w:div w:id="63032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C4BE0-AB6B-4BC0-9D8C-C8E6C609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12459</Words>
  <Characters>68527</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3</cp:revision>
  <dcterms:created xsi:type="dcterms:W3CDTF">2020-10-13T04:46:00Z</dcterms:created>
  <dcterms:modified xsi:type="dcterms:W3CDTF">2020-10-22T21:57:00Z</dcterms:modified>
</cp:coreProperties>
</file>