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9C1" w:rsidRPr="00AE036D" w:rsidRDefault="006A59C1" w:rsidP="006A59C1">
      <w:pPr>
        <w:spacing w:after="0" w:line="360" w:lineRule="auto"/>
        <w:ind w:right="332"/>
        <w:jc w:val="center"/>
        <w:rPr>
          <w:rFonts w:ascii="Palatino Linotype" w:eastAsia="MS Mincho" w:hAnsi="Palatino Linotype" w:cs="Times New Roman"/>
          <w:b/>
          <w:sz w:val="24"/>
          <w:szCs w:val="24"/>
          <w:lang w:val="es-ES_tradnl" w:eastAsia="es-ES"/>
        </w:rPr>
      </w:pPr>
      <w:r w:rsidRPr="00AE036D">
        <w:rPr>
          <w:rFonts w:ascii="Palatino Linotype" w:eastAsia="MS Mincho" w:hAnsi="Palatino Linotype" w:cs="Times New Roman"/>
          <w:b/>
          <w:sz w:val="24"/>
          <w:szCs w:val="24"/>
          <w:lang w:val="es-ES_tradnl" w:eastAsia="es-ES"/>
        </w:rPr>
        <w:t>LÍNEAS ARGUMENTATIVAS.</w:t>
      </w:r>
    </w:p>
    <w:p w:rsidR="006A59C1" w:rsidRPr="00AE036D" w:rsidRDefault="006A59C1" w:rsidP="006A59C1">
      <w:pPr>
        <w:spacing w:after="0" w:line="360" w:lineRule="auto"/>
        <w:ind w:right="332"/>
        <w:jc w:val="both"/>
        <w:rPr>
          <w:rFonts w:ascii="Palatino Linotype" w:eastAsia="Arial Unicode MS" w:hAnsi="Palatino Linotype" w:cs="Arial"/>
          <w:b/>
          <w:sz w:val="24"/>
          <w:szCs w:val="24"/>
          <w:lang w:val="es-ES_tradnl" w:eastAsia="es-ES"/>
        </w:rPr>
      </w:pPr>
    </w:p>
    <w:p w:rsidR="006A59C1" w:rsidRPr="00AE036D" w:rsidRDefault="006A59C1" w:rsidP="006A59C1">
      <w:pPr>
        <w:spacing w:after="0" w:line="360" w:lineRule="auto"/>
        <w:ind w:right="332"/>
        <w:jc w:val="both"/>
        <w:rPr>
          <w:rFonts w:ascii="Palatino Linotype" w:eastAsia="Arial Unicode MS" w:hAnsi="Palatino Linotype" w:cs="Arial"/>
          <w:sz w:val="24"/>
          <w:szCs w:val="24"/>
          <w:lang w:val="es-ES_tradnl" w:eastAsia="es-ES"/>
        </w:rPr>
      </w:pPr>
      <w:r w:rsidRPr="00AE036D">
        <w:rPr>
          <w:rFonts w:ascii="Palatino Linotype" w:eastAsia="Arial Unicode MS" w:hAnsi="Palatino Linotype" w:cs="Arial"/>
          <w:b/>
          <w:sz w:val="24"/>
          <w:szCs w:val="24"/>
          <w:lang w:val="es-ES_tradnl" w:eastAsia="es-ES"/>
        </w:rPr>
        <w:t>DEBERES DE LAS AUTORIDADES</w:t>
      </w:r>
      <w:r w:rsidRPr="00AE036D">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6A59C1" w:rsidRPr="00AE036D" w:rsidRDefault="006A59C1" w:rsidP="006A59C1">
      <w:pPr>
        <w:spacing w:after="0" w:line="360" w:lineRule="auto"/>
        <w:ind w:right="332"/>
        <w:jc w:val="both"/>
        <w:rPr>
          <w:rFonts w:ascii="Palatino Linotype" w:eastAsia="Arial Unicode MS" w:hAnsi="Palatino Linotype" w:cs="Arial"/>
          <w:sz w:val="24"/>
          <w:szCs w:val="24"/>
          <w:lang w:val="es-ES_tradnl" w:eastAsia="es-ES"/>
        </w:rPr>
      </w:pPr>
    </w:p>
    <w:p w:rsidR="006A59C1" w:rsidRPr="00AE036D" w:rsidRDefault="006A59C1" w:rsidP="006A59C1">
      <w:pPr>
        <w:spacing w:after="0" w:line="360" w:lineRule="auto"/>
        <w:ind w:right="332"/>
        <w:jc w:val="both"/>
        <w:rPr>
          <w:rFonts w:ascii="Palatino Linotype" w:eastAsia="Calibri" w:hAnsi="Palatino Linotype" w:cs="Times New Roman"/>
          <w:sz w:val="24"/>
          <w:szCs w:val="24"/>
          <w:lang w:val="es-ES_tradnl" w:eastAsia="es-ES"/>
        </w:rPr>
      </w:pPr>
      <w:r w:rsidRPr="00AE036D">
        <w:rPr>
          <w:rFonts w:ascii="Palatino Linotype" w:eastAsia="Calibri" w:hAnsi="Palatino Linotype" w:cs="Times New Roman"/>
          <w:b/>
          <w:sz w:val="24"/>
          <w:szCs w:val="24"/>
          <w:lang w:val="es-ES_tradnl" w:eastAsia="es-ES"/>
        </w:rPr>
        <w:t>DE LA GARANTÍA DE PROPORCIONAR LA INFORMACIÓN PÚBLICA GUBERNAMENTAL.</w:t>
      </w:r>
      <w:r w:rsidRPr="00AE036D">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6A59C1" w:rsidRPr="00AE036D" w:rsidRDefault="006A59C1" w:rsidP="006A59C1">
      <w:pPr>
        <w:spacing w:after="0" w:line="360" w:lineRule="auto"/>
        <w:ind w:right="332"/>
        <w:jc w:val="both"/>
        <w:rPr>
          <w:rFonts w:ascii="Palatino Linotype" w:eastAsia="Arial Unicode MS" w:hAnsi="Palatino Linotype" w:cs="Arial"/>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rPr>
          <w:rFonts w:ascii="Palatino Linotype" w:eastAsia="Calibri" w:hAnsi="Palatino Linotype" w:cs="Times New Roman"/>
          <w:b/>
          <w:sz w:val="24"/>
          <w:szCs w:val="24"/>
          <w:lang w:val="es-ES_tradnl" w:eastAsia="es-ES"/>
        </w:rPr>
      </w:pPr>
    </w:p>
    <w:p w:rsidR="006A59C1" w:rsidRPr="00AE036D" w:rsidRDefault="006A59C1" w:rsidP="006A59C1">
      <w:pPr>
        <w:spacing w:after="0" w:line="360" w:lineRule="auto"/>
        <w:ind w:right="332"/>
        <w:jc w:val="center"/>
        <w:rPr>
          <w:rFonts w:ascii="Palatino Linotype" w:eastAsia="MS Mincho" w:hAnsi="Palatino Linotype" w:cs="Times New Roman"/>
          <w:b/>
          <w:sz w:val="24"/>
          <w:szCs w:val="24"/>
          <w:lang w:val="es-ES_tradnl" w:eastAsia="es-ES"/>
        </w:rPr>
      </w:pPr>
    </w:p>
    <w:p w:rsidR="006A59C1" w:rsidRPr="00AE036D" w:rsidRDefault="006A59C1" w:rsidP="006A59C1">
      <w:pPr>
        <w:spacing w:after="0" w:line="360" w:lineRule="auto"/>
        <w:ind w:right="332"/>
        <w:jc w:val="center"/>
        <w:rPr>
          <w:rFonts w:ascii="Palatino Linotype" w:eastAsia="MS Mincho" w:hAnsi="Palatino Linotype" w:cs="Times New Roman"/>
          <w:b/>
          <w:sz w:val="24"/>
          <w:szCs w:val="24"/>
          <w:lang w:val="es-ES_tradnl" w:eastAsia="es-ES"/>
        </w:rPr>
      </w:pPr>
    </w:p>
    <w:p w:rsidR="006A59C1" w:rsidRPr="00AE036D" w:rsidRDefault="006A59C1" w:rsidP="006A59C1">
      <w:pPr>
        <w:spacing w:after="0" w:line="360" w:lineRule="auto"/>
        <w:ind w:right="332"/>
        <w:jc w:val="center"/>
        <w:rPr>
          <w:rFonts w:ascii="Palatino Linotype" w:eastAsia="MS Mincho" w:hAnsi="Palatino Linotype" w:cs="Times New Roman"/>
          <w:sz w:val="24"/>
          <w:szCs w:val="24"/>
          <w:lang w:val="es-ES_tradnl" w:eastAsia="es-ES"/>
        </w:rPr>
      </w:pPr>
      <w:r w:rsidRPr="00AE036D">
        <w:rPr>
          <w:rFonts w:ascii="Palatino Linotype" w:eastAsia="MS Mincho" w:hAnsi="Palatino Linotype" w:cs="Times New Roman"/>
          <w:b/>
          <w:sz w:val="24"/>
          <w:szCs w:val="24"/>
          <w:lang w:val="es-ES_tradnl" w:eastAsia="es-ES"/>
        </w:rPr>
        <w:lastRenderedPageBreak/>
        <w:t>ÍNDICE</w:t>
      </w:r>
      <w:r w:rsidRPr="00AE036D">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6A59C1" w:rsidRPr="00AE036D" w:rsidRDefault="006A59C1" w:rsidP="006A59C1">
          <w:pPr>
            <w:keepNext/>
            <w:keepLines/>
            <w:spacing w:after="0" w:line="360" w:lineRule="auto"/>
            <w:ind w:right="332"/>
            <w:rPr>
              <w:rFonts w:ascii="Palatino Linotype" w:eastAsiaTheme="majorEastAsia" w:hAnsi="Palatino Linotype" w:cstheme="majorBidi"/>
              <w:b/>
              <w:sz w:val="24"/>
              <w:szCs w:val="24"/>
              <w:lang w:eastAsia="es-MX"/>
            </w:rPr>
          </w:pPr>
        </w:p>
        <w:p w:rsidR="005F344F" w:rsidRPr="00AE036D" w:rsidRDefault="006A59C1">
          <w:pPr>
            <w:pStyle w:val="TDC1"/>
            <w:tabs>
              <w:tab w:val="right" w:leader="dot" w:pos="9394"/>
            </w:tabs>
            <w:rPr>
              <w:rFonts w:eastAsiaTheme="minorEastAsia"/>
              <w:noProof/>
              <w:lang w:eastAsia="es-MX"/>
            </w:rPr>
          </w:pPr>
          <w:r w:rsidRPr="00AE036D">
            <w:rPr>
              <w:rFonts w:ascii="Palatino Linotype" w:hAnsi="Palatino Linotype" w:cstheme="minorHAnsi"/>
              <w:b/>
              <w:bCs/>
              <w:sz w:val="28"/>
              <w:szCs w:val="28"/>
              <w:lang w:val="es-ES"/>
            </w:rPr>
            <w:fldChar w:fldCharType="begin"/>
          </w:r>
          <w:r w:rsidRPr="00AE036D">
            <w:rPr>
              <w:rFonts w:ascii="Palatino Linotype" w:hAnsi="Palatino Linotype" w:cstheme="minorHAnsi"/>
              <w:b/>
              <w:bCs/>
              <w:sz w:val="28"/>
              <w:szCs w:val="28"/>
              <w:lang w:val="es-ES"/>
            </w:rPr>
            <w:instrText xml:space="preserve"> TOC \o "1-3" \h \z \u </w:instrText>
          </w:r>
          <w:r w:rsidRPr="00AE036D">
            <w:rPr>
              <w:rFonts w:ascii="Palatino Linotype" w:hAnsi="Palatino Linotype" w:cstheme="minorHAnsi"/>
              <w:b/>
              <w:bCs/>
              <w:sz w:val="28"/>
              <w:szCs w:val="28"/>
              <w:lang w:val="es-ES"/>
            </w:rPr>
            <w:fldChar w:fldCharType="separate"/>
          </w:r>
          <w:hyperlink w:anchor="_Toc61622934" w:history="1">
            <w:r w:rsidR="005F344F" w:rsidRPr="00AE036D">
              <w:rPr>
                <w:rStyle w:val="Hipervnculo"/>
                <w:rFonts w:ascii="Palatino Linotype" w:eastAsia="MS Gothic" w:hAnsi="Palatino Linotype" w:cs="Times New Roman"/>
                <w:b/>
                <w:noProof/>
                <w:lang w:val="de-DE"/>
              </w:rPr>
              <w:t>A N T E C E D E N T E S</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_Toc61622934 \h </w:instrText>
            </w:r>
            <w:r w:rsidR="005F344F" w:rsidRPr="00AE036D">
              <w:rPr>
                <w:noProof/>
                <w:webHidden/>
              </w:rPr>
            </w:r>
            <w:r w:rsidR="005F344F" w:rsidRPr="00AE036D">
              <w:rPr>
                <w:noProof/>
                <w:webHidden/>
              </w:rPr>
              <w:fldChar w:fldCharType="separate"/>
            </w:r>
            <w:r w:rsidR="005F344F" w:rsidRPr="00AE036D">
              <w:rPr>
                <w:noProof/>
                <w:webHidden/>
              </w:rPr>
              <w:t>3</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35" w:history="1">
            <w:r w:rsidR="005F344F" w:rsidRPr="00AE036D">
              <w:rPr>
                <w:rStyle w:val="Hipervnculo"/>
                <w:rFonts w:ascii="Palatino Linotype" w:eastAsia="MS Gothic" w:hAnsi="Palatino Linotype" w:cs="Times New Roman"/>
                <w:b/>
                <w:noProof/>
              </w:rPr>
              <w:t>CONSIDERANDO</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_Toc61622935 \h </w:instrText>
            </w:r>
            <w:r w:rsidR="005F344F" w:rsidRPr="00AE036D">
              <w:rPr>
                <w:noProof/>
                <w:webHidden/>
              </w:rPr>
            </w:r>
            <w:r w:rsidR="005F344F" w:rsidRPr="00AE036D">
              <w:rPr>
                <w:noProof/>
                <w:webHidden/>
              </w:rPr>
              <w:fldChar w:fldCharType="separate"/>
            </w:r>
            <w:r w:rsidR="005F344F" w:rsidRPr="00AE036D">
              <w:rPr>
                <w:noProof/>
                <w:webHidden/>
              </w:rPr>
              <w:t>16</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36" w:history="1">
            <w:r w:rsidR="005F344F" w:rsidRPr="00AE036D">
              <w:rPr>
                <w:rStyle w:val="Hipervnculo"/>
                <w:rFonts w:ascii="Palatino Linotype" w:eastAsia="MS Mincho" w:hAnsi="Palatino Linotype" w:cstheme="majorBidi"/>
                <w:b/>
                <w:noProof/>
                <w:lang w:val="es-ES_tradnl" w:eastAsia="es-ES"/>
              </w:rPr>
              <w:t>PRIMERO</w:t>
            </w:r>
            <w:r w:rsidR="005F344F" w:rsidRPr="00AE036D">
              <w:rPr>
                <w:rStyle w:val="Hipervnculo"/>
                <w:rFonts w:ascii="Palatino Linotype" w:eastAsia="MS Gothic" w:hAnsi="Palatino Linotype" w:cs="Times New Roman"/>
                <w:b/>
                <w:noProof/>
              </w:rPr>
              <w:t>. De la competencia.</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_Toc61622936 \h </w:instrText>
            </w:r>
            <w:r w:rsidR="005F344F" w:rsidRPr="00AE036D">
              <w:rPr>
                <w:noProof/>
                <w:webHidden/>
              </w:rPr>
            </w:r>
            <w:r w:rsidR="005F344F" w:rsidRPr="00AE036D">
              <w:rPr>
                <w:noProof/>
                <w:webHidden/>
              </w:rPr>
              <w:fldChar w:fldCharType="separate"/>
            </w:r>
            <w:r w:rsidR="005F344F" w:rsidRPr="00AE036D">
              <w:rPr>
                <w:noProof/>
                <w:webHidden/>
              </w:rPr>
              <w:t>16</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37" w:history="1">
            <w:r w:rsidR="005F344F" w:rsidRPr="00AE036D">
              <w:rPr>
                <w:rStyle w:val="Hipervnculo"/>
                <w:rFonts w:ascii="Palatino Linotype" w:eastAsia="MS Mincho" w:hAnsi="Palatino Linotype" w:cstheme="majorBidi"/>
                <w:b/>
                <w:noProof/>
                <w:lang w:val="es-ES_tradnl" w:eastAsia="es-ES"/>
              </w:rPr>
              <w:t>SEGUNDO</w:t>
            </w:r>
            <w:r w:rsidR="005F344F" w:rsidRPr="00AE036D">
              <w:rPr>
                <w:rStyle w:val="Hipervnculo"/>
                <w:rFonts w:ascii="Palatino Linotype" w:eastAsia="MS Gothic" w:hAnsi="Palatino Linotype" w:cs="Times New Roman"/>
                <w:b/>
                <w:noProof/>
              </w:rPr>
              <w:t>. De la oportunidad y procedibilidad del recurso de revisión.</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_Toc61622937 \h </w:instrText>
            </w:r>
            <w:r w:rsidR="005F344F" w:rsidRPr="00AE036D">
              <w:rPr>
                <w:noProof/>
                <w:webHidden/>
              </w:rPr>
            </w:r>
            <w:r w:rsidR="005F344F" w:rsidRPr="00AE036D">
              <w:rPr>
                <w:noProof/>
                <w:webHidden/>
              </w:rPr>
              <w:fldChar w:fldCharType="separate"/>
            </w:r>
            <w:r w:rsidR="005F344F" w:rsidRPr="00AE036D">
              <w:rPr>
                <w:noProof/>
                <w:webHidden/>
              </w:rPr>
              <w:t>17</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38" w:history="1">
            <w:r w:rsidR="005F344F" w:rsidRPr="00AE036D">
              <w:rPr>
                <w:rStyle w:val="Hipervnculo"/>
                <w:rFonts w:ascii="Palatino Linotype" w:eastAsia="MS Mincho" w:hAnsi="Palatino Linotype" w:cstheme="majorBidi"/>
                <w:b/>
                <w:noProof/>
                <w:lang w:val="es-ES_tradnl" w:eastAsia="es-ES"/>
              </w:rPr>
              <w:t>TERCERO. Planteamiento de la Litis</w:t>
            </w:r>
            <w:r w:rsidR="005F344F" w:rsidRPr="00AE036D">
              <w:rPr>
                <w:rStyle w:val="Hipervnculo"/>
                <w:rFonts w:ascii="Palatino Linotype" w:eastAsia="MS Gothic" w:hAnsi="Palatino Linotype" w:cs="Times New Roman"/>
                <w:b/>
                <w:noProof/>
              </w:rPr>
              <w:t>.</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_Toc61622938 \h </w:instrText>
            </w:r>
            <w:r w:rsidR="005F344F" w:rsidRPr="00AE036D">
              <w:rPr>
                <w:noProof/>
                <w:webHidden/>
              </w:rPr>
            </w:r>
            <w:r w:rsidR="005F344F" w:rsidRPr="00AE036D">
              <w:rPr>
                <w:noProof/>
                <w:webHidden/>
              </w:rPr>
              <w:fldChar w:fldCharType="separate"/>
            </w:r>
            <w:r w:rsidR="005F344F" w:rsidRPr="00AE036D">
              <w:rPr>
                <w:noProof/>
                <w:webHidden/>
              </w:rPr>
              <w:t>19</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39" w:history="1">
            <w:r w:rsidR="005F344F" w:rsidRPr="00AE036D">
              <w:rPr>
                <w:rStyle w:val="Hipervnculo"/>
                <w:rFonts w:ascii="Palatino Linotype" w:eastAsia="MS Gothic" w:hAnsi="Palatino Linotype" w:cstheme="majorBidi"/>
                <w:b/>
                <w:noProof/>
                <w:lang w:val="es-ES_tradnl" w:eastAsia="es-ES"/>
              </w:rPr>
              <w:t>CUARTO.</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_Toc61622939 \h </w:instrText>
            </w:r>
            <w:r w:rsidR="005F344F" w:rsidRPr="00AE036D">
              <w:rPr>
                <w:noProof/>
                <w:webHidden/>
              </w:rPr>
            </w:r>
            <w:r w:rsidR="005F344F" w:rsidRPr="00AE036D">
              <w:rPr>
                <w:noProof/>
                <w:webHidden/>
              </w:rPr>
              <w:fldChar w:fldCharType="separate"/>
            </w:r>
            <w:r w:rsidR="005F344F" w:rsidRPr="00AE036D">
              <w:rPr>
                <w:noProof/>
                <w:webHidden/>
              </w:rPr>
              <w:t>20</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40" w:history="1">
            <w:r w:rsidR="005F344F" w:rsidRPr="00AE036D">
              <w:rPr>
                <w:rStyle w:val="Hipervnculo"/>
                <w:rFonts w:ascii="Palatino Linotype" w:eastAsia="MS Gothic" w:hAnsi="Palatino Linotype" w:cstheme="majorBidi"/>
                <w:b/>
                <w:noProof/>
                <w:lang w:val="es-ES_tradnl" w:eastAsia="es-ES"/>
              </w:rPr>
              <w:t>QUINTO. Del estudio y resolución del recurso de revisión.</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_Toc61622940 \h </w:instrText>
            </w:r>
            <w:r w:rsidR="005F344F" w:rsidRPr="00AE036D">
              <w:rPr>
                <w:noProof/>
                <w:webHidden/>
              </w:rPr>
            </w:r>
            <w:r w:rsidR="005F344F" w:rsidRPr="00AE036D">
              <w:rPr>
                <w:noProof/>
                <w:webHidden/>
              </w:rPr>
              <w:fldChar w:fldCharType="separate"/>
            </w:r>
            <w:r w:rsidR="005F344F" w:rsidRPr="00AE036D">
              <w:rPr>
                <w:noProof/>
                <w:webHidden/>
              </w:rPr>
              <w:t>25</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41" w:history="1">
            <w:r w:rsidR="005F344F" w:rsidRPr="00AE036D">
              <w:rPr>
                <w:rStyle w:val="Hipervnculo"/>
                <w:rFonts w:ascii="Palatino Linotype" w:eastAsia="MS Gothic" w:hAnsi="Palatino Linotype" w:cstheme="majorBidi"/>
                <w:b/>
                <w:noProof/>
                <w:lang w:val="es-ES_tradnl" w:eastAsia="es-ES"/>
              </w:rPr>
              <w:t>I. Fuente Obligacional.</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_Toc61622941 \h </w:instrText>
            </w:r>
            <w:r w:rsidR="005F344F" w:rsidRPr="00AE036D">
              <w:rPr>
                <w:noProof/>
                <w:webHidden/>
              </w:rPr>
            </w:r>
            <w:r w:rsidR="005F344F" w:rsidRPr="00AE036D">
              <w:rPr>
                <w:noProof/>
                <w:webHidden/>
              </w:rPr>
              <w:fldChar w:fldCharType="separate"/>
            </w:r>
            <w:r w:rsidR="005F344F" w:rsidRPr="00AE036D">
              <w:rPr>
                <w:noProof/>
                <w:webHidden/>
              </w:rPr>
              <w:t>25</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42" w:history="1">
            <w:r w:rsidR="005F344F" w:rsidRPr="00AE036D">
              <w:rPr>
                <w:rStyle w:val="Hipervnculo"/>
                <w:rFonts w:ascii="Palatino Linotype" w:eastAsia="MS Gothic" w:hAnsi="Palatino Linotype" w:cstheme="majorBidi"/>
                <w:b/>
                <w:noProof/>
                <w:lang w:val="es-ES_tradnl" w:eastAsia="es-ES"/>
              </w:rPr>
              <w:t>II. De la información solicitada y la respuesta del Sujeto Obligado.</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_Toc61622942 \h </w:instrText>
            </w:r>
            <w:r w:rsidR="005F344F" w:rsidRPr="00AE036D">
              <w:rPr>
                <w:noProof/>
                <w:webHidden/>
              </w:rPr>
            </w:r>
            <w:r w:rsidR="005F344F" w:rsidRPr="00AE036D">
              <w:rPr>
                <w:noProof/>
                <w:webHidden/>
              </w:rPr>
              <w:fldChar w:fldCharType="separate"/>
            </w:r>
            <w:r w:rsidR="005F344F" w:rsidRPr="00AE036D">
              <w:rPr>
                <w:noProof/>
                <w:webHidden/>
              </w:rPr>
              <w:t>27</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43" w:history="1">
            <w:r w:rsidR="005F344F" w:rsidRPr="00AE036D">
              <w:rPr>
                <w:rStyle w:val="Hipervnculo"/>
                <w:rFonts w:ascii="Palatino Linotype" w:eastAsia="MS Gothic" w:hAnsi="Palatino Linotype" w:cstheme="majorBidi"/>
                <w:b/>
                <w:noProof/>
              </w:rPr>
              <w:t>QUINTO. Vista a los Órganos de Control Interno</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_Toc61622943 \h </w:instrText>
            </w:r>
            <w:r w:rsidR="005F344F" w:rsidRPr="00AE036D">
              <w:rPr>
                <w:noProof/>
                <w:webHidden/>
              </w:rPr>
            </w:r>
            <w:r w:rsidR="005F344F" w:rsidRPr="00AE036D">
              <w:rPr>
                <w:noProof/>
                <w:webHidden/>
              </w:rPr>
              <w:fldChar w:fldCharType="separate"/>
            </w:r>
            <w:r w:rsidR="005F344F" w:rsidRPr="00AE036D">
              <w:rPr>
                <w:noProof/>
                <w:webHidden/>
              </w:rPr>
              <w:t>44</w:t>
            </w:r>
            <w:r w:rsidR="005F344F" w:rsidRPr="00AE036D">
              <w:rPr>
                <w:noProof/>
                <w:webHidden/>
              </w:rPr>
              <w:fldChar w:fldCharType="end"/>
            </w:r>
          </w:hyperlink>
        </w:p>
        <w:p w:rsidR="005F344F" w:rsidRPr="00AE036D" w:rsidRDefault="009F01D8">
          <w:pPr>
            <w:pStyle w:val="TDC1"/>
            <w:tabs>
              <w:tab w:val="right" w:leader="dot" w:pos="9394"/>
            </w:tabs>
            <w:rPr>
              <w:rFonts w:eastAsiaTheme="minorEastAsia"/>
              <w:noProof/>
              <w:lang w:eastAsia="es-MX"/>
            </w:rPr>
          </w:pPr>
          <w:hyperlink w:anchor="_Toc61622944" w:history="1">
            <w:r w:rsidR="005F344F" w:rsidRPr="00AE036D">
              <w:rPr>
                <w:rStyle w:val="Hipervnculo"/>
                <w:rFonts w:ascii="Palatino Linotype" w:eastAsia="Times New Roman" w:hAnsi="Palatino Linotype" w:cstheme="majorBidi"/>
                <w:b/>
                <w:noProof/>
                <w:lang w:val="es-ES_tradnl" w:eastAsia="es-ES"/>
              </w:rPr>
              <w:t>R E S O L U T I V O S</w:t>
            </w:r>
            <w:r w:rsidR="005F344F" w:rsidRPr="00AE036D">
              <w:rPr>
                <w:noProof/>
                <w:webHidden/>
              </w:rPr>
              <w:tab/>
            </w:r>
            <w:r w:rsidR="005F344F" w:rsidRPr="00AE036D">
              <w:rPr>
                <w:noProof/>
                <w:webHidden/>
              </w:rPr>
              <w:fldChar w:fldCharType="begin"/>
            </w:r>
            <w:r w:rsidR="005F344F" w:rsidRPr="00AE036D">
              <w:rPr>
                <w:noProof/>
                <w:webHidden/>
              </w:rPr>
              <w:instrText xml:space="preserve"> PAGEREF _Toc61622944 \h </w:instrText>
            </w:r>
            <w:r w:rsidR="005F344F" w:rsidRPr="00AE036D">
              <w:rPr>
                <w:noProof/>
                <w:webHidden/>
              </w:rPr>
            </w:r>
            <w:r w:rsidR="005F344F" w:rsidRPr="00AE036D">
              <w:rPr>
                <w:noProof/>
                <w:webHidden/>
              </w:rPr>
              <w:fldChar w:fldCharType="separate"/>
            </w:r>
            <w:r w:rsidR="005F344F" w:rsidRPr="00AE036D">
              <w:rPr>
                <w:noProof/>
                <w:webHidden/>
              </w:rPr>
              <w:t>47</w:t>
            </w:r>
            <w:r w:rsidR="005F344F" w:rsidRPr="00AE036D">
              <w:rPr>
                <w:noProof/>
                <w:webHidden/>
              </w:rPr>
              <w:fldChar w:fldCharType="end"/>
            </w:r>
          </w:hyperlink>
        </w:p>
        <w:p w:rsidR="006A59C1" w:rsidRPr="00AE036D" w:rsidRDefault="006A59C1" w:rsidP="006A59C1">
          <w:pPr>
            <w:spacing w:after="0" w:line="360" w:lineRule="auto"/>
            <w:ind w:right="332"/>
            <w:rPr>
              <w:rFonts w:ascii="Palatino Linotype" w:hAnsi="Palatino Linotype"/>
            </w:rPr>
          </w:pPr>
          <w:r w:rsidRPr="00AE036D">
            <w:rPr>
              <w:rFonts w:ascii="Palatino Linotype" w:hAnsi="Palatino Linotype" w:cstheme="minorHAnsi"/>
              <w:b/>
              <w:bCs/>
              <w:sz w:val="28"/>
              <w:szCs w:val="28"/>
              <w:lang w:val="es-ES"/>
            </w:rPr>
            <w:fldChar w:fldCharType="end"/>
          </w:r>
        </w:p>
      </w:sdtContent>
    </w:sdt>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AE036D" w:rsidRDefault="00AE036D" w:rsidP="006A59C1">
      <w:pPr>
        <w:spacing w:after="0" w:line="360" w:lineRule="auto"/>
        <w:ind w:right="332"/>
        <w:jc w:val="both"/>
        <w:rPr>
          <w:rFonts w:ascii="Palatino Linotype" w:eastAsia="MS Mincho" w:hAnsi="Palatino Linotype" w:cs="Times New Roman"/>
          <w:sz w:val="24"/>
          <w:szCs w:val="24"/>
          <w:lang w:val="es-ES_tradnl" w:eastAsia="es-ES"/>
        </w:rPr>
      </w:pPr>
    </w:p>
    <w:p w:rsidR="00AE036D" w:rsidRDefault="00AE036D" w:rsidP="006A59C1">
      <w:pPr>
        <w:spacing w:after="0" w:line="360" w:lineRule="auto"/>
        <w:ind w:right="332"/>
        <w:jc w:val="both"/>
        <w:rPr>
          <w:rFonts w:ascii="Palatino Linotype" w:eastAsia="MS Mincho" w:hAnsi="Palatino Linotype" w:cs="Times New Roman"/>
          <w:sz w:val="24"/>
          <w:szCs w:val="24"/>
          <w:lang w:val="es-ES_tradnl" w:eastAsia="es-ES"/>
        </w:rPr>
      </w:pPr>
    </w:p>
    <w:p w:rsidR="00AE036D" w:rsidRPr="00AE036D" w:rsidRDefault="00AE036D"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r w:rsidRPr="00AE036D">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AE036D">
        <w:rPr>
          <w:rFonts w:ascii="Palatino Linotype" w:hAnsi="Palatino Linotype"/>
        </w:rPr>
        <w:t xml:space="preserve">de fecha veinte (20) de enero de dos mil </w:t>
      </w:r>
      <w:r w:rsidR="00AE036D">
        <w:rPr>
          <w:rFonts w:ascii="Palatino Linotype" w:eastAsia="Calibri" w:hAnsi="Palatino Linotype" w:cs="Arial"/>
          <w:lang w:val="es-ES"/>
        </w:rPr>
        <w:t>veintiuno</w:t>
      </w:r>
      <w:r w:rsidRPr="00AE036D">
        <w:rPr>
          <w:rFonts w:ascii="Palatino Linotype" w:eastAsia="MS Mincho" w:hAnsi="Palatino Linotype" w:cs="Times New Roman"/>
          <w:sz w:val="24"/>
          <w:szCs w:val="24"/>
          <w:lang w:val="es-ES_tradnl" w:eastAsia="es-ES"/>
        </w:rPr>
        <w:t>.</w:t>
      </w:r>
    </w:p>
    <w:p w:rsidR="006A59C1" w:rsidRPr="00AE036D" w:rsidRDefault="006A59C1" w:rsidP="006A59C1">
      <w:pPr>
        <w:spacing w:after="0" w:line="360" w:lineRule="auto"/>
        <w:ind w:right="332"/>
        <w:jc w:val="both"/>
        <w:rPr>
          <w:rFonts w:ascii="Palatino Linotype" w:eastAsia="MS Mincho" w:hAnsi="Palatino Linotype" w:cs="Times New Roman"/>
          <w:sz w:val="24"/>
          <w:szCs w:val="24"/>
          <w:lang w:val="es-ES_tradnl" w:eastAsia="es-ES"/>
        </w:rPr>
      </w:pPr>
    </w:p>
    <w:p w:rsidR="006A59C1" w:rsidRPr="00AE036D" w:rsidRDefault="006A59C1" w:rsidP="006A59C1">
      <w:pPr>
        <w:spacing w:after="0" w:line="360" w:lineRule="auto"/>
        <w:ind w:right="332"/>
        <w:jc w:val="both"/>
        <w:rPr>
          <w:rFonts w:ascii="Palatino Linotype" w:hAnsi="Palatino Linotype"/>
          <w:b/>
        </w:rPr>
      </w:pPr>
      <w:r w:rsidRPr="00AE036D">
        <w:rPr>
          <w:rFonts w:ascii="Palatino Linotype" w:eastAsia="MS Mincho" w:hAnsi="Palatino Linotype" w:cs="Times New Roman"/>
          <w:b/>
          <w:sz w:val="24"/>
          <w:szCs w:val="24"/>
          <w:lang w:val="es-ES_tradnl" w:eastAsia="es-ES"/>
        </w:rPr>
        <w:t>VISTO</w:t>
      </w:r>
      <w:r w:rsidRPr="00AE036D">
        <w:rPr>
          <w:rFonts w:ascii="Palatino Linotype" w:eastAsia="MS Mincho" w:hAnsi="Palatino Linotype" w:cs="Times New Roman"/>
          <w:sz w:val="24"/>
          <w:szCs w:val="24"/>
          <w:lang w:val="es-ES_tradnl" w:eastAsia="es-ES"/>
        </w:rPr>
        <w:t xml:space="preserve"> el expediente electrónico formado con motivo del recurso de revisión</w:t>
      </w:r>
      <w:r w:rsidRPr="00AE036D">
        <w:rPr>
          <w:rFonts w:ascii="Palatino Linotype" w:eastAsia="MS Mincho" w:hAnsi="Palatino Linotype" w:cs="Arial"/>
          <w:b/>
          <w:bCs/>
          <w:sz w:val="24"/>
          <w:szCs w:val="24"/>
          <w:lang w:val="es-ES_tradnl" w:eastAsia="es-ES"/>
        </w:rPr>
        <w:t xml:space="preserve">, </w:t>
      </w:r>
      <w:r w:rsidRPr="00AE036D">
        <w:rPr>
          <w:rFonts w:ascii="Palatino Linotype" w:hAnsi="Palatino Linotype" w:cs="Arial"/>
          <w:b/>
          <w:bCs/>
          <w:sz w:val="24"/>
          <w:lang w:eastAsia="es-MX"/>
        </w:rPr>
        <w:t xml:space="preserve">05023/INFOEM/IP/RR/2020 </w:t>
      </w:r>
      <w:r w:rsidRPr="00AE036D">
        <w:rPr>
          <w:rFonts w:ascii="Palatino Linotype" w:eastAsia="MS Mincho" w:hAnsi="Palatino Linotype" w:cs="Times New Roman"/>
          <w:sz w:val="24"/>
          <w:szCs w:val="24"/>
          <w:lang w:val="es-ES_tradnl" w:eastAsia="es-ES"/>
        </w:rPr>
        <w:t>promovido por</w:t>
      </w:r>
      <w:r w:rsidRPr="00AE036D">
        <w:rPr>
          <w:rFonts w:ascii="Palatino Linotype" w:hAnsi="Palatino Linotype"/>
          <w:b/>
          <w:sz w:val="24"/>
          <w:szCs w:val="24"/>
        </w:rPr>
        <w:t xml:space="preserve"> </w:t>
      </w:r>
      <w:r w:rsidRPr="00AE036D">
        <w:rPr>
          <w:rFonts w:ascii="Palatino Linotype" w:hAnsi="Palatino Linotype"/>
          <w:sz w:val="24"/>
          <w:szCs w:val="24"/>
        </w:rPr>
        <w:t>una persona usuaria del Sistema de Accesos a la Información Mexiquense (SAIMEX), quien no proporciono nombre o pseudónimo para ser identificado por lo que en los sucesivo será identificado como</w:t>
      </w:r>
      <w:r w:rsidRPr="00AE036D">
        <w:rPr>
          <w:rFonts w:ascii="Palatino Linotype" w:hAnsi="Palatino Linotype"/>
          <w:b/>
          <w:sz w:val="24"/>
          <w:szCs w:val="24"/>
        </w:rPr>
        <w:t xml:space="preserve"> </w:t>
      </w:r>
      <w:r w:rsidRPr="00AE036D">
        <w:rPr>
          <w:rFonts w:ascii="Palatino Linotype" w:eastAsia="MS Mincho" w:hAnsi="Palatino Linotype" w:cs="Arial"/>
          <w:b/>
          <w:sz w:val="24"/>
          <w:szCs w:val="24"/>
          <w:lang w:val="es-ES_tradnl" w:eastAsia="es-ES"/>
        </w:rPr>
        <w:t>RECURRENTE</w:t>
      </w:r>
      <w:r w:rsidRPr="00AE036D">
        <w:rPr>
          <w:rFonts w:ascii="Palatino Linotype" w:eastAsia="MS Mincho" w:hAnsi="Palatino Linotype" w:cs="Arial"/>
          <w:sz w:val="24"/>
          <w:szCs w:val="24"/>
          <w:lang w:val="es-ES_tradnl" w:eastAsia="es-ES"/>
        </w:rPr>
        <w:t xml:space="preserve">, en contra de la respuesta del </w:t>
      </w:r>
      <w:r w:rsidRPr="00AE036D">
        <w:rPr>
          <w:rFonts w:ascii="Palatino Linotype" w:eastAsia="MS Mincho" w:hAnsi="Palatino Linotype" w:cs="Arial"/>
          <w:b/>
          <w:sz w:val="24"/>
          <w:szCs w:val="24"/>
          <w:lang w:val="es-ES_tradnl" w:eastAsia="es-ES"/>
        </w:rPr>
        <w:t xml:space="preserve">Ayuntamiento de Teoloyucan </w:t>
      </w:r>
      <w:r w:rsidRPr="00AE036D">
        <w:rPr>
          <w:rFonts w:ascii="Palatino Linotype" w:eastAsia="MS Mincho" w:hAnsi="Palatino Linotype" w:cs="Times New Roman"/>
          <w:sz w:val="24"/>
          <w:szCs w:val="24"/>
          <w:lang w:val="es-ES_tradnl" w:eastAsia="es-ES"/>
        </w:rPr>
        <w:t>en lo sucesivo el</w:t>
      </w:r>
      <w:r w:rsidRPr="00AE036D">
        <w:rPr>
          <w:rFonts w:ascii="Palatino Linotype" w:eastAsia="MS Mincho" w:hAnsi="Palatino Linotype" w:cs="Times New Roman"/>
          <w:b/>
          <w:sz w:val="24"/>
          <w:szCs w:val="24"/>
          <w:lang w:val="es-ES_tradnl" w:eastAsia="es-ES"/>
        </w:rPr>
        <w:t xml:space="preserve"> SUJETO OBLIGADO</w:t>
      </w:r>
      <w:r w:rsidRPr="00AE036D">
        <w:rPr>
          <w:rFonts w:ascii="Palatino Linotype" w:eastAsia="MS Mincho" w:hAnsi="Palatino Linotype" w:cs="Times New Roman"/>
          <w:bCs/>
          <w:sz w:val="24"/>
          <w:szCs w:val="24"/>
          <w:lang w:val="es-ES_tradnl" w:eastAsia="es-ES"/>
        </w:rPr>
        <w:t>,</w:t>
      </w:r>
      <w:r w:rsidRPr="00AE036D">
        <w:rPr>
          <w:rFonts w:ascii="Palatino Linotype" w:eastAsia="MS Mincho" w:hAnsi="Palatino Linotype" w:cs="Times New Roman"/>
          <w:b/>
          <w:sz w:val="24"/>
          <w:szCs w:val="24"/>
          <w:lang w:val="es-ES_tradnl" w:eastAsia="es-ES"/>
        </w:rPr>
        <w:t xml:space="preserve"> </w:t>
      </w:r>
      <w:r w:rsidRPr="00AE036D">
        <w:rPr>
          <w:rFonts w:ascii="Palatino Linotype" w:eastAsia="MS Mincho" w:hAnsi="Palatino Linotype" w:cs="Times New Roman"/>
          <w:sz w:val="24"/>
          <w:szCs w:val="24"/>
          <w:lang w:val="es-ES_tradnl" w:eastAsia="es-ES"/>
        </w:rPr>
        <w:t>se procede a dictar la presente resolución, con base en los siguientes:</w:t>
      </w:r>
    </w:p>
    <w:p w:rsidR="006A59C1" w:rsidRPr="00AE036D" w:rsidRDefault="006A59C1" w:rsidP="006A59C1">
      <w:pPr>
        <w:spacing w:after="0" w:line="360" w:lineRule="auto"/>
        <w:ind w:right="332"/>
        <w:jc w:val="both"/>
        <w:rPr>
          <w:rFonts w:ascii="Palatino Linotype" w:eastAsia="MS Mincho" w:hAnsi="Palatino Linotype" w:cs="Times New Roman"/>
          <w:b/>
          <w:sz w:val="24"/>
          <w:szCs w:val="24"/>
          <w:lang w:val="es-ES_tradnl" w:eastAsia="es-ES"/>
        </w:rPr>
      </w:pPr>
    </w:p>
    <w:p w:rsidR="006A59C1" w:rsidRPr="00AE036D" w:rsidRDefault="006A59C1" w:rsidP="006A59C1">
      <w:pPr>
        <w:keepNext/>
        <w:keepLines/>
        <w:spacing w:after="0" w:line="360" w:lineRule="auto"/>
        <w:ind w:right="332"/>
        <w:jc w:val="center"/>
        <w:outlineLvl w:val="0"/>
        <w:rPr>
          <w:rFonts w:ascii="Palatino Linotype" w:eastAsia="MS Gothic" w:hAnsi="Palatino Linotype" w:cs="Times New Roman"/>
          <w:b/>
          <w:sz w:val="24"/>
          <w:szCs w:val="32"/>
          <w:lang w:val="de-DE"/>
        </w:rPr>
      </w:pPr>
      <w:bookmarkStart w:id="0" w:name="_Toc61622934"/>
      <w:r w:rsidRPr="00AE036D">
        <w:rPr>
          <w:rFonts w:ascii="Palatino Linotype" w:eastAsia="MS Gothic" w:hAnsi="Palatino Linotype" w:cs="Times New Roman"/>
          <w:b/>
          <w:sz w:val="24"/>
          <w:szCs w:val="32"/>
          <w:lang w:val="de-DE"/>
        </w:rPr>
        <w:t>A N T E C E D E N T E S</w:t>
      </w:r>
      <w:bookmarkEnd w:id="0"/>
    </w:p>
    <w:p w:rsidR="006A59C1" w:rsidRPr="00AE036D" w:rsidRDefault="006A59C1" w:rsidP="006A59C1">
      <w:pPr>
        <w:spacing w:after="0" w:line="360" w:lineRule="auto"/>
        <w:ind w:right="332"/>
        <w:rPr>
          <w:rFonts w:ascii="Palatino Linotype" w:hAnsi="Palatino Linotype"/>
          <w:lang w:val="de-DE"/>
        </w:rPr>
      </w:pPr>
    </w:p>
    <w:p w:rsidR="006A59C1" w:rsidRPr="00AE036D" w:rsidRDefault="006A59C1" w:rsidP="006A59C1">
      <w:pPr>
        <w:numPr>
          <w:ilvl w:val="0"/>
          <w:numId w:val="1"/>
        </w:numPr>
        <w:spacing w:after="0" w:line="360" w:lineRule="auto"/>
        <w:ind w:left="0" w:right="332" w:firstLine="0"/>
        <w:contextualSpacing/>
        <w:jc w:val="both"/>
        <w:rPr>
          <w:rFonts w:ascii="Palatino Linotype" w:eastAsia="Calibri" w:hAnsi="Palatino Linotype" w:cs="Arial"/>
          <w:sz w:val="24"/>
          <w:szCs w:val="24"/>
          <w:lang w:val="es-ES" w:eastAsia="es-ES"/>
        </w:rPr>
      </w:pPr>
      <w:r w:rsidRPr="00AE036D">
        <w:rPr>
          <w:rFonts w:ascii="Palatino Linotype" w:eastAsia="Calibri" w:hAnsi="Palatino Linotype" w:cs="Arial"/>
          <w:sz w:val="24"/>
          <w:szCs w:val="24"/>
          <w:lang w:val="es-ES" w:eastAsia="es-ES"/>
        </w:rPr>
        <w:t>El día diecisiete (17) de septiembre   de dos mil veinte,</w:t>
      </w:r>
      <w:r w:rsidRPr="00AE036D">
        <w:rPr>
          <w:rFonts w:ascii="Palatino Linotype" w:eastAsia="Calibri" w:hAnsi="Palatino Linotype" w:cs="Times New Roman"/>
          <w:sz w:val="24"/>
          <w:szCs w:val="24"/>
          <w:lang w:val="es-ES" w:eastAsia="es-ES"/>
        </w:rPr>
        <w:t xml:space="preserve"> se presentó </w:t>
      </w:r>
      <w:r w:rsidRPr="00AE036D">
        <w:rPr>
          <w:rFonts w:ascii="Palatino Linotype" w:eastAsia="Calibri" w:hAnsi="Palatino Linotype" w:cs="Arial"/>
          <w:sz w:val="24"/>
          <w:szCs w:val="24"/>
          <w:lang w:val="es-ES" w:eastAsia="es-ES"/>
        </w:rPr>
        <w:t xml:space="preserve">ante el </w:t>
      </w:r>
      <w:r w:rsidRPr="00AE036D">
        <w:rPr>
          <w:rFonts w:ascii="Palatino Linotype" w:eastAsia="Calibri" w:hAnsi="Palatino Linotype" w:cs="Arial"/>
          <w:b/>
          <w:sz w:val="24"/>
          <w:szCs w:val="24"/>
          <w:lang w:val="es-ES" w:eastAsia="es-ES"/>
        </w:rPr>
        <w:t>SUJETO OBLIGADO</w:t>
      </w:r>
      <w:r w:rsidRPr="00AE036D">
        <w:rPr>
          <w:rFonts w:ascii="Palatino Linotype" w:eastAsia="Calibri" w:hAnsi="Palatino Linotype" w:cs="Arial"/>
          <w:sz w:val="24"/>
          <w:szCs w:val="24"/>
          <w:lang w:val="es-ES_tradnl" w:eastAsia="es-ES"/>
        </w:rPr>
        <w:t xml:space="preserve"> vía </w:t>
      </w:r>
      <w:r w:rsidRPr="00AE036D">
        <w:rPr>
          <w:rFonts w:ascii="Palatino Linotype" w:eastAsia="Calibri" w:hAnsi="Palatino Linotype" w:cs="Arial"/>
          <w:sz w:val="24"/>
          <w:szCs w:val="24"/>
          <w:lang w:val="es-ES" w:eastAsia="es-ES"/>
        </w:rPr>
        <w:t xml:space="preserve">Sistema de Acceso a la Información Mexiquense </w:t>
      </w:r>
      <w:r w:rsidRPr="00AE036D">
        <w:rPr>
          <w:rFonts w:ascii="Palatino Linotype" w:eastAsia="Calibri" w:hAnsi="Palatino Linotype" w:cs="Arial"/>
          <w:b/>
          <w:sz w:val="24"/>
          <w:szCs w:val="24"/>
          <w:lang w:val="es-ES" w:eastAsia="es-ES"/>
        </w:rPr>
        <w:t>SAIMEX</w:t>
      </w:r>
      <w:r w:rsidRPr="00AE036D">
        <w:rPr>
          <w:rFonts w:ascii="Palatino Linotype" w:eastAsia="Calibri" w:hAnsi="Palatino Linotype" w:cs="Arial"/>
          <w:sz w:val="24"/>
          <w:szCs w:val="24"/>
          <w:lang w:val="es-ES" w:eastAsia="es-ES"/>
        </w:rPr>
        <w:t xml:space="preserve">, la solicitud de información pública registrada con el </w:t>
      </w:r>
      <w:proofErr w:type="gramStart"/>
      <w:r w:rsidRPr="00AE036D">
        <w:rPr>
          <w:rFonts w:ascii="Palatino Linotype" w:eastAsia="Calibri" w:hAnsi="Palatino Linotype" w:cs="Arial"/>
          <w:sz w:val="24"/>
          <w:szCs w:val="24"/>
          <w:lang w:val="es-ES" w:eastAsia="es-ES"/>
        </w:rPr>
        <w:t xml:space="preserve">número </w:t>
      </w:r>
      <w:r w:rsidRPr="00AE036D">
        <w:rPr>
          <w:rFonts w:ascii="Palatino Linotype" w:eastAsia="Calibri" w:hAnsi="Palatino Linotype" w:cs="Arial"/>
          <w:b/>
          <w:bCs/>
          <w:sz w:val="24"/>
          <w:szCs w:val="24"/>
          <w:lang w:eastAsia="es-ES"/>
        </w:rPr>
        <w:t> 00200</w:t>
      </w:r>
      <w:proofErr w:type="gramEnd"/>
      <w:r w:rsidRPr="00AE036D">
        <w:rPr>
          <w:rFonts w:ascii="Palatino Linotype" w:eastAsia="Calibri" w:hAnsi="Palatino Linotype" w:cs="Arial"/>
          <w:b/>
          <w:bCs/>
          <w:sz w:val="24"/>
          <w:szCs w:val="24"/>
          <w:lang w:eastAsia="es-ES"/>
        </w:rPr>
        <w:t xml:space="preserve">/TEOLOYU/IP/2020 </w:t>
      </w:r>
      <w:r w:rsidRPr="00AE036D">
        <w:rPr>
          <w:rFonts w:ascii="Palatino Linotype" w:eastAsia="Calibri" w:hAnsi="Palatino Linotype" w:cs="Arial"/>
          <w:sz w:val="24"/>
          <w:szCs w:val="24"/>
          <w:lang w:val="es-ES" w:eastAsia="es-ES"/>
        </w:rPr>
        <w:t>mediante la cual solicitó:</w:t>
      </w:r>
    </w:p>
    <w:p w:rsidR="006A59C1" w:rsidRPr="00AE036D" w:rsidRDefault="006A59C1" w:rsidP="006A59C1">
      <w:pPr>
        <w:spacing w:after="0" w:line="360" w:lineRule="auto"/>
        <w:ind w:left="426" w:right="332"/>
        <w:contextualSpacing/>
        <w:jc w:val="both"/>
        <w:rPr>
          <w:rFonts w:ascii="Palatino Linotype" w:eastAsia="Calibri" w:hAnsi="Palatino Linotype" w:cs="Arial"/>
          <w:sz w:val="24"/>
          <w:szCs w:val="24"/>
          <w:lang w:val="es-ES" w:eastAsia="es-ES"/>
        </w:rPr>
      </w:pPr>
    </w:p>
    <w:p w:rsidR="006A59C1" w:rsidRPr="00AE036D" w:rsidRDefault="006A59C1" w:rsidP="006A59C1">
      <w:pPr>
        <w:spacing w:after="0" w:line="360" w:lineRule="auto"/>
        <w:ind w:left="567" w:right="332"/>
        <w:contextualSpacing/>
        <w:jc w:val="both"/>
        <w:rPr>
          <w:rFonts w:ascii="Palatino Linotype" w:hAnsi="Palatino Linotype"/>
          <w:i/>
          <w:iCs/>
          <w:color w:val="000000"/>
        </w:rPr>
      </w:pPr>
      <w:r w:rsidRPr="00AE036D">
        <w:rPr>
          <w:rFonts w:ascii="Palatino Linotype" w:hAnsi="Palatino Linotype"/>
          <w:i/>
          <w:iCs/>
          <w:color w:val="000000"/>
        </w:rPr>
        <w:t>“</w:t>
      </w:r>
      <w:r w:rsidRPr="00AE036D">
        <w:rPr>
          <w:rFonts w:ascii="Palatino Linotype" w:hAnsi="Palatino Linotype"/>
          <w:i/>
          <w:color w:val="000000"/>
        </w:rPr>
        <w:t xml:space="preserve">BALANZA DE COMPROBACIÓN EN PDF Y/O EXCEL DE TODA LA ADMINISTRACIÓN PUBLICA DE TEOLOYUCAN INCLUYENDO ÓRGANOS DESCENTRALIZADOS (IMPCUFIDETE, OPDAPAST Y DIF) CORRESPONDIENTE A LOS MESE DE ENERO, FEBRERO, MARZO, ABRIL, MAYO, JUNIO, JULIO, AGOSTO, SEPTIEMBRE, OCTUBRE, NOVIEMBRE Y DICIEMBRE DE 2019, Y DE ENERO, </w:t>
      </w:r>
      <w:r w:rsidRPr="00AE036D">
        <w:rPr>
          <w:rFonts w:ascii="Palatino Linotype" w:hAnsi="Palatino Linotype"/>
          <w:i/>
          <w:color w:val="000000"/>
        </w:rPr>
        <w:lastRenderedPageBreak/>
        <w:t>FEBRERO, MARZO, ABRIL, MAYO, JUNIO, JULIO, AGOSTO, SEPTIEMBRE DE 2020.</w:t>
      </w:r>
      <w:r w:rsidRPr="00AE036D">
        <w:rPr>
          <w:rFonts w:ascii="Palatino Linotype" w:hAnsi="Palatino Linotype"/>
          <w:i/>
          <w:iCs/>
          <w:color w:val="000000"/>
        </w:rPr>
        <w:t>” (Sic)</w:t>
      </w:r>
    </w:p>
    <w:p w:rsidR="006A59C1" w:rsidRPr="00AE036D" w:rsidRDefault="006A59C1" w:rsidP="006A59C1">
      <w:pPr>
        <w:spacing w:after="0" w:line="360" w:lineRule="auto"/>
        <w:ind w:right="332"/>
        <w:contextualSpacing/>
        <w:jc w:val="both"/>
        <w:rPr>
          <w:rFonts w:ascii="Palatino Linotype" w:eastAsia="Times New Roman" w:hAnsi="Palatino Linotype" w:cs="Arial"/>
          <w:sz w:val="24"/>
          <w:szCs w:val="24"/>
          <w:lang w:val="es-ES" w:eastAsia="es-ES"/>
        </w:rPr>
      </w:pPr>
    </w:p>
    <w:p w:rsidR="006A59C1" w:rsidRPr="00AE036D" w:rsidRDefault="006A59C1" w:rsidP="006A59C1">
      <w:pPr>
        <w:numPr>
          <w:ilvl w:val="0"/>
          <w:numId w:val="1"/>
        </w:numPr>
        <w:spacing w:after="0" w:line="360" w:lineRule="auto"/>
        <w:ind w:left="0" w:right="332" w:firstLine="0"/>
        <w:contextualSpacing/>
        <w:jc w:val="both"/>
        <w:rPr>
          <w:rFonts w:ascii="Palatino Linotype" w:eastAsiaTheme="minorEastAsia" w:hAnsi="Palatino Linotype" w:cs="Arial"/>
          <w:i/>
          <w:sz w:val="24"/>
          <w:szCs w:val="24"/>
          <w:lang w:val="es-ES_tradnl" w:eastAsia="es-ES"/>
        </w:rPr>
      </w:pPr>
      <w:r w:rsidRPr="00AE036D">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AE036D">
        <w:rPr>
          <w:rFonts w:ascii="Palatino Linotype" w:eastAsiaTheme="minorEastAsia" w:hAnsi="Palatino Linotype" w:cs="Arial"/>
          <w:b/>
          <w:sz w:val="24"/>
          <w:szCs w:val="24"/>
          <w:lang w:val="es-ES_tradnl" w:eastAsia="es-ES"/>
        </w:rPr>
        <w:t xml:space="preserve">(SAIMEX). </w:t>
      </w:r>
    </w:p>
    <w:p w:rsidR="006A59C1" w:rsidRPr="00AE036D" w:rsidRDefault="006A59C1" w:rsidP="006A59C1">
      <w:pPr>
        <w:spacing w:after="0" w:line="360" w:lineRule="auto"/>
        <w:ind w:right="332"/>
        <w:contextualSpacing/>
        <w:jc w:val="both"/>
        <w:rPr>
          <w:rFonts w:ascii="Palatino Linotype" w:eastAsiaTheme="minorEastAsia" w:hAnsi="Palatino Linotype" w:cs="Arial"/>
          <w:i/>
          <w:sz w:val="24"/>
          <w:szCs w:val="24"/>
          <w:lang w:val="es-ES_tradnl" w:eastAsia="es-ES"/>
        </w:rPr>
      </w:pPr>
    </w:p>
    <w:p w:rsidR="006A59C1" w:rsidRPr="00AE036D" w:rsidRDefault="006A59C1" w:rsidP="006A59C1">
      <w:pPr>
        <w:numPr>
          <w:ilvl w:val="0"/>
          <w:numId w:val="1"/>
        </w:numPr>
        <w:spacing w:after="0" w:line="360" w:lineRule="auto"/>
        <w:ind w:left="0" w:right="332" w:firstLine="0"/>
        <w:contextualSpacing/>
        <w:jc w:val="both"/>
        <w:rPr>
          <w:rFonts w:ascii="Palatino Linotype" w:eastAsiaTheme="minorEastAsia" w:hAnsi="Palatino Linotype" w:cs="Arial"/>
          <w:i/>
          <w:sz w:val="24"/>
          <w:szCs w:val="24"/>
          <w:lang w:val="es-ES_tradnl" w:eastAsia="es-ES"/>
        </w:rPr>
      </w:pPr>
      <w:r w:rsidRPr="00AE036D">
        <w:rPr>
          <w:rFonts w:ascii="Palatino Linotype" w:eastAsiaTheme="minorEastAsia" w:hAnsi="Palatino Linotype" w:cs="Arial"/>
          <w:sz w:val="24"/>
          <w:szCs w:val="24"/>
          <w:lang w:val="es-ES_tradnl" w:eastAsia="es-ES"/>
        </w:rPr>
        <w:t xml:space="preserve">De las constancias que obran en el expediente electrónico SAIMEX se observa </w:t>
      </w:r>
      <w:proofErr w:type="gramStart"/>
      <w:r w:rsidRPr="00AE036D">
        <w:rPr>
          <w:rFonts w:ascii="Palatino Linotype" w:eastAsiaTheme="minorEastAsia" w:hAnsi="Palatino Linotype" w:cs="Arial"/>
          <w:sz w:val="24"/>
          <w:szCs w:val="24"/>
          <w:lang w:val="es-ES_tradnl" w:eastAsia="es-ES"/>
        </w:rPr>
        <w:t>que  el</w:t>
      </w:r>
      <w:proofErr w:type="gramEnd"/>
      <w:r w:rsidRPr="00AE036D">
        <w:rPr>
          <w:rFonts w:ascii="Palatino Linotype" w:eastAsiaTheme="minorEastAsia" w:hAnsi="Palatino Linotype" w:cs="Arial"/>
          <w:sz w:val="24"/>
          <w:szCs w:val="24"/>
          <w:lang w:val="es-ES_tradnl" w:eastAsia="es-ES"/>
        </w:rPr>
        <w:t xml:space="preserve"> diecisiete (17) de septiembre se realizaron cinco requerimientos a los servidores públicos habilitados.  </w:t>
      </w:r>
    </w:p>
    <w:p w:rsidR="006A59C1" w:rsidRPr="00AE036D" w:rsidRDefault="006A59C1" w:rsidP="006A59C1">
      <w:pPr>
        <w:spacing w:after="0" w:line="360" w:lineRule="auto"/>
        <w:ind w:right="332"/>
        <w:contextualSpacing/>
        <w:jc w:val="both"/>
        <w:rPr>
          <w:rFonts w:ascii="Palatino Linotype" w:eastAsia="MS Mincho" w:hAnsi="Palatino Linotype" w:cs="Arial"/>
          <w:sz w:val="24"/>
          <w:lang w:val="es-ES_tradnl" w:eastAsia="es-ES"/>
        </w:rPr>
      </w:pPr>
    </w:p>
    <w:p w:rsidR="006A59C1" w:rsidRPr="00AE036D" w:rsidRDefault="006A59C1" w:rsidP="006A59C1">
      <w:pPr>
        <w:numPr>
          <w:ilvl w:val="0"/>
          <w:numId w:val="1"/>
        </w:numPr>
        <w:spacing w:after="0" w:line="360" w:lineRule="auto"/>
        <w:ind w:left="0" w:right="332" w:firstLine="0"/>
        <w:contextualSpacing/>
        <w:jc w:val="both"/>
        <w:rPr>
          <w:rFonts w:ascii="Palatino Linotype" w:eastAsia="MS Mincho" w:hAnsi="Palatino Linotype" w:cs="Arial"/>
          <w:sz w:val="24"/>
          <w:lang w:val="es-ES_tradnl" w:eastAsia="es-ES"/>
        </w:rPr>
      </w:pPr>
      <w:r w:rsidRPr="00AE036D">
        <w:rPr>
          <w:rFonts w:ascii="Palatino Linotype" w:eastAsia="Calibri" w:hAnsi="Palatino Linotype" w:cs="Arial"/>
          <w:sz w:val="24"/>
          <w:szCs w:val="24"/>
          <w:lang w:val="es-ES" w:eastAsia="es-ES"/>
        </w:rPr>
        <w:t xml:space="preserve"> El </w:t>
      </w:r>
      <w:r w:rsidRPr="00AE036D">
        <w:rPr>
          <w:rFonts w:ascii="Palatino Linotype" w:eastAsia="Calibri" w:hAnsi="Palatino Linotype" w:cs="Arial"/>
          <w:b/>
          <w:sz w:val="24"/>
          <w:szCs w:val="24"/>
          <w:lang w:val="es-ES" w:eastAsia="es-ES"/>
        </w:rPr>
        <w:t>SUJETO OBLIGADO</w:t>
      </w:r>
      <w:r w:rsidRPr="00AE036D">
        <w:rPr>
          <w:rFonts w:ascii="Palatino Linotype" w:eastAsia="Calibri" w:hAnsi="Palatino Linotype" w:cs="Arial"/>
          <w:sz w:val="24"/>
          <w:szCs w:val="24"/>
          <w:lang w:val="es-ES" w:eastAsia="es-ES"/>
        </w:rPr>
        <w:t xml:space="preserve"> el día</w:t>
      </w:r>
      <w:r w:rsidRPr="00AE036D">
        <w:rPr>
          <w:rFonts w:ascii="Palatino Linotype" w:eastAsia="MS Mincho" w:hAnsi="Palatino Linotype" w:cs="Arial"/>
          <w:sz w:val="24"/>
          <w:lang w:val="es-ES_tradnl" w:eastAsia="es-ES"/>
        </w:rPr>
        <w:t xml:space="preserve"> seis (6) de </w:t>
      </w:r>
      <w:proofErr w:type="gramStart"/>
      <w:r w:rsidRPr="00AE036D">
        <w:rPr>
          <w:rFonts w:ascii="Palatino Linotype" w:eastAsia="MS Mincho" w:hAnsi="Palatino Linotype" w:cs="Arial"/>
          <w:sz w:val="24"/>
          <w:lang w:val="es-ES_tradnl" w:eastAsia="es-ES"/>
        </w:rPr>
        <w:t>octubre  de</w:t>
      </w:r>
      <w:proofErr w:type="gramEnd"/>
      <w:r w:rsidRPr="00AE036D">
        <w:rPr>
          <w:rFonts w:ascii="Palatino Linotype" w:eastAsia="MS Mincho" w:hAnsi="Palatino Linotype" w:cs="Arial"/>
          <w:sz w:val="24"/>
          <w:lang w:val="es-ES_tradnl" w:eastAsia="es-ES"/>
        </w:rPr>
        <w:t xml:space="preserve"> </w:t>
      </w:r>
      <w:r w:rsidRPr="00AE036D">
        <w:rPr>
          <w:rFonts w:ascii="Palatino Linotype" w:eastAsia="Calibri" w:hAnsi="Palatino Linotype" w:cs="Arial"/>
          <w:sz w:val="24"/>
          <w:szCs w:val="24"/>
          <w:lang w:val="es-ES" w:eastAsia="es-ES"/>
        </w:rPr>
        <w:t xml:space="preserve">dos mil veinte en respuesta a la solicitud de información señaló lo siguiente: </w:t>
      </w:r>
    </w:p>
    <w:p w:rsidR="006A59C1" w:rsidRPr="00AE036D" w:rsidRDefault="006A59C1" w:rsidP="006A59C1">
      <w:pPr>
        <w:spacing w:after="0" w:line="360" w:lineRule="auto"/>
        <w:ind w:right="332"/>
        <w:contextualSpacing/>
        <w:jc w:val="both"/>
        <w:rPr>
          <w:rFonts w:ascii="Palatino Linotype" w:eastAsia="MS Mincho" w:hAnsi="Palatino Linotype" w:cs="Arial"/>
          <w:sz w:val="24"/>
          <w:lang w:val="es-ES_tradnl" w:eastAsia="es-ES"/>
        </w:rPr>
      </w:pPr>
    </w:p>
    <w:tbl>
      <w:tblPr>
        <w:tblW w:w="7806" w:type="dxa"/>
        <w:jc w:val="center"/>
        <w:tblCellSpacing w:w="0" w:type="dxa"/>
        <w:tblCellMar>
          <w:left w:w="0" w:type="dxa"/>
          <w:right w:w="0" w:type="dxa"/>
        </w:tblCellMar>
        <w:tblLook w:val="04A0" w:firstRow="1" w:lastRow="0" w:firstColumn="1" w:lastColumn="0" w:noHBand="0" w:noVBand="1"/>
      </w:tblPr>
      <w:tblGrid>
        <w:gridCol w:w="7806"/>
      </w:tblGrid>
      <w:tr w:rsidR="006A59C1" w:rsidRPr="00AE036D" w:rsidTr="00461383">
        <w:trPr>
          <w:trHeight w:val="300"/>
          <w:tblCellSpacing w:w="0" w:type="dxa"/>
          <w:jc w:val="center"/>
        </w:trPr>
        <w:tc>
          <w:tcPr>
            <w:tcW w:w="7806" w:type="dxa"/>
            <w:vAlign w:val="center"/>
            <w:hideMark/>
          </w:tcPr>
          <w:p w:rsidR="006A59C1" w:rsidRPr="00AE036D" w:rsidRDefault="006A59C1" w:rsidP="00461383">
            <w:pPr>
              <w:spacing w:after="0" w:line="240" w:lineRule="auto"/>
              <w:jc w:val="right"/>
              <w:rPr>
                <w:rFonts w:ascii="Palatino Linotype" w:eastAsia="Times New Roman" w:hAnsi="Palatino Linotype" w:cs="Times New Roman"/>
                <w:i/>
                <w:lang w:eastAsia="es-MX"/>
              </w:rPr>
            </w:pPr>
            <w:r w:rsidRPr="00AE036D">
              <w:rPr>
                <w:rFonts w:ascii="Palatino Linotype" w:eastAsia="Times New Roman" w:hAnsi="Palatino Linotype" w:cs="Times New Roman"/>
                <w:i/>
                <w:lang w:eastAsia="es-MX"/>
              </w:rPr>
              <w:t xml:space="preserve">Teoloyucan, México a 06 de </w:t>
            </w:r>
            <w:proofErr w:type="gramStart"/>
            <w:r w:rsidRPr="00AE036D">
              <w:rPr>
                <w:rFonts w:ascii="Palatino Linotype" w:eastAsia="Times New Roman" w:hAnsi="Palatino Linotype" w:cs="Times New Roman"/>
                <w:i/>
                <w:lang w:eastAsia="es-MX"/>
              </w:rPr>
              <w:t>Octubre</w:t>
            </w:r>
            <w:proofErr w:type="gramEnd"/>
            <w:r w:rsidRPr="00AE036D">
              <w:rPr>
                <w:rFonts w:ascii="Palatino Linotype" w:eastAsia="Times New Roman" w:hAnsi="Palatino Linotype" w:cs="Times New Roman"/>
                <w:i/>
                <w:lang w:eastAsia="es-MX"/>
              </w:rPr>
              <w:t xml:space="preserve"> de 2020</w:t>
            </w:r>
          </w:p>
        </w:tc>
      </w:tr>
      <w:tr w:rsidR="006A59C1" w:rsidRPr="00AE036D" w:rsidTr="00461383">
        <w:trPr>
          <w:trHeight w:val="300"/>
          <w:tblCellSpacing w:w="0" w:type="dxa"/>
          <w:jc w:val="center"/>
        </w:trPr>
        <w:tc>
          <w:tcPr>
            <w:tcW w:w="7806" w:type="dxa"/>
            <w:vAlign w:val="center"/>
            <w:hideMark/>
          </w:tcPr>
          <w:p w:rsidR="006A59C1" w:rsidRPr="00AE036D" w:rsidRDefault="006A59C1" w:rsidP="00461383">
            <w:pPr>
              <w:spacing w:after="0" w:line="240" w:lineRule="auto"/>
              <w:jc w:val="right"/>
              <w:rPr>
                <w:rFonts w:ascii="Palatino Linotype" w:eastAsia="Times New Roman" w:hAnsi="Palatino Linotype" w:cs="Times New Roman"/>
                <w:i/>
                <w:lang w:eastAsia="es-MX"/>
              </w:rPr>
            </w:pPr>
            <w:r w:rsidRPr="00AE036D">
              <w:rPr>
                <w:rFonts w:ascii="Palatino Linotype" w:eastAsia="Times New Roman" w:hAnsi="Palatino Linotype" w:cs="Times New Roman"/>
                <w:i/>
                <w:lang w:eastAsia="es-MX"/>
              </w:rPr>
              <w:t>Nombre del solicitante:</w:t>
            </w:r>
          </w:p>
        </w:tc>
      </w:tr>
      <w:tr w:rsidR="006A59C1" w:rsidRPr="00AE036D" w:rsidTr="00461383">
        <w:trPr>
          <w:trHeight w:val="300"/>
          <w:tblCellSpacing w:w="0" w:type="dxa"/>
          <w:jc w:val="center"/>
        </w:trPr>
        <w:tc>
          <w:tcPr>
            <w:tcW w:w="7806" w:type="dxa"/>
            <w:vAlign w:val="center"/>
            <w:hideMark/>
          </w:tcPr>
          <w:p w:rsidR="006A59C1" w:rsidRPr="00AE036D" w:rsidRDefault="006A59C1" w:rsidP="00461383">
            <w:pPr>
              <w:spacing w:after="0" w:line="240" w:lineRule="auto"/>
              <w:jc w:val="right"/>
              <w:rPr>
                <w:rFonts w:ascii="Palatino Linotype" w:eastAsia="Times New Roman" w:hAnsi="Palatino Linotype" w:cs="Times New Roman"/>
                <w:i/>
                <w:lang w:eastAsia="es-MX"/>
              </w:rPr>
            </w:pPr>
            <w:r w:rsidRPr="00AE036D">
              <w:rPr>
                <w:rFonts w:ascii="Palatino Linotype" w:eastAsia="Times New Roman" w:hAnsi="Palatino Linotype" w:cs="Times New Roman"/>
                <w:i/>
                <w:lang w:eastAsia="es-MX"/>
              </w:rPr>
              <w:t>Folio de la solicitud: 00200/TEOLOYU/IP/2020</w:t>
            </w:r>
          </w:p>
        </w:tc>
      </w:tr>
      <w:tr w:rsidR="006A59C1" w:rsidRPr="00AE036D" w:rsidTr="00461383">
        <w:trPr>
          <w:trHeight w:val="450"/>
          <w:tblCellSpacing w:w="0" w:type="dxa"/>
          <w:jc w:val="center"/>
        </w:trPr>
        <w:tc>
          <w:tcPr>
            <w:tcW w:w="7806" w:type="dxa"/>
            <w:vAlign w:val="center"/>
            <w:hideMark/>
          </w:tcPr>
          <w:p w:rsidR="006A59C1" w:rsidRPr="00AE036D" w:rsidRDefault="006A59C1" w:rsidP="00461383">
            <w:pPr>
              <w:spacing w:after="0" w:line="240" w:lineRule="auto"/>
              <w:jc w:val="right"/>
              <w:rPr>
                <w:rFonts w:ascii="Palatino Linotype" w:eastAsia="Times New Roman" w:hAnsi="Palatino Linotype" w:cs="Times New Roman"/>
                <w:i/>
                <w:lang w:eastAsia="es-MX"/>
              </w:rPr>
            </w:pPr>
          </w:p>
          <w:p w:rsidR="006A59C1" w:rsidRPr="00AE036D" w:rsidRDefault="006A59C1" w:rsidP="00461383">
            <w:pPr>
              <w:spacing w:after="0" w:line="240" w:lineRule="auto"/>
              <w:jc w:val="right"/>
              <w:rPr>
                <w:rFonts w:ascii="Palatino Linotype" w:eastAsia="Times New Roman" w:hAnsi="Palatino Linotype" w:cs="Times New Roman"/>
                <w:i/>
                <w:lang w:eastAsia="es-MX"/>
              </w:rPr>
            </w:pPr>
          </w:p>
          <w:p w:rsidR="006A59C1" w:rsidRPr="00AE036D" w:rsidRDefault="006A59C1" w:rsidP="00461383">
            <w:pPr>
              <w:spacing w:after="0" w:line="240" w:lineRule="auto"/>
              <w:jc w:val="right"/>
              <w:rPr>
                <w:rFonts w:ascii="Palatino Linotype" w:eastAsia="Times New Roman" w:hAnsi="Palatino Linotype" w:cs="Times New Roman"/>
                <w:i/>
                <w:lang w:eastAsia="es-MX"/>
              </w:rPr>
            </w:pPr>
          </w:p>
        </w:tc>
      </w:tr>
      <w:tr w:rsidR="006A59C1" w:rsidRPr="00AE036D" w:rsidTr="00461383">
        <w:trPr>
          <w:trHeight w:val="150"/>
          <w:tblCellSpacing w:w="0" w:type="dxa"/>
          <w:jc w:val="center"/>
        </w:trPr>
        <w:tc>
          <w:tcPr>
            <w:tcW w:w="7806" w:type="dxa"/>
            <w:vAlign w:val="center"/>
            <w:hideMark/>
          </w:tcPr>
          <w:p w:rsidR="006A59C1" w:rsidRPr="00AE036D" w:rsidRDefault="006A59C1" w:rsidP="00461383">
            <w:pPr>
              <w:spacing w:after="0" w:line="240" w:lineRule="auto"/>
              <w:rPr>
                <w:rFonts w:ascii="Palatino Linotype" w:eastAsia="Times New Roman" w:hAnsi="Palatino Linotype" w:cs="Times New Roman"/>
                <w:i/>
                <w:lang w:eastAsia="es-MX"/>
              </w:rPr>
            </w:pPr>
            <w:r w:rsidRPr="00AE036D">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6A59C1" w:rsidRPr="00AE036D" w:rsidTr="00461383">
        <w:trPr>
          <w:trHeight w:val="375"/>
          <w:tblCellSpacing w:w="0" w:type="dxa"/>
          <w:jc w:val="center"/>
        </w:trPr>
        <w:tc>
          <w:tcPr>
            <w:tcW w:w="7806" w:type="dxa"/>
            <w:vAlign w:val="center"/>
            <w:hideMark/>
          </w:tcPr>
          <w:p w:rsidR="006A59C1" w:rsidRPr="00AE036D" w:rsidRDefault="006A59C1" w:rsidP="00461383">
            <w:pPr>
              <w:spacing w:after="0" w:line="240" w:lineRule="auto"/>
              <w:rPr>
                <w:rFonts w:ascii="Palatino Linotype" w:eastAsia="Times New Roman" w:hAnsi="Palatino Linotype" w:cs="Times New Roman"/>
                <w:i/>
                <w:lang w:eastAsia="es-MX"/>
              </w:rPr>
            </w:pPr>
          </w:p>
        </w:tc>
      </w:tr>
      <w:tr w:rsidR="006A59C1" w:rsidRPr="00AE036D" w:rsidTr="00461383">
        <w:trPr>
          <w:trHeight w:val="150"/>
          <w:tblCellSpacing w:w="0" w:type="dxa"/>
          <w:jc w:val="center"/>
        </w:trPr>
        <w:tc>
          <w:tcPr>
            <w:tcW w:w="7806" w:type="dxa"/>
            <w:vAlign w:val="center"/>
            <w:hideMark/>
          </w:tcPr>
          <w:p w:rsidR="006A59C1" w:rsidRPr="00AE036D" w:rsidRDefault="006A59C1" w:rsidP="00461383">
            <w:pPr>
              <w:spacing w:after="0" w:line="240" w:lineRule="auto"/>
              <w:rPr>
                <w:rFonts w:ascii="Palatino Linotype" w:eastAsia="Times New Roman" w:hAnsi="Palatino Linotype" w:cs="Times New Roman"/>
                <w:i/>
                <w:lang w:eastAsia="es-MX"/>
              </w:rPr>
            </w:pPr>
            <w:r w:rsidRPr="00AE036D">
              <w:rPr>
                <w:rFonts w:ascii="Palatino Linotype" w:eastAsia="Times New Roman" w:hAnsi="Palatino Linotype" w:cs="Times New Roman"/>
                <w:i/>
                <w:lang w:eastAsia="es-MX"/>
              </w:rPr>
              <w:t xml:space="preserve">Estimado solicitante reciba un cordial saludo, así mismo de conformidad con los artículos 1, 2, 3, fracción XLIV, 4, 12, 16, 23, fracción V, 24, fracción, XI y último párrafo, 50, 51, 53, fracciones, II, IV, V, y </w:t>
            </w:r>
            <w:proofErr w:type="gramStart"/>
            <w:r w:rsidRPr="00AE036D">
              <w:rPr>
                <w:rFonts w:ascii="Palatino Linotype" w:eastAsia="Times New Roman" w:hAnsi="Palatino Linotype" w:cs="Times New Roman"/>
                <w:i/>
                <w:lang w:eastAsia="es-MX"/>
              </w:rPr>
              <w:t>VI ,</w:t>
            </w:r>
            <w:proofErr w:type="gramEnd"/>
            <w:r w:rsidRPr="00AE036D">
              <w:rPr>
                <w:rFonts w:ascii="Palatino Linotype" w:eastAsia="Times New Roman" w:hAnsi="Palatino Linotype" w:cs="Times New Roman"/>
                <w:i/>
                <w:lang w:eastAsia="es-MX"/>
              </w:rPr>
              <w:t xml:space="preserve"> 176,177 y 178 de la Ley de Transparencia y Acceso a la Información Pública del Estado de México y </w:t>
            </w:r>
            <w:proofErr w:type="spellStart"/>
            <w:r w:rsidRPr="00AE036D">
              <w:rPr>
                <w:rFonts w:ascii="Palatino Linotype" w:eastAsia="Times New Roman" w:hAnsi="Palatino Linotype" w:cs="Times New Roman"/>
                <w:i/>
                <w:lang w:eastAsia="es-MX"/>
              </w:rPr>
              <w:t>Municipios;le</w:t>
            </w:r>
            <w:proofErr w:type="spellEnd"/>
            <w:r w:rsidRPr="00AE036D">
              <w:rPr>
                <w:rFonts w:ascii="Palatino Linotype" w:eastAsia="Times New Roman" w:hAnsi="Palatino Linotype" w:cs="Times New Roman"/>
                <w:i/>
                <w:lang w:eastAsia="es-MX"/>
              </w:rPr>
              <w:t xml:space="preserve"> anexo oficios de las áreas correspondientes. Sin más por el momento me despido de usted.</w:t>
            </w:r>
          </w:p>
        </w:tc>
      </w:tr>
      <w:tr w:rsidR="006A59C1" w:rsidRPr="00AE036D" w:rsidTr="00461383">
        <w:trPr>
          <w:trHeight w:val="375"/>
          <w:tblCellSpacing w:w="0" w:type="dxa"/>
          <w:jc w:val="center"/>
        </w:trPr>
        <w:tc>
          <w:tcPr>
            <w:tcW w:w="7806" w:type="dxa"/>
            <w:vAlign w:val="center"/>
            <w:hideMark/>
          </w:tcPr>
          <w:p w:rsidR="006A59C1" w:rsidRPr="00AE036D" w:rsidRDefault="006A59C1" w:rsidP="00461383">
            <w:pPr>
              <w:spacing w:after="0" w:line="240" w:lineRule="auto"/>
              <w:rPr>
                <w:rFonts w:ascii="Palatino Linotype" w:eastAsia="Times New Roman" w:hAnsi="Palatino Linotype" w:cs="Times New Roman"/>
                <w:i/>
                <w:lang w:eastAsia="es-MX"/>
              </w:rPr>
            </w:pPr>
          </w:p>
        </w:tc>
      </w:tr>
      <w:tr w:rsidR="006A59C1" w:rsidRPr="00AE036D" w:rsidTr="00461383">
        <w:trPr>
          <w:trHeight w:val="150"/>
          <w:tblCellSpacing w:w="0" w:type="dxa"/>
          <w:jc w:val="center"/>
        </w:trPr>
        <w:tc>
          <w:tcPr>
            <w:tcW w:w="7806" w:type="dxa"/>
            <w:vAlign w:val="center"/>
            <w:hideMark/>
          </w:tcPr>
          <w:p w:rsidR="006A59C1" w:rsidRPr="00AE036D" w:rsidRDefault="006A59C1" w:rsidP="00461383">
            <w:pPr>
              <w:spacing w:after="0" w:line="240" w:lineRule="auto"/>
              <w:jc w:val="center"/>
              <w:rPr>
                <w:rFonts w:ascii="Palatino Linotype" w:eastAsia="Times New Roman" w:hAnsi="Palatino Linotype" w:cs="Times New Roman"/>
                <w:i/>
                <w:lang w:eastAsia="es-MX"/>
              </w:rPr>
            </w:pPr>
          </w:p>
        </w:tc>
      </w:tr>
      <w:tr w:rsidR="006A59C1" w:rsidRPr="00AE036D" w:rsidTr="00461383">
        <w:trPr>
          <w:trHeight w:val="150"/>
          <w:tblCellSpacing w:w="0" w:type="dxa"/>
          <w:jc w:val="center"/>
        </w:trPr>
        <w:tc>
          <w:tcPr>
            <w:tcW w:w="7806" w:type="dxa"/>
            <w:vAlign w:val="center"/>
            <w:hideMark/>
          </w:tcPr>
          <w:p w:rsidR="006A59C1" w:rsidRPr="00AE036D" w:rsidRDefault="006A59C1" w:rsidP="00461383">
            <w:pPr>
              <w:spacing w:after="0" w:line="240" w:lineRule="auto"/>
              <w:rPr>
                <w:rFonts w:ascii="Palatino Linotype" w:eastAsia="Times New Roman" w:hAnsi="Palatino Linotype" w:cs="Times New Roman"/>
                <w:i/>
                <w:lang w:eastAsia="es-MX"/>
              </w:rPr>
            </w:pPr>
          </w:p>
        </w:tc>
      </w:tr>
      <w:tr w:rsidR="006A59C1" w:rsidRPr="00AE036D" w:rsidTr="00461383">
        <w:trPr>
          <w:trHeight w:val="150"/>
          <w:tblCellSpacing w:w="0" w:type="dxa"/>
          <w:jc w:val="center"/>
        </w:trPr>
        <w:tc>
          <w:tcPr>
            <w:tcW w:w="7806" w:type="dxa"/>
            <w:vAlign w:val="center"/>
            <w:hideMark/>
          </w:tcPr>
          <w:p w:rsidR="006A59C1" w:rsidRPr="00AE036D" w:rsidRDefault="006A59C1" w:rsidP="00461383">
            <w:pPr>
              <w:spacing w:after="0" w:line="240" w:lineRule="auto"/>
              <w:rPr>
                <w:rFonts w:ascii="Palatino Linotype" w:eastAsia="Times New Roman" w:hAnsi="Palatino Linotype" w:cs="Times New Roman"/>
                <w:i/>
                <w:lang w:eastAsia="es-MX"/>
              </w:rPr>
            </w:pPr>
            <w:r w:rsidRPr="00AE036D">
              <w:rPr>
                <w:rFonts w:ascii="Palatino Linotype" w:eastAsia="Times New Roman" w:hAnsi="Palatino Linotype" w:cs="Times New Roman"/>
                <w:i/>
                <w:lang w:eastAsia="es-MX"/>
              </w:rPr>
              <w:t>ATENTAMENTE</w:t>
            </w:r>
          </w:p>
        </w:tc>
      </w:tr>
      <w:tr w:rsidR="006A59C1" w:rsidRPr="00AE036D" w:rsidTr="00461383">
        <w:trPr>
          <w:trHeight w:val="225"/>
          <w:tblCellSpacing w:w="0" w:type="dxa"/>
          <w:jc w:val="center"/>
        </w:trPr>
        <w:tc>
          <w:tcPr>
            <w:tcW w:w="7806" w:type="dxa"/>
            <w:vAlign w:val="center"/>
            <w:hideMark/>
          </w:tcPr>
          <w:p w:rsidR="006A59C1" w:rsidRPr="00AE036D" w:rsidRDefault="006A59C1" w:rsidP="00461383">
            <w:pPr>
              <w:spacing w:after="0" w:line="240" w:lineRule="auto"/>
              <w:rPr>
                <w:rFonts w:ascii="Palatino Linotype" w:eastAsia="Times New Roman" w:hAnsi="Palatino Linotype" w:cs="Times New Roman"/>
                <w:i/>
                <w:lang w:eastAsia="es-MX"/>
              </w:rPr>
            </w:pPr>
          </w:p>
        </w:tc>
      </w:tr>
      <w:tr w:rsidR="006A59C1" w:rsidRPr="00AE036D" w:rsidTr="00461383">
        <w:trPr>
          <w:trHeight w:val="150"/>
          <w:tblCellSpacing w:w="0" w:type="dxa"/>
          <w:jc w:val="center"/>
        </w:trPr>
        <w:tc>
          <w:tcPr>
            <w:tcW w:w="7806" w:type="dxa"/>
            <w:vAlign w:val="center"/>
            <w:hideMark/>
          </w:tcPr>
          <w:p w:rsidR="006A59C1" w:rsidRPr="00AE036D" w:rsidRDefault="006A59C1" w:rsidP="00461383">
            <w:pPr>
              <w:spacing w:after="0" w:line="240" w:lineRule="auto"/>
              <w:rPr>
                <w:rFonts w:ascii="Palatino Linotype" w:eastAsia="Times New Roman" w:hAnsi="Palatino Linotype" w:cs="Times New Roman"/>
                <w:i/>
                <w:lang w:eastAsia="es-MX"/>
              </w:rPr>
            </w:pPr>
            <w:r w:rsidRPr="00AE036D">
              <w:rPr>
                <w:rFonts w:ascii="Palatino Linotype" w:eastAsia="Times New Roman" w:hAnsi="Palatino Linotype" w:cs="Times New Roman"/>
                <w:i/>
                <w:lang w:eastAsia="es-MX"/>
              </w:rPr>
              <w:lastRenderedPageBreak/>
              <w:t>Lic. Ana Beatriz Romero Oceguera</w:t>
            </w:r>
          </w:p>
        </w:tc>
      </w:tr>
    </w:tbl>
    <w:p w:rsidR="006A59C1" w:rsidRPr="00AE036D" w:rsidRDefault="006A59C1" w:rsidP="006A59C1">
      <w:pPr>
        <w:spacing w:after="0" w:line="360" w:lineRule="auto"/>
        <w:ind w:right="332"/>
        <w:jc w:val="both"/>
        <w:rPr>
          <w:rFonts w:ascii="Palatino Linotype" w:eastAsia="MS Mincho" w:hAnsi="Palatino Linotype" w:cs="Arial"/>
          <w:lang w:val="es-ES_tradnl" w:eastAsia="es-ES"/>
        </w:rPr>
      </w:pPr>
    </w:p>
    <w:p w:rsidR="006A59C1" w:rsidRPr="00AE036D" w:rsidRDefault="006A59C1" w:rsidP="006A59C1">
      <w:pPr>
        <w:spacing w:after="0" w:line="360" w:lineRule="auto"/>
        <w:ind w:right="332"/>
        <w:contextualSpacing/>
        <w:jc w:val="both"/>
        <w:rPr>
          <w:rFonts w:ascii="Palatino Linotype" w:eastAsia="MS Mincho" w:hAnsi="Palatino Linotype" w:cs="Arial"/>
          <w:lang w:val="es-ES_tradnl" w:eastAsia="es-ES"/>
        </w:rPr>
      </w:pPr>
      <w:r w:rsidRPr="00AE036D">
        <w:rPr>
          <w:rFonts w:ascii="Palatino Linotype" w:eastAsia="MS Mincho" w:hAnsi="Palatino Linotype" w:cs="Arial"/>
          <w:lang w:val="es-ES_tradnl" w:eastAsia="es-ES"/>
        </w:rPr>
        <w:t xml:space="preserve">A la respuesta se anexaron los siguientes documentos: </w:t>
      </w:r>
    </w:p>
    <w:p w:rsidR="006A59C1" w:rsidRPr="00AE036D" w:rsidRDefault="006A59C1" w:rsidP="006A59C1">
      <w:pPr>
        <w:spacing w:after="0" w:line="360" w:lineRule="auto"/>
        <w:ind w:right="332"/>
        <w:contextualSpacing/>
        <w:jc w:val="both"/>
        <w:rPr>
          <w:rFonts w:ascii="Palatino Linotype" w:eastAsia="MS Mincho" w:hAnsi="Palatino Linotype" w:cs="Arial"/>
          <w:lang w:val="es-ES_tradnl" w:eastAsia="es-ES"/>
        </w:rPr>
      </w:pPr>
    </w:p>
    <w:p w:rsidR="006A59C1" w:rsidRPr="00AE036D" w:rsidRDefault="009F01D8" w:rsidP="006A59C1">
      <w:pPr>
        <w:pStyle w:val="Prrafodelista"/>
        <w:numPr>
          <w:ilvl w:val="0"/>
          <w:numId w:val="4"/>
        </w:numPr>
        <w:spacing w:after="0" w:line="360" w:lineRule="auto"/>
        <w:ind w:right="332"/>
        <w:jc w:val="both"/>
        <w:rPr>
          <w:rFonts w:ascii="Palatino Linotype" w:eastAsia="MS Mincho" w:hAnsi="Palatino Linotype" w:cs="Arial"/>
          <w:i/>
          <w:lang w:val="es-ES_tradnl" w:eastAsia="es-ES"/>
        </w:rPr>
      </w:pPr>
      <w:hyperlink r:id="rId7" w:tgtFrame="_blank" w:history="1">
        <w:r w:rsidR="006A59C1" w:rsidRPr="00AE036D">
          <w:rPr>
            <w:rStyle w:val="Hipervnculo"/>
            <w:rFonts w:ascii="Palatino Linotype" w:hAnsi="Palatino Linotype" w:cs="Arial"/>
            <w:b/>
            <w:bCs/>
          </w:rPr>
          <w:t>OFICIO DIF-TEO-TES-069-2020 OFICIO dIF.pdf</w:t>
        </w:r>
      </w:hyperlink>
      <w:r w:rsidR="006A59C1" w:rsidRPr="00AE036D">
        <w:rPr>
          <w:rFonts w:ascii="Palatino Linotype" w:hAnsi="Palatino Linotype"/>
        </w:rPr>
        <w:t>: consta de dos fojas con número de oficio DIF/TEO/TES/069/2020, de fecha veintinueve de septiembre de dos mil veinte, emitido por el Tesorero del Sistema Municipal para el Desarrollo Integral de la Familia a la Titular de la Unidad de Transparencia, mediante el cual manifiesta que se encuentran en proceso de auditoria ordenada por el Órgano Superior de Fiscalización del Estado de México bajo la orden de Auditoria OSFEM/AED/667/2020, por lo que es imposible proporcionar la información solicitada.</w:t>
      </w:r>
    </w:p>
    <w:p w:rsidR="006A59C1" w:rsidRPr="00AE036D" w:rsidRDefault="006A59C1" w:rsidP="006A59C1">
      <w:pPr>
        <w:pStyle w:val="Prrafodelista"/>
        <w:spacing w:after="0" w:line="360" w:lineRule="auto"/>
        <w:ind w:right="332"/>
        <w:jc w:val="both"/>
        <w:rPr>
          <w:rFonts w:ascii="Palatino Linotype" w:eastAsia="MS Mincho" w:hAnsi="Palatino Linotype" w:cs="Arial"/>
          <w:i/>
          <w:lang w:val="es-ES_tradnl" w:eastAsia="es-ES"/>
        </w:rPr>
      </w:pPr>
    </w:p>
    <w:p w:rsidR="006A59C1" w:rsidRPr="00AE036D" w:rsidRDefault="009F01D8" w:rsidP="006A59C1">
      <w:pPr>
        <w:pStyle w:val="Prrafodelista"/>
        <w:numPr>
          <w:ilvl w:val="0"/>
          <w:numId w:val="4"/>
        </w:numPr>
        <w:spacing w:after="0" w:line="360" w:lineRule="auto"/>
        <w:ind w:right="332"/>
        <w:jc w:val="both"/>
        <w:rPr>
          <w:rFonts w:ascii="Palatino Linotype" w:eastAsia="MS Mincho" w:hAnsi="Palatino Linotype" w:cs="Arial"/>
          <w:i/>
          <w:lang w:val="es-ES_tradnl" w:eastAsia="es-ES"/>
        </w:rPr>
      </w:pPr>
      <w:hyperlink r:id="rId8" w:tgtFrame="_blank" w:history="1">
        <w:r w:rsidR="006A59C1" w:rsidRPr="00AE036D">
          <w:rPr>
            <w:rStyle w:val="Hipervnculo"/>
            <w:rFonts w:ascii="Palatino Linotype" w:hAnsi="Palatino Linotype" w:cs="Arial"/>
            <w:b/>
            <w:bCs/>
          </w:rPr>
          <w:t>Oficio Tesorería.pdf</w:t>
        </w:r>
      </w:hyperlink>
      <w:r w:rsidR="006A59C1" w:rsidRPr="00AE036D">
        <w:rPr>
          <w:rFonts w:ascii="Palatino Linotype" w:hAnsi="Palatino Linotype"/>
        </w:rPr>
        <w:t>: consta de tres fojas con número de oficio TES/OE/247/09/2020, de fecha veintiocho de septiembre de os mil veinte, emitido por la Tesorera Municipal y dirigido a la Titular de la Unidad de Transparencia, mediante el cual manifiesta que la tesorería se encuentra bajo un proceso de auditoria ordenada por el Órgano Superior de Fiscalización del Estado de México bajo la orden de Auditoria OSFEM/AED/666/2020, por lo que es imposible proporcionar la información solicitada. Asimismo, anexa el acta de inicio de la Auditoria de Desempeño número Acta/005/CP2019.</w:t>
      </w:r>
    </w:p>
    <w:p w:rsidR="006A59C1" w:rsidRPr="00AE036D" w:rsidRDefault="006A59C1" w:rsidP="006A59C1">
      <w:pPr>
        <w:pStyle w:val="Prrafodelista"/>
        <w:spacing w:after="0" w:line="360" w:lineRule="auto"/>
        <w:ind w:right="332"/>
        <w:jc w:val="both"/>
        <w:rPr>
          <w:rFonts w:ascii="Palatino Linotype" w:eastAsia="MS Mincho" w:hAnsi="Palatino Linotype" w:cs="Arial"/>
          <w:i/>
          <w:lang w:val="es-ES_tradnl" w:eastAsia="es-ES"/>
        </w:rPr>
      </w:pPr>
    </w:p>
    <w:p w:rsidR="006A59C1" w:rsidRPr="00AE036D" w:rsidRDefault="009F01D8" w:rsidP="006A59C1">
      <w:pPr>
        <w:pStyle w:val="Prrafodelista"/>
        <w:numPr>
          <w:ilvl w:val="0"/>
          <w:numId w:val="4"/>
        </w:numPr>
        <w:spacing w:after="0" w:line="360" w:lineRule="auto"/>
        <w:ind w:right="332"/>
        <w:jc w:val="both"/>
        <w:rPr>
          <w:rFonts w:ascii="Palatino Linotype" w:eastAsia="MS Mincho" w:hAnsi="Palatino Linotype" w:cs="Arial"/>
          <w:i/>
          <w:lang w:val="es-ES_tradnl" w:eastAsia="es-ES"/>
        </w:rPr>
      </w:pPr>
      <w:hyperlink r:id="rId9" w:tgtFrame="_blank" w:history="1">
        <w:r w:rsidR="006A59C1" w:rsidRPr="00AE036D">
          <w:rPr>
            <w:rStyle w:val="Hipervnculo"/>
            <w:rFonts w:ascii="Palatino Linotype" w:hAnsi="Palatino Linotype" w:cs="Arial"/>
            <w:b/>
            <w:bCs/>
          </w:rPr>
          <w:t>Oficio DIF.pdf</w:t>
        </w:r>
      </w:hyperlink>
      <w:r w:rsidR="006A59C1" w:rsidRPr="00AE036D">
        <w:rPr>
          <w:rFonts w:ascii="Palatino Linotype" w:hAnsi="Palatino Linotype"/>
        </w:rPr>
        <w:t xml:space="preserve">: consta de tres fojas con número de oficio OSFEM/AED/667/2020, de fecha diecisiete de septiembre, emitido por el Auditor Especial de Desempeño y dirigido a la presidenta del Sistema Municipal para el Desarrollo Integral de la Familia de Teoloyucan, mediante el cual se emite la Orden de Auditoria de  Desempeño establecida por  el Programa Anual de Auditorias 2020 con el numeral 10 del Apartado Auditorias de Desempeño Municipales, denominada Auditoria de Desempeño al </w:t>
      </w:r>
      <w:r w:rsidR="006A59C1" w:rsidRPr="00AE036D">
        <w:rPr>
          <w:rFonts w:ascii="Palatino Linotype" w:hAnsi="Palatino Linotype"/>
        </w:rPr>
        <w:lastRenderedPageBreak/>
        <w:t>Sistema Municipal DIF Teoloyucan, la cual se desarrollara del 23 de septiembre al 16 de diciembre del 2020.</w:t>
      </w:r>
    </w:p>
    <w:p w:rsidR="006A59C1" w:rsidRPr="00AE036D" w:rsidRDefault="006A59C1" w:rsidP="006A59C1">
      <w:pPr>
        <w:spacing w:after="0" w:line="360" w:lineRule="auto"/>
        <w:ind w:right="332"/>
        <w:jc w:val="both"/>
        <w:rPr>
          <w:rFonts w:ascii="Palatino Linotype" w:eastAsia="MS Mincho" w:hAnsi="Palatino Linotype" w:cs="Arial"/>
          <w:i/>
          <w:lang w:val="es-ES_tradnl" w:eastAsia="es-ES"/>
        </w:rPr>
      </w:pPr>
    </w:p>
    <w:p w:rsidR="006A59C1" w:rsidRPr="00AE036D" w:rsidRDefault="009F01D8" w:rsidP="006A59C1">
      <w:pPr>
        <w:pStyle w:val="Prrafodelista"/>
        <w:numPr>
          <w:ilvl w:val="0"/>
          <w:numId w:val="4"/>
        </w:numPr>
        <w:spacing w:after="0" w:line="360" w:lineRule="auto"/>
        <w:ind w:right="332"/>
        <w:jc w:val="both"/>
        <w:rPr>
          <w:rFonts w:ascii="Palatino Linotype" w:eastAsia="MS Mincho" w:hAnsi="Palatino Linotype" w:cs="Arial"/>
          <w:i/>
          <w:lang w:val="es-ES_tradnl" w:eastAsia="es-ES"/>
        </w:rPr>
      </w:pPr>
      <w:hyperlink r:id="rId10" w:tgtFrame="_blank" w:history="1">
        <w:r w:rsidR="006A59C1" w:rsidRPr="00AE036D">
          <w:rPr>
            <w:rStyle w:val="Hipervnculo"/>
            <w:rFonts w:ascii="Palatino Linotype" w:hAnsi="Palatino Linotype" w:cs="Arial"/>
            <w:b/>
            <w:bCs/>
          </w:rPr>
          <w:t>Oficio Icufide.pdf</w:t>
        </w:r>
      </w:hyperlink>
      <w:r w:rsidR="006A59C1" w:rsidRPr="00AE036D">
        <w:rPr>
          <w:rFonts w:ascii="Palatino Linotype" w:hAnsi="Palatino Linotype"/>
        </w:rPr>
        <w:t xml:space="preserve">: consta de dos fojas con número de oficio </w:t>
      </w:r>
      <w:proofErr w:type="spellStart"/>
      <w:r w:rsidR="006A59C1" w:rsidRPr="00AE036D">
        <w:rPr>
          <w:rFonts w:ascii="Palatino Linotype" w:hAnsi="Palatino Linotype"/>
        </w:rPr>
        <w:t>DFyA</w:t>
      </w:r>
      <w:proofErr w:type="spellEnd"/>
      <w:r w:rsidR="006A59C1" w:rsidRPr="00AE036D">
        <w:rPr>
          <w:rFonts w:ascii="Palatino Linotype" w:hAnsi="Palatino Linotype"/>
        </w:rPr>
        <w:t>/</w:t>
      </w:r>
      <w:proofErr w:type="spellStart"/>
      <w:r w:rsidR="006A59C1" w:rsidRPr="00AE036D">
        <w:rPr>
          <w:rFonts w:ascii="Palatino Linotype" w:hAnsi="Palatino Linotype"/>
        </w:rPr>
        <w:t>Imcufidete</w:t>
      </w:r>
      <w:proofErr w:type="spellEnd"/>
      <w:r w:rsidR="006A59C1" w:rsidRPr="00AE036D">
        <w:rPr>
          <w:rFonts w:ascii="Palatino Linotype" w:hAnsi="Palatino Linotype"/>
        </w:rPr>
        <w:t xml:space="preserve">/042/2020, dirigido a la Titular de la Unidad de Transparencia, mediante el cual fundamenta su respuesta en el artículo 140 fracción V de la Ley de Transparencia y Acceso a la Información Pública del Estado de México y sus Municipios. </w:t>
      </w:r>
    </w:p>
    <w:p w:rsidR="006A59C1" w:rsidRPr="00AE036D" w:rsidRDefault="006A59C1" w:rsidP="006A59C1">
      <w:pPr>
        <w:spacing w:after="0" w:line="360" w:lineRule="auto"/>
        <w:ind w:right="332"/>
        <w:jc w:val="both"/>
        <w:rPr>
          <w:rFonts w:ascii="Palatino Linotype" w:eastAsia="MS Mincho" w:hAnsi="Palatino Linotype" w:cs="Arial"/>
          <w:i/>
          <w:lang w:val="es-ES_tradnl" w:eastAsia="es-ES"/>
        </w:rPr>
      </w:pPr>
    </w:p>
    <w:p w:rsidR="006A59C1" w:rsidRPr="00AE036D" w:rsidRDefault="009F01D8" w:rsidP="006A59C1">
      <w:pPr>
        <w:pStyle w:val="Prrafodelista"/>
        <w:numPr>
          <w:ilvl w:val="0"/>
          <w:numId w:val="4"/>
        </w:numPr>
        <w:spacing w:after="0" w:line="360" w:lineRule="auto"/>
        <w:ind w:right="332"/>
        <w:jc w:val="both"/>
        <w:rPr>
          <w:rFonts w:ascii="Palatino Linotype" w:eastAsia="MS Mincho" w:hAnsi="Palatino Linotype" w:cs="Arial"/>
          <w:i/>
          <w:lang w:val="es-ES_tradnl" w:eastAsia="es-ES"/>
        </w:rPr>
      </w:pPr>
      <w:hyperlink r:id="rId11" w:tgtFrame="_blank" w:history="1">
        <w:r w:rsidR="006A59C1" w:rsidRPr="00AE036D">
          <w:rPr>
            <w:rStyle w:val="Hipervnculo"/>
            <w:rFonts w:ascii="Palatino Linotype" w:hAnsi="Palatino Linotype" w:cs="Arial"/>
            <w:b/>
            <w:bCs/>
          </w:rPr>
          <w:t>oficio opdapast.pdf</w:t>
        </w:r>
      </w:hyperlink>
      <w:r w:rsidR="006A59C1" w:rsidRPr="00AE036D">
        <w:rPr>
          <w:rFonts w:ascii="Palatino Linotype" w:hAnsi="Palatino Linotype"/>
        </w:rPr>
        <w:t xml:space="preserve">: consta de una foja, con número de oficio OPDAPAS/DIRGRAL/OMA/099/2020 de fecha veintinueve de septiembre, emitido por el Director General del Organismo Público Descentralizado para la Prestación de los Servicios de Agua Potable, Alcantarillado y Saneamiento del Municipio de Teoloyucan y dirigido  a la Titular de la Unidad de Transparencia, mediante el cual solicita una prórroga para la entrega de la información, manifestando que se encuentran bajo Auditoria, además de estar en procesa de entrega del informe mensual, por lo que le es técnicamente imposible entregar la información en el término concedido para ello. </w:t>
      </w:r>
    </w:p>
    <w:p w:rsidR="006A59C1" w:rsidRPr="00AE036D" w:rsidRDefault="006A59C1" w:rsidP="006A59C1">
      <w:pPr>
        <w:spacing w:after="0" w:line="360" w:lineRule="auto"/>
        <w:ind w:right="332"/>
        <w:jc w:val="both"/>
        <w:rPr>
          <w:rFonts w:ascii="Palatino Linotype" w:eastAsia="MS Mincho" w:hAnsi="Palatino Linotype" w:cs="Arial"/>
          <w:i/>
          <w:lang w:val="es-ES_tradnl" w:eastAsia="es-ES"/>
        </w:rPr>
      </w:pPr>
    </w:p>
    <w:p w:rsidR="006A59C1" w:rsidRPr="00AE036D" w:rsidRDefault="006A59C1" w:rsidP="006A59C1">
      <w:pPr>
        <w:numPr>
          <w:ilvl w:val="0"/>
          <w:numId w:val="1"/>
        </w:numPr>
        <w:spacing w:after="0" w:line="360" w:lineRule="auto"/>
        <w:ind w:left="0" w:right="332" w:firstLine="0"/>
        <w:contextualSpacing/>
        <w:jc w:val="both"/>
        <w:rPr>
          <w:rFonts w:ascii="Palatino Linotype" w:eastAsia="MS Mincho" w:hAnsi="Palatino Linotype" w:cs="Arial"/>
          <w:i/>
          <w:lang w:val="es-ES_tradnl" w:eastAsia="es-ES"/>
        </w:rPr>
      </w:pPr>
      <w:r w:rsidRPr="00AE036D">
        <w:rPr>
          <w:rFonts w:ascii="Palatino Linotype" w:eastAsia="Times New Roman" w:hAnsi="Palatino Linotype" w:cs="Arial"/>
          <w:sz w:val="24"/>
          <w:szCs w:val="24"/>
          <w:lang w:val="es-ES" w:eastAsia="es-ES"/>
        </w:rPr>
        <w:t>En fecha veintisiete (27) de octubre   de dos mil veinte, el RECURRENTE interpuso el de revisión que al rubro se indica, en contra de la respuesta del sujeto obligado, señalando como;</w:t>
      </w:r>
    </w:p>
    <w:p w:rsidR="006A59C1" w:rsidRPr="00AE036D" w:rsidRDefault="006A59C1" w:rsidP="006A59C1">
      <w:pPr>
        <w:tabs>
          <w:tab w:val="left" w:pos="8647"/>
        </w:tabs>
        <w:spacing w:after="0" w:line="360" w:lineRule="auto"/>
        <w:ind w:right="332"/>
        <w:contextualSpacing/>
        <w:jc w:val="both"/>
        <w:rPr>
          <w:rFonts w:ascii="Palatino Linotype" w:eastAsia="MS Mincho" w:hAnsi="Palatino Linotype" w:cs="Arial"/>
          <w:b/>
          <w:bCs/>
          <w:sz w:val="24"/>
          <w:szCs w:val="24"/>
          <w:lang w:val="es-ES_tradnl" w:eastAsia="es-ES"/>
        </w:rPr>
      </w:pPr>
    </w:p>
    <w:p w:rsidR="006A59C1" w:rsidRPr="00AE036D" w:rsidRDefault="006A59C1" w:rsidP="006A59C1">
      <w:pPr>
        <w:numPr>
          <w:ilvl w:val="0"/>
          <w:numId w:val="2"/>
        </w:numPr>
        <w:tabs>
          <w:tab w:val="left" w:pos="8647"/>
        </w:tabs>
        <w:spacing w:after="0" w:line="360" w:lineRule="auto"/>
        <w:ind w:right="332"/>
        <w:contextualSpacing/>
        <w:jc w:val="both"/>
        <w:rPr>
          <w:rFonts w:ascii="Palatino Linotype" w:eastAsia="MS Mincho" w:hAnsi="Palatino Linotype" w:cs="Times New Roman"/>
          <w:i/>
          <w:lang w:val="es-ES_tradnl" w:eastAsia="es-ES"/>
        </w:rPr>
      </w:pPr>
      <w:r w:rsidRPr="00AE036D">
        <w:rPr>
          <w:rFonts w:ascii="Palatino Linotype" w:eastAsia="MS Gothic" w:hAnsi="Palatino Linotype" w:cs="Times New Roman"/>
          <w:b/>
          <w:lang w:val="es-ES"/>
        </w:rPr>
        <w:t>Acto impugnado</w:t>
      </w:r>
      <w:r w:rsidRPr="00AE036D">
        <w:rPr>
          <w:rFonts w:ascii="Palatino Linotype" w:eastAsia="MS Mincho" w:hAnsi="Palatino Linotype" w:cs="Times New Roman"/>
          <w:lang w:val="es-ES_tradnl" w:eastAsia="es-ES"/>
        </w:rPr>
        <w:t xml:space="preserve">: </w:t>
      </w:r>
      <w:r w:rsidRPr="00AE036D">
        <w:rPr>
          <w:rFonts w:ascii="Palatino Linotype" w:eastAsia="MS Mincho" w:hAnsi="Palatino Linotype" w:cs="Times New Roman"/>
          <w:i/>
          <w:lang w:val="es-ES_tradnl" w:eastAsia="es-ES"/>
        </w:rPr>
        <w:t>“</w:t>
      </w:r>
      <w:r w:rsidRPr="00AE036D">
        <w:rPr>
          <w:rFonts w:ascii="Palatino Linotype" w:hAnsi="Palatino Linotype"/>
          <w:i/>
          <w:color w:val="000000"/>
        </w:rPr>
        <w:t>respuesta a la solicitud 00200/TEOLOYU/IP/2020</w:t>
      </w:r>
      <w:r w:rsidRPr="00AE036D">
        <w:rPr>
          <w:rFonts w:ascii="Palatino Linotype" w:eastAsia="MS Mincho" w:hAnsi="Palatino Linotype" w:cs="Times New Roman"/>
          <w:i/>
          <w:lang w:val="es-ES_tradnl" w:eastAsia="es-ES"/>
        </w:rPr>
        <w:t>” (Sic)</w:t>
      </w:r>
    </w:p>
    <w:p w:rsidR="006A59C1" w:rsidRPr="00AE036D" w:rsidRDefault="006A59C1" w:rsidP="006A59C1">
      <w:pPr>
        <w:tabs>
          <w:tab w:val="left" w:pos="8647"/>
        </w:tabs>
        <w:spacing w:after="0" w:line="360" w:lineRule="auto"/>
        <w:ind w:left="993" w:right="332"/>
        <w:contextualSpacing/>
        <w:jc w:val="both"/>
        <w:rPr>
          <w:rFonts w:ascii="Palatino Linotype" w:eastAsia="MS Mincho" w:hAnsi="Palatino Linotype" w:cs="Times New Roman"/>
          <w:lang w:val="es-ES_tradnl" w:eastAsia="es-ES"/>
        </w:rPr>
      </w:pPr>
    </w:p>
    <w:p w:rsidR="006A59C1" w:rsidRPr="00AE036D" w:rsidRDefault="006A59C1" w:rsidP="006A59C1">
      <w:pPr>
        <w:numPr>
          <w:ilvl w:val="0"/>
          <w:numId w:val="2"/>
        </w:numPr>
        <w:tabs>
          <w:tab w:val="left" w:pos="8647"/>
        </w:tabs>
        <w:spacing w:after="0" w:line="360" w:lineRule="auto"/>
        <w:ind w:right="332"/>
        <w:contextualSpacing/>
        <w:jc w:val="both"/>
        <w:rPr>
          <w:rFonts w:ascii="Palatino Linotype" w:eastAsia="MS Mincho" w:hAnsi="Palatino Linotype" w:cs="Times New Roman"/>
          <w:lang w:val="es-ES_tradnl" w:eastAsia="es-ES"/>
        </w:rPr>
      </w:pPr>
      <w:r w:rsidRPr="00AE036D">
        <w:rPr>
          <w:rFonts w:ascii="Palatino Linotype" w:eastAsia="MS Gothic" w:hAnsi="Palatino Linotype" w:cs="Times New Roman"/>
          <w:b/>
          <w:lang w:val="es-ES"/>
        </w:rPr>
        <w:t>Razones o Motivos de inconformidad</w:t>
      </w:r>
      <w:r w:rsidRPr="00AE036D">
        <w:rPr>
          <w:rFonts w:ascii="Palatino Linotype" w:eastAsia="MS Mincho" w:hAnsi="Palatino Linotype" w:cs="Times New Roman"/>
          <w:i/>
          <w:lang w:val="es-ES_tradnl" w:eastAsia="es-ES"/>
        </w:rPr>
        <w:t>: “</w:t>
      </w:r>
      <w:r w:rsidRPr="00AE036D">
        <w:rPr>
          <w:rFonts w:ascii="Palatino Linotype" w:hAnsi="Palatino Linotype"/>
          <w:i/>
          <w:color w:val="000000"/>
        </w:rPr>
        <w:t xml:space="preserve">PRIMER AGRAVIO DE INCONFORMIDAD: EN RELACIÓN AL OFICIO TES/OE/247/09/2020 QUE SE ME </w:t>
      </w:r>
      <w:r w:rsidRPr="00AE036D">
        <w:rPr>
          <w:rFonts w:ascii="Palatino Linotype" w:hAnsi="Palatino Linotype"/>
          <w:i/>
          <w:color w:val="000000"/>
        </w:rPr>
        <w:lastRenderedPageBreak/>
        <w:t xml:space="preserve">DIO POR RESPUESTA EL SUJETO OBLIGADO SUSCRITO POR LA TESORERA MUNICIPAL. Me causa perjuicio lo expuesto por dicha servidora pública, en cuanto a que le es imposible proporcionar la información solicitada, y solo menciona que la misma se encuentra en procesos de revisión derivada de una auditoria; me transcribe el contenido del artículo 140 fracción V, 143 fracciones I, II y III de la Ley de Transparencia y Acceso a la información Pública del Estado de México y Municipios (en adelante Ley de Transparencia Local); y al final contradictoriamente y sin sentido de lógica argumentativa agrega en un párrafo que solo puede proporcionar la información pública que se le requiera y obre en sus archivos en el estado que se encuentra. El agravio residen en que si bien en esencia menciona que no puede proporcionar la información solicitada en virtud de que existe en curso una auditoría, lo cierto también es que la Tesorería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la tesorera donde cita varias solicitudes de información exponiendo su negativa a proporción la información de forma genérica, lo anterior, en términos de los artículos 129, 131 y 134 de la Ley de Transparencia Local. Cabe agregar que el oficio de la Tesorería mencionado en modo alguno corresponde a una solicitud de dicha área para la confirmación de la clasificación de reserva </w:t>
      </w:r>
      <w:r w:rsidRPr="00AE036D">
        <w:rPr>
          <w:rFonts w:ascii="Palatino Linotype" w:hAnsi="Palatino Linotype"/>
          <w:i/>
          <w:color w:val="000000"/>
        </w:rPr>
        <w:lastRenderedPageBreak/>
        <w:t xml:space="preserve">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 la Tesorera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SEGUNDO AGRAVIO DE INCONFORMIDAD: EN RELACIÓN AL OFICIO DIF/TEO/TES/069/2020 QUE SE ME DIO POR RESPUESTA EL SUJETO OBLIGADO SUSCRITO POR EL TESORERO DEL DIF MUNICIPAL. Me causa perjuicio lo expuesto por dicho servidor público, en cuanto a que le es imposible proporcionar la información solicitada, y solo menciona que la misma se encuentra en procesos de revisión derivada de una auditoria; me transcribe el contenido del artículo 140 fracción V, 143 fracciones I, II y III de la Ley de Transparencia y Acceso a la información Pública del Estado de México y Municipios; y al final contradictoriamente y sin sentido de lógica argumentativa agrega en un párrafo que solo puede proporcionar la información pública que se le requiera y obre en sus archivos en el estado que se encuentra. El agravio residen en que si bien en esencia menciona que no puede proporcionar la información solicitada en virtud de que existe en curso una auditoría, lo cierto también es que la Tesorería del DIF no funda ni motiva como la información solicitada obstruye o puede causar un grave perjuicio a las actividades de auditoria, ya que la aplicación del artículo 140 fracción V, no es en automático con solo invocarlo sino que debe externarse por el sujeto obligado las razones </w:t>
      </w:r>
      <w:r w:rsidRPr="00AE036D">
        <w:rPr>
          <w:rFonts w:ascii="Palatino Linotype" w:hAnsi="Palatino Linotype"/>
          <w:i/>
          <w:color w:val="000000"/>
        </w:rPr>
        <w:lastRenderedPageBreak/>
        <w:t xml:space="preserve">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tesorero del DIF donde cita varias solicitudes de información exponiendo su negativa a proporción la información de forma genérica, lo anterior, en términos de los artículos 129, 131 y 134 de la Ley de Transparencia Local. Cabe agregar que el oficio de la Tesorería del DIF mencionado en modo alguno corresponde a una solicitud de dicha área para la confirmación de la clasificación de reserva dirigido al Comité de Transparencia Municipal, y por ende menos aún se me exhibe la resolución de clasificación que debió haberse realizado por el 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Tesorero del DIF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TERCER AGRAVIO DE INCONFORMIDAD: EN RELACIÓN AL OFICIO OPDAPAS/DIRGRAL/OMA/099/2020 QUE SE ME DIO </w:t>
      </w:r>
      <w:r w:rsidRPr="00AE036D">
        <w:rPr>
          <w:rFonts w:ascii="Palatino Linotype" w:hAnsi="Palatino Linotype"/>
          <w:i/>
          <w:color w:val="000000"/>
        </w:rPr>
        <w:lastRenderedPageBreak/>
        <w:t xml:space="preserve">POR RESPUESTA EL SUJETO OBLIGADO SUSCRITO POR EL DIRECTOR GENERAL DE OPDAPAS. En principio debe decirse que dicho oficio me causa perjuicio en virtud de que del listado de solicitudes de información que ahí se mencionan, en lo concerniente a la 00200/TEOLOYU/IP/2020, no se contempla, resultando que por ese solo hecho se acredita la omisión de no dar contestación a lo solicitado dentro del término que tenía para hacerlo. No obstante lo anterior, si la autoridad revisora estima que con el texto que contiene el oficio del director del </w:t>
      </w:r>
      <w:proofErr w:type="spellStart"/>
      <w:r w:rsidRPr="00AE036D">
        <w:rPr>
          <w:rFonts w:ascii="Palatino Linotype" w:hAnsi="Palatino Linotype"/>
          <w:i/>
          <w:color w:val="000000"/>
        </w:rPr>
        <w:t>opdapast</w:t>
      </w:r>
      <w:proofErr w:type="spellEnd"/>
      <w:r w:rsidRPr="00AE036D">
        <w:rPr>
          <w:rFonts w:ascii="Palatino Linotype" w:hAnsi="Palatino Linotype"/>
          <w:i/>
          <w:color w:val="000000"/>
        </w:rPr>
        <w:t xml:space="preserve"> se satisface una respuesta al solicitante de la información, sobre dicha circunstancia expongo que el citado director general argumenta en esencia que la información solicitada está siendo procesada por la Dirección de Administración y Finanzas, que también está atendiendo una auditoria de desempeño, así como de que se encuentra realizado su informe mensual, motivos por los cuales refiere que técnicamente le es imposible proporcionar la información en el “término concedido” y solicita una prórroga para su entrega. De lo que se advierte que dicha área solicitó a la Unidad de Transparencia una ampliación del plazo, sin que se advierta que dicha solicitud se haya sometido al Comité de Transparencia por la Unidad de Transparencia y habérseme notificado antes del plazo de su vencimiento como lo establece el artículo 49 fracción II en relación con el 163 del Ley de Transparencia Local; siendo que al solo notificarme únicamente el oficio OPDAPAS/DIRGRAL/OMA/099/2020, la Unidad tornó ese oficio como una contestación definitiva de imposibilidad, lo que se traduce en un acto que provoca la deficiencia en la atención de las solicitudes de información así como el incumplimiento en los plazos de atención previstos por la ley en términos del artículo 222 fracciones II y VIII de la Ley de Transparencia Local, por tanto se actualiza una causa de responsabilidad administrativa imputable a la Titular de la Unidad de Información que dieron omitió dar contestación negligentemente por lo que solcito en su caso, se de vista al órgano interno de control municipal o al Órgano Superior de Fiscalización del Estado de México, según se trate de la gravedad en que incurrió el sujeto obligado. CUARTO AGRAVIO DE INCONFORMIDAD: EN RELACIÓN AL OFICIO </w:t>
      </w:r>
      <w:proofErr w:type="spellStart"/>
      <w:r w:rsidRPr="00AE036D">
        <w:rPr>
          <w:rFonts w:ascii="Palatino Linotype" w:hAnsi="Palatino Linotype"/>
          <w:i/>
          <w:color w:val="000000"/>
        </w:rPr>
        <w:t>DFyA</w:t>
      </w:r>
      <w:proofErr w:type="spellEnd"/>
      <w:r w:rsidRPr="00AE036D">
        <w:rPr>
          <w:rFonts w:ascii="Palatino Linotype" w:hAnsi="Palatino Linotype"/>
          <w:i/>
          <w:color w:val="000000"/>
        </w:rPr>
        <w:t>/</w:t>
      </w:r>
      <w:proofErr w:type="spellStart"/>
      <w:r w:rsidRPr="00AE036D">
        <w:rPr>
          <w:rFonts w:ascii="Palatino Linotype" w:hAnsi="Palatino Linotype"/>
          <w:i/>
          <w:color w:val="000000"/>
        </w:rPr>
        <w:t>Imcufidete</w:t>
      </w:r>
      <w:proofErr w:type="spellEnd"/>
      <w:r w:rsidRPr="00AE036D">
        <w:rPr>
          <w:rFonts w:ascii="Palatino Linotype" w:hAnsi="Palatino Linotype"/>
          <w:i/>
          <w:color w:val="000000"/>
        </w:rPr>
        <w:t xml:space="preserve">/042/2020 QUE SE </w:t>
      </w:r>
      <w:r w:rsidRPr="00AE036D">
        <w:rPr>
          <w:rFonts w:ascii="Palatino Linotype" w:hAnsi="Palatino Linotype"/>
          <w:i/>
          <w:color w:val="000000"/>
        </w:rPr>
        <w:lastRenderedPageBreak/>
        <w:t xml:space="preserve">ME DIO POR RESPUESTA EL SUJETO OBLIGADO CUYA AUTORIA SE PRESUME AL C. ARTURO CERRATOS ALCARAZ. En principio dicho oficio debe ser considerado como una omisión a proporcionarme información solicitada en tanto que el mismo no contiene firma ni sello de la persona que ahí aparece como “ARTURO CERRATOS ALCARAZ” presuntamente autor del mismo. En términos jurídicos y administrativos debe considerarse como la nada jurídica y por ende una omisión sistemática a darme información. No obstante lo anterior, del contenido del oficio referido se advierte un galimatías y cantinfleo argumentativo pues primero menciona que informa en relación a las solicitudes de información –sin especificar a cuales se refiere y sin informar nada-, y a continuación se transcribe el artículo 140 fracción V de la Ley de Transparencia Local, y por último agrega que los sujetos obligados solo proporcionaran información pública que se les requiera y que obre en sus archivos y estado en que se encuentre, todo ello se reitera, sin una coherencia y congruencia en su respuesta. Por tanto se actualiza varias causas de responsabilidad administrativa imputables al titular de la Unidad de Transparencia así como al responsable Director del IMCUFIDETE por omitir debidamente dar la información peticionada, por lo que solcito en su caso,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 X.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 XII. Declarar con dolo o negligencia la inexistencia de información cuando el sujeto obligado deba generarla, derivado del ejercicio de sus facultades, competencias o funciones. </w:t>
      </w:r>
      <w:r w:rsidRPr="00AE036D">
        <w:rPr>
          <w:rFonts w:ascii="Palatino Linotype" w:hAnsi="Palatino Linotype"/>
          <w:i/>
          <w:color w:val="000000"/>
        </w:rPr>
        <w:lastRenderedPageBreak/>
        <w:t xml:space="preserve">QUINTO AGRAVIO DE INCONFORMIDAD: EN RELACIÓN AL OFICIO ADM/223/2020 QUE SE ME DIO POR RESPUESTA EL SUJETO OBLIGADO SUSCRITO POR EL DIRECTOR DE ADMINISTRACIÓN VICTOR HUGO DELGADO RODRIGUEZ. Me causa perjuicio lo expuesto por dicho servidor público, en cuanto a que le es imposible proporcionar la información solicitada debido a que la Administración se encuentra en un proceso de revisión derivada de una auditoria. El agravio residen en que si bien en esencia menciona que no puede proporcionar la información solicitada en virtud de que existe en curso una auditoría, lo cierto también es que el Director de Administración no funda ni motiva como la información solicitada obstruye o puede causar un grave perjuicio a las actividades de auditoria, ya que la aplicación del artículo 140 fracción V, no es en automático con solo invocarlo sino que debe externarse por el sujeto obligado las razones específicas al caso concreto de la negativa. Aunado a lo anterior, es necesario apuntar que el sujeto obligado incumplió con la carga de la prueba que la ley de trasparencia le impone, esto es fundar y motivar la prueba de daño donde haya justificado que: I. La divulgación de la información solicitada representa un riesgo real, demostrable e identificable del perjuicio significativo al interés público o a la seguridad pública; II. El riesgo de perjuicio que supondría la divulgación supera el interés público general de que se difunda; y III. La limitación se adecua al principio de proporcionalidad y representa el medio menos restrictivo disponible representa el medio menos restrictivo disponible para evitar el perjuicio. Habida cuenta que dicha prueba de daño debió exponerla caso por caso y no así con un oficio suscrito por el director referido donde cita varias solicitudes de información exponiendo su negativa a proporción la información de forma genérica, lo anterior, en términos de los artículos 129, 131 y 134 de la Ley de Transparencia Local. Cabe agregar que el oficio del Director de Administración mencionado en modo alguno corresponde a una solicitud de dicha área para la confirmación de la clasificación de reserva dirigido al Comité de Transparencia Municipal, y por ende menos aún se me exhibe la resolución de clasificación que debió haberse realizado por el </w:t>
      </w:r>
      <w:r w:rsidRPr="00AE036D">
        <w:rPr>
          <w:rFonts w:ascii="Palatino Linotype" w:hAnsi="Palatino Linotype"/>
          <w:i/>
          <w:color w:val="000000"/>
        </w:rPr>
        <w:lastRenderedPageBreak/>
        <w:t xml:space="preserve">citado Comité y notificado al hoy inconforme en el plazo de respuesta a la solicitud de información, como lo prescriben los artículos 122 último párrafo y 168 de la Ley de Transparencia Local, por lo que es inconcuso que se me dejó en estado de indefensión. Por las circunstancias descritas con antelación resulta evidente que al negarme sistemáticamente la información solicitada, existió negligencia en tanto que no se cumplieron las características señaladas en la Ley de Transparencia Local, por tanto se actualiza una causa de responsabilidad administrativa imputable al Director de Administración y Titular de la Unidad de Información que dieron contestación negligentemente, por lo que solcito en su caso, se de vista al órgano interno de control municipal o al Órgano Superior de Fiscalización del Estado de México, según se trate de la gravedad en que incurrieron, en términos del artículo 222 de la citada ley. SEXTO AGRAVIO DE INCONFORMIDAD: EN RELACIÓN A LOS OFICIOS TES/OE/247/09/2020 (TESORERIA); DIF/TEO/TES/069/2020 (TESORERIA DIF); OPDAPAS/DIRGRAL/OMA/099/2020 (DIRECCION OPDAPAS) y </w:t>
      </w:r>
      <w:proofErr w:type="spellStart"/>
      <w:r w:rsidRPr="00AE036D">
        <w:rPr>
          <w:rFonts w:ascii="Palatino Linotype" w:hAnsi="Palatino Linotype"/>
          <w:i/>
          <w:color w:val="000000"/>
        </w:rPr>
        <w:t>DFyA</w:t>
      </w:r>
      <w:proofErr w:type="spellEnd"/>
      <w:r w:rsidRPr="00AE036D">
        <w:rPr>
          <w:rFonts w:ascii="Palatino Linotype" w:hAnsi="Palatino Linotype"/>
          <w:i/>
          <w:color w:val="000000"/>
        </w:rPr>
        <w:t>/</w:t>
      </w:r>
      <w:proofErr w:type="spellStart"/>
      <w:r w:rsidRPr="00AE036D">
        <w:rPr>
          <w:rFonts w:ascii="Palatino Linotype" w:hAnsi="Palatino Linotype"/>
          <w:i/>
          <w:color w:val="000000"/>
        </w:rPr>
        <w:t>Imcufidete</w:t>
      </w:r>
      <w:proofErr w:type="spellEnd"/>
      <w:r w:rsidRPr="00AE036D">
        <w:rPr>
          <w:rFonts w:ascii="Palatino Linotype" w:hAnsi="Palatino Linotype"/>
          <w:i/>
          <w:color w:val="000000"/>
        </w:rPr>
        <w:t xml:space="preserve">/042/2020 (PRESUNTAMENTE ELABORADO POR EL IMCUFIDETE) El contenido de los citados oficios me para perjuicio por el hecho de que en esencia plantean la imposibilidad de dar información por la existencia de una auditoria, sin embargo considero que sea analizada dicha circunstancia por el INFOEM al resolver en su caso con plenitud de jurisdicción la presente impugnación, dado que dicho ejercicio de auditoria no es impedimento para proporcionar la información solicitada. Lo anterior así se considera, tomando en consideración que como lo expone el sujeto obligado, la AUDITORIA que se lleva a cabo es la denominada de “DESEMPEÑO”, la cual es definida en el artículo 2 fracción XVI de Ley de Fiscalización Superior del Estado de México como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w:t>
      </w:r>
      <w:r w:rsidRPr="00AE036D">
        <w:rPr>
          <w:rFonts w:ascii="Palatino Linotype" w:hAnsi="Palatino Linotype"/>
          <w:i/>
          <w:color w:val="000000"/>
        </w:rPr>
        <w:lastRenderedPageBreak/>
        <w:t xml:space="preserve">de desarrollo. De lo que se tiene, que a diferencia de una AUDITORIA FINANCIERA –que no es el caso-, la AUDITORIA DE DESEMPEÑO se enfoca más en la actividad que en las cuentas. En efecto, la auditoria de desempeño solo revisará el cumplimiento de los objetivos establecidos en los programas, y que también se gastó el dinero para lograrlo. En este sentido, la información solicitada en modo alguno dificulta la labor de fiscalización, ya que lo peticionado versa sobre aspectos que ya existen y está en los archivos del sujeto obligado y por ende se entiende que es inalterable, no siendo la materia de una solicitud modificar la información del sujeto obligado ya existente, de ahí que no se actualiza el hecho de que se obstruya o cause serio perjuicio la labor auditable. Siendo que el hoy impugnante lo que pretende ejercer es un derecho humano inalienable de conocer el uso y destino de los recursos públicos ejercido por el municipio, y en todo caso, lo que pudiera reservarse es el contenido de las actuaciones y el resultado de la auditoria si llegaren a existir deliberaciones futuras con los responsables de conducciones ilícitas, </w:t>
      </w:r>
      <w:proofErr w:type="gramStart"/>
      <w:r w:rsidRPr="00AE036D">
        <w:rPr>
          <w:rFonts w:ascii="Palatino Linotype" w:hAnsi="Palatino Linotype"/>
          <w:i/>
          <w:color w:val="000000"/>
        </w:rPr>
        <w:t>no</w:t>
      </w:r>
      <w:proofErr w:type="gramEnd"/>
      <w:r w:rsidRPr="00AE036D">
        <w:rPr>
          <w:rFonts w:ascii="Palatino Linotype" w:hAnsi="Palatino Linotype"/>
          <w:i/>
          <w:color w:val="000000"/>
        </w:rPr>
        <w:t xml:space="preserve"> así como se dijo, la información ya generada por el sujeto obligado independiente de la auditoria. Pues de lo contrario, se llegaría al absurdo que de existir auditorias durante los tres años de un gobierno promovidas por el OSFEM o por los ciudadanos como así se le permite a estos últimos en términos del artículo 31 Bis del Ley de Transparencia Local, nunca se pudiera solicitar información a su autoridad municipal y siempre se negaría al grueso de la ciudadanía, lo que va en contra de lo tutelado por dicha ley y los derechos fundamentales. Razón por lo cual se colige que, la “prueba de daño” exigida en el artículo 124 de la Ley de Transparencia Local además de que no se expuso ni se desarrolló en los oficios de mérito como era obligación del sujeto obligado, no era ni podrá ser acreditada por que no existen elementos de convicción que a si la demuestren al caso concreto. Finalmente, debe considerarse que la solicitud de información ciudadana y la auditoria son dos caminos paralelos con características propias que no se contraponen pues ambas vías persiguen el objetivo de hacer visible el actuar de la autoridad mediante la trasparencia, y si pudiera haber colusión de derechos, subsiste el principio pro persona en beneficio de la protección más amplia del hoy impugnante y el de máxima </w:t>
      </w:r>
      <w:r w:rsidRPr="00AE036D">
        <w:rPr>
          <w:rFonts w:ascii="Palatino Linotype" w:hAnsi="Palatino Linotype"/>
          <w:i/>
          <w:color w:val="000000"/>
        </w:rPr>
        <w:lastRenderedPageBreak/>
        <w:t xml:space="preserve">publicidad, establecidos en el artículo 1 de la Constitución Federal, así como el 4 y 8 de la Ley de Transparencia Local, respectivamente, de ahí el agravio ocasionado ante la negativa de exhibirme la información solicitada. SEPTIMO AGRAVIO DE INCONFORMIDAD: La negativa sistemática del sujeto obligado a proporcionarme información lo es en relación a los periodos de enero de 2019 a septiembre de 2020, sin embargo, del análisis de la Gaceta del Gobierno del Estado Libre y Soberano de México fechada el 3 de septiembre de 2020, se advierte que las auditorias programadas de desempeño son únicamente del Ejercicio 2019, por lo que no debió existir impedimento para proporcionarme la información solicitada a partir de enero a septiembre de 2020, de ahí el agravio que se hace valer. Además de lo anterior, estimo se está en presencia de causas de responsabilidad administrativa imputable al titular de la Unidad de Transparencia así como a los autores de los oficios: TES/OE/247/09/2020 (TESORERIA); DIF/TEO/TES/069/2020 (TESORERIA DIF); OPDAPAS/DIRGRAL/OMA/099/2020 (DIRECCION OPDAPAS); y </w:t>
      </w:r>
      <w:proofErr w:type="spellStart"/>
      <w:r w:rsidRPr="00AE036D">
        <w:rPr>
          <w:rFonts w:ascii="Palatino Linotype" w:hAnsi="Palatino Linotype"/>
          <w:i/>
          <w:color w:val="000000"/>
        </w:rPr>
        <w:t>DFyA</w:t>
      </w:r>
      <w:proofErr w:type="spellEnd"/>
      <w:r w:rsidRPr="00AE036D">
        <w:rPr>
          <w:rFonts w:ascii="Palatino Linotype" w:hAnsi="Palatino Linotype"/>
          <w:i/>
          <w:color w:val="000000"/>
        </w:rPr>
        <w:t>/</w:t>
      </w:r>
      <w:proofErr w:type="spellStart"/>
      <w:r w:rsidRPr="00AE036D">
        <w:rPr>
          <w:rFonts w:ascii="Palatino Linotype" w:hAnsi="Palatino Linotype"/>
          <w:i/>
          <w:color w:val="000000"/>
        </w:rPr>
        <w:t>Imcufidete</w:t>
      </w:r>
      <w:proofErr w:type="spellEnd"/>
      <w:r w:rsidRPr="00AE036D">
        <w:rPr>
          <w:rFonts w:ascii="Palatino Linotype" w:hAnsi="Palatino Linotype"/>
          <w:i/>
          <w:color w:val="000000"/>
        </w:rPr>
        <w:t>/042/2020 (PRESUNTAMENTE ELABORADO POR EL IMCUFIDETE), por omitir debidamente dar la información peticionada, por lo que solicito, se de vista al órgano interno de control municipal o al Órgano Superior de Fiscalización del Estado de México, según se trate de la gravedad en que incurrieron, en términos del artículo 222 de la citada ley por la actualización de varias de sus fracciones como son: I. Cualquier acto u omisión que provoque la suspensión o deficiencia en la atención de las solicitudes de información; II. La falta de respuesta a las solicitudes de información en los plazos señalados en la normatividad aplicable; VIII. Incumplir los plazos de atención previstos en la presente Ley.”</w:t>
      </w:r>
      <w:r w:rsidRPr="00AE036D">
        <w:rPr>
          <w:rFonts w:ascii="Palatino Linotype" w:eastAsia="MS Mincho" w:hAnsi="Palatino Linotype" w:cs="Times New Roman"/>
          <w:i/>
          <w:lang w:eastAsia="es-ES"/>
        </w:rPr>
        <w:t xml:space="preserve"> (Sic) </w:t>
      </w:r>
    </w:p>
    <w:p w:rsidR="006A59C1" w:rsidRPr="00AE036D" w:rsidRDefault="006A59C1" w:rsidP="006A59C1">
      <w:pPr>
        <w:tabs>
          <w:tab w:val="left" w:pos="8647"/>
        </w:tabs>
        <w:spacing w:after="0" w:line="360" w:lineRule="auto"/>
        <w:ind w:right="332"/>
        <w:contextualSpacing/>
        <w:jc w:val="both"/>
        <w:rPr>
          <w:rFonts w:ascii="Palatino Linotype" w:eastAsia="MS Mincho" w:hAnsi="Palatino Linotype" w:cs="Times New Roman"/>
          <w:lang w:val="es-ES_tradnl" w:eastAsia="es-ES"/>
        </w:rPr>
      </w:pPr>
    </w:p>
    <w:p w:rsidR="006A59C1" w:rsidRPr="00AE036D" w:rsidRDefault="006A59C1" w:rsidP="006A59C1">
      <w:pPr>
        <w:numPr>
          <w:ilvl w:val="0"/>
          <w:numId w:val="1"/>
        </w:numPr>
        <w:tabs>
          <w:tab w:val="left" w:pos="0"/>
        </w:tabs>
        <w:spacing w:after="0" w:line="360" w:lineRule="auto"/>
        <w:ind w:left="0" w:right="332" w:firstLine="0"/>
        <w:contextualSpacing/>
        <w:jc w:val="both"/>
        <w:rPr>
          <w:rFonts w:ascii="Palatino Linotype" w:eastAsia="Times New Roman" w:hAnsi="Palatino Linotype" w:cs="Arial"/>
          <w:i/>
          <w:lang w:val="es-ES_tradnl" w:eastAsia="es-ES"/>
        </w:rPr>
      </w:pPr>
      <w:r w:rsidRPr="00AE036D">
        <w:rPr>
          <w:rFonts w:ascii="Palatino Linotype" w:eastAsia="Times New Roman" w:hAnsi="Palatino Linotype" w:cs="Arial"/>
          <w:sz w:val="24"/>
          <w:szCs w:val="24"/>
          <w:lang w:val="es-ES" w:eastAsia="es-ES"/>
        </w:rPr>
        <w:t xml:space="preserve">Se registró el recurso de revisión bajo el número de expediente al rubro indicado, </w:t>
      </w:r>
      <w:r w:rsidRPr="00AE036D">
        <w:rPr>
          <w:rFonts w:ascii="Palatino Linotype" w:eastAsia="MS Mincho" w:hAnsi="Palatino Linotype" w:cs="Arial"/>
          <w:bCs/>
          <w:sz w:val="24"/>
          <w:szCs w:val="24"/>
          <w:lang w:val="es-ES_tradnl" w:eastAsia="es-ES"/>
        </w:rPr>
        <w:t xml:space="preserve">con fundamento en lo dispuesto por el </w:t>
      </w:r>
      <w:r w:rsidRPr="00AE036D">
        <w:rPr>
          <w:rFonts w:ascii="Palatino Linotype" w:eastAsia="Calibri" w:hAnsi="Palatino Linotype" w:cs="Arial"/>
          <w:sz w:val="24"/>
          <w:szCs w:val="24"/>
          <w:lang w:val="es-ES" w:eastAsia="es-ES"/>
        </w:rPr>
        <w:t xml:space="preserve">artículo 185 fracción I de la </w:t>
      </w:r>
      <w:r w:rsidRPr="00AE036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E036D">
        <w:rPr>
          <w:rFonts w:ascii="Palatino Linotype" w:eastAsia="Times New Roman" w:hAnsi="Palatino Linotype" w:cs="Arial"/>
          <w:sz w:val="24"/>
          <w:szCs w:val="24"/>
          <w:lang w:val="es-ES" w:eastAsia="es-ES"/>
        </w:rPr>
        <w:lastRenderedPageBreak/>
        <w:t xml:space="preserve">se turnó al </w:t>
      </w:r>
      <w:r w:rsidRPr="00AE036D">
        <w:rPr>
          <w:rFonts w:ascii="Palatino Linotype" w:eastAsia="Times New Roman" w:hAnsi="Palatino Linotype" w:cs="Arial"/>
          <w:b/>
          <w:sz w:val="24"/>
          <w:szCs w:val="24"/>
          <w:lang w:val="es-ES" w:eastAsia="es-ES"/>
        </w:rPr>
        <w:t xml:space="preserve">Comisionado José Guadalupe Luna Hernández, </w:t>
      </w:r>
      <w:r w:rsidRPr="00AE036D">
        <w:rPr>
          <w:rFonts w:ascii="Palatino Linotype" w:eastAsia="Times New Roman" w:hAnsi="Palatino Linotype" w:cs="Arial"/>
          <w:sz w:val="24"/>
          <w:szCs w:val="24"/>
          <w:lang w:val="es-ES" w:eastAsia="es-ES"/>
        </w:rPr>
        <w:t xml:space="preserve">con el objeto de </w:t>
      </w:r>
      <w:r w:rsidRPr="00AE036D">
        <w:rPr>
          <w:rFonts w:ascii="Palatino Linotype" w:eastAsia="Times New Roman" w:hAnsi="Palatino Linotype" w:cs="Arial"/>
          <w:sz w:val="24"/>
          <w:szCs w:val="24"/>
          <w:lang w:eastAsia="es-ES"/>
        </w:rPr>
        <w:t>su análisis</w:t>
      </w:r>
      <w:r w:rsidRPr="00AE036D">
        <w:rPr>
          <w:rFonts w:ascii="Palatino Linotype" w:eastAsia="Times New Roman" w:hAnsi="Palatino Linotype" w:cs="Arial"/>
        </w:rPr>
        <w:t xml:space="preserve">. </w:t>
      </w:r>
    </w:p>
    <w:p w:rsidR="006A59C1" w:rsidRPr="00AE036D" w:rsidRDefault="006A59C1" w:rsidP="006A59C1">
      <w:pPr>
        <w:tabs>
          <w:tab w:val="left" w:pos="0"/>
        </w:tabs>
        <w:spacing w:after="0" w:line="360" w:lineRule="auto"/>
        <w:ind w:right="332"/>
        <w:contextualSpacing/>
        <w:jc w:val="both"/>
        <w:rPr>
          <w:rFonts w:ascii="Palatino Linotype" w:eastAsia="Times New Roman" w:hAnsi="Palatino Linotype" w:cs="Arial"/>
          <w:i/>
          <w:lang w:val="es-ES_tradnl" w:eastAsia="es-ES"/>
        </w:rPr>
      </w:pPr>
    </w:p>
    <w:p w:rsidR="006A59C1" w:rsidRPr="00AE036D" w:rsidRDefault="006A59C1" w:rsidP="006A59C1">
      <w:pPr>
        <w:numPr>
          <w:ilvl w:val="0"/>
          <w:numId w:val="1"/>
        </w:numPr>
        <w:spacing w:after="0" w:line="360" w:lineRule="auto"/>
        <w:ind w:left="0" w:right="332" w:firstLine="0"/>
        <w:contextualSpacing/>
        <w:jc w:val="both"/>
        <w:rPr>
          <w:rFonts w:ascii="Palatino Linotype" w:hAnsi="Palatino Linotype"/>
          <w:sz w:val="24"/>
          <w:szCs w:val="24"/>
        </w:rPr>
      </w:pPr>
      <w:r w:rsidRPr="00AE036D">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tres (3) de noviembre  de dos mil veinte, puso a disposición de las partes el expediente electrónico </w:t>
      </w:r>
      <w:r w:rsidRPr="00AE036D">
        <w:rPr>
          <w:rFonts w:ascii="Palatino Linotype" w:eastAsia="Calibri" w:hAnsi="Palatino Linotype" w:cs="Arial"/>
          <w:sz w:val="24"/>
          <w:szCs w:val="24"/>
          <w:lang w:val="es-ES_tradnl" w:eastAsia="es-ES"/>
        </w:rPr>
        <w:t xml:space="preserve">vía </w:t>
      </w:r>
      <w:r w:rsidRPr="00AE036D">
        <w:rPr>
          <w:rFonts w:ascii="Palatino Linotype" w:eastAsia="Calibri" w:hAnsi="Palatino Linotype" w:cs="Arial"/>
          <w:sz w:val="24"/>
          <w:szCs w:val="24"/>
          <w:lang w:val="es-ES" w:eastAsia="es-ES"/>
        </w:rPr>
        <w:t>Sistema de Acceso a la Información Mexiquense (</w:t>
      </w:r>
      <w:r w:rsidRPr="00AE036D">
        <w:rPr>
          <w:rFonts w:ascii="Palatino Linotype" w:eastAsia="Calibri" w:hAnsi="Palatino Linotype" w:cs="Arial"/>
          <w:b/>
          <w:sz w:val="24"/>
          <w:szCs w:val="24"/>
          <w:lang w:val="es-ES" w:eastAsia="es-ES"/>
        </w:rPr>
        <w:t xml:space="preserve">SAIMEX) </w:t>
      </w:r>
      <w:r w:rsidRPr="00AE036D">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E036D">
        <w:rPr>
          <w:rFonts w:ascii="Palatino Linotype" w:eastAsia="Calibri" w:hAnsi="Palatino Linotype" w:cs="Arial"/>
          <w:b/>
          <w:sz w:val="24"/>
          <w:szCs w:val="24"/>
          <w:lang w:val="es-ES" w:eastAsia="es-ES"/>
        </w:rPr>
        <w:t>SUJETO OBLIGADO</w:t>
      </w:r>
      <w:r w:rsidRPr="00AE036D">
        <w:rPr>
          <w:rFonts w:ascii="Palatino Linotype" w:eastAsia="Calibri" w:hAnsi="Palatino Linotype" w:cs="Arial"/>
          <w:sz w:val="24"/>
          <w:szCs w:val="24"/>
          <w:lang w:val="es-ES" w:eastAsia="es-ES"/>
        </w:rPr>
        <w:t xml:space="preserve"> presentara el Informe Justificado procedente. De las constancias que obran en el expediente electrónico SAIMEX se observa que ninguna de las partes realizó manifestaciones.</w:t>
      </w:r>
    </w:p>
    <w:p w:rsidR="006A59C1" w:rsidRPr="00AE036D" w:rsidRDefault="006A59C1" w:rsidP="006A59C1">
      <w:pPr>
        <w:spacing w:after="0" w:line="360" w:lineRule="auto"/>
        <w:ind w:right="332"/>
        <w:contextualSpacing/>
        <w:jc w:val="both"/>
        <w:rPr>
          <w:rFonts w:ascii="Palatino Linotype" w:hAnsi="Palatino Linotype"/>
          <w:sz w:val="24"/>
          <w:szCs w:val="24"/>
        </w:rPr>
      </w:pPr>
    </w:p>
    <w:p w:rsidR="006A59C1" w:rsidRPr="00AE036D" w:rsidRDefault="006A59C1" w:rsidP="006A59C1">
      <w:pPr>
        <w:numPr>
          <w:ilvl w:val="0"/>
          <w:numId w:val="1"/>
        </w:numPr>
        <w:spacing w:after="0" w:line="360" w:lineRule="auto"/>
        <w:ind w:left="0" w:right="332" w:firstLine="0"/>
        <w:contextualSpacing/>
        <w:jc w:val="both"/>
        <w:rPr>
          <w:rFonts w:ascii="Palatino Linotype" w:hAnsi="Palatino Linotype"/>
          <w:sz w:val="24"/>
          <w:szCs w:val="24"/>
        </w:rPr>
      </w:pPr>
      <w:r w:rsidRPr="00AE036D">
        <w:rPr>
          <w:rFonts w:ascii="Palatino Linotype" w:hAnsi="Palatino Linotype"/>
          <w:sz w:val="24"/>
          <w:szCs w:val="24"/>
        </w:rPr>
        <w:t>El Comisionado Ponente decretó el cierre de instrucción</w:t>
      </w:r>
      <w:r w:rsidRPr="00AE036D">
        <w:rPr>
          <w:rFonts w:ascii="Palatino Linotype" w:hAnsi="Palatino Linotype" w:cs="Arial"/>
          <w:sz w:val="24"/>
          <w:szCs w:val="24"/>
        </w:rPr>
        <w:t xml:space="preserve"> </w:t>
      </w:r>
      <w:r w:rsidRPr="00AE036D">
        <w:rPr>
          <w:rFonts w:ascii="Palatino Linotype" w:hAnsi="Palatino Linotype"/>
          <w:sz w:val="24"/>
          <w:szCs w:val="24"/>
        </w:rPr>
        <w:t xml:space="preserve">mediante acuerdo de fecha diecisiete (17) de </w:t>
      </w:r>
      <w:proofErr w:type="gramStart"/>
      <w:r w:rsidRPr="00AE036D">
        <w:rPr>
          <w:rFonts w:ascii="Palatino Linotype" w:hAnsi="Palatino Linotype"/>
          <w:sz w:val="24"/>
          <w:szCs w:val="24"/>
        </w:rPr>
        <w:t>noviembre  de</w:t>
      </w:r>
      <w:proofErr w:type="gramEnd"/>
      <w:r w:rsidRPr="00AE036D">
        <w:rPr>
          <w:rFonts w:ascii="Palatino Linotype" w:hAnsi="Palatino Linotype"/>
          <w:sz w:val="24"/>
          <w:szCs w:val="24"/>
        </w:rPr>
        <w:t xml:space="preserve"> dos mil veinte, </w:t>
      </w:r>
      <w:r w:rsidRPr="00AE036D">
        <w:rPr>
          <w:rFonts w:ascii="Palatino Linotype" w:hAnsi="Palatino Linotype" w:cs="Arial"/>
          <w:sz w:val="24"/>
          <w:szCs w:val="24"/>
        </w:rPr>
        <w:t xml:space="preserve">por lo que, posterior a ello ordenó turnar el expediente a resolución, misma que ahora se pronuncia; y - - - - - - - - - - - - - - </w:t>
      </w:r>
    </w:p>
    <w:p w:rsidR="006A59C1" w:rsidRPr="00AE036D" w:rsidRDefault="006A59C1" w:rsidP="006A59C1">
      <w:pPr>
        <w:spacing w:after="0" w:line="360" w:lineRule="auto"/>
        <w:ind w:right="332"/>
        <w:contextualSpacing/>
        <w:jc w:val="both"/>
        <w:rPr>
          <w:rFonts w:ascii="Palatino Linotype" w:hAnsi="Palatino Linotype"/>
          <w:sz w:val="24"/>
          <w:szCs w:val="24"/>
        </w:rPr>
      </w:pPr>
    </w:p>
    <w:p w:rsidR="006A59C1" w:rsidRPr="00AE036D" w:rsidRDefault="006A59C1" w:rsidP="006A59C1">
      <w:pPr>
        <w:keepNext/>
        <w:keepLines/>
        <w:spacing w:after="0" w:line="360" w:lineRule="auto"/>
        <w:ind w:right="332"/>
        <w:jc w:val="center"/>
        <w:outlineLvl w:val="0"/>
        <w:rPr>
          <w:rFonts w:ascii="Palatino Linotype" w:eastAsia="MS Gothic" w:hAnsi="Palatino Linotype" w:cs="Times New Roman"/>
          <w:b/>
          <w:sz w:val="24"/>
          <w:szCs w:val="24"/>
        </w:rPr>
      </w:pPr>
      <w:bookmarkStart w:id="1" w:name="_Toc61622935"/>
      <w:r w:rsidRPr="00AE036D">
        <w:rPr>
          <w:rFonts w:ascii="Palatino Linotype" w:eastAsia="MS Gothic" w:hAnsi="Palatino Linotype" w:cs="Times New Roman"/>
          <w:b/>
          <w:sz w:val="24"/>
          <w:szCs w:val="24"/>
        </w:rPr>
        <w:t>CONSIDERANDO</w:t>
      </w:r>
      <w:bookmarkEnd w:id="1"/>
    </w:p>
    <w:p w:rsidR="006A59C1" w:rsidRPr="00AE036D" w:rsidRDefault="006A59C1" w:rsidP="006A59C1">
      <w:pPr>
        <w:keepNext/>
        <w:keepLines/>
        <w:spacing w:after="0" w:line="360" w:lineRule="auto"/>
        <w:ind w:right="332"/>
        <w:jc w:val="center"/>
        <w:outlineLvl w:val="0"/>
        <w:rPr>
          <w:rFonts w:ascii="Palatino Linotype" w:eastAsia="MS Gothic" w:hAnsi="Palatino Linotype" w:cs="Times New Roman"/>
          <w:b/>
          <w:sz w:val="24"/>
          <w:szCs w:val="24"/>
        </w:rPr>
      </w:pPr>
    </w:p>
    <w:p w:rsidR="006A59C1" w:rsidRPr="00AE036D" w:rsidRDefault="006A59C1" w:rsidP="006A59C1">
      <w:pPr>
        <w:keepNext/>
        <w:keepLines/>
        <w:spacing w:after="0" w:line="360" w:lineRule="auto"/>
        <w:ind w:right="332"/>
        <w:outlineLvl w:val="0"/>
        <w:rPr>
          <w:rFonts w:ascii="Palatino Linotype" w:eastAsia="MS Gothic" w:hAnsi="Palatino Linotype" w:cs="Times New Roman"/>
          <w:b/>
          <w:sz w:val="24"/>
          <w:szCs w:val="26"/>
        </w:rPr>
      </w:pPr>
      <w:bookmarkStart w:id="2" w:name="_Toc61622936"/>
      <w:r w:rsidRPr="00AE036D">
        <w:rPr>
          <w:rFonts w:ascii="Palatino Linotype" w:eastAsia="MS Mincho" w:hAnsi="Palatino Linotype" w:cstheme="majorBidi"/>
          <w:b/>
          <w:sz w:val="24"/>
          <w:szCs w:val="24"/>
          <w:lang w:val="es-ES_tradnl" w:eastAsia="es-ES"/>
        </w:rPr>
        <w:t>PRIMERO</w:t>
      </w:r>
      <w:r w:rsidRPr="00AE036D">
        <w:rPr>
          <w:rFonts w:ascii="Palatino Linotype" w:eastAsia="MS Gothic" w:hAnsi="Palatino Linotype" w:cs="Times New Roman"/>
          <w:b/>
          <w:sz w:val="24"/>
          <w:szCs w:val="26"/>
        </w:rPr>
        <w:t>. De la competencia.</w:t>
      </w:r>
      <w:bookmarkEnd w:id="2"/>
    </w:p>
    <w:p w:rsidR="006A59C1" w:rsidRPr="00AE036D" w:rsidRDefault="006A59C1" w:rsidP="006A59C1">
      <w:pPr>
        <w:spacing w:after="0" w:line="360" w:lineRule="auto"/>
        <w:ind w:right="332"/>
        <w:rPr>
          <w:rFonts w:ascii="Palatino Linotype" w:hAnsi="Palatino Linotype"/>
        </w:rPr>
      </w:pPr>
    </w:p>
    <w:p w:rsidR="006A59C1" w:rsidRPr="00AE036D" w:rsidRDefault="006A59C1" w:rsidP="006A59C1">
      <w:pPr>
        <w:numPr>
          <w:ilvl w:val="0"/>
          <w:numId w:val="1"/>
        </w:numPr>
        <w:spacing w:after="0" w:line="360" w:lineRule="auto"/>
        <w:ind w:left="0" w:right="332" w:firstLine="0"/>
        <w:contextualSpacing/>
        <w:jc w:val="both"/>
        <w:rPr>
          <w:rFonts w:ascii="Palatino Linotype" w:eastAsia="MS Mincho" w:hAnsi="Palatino Linotype" w:cs="Times New Roman"/>
          <w:sz w:val="24"/>
          <w:szCs w:val="24"/>
          <w:lang w:val="es-ES_tradnl" w:eastAsia="es-ES"/>
        </w:rPr>
      </w:pPr>
      <w:r w:rsidRPr="00AE036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E036D">
        <w:rPr>
          <w:rFonts w:ascii="Palatino Linotype" w:eastAsia="Calibri" w:hAnsi="Palatino Linotype" w:cs="Times New Roman"/>
          <w:b/>
          <w:sz w:val="24"/>
          <w:szCs w:val="24"/>
          <w:lang w:val="es-ES" w:eastAsia="es-ES"/>
        </w:rPr>
        <w:t>Constitución Política de los Estados Unidos Mexicanos</w:t>
      </w:r>
      <w:r w:rsidRPr="00AE036D">
        <w:rPr>
          <w:rFonts w:ascii="Palatino Linotype" w:eastAsia="Calibri" w:hAnsi="Palatino Linotype" w:cs="Times New Roman"/>
          <w:sz w:val="24"/>
          <w:szCs w:val="24"/>
          <w:lang w:val="es-ES" w:eastAsia="es-ES"/>
        </w:rPr>
        <w:t xml:space="preserve">; </w:t>
      </w:r>
      <w:r w:rsidRPr="00AE036D">
        <w:rPr>
          <w:rFonts w:ascii="Palatino Linotype" w:hAnsi="Palatino Linotype" w:cs="Arial"/>
          <w:bCs/>
          <w:color w:val="222222"/>
          <w:sz w:val="24"/>
          <w:szCs w:val="24"/>
          <w:shd w:val="clear" w:color="auto" w:fill="FFFFFF"/>
          <w:lang w:val="es-ES"/>
        </w:rPr>
        <w:t>5, párrafos </w:t>
      </w:r>
      <w:r w:rsidRPr="00AE036D">
        <w:rPr>
          <w:rFonts w:ascii="Palatino Linotype" w:hAnsi="Palatino Linotype" w:cs="Arial"/>
          <w:bCs/>
          <w:color w:val="222222"/>
          <w:sz w:val="24"/>
          <w:szCs w:val="24"/>
          <w:lang w:val="es-ES"/>
        </w:rPr>
        <w:t xml:space="preserve">vigésimo </w:t>
      </w:r>
      <w:r w:rsidRPr="00AE036D">
        <w:rPr>
          <w:rFonts w:ascii="Palatino Linotype" w:hAnsi="Palatino Linotype" w:cs="Arial"/>
          <w:bCs/>
          <w:color w:val="222222"/>
          <w:sz w:val="24"/>
          <w:szCs w:val="24"/>
          <w:lang w:val="es-ES"/>
        </w:rPr>
        <w:lastRenderedPageBreak/>
        <w:t>segundo, vigésimo tercero y vigésimo cuarto</w:t>
      </w:r>
      <w:r w:rsidRPr="00AE036D">
        <w:rPr>
          <w:rFonts w:ascii="Palatino Linotype" w:hAnsi="Palatino Linotype" w:cs="Arial"/>
          <w:bCs/>
          <w:color w:val="222222"/>
          <w:sz w:val="24"/>
          <w:szCs w:val="24"/>
          <w:shd w:val="clear" w:color="auto" w:fill="FFFFFF"/>
          <w:lang w:val="es-ES"/>
        </w:rPr>
        <w:t> fracciones IV y V </w:t>
      </w:r>
      <w:r w:rsidRPr="00AE036D">
        <w:rPr>
          <w:rFonts w:ascii="Palatino Linotype" w:eastAsia="Calibri" w:hAnsi="Palatino Linotype" w:cs="Times New Roman"/>
          <w:sz w:val="24"/>
          <w:szCs w:val="24"/>
          <w:lang w:val="es-ES" w:eastAsia="es-ES"/>
        </w:rPr>
        <w:t xml:space="preserve">de la </w:t>
      </w:r>
      <w:r w:rsidRPr="00AE036D">
        <w:rPr>
          <w:rFonts w:ascii="Palatino Linotype" w:eastAsia="Calibri" w:hAnsi="Palatino Linotype" w:cs="Times New Roman"/>
          <w:b/>
          <w:sz w:val="24"/>
          <w:szCs w:val="24"/>
          <w:lang w:val="es-ES" w:eastAsia="es-ES"/>
        </w:rPr>
        <w:t>Constitución Política del Estado Libre y Soberano de México</w:t>
      </w:r>
      <w:r w:rsidRPr="00AE036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E036D">
        <w:rPr>
          <w:rFonts w:ascii="Palatino Linotype" w:eastAsia="Calibri" w:hAnsi="Palatino Linotype" w:cs="Arial"/>
          <w:sz w:val="24"/>
          <w:szCs w:val="24"/>
          <w:lang w:val="es-ES" w:eastAsia="es-ES"/>
        </w:rPr>
        <w:t xml:space="preserve">de la </w:t>
      </w:r>
      <w:r w:rsidRPr="00AE036D">
        <w:rPr>
          <w:rFonts w:ascii="Palatino Linotype" w:eastAsia="Calibri" w:hAnsi="Palatino Linotype" w:cs="Arial"/>
          <w:b/>
          <w:sz w:val="24"/>
          <w:szCs w:val="24"/>
          <w:lang w:val="es-ES" w:eastAsia="es-ES"/>
        </w:rPr>
        <w:t>Ley de Transparencia y Acceso a la Información Pública del Estado de México y Municipios</w:t>
      </w:r>
      <w:r w:rsidRPr="00AE036D">
        <w:rPr>
          <w:rFonts w:ascii="Palatino Linotype" w:eastAsia="Calibri" w:hAnsi="Palatino Linotype" w:cs="Arial"/>
          <w:sz w:val="24"/>
          <w:szCs w:val="24"/>
          <w:lang w:val="es-ES" w:eastAsia="es-ES"/>
        </w:rPr>
        <w:t xml:space="preserve">; </w:t>
      </w:r>
      <w:r w:rsidRPr="00AE036D">
        <w:rPr>
          <w:rFonts w:ascii="Palatino Linotype" w:eastAsia="Calibri" w:hAnsi="Palatino Linotype" w:cs="Arial"/>
          <w:b/>
          <w:sz w:val="24"/>
          <w:szCs w:val="24"/>
          <w:lang w:val="es-ES" w:eastAsia="es-ES"/>
        </w:rPr>
        <w:t>7, 9 fracciones I y XXIV, y 11</w:t>
      </w:r>
      <w:r w:rsidRPr="00AE036D">
        <w:rPr>
          <w:rFonts w:ascii="Palatino Linotype" w:eastAsia="Calibri" w:hAnsi="Palatino Linotype" w:cs="Arial"/>
          <w:sz w:val="24"/>
          <w:szCs w:val="24"/>
          <w:lang w:val="es-ES" w:eastAsia="es-ES"/>
        </w:rPr>
        <w:t xml:space="preserve"> del </w:t>
      </w:r>
      <w:r w:rsidRPr="00AE036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E036D">
        <w:rPr>
          <w:rFonts w:ascii="Palatino Linotype" w:eastAsia="MS Mincho" w:hAnsi="Palatino Linotype" w:cs="Times New Roman"/>
          <w:sz w:val="24"/>
          <w:szCs w:val="24"/>
          <w:lang w:val="es-ES_tradnl" w:eastAsia="es-ES"/>
        </w:rPr>
        <w:t>.</w:t>
      </w:r>
    </w:p>
    <w:p w:rsidR="006A59C1" w:rsidRPr="00AE036D" w:rsidRDefault="006A59C1" w:rsidP="006A59C1">
      <w:pPr>
        <w:spacing w:after="0" w:line="360" w:lineRule="auto"/>
        <w:ind w:right="332"/>
        <w:contextualSpacing/>
        <w:jc w:val="both"/>
        <w:rPr>
          <w:rFonts w:ascii="Palatino Linotype" w:eastAsia="MS Mincho" w:hAnsi="Palatino Linotype" w:cs="Times New Roman"/>
          <w:sz w:val="24"/>
          <w:szCs w:val="24"/>
          <w:lang w:val="es-ES_tradnl" w:eastAsia="es-ES"/>
        </w:rPr>
      </w:pPr>
    </w:p>
    <w:p w:rsidR="006A59C1" w:rsidRPr="00AE036D" w:rsidRDefault="006A59C1" w:rsidP="006A59C1">
      <w:pPr>
        <w:keepNext/>
        <w:keepLines/>
        <w:spacing w:after="0" w:line="360" w:lineRule="auto"/>
        <w:ind w:right="332"/>
        <w:outlineLvl w:val="0"/>
        <w:rPr>
          <w:rFonts w:ascii="Palatino Linotype" w:eastAsia="MS Gothic" w:hAnsi="Palatino Linotype" w:cs="Times New Roman"/>
          <w:b/>
          <w:sz w:val="24"/>
          <w:szCs w:val="26"/>
        </w:rPr>
      </w:pPr>
      <w:bookmarkStart w:id="3" w:name="_Toc61622937"/>
      <w:r w:rsidRPr="00AE036D">
        <w:rPr>
          <w:rFonts w:ascii="Palatino Linotype" w:eastAsia="MS Mincho" w:hAnsi="Palatino Linotype" w:cstheme="majorBidi"/>
          <w:b/>
          <w:sz w:val="24"/>
          <w:szCs w:val="24"/>
          <w:lang w:val="es-ES_tradnl" w:eastAsia="es-ES"/>
        </w:rPr>
        <w:t>SEGUNDO</w:t>
      </w:r>
      <w:r w:rsidRPr="00AE036D">
        <w:rPr>
          <w:rFonts w:ascii="Palatino Linotype" w:eastAsia="MS Gothic" w:hAnsi="Palatino Linotype" w:cs="Times New Roman"/>
          <w:b/>
          <w:sz w:val="24"/>
          <w:szCs w:val="26"/>
        </w:rPr>
        <w:t>. De la oportunidad y procedibilidad del recurso de revisión.</w:t>
      </w:r>
      <w:bookmarkEnd w:id="3"/>
    </w:p>
    <w:p w:rsidR="006A59C1" w:rsidRPr="00AE036D" w:rsidRDefault="006A59C1" w:rsidP="006A59C1">
      <w:pPr>
        <w:spacing w:after="0" w:line="360" w:lineRule="auto"/>
        <w:ind w:left="720" w:right="332"/>
        <w:contextualSpacing/>
        <w:rPr>
          <w:rFonts w:ascii="Palatino Linotype" w:eastAsia="Calibri" w:hAnsi="Palatino Linotype" w:cs="Arial"/>
          <w:sz w:val="24"/>
          <w:szCs w:val="24"/>
          <w:lang w:val="es-ES_tradnl" w:eastAsia="es-ES"/>
        </w:rPr>
      </w:pPr>
    </w:p>
    <w:p w:rsidR="006A59C1" w:rsidRPr="00AE036D" w:rsidRDefault="006A59C1" w:rsidP="006A59C1">
      <w:pPr>
        <w:numPr>
          <w:ilvl w:val="0"/>
          <w:numId w:val="1"/>
        </w:numPr>
        <w:spacing w:after="0" w:line="360" w:lineRule="auto"/>
        <w:ind w:left="0" w:right="332" w:firstLine="0"/>
        <w:contextualSpacing/>
        <w:jc w:val="both"/>
        <w:rPr>
          <w:rFonts w:ascii="Palatino Linotype" w:eastAsiaTheme="minorEastAsia" w:hAnsi="Palatino Linotype"/>
          <w:sz w:val="24"/>
          <w:szCs w:val="24"/>
          <w:lang w:val="es-ES_tradnl" w:eastAsia="es-ES"/>
        </w:rPr>
      </w:pPr>
      <w:r w:rsidRPr="00AE036D">
        <w:rPr>
          <w:rFonts w:ascii="Palatino Linotype" w:eastAsia="Calibri" w:hAnsi="Palatino Linotype" w:cs="Arial"/>
          <w:sz w:val="24"/>
          <w:szCs w:val="24"/>
          <w:lang w:val="es-ES_tradnl" w:eastAsia="es-ES"/>
        </w:rPr>
        <w:t xml:space="preserve">El medio de impugnación fue presentado a través del </w:t>
      </w:r>
      <w:r w:rsidRPr="00AE036D">
        <w:rPr>
          <w:rFonts w:ascii="Palatino Linotype" w:eastAsia="Calibri" w:hAnsi="Palatino Linotype" w:cs="Arial"/>
          <w:b/>
          <w:sz w:val="24"/>
          <w:szCs w:val="24"/>
          <w:lang w:val="es-ES_tradnl" w:eastAsia="es-ES"/>
        </w:rPr>
        <w:t>SAIMEX,</w:t>
      </w:r>
      <w:r w:rsidRPr="00AE036D">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AE036D">
        <w:rPr>
          <w:rFonts w:ascii="Palatino Linotype" w:eastAsia="Calibri" w:hAnsi="Palatino Linotype" w:cs="Arial"/>
          <w:b/>
          <w:sz w:val="24"/>
          <w:szCs w:val="24"/>
          <w:lang w:val="es-ES_tradnl" w:eastAsia="es-ES"/>
        </w:rPr>
        <w:t>SUJETO OBLIGADO</w:t>
      </w:r>
      <w:r w:rsidRPr="00AE036D">
        <w:rPr>
          <w:rFonts w:ascii="Palatino Linotype" w:eastAsia="Calibri" w:hAnsi="Palatino Linotype" w:cs="Arial"/>
          <w:sz w:val="24"/>
          <w:szCs w:val="24"/>
          <w:lang w:val="es-ES_tradnl" w:eastAsia="es-ES"/>
        </w:rPr>
        <w:t xml:space="preserve"> entregó respuesta el día seis (6) de octubre  de dos mil veinte, </w:t>
      </w:r>
      <w:r w:rsidRPr="00AE036D">
        <w:rPr>
          <w:rFonts w:ascii="Palatino Linotype" w:eastAsiaTheme="minorEastAsia" w:hAnsi="Palatino Linotype" w:cs="Arial"/>
          <w:sz w:val="24"/>
          <w:szCs w:val="24"/>
          <w:lang w:val="es-ES_tradnl" w:eastAsia="es-ES"/>
        </w:rPr>
        <w:t xml:space="preserve">de tal forma que el plazo para interponer el recurso transcurrió del día siete (7) de octubre  al veintisiete (27) de octubre  de dos mil veinte; en consecuencia, si el particular presentó su inconformidad el día veintisiete (27) de octubre  de dos mil veinte, se encuentra dentro de los márgenes temporales previstos en el artículo 178 de la </w:t>
      </w:r>
      <w:r w:rsidRPr="00AE036D">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AE036D">
        <w:rPr>
          <w:rFonts w:ascii="Palatino Linotype" w:eastAsiaTheme="minorEastAsia" w:hAnsi="Palatino Linotype" w:cs="Arial"/>
          <w:sz w:val="24"/>
          <w:szCs w:val="24"/>
          <w:lang w:val="es-ES_tradnl" w:eastAsia="es-ES"/>
        </w:rPr>
        <w:t xml:space="preserve">vigente. </w:t>
      </w:r>
    </w:p>
    <w:p w:rsidR="006A59C1" w:rsidRPr="00AE036D" w:rsidRDefault="006A59C1" w:rsidP="006A59C1">
      <w:pPr>
        <w:spacing w:after="0" w:line="360" w:lineRule="auto"/>
        <w:ind w:right="332"/>
        <w:contextualSpacing/>
        <w:jc w:val="both"/>
        <w:rPr>
          <w:rFonts w:ascii="Palatino Linotype" w:eastAsiaTheme="minorEastAsia" w:hAnsi="Palatino Linotype"/>
          <w:sz w:val="24"/>
          <w:szCs w:val="24"/>
          <w:lang w:val="es-ES_tradnl" w:eastAsia="es-ES"/>
        </w:rPr>
      </w:pPr>
    </w:p>
    <w:p w:rsidR="006A59C1" w:rsidRPr="00AE036D" w:rsidRDefault="006A59C1" w:rsidP="006A59C1">
      <w:pPr>
        <w:pStyle w:val="Prrafodelista"/>
        <w:numPr>
          <w:ilvl w:val="0"/>
          <w:numId w:val="1"/>
        </w:numPr>
        <w:spacing w:after="0" w:line="360" w:lineRule="auto"/>
        <w:ind w:left="0" w:firstLine="0"/>
        <w:jc w:val="both"/>
        <w:rPr>
          <w:rFonts w:ascii="Palatino Linotype" w:eastAsia="Calibri" w:hAnsi="Palatino Linotype" w:cs="Arial"/>
        </w:rPr>
      </w:pPr>
      <w:r w:rsidRPr="00AE036D">
        <w:rPr>
          <w:rFonts w:ascii="Palatino Linotype" w:eastAsia="Calibri" w:hAnsi="Palatino Linotype" w:cs="Arial"/>
        </w:rPr>
        <w:t xml:space="preserve">Por otra parte, de la revisión al expediente electrónico del </w:t>
      </w:r>
      <w:r w:rsidRPr="00AE036D">
        <w:rPr>
          <w:rFonts w:ascii="Palatino Linotype" w:eastAsia="Calibri" w:hAnsi="Palatino Linotype" w:cs="Arial"/>
          <w:b/>
        </w:rPr>
        <w:t>SAIMEX</w:t>
      </w:r>
      <w:r w:rsidRPr="00AE036D">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w:t>
      </w:r>
      <w:r w:rsidRPr="00AE036D">
        <w:rPr>
          <w:rFonts w:ascii="Palatino Linotype" w:eastAsia="Calibri" w:hAnsi="Palatino Linotype" w:cs="Arial"/>
        </w:rPr>
        <w:lastRenderedPageBreak/>
        <w:t>indispensable para la tramitación del acto procesal específico en materia de acceso a la información, ello en estricto apego al numeral 155 párrafo tercero de la Ley de la materia, en concatenación con el 180 del mismo ordenamiento.</w:t>
      </w:r>
    </w:p>
    <w:p w:rsidR="006A59C1" w:rsidRPr="00AE036D" w:rsidRDefault="006A59C1" w:rsidP="006A59C1">
      <w:pPr>
        <w:pStyle w:val="Prrafodelista"/>
        <w:ind w:left="0"/>
        <w:rPr>
          <w:rFonts w:ascii="Palatino Linotype" w:eastAsia="Calibri" w:hAnsi="Palatino Linotype" w:cs="Arial"/>
        </w:rPr>
      </w:pPr>
    </w:p>
    <w:p w:rsidR="006A59C1" w:rsidRPr="00AE036D" w:rsidRDefault="006A59C1" w:rsidP="006A59C1">
      <w:pPr>
        <w:numPr>
          <w:ilvl w:val="0"/>
          <w:numId w:val="1"/>
        </w:numPr>
        <w:spacing w:after="0" w:line="360" w:lineRule="auto"/>
        <w:ind w:left="0" w:firstLine="0"/>
        <w:contextualSpacing/>
        <w:jc w:val="both"/>
        <w:rPr>
          <w:rFonts w:ascii="Palatino Linotype" w:eastAsia="Calibri" w:hAnsi="Palatino Linotype" w:cs="Arial"/>
          <w:lang w:val="es-ES_tradnl" w:eastAsia="es-ES"/>
        </w:rPr>
      </w:pPr>
      <w:r w:rsidRPr="00AE036D">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AE036D">
        <w:rPr>
          <w:rFonts w:ascii="Palatino Linotype" w:eastAsia="Calibri" w:hAnsi="Palatino Linotype" w:cs="Arial"/>
          <w:bCs/>
          <w:lang w:val="es-ES" w:eastAsia="es-ES"/>
        </w:rPr>
        <w:t xml:space="preserve">5, párrafos vigésimo, vigésimo primero y vigésimo </w:t>
      </w:r>
      <w:proofErr w:type="spellStart"/>
      <w:r w:rsidRPr="00AE036D">
        <w:rPr>
          <w:rFonts w:ascii="Palatino Linotype" w:eastAsia="Calibri" w:hAnsi="Palatino Linotype" w:cs="Arial"/>
          <w:bCs/>
          <w:lang w:val="es-ES" w:eastAsia="es-ES"/>
        </w:rPr>
        <w:t>segúndo</w:t>
      </w:r>
      <w:proofErr w:type="spellEnd"/>
      <w:r w:rsidRPr="00AE036D">
        <w:rPr>
          <w:rFonts w:ascii="Palatino Linotype" w:eastAsia="Calibri" w:hAnsi="Palatino Linotype" w:cs="Arial"/>
          <w:bCs/>
          <w:lang w:val="es-ES" w:eastAsia="es-ES"/>
        </w:rPr>
        <w:t> fracciones IV y V </w:t>
      </w:r>
      <w:r w:rsidRPr="00AE036D">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6A59C1" w:rsidRPr="00AE036D" w:rsidRDefault="006A59C1" w:rsidP="006A59C1">
      <w:pPr>
        <w:pStyle w:val="Prrafodelista"/>
        <w:ind w:left="0"/>
        <w:rPr>
          <w:rFonts w:ascii="Palatino Linotype" w:eastAsia="Calibri" w:hAnsi="Palatino Linotype" w:cs="Arial"/>
        </w:rPr>
      </w:pPr>
    </w:p>
    <w:p w:rsidR="006A59C1" w:rsidRPr="00AE036D" w:rsidRDefault="006A59C1" w:rsidP="006A59C1">
      <w:pPr>
        <w:numPr>
          <w:ilvl w:val="0"/>
          <w:numId w:val="1"/>
        </w:numPr>
        <w:spacing w:after="0" w:line="360" w:lineRule="auto"/>
        <w:ind w:left="0" w:firstLine="0"/>
        <w:contextualSpacing/>
        <w:jc w:val="both"/>
        <w:rPr>
          <w:rFonts w:ascii="Palatino Linotype" w:eastAsia="Calibri" w:hAnsi="Palatino Linotype" w:cs="Arial"/>
          <w:lang w:val="es-ES_tradnl" w:eastAsia="es-ES"/>
        </w:rPr>
      </w:pPr>
      <w:r w:rsidRPr="00AE036D">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A59C1" w:rsidRPr="00AE036D" w:rsidRDefault="006A59C1" w:rsidP="006A59C1">
      <w:pPr>
        <w:pStyle w:val="Prrafodelista"/>
        <w:ind w:left="0"/>
        <w:rPr>
          <w:rFonts w:ascii="Palatino Linotype" w:eastAsia="Calibri" w:hAnsi="Palatino Linotype" w:cs="Arial"/>
        </w:rPr>
      </w:pPr>
    </w:p>
    <w:p w:rsidR="006A59C1" w:rsidRPr="00AE036D" w:rsidRDefault="006A59C1" w:rsidP="006A59C1">
      <w:pPr>
        <w:numPr>
          <w:ilvl w:val="0"/>
          <w:numId w:val="1"/>
        </w:numPr>
        <w:spacing w:after="0" w:line="360" w:lineRule="auto"/>
        <w:ind w:left="0" w:firstLine="0"/>
        <w:contextualSpacing/>
        <w:jc w:val="both"/>
        <w:rPr>
          <w:rFonts w:ascii="Palatino Linotype" w:eastAsia="Calibri" w:hAnsi="Palatino Linotype" w:cs="Arial"/>
          <w:lang w:val="es-ES_tradnl" w:eastAsia="es-ES"/>
        </w:rPr>
      </w:pPr>
      <w:r w:rsidRPr="00AE036D">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A59C1" w:rsidRPr="00AE036D" w:rsidRDefault="006A59C1" w:rsidP="006A59C1">
      <w:pPr>
        <w:pStyle w:val="Prrafodelista"/>
        <w:ind w:left="0"/>
        <w:rPr>
          <w:rFonts w:ascii="Palatino Linotype" w:eastAsia="Calibri" w:hAnsi="Palatino Linotype" w:cs="Arial"/>
        </w:rPr>
      </w:pPr>
    </w:p>
    <w:p w:rsidR="006A59C1" w:rsidRPr="00AE036D" w:rsidRDefault="006A59C1" w:rsidP="006A59C1">
      <w:pPr>
        <w:numPr>
          <w:ilvl w:val="0"/>
          <w:numId w:val="1"/>
        </w:numPr>
        <w:spacing w:after="0" w:line="360" w:lineRule="auto"/>
        <w:ind w:left="0" w:firstLine="0"/>
        <w:contextualSpacing/>
        <w:jc w:val="both"/>
        <w:rPr>
          <w:rFonts w:ascii="Palatino Linotype" w:eastAsia="Calibri" w:hAnsi="Palatino Linotype" w:cs="Arial"/>
          <w:lang w:val="es-ES_tradnl" w:eastAsia="es-ES"/>
        </w:rPr>
      </w:pPr>
      <w:r w:rsidRPr="00AE036D">
        <w:rPr>
          <w:rFonts w:ascii="Palatino Linotype" w:eastAsia="Calibri" w:hAnsi="Palatino Linotype" w:cs="Arial"/>
          <w:lang w:val="es-ES_tradnl" w:eastAsia="es-ES"/>
        </w:rPr>
        <w:lastRenderedPageBreak/>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6A59C1" w:rsidRPr="00AE036D" w:rsidRDefault="006A59C1" w:rsidP="006A59C1">
      <w:pPr>
        <w:spacing w:after="0" w:line="360" w:lineRule="auto"/>
        <w:ind w:right="332"/>
        <w:contextualSpacing/>
        <w:jc w:val="both"/>
        <w:rPr>
          <w:rFonts w:ascii="Palatino Linotype" w:eastAsiaTheme="minorEastAsia" w:hAnsi="Palatino Linotype"/>
          <w:sz w:val="24"/>
          <w:szCs w:val="24"/>
          <w:lang w:val="es-ES_tradnl" w:eastAsia="es-ES"/>
        </w:rPr>
      </w:pPr>
    </w:p>
    <w:p w:rsidR="006A59C1" w:rsidRPr="00AE036D" w:rsidRDefault="006A59C1" w:rsidP="006A59C1">
      <w:pPr>
        <w:numPr>
          <w:ilvl w:val="0"/>
          <w:numId w:val="1"/>
        </w:numPr>
        <w:spacing w:after="0" w:line="360" w:lineRule="auto"/>
        <w:ind w:left="0" w:right="332" w:firstLine="0"/>
        <w:contextualSpacing/>
        <w:jc w:val="both"/>
        <w:rPr>
          <w:rFonts w:ascii="Palatino Linotype" w:eastAsiaTheme="minorEastAsia" w:hAnsi="Palatino Linotype"/>
          <w:sz w:val="24"/>
          <w:szCs w:val="24"/>
          <w:lang w:val="es-ES_tradnl" w:eastAsia="es-ES"/>
        </w:rPr>
      </w:pPr>
      <w:r w:rsidRPr="00AE036D">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A59C1" w:rsidRPr="00AE036D" w:rsidRDefault="006A59C1" w:rsidP="006A59C1">
      <w:pPr>
        <w:spacing w:after="0" w:line="360" w:lineRule="auto"/>
        <w:ind w:right="332"/>
        <w:contextualSpacing/>
        <w:jc w:val="both"/>
        <w:rPr>
          <w:rFonts w:ascii="Palatino Linotype" w:eastAsiaTheme="minorEastAsia" w:hAnsi="Palatino Linotype"/>
          <w:sz w:val="24"/>
          <w:szCs w:val="24"/>
          <w:lang w:val="es-ES_tradnl" w:eastAsia="es-ES"/>
        </w:rPr>
      </w:pPr>
    </w:p>
    <w:p w:rsidR="006A59C1" w:rsidRPr="00AE036D" w:rsidRDefault="006A59C1" w:rsidP="006A59C1">
      <w:pPr>
        <w:keepNext/>
        <w:keepLines/>
        <w:spacing w:after="0" w:line="360" w:lineRule="auto"/>
        <w:ind w:right="332"/>
        <w:outlineLvl w:val="0"/>
        <w:rPr>
          <w:rFonts w:ascii="Palatino Linotype" w:eastAsia="MS Gothic" w:hAnsi="Palatino Linotype" w:cs="Times New Roman"/>
          <w:b/>
          <w:sz w:val="24"/>
          <w:szCs w:val="26"/>
        </w:rPr>
      </w:pPr>
      <w:bookmarkStart w:id="4" w:name="_Toc61622938"/>
      <w:r w:rsidRPr="00AE036D">
        <w:rPr>
          <w:rFonts w:ascii="Palatino Linotype" w:eastAsia="MS Mincho" w:hAnsi="Palatino Linotype" w:cstheme="majorBidi"/>
          <w:b/>
          <w:sz w:val="24"/>
          <w:szCs w:val="24"/>
          <w:lang w:val="es-ES_tradnl" w:eastAsia="es-ES"/>
        </w:rPr>
        <w:t>TERCERO. Planteamiento de la Litis</w:t>
      </w:r>
      <w:r w:rsidRPr="00AE036D">
        <w:rPr>
          <w:rFonts w:ascii="Palatino Linotype" w:eastAsia="MS Gothic" w:hAnsi="Palatino Linotype" w:cs="Times New Roman"/>
          <w:b/>
          <w:sz w:val="24"/>
          <w:szCs w:val="26"/>
        </w:rPr>
        <w:t>.</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bookmarkEnd w:id="4"/>
    </w:p>
    <w:p w:rsidR="006A59C1" w:rsidRPr="00AE036D" w:rsidRDefault="006A59C1" w:rsidP="006A59C1">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AE036D">
        <w:rPr>
          <w:rFonts w:ascii="Palatino Linotype" w:eastAsia="MS Gothic" w:hAnsi="Palatino Linotype" w:cs="Times New Roman"/>
          <w:sz w:val="24"/>
        </w:rPr>
        <w:t xml:space="preserve">De las constancias que obran en el expediente de referencia, el RECURRENTE solicita </w:t>
      </w:r>
      <w:r w:rsidRPr="00AE036D">
        <w:rPr>
          <w:rFonts w:ascii="Palatino Linotype" w:hAnsi="Palatino Linotype"/>
          <w:color w:val="000000"/>
          <w:sz w:val="24"/>
          <w:szCs w:val="24"/>
        </w:rPr>
        <w:t>balanza de comprobación del municipio de Teoloyucan, del Instituto Municipal de Cultura Física y Deporte de Teoloyucan</w:t>
      </w:r>
      <w:r w:rsidR="00D17C90" w:rsidRPr="00AE036D">
        <w:rPr>
          <w:rFonts w:ascii="Palatino Linotype" w:hAnsi="Palatino Linotype"/>
          <w:color w:val="000000"/>
          <w:sz w:val="24"/>
          <w:szCs w:val="24"/>
        </w:rPr>
        <w:t xml:space="preserve">, del Organismo Público Descentralizado para la Prestación de los Servicios de Agua Potable, Alcantarillado y </w:t>
      </w:r>
      <w:proofErr w:type="gramStart"/>
      <w:r w:rsidR="00D17C90" w:rsidRPr="00AE036D">
        <w:rPr>
          <w:rFonts w:ascii="Palatino Linotype" w:hAnsi="Palatino Linotype"/>
          <w:color w:val="000000"/>
          <w:sz w:val="24"/>
          <w:szCs w:val="24"/>
        </w:rPr>
        <w:t>Saneamiento</w:t>
      </w:r>
      <w:proofErr w:type="gramEnd"/>
      <w:r w:rsidR="00D17C90" w:rsidRPr="00AE036D">
        <w:rPr>
          <w:rFonts w:ascii="Palatino Linotype" w:hAnsi="Palatino Linotype"/>
          <w:color w:val="000000"/>
          <w:sz w:val="24"/>
          <w:szCs w:val="24"/>
        </w:rPr>
        <w:t xml:space="preserve"> así como </w:t>
      </w:r>
      <w:r w:rsidRPr="00AE036D">
        <w:rPr>
          <w:rFonts w:ascii="Palatino Linotype" w:hAnsi="Palatino Linotype"/>
          <w:color w:val="000000"/>
          <w:sz w:val="24"/>
          <w:szCs w:val="24"/>
        </w:rPr>
        <w:t>del Sistema Municipal para el Desarrollo Integral de la Familia de Teoloyucan, en formato PDF o EXCEL del año 2019 y de enero a septiembre del año dos mil veinte</w:t>
      </w:r>
      <w:r w:rsidRPr="00AE036D">
        <w:rPr>
          <w:rFonts w:ascii="Palatino Linotype" w:eastAsia="MS Gothic" w:hAnsi="Palatino Linotype" w:cs="Times New Roman"/>
          <w:sz w:val="24"/>
        </w:rPr>
        <w:t>. Derivado de la respuesta, el RECURRENTE se inconformo a través del recurso de revisión manifestando que la negativa de la información y que las respuestas no se encuentran fundadas y motivadas.</w:t>
      </w:r>
    </w:p>
    <w:p w:rsidR="006A59C1" w:rsidRPr="00AE036D" w:rsidRDefault="006A59C1" w:rsidP="006A59C1">
      <w:pPr>
        <w:pStyle w:val="Prrafodelista"/>
        <w:spacing w:line="360" w:lineRule="auto"/>
        <w:ind w:left="0" w:right="-567"/>
        <w:jc w:val="both"/>
        <w:rPr>
          <w:rFonts w:ascii="Palatino Linotype" w:eastAsia="MS Gothic" w:hAnsi="Palatino Linotype" w:cs="Times New Roman"/>
          <w:b/>
          <w:sz w:val="24"/>
        </w:rPr>
      </w:pPr>
    </w:p>
    <w:p w:rsidR="006A59C1" w:rsidRPr="00AE036D" w:rsidRDefault="006A59C1" w:rsidP="006A59C1">
      <w:pPr>
        <w:pStyle w:val="Prrafodelista"/>
        <w:numPr>
          <w:ilvl w:val="0"/>
          <w:numId w:val="1"/>
        </w:numPr>
        <w:spacing w:before="240" w:after="240" w:line="360" w:lineRule="auto"/>
        <w:ind w:left="0" w:firstLine="0"/>
        <w:jc w:val="both"/>
        <w:rPr>
          <w:rFonts w:ascii="Palatino Linotype" w:eastAsia="MS Gothic" w:hAnsi="Palatino Linotype" w:cs="Times New Roman"/>
          <w:sz w:val="24"/>
        </w:rPr>
      </w:pPr>
      <w:r w:rsidRPr="00AE036D">
        <w:rPr>
          <w:rFonts w:ascii="Palatino Linotype" w:eastAsia="MS Gothic" w:hAnsi="Palatino Linotype" w:cs="Times New Roman"/>
          <w:sz w:val="24"/>
        </w:rPr>
        <w:t xml:space="preserve">En consecuencia, la Litis del presente asunto corresponde en resolver si el SUJETO OBLIGADO atendió la solicitud con apego a los principios establecidos en el artículo 11 </w:t>
      </w:r>
      <w:r w:rsidRPr="00AE036D">
        <w:rPr>
          <w:rFonts w:ascii="Palatino Linotype" w:eastAsia="MS Gothic" w:hAnsi="Palatino Linotype" w:cs="Times New Roman"/>
          <w:sz w:val="24"/>
        </w:rPr>
        <w:lastRenderedPageBreak/>
        <w:t>de la Ley de Transparencia Local, si con la entrega de los documentos en respuesta se garantiza que la información sea confiable.</w:t>
      </w:r>
    </w:p>
    <w:p w:rsidR="006A59C1" w:rsidRPr="00AE036D" w:rsidRDefault="006A59C1" w:rsidP="006A59C1">
      <w:pPr>
        <w:pStyle w:val="Prrafodelista"/>
        <w:spacing w:line="360" w:lineRule="auto"/>
        <w:ind w:left="0" w:right="-567"/>
        <w:jc w:val="both"/>
        <w:rPr>
          <w:rFonts w:ascii="Palatino Linotype" w:eastAsia="MS Gothic" w:hAnsi="Palatino Linotype" w:cs="Times New Roman"/>
          <w:sz w:val="24"/>
        </w:rPr>
      </w:pPr>
    </w:p>
    <w:p w:rsidR="006A59C1" w:rsidRPr="00AE036D" w:rsidRDefault="006A59C1" w:rsidP="006A59C1">
      <w:pPr>
        <w:pStyle w:val="Prrafodelista"/>
        <w:numPr>
          <w:ilvl w:val="0"/>
          <w:numId w:val="1"/>
        </w:numPr>
        <w:spacing w:before="240" w:after="240" w:line="360" w:lineRule="auto"/>
        <w:ind w:left="0" w:firstLine="0"/>
        <w:jc w:val="both"/>
        <w:rPr>
          <w:rFonts w:ascii="Palatino Linotype" w:eastAsia="MS Gothic" w:hAnsi="Palatino Linotype" w:cs="Times New Roman"/>
          <w:sz w:val="24"/>
          <w:szCs w:val="24"/>
        </w:rPr>
      </w:pPr>
      <w:r w:rsidRPr="00AE036D">
        <w:rPr>
          <w:rFonts w:ascii="Palatino Linotype" w:eastAsia="MS Gothic" w:hAnsi="Palatino Linotype" w:cs="Times New Roman"/>
          <w:sz w:val="24"/>
        </w:rPr>
        <w:t xml:space="preserve">Así mismo determinar si se actualizan las causales de procedencia previstas en las fracciones I y XII del artículo 179 de la Ley de Transparencia y Acceso a la Información Pública del Estado de México y sus Municipios, que establecen la negativa de la información solicitada y </w:t>
      </w:r>
      <w:r w:rsidRPr="00AE036D">
        <w:rPr>
          <w:rFonts w:ascii="Palatino Linotype" w:hAnsi="Palatino Linotype" w:cs="Arial"/>
          <w:sz w:val="24"/>
          <w:szCs w:val="24"/>
        </w:rPr>
        <w:t xml:space="preserve">la falta, deficiencia o insuficiencia de la </w:t>
      </w:r>
      <w:proofErr w:type="spellStart"/>
      <w:r w:rsidRPr="00AE036D">
        <w:rPr>
          <w:rFonts w:ascii="Palatino Linotype" w:hAnsi="Palatino Linotype" w:cs="Arial"/>
          <w:sz w:val="24"/>
          <w:szCs w:val="24"/>
        </w:rPr>
        <w:t>fundamentación</w:t>
      </w:r>
      <w:proofErr w:type="spellEnd"/>
      <w:r w:rsidRPr="00AE036D">
        <w:rPr>
          <w:rFonts w:ascii="Palatino Linotype" w:hAnsi="Palatino Linotype" w:cs="Arial"/>
          <w:sz w:val="24"/>
          <w:szCs w:val="24"/>
        </w:rPr>
        <w:t xml:space="preserve"> y/o </w:t>
      </w:r>
      <w:proofErr w:type="spellStart"/>
      <w:r w:rsidRPr="00AE036D">
        <w:rPr>
          <w:rFonts w:ascii="Palatino Linotype" w:hAnsi="Palatino Linotype" w:cs="Arial"/>
          <w:sz w:val="24"/>
          <w:szCs w:val="24"/>
        </w:rPr>
        <w:t>motivación</w:t>
      </w:r>
      <w:proofErr w:type="spellEnd"/>
      <w:r w:rsidRPr="00AE036D">
        <w:rPr>
          <w:rFonts w:ascii="Palatino Linotype" w:hAnsi="Palatino Linotype" w:cs="Arial"/>
          <w:sz w:val="24"/>
          <w:szCs w:val="24"/>
        </w:rPr>
        <w:t xml:space="preserve"> en la respuesta</w:t>
      </w:r>
      <w:r w:rsidRPr="00AE036D">
        <w:rPr>
          <w:rFonts w:ascii="Palatino Linotype" w:eastAsia="MS Gothic" w:hAnsi="Palatino Linotype" w:cs="Times New Roman"/>
          <w:sz w:val="24"/>
          <w:szCs w:val="24"/>
        </w:rPr>
        <w:t>.</w:t>
      </w:r>
    </w:p>
    <w:p w:rsidR="006A59C1" w:rsidRPr="00AE036D" w:rsidRDefault="006A59C1" w:rsidP="006A59C1">
      <w:pPr>
        <w:spacing w:after="0" w:line="360" w:lineRule="auto"/>
        <w:ind w:right="332"/>
        <w:contextualSpacing/>
        <w:jc w:val="both"/>
        <w:rPr>
          <w:rFonts w:ascii="Palatino Linotype" w:eastAsia="MS Mincho" w:hAnsi="Palatino Linotype" w:cs="Arial"/>
          <w:sz w:val="28"/>
          <w:szCs w:val="24"/>
          <w:lang w:val="es-ES_tradnl" w:eastAsia="es-ES"/>
        </w:rPr>
      </w:pPr>
    </w:p>
    <w:p w:rsidR="005F344F" w:rsidRPr="00AE036D" w:rsidRDefault="006A59C1" w:rsidP="006A59C1">
      <w:pPr>
        <w:keepNext/>
        <w:keepLines/>
        <w:spacing w:after="0" w:line="360" w:lineRule="auto"/>
        <w:ind w:right="332"/>
        <w:outlineLvl w:val="0"/>
        <w:rPr>
          <w:rFonts w:ascii="Palatino Linotype" w:eastAsia="MS Gothic" w:hAnsi="Palatino Linotype" w:cstheme="majorBidi"/>
          <w:b/>
          <w:sz w:val="24"/>
          <w:szCs w:val="24"/>
          <w:lang w:val="es-ES_tradnl" w:eastAsia="es-ES"/>
        </w:rPr>
      </w:pPr>
      <w:bookmarkStart w:id="26" w:name="_Toc6162293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AE036D">
        <w:rPr>
          <w:rFonts w:ascii="Palatino Linotype" w:eastAsia="MS Gothic" w:hAnsi="Palatino Linotype" w:cstheme="majorBidi"/>
          <w:b/>
          <w:sz w:val="24"/>
          <w:szCs w:val="24"/>
          <w:lang w:val="es-ES_tradnl" w:eastAsia="es-ES"/>
        </w:rPr>
        <w:t>CUARTO.</w:t>
      </w:r>
      <w:bookmarkEnd w:id="26"/>
      <w:r w:rsidRPr="00AE036D">
        <w:rPr>
          <w:rFonts w:ascii="Palatino Linotype" w:eastAsia="MS Gothic" w:hAnsi="Palatino Linotype" w:cstheme="majorBidi"/>
          <w:b/>
          <w:sz w:val="24"/>
          <w:szCs w:val="24"/>
          <w:lang w:val="es-ES_tradnl" w:eastAsia="es-ES"/>
        </w:rPr>
        <w:t xml:space="preserve"> </w:t>
      </w: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 xml:space="preserve">Desde que inició, a finales de 2019, la crisis generada por el virus </w:t>
      </w:r>
      <w:r w:rsidRPr="00AE036D">
        <w:rPr>
          <w:rFonts w:ascii="Palatino Linotype" w:hAnsi="Palatino Linotype"/>
          <w:b/>
          <w:sz w:val="24"/>
          <w:szCs w:val="24"/>
          <w:lang w:val="es-ES"/>
        </w:rPr>
        <w:t xml:space="preserve">SARS-Cov-2 </w:t>
      </w:r>
      <w:proofErr w:type="gramStart"/>
      <w:r w:rsidRPr="00AE036D">
        <w:rPr>
          <w:rFonts w:ascii="Palatino Linotype" w:hAnsi="Palatino Linotype"/>
          <w:b/>
          <w:sz w:val="24"/>
          <w:szCs w:val="24"/>
          <w:lang w:val="es-ES"/>
        </w:rPr>
        <w:t>-  COVID</w:t>
      </w:r>
      <w:proofErr w:type="gramEnd"/>
      <w:r w:rsidRPr="00AE036D">
        <w:rPr>
          <w:rFonts w:ascii="Palatino Linotype" w:hAnsi="Palatino Linotype"/>
          <w:b/>
          <w:sz w:val="24"/>
          <w:szCs w:val="24"/>
          <w:lang w:val="es-ES"/>
        </w:rPr>
        <w:t>-19</w:t>
      </w:r>
      <w:r w:rsidRPr="00AE036D">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5F344F" w:rsidRPr="00AE036D" w:rsidRDefault="005F344F" w:rsidP="005F344F">
      <w:pPr>
        <w:pStyle w:val="Prrafodelista"/>
        <w:spacing w:line="360" w:lineRule="auto"/>
        <w:ind w:left="0"/>
        <w:jc w:val="both"/>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5F344F" w:rsidRPr="00AE036D" w:rsidRDefault="005F344F" w:rsidP="005F344F">
      <w:pPr>
        <w:pStyle w:val="Prrafodelista"/>
        <w:spacing w:line="360" w:lineRule="auto"/>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 xml:space="preserve">Por esa razón, durante los meses de marzo, abril, mayo, junio y julio del año pasado, el Órgano Garante recurrió a la suspensión de plazos para la substanciación de </w:t>
      </w:r>
      <w:r w:rsidRPr="00AE036D">
        <w:rPr>
          <w:rFonts w:ascii="Palatino Linotype" w:hAnsi="Palatino Linotype"/>
          <w:sz w:val="24"/>
          <w:szCs w:val="24"/>
          <w:lang w:val="es-ES"/>
        </w:rPr>
        <w:lastRenderedPageBreak/>
        <w:t>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5F344F" w:rsidRPr="00AE036D" w:rsidRDefault="005F344F" w:rsidP="005F344F">
      <w:pPr>
        <w:pStyle w:val="Prrafodelista"/>
        <w:spacing w:line="360" w:lineRule="auto"/>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5F344F" w:rsidRPr="00AE036D" w:rsidRDefault="005F344F" w:rsidP="005F344F">
      <w:pPr>
        <w:pStyle w:val="Prrafodelista"/>
        <w:spacing w:line="360" w:lineRule="auto"/>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w:t>
      </w:r>
      <w:r w:rsidRPr="00AE036D">
        <w:rPr>
          <w:rFonts w:ascii="Palatino Linotype" w:hAnsi="Palatino Linotype"/>
          <w:sz w:val="24"/>
          <w:szCs w:val="24"/>
          <w:lang w:val="es-ES"/>
        </w:rPr>
        <w:lastRenderedPageBreak/>
        <w:t>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5F344F" w:rsidRPr="00AE036D" w:rsidRDefault="005F344F" w:rsidP="005F344F">
      <w:pPr>
        <w:pStyle w:val="Prrafodelista"/>
        <w:spacing w:line="360" w:lineRule="auto"/>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 xml:space="preserve">El </w:t>
      </w:r>
      <w:proofErr w:type="spellStart"/>
      <w:r w:rsidRPr="00AE036D">
        <w:rPr>
          <w:rFonts w:ascii="Palatino Linotype" w:hAnsi="Palatino Linotype"/>
          <w:sz w:val="24"/>
          <w:szCs w:val="24"/>
          <w:lang w:val="es-ES"/>
        </w:rPr>
        <w:t>Infoem</w:t>
      </w:r>
      <w:proofErr w:type="spellEnd"/>
      <w:r w:rsidRPr="00AE036D">
        <w:rPr>
          <w:rFonts w:ascii="Palatino Linotype" w:hAnsi="Palatino Linotype"/>
          <w:sz w:val="24"/>
          <w:szCs w:val="24"/>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AE036D">
        <w:rPr>
          <w:rFonts w:ascii="Palatino Linotype" w:hAnsi="Palatino Linotype"/>
          <w:sz w:val="24"/>
          <w:szCs w:val="24"/>
          <w:lang w:val="es-ES"/>
        </w:rPr>
        <w:t>transito</w:t>
      </w:r>
      <w:proofErr w:type="spellEnd"/>
      <w:r w:rsidRPr="00AE036D">
        <w:rPr>
          <w:rFonts w:ascii="Palatino Linotype" w:hAnsi="Palatino Linotype"/>
          <w:sz w:val="24"/>
          <w:szCs w:val="24"/>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rsidR="005F344F" w:rsidRPr="00AE036D" w:rsidRDefault="005F344F" w:rsidP="005F344F">
      <w:pPr>
        <w:pStyle w:val="Prrafodelista"/>
        <w:spacing w:line="360" w:lineRule="auto"/>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5F344F" w:rsidRPr="00AE036D" w:rsidRDefault="005F344F" w:rsidP="005F344F">
      <w:pPr>
        <w:pStyle w:val="Prrafodelista"/>
        <w:spacing w:line="360" w:lineRule="auto"/>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5F344F" w:rsidRPr="00AE036D" w:rsidRDefault="005F344F" w:rsidP="005F344F">
      <w:pPr>
        <w:pStyle w:val="Prrafodelista"/>
        <w:spacing w:line="360" w:lineRule="auto"/>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5F344F" w:rsidRPr="00AE036D" w:rsidRDefault="005F344F" w:rsidP="005F344F">
      <w:pPr>
        <w:pStyle w:val="Prrafodelista"/>
        <w:spacing w:line="360" w:lineRule="auto"/>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w:t>
      </w:r>
      <w:r w:rsidRPr="00AE036D">
        <w:rPr>
          <w:rFonts w:ascii="Palatino Linotype" w:hAnsi="Palatino Linotype"/>
          <w:sz w:val="24"/>
          <w:szCs w:val="24"/>
          <w:lang w:val="es-ES"/>
        </w:rPr>
        <w:lastRenderedPageBreak/>
        <w:t xml:space="preserve">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5F344F" w:rsidRPr="00AE036D" w:rsidRDefault="005F344F" w:rsidP="005F344F">
      <w:pPr>
        <w:pStyle w:val="Prrafodelista"/>
        <w:spacing w:line="360" w:lineRule="auto"/>
        <w:rPr>
          <w:rFonts w:ascii="Palatino Linotype" w:hAnsi="Palatino Linotype"/>
          <w:sz w:val="24"/>
          <w:szCs w:val="24"/>
          <w:lang w:val="es-ES"/>
        </w:rPr>
      </w:pPr>
    </w:p>
    <w:p w:rsidR="005F344F" w:rsidRPr="00AE036D" w:rsidRDefault="005F344F" w:rsidP="005F344F">
      <w:pPr>
        <w:pStyle w:val="Prrafodelista"/>
        <w:numPr>
          <w:ilvl w:val="0"/>
          <w:numId w:val="1"/>
        </w:numPr>
        <w:spacing w:line="360" w:lineRule="auto"/>
        <w:ind w:left="0" w:firstLine="0"/>
        <w:jc w:val="both"/>
        <w:rPr>
          <w:rFonts w:ascii="Palatino Linotype" w:hAnsi="Palatino Linotype"/>
          <w:sz w:val="24"/>
          <w:szCs w:val="24"/>
          <w:lang w:val="es-ES"/>
        </w:rPr>
      </w:pPr>
      <w:r w:rsidRPr="00AE036D">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5F344F" w:rsidRPr="00AE036D" w:rsidRDefault="005F344F" w:rsidP="006A59C1">
      <w:pPr>
        <w:keepNext/>
        <w:keepLines/>
        <w:spacing w:after="0" w:line="360" w:lineRule="auto"/>
        <w:ind w:right="332"/>
        <w:outlineLvl w:val="0"/>
        <w:rPr>
          <w:rFonts w:ascii="Palatino Linotype" w:eastAsia="MS Gothic" w:hAnsi="Palatino Linotype" w:cstheme="majorBidi"/>
          <w:b/>
          <w:sz w:val="24"/>
          <w:szCs w:val="24"/>
          <w:lang w:val="es-ES_tradnl" w:eastAsia="es-ES"/>
        </w:rPr>
      </w:pPr>
    </w:p>
    <w:p w:rsidR="006A59C1" w:rsidRPr="00AE036D" w:rsidRDefault="005F344F" w:rsidP="006A59C1">
      <w:pPr>
        <w:keepNext/>
        <w:keepLines/>
        <w:spacing w:after="0" w:line="360" w:lineRule="auto"/>
        <w:ind w:right="332"/>
        <w:outlineLvl w:val="0"/>
        <w:rPr>
          <w:rFonts w:ascii="Palatino Linotype" w:eastAsia="MS Gothic" w:hAnsi="Palatino Linotype" w:cstheme="majorBidi"/>
          <w:b/>
          <w:sz w:val="24"/>
          <w:szCs w:val="24"/>
          <w:lang w:val="es-ES_tradnl" w:eastAsia="es-ES"/>
        </w:rPr>
      </w:pPr>
      <w:bookmarkStart w:id="27" w:name="_Toc61622940"/>
      <w:r w:rsidRPr="00AE036D">
        <w:rPr>
          <w:rFonts w:ascii="Palatino Linotype" w:eastAsia="MS Gothic" w:hAnsi="Palatino Linotype" w:cstheme="majorBidi"/>
          <w:b/>
          <w:sz w:val="24"/>
          <w:szCs w:val="24"/>
          <w:lang w:val="es-ES_tradnl" w:eastAsia="es-ES"/>
        </w:rPr>
        <w:t xml:space="preserve">QUINTO. </w:t>
      </w:r>
      <w:r w:rsidR="006A59C1" w:rsidRPr="00AE036D">
        <w:rPr>
          <w:rFonts w:ascii="Palatino Linotype" w:eastAsia="MS Gothic" w:hAnsi="Palatino Linotype" w:cstheme="majorBidi"/>
          <w:b/>
          <w:sz w:val="24"/>
          <w:szCs w:val="24"/>
          <w:lang w:val="es-ES_tradnl" w:eastAsia="es-ES"/>
        </w:rPr>
        <w:t xml:space="preserve">Del estudio y resolución del recurso de </w:t>
      </w:r>
      <w:bookmarkEnd w:id="22"/>
      <w:bookmarkEnd w:id="23"/>
      <w:bookmarkEnd w:id="24"/>
      <w:bookmarkEnd w:id="25"/>
      <w:r w:rsidR="006A59C1" w:rsidRPr="00AE036D">
        <w:rPr>
          <w:rFonts w:ascii="Palatino Linotype" w:eastAsia="MS Gothic" w:hAnsi="Palatino Linotype" w:cstheme="majorBidi"/>
          <w:b/>
          <w:sz w:val="24"/>
          <w:szCs w:val="24"/>
          <w:lang w:val="es-ES_tradnl" w:eastAsia="es-ES"/>
        </w:rPr>
        <w:t>revisión.</w:t>
      </w:r>
      <w:bookmarkEnd w:id="27"/>
    </w:p>
    <w:p w:rsidR="006A59C1" w:rsidRPr="00AE036D" w:rsidRDefault="006A59C1" w:rsidP="006A59C1">
      <w:pPr>
        <w:keepNext/>
        <w:keepLines/>
        <w:spacing w:after="0" w:line="360" w:lineRule="auto"/>
        <w:ind w:right="332"/>
        <w:outlineLvl w:val="0"/>
        <w:rPr>
          <w:rFonts w:ascii="Palatino Linotype" w:eastAsia="MS Gothic" w:hAnsi="Palatino Linotype" w:cstheme="majorBidi"/>
          <w:b/>
          <w:sz w:val="24"/>
          <w:szCs w:val="24"/>
          <w:lang w:val="es-ES_tradnl" w:eastAsia="es-ES"/>
        </w:rPr>
      </w:pPr>
    </w:p>
    <w:p w:rsidR="006A59C1" w:rsidRPr="00AE036D" w:rsidRDefault="006A59C1" w:rsidP="006A59C1">
      <w:pPr>
        <w:pStyle w:val="Prrafodelista"/>
        <w:numPr>
          <w:ilvl w:val="0"/>
          <w:numId w:val="1"/>
        </w:numPr>
        <w:tabs>
          <w:tab w:val="left" w:pos="66"/>
        </w:tabs>
        <w:spacing w:after="0" w:line="360" w:lineRule="auto"/>
        <w:ind w:left="0" w:firstLine="0"/>
        <w:jc w:val="both"/>
        <w:rPr>
          <w:rFonts w:ascii="Palatino Linotype" w:eastAsia="MS Mincho" w:hAnsi="Palatino Linotype" w:cs="Arial"/>
          <w:i/>
          <w:sz w:val="24"/>
          <w:szCs w:val="24"/>
          <w:lang w:eastAsia="es-ES"/>
        </w:rPr>
      </w:pPr>
      <w:bookmarkStart w:id="28" w:name="_Toc498528948"/>
      <w:bookmarkStart w:id="29" w:name="_Toc536105844"/>
      <w:bookmarkStart w:id="30" w:name="_Toc22238402"/>
      <w:r w:rsidRPr="00AE036D">
        <w:rPr>
          <w:rFonts w:ascii="Palatino Linotype" w:eastAsia="MS Gothic" w:hAnsi="Palatino Linotype"/>
          <w:b/>
          <w:sz w:val="24"/>
          <w:lang w:val="es-ES_tradnl" w:eastAsia="es-ES"/>
        </w:rPr>
        <w:t xml:space="preserve">I. </w:t>
      </w:r>
      <w:bookmarkStart w:id="31" w:name="_Toc494366431"/>
      <w:bookmarkEnd w:id="28"/>
      <w:bookmarkEnd w:id="29"/>
      <w:bookmarkEnd w:id="30"/>
      <w:r w:rsidRPr="00AE036D">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AE036D">
        <w:rPr>
          <w:rFonts w:ascii="Palatino Linotype" w:eastAsia="Calibri" w:hAnsi="Palatino Linotype" w:cs="Arial"/>
          <w:sz w:val="24"/>
          <w:szCs w:val="24"/>
          <w:lang w:val="es-ES"/>
        </w:rPr>
        <w:t>Ley de Transparencia y Acceso a la Información Pública del Estado de México y Municipios</w:t>
      </w:r>
      <w:r w:rsidRPr="00AE036D">
        <w:rPr>
          <w:rFonts w:ascii="Palatino Linotype" w:eastAsia="Times New Roman" w:hAnsi="Palatino Linotype" w:cs="Arial"/>
          <w:sz w:val="24"/>
          <w:szCs w:val="24"/>
          <w:lang w:val="es-ES" w:eastAsia="es-MX"/>
        </w:rPr>
        <w:t>.</w:t>
      </w:r>
    </w:p>
    <w:p w:rsidR="006A59C1" w:rsidRPr="00AE036D" w:rsidRDefault="006A59C1" w:rsidP="006A59C1">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6A59C1" w:rsidRPr="00AE036D" w:rsidRDefault="006A59C1" w:rsidP="006A59C1">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2" w:name="_Toc31301157"/>
      <w:bookmarkStart w:id="33" w:name="_Toc61622941"/>
      <w:r w:rsidRPr="00AE036D">
        <w:rPr>
          <w:rFonts w:ascii="Palatino Linotype" w:eastAsia="MS Gothic" w:hAnsi="Palatino Linotype" w:cstheme="majorBidi"/>
          <w:b/>
          <w:sz w:val="24"/>
          <w:szCs w:val="24"/>
          <w:lang w:val="es-ES_tradnl" w:eastAsia="es-ES"/>
        </w:rPr>
        <w:t>I. Fuente Obligacional.</w:t>
      </w:r>
      <w:bookmarkEnd w:id="32"/>
      <w:bookmarkEnd w:id="33"/>
      <w:r w:rsidRPr="00AE036D">
        <w:rPr>
          <w:rFonts w:ascii="Palatino Linotype" w:eastAsia="MS Gothic" w:hAnsi="Palatino Linotype" w:cstheme="majorBidi"/>
          <w:b/>
          <w:sz w:val="24"/>
          <w:szCs w:val="24"/>
          <w:lang w:val="es-ES_tradnl" w:eastAsia="es-ES"/>
        </w:rPr>
        <w:t xml:space="preserve"> </w:t>
      </w:r>
    </w:p>
    <w:p w:rsidR="006A59C1" w:rsidRPr="00AE036D" w:rsidRDefault="006A59C1" w:rsidP="006A59C1">
      <w:pPr>
        <w:spacing w:after="0" w:line="360" w:lineRule="auto"/>
        <w:rPr>
          <w:rFonts w:ascii="Palatino Linotype" w:eastAsia="MS Mincho" w:hAnsi="Palatino Linotype" w:cs="Times New Roman"/>
          <w:sz w:val="24"/>
          <w:szCs w:val="24"/>
          <w:lang w:val="es-ES_tradnl" w:eastAsia="es-ES"/>
        </w:rPr>
      </w:pPr>
    </w:p>
    <w:p w:rsidR="006A59C1" w:rsidRPr="00AE036D" w:rsidRDefault="006A59C1" w:rsidP="006A59C1">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E036D">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AE036D">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6A59C1" w:rsidRPr="00AE036D" w:rsidRDefault="006A59C1" w:rsidP="006A59C1">
      <w:pPr>
        <w:spacing w:after="0" w:line="360" w:lineRule="auto"/>
        <w:ind w:right="49"/>
        <w:contextualSpacing/>
        <w:jc w:val="both"/>
        <w:rPr>
          <w:rFonts w:ascii="Palatino Linotype" w:eastAsia="MS Mincho" w:hAnsi="Palatino Linotype" w:cs="Times New Roman"/>
          <w:sz w:val="24"/>
          <w:szCs w:val="24"/>
          <w:lang w:val="es-ES_tradnl" w:eastAsia="es-ES"/>
        </w:rPr>
      </w:pPr>
    </w:p>
    <w:p w:rsidR="006A59C1" w:rsidRPr="00AE036D" w:rsidRDefault="006A59C1" w:rsidP="006A59C1">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E036D">
        <w:rPr>
          <w:rFonts w:ascii="Palatino Linotype" w:eastAsia="MS Mincho" w:hAnsi="Palatino Linotype" w:cs="Times New Roman"/>
          <w:sz w:val="24"/>
          <w:szCs w:val="24"/>
          <w:lang w:val="es-ES_tradnl" w:eastAsia="es-ES"/>
        </w:rPr>
        <w:t xml:space="preserve">El </w:t>
      </w:r>
      <w:r w:rsidRPr="00AE036D">
        <w:rPr>
          <w:rFonts w:ascii="Palatino Linotype" w:eastAsia="MS Mincho" w:hAnsi="Palatino Linotype" w:cs="Times New Roman"/>
          <w:b/>
          <w:sz w:val="24"/>
          <w:szCs w:val="24"/>
          <w:lang w:val="es-ES_tradnl" w:eastAsia="es-ES"/>
        </w:rPr>
        <w:t>Sujeto Obligado</w:t>
      </w:r>
      <w:r w:rsidRPr="00AE036D">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AE036D">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AE036D">
        <w:rPr>
          <w:rFonts w:ascii="Palatino Linotype" w:eastAsia="MS Mincho" w:hAnsi="Palatino Linotype" w:cstheme="majorBidi"/>
          <w:b/>
          <w:sz w:val="24"/>
          <w:szCs w:val="24"/>
          <w:lang w:val="es-ES_tradnl" w:eastAsia="es-ES"/>
        </w:rPr>
        <w:t xml:space="preserve"> </w:t>
      </w:r>
      <w:r w:rsidRPr="00AE036D">
        <w:rPr>
          <w:rFonts w:ascii="Palatino Linotype" w:eastAsia="MS Mincho" w:hAnsi="Palatino Linotype" w:cstheme="majorBidi"/>
          <w:sz w:val="24"/>
          <w:szCs w:val="24"/>
          <w:lang w:val="es-ES_tradnl" w:eastAsia="es-ES"/>
        </w:rPr>
        <w:t xml:space="preserve">al señalar la obligación de </w:t>
      </w:r>
      <w:r w:rsidRPr="00AE036D">
        <w:rPr>
          <w:rFonts w:ascii="Palatino Linotype" w:eastAsia="MS Mincho" w:hAnsi="Palatino Linotype" w:cstheme="majorBidi"/>
          <w:i/>
          <w:sz w:val="24"/>
          <w:szCs w:val="24"/>
          <w:lang w:val="es-ES_tradnl" w:eastAsia="es-ES"/>
        </w:rPr>
        <w:t xml:space="preserve">“promover, respetar, proteger y garantizar los derechos humanos”, </w:t>
      </w:r>
      <w:r w:rsidRPr="00AE036D">
        <w:rPr>
          <w:rFonts w:ascii="Palatino Linotype" w:eastAsia="MS Mincho" w:hAnsi="Palatino Linotype" w:cstheme="majorBidi"/>
          <w:sz w:val="24"/>
          <w:szCs w:val="24"/>
          <w:lang w:val="es-ES_tradnl" w:eastAsia="es-ES"/>
        </w:rPr>
        <w:t>entre los cuales se encuentra dicho derecho.</w:t>
      </w:r>
    </w:p>
    <w:p w:rsidR="006A59C1" w:rsidRPr="00AE036D" w:rsidRDefault="006A59C1" w:rsidP="006A59C1">
      <w:pPr>
        <w:spacing w:after="0" w:line="360" w:lineRule="auto"/>
        <w:ind w:right="49"/>
        <w:contextualSpacing/>
        <w:jc w:val="both"/>
        <w:rPr>
          <w:rFonts w:ascii="Palatino Linotype" w:eastAsia="MS Mincho" w:hAnsi="Palatino Linotype" w:cstheme="majorBidi"/>
          <w:i/>
          <w:sz w:val="24"/>
          <w:szCs w:val="24"/>
          <w:lang w:eastAsia="es-ES"/>
        </w:rPr>
      </w:pPr>
    </w:p>
    <w:p w:rsidR="006A59C1" w:rsidRPr="00AE036D" w:rsidRDefault="006A59C1" w:rsidP="006A59C1">
      <w:pPr>
        <w:numPr>
          <w:ilvl w:val="0"/>
          <w:numId w:val="1"/>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AE036D">
        <w:rPr>
          <w:rFonts w:ascii="Palatino Linotype" w:eastAsia="MS Mincho" w:hAnsi="Palatino Linotype" w:cstheme="majorBidi"/>
          <w:sz w:val="24"/>
          <w:szCs w:val="24"/>
          <w:lang w:eastAsia="es-ES"/>
        </w:rPr>
        <w:lastRenderedPageBreak/>
        <w:t xml:space="preserve">Por cuanto hace al contenido del artículo 6 segundo párrafo, apartado A. fracción I </w:t>
      </w:r>
      <w:r w:rsidRPr="00AE036D">
        <w:rPr>
          <w:rFonts w:ascii="Palatino Linotype" w:eastAsia="MS Mincho" w:hAnsi="Palatino Linotype" w:cstheme="majorBidi"/>
          <w:sz w:val="24"/>
          <w:szCs w:val="24"/>
          <w:lang w:val="es-ES" w:eastAsia="es-ES"/>
        </w:rPr>
        <w:t xml:space="preserve">de la Constitución Política de los Estados Unidos Mexicanos el cual establece </w:t>
      </w:r>
      <w:r w:rsidRPr="00AE036D">
        <w:rPr>
          <w:rFonts w:ascii="Palatino Linotype" w:eastAsia="MS Mincho" w:hAnsi="Palatino Linotype" w:cstheme="majorBidi"/>
          <w:sz w:val="24"/>
          <w:szCs w:val="24"/>
          <w:lang w:eastAsia="es-ES"/>
        </w:rPr>
        <w:t xml:space="preserve">que </w:t>
      </w:r>
      <w:r w:rsidRPr="00AE036D">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AE036D">
        <w:rPr>
          <w:rFonts w:ascii="Palatino Linotype" w:eastAsia="MS Mincho" w:hAnsi="Palatino Linotype" w:cstheme="majorBidi"/>
          <w:b/>
          <w:i/>
          <w:sz w:val="24"/>
          <w:szCs w:val="24"/>
          <w:lang w:val="es-ES" w:eastAsia="es-ES"/>
        </w:rPr>
        <w:t>es pública</w:t>
      </w:r>
      <w:r w:rsidRPr="00AE036D">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A59C1" w:rsidRPr="00AE036D" w:rsidRDefault="006A59C1" w:rsidP="006A59C1">
      <w:pPr>
        <w:spacing w:after="0" w:line="360" w:lineRule="auto"/>
        <w:ind w:right="49"/>
        <w:contextualSpacing/>
        <w:jc w:val="both"/>
        <w:rPr>
          <w:rFonts w:ascii="Palatino Linotype" w:eastAsia="MS Mincho" w:hAnsi="Palatino Linotype" w:cstheme="majorBidi"/>
          <w:i/>
          <w:sz w:val="24"/>
          <w:szCs w:val="24"/>
          <w:lang w:val="es-ES" w:eastAsia="es-ES"/>
        </w:rPr>
      </w:pPr>
    </w:p>
    <w:p w:rsidR="006A59C1" w:rsidRPr="00AE036D" w:rsidRDefault="006A59C1" w:rsidP="006A59C1">
      <w:pPr>
        <w:numPr>
          <w:ilvl w:val="0"/>
          <w:numId w:val="1"/>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AE036D">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AE036D">
        <w:rPr>
          <w:rFonts w:ascii="Palatino Linotype" w:eastAsia="MS Mincho" w:hAnsi="Palatino Linotype" w:cstheme="majorBidi"/>
          <w:i/>
          <w:sz w:val="24"/>
          <w:szCs w:val="24"/>
          <w:lang w:val="es-ES_tradnl" w:eastAsia="es-ES"/>
        </w:rPr>
        <w:t>generen, administren o posean las autoridades</w:t>
      </w:r>
      <w:r w:rsidRPr="00AE036D">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6A59C1" w:rsidRPr="00AE036D" w:rsidRDefault="006A59C1" w:rsidP="006A59C1">
      <w:pPr>
        <w:spacing w:after="0" w:line="360" w:lineRule="auto"/>
        <w:ind w:right="49"/>
        <w:contextualSpacing/>
        <w:jc w:val="both"/>
        <w:rPr>
          <w:rFonts w:ascii="Palatino Linotype" w:eastAsia="MS Mincho" w:hAnsi="Palatino Linotype" w:cstheme="majorBidi"/>
          <w:i/>
          <w:sz w:val="24"/>
          <w:szCs w:val="24"/>
          <w:lang w:eastAsia="es-ES"/>
        </w:rPr>
      </w:pPr>
    </w:p>
    <w:p w:rsidR="006A59C1" w:rsidRPr="00AE036D" w:rsidRDefault="006A59C1" w:rsidP="006A59C1">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E036D">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6A59C1" w:rsidRPr="00AE036D" w:rsidRDefault="006A59C1" w:rsidP="006A59C1">
      <w:pPr>
        <w:spacing w:after="0" w:line="360" w:lineRule="auto"/>
        <w:ind w:right="49"/>
        <w:contextualSpacing/>
        <w:jc w:val="both"/>
        <w:rPr>
          <w:rFonts w:ascii="Palatino Linotype" w:eastAsia="MS Mincho" w:hAnsi="Palatino Linotype" w:cs="Times New Roman"/>
          <w:sz w:val="24"/>
          <w:szCs w:val="24"/>
          <w:lang w:val="es-ES_tradnl" w:eastAsia="es-ES"/>
        </w:rPr>
      </w:pPr>
    </w:p>
    <w:p w:rsidR="006A59C1" w:rsidRPr="00AE036D" w:rsidRDefault="006A59C1" w:rsidP="006A59C1">
      <w:pPr>
        <w:numPr>
          <w:ilvl w:val="0"/>
          <w:numId w:val="1"/>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AE036D">
        <w:rPr>
          <w:rFonts w:ascii="Palatino Linotype" w:eastAsia="MS Mincho" w:hAnsi="Palatino Linotype" w:cs="Times New Roman"/>
          <w:sz w:val="24"/>
          <w:szCs w:val="24"/>
          <w:lang w:val="es-ES_tradnl" w:eastAsia="es-ES"/>
        </w:rPr>
        <w:t xml:space="preserve">De acuerdo con el artículo 4 de la Ley en la materia, señala que </w:t>
      </w:r>
      <w:r w:rsidRPr="00AE036D">
        <w:rPr>
          <w:rFonts w:ascii="Palatino Linotype" w:eastAsia="MS Mincho" w:hAnsi="Palatino Linotype" w:cs="Times New Roman"/>
          <w:i/>
          <w:sz w:val="24"/>
          <w:szCs w:val="24"/>
          <w:lang w:val="es-ES_tradnl" w:eastAsia="es-ES"/>
        </w:rPr>
        <w:t xml:space="preserve">“el derecho humano de acceso a la información pública es la prerrogativa de las personas para buscar, difundir, </w:t>
      </w:r>
      <w:r w:rsidRPr="00AE036D">
        <w:rPr>
          <w:rFonts w:ascii="Palatino Linotype" w:eastAsia="MS Mincho" w:hAnsi="Palatino Linotype" w:cs="Times New Roman"/>
          <w:i/>
          <w:sz w:val="24"/>
          <w:szCs w:val="24"/>
          <w:lang w:val="es-ES_tradnl" w:eastAsia="es-ES"/>
        </w:rPr>
        <w:lastRenderedPageBreak/>
        <w:t>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6A59C1" w:rsidRPr="00AE036D" w:rsidRDefault="006A59C1" w:rsidP="006A59C1">
      <w:pPr>
        <w:spacing w:after="0" w:line="360" w:lineRule="auto"/>
        <w:ind w:right="49"/>
        <w:contextualSpacing/>
        <w:jc w:val="both"/>
        <w:rPr>
          <w:rFonts w:ascii="Palatino Linotype" w:eastAsia="MS Mincho" w:hAnsi="Palatino Linotype" w:cs="Times New Roman"/>
          <w:i/>
          <w:sz w:val="24"/>
          <w:szCs w:val="24"/>
          <w:lang w:val="es-ES_tradnl" w:eastAsia="es-ES"/>
        </w:rPr>
      </w:pPr>
    </w:p>
    <w:p w:rsidR="006A59C1" w:rsidRPr="00AE036D" w:rsidRDefault="006A59C1" w:rsidP="006A59C1">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E036D">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6A59C1" w:rsidRPr="00AE036D" w:rsidRDefault="006A59C1" w:rsidP="006A59C1">
      <w:pPr>
        <w:pStyle w:val="Prrafodelista"/>
        <w:spacing w:after="0" w:line="360" w:lineRule="auto"/>
        <w:rPr>
          <w:rFonts w:ascii="Palatino Linotype" w:eastAsia="MS Mincho" w:hAnsi="Palatino Linotype" w:cs="Times New Roman"/>
          <w:sz w:val="24"/>
          <w:szCs w:val="24"/>
          <w:lang w:val="es-ES_tradnl" w:eastAsia="es-ES"/>
        </w:rPr>
      </w:pPr>
    </w:p>
    <w:p w:rsidR="006A59C1" w:rsidRPr="00AE036D" w:rsidRDefault="006A59C1" w:rsidP="006A59C1">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E036D">
        <w:rPr>
          <w:rFonts w:ascii="Palatino Linotype" w:eastAsia="MS Mincho" w:hAnsi="Palatino Linotype" w:cs="Times New Roman"/>
          <w:sz w:val="24"/>
          <w:szCs w:val="24"/>
          <w:lang w:val="es-ES_tradnl" w:eastAsia="es-ES"/>
        </w:rPr>
        <w:t>Por lo que, toda la información que sea generada, poseída y administrada por el</w:t>
      </w:r>
      <w:r w:rsidRPr="00AE036D">
        <w:rPr>
          <w:rFonts w:ascii="Palatino Linotype" w:eastAsia="MS Mincho" w:hAnsi="Palatino Linotype" w:cs="Times New Roman"/>
          <w:b/>
          <w:sz w:val="24"/>
          <w:szCs w:val="24"/>
          <w:lang w:val="es-ES_tradnl" w:eastAsia="es-ES"/>
        </w:rPr>
        <w:t xml:space="preserve"> Sujeto Obligado,</w:t>
      </w:r>
      <w:r w:rsidRPr="00AE036D">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6A59C1" w:rsidRPr="00AE036D" w:rsidRDefault="006A59C1" w:rsidP="006A59C1">
      <w:pPr>
        <w:spacing w:after="0" w:line="360" w:lineRule="auto"/>
        <w:ind w:right="49"/>
        <w:contextualSpacing/>
        <w:jc w:val="both"/>
        <w:rPr>
          <w:rFonts w:ascii="Palatino Linotype" w:eastAsia="MS Mincho" w:hAnsi="Palatino Linotype" w:cs="Times New Roman"/>
          <w:sz w:val="24"/>
          <w:szCs w:val="24"/>
          <w:lang w:val="es-ES_tradnl" w:eastAsia="es-ES"/>
        </w:rPr>
      </w:pPr>
    </w:p>
    <w:p w:rsidR="006A59C1" w:rsidRPr="00AE036D" w:rsidRDefault="006A59C1" w:rsidP="006A59C1">
      <w:pPr>
        <w:keepNext/>
        <w:keepLines/>
        <w:spacing w:after="0" w:line="360" w:lineRule="auto"/>
        <w:outlineLvl w:val="0"/>
        <w:rPr>
          <w:rFonts w:ascii="Palatino Linotype" w:eastAsia="MS Gothic" w:hAnsi="Palatino Linotype" w:cstheme="majorBidi"/>
          <w:b/>
          <w:sz w:val="24"/>
          <w:szCs w:val="24"/>
          <w:lang w:val="es-ES_tradnl" w:eastAsia="es-ES"/>
        </w:rPr>
      </w:pPr>
      <w:bookmarkStart w:id="34" w:name="_Toc31301158"/>
      <w:bookmarkStart w:id="35" w:name="_Toc61622942"/>
      <w:r w:rsidRPr="00AE036D">
        <w:rPr>
          <w:rFonts w:ascii="Palatino Linotype" w:eastAsia="MS Gothic" w:hAnsi="Palatino Linotype" w:cstheme="majorBidi"/>
          <w:b/>
          <w:sz w:val="24"/>
          <w:szCs w:val="24"/>
          <w:lang w:val="es-ES_tradnl" w:eastAsia="es-ES"/>
        </w:rPr>
        <w:t>II. De la información solicitada y la respuesta del Sujeto Obligado.</w:t>
      </w:r>
      <w:bookmarkEnd w:id="34"/>
      <w:bookmarkEnd w:id="35"/>
      <w:r w:rsidRPr="00AE036D">
        <w:rPr>
          <w:rFonts w:ascii="Palatino Linotype" w:eastAsia="MS Gothic" w:hAnsi="Palatino Linotype" w:cstheme="majorBidi"/>
          <w:b/>
          <w:sz w:val="24"/>
          <w:szCs w:val="24"/>
          <w:lang w:val="es-ES_tradnl" w:eastAsia="es-ES"/>
        </w:rPr>
        <w:t xml:space="preserve"> </w:t>
      </w:r>
    </w:p>
    <w:p w:rsidR="006A59C1" w:rsidRPr="00AE036D" w:rsidRDefault="006A59C1" w:rsidP="006A59C1">
      <w:pPr>
        <w:spacing w:after="0" w:line="360" w:lineRule="auto"/>
        <w:ind w:right="49"/>
        <w:contextualSpacing/>
        <w:jc w:val="both"/>
        <w:rPr>
          <w:rFonts w:ascii="Palatino Linotype" w:eastAsia="MS Mincho" w:hAnsi="Palatino Linotype" w:cs="Times New Roman"/>
          <w:sz w:val="24"/>
          <w:szCs w:val="24"/>
          <w:lang w:val="es-ES_tradnl" w:eastAsia="es-ES"/>
        </w:rPr>
      </w:pPr>
    </w:p>
    <w:p w:rsidR="006A59C1" w:rsidRPr="00AE036D" w:rsidRDefault="006A59C1" w:rsidP="006A59C1">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E036D">
        <w:rPr>
          <w:rFonts w:ascii="Palatino Linotype" w:eastAsia="MS Mincho" w:hAnsi="Palatino Linotype" w:cs="Times New Roman"/>
          <w:sz w:val="24"/>
          <w:szCs w:val="24"/>
          <w:lang w:val="es-ES_tradnl" w:eastAsia="es-ES"/>
        </w:rPr>
        <w:t xml:space="preserve">Para proceder al análisis del presente asunto, es necesario recapitular lo que el particular solicitó del </w:t>
      </w:r>
      <w:r w:rsidRPr="00AE036D">
        <w:rPr>
          <w:rFonts w:ascii="Palatino Linotype" w:eastAsia="MS Mincho" w:hAnsi="Palatino Linotype" w:cs="Times New Roman"/>
          <w:b/>
          <w:sz w:val="24"/>
          <w:szCs w:val="24"/>
          <w:lang w:val="es-ES_tradnl" w:eastAsia="es-ES"/>
        </w:rPr>
        <w:t>Sujeto Obligado</w:t>
      </w:r>
      <w:r w:rsidRPr="00AE036D">
        <w:rPr>
          <w:rFonts w:ascii="Palatino Linotype" w:eastAsia="MS Mincho" w:hAnsi="Palatino Linotype" w:cs="Times New Roman"/>
          <w:sz w:val="24"/>
          <w:szCs w:val="24"/>
          <w:lang w:val="es-ES_tradnl" w:eastAsia="es-ES"/>
        </w:rPr>
        <w:t xml:space="preserve">: </w:t>
      </w:r>
    </w:p>
    <w:p w:rsidR="006A59C1" w:rsidRPr="00AE036D" w:rsidRDefault="006A59C1" w:rsidP="006A59C1">
      <w:pPr>
        <w:pStyle w:val="Prrafodelista"/>
        <w:tabs>
          <w:tab w:val="left" w:pos="142"/>
        </w:tabs>
        <w:spacing w:after="0" w:line="360" w:lineRule="auto"/>
        <w:ind w:left="0" w:right="49"/>
        <w:jc w:val="both"/>
        <w:rPr>
          <w:rFonts w:ascii="Palatino Linotype" w:eastAsia="MS Mincho" w:hAnsi="Palatino Linotype" w:cs="Times New Roman"/>
          <w:sz w:val="24"/>
        </w:rPr>
      </w:pPr>
    </w:p>
    <w:p w:rsidR="006A59C1" w:rsidRPr="00AE036D" w:rsidRDefault="006A59C1" w:rsidP="006A59C1">
      <w:pPr>
        <w:pStyle w:val="Prrafodelista"/>
        <w:numPr>
          <w:ilvl w:val="0"/>
          <w:numId w:val="5"/>
        </w:numPr>
        <w:spacing w:after="0" w:line="360" w:lineRule="auto"/>
        <w:ind w:right="567"/>
        <w:jc w:val="both"/>
        <w:rPr>
          <w:rFonts w:ascii="Palatino Linotype" w:hAnsi="Palatino Linotype"/>
          <w:b/>
          <w:iCs/>
          <w:color w:val="000000"/>
          <w:sz w:val="24"/>
          <w:szCs w:val="24"/>
        </w:rPr>
      </w:pPr>
      <w:r w:rsidRPr="00AE036D">
        <w:rPr>
          <w:rFonts w:ascii="Palatino Linotype" w:hAnsi="Palatino Linotype"/>
          <w:b/>
          <w:color w:val="000000"/>
          <w:sz w:val="24"/>
          <w:szCs w:val="24"/>
        </w:rPr>
        <w:t>Balanza de comprobación del municipio de Teoloyucan, del Instituto Municipal de Cultura Física y Deporte de Teoloyucan</w:t>
      </w:r>
      <w:r w:rsidR="00C514BC" w:rsidRPr="00AE036D">
        <w:rPr>
          <w:rFonts w:ascii="Palatino Linotype" w:hAnsi="Palatino Linotype"/>
          <w:b/>
          <w:color w:val="000000"/>
          <w:sz w:val="24"/>
          <w:szCs w:val="24"/>
        </w:rPr>
        <w:t xml:space="preserve">, del Organismo Público Descentralizado para la Prestación de los Servicios de Agua Potable, Alcantarillado y </w:t>
      </w:r>
      <w:proofErr w:type="gramStart"/>
      <w:r w:rsidR="00C514BC" w:rsidRPr="00AE036D">
        <w:rPr>
          <w:rFonts w:ascii="Palatino Linotype" w:hAnsi="Palatino Linotype"/>
          <w:b/>
          <w:color w:val="000000"/>
          <w:sz w:val="24"/>
          <w:szCs w:val="24"/>
        </w:rPr>
        <w:t>Saneamiento</w:t>
      </w:r>
      <w:proofErr w:type="gramEnd"/>
      <w:r w:rsidR="00C514BC" w:rsidRPr="00AE036D">
        <w:rPr>
          <w:rFonts w:ascii="Palatino Linotype" w:hAnsi="Palatino Linotype"/>
          <w:b/>
          <w:color w:val="000000"/>
          <w:sz w:val="24"/>
          <w:szCs w:val="24"/>
        </w:rPr>
        <w:t xml:space="preserve"> así como</w:t>
      </w:r>
      <w:r w:rsidRPr="00AE036D">
        <w:rPr>
          <w:rFonts w:ascii="Palatino Linotype" w:hAnsi="Palatino Linotype"/>
          <w:b/>
          <w:color w:val="000000"/>
          <w:sz w:val="24"/>
          <w:szCs w:val="24"/>
        </w:rPr>
        <w:t xml:space="preserve"> del Sistema Municipal para el Desarrollo Integral de la Familia de Teoloyucan, en formato PDF o EXCEL del año 2019 y de enero a septiembre del año dos mil veinte.</w:t>
      </w:r>
    </w:p>
    <w:p w:rsidR="006A59C1" w:rsidRPr="00AE036D" w:rsidRDefault="006A59C1" w:rsidP="006A59C1">
      <w:pPr>
        <w:pStyle w:val="Prrafodelista"/>
        <w:tabs>
          <w:tab w:val="left" w:pos="0"/>
        </w:tabs>
        <w:spacing w:after="0" w:line="360" w:lineRule="auto"/>
        <w:ind w:left="0" w:right="-567"/>
        <w:jc w:val="both"/>
        <w:rPr>
          <w:rFonts w:ascii="Palatino Linotype" w:hAnsi="Palatino Linotype" w:cs="Arial"/>
          <w:sz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AE036D">
        <w:rPr>
          <w:rFonts w:ascii="Palatino Linotype" w:hAnsi="Palatino Linotype"/>
          <w:sz w:val="24"/>
        </w:rPr>
        <w:t>En respuesta, el SUJETO OBLIGADO anexa un total de cinco documentos, cuatro de ellos son emitidos por los titulares de las áreas de las que se requiere la balanza de comprobación del año dos mil diecinueve y de enero a septiembre del año dos mil veinte.</w:t>
      </w:r>
    </w:p>
    <w:p w:rsidR="006A59C1" w:rsidRPr="00AE036D" w:rsidRDefault="006A59C1" w:rsidP="006A59C1">
      <w:pPr>
        <w:pStyle w:val="Prrafodelista"/>
        <w:tabs>
          <w:tab w:val="left" w:pos="0"/>
        </w:tabs>
        <w:spacing w:after="0" w:line="360" w:lineRule="auto"/>
        <w:ind w:left="0" w:right="48"/>
        <w:jc w:val="both"/>
        <w:rPr>
          <w:rFonts w:ascii="Palatino Linotype" w:hAnsi="Palatino Linotype"/>
          <w:i/>
          <w:sz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i/>
          <w:sz w:val="24"/>
          <w:szCs w:val="24"/>
        </w:rPr>
      </w:pPr>
      <w:r w:rsidRPr="00AE036D">
        <w:rPr>
          <w:rFonts w:ascii="Palatino Linotype" w:hAnsi="Palatino Linotype"/>
          <w:sz w:val="24"/>
          <w:szCs w:val="24"/>
        </w:rPr>
        <w:t>El primer documento es emitido por el Tesorero del Sistema Municipal para el Desarrollo Integral de la Familia a la Titular de la Unidad de Transparencia, mediante el cual manifiesta que se encuentran en proceso de auditoria ordenada por el Órgano Superior de Fiscalización del Estado de México bajo la orden de Auditoria OSFEM/AED/667/2020, por lo que es imposible proporcionar la información solicitada:</w:t>
      </w:r>
    </w:p>
    <w:p w:rsidR="006A59C1" w:rsidRPr="00AE036D" w:rsidRDefault="006A59C1" w:rsidP="006A59C1">
      <w:pPr>
        <w:pStyle w:val="Prrafodelista"/>
        <w:rPr>
          <w:rFonts w:ascii="Palatino Linotype" w:hAnsi="Palatino Linotype"/>
          <w:i/>
          <w:sz w:val="24"/>
        </w:rPr>
      </w:pPr>
    </w:p>
    <w:p w:rsidR="006A59C1" w:rsidRPr="00AE036D" w:rsidRDefault="006A59C1" w:rsidP="006A59C1">
      <w:pPr>
        <w:pStyle w:val="Prrafodelista"/>
        <w:tabs>
          <w:tab w:val="left" w:pos="0"/>
        </w:tabs>
        <w:spacing w:after="0" w:line="360" w:lineRule="auto"/>
        <w:ind w:left="0" w:right="48"/>
        <w:jc w:val="both"/>
        <w:rPr>
          <w:rFonts w:ascii="Palatino Linotype" w:hAnsi="Palatino Linotype"/>
          <w:i/>
          <w:sz w:val="24"/>
        </w:rPr>
      </w:pPr>
      <w:r w:rsidRPr="00AE036D">
        <w:rPr>
          <w:noProof/>
          <w:lang w:eastAsia="es-MX"/>
        </w:rPr>
        <w:lastRenderedPageBreak/>
        <w:drawing>
          <wp:inline distT="0" distB="0" distL="0" distR="0" wp14:anchorId="1D8A2431" wp14:editId="579B35D4">
            <wp:extent cx="7141935" cy="5737225"/>
            <wp:effectExtent l="0" t="254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794" t="22996" r="23325" b="7290"/>
                    <a:stretch/>
                  </pic:blipFill>
                  <pic:spPr bwMode="auto">
                    <a:xfrm rot="16200000">
                      <a:off x="0" y="0"/>
                      <a:ext cx="7161159" cy="5752668"/>
                    </a:xfrm>
                    <a:prstGeom prst="rect">
                      <a:avLst/>
                    </a:prstGeom>
                    <a:ln>
                      <a:noFill/>
                    </a:ln>
                    <a:extLst>
                      <a:ext uri="{53640926-AAD7-44D8-BBD7-CCE9431645EC}">
                        <a14:shadowObscured xmlns:a14="http://schemas.microsoft.com/office/drawing/2010/main"/>
                      </a:ext>
                    </a:extLst>
                  </pic:spPr>
                </pic:pic>
              </a:graphicData>
            </a:graphic>
          </wp:inline>
        </w:drawing>
      </w:r>
    </w:p>
    <w:p w:rsidR="006A59C1" w:rsidRPr="00AE036D" w:rsidRDefault="006A59C1" w:rsidP="006A59C1">
      <w:pPr>
        <w:pStyle w:val="Prrafodelista"/>
        <w:tabs>
          <w:tab w:val="left" w:pos="0"/>
        </w:tabs>
        <w:spacing w:after="0" w:line="360" w:lineRule="auto"/>
        <w:ind w:left="0" w:right="48"/>
        <w:jc w:val="both"/>
        <w:rPr>
          <w:rFonts w:ascii="Palatino Linotype" w:hAnsi="Palatino Linotype"/>
          <w:i/>
          <w:sz w:val="24"/>
        </w:rPr>
      </w:pPr>
      <w:r w:rsidRPr="00AE036D">
        <w:rPr>
          <w:noProof/>
          <w:lang w:eastAsia="es-MX"/>
        </w:rPr>
        <w:lastRenderedPageBreak/>
        <w:drawing>
          <wp:inline distT="0" distB="0" distL="0" distR="0" wp14:anchorId="786CF189" wp14:editId="067B07B7">
            <wp:extent cx="7329341" cy="5705475"/>
            <wp:effectExtent l="0" t="7303"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43" t="20711" r="21682" b="5524"/>
                    <a:stretch/>
                  </pic:blipFill>
                  <pic:spPr bwMode="auto">
                    <a:xfrm rot="16200000">
                      <a:off x="0" y="0"/>
                      <a:ext cx="7344236" cy="5717070"/>
                    </a:xfrm>
                    <a:prstGeom prst="rect">
                      <a:avLst/>
                    </a:prstGeom>
                    <a:ln>
                      <a:noFill/>
                    </a:ln>
                    <a:extLst>
                      <a:ext uri="{53640926-AAD7-44D8-BBD7-CCE9431645EC}">
                        <a14:shadowObscured xmlns:a14="http://schemas.microsoft.com/office/drawing/2010/main"/>
                      </a:ext>
                    </a:extLst>
                  </pic:spPr>
                </pic:pic>
              </a:graphicData>
            </a:graphic>
          </wp:inline>
        </w:drawing>
      </w: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sz w:val="24"/>
          <w:szCs w:val="24"/>
        </w:rPr>
      </w:pPr>
      <w:r w:rsidRPr="00AE036D">
        <w:rPr>
          <w:rFonts w:ascii="Palatino Linotype" w:hAnsi="Palatino Linotype"/>
          <w:sz w:val="24"/>
          <w:szCs w:val="24"/>
        </w:rPr>
        <w:lastRenderedPageBreak/>
        <w:t>Asimismo, anexan el oficio mediante el cual el Órgano Superior de Fiscalización informa al presidente del Sistema Municipal del Desarrollo Integral de la Familia, de la orden de la auditoria referente a la cuenta pública de dos mil diecinueve.</w:t>
      </w:r>
    </w:p>
    <w:p w:rsidR="006A59C1" w:rsidRPr="00AE036D" w:rsidRDefault="006A59C1" w:rsidP="006A59C1">
      <w:pPr>
        <w:pStyle w:val="Prrafodelista"/>
        <w:tabs>
          <w:tab w:val="left" w:pos="0"/>
        </w:tabs>
        <w:spacing w:after="0" w:line="360" w:lineRule="auto"/>
        <w:ind w:left="0" w:right="48"/>
        <w:jc w:val="both"/>
        <w:rPr>
          <w:rFonts w:ascii="Palatino Linotype" w:hAnsi="Palatino Linotype"/>
          <w:i/>
          <w:sz w:val="24"/>
          <w:szCs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i/>
          <w:sz w:val="24"/>
          <w:szCs w:val="24"/>
        </w:rPr>
      </w:pPr>
      <w:r w:rsidRPr="00AE036D">
        <w:rPr>
          <w:rFonts w:ascii="Palatino Linotype" w:hAnsi="Palatino Linotype"/>
          <w:sz w:val="24"/>
          <w:szCs w:val="24"/>
        </w:rPr>
        <w:t xml:space="preserve">El siguiente documento es emitido por la Tesorera Municipal y dirigido a la Titular de la Unidad de Transparencia, mediante el cual manifiesta que la tesorería se encuentra bajo un proceso de auditoria ordenada por el Órgano Superior de Fiscalización del Estado de México bajo la orden de Auditoria OSFEM/AED/666/2020, por lo que es imposible proporcionar la información solicitada. Asimismo, anexa el acta de inicio de la Auditoria de Desempeño número Acta/005/CP2019: </w:t>
      </w:r>
    </w:p>
    <w:p w:rsidR="006A59C1" w:rsidRPr="00AE036D" w:rsidRDefault="006A59C1" w:rsidP="006A59C1">
      <w:pPr>
        <w:pStyle w:val="Prrafodelista"/>
        <w:tabs>
          <w:tab w:val="left" w:pos="0"/>
        </w:tabs>
        <w:spacing w:after="0" w:line="360" w:lineRule="auto"/>
        <w:ind w:left="0" w:right="48"/>
        <w:jc w:val="both"/>
        <w:rPr>
          <w:rFonts w:ascii="Palatino Linotype" w:hAnsi="Palatino Linotype"/>
          <w:i/>
          <w:sz w:val="24"/>
          <w:szCs w:val="24"/>
        </w:rPr>
      </w:pPr>
      <w:r w:rsidRPr="00AE036D">
        <w:rPr>
          <w:noProof/>
          <w:lang w:eastAsia="es-MX"/>
        </w:rPr>
        <w:lastRenderedPageBreak/>
        <w:drawing>
          <wp:inline distT="0" distB="0" distL="0" distR="0" wp14:anchorId="38E39D2C" wp14:editId="0F11627A">
            <wp:extent cx="7234999" cy="5694426"/>
            <wp:effectExtent l="8255"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37" t="22144" r="20295" b="6441"/>
                    <a:stretch/>
                  </pic:blipFill>
                  <pic:spPr bwMode="auto">
                    <a:xfrm rot="16200000">
                      <a:off x="0" y="0"/>
                      <a:ext cx="7251037" cy="5707049"/>
                    </a:xfrm>
                    <a:prstGeom prst="rect">
                      <a:avLst/>
                    </a:prstGeom>
                    <a:ln>
                      <a:noFill/>
                    </a:ln>
                    <a:extLst>
                      <a:ext uri="{53640926-AAD7-44D8-BBD7-CCE9431645EC}">
                        <a14:shadowObscured xmlns:a14="http://schemas.microsoft.com/office/drawing/2010/main"/>
                      </a:ext>
                    </a:extLst>
                  </pic:spPr>
                </pic:pic>
              </a:graphicData>
            </a:graphic>
          </wp:inline>
        </w:drawing>
      </w:r>
    </w:p>
    <w:p w:rsidR="006A59C1" w:rsidRPr="00AE036D" w:rsidRDefault="006A59C1" w:rsidP="006A59C1">
      <w:pPr>
        <w:pStyle w:val="Prrafodelista"/>
        <w:tabs>
          <w:tab w:val="left" w:pos="0"/>
        </w:tabs>
        <w:spacing w:after="0" w:line="360" w:lineRule="auto"/>
        <w:ind w:left="0" w:right="48"/>
        <w:jc w:val="both"/>
        <w:rPr>
          <w:rFonts w:ascii="Palatino Linotype" w:hAnsi="Palatino Linotype"/>
          <w:i/>
          <w:sz w:val="24"/>
          <w:szCs w:val="24"/>
        </w:rPr>
      </w:pPr>
    </w:p>
    <w:p w:rsidR="006A59C1" w:rsidRPr="00AE036D" w:rsidRDefault="006A59C1" w:rsidP="006A59C1">
      <w:pPr>
        <w:pStyle w:val="Prrafodelista"/>
        <w:tabs>
          <w:tab w:val="left" w:pos="0"/>
        </w:tabs>
        <w:spacing w:after="0" w:line="360" w:lineRule="auto"/>
        <w:ind w:left="0" w:right="48"/>
        <w:jc w:val="both"/>
        <w:rPr>
          <w:rFonts w:ascii="Palatino Linotype" w:hAnsi="Palatino Linotype"/>
          <w:i/>
          <w:sz w:val="24"/>
          <w:szCs w:val="24"/>
        </w:rPr>
      </w:pPr>
      <w:r w:rsidRPr="00AE036D">
        <w:rPr>
          <w:noProof/>
          <w:lang w:eastAsia="es-MX"/>
        </w:rPr>
        <w:lastRenderedPageBreak/>
        <w:drawing>
          <wp:inline distT="0" distB="0" distL="0" distR="0" wp14:anchorId="28FB8C5B" wp14:editId="55445513">
            <wp:extent cx="6798460" cy="5514975"/>
            <wp:effectExtent l="0" t="6033"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362" t="14469" r="20566" b="7510"/>
                    <a:stretch/>
                  </pic:blipFill>
                  <pic:spPr bwMode="auto">
                    <a:xfrm rot="16200000">
                      <a:off x="0" y="0"/>
                      <a:ext cx="6802829" cy="5518519"/>
                    </a:xfrm>
                    <a:prstGeom prst="rect">
                      <a:avLst/>
                    </a:prstGeom>
                    <a:ln>
                      <a:noFill/>
                    </a:ln>
                    <a:extLst>
                      <a:ext uri="{53640926-AAD7-44D8-BBD7-CCE9431645EC}">
                        <a14:shadowObscured xmlns:a14="http://schemas.microsoft.com/office/drawing/2010/main"/>
                      </a:ext>
                    </a:extLst>
                  </pic:spPr>
                </pic:pic>
              </a:graphicData>
            </a:graphic>
          </wp:inline>
        </w:drawing>
      </w:r>
    </w:p>
    <w:p w:rsidR="006A59C1" w:rsidRPr="00AE036D" w:rsidRDefault="006A59C1" w:rsidP="006A59C1">
      <w:pPr>
        <w:pStyle w:val="Prrafodelista"/>
        <w:tabs>
          <w:tab w:val="left" w:pos="0"/>
        </w:tabs>
        <w:spacing w:after="0" w:line="360" w:lineRule="auto"/>
        <w:ind w:left="0" w:right="48"/>
        <w:jc w:val="both"/>
        <w:rPr>
          <w:rFonts w:ascii="Palatino Linotype" w:hAnsi="Palatino Linotype"/>
          <w:i/>
          <w:sz w:val="24"/>
          <w:szCs w:val="24"/>
        </w:rPr>
      </w:pPr>
      <w:r w:rsidRPr="00AE036D">
        <w:rPr>
          <w:noProof/>
          <w:lang w:eastAsia="es-MX"/>
        </w:rPr>
        <w:lastRenderedPageBreak/>
        <w:drawing>
          <wp:inline distT="0" distB="0" distL="0" distR="0" wp14:anchorId="3980A7D3" wp14:editId="17B30F0A">
            <wp:extent cx="7563213" cy="5567365"/>
            <wp:effectExtent l="7302" t="0" r="7303" b="7302"/>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76" t="18442" r="22002" b="6374"/>
                    <a:stretch/>
                  </pic:blipFill>
                  <pic:spPr bwMode="auto">
                    <a:xfrm rot="16200000">
                      <a:off x="0" y="0"/>
                      <a:ext cx="7589077" cy="5586404"/>
                    </a:xfrm>
                    <a:prstGeom prst="rect">
                      <a:avLst/>
                    </a:prstGeom>
                    <a:ln>
                      <a:noFill/>
                    </a:ln>
                    <a:extLst>
                      <a:ext uri="{53640926-AAD7-44D8-BBD7-CCE9431645EC}">
                        <a14:shadowObscured xmlns:a14="http://schemas.microsoft.com/office/drawing/2010/main"/>
                      </a:ext>
                    </a:extLst>
                  </pic:spPr>
                </pic:pic>
              </a:graphicData>
            </a:graphic>
          </wp:inline>
        </w:drawing>
      </w:r>
    </w:p>
    <w:p w:rsidR="006A59C1" w:rsidRPr="00AE036D" w:rsidRDefault="006A59C1" w:rsidP="006A59C1">
      <w:pPr>
        <w:pStyle w:val="Prrafodelista"/>
        <w:numPr>
          <w:ilvl w:val="0"/>
          <w:numId w:val="1"/>
        </w:numPr>
        <w:spacing w:after="0" w:line="360" w:lineRule="auto"/>
        <w:ind w:left="0" w:right="332" w:firstLine="0"/>
        <w:jc w:val="both"/>
        <w:rPr>
          <w:rFonts w:ascii="Palatino Linotype" w:eastAsia="MS Mincho" w:hAnsi="Palatino Linotype" w:cs="Arial"/>
          <w:i/>
          <w:sz w:val="24"/>
          <w:szCs w:val="24"/>
          <w:lang w:val="es-ES_tradnl" w:eastAsia="es-ES"/>
        </w:rPr>
      </w:pPr>
      <w:r w:rsidRPr="00AE036D">
        <w:rPr>
          <w:rFonts w:ascii="Palatino Linotype" w:hAnsi="Palatino Linotype"/>
          <w:sz w:val="24"/>
        </w:rPr>
        <w:lastRenderedPageBreak/>
        <w:t>Asimismo, se adjuntó un documento por</w:t>
      </w:r>
      <w:r w:rsidRPr="00AE036D">
        <w:rPr>
          <w:rFonts w:ascii="Palatino Linotype" w:hAnsi="Palatino Linotype"/>
          <w:i/>
          <w:sz w:val="24"/>
        </w:rPr>
        <w:t xml:space="preserve"> </w:t>
      </w:r>
      <w:r w:rsidRPr="00AE036D">
        <w:rPr>
          <w:rFonts w:ascii="Palatino Linotype" w:hAnsi="Palatino Linotype"/>
          <w:sz w:val="24"/>
          <w:szCs w:val="24"/>
        </w:rPr>
        <w:t>el</w:t>
      </w:r>
      <w:r w:rsidRPr="00AE036D">
        <w:rPr>
          <w:rFonts w:ascii="Palatino Linotype" w:hAnsi="Palatino Linotype"/>
          <w:i/>
          <w:sz w:val="24"/>
          <w:szCs w:val="24"/>
        </w:rPr>
        <w:t xml:space="preserve"> </w:t>
      </w:r>
      <w:r w:rsidRPr="00AE036D">
        <w:rPr>
          <w:rFonts w:ascii="Palatino Linotype" w:hAnsi="Palatino Linotype"/>
          <w:color w:val="000000"/>
          <w:sz w:val="24"/>
          <w:szCs w:val="24"/>
        </w:rPr>
        <w:t xml:space="preserve">Instituto Municipal de Cultura Física y Deporte de Teoloyucan </w:t>
      </w:r>
      <w:r w:rsidRPr="00AE036D">
        <w:rPr>
          <w:rFonts w:ascii="Palatino Linotype" w:hAnsi="Palatino Linotype"/>
          <w:sz w:val="24"/>
          <w:szCs w:val="24"/>
        </w:rPr>
        <w:t xml:space="preserve">con número de oficio </w:t>
      </w:r>
      <w:proofErr w:type="spellStart"/>
      <w:r w:rsidRPr="00AE036D">
        <w:rPr>
          <w:rFonts w:ascii="Palatino Linotype" w:hAnsi="Palatino Linotype"/>
          <w:sz w:val="24"/>
          <w:szCs w:val="24"/>
        </w:rPr>
        <w:t>DFyA</w:t>
      </w:r>
      <w:proofErr w:type="spellEnd"/>
      <w:r w:rsidRPr="00AE036D">
        <w:rPr>
          <w:rFonts w:ascii="Palatino Linotype" w:hAnsi="Palatino Linotype"/>
          <w:sz w:val="24"/>
          <w:szCs w:val="24"/>
        </w:rPr>
        <w:t>/</w:t>
      </w:r>
      <w:proofErr w:type="spellStart"/>
      <w:r w:rsidRPr="00AE036D">
        <w:rPr>
          <w:rFonts w:ascii="Palatino Linotype" w:hAnsi="Palatino Linotype"/>
          <w:sz w:val="24"/>
          <w:szCs w:val="24"/>
        </w:rPr>
        <w:t>Imcufidete</w:t>
      </w:r>
      <w:proofErr w:type="spellEnd"/>
      <w:r w:rsidRPr="00AE036D">
        <w:rPr>
          <w:rFonts w:ascii="Palatino Linotype" w:hAnsi="Palatino Linotype"/>
          <w:sz w:val="24"/>
          <w:szCs w:val="24"/>
        </w:rPr>
        <w:t>/042/2020, dirigido a la Titular de la Unidad de Transparencia, mediante el cual fundamenta su respuesta en el artículo 140 fracción V de la Ley de Transparencia y Acceso a la Información Pública del Estado de México y sus Municipios:</w:t>
      </w:r>
    </w:p>
    <w:p w:rsidR="006A59C1" w:rsidRPr="00AE036D" w:rsidRDefault="006A59C1" w:rsidP="006A59C1">
      <w:pPr>
        <w:pStyle w:val="Prrafodelista"/>
        <w:spacing w:after="0" w:line="360" w:lineRule="auto"/>
        <w:ind w:left="0" w:right="332"/>
        <w:jc w:val="both"/>
        <w:rPr>
          <w:rFonts w:ascii="Palatino Linotype" w:eastAsia="MS Mincho" w:hAnsi="Palatino Linotype" w:cs="Arial"/>
          <w:i/>
          <w:sz w:val="24"/>
          <w:szCs w:val="24"/>
          <w:lang w:val="es-ES_tradnl" w:eastAsia="es-ES"/>
        </w:rPr>
      </w:pPr>
    </w:p>
    <w:p w:rsidR="006A59C1" w:rsidRPr="00AE036D" w:rsidRDefault="006A59C1" w:rsidP="006A59C1">
      <w:pPr>
        <w:pStyle w:val="Prrafodelista"/>
        <w:spacing w:after="0" w:line="360" w:lineRule="auto"/>
        <w:ind w:left="0" w:right="332"/>
        <w:jc w:val="both"/>
        <w:rPr>
          <w:rFonts w:ascii="Palatino Linotype" w:eastAsia="MS Mincho" w:hAnsi="Palatino Linotype" w:cs="Arial"/>
          <w:i/>
          <w:sz w:val="24"/>
          <w:szCs w:val="24"/>
          <w:lang w:val="es-ES_tradnl" w:eastAsia="es-ES"/>
        </w:rPr>
      </w:pPr>
      <w:r w:rsidRPr="00AE036D">
        <w:rPr>
          <w:noProof/>
          <w:lang w:eastAsia="es-MX"/>
        </w:rPr>
        <w:drawing>
          <wp:inline distT="0" distB="0" distL="0" distR="0" wp14:anchorId="4B54ADC0" wp14:editId="0A9A84A8">
            <wp:extent cx="5379720" cy="5687257"/>
            <wp:effectExtent l="0" t="127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63" t="13902" r="21204" b="5807"/>
                    <a:stretch/>
                  </pic:blipFill>
                  <pic:spPr bwMode="auto">
                    <a:xfrm rot="16200000">
                      <a:off x="0" y="0"/>
                      <a:ext cx="5391289" cy="5699487"/>
                    </a:xfrm>
                    <a:prstGeom prst="rect">
                      <a:avLst/>
                    </a:prstGeom>
                    <a:ln>
                      <a:noFill/>
                    </a:ln>
                    <a:extLst>
                      <a:ext uri="{53640926-AAD7-44D8-BBD7-CCE9431645EC}">
                        <a14:shadowObscured xmlns:a14="http://schemas.microsoft.com/office/drawing/2010/main"/>
                      </a:ext>
                    </a:extLst>
                  </pic:spPr>
                </pic:pic>
              </a:graphicData>
            </a:graphic>
          </wp:inline>
        </w:drawing>
      </w:r>
    </w:p>
    <w:p w:rsidR="006A59C1" w:rsidRPr="00AE036D" w:rsidRDefault="006A59C1" w:rsidP="006A59C1">
      <w:pPr>
        <w:pStyle w:val="Prrafodelista"/>
        <w:tabs>
          <w:tab w:val="left" w:pos="0"/>
        </w:tabs>
        <w:spacing w:after="0" w:line="360" w:lineRule="auto"/>
        <w:ind w:left="0" w:right="-567"/>
        <w:jc w:val="both"/>
        <w:rPr>
          <w:rFonts w:ascii="Palatino Linotype" w:hAnsi="Palatino Linotype"/>
          <w:i/>
          <w:sz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i/>
          <w:sz w:val="24"/>
        </w:rPr>
      </w:pPr>
      <w:r w:rsidRPr="00AE036D">
        <w:rPr>
          <w:rFonts w:ascii="Palatino Linotype" w:hAnsi="Palatino Linotype"/>
        </w:rPr>
        <w:lastRenderedPageBreak/>
        <w:t>Por parte del Director General del Organismo Público Descentralizado para la Prestación de los Servicios de Agua Potable, Alcantarillado y Saneamiento del Municipio de Teoloyucan se recibió un oficio con número OPDAPAS/DIRGRAL/OMA/099/2020 de fecha veintinueve de septiembre dirigido  a la Titular de la Unidad de Transparencia, mediante el cual solicita una prórroga para la entrega de la información, manifestando que se encuentran bajo Auditoria, además de estar en procesa de entrega del informe mensual, por lo que le es técnicamente imposible entregar la información en el término concedido para ello:</w:t>
      </w:r>
    </w:p>
    <w:p w:rsidR="006A59C1" w:rsidRPr="00AE036D" w:rsidRDefault="006A59C1" w:rsidP="006A59C1">
      <w:pPr>
        <w:pStyle w:val="Prrafodelista"/>
        <w:tabs>
          <w:tab w:val="left" w:pos="0"/>
        </w:tabs>
        <w:spacing w:after="0" w:line="360" w:lineRule="auto"/>
        <w:ind w:left="0" w:right="-567"/>
        <w:jc w:val="both"/>
        <w:rPr>
          <w:rFonts w:ascii="Palatino Linotype" w:hAnsi="Palatino Linotype"/>
          <w:i/>
          <w:sz w:val="24"/>
        </w:rPr>
      </w:pPr>
    </w:p>
    <w:p w:rsidR="006A59C1" w:rsidRPr="00AE036D" w:rsidRDefault="006A59C1" w:rsidP="006A59C1">
      <w:pPr>
        <w:pStyle w:val="Prrafodelista"/>
        <w:tabs>
          <w:tab w:val="left" w:pos="0"/>
        </w:tabs>
        <w:spacing w:after="0" w:line="360" w:lineRule="auto"/>
        <w:ind w:left="0" w:right="-567"/>
        <w:jc w:val="both"/>
        <w:rPr>
          <w:rFonts w:ascii="Palatino Linotype" w:hAnsi="Palatino Linotype"/>
          <w:i/>
          <w:sz w:val="24"/>
        </w:rPr>
      </w:pPr>
      <w:r w:rsidRPr="00AE036D">
        <w:rPr>
          <w:noProof/>
          <w:lang w:eastAsia="es-MX"/>
        </w:rPr>
        <w:drawing>
          <wp:inline distT="0" distB="0" distL="0" distR="0" wp14:anchorId="64DFD5B4" wp14:editId="7A164ED3">
            <wp:extent cx="4917326" cy="5718402"/>
            <wp:effectExtent l="0" t="635"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385" t="19292" r="12431" b="10914"/>
                    <a:stretch/>
                  </pic:blipFill>
                  <pic:spPr bwMode="auto">
                    <a:xfrm rot="16200000">
                      <a:off x="0" y="0"/>
                      <a:ext cx="4947571" cy="5753574"/>
                    </a:xfrm>
                    <a:prstGeom prst="rect">
                      <a:avLst/>
                    </a:prstGeom>
                    <a:ln>
                      <a:noFill/>
                    </a:ln>
                    <a:extLst>
                      <a:ext uri="{53640926-AAD7-44D8-BBD7-CCE9431645EC}">
                        <a14:shadowObscured xmlns:a14="http://schemas.microsoft.com/office/drawing/2010/main"/>
                      </a:ext>
                    </a:extLst>
                  </pic:spPr>
                </pic:pic>
              </a:graphicData>
            </a:graphic>
          </wp:inline>
        </w:drawing>
      </w:r>
    </w:p>
    <w:p w:rsidR="006A59C1" w:rsidRPr="00AE036D" w:rsidRDefault="006A59C1" w:rsidP="006A59C1">
      <w:pPr>
        <w:pStyle w:val="Prrafodelista"/>
        <w:tabs>
          <w:tab w:val="left" w:pos="0"/>
        </w:tabs>
        <w:spacing w:after="0" w:line="360" w:lineRule="auto"/>
        <w:ind w:left="0" w:right="-567"/>
        <w:jc w:val="both"/>
        <w:rPr>
          <w:rFonts w:ascii="Palatino Linotype" w:hAnsi="Palatino Linotype"/>
          <w:i/>
          <w:sz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AE036D">
        <w:rPr>
          <w:rFonts w:ascii="Palatino Linotype" w:hAnsi="Palatino Linotype"/>
          <w:sz w:val="24"/>
        </w:rPr>
        <w:lastRenderedPageBreak/>
        <w:t>En este contexto, tenemos que el documento solicitado es la balanza de comprobación, documento que de acuerdo al disco 1 de  los Lineamientos para la entrega del Informe Mensual, emitido por el Órgano Superior de Fiscalización del Estado de México, debe ser remitido de forma mensual a dicho órgano, el cual debe remitirse en formato .</w:t>
      </w:r>
      <w:proofErr w:type="spellStart"/>
      <w:r w:rsidRPr="00AE036D">
        <w:rPr>
          <w:rFonts w:ascii="Palatino Linotype" w:hAnsi="Palatino Linotype"/>
          <w:sz w:val="24"/>
        </w:rPr>
        <w:t>pdf</w:t>
      </w:r>
      <w:proofErr w:type="spellEnd"/>
      <w:r w:rsidRPr="00AE036D">
        <w:rPr>
          <w:rFonts w:ascii="Palatino Linotype" w:hAnsi="Palatino Linotype"/>
          <w:sz w:val="24"/>
        </w:rPr>
        <w:t>, .xls y .</w:t>
      </w:r>
      <w:proofErr w:type="spellStart"/>
      <w:r w:rsidRPr="00AE036D">
        <w:rPr>
          <w:rFonts w:ascii="Palatino Linotype" w:hAnsi="Palatino Linotype"/>
          <w:sz w:val="24"/>
        </w:rPr>
        <w:t>txt</w:t>
      </w:r>
      <w:proofErr w:type="spellEnd"/>
      <w:r w:rsidRPr="00AE036D">
        <w:rPr>
          <w:rFonts w:ascii="Palatino Linotype" w:hAnsi="Palatino Linotype"/>
          <w:sz w:val="24"/>
        </w:rPr>
        <w:t>, asimismo los Lineamientos señalan que los documentos originales  deben estar debidamente firmados y permanecer en custodia y conservación de las dependencias, entidades públicas o unidades administrativas encargadas de generar la información:</w:t>
      </w:r>
    </w:p>
    <w:p w:rsidR="006A59C1" w:rsidRPr="00AE036D" w:rsidRDefault="006A59C1" w:rsidP="006A59C1">
      <w:pPr>
        <w:pStyle w:val="Prrafodelista"/>
        <w:tabs>
          <w:tab w:val="left" w:pos="0"/>
        </w:tabs>
        <w:spacing w:after="0" w:line="360" w:lineRule="auto"/>
        <w:ind w:left="0" w:right="48"/>
        <w:jc w:val="center"/>
        <w:rPr>
          <w:rFonts w:ascii="Palatino Linotype" w:hAnsi="Palatino Linotype"/>
          <w:sz w:val="24"/>
        </w:rPr>
      </w:pPr>
      <w:r w:rsidRPr="00AE036D">
        <w:rPr>
          <w:noProof/>
          <w:lang w:eastAsia="es-MX"/>
        </w:rPr>
        <w:drawing>
          <wp:inline distT="0" distB="0" distL="0" distR="0" wp14:anchorId="44DAFF32" wp14:editId="207CF576">
            <wp:extent cx="4619625" cy="5104583"/>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091" t="15036" r="34444" b="6091"/>
                    <a:stretch/>
                  </pic:blipFill>
                  <pic:spPr bwMode="auto">
                    <a:xfrm>
                      <a:off x="0" y="0"/>
                      <a:ext cx="4651483" cy="5139785"/>
                    </a:xfrm>
                    <a:prstGeom prst="rect">
                      <a:avLst/>
                    </a:prstGeom>
                    <a:ln>
                      <a:noFill/>
                    </a:ln>
                    <a:extLst>
                      <a:ext uri="{53640926-AAD7-44D8-BBD7-CCE9431645EC}">
                        <a14:shadowObscured xmlns:a14="http://schemas.microsoft.com/office/drawing/2010/main"/>
                      </a:ext>
                    </a:extLst>
                  </pic:spPr>
                </pic:pic>
              </a:graphicData>
            </a:graphic>
          </wp:inline>
        </w:drawing>
      </w:r>
    </w:p>
    <w:p w:rsidR="006A59C1" w:rsidRPr="00AE036D" w:rsidRDefault="006A59C1" w:rsidP="006A59C1">
      <w:pPr>
        <w:pStyle w:val="Prrafodelista"/>
        <w:tabs>
          <w:tab w:val="left" w:pos="0"/>
        </w:tabs>
        <w:spacing w:after="0" w:line="360" w:lineRule="auto"/>
        <w:ind w:left="0" w:right="48"/>
        <w:jc w:val="center"/>
        <w:rPr>
          <w:rFonts w:ascii="Palatino Linotype" w:hAnsi="Palatino Linotype"/>
          <w:sz w:val="24"/>
        </w:rPr>
      </w:pPr>
      <w:r w:rsidRPr="00AE036D">
        <w:rPr>
          <w:noProof/>
          <w:lang w:eastAsia="es-MX"/>
        </w:rPr>
        <w:lastRenderedPageBreak/>
        <w:drawing>
          <wp:inline distT="0" distB="0" distL="0" distR="0" wp14:anchorId="74E1709A" wp14:editId="07A9C1C1">
            <wp:extent cx="5275580" cy="4943475"/>
            <wp:effectExtent l="0" t="0" r="12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042" t="18726" r="26467" b="15736"/>
                    <a:stretch/>
                  </pic:blipFill>
                  <pic:spPr bwMode="auto">
                    <a:xfrm>
                      <a:off x="0" y="0"/>
                      <a:ext cx="5288287" cy="4955382"/>
                    </a:xfrm>
                    <a:prstGeom prst="rect">
                      <a:avLst/>
                    </a:prstGeom>
                    <a:ln>
                      <a:noFill/>
                    </a:ln>
                    <a:extLst>
                      <a:ext uri="{53640926-AAD7-44D8-BBD7-CCE9431645EC}">
                        <a14:shadowObscured xmlns:a14="http://schemas.microsoft.com/office/drawing/2010/main"/>
                      </a:ext>
                    </a:extLst>
                  </pic:spPr>
                </pic:pic>
              </a:graphicData>
            </a:graphic>
          </wp:inline>
        </w:drawing>
      </w:r>
    </w:p>
    <w:p w:rsidR="006A59C1" w:rsidRPr="00AE036D" w:rsidRDefault="006A59C1" w:rsidP="006A59C1">
      <w:pPr>
        <w:pStyle w:val="Prrafodelista"/>
        <w:tabs>
          <w:tab w:val="left" w:pos="0"/>
        </w:tabs>
        <w:spacing w:after="0" w:line="360" w:lineRule="auto"/>
        <w:ind w:left="0" w:right="48"/>
        <w:jc w:val="both"/>
        <w:rPr>
          <w:rFonts w:ascii="Palatino Linotype" w:hAnsi="Palatino Linotype"/>
          <w:sz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AE036D">
        <w:rPr>
          <w:rFonts w:ascii="Palatino Linotype" w:hAnsi="Palatino Linotype"/>
          <w:sz w:val="24"/>
        </w:rPr>
        <w:t>Ahora bien, tenemos que el SUJETO OBLIGADO posee la información solicitada, además de que no niega la existencia de la información, sin embargo, manifiesta que le es imposible remitir la información toda vez que se encuentra dentro de un proceso de auditoría de desempeño, fundamentándolo bajo el artículo 140, fracción V de la Ley de Transparencia y Acceso a la Información del Estado de México y sus Municipios que a la letra dice:</w:t>
      </w: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i/>
        </w:rPr>
      </w:pPr>
      <w:r w:rsidRPr="00AE036D">
        <w:rPr>
          <w:rFonts w:ascii="Palatino Linotype" w:hAnsi="Palatino Linotype"/>
          <w:i/>
          <w:sz w:val="24"/>
        </w:rPr>
        <w:lastRenderedPageBreak/>
        <w:t>“</w:t>
      </w:r>
      <w:r w:rsidRPr="00AE036D">
        <w:rPr>
          <w:rFonts w:ascii="Palatino Linotype" w:hAnsi="Palatino Linotype"/>
          <w:i/>
        </w:rPr>
        <w:t xml:space="preserve">Artículo 140. El acceso a la información pública será restringido excepcionalmente, cuando por razones de interés público, ésta sea clasificada como reservada, conforme a los criterios siguientes: </w:t>
      </w: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i/>
        </w:rPr>
      </w:pPr>
      <w:r w:rsidRPr="00AE036D">
        <w:rPr>
          <w:rFonts w:ascii="Palatino Linotype" w:hAnsi="Palatino Linotype"/>
          <w:i/>
        </w:rPr>
        <w:t>(…)</w:t>
      </w: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i/>
        </w:rPr>
      </w:pPr>
      <w:r w:rsidRPr="00AE036D">
        <w:rPr>
          <w:rFonts w:ascii="Palatino Linotype" w:hAnsi="Palatino Linotype"/>
          <w:i/>
        </w:rPr>
        <w:t>V. Aquella cuya divulgación obstruya o pueda causar un serio perjuicio a: 1. Las actividades de fiscalización, verificación, inspección, comprobación y auditoría sobre el cumplimiento de las Leyes; o 2. La recaudación de las contribuciones.”</w:t>
      </w: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i/>
        </w:rPr>
      </w:pPr>
      <w:r w:rsidRPr="00AE036D">
        <w:rPr>
          <w:rFonts w:ascii="Palatino Linotype" w:hAnsi="Palatino Linotype"/>
          <w:i/>
        </w:rPr>
        <w:t>(…)</w:t>
      </w: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i/>
          <w:sz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AE036D">
        <w:rPr>
          <w:rFonts w:ascii="Palatino Linotype" w:hAnsi="Palatino Linotype"/>
          <w:sz w:val="24"/>
        </w:rPr>
        <w:t xml:space="preserve">En este caso, no basta con invocar alguna de las causales de reserva de la información, por el </w:t>
      </w:r>
      <w:proofErr w:type="spellStart"/>
      <w:r w:rsidRPr="00AE036D">
        <w:rPr>
          <w:rFonts w:ascii="Palatino Linotype" w:hAnsi="Palatino Linotype"/>
          <w:sz w:val="24"/>
        </w:rPr>
        <w:t>contario</w:t>
      </w:r>
      <w:proofErr w:type="spellEnd"/>
      <w:r w:rsidRPr="00AE036D">
        <w:rPr>
          <w:rFonts w:ascii="Palatino Linotype" w:hAnsi="Palatino Linotype"/>
          <w:sz w:val="24"/>
        </w:rPr>
        <w:t>, de acuerdo al artículo 129 de la Ley de Transparencia local, debe aplicarse una prueba de daño, mediante la cual se precisen las razones objetivas por las que la apertura de la información generaría una afectación, justificando lo siguiente:</w:t>
      </w:r>
    </w:p>
    <w:p w:rsidR="006A59C1" w:rsidRPr="00AE036D" w:rsidRDefault="006A59C1" w:rsidP="006A59C1">
      <w:pPr>
        <w:pStyle w:val="Prrafodelista"/>
        <w:tabs>
          <w:tab w:val="left" w:pos="0"/>
        </w:tabs>
        <w:spacing w:after="0" w:line="360" w:lineRule="auto"/>
        <w:ind w:left="0" w:right="48"/>
        <w:jc w:val="both"/>
        <w:rPr>
          <w:rFonts w:ascii="Palatino Linotype" w:hAnsi="Palatino Linotype"/>
          <w:sz w:val="24"/>
        </w:rPr>
      </w:pP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sz w:val="24"/>
        </w:rPr>
      </w:pPr>
      <w:r w:rsidRPr="00AE036D">
        <w:rPr>
          <w:rFonts w:ascii="Palatino Linotype" w:hAnsi="Palatino Linotype"/>
          <w:sz w:val="24"/>
        </w:rPr>
        <w:t xml:space="preserve">I. La divulgación de la información representa un riesgo real, demostrable e identificable del perjuicio significativo al interés público o a la seguridad pública; </w:t>
      </w: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sz w:val="24"/>
        </w:rPr>
      </w:pP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sz w:val="24"/>
        </w:rPr>
      </w:pPr>
      <w:r w:rsidRPr="00AE036D">
        <w:rPr>
          <w:rFonts w:ascii="Palatino Linotype" w:hAnsi="Palatino Linotype"/>
          <w:sz w:val="24"/>
        </w:rPr>
        <w:t xml:space="preserve">II. El riesgo de perjuicio que supondría la divulgación supera el interés público general de que se difunda; y </w:t>
      </w: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sz w:val="24"/>
        </w:rPr>
      </w:pP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sz w:val="24"/>
        </w:rPr>
      </w:pPr>
      <w:r w:rsidRPr="00AE036D">
        <w:rPr>
          <w:rFonts w:ascii="Palatino Linotype" w:hAnsi="Palatino Linotype"/>
          <w:sz w:val="24"/>
        </w:rPr>
        <w:t>III. La limitación se adecua al principio de proporcionalidad y representa el medio menos restrictivo disponible representa el medio menos restrictivo disponible para evitar el perjuicio.</w:t>
      </w:r>
    </w:p>
    <w:p w:rsidR="006A59C1" w:rsidRPr="00AE036D" w:rsidRDefault="006A59C1" w:rsidP="006A59C1">
      <w:pPr>
        <w:pStyle w:val="Prrafodelista"/>
        <w:tabs>
          <w:tab w:val="left" w:pos="851"/>
        </w:tabs>
        <w:spacing w:after="0" w:line="360" w:lineRule="auto"/>
        <w:ind w:left="851" w:right="1182"/>
        <w:jc w:val="both"/>
        <w:rPr>
          <w:rFonts w:ascii="Palatino Linotype" w:hAnsi="Palatino Linotype"/>
          <w:i/>
          <w:sz w:val="24"/>
        </w:rPr>
      </w:pPr>
    </w:p>
    <w:p w:rsidR="006A59C1" w:rsidRPr="00AE036D" w:rsidRDefault="006A59C1" w:rsidP="006A59C1">
      <w:pPr>
        <w:pStyle w:val="Prrafodelista"/>
        <w:numPr>
          <w:ilvl w:val="0"/>
          <w:numId w:val="1"/>
        </w:numPr>
        <w:spacing w:line="360" w:lineRule="auto"/>
        <w:ind w:left="0" w:firstLine="0"/>
        <w:jc w:val="both"/>
        <w:rPr>
          <w:rFonts w:ascii="Palatino Linotype" w:hAnsi="Palatino Linotype" w:cs="Tahoma"/>
          <w:sz w:val="28"/>
        </w:rPr>
      </w:pPr>
      <w:r w:rsidRPr="00AE036D">
        <w:rPr>
          <w:rFonts w:ascii="Palatino Linotype" w:hAnsi="Palatino Linotype" w:cs="Tahoma"/>
          <w:sz w:val="24"/>
        </w:rPr>
        <w:lastRenderedPageBreak/>
        <w:t xml:space="preserve">Además, el artículo 131 de la Ley referida, así como el Quinto de los Lineamientos Generales, establecen que los sujetos obligados </w:t>
      </w:r>
      <w:r w:rsidRPr="00AE036D">
        <w:rPr>
          <w:rFonts w:ascii="Palatino Linotype" w:hAnsi="Palatino Linotype" w:cs="Tahoma"/>
          <w:b/>
          <w:sz w:val="24"/>
        </w:rPr>
        <w:t>deberán fundar y motivar</w:t>
      </w:r>
      <w:r w:rsidRPr="00AE036D">
        <w:rPr>
          <w:rFonts w:ascii="Palatino Linotype" w:hAnsi="Palatino Linotype" w:cs="Tahoma"/>
          <w:sz w:val="24"/>
        </w:rPr>
        <w:t xml:space="preserve"> debidamente la clasificación de la información. Al respecto, e</w:t>
      </w:r>
      <w:r w:rsidRPr="00AE036D">
        <w:rPr>
          <w:rFonts w:ascii="Palatino Linotype" w:hAnsi="Palatino Linotype" w:cs="Tahoma"/>
          <w:bCs/>
          <w:iCs/>
          <w:sz w:val="24"/>
        </w:rPr>
        <w:t>l Octavo de los Lineamientos Generales, precisa lo siguiente:</w:t>
      </w:r>
    </w:p>
    <w:p w:rsidR="006A59C1" w:rsidRPr="00AE036D" w:rsidRDefault="006A59C1" w:rsidP="006A59C1">
      <w:pPr>
        <w:spacing w:line="360" w:lineRule="auto"/>
        <w:jc w:val="both"/>
        <w:rPr>
          <w:rFonts w:ascii="Palatino Linotype" w:hAnsi="Palatino Linotype" w:cs="Tahoma"/>
          <w:bCs/>
          <w:iCs/>
        </w:rPr>
      </w:pPr>
    </w:p>
    <w:p w:rsidR="006A59C1" w:rsidRPr="00AE036D" w:rsidRDefault="006A59C1" w:rsidP="006A59C1">
      <w:pPr>
        <w:numPr>
          <w:ilvl w:val="0"/>
          <w:numId w:val="6"/>
        </w:numPr>
        <w:spacing w:after="0" w:line="360" w:lineRule="auto"/>
        <w:jc w:val="both"/>
        <w:rPr>
          <w:rFonts w:ascii="Palatino Linotype" w:hAnsi="Palatino Linotype" w:cs="Tahoma"/>
          <w:bCs/>
        </w:rPr>
      </w:pPr>
      <w:r w:rsidRPr="00AE036D">
        <w:rPr>
          <w:rFonts w:ascii="Palatino Linotype" w:hAnsi="Palatino Linotype" w:cs="Tahoma"/>
          <w:b/>
          <w:bCs/>
        </w:rPr>
        <w:t>Para fundar la clasificación</w:t>
      </w:r>
      <w:r w:rsidRPr="00AE036D">
        <w:rPr>
          <w:rFonts w:ascii="Palatino Linotype" w:hAnsi="Palatino Linotype" w:cs="Tahoma"/>
          <w:bCs/>
        </w:rPr>
        <w:t xml:space="preserve"> de la información se deberán señalar el artículo, fracción, inciso, párrafo o numeral de la Ley aplicable;</w:t>
      </w:r>
    </w:p>
    <w:p w:rsidR="006A59C1" w:rsidRPr="00AE036D" w:rsidRDefault="006A59C1" w:rsidP="006A59C1">
      <w:pPr>
        <w:spacing w:line="360" w:lineRule="auto"/>
        <w:jc w:val="both"/>
        <w:rPr>
          <w:rFonts w:ascii="Palatino Linotype" w:hAnsi="Palatino Linotype" w:cs="Tahoma"/>
          <w:bCs/>
        </w:rPr>
      </w:pPr>
    </w:p>
    <w:p w:rsidR="006A59C1" w:rsidRPr="00AE036D" w:rsidRDefault="006A59C1" w:rsidP="006A59C1">
      <w:pPr>
        <w:numPr>
          <w:ilvl w:val="0"/>
          <w:numId w:val="6"/>
        </w:numPr>
        <w:spacing w:after="0" w:line="360" w:lineRule="auto"/>
        <w:jc w:val="both"/>
        <w:rPr>
          <w:rFonts w:ascii="Palatino Linotype" w:hAnsi="Palatino Linotype" w:cs="Tahoma"/>
          <w:bCs/>
        </w:rPr>
      </w:pPr>
      <w:r w:rsidRPr="00AE036D">
        <w:rPr>
          <w:rFonts w:ascii="Palatino Linotype" w:hAnsi="Palatino Linotype" w:cs="Tahoma"/>
          <w:b/>
          <w:bCs/>
        </w:rPr>
        <w:t>Para motivar la clasificación</w:t>
      </w:r>
      <w:r w:rsidRPr="00AE036D">
        <w:rPr>
          <w:rFonts w:ascii="Palatino Linotype" w:hAnsi="Palatino Linotype" w:cs="Tahoma"/>
          <w:bCs/>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6A59C1" w:rsidRPr="00AE036D" w:rsidRDefault="006A59C1" w:rsidP="006A59C1">
      <w:pPr>
        <w:pStyle w:val="Prrafodelista"/>
        <w:spacing w:line="360" w:lineRule="auto"/>
        <w:rPr>
          <w:rFonts w:ascii="Palatino Linotype" w:hAnsi="Palatino Linotype" w:cs="Tahoma"/>
          <w:bCs/>
        </w:rPr>
      </w:pPr>
    </w:p>
    <w:p w:rsidR="006A59C1" w:rsidRPr="00AE036D" w:rsidRDefault="006A59C1" w:rsidP="006A59C1">
      <w:pPr>
        <w:pStyle w:val="Prrafodelista"/>
        <w:numPr>
          <w:ilvl w:val="0"/>
          <w:numId w:val="1"/>
        </w:numPr>
        <w:spacing w:line="360" w:lineRule="auto"/>
        <w:ind w:left="0" w:firstLine="0"/>
        <w:jc w:val="both"/>
        <w:rPr>
          <w:rFonts w:ascii="Palatino Linotype" w:hAnsi="Palatino Linotype" w:cs="Tahoma"/>
          <w:sz w:val="24"/>
        </w:rPr>
      </w:pPr>
      <w:r w:rsidRPr="00AE036D">
        <w:rPr>
          <w:rFonts w:ascii="Palatino Linotype" w:hAnsi="Palatino Linotype" w:cs="Tahoma"/>
          <w:sz w:val="24"/>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006A59C1" w:rsidRPr="00AE036D" w:rsidRDefault="006A59C1" w:rsidP="006A59C1">
      <w:pPr>
        <w:spacing w:line="360" w:lineRule="auto"/>
        <w:jc w:val="both"/>
        <w:rPr>
          <w:rFonts w:ascii="Palatino Linotype" w:hAnsi="Palatino Linotype" w:cs="Tahoma"/>
        </w:rPr>
      </w:pPr>
    </w:p>
    <w:p w:rsidR="006A59C1" w:rsidRPr="00AE036D" w:rsidRDefault="006A59C1" w:rsidP="006A59C1">
      <w:pPr>
        <w:spacing w:line="360" w:lineRule="auto"/>
        <w:ind w:left="567" w:right="567"/>
        <w:jc w:val="both"/>
        <w:rPr>
          <w:rFonts w:ascii="Palatino Linotype" w:hAnsi="Palatino Linotype" w:cs="Tahoma"/>
          <w:i/>
        </w:rPr>
      </w:pPr>
      <w:r w:rsidRPr="00AE036D">
        <w:rPr>
          <w:rFonts w:ascii="Palatino Linotype" w:hAnsi="Palatino Linotype" w:cs="Tahoma"/>
          <w:b/>
          <w:i/>
        </w:rPr>
        <w:t xml:space="preserve">“FUNDAMENTACION Y MOTIVACION, CONCEPTO DE. </w:t>
      </w:r>
      <w:r w:rsidRPr="00AE036D">
        <w:rPr>
          <w:rFonts w:ascii="Palatino Linotype" w:hAnsi="Palatino Linotype" w:cs="Tahoma"/>
          <w:i/>
        </w:rPr>
        <w:t xml:space="preserve">La garantía de legalidad consagrada en el artículo 16 de nuestra Carta Magna, establece que todo acto de autoridad </w:t>
      </w:r>
      <w:r w:rsidRPr="00AE036D">
        <w:rPr>
          <w:rFonts w:ascii="Palatino Linotype" w:hAnsi="Palatino Linotype" w:cs="Tahoma"/>
          <w:i/>
        </w:rPr>
        <w:lastRenderedPageBreak/>
        <w:t>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6A59C1" w:rsidRPr="00AE036D" w:rsidRDefault="006A59C1" w:rsidP="006A59C1">
      <w:pPr>
        <w:spacing w:line="360" w:lineRule="auto"/>
        <w:ind w:left="567" w:right="567"/>
        <w:jc w:val="both"/>
        <w:rPr>
          <w:rFonts w:ascii="Palatino Linotype" w:hAnsi="Palatino Linotype" w:cs="Tahoma"/>
          <w:i/>
        </w:rPr>
      </w:pPr>
    </w:p>
    <w:p w:rsidR="006A59C1" w:rsidRPr="00AE036D" w:rsidRDefault="006A59C1" w:rsidP="006A59C1">
      <w:pPr>
        <w:pStyle w:val="Prrafodelista"/>
        <w:numPr>
          <w:ilvl w:val="0"/>
          <w:numId w:val="1"/>
        </w:numPr>
        <w:spacing w:line="360" w:lineRule="auto"/>
        <w:ind w:left="0" w:firstLine="0"/>
        <w:jc w:val="both"/>
        <w:rPr>
          <w:rFonts w:ascii="Palatino Linotype" w:hAnsi="Palatino Linotype" w:cs="Tahoma"/>
          <w:sz w:val="24"/>
          <w:lang w:val="es-ES"/>
        </w:rPr>
      </w:pPr>
      <w:r w:rsidRPr="00AE036D">
        <w:rPr>
          <w:rFonts w:ascii="Palatino Linotype" w:hAnsi="Palatino Linotype" w:cs="Tahoma"/>
          <w:sz w:val="24"/>
          <w:lang w:val="es-ES"/>
        </w:rPr>
        <w:t>En ese orden de ideas, el Trigésimo tercero de los Lineamientos Generales, establece la forma en que se debe fundamentar y motivar la reserva de la información, es decir, a través de los siguientes pasos:</w:t>
      </w:r>
    </w:p>
    <w:p w:rsidR="006A59C1" w:rsidRPr="00AE036D" w:rsidRDefault="006A59C1" w:rsidP="006A59C1">
      <w:pPr>
        <w:pStyle w:val="Prrafodelista"/>
        <w:spacing w:line="360" w:lineRule="auto"/>
        <w:ind w:left="0"/>
        <w:jc w:val="both"/>
        <w:rPr>
          <w:rFonts w:ascii="Palatino Linotype" w:hAnsi="Palatino Linotype" w:cs="Tahoma"/>
          <w:sz w:val="24"/>
          <w:lang w:val="es-ES"/>
        </w:rPr>
      </w:pPr>
    </w:p>
    <w:p w:rsidR="006A59C1" w:rsidRPr="00AE036D" w:rsidRDefault="006A59C1" w:rsidP="006A59C1">
      <w:pPr>
        <w:pStyle w:val="Prrafodelista"/>
        <w:numPr>
          <w:ilvl w:val="0"/>
          <w:numId w:val="7"/>
        </w:numPr>
        <w:spacing w:after="0" w:line="360" w:lineRule="auto"/>
        <w:jc w:val="both"/>
        <w:rPr>
          <w:rFonts w:ascii="Palatino Linotype" w:hAnsi="Palatino Linotype" w:cs="Tahoma"/>
          <w:sz w:val="24"/>
        </w:rPr>
      </w:pPr>
      <w:r w:rsidRPr="00AE036D">
        <w:rPr>
          <w:rFonts w:ascii="Palatino Linotype" w:hAnsi="Palatino Linotype" w:cs="Tahoma"/>
          <w:sz w:val="24"/>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006A59C1" w:rsidRPr="00AE036D" w:rsidRDefault="006A59C1" w:rsidP="006A59C1">
      <w:pPr>
        <w:pStyle w:val="Prrafodelista"/>
        <w:spacing w:line="360" w:lineRule="auto"/>
        <w:jc w:val="both"/>
        <w:rPr>
          <w:rFonts w:ascii="Palatino Linotype" w:hAnsi="Palatino Linotype" w:cs="Tahoma"/>
          <w:sz w:val="24"/>
        </w:rPr>
      </w:pPr>
    </w:p>
    <w:p w:rsidR="006A59C1" w:rsidRPr="00AE036D" w:rsidRDefault="006A59C1" w:rsidP="006A59C1">
      <w:pPr>
        <w:pStyle w:val="Prrafodelista"/>
        <w:numPr>
          <w:ilvl w:val="0"/>
          <w:numId w:val="7"/>
        </w:numPr>
        <w:spacing w:after="0" w:line="360" w:lineRule="auto"/>
        <w:jc w:val="both"/>
        <w:rPr>
          <w:rFonts w:ascii="Palatino Linotype" w:hAnsi="Palatino Linotype" w:cs="Tahoma"/>
          <w:sz w:val="24"/>
          <w:lang w:val="es-ES"/>
        </w:rPr>
      </w:pPr>
      <w:r w:rsidRPr="00AE036D">
        <w:rPr>
          <w:rFonts w:ascii="Palatino Linotype" w:hAnsi="Palatino Linotype" w:cs="Tahoma"/>
          <w:sz w:val="24"/>
          <w:lang w:val="es-ES"/>
        </w:rPr>
        <w:t>Se deberá demostrar que la publicidad de la información generaría un riesgo de perjuicio, que rebasa el interés público;</w:t>
      </w:r>
    </w:p>
    <w:p w:rsidR="006A59C1" w:rsidRPr="00AE036D" w:rsidRDefault="006A59C1" w:rsidP="006A59C1">
      <w:pPr>
        <w:pStyle w:val="Prrafodelista"/>
        <w:spacing w:line="360" w:lineRule="auto"/>
        <w:rPr>
          <w:rFonts w:ascii="Palatino Linotype" w:hAnsi="Palatino Linotype" w:cs="Tahoma"/>
          <w:sz w:val="24"/>
          <w:lang w:val="es-ES"/>
        </w:rPr>
      </w:pPr>
    </w:p>
    <w:p w:rsidR="006A59C1" w:rsidRPr="00AE036D" w:rsidRDefault="006A59C1" w:rsidP="006A59C1">
      <w:pPr>
        <w:pStyle w:val="Prrafodelista"/>
        <w:numPr>
          <w:ilvl w:val="0"/>
          <w:numId w:val="7"/>
        </w:numPr>
        <w:spacing w:after="0" w:line="360" w:lineRule="auto"/>
        <w:jc w:val="both"/>
        <w:rPr>
          <w:rFonts w:ascii="Palatino Linotype" w:hAnsi="Palatino Linotype" w:cs="Tahoma"/>
          <w:sz w:val="24"/>
          <w:lang w:val="es-ES"/>
        </w:rPr>
      </w:pPr>
      <w:r w:rsidRPr="00AE036D">
        <w:rPr>
          <w:rFonts w:ascii="Palatino Linotype" w:hAnsi="Palatino Linotype" w:cs="Tahoma"/>
          <w:sz w:val="24"/>
          <w:lang w:val="es-ES"/>
        </w:rPr>
        <w:t>Se acreditará el vínculo entre la difusión de la información y la afectación del interés jurídico tutelado;</w:t>
      </w:r>
    </w:p>
    <w:p w:rsidR="006A59C1" w:rsidRPr="00AE036D" w:rsidRDefault="006A59C1" w:rsidP="006A59C1">
      <w:pPr>
        <w:pStyle w:val="Prrafodelista"/>
        <w:spacing w:line="360" w:lineRule="auto"/>
        <w:rPr>
          <w:rFonts w:ascii="Palatino Linotype" w:hAnsi="Palatino Linotype" w:cs="Tahoma"/>
          <w:sz w:val="24"/>
          <w:lang w:val="es-ES"/>
        </w:rPr>
      </w:pPr>
    </w:p>
    <w:p w:rsidR="006A59C1" w:rsidRPr="00AE036D" w:rsidRDefault="006A59C1" w:rsidP="006A59C1">
      <w:pPr>
        <w:pStyle w:val="Prrafodelista"/>
        <w:numPr>
          <w:ilvl w:val="0"/>
          <w:numId w:val="7"/>
        </w:numPr>
        <w:spacing w:after="0" w:line="360" w:lineRule="auto"/>
        <w:jc w:val="both"/>
        <w:rPr>
          <w:rFonts w:ascii="Palatino Linotype" w:hAnsi="Palatino Linotype" w:cs="Tahoma"/>
          <w:sz w:val="24"/>
          <w:lang w:val="es-ES"/>
        </w:rPr>
      </w:pPr>
      <w:r w:rsidRPr="00AE036D">
        <w:rPr>
          <w:rFonts w:ascii="Palatino Linotype" w:hAnsi="Palatino Linotype" w:cs="Tahoma"/>
          <w:sz w:val="24"/>
          <w:lang w:val="es-ES"/>
        </w:rPr>
        <w:t>Se precisará las razones objetivas por las que la apertura de la información generaría una afectación, por medio del riesgo real, demostrable e identificable;</w:t>
      </w:r>
    </w:p>
    <w:p w:rsidR="006A59C1" w:rsidRPr="00AE036D" w:rsidRDefault="006A59C1" w:rsidP="006A59C1">
      <w:pPr>
        <w:pStyle w:val="Prrafodelista"/>
        <w:spacing w:line="360" w:lineRule="auto"/>
        <w:rPr>
          <w:rFonts w:ascii="Palatino Linotype" w:hAnsi="Palatino Linotype" w:cs="Tahoma"/>
          <w:sz w:val="24"/>
          <w:lang w:val="es-ES"/>
        </w:rPr>
      </w:pPr>
    </w:p>
    <w:p w:rsidR="006A59C1" w:rsidRPr="00AE036D" w:rsidRDefault="006A59C1" w:rsidP="006A59C1">
      <w:pPr>
        <w:pStyle w:val="Prrafodelista"/>
        <w:numPr>
          <w:ilvl w:val="0"/>
          <w:numId w:val="7"/>
        </w:numPr>
        <w:spacing w:after="0" w:line="360" w:lineRule="auto"/>
        <w:jc w:val="both"/>
        <w:rPr>
          <w:rFonts w:ascii="Palatino Linotype" w:hAnsi="Palatino Linotype" w:cs="Tahoma"/>
          <w:sz w:val="24"/>
          <w:lang w:val="es-ES"/>
        </w:rPr>
      </w:pPr>
      <w:r w:rsidRPr="00AE036D">
        <w:rPr>
          <w:rFonts w:ascii="Palatino Linotype" w:hAnsi="Palatino Linotype" w:cs="Tahoma"/>
          <w:sz w:val="24"/>
          <w:lang w:val="es-ES"/>
        </w:rPr>
        <w:lastRenderedPageBreak/>
        <w:t>Se deberán señalar las circunstancias de modo, tiempo y lugar del daño, y</w:t>
      </w:r>
    </w:p>
    <w:p w:rsidR="006A59C1" w:rsidRPr="00AE036D" w:rsidRDefault="006A59C1" w:rsidP="006A59C1">
      <w:pPr>
        <w:pStyle w:val="Prrafodelista"/>
        <w:spacing w:line="360" w:lineRule="auto"/>
        <w:rPr>
          <w:rFonts w:ascii="Palatino Linotype" w:hAnsi="Palatino Linotype" w:cs="Tahoma"/>
          <w:sz w:val="24"/>
          <w:lang w:val="es-ES"/>
        </w:rPr>
      </w:pPr>
    </w:p>
    <w:p w:rsidR="006A59C1" w:rsidRPr="00AE036D" w:rsidRDefault="006A59C1" w:rsidP="006A59C1">
      <w:pPr>
        <w:pStyle w:val="Prrafodelista"/>
        <w:numPr>
          <w:ilvl w:val="0"/>
          <w:numId w:val="7"/>
        </w:numPr>
        <w:spacing w:after="0" w:line="360" w:lineRule="auto"/>
        <w:jc w:val="both"/>
        <w:rPr>
          <w:rFonts w:ascii="Palatino Linotype" w:hAnsi="Palatino Linotype" w:cs="Tahoma"/>
          <w:sz w:val="24"/>
          <w:lang w:val="es-ES"/>
        </w:rPr>
      </w:pPr>
      <w:r w:rsidRPr="00AE036D">
        <w:rPr>
          <w:rFonts w:ascii="Palatino Linotype" w:hAnsi="Palatino Linotype" w:cs="Tahoma"/>
          <w:sz w:val="24"/>
          <w:lang w:val="es-ES"/>
        </w:rPr>
        <w:t>Se elegirá la opción de excepción al acceso a la información que menos restrinja, la cual será adecuada y proporcional para la protección del interés público.</w:t>
      </w:r>
    </w:p>
    <w:p w:rsidR="006A59C1" w:rsidRPr="00AE036D" w:rsidRDefault="006A59C1" w:rsidP="006A59C1">
      <w:pPr>
        <w:pStyle w:val="Prrafodelista"/>
        <w:spacing w:line="360" w:lineRule="auto"/>
        <w:ind w:left="0"/>
        <w:jc w:val="both"/>
        <w:rPr>
          <w:rFonts w:ascii="Palatino Linotype" w:hAnsi="Palatino Linotype" w:cs="Tahoma"/>
          <w:b/>
          <w:sz w:val="28"/>
        </w:rPr>
      </w:pPr>
    </w:p>
    <w:p w:rsidR="006A59C1" w:rsidRPr="00AE036D" w:rsidRDefault="006A59C1" w:rsidP="006A59C1">
      <w:pPr>
        <w:pStyle w:val="Prrafodelista"/>
        <w:numPr>
          <w:ilvl w:val="0"/>
          <w:numId w:val="1"/>
        </w:numPr>
        <w:spacing w:line="360" w:lineRule="auto"/>
        <w:ind w:left="0" w:firstLine="0"/>
        <w:jc w:val="both"/>
        <w:rPr>
          <w:rFonts w:ascii="Palatino Linotype" w:hAnsi="Palatino Linotype" w:cs="Tahoma"/>
          <w:b/>
          <w:sz w:val="24"/>
        </w:rPr>
      </w:pPr>
      <w:r w:rsidRPr="00AE036D">
        <w:rPr>
          <w:rFonts w:ascii="Palatino Linotype" w:eastAsia="Calibri" w:hAnsi="Palatino Linotype" w:cs="Tahoma"/>
          <w:bCs/>
          <w:sz w:val="24"/>
        </w:rPr>
        <w:t>Asimismo</w:t>
      </w:r>
      <w:r w:rsidRPr="00AE036D">
        <w:rPr>
          <w:rFonts w:ascii="Palatino Linotype" w:hAnsi="Palatino Linotype" w:cs="Tahoma"/>
          <w:sz w:val="24"/>
        </w:rPr>
        <w:t xml:space="preserve">,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AE036D">
        <w:rPr>
          <w:rFonts w:ascii="Palatino Linotype" w:hAnsi="Palatino Linotype" w:cs="Tahoma"/>
          <w:b/>
          <w:sz w:val="24"/>
        </w:rPr>
        <w:t>análisis caso por caso.</w:t>
      </w:r>
    </w:p>
    <w:p w:rsidR="006A59C1" w:rsidRPr="00AE036D" w:rsidRDefault="006A59C1" w:rsidP="006A59C1">
      <w:pPr>
        <w:pStyle w:val="Prrafodelista"/>
        <w:tabs>
          <w:tab w:val="left" w:pos="0"/>
        </w:tabs>
        <w:spacing w:after="0" w:line="360" w:lineRule="auto"/>
        <w:ind w:left="0" w:right="48"/>
        <w:jc w:val="both"/>
        <w:rPr>
          <w:rFonts w:ascii="Palatino Linotype" w:hAnsi="Palatino Linotype"/>
          <w:sz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AE036D">
        <w:rPr>
          <w:rFonts w:ascii="Palatino Linotype" w:hAnsi="Palatino Linotype"/>
          <w:sz w:val="24"/>
        </w:rPr>
        <w:t xml:space="preserve">Y de </w:t>
      </w:r>
      <w:proofErr w:type="gramStart"/>
      <w:r w:rsidRPr="00AE036D">
        <w:rPr>
          <w:rFonts w:ascii="Palatino Linotype" w:hAnsi="Palatino Linotype"/>
          <w:sz w:val="24"/>
        </w:rPr>
        <w:t>acuerdo,  el</w:t>
      </w:r>
      <w:proofErr w:type="gramEnd"/>
      <w:r w:rsidRPr="00AE036D">
        <w:rPr>
          <w:rFonts w:ascii="Palatino Linotype" w:hAnsi="Palatino Linotype"/>
          <w:sz w:val="24"/>
        </w:rPr>
        <w:t xml:space="preserve"> artículo 128 de la Ley de Transparencia Local en los casos en que se niegue el acceso a la información por actualizarse alguno de los supuestos de clasificación, el Comité de Transparencia deberá confirmar, modificar o revocar la decisión, sin embargo, como consta en el expediente electrónico de SAIMEX no se anexo algún documento que acredite que se sometió  a consideración del Comité.</w:t>
      </w:r>
    </w:p>
    <w:p w:rsidR="006A59C1" w:rsidRPr="00AE036D" w:rsidRDefault="006A59C1" w:rsidP="006A59C1">
      <w:pPr>
        <w:pStyle w:val="Prrafodelista"/>
        <w:tabs>
          <w:tab w:val="left" w:pos="0"/>
        </w:tabs>
        <w:spacing w:after="0" w:line="360" w:lineRule="auto"/>
        <w:ind w:left="0" w:right="48"/>
        <w:jc w:val="both"/>
        <w:rPr>
          <w:rFonts w:ascii="Palatino Linotype" w:hAnsi="Palatino Linotype"/>
          <w:sz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AE036D">
        <w:rPr>
          <w:rFonts w:ascii="Palatino Linotype" w:hAnsi="Palatino Linotype"/>
          <w:sz w:val="24"/>
        </w:rPr>
        <w:t>En este contexto, y con lo anteriormente referido, el SUJETO OBLIGADO no realizó prueba de daño, además de que no sometió a consideración del Comité de Transparencia la clasificación de la información.</w:t>
      </w:r>
    </w:p>
    <w:p w:rsidR="006A59C1" w:rsidRPr="00AE036D" w:rsidRDefault="006A59C1" w:rsidP="006A59C1">
      <w:pPr>
        <w:pStyle w:val="Prrafodelista"/>
        <w:rPr>
          <w:rFonts w:ascii="Palatino Linotype" w:hAnsi="Palatino Linotype"/>
          <w:sz w:val="24"/>
        </w:rPr>
      </w:pP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AE036D">
        <w:rPr>
          <w:rFonts w:ascii="Palatino Linotype" w:hAnsi="Palatino Linotype"/>
          <w:sz w:val="24"/>
        </w:rPr>
        <w:lastRenderedPageBreak/>
        <w:t xml:space="preserve">Ahora bien, la Auditoría que refiere el SUJETO OBLIGADO se </w:t>
      </w:r>
      <w:proofErr w:type="gramStart"/>
      <w:r w:rsidRPr="00AE036D">
        <w:rPr>
          <w:rFonts w:ascii="Palatino Linotype" w:hAnsi="Palatino Linotype"/>
          <w:sz w:val="24"/>
        </w:rPr>
        <w:t xml:space="preserve">llama  </w:t>
      </w:r>
      <w:r w:rsidRPr="00AE036D">
        <w:rPr>
          <w:rFonts w:ascii="Palatino Linotype" w:hAnsi="Palatino Linotype"/>
          <w:i/>
          <w:sz w:val="24"/>
        </w:rPr>
        <w:t>Auditoria</w:t>
      </w:r>
      <w:proofErr w:type="gramEnd"/>
      <w:r w:rsidRPr="00AE036D">
        <w:rPr>
          <w:rFonts w:ascii="Palatino Linotype" w:hAnsi="Palatino Linotype"/>
          <w:i/>
          <w:sz w:val="24"/>
        </w:rPr>
        <w:t xml:space="preserve"> de Desempeño</w:t>
      </w:r>
      <w:r w:rsidRPr="00AE036D">
        <w:rPr>
          <w:rFonts w:ascii="Palatino Linotype" w:hAnsi="Palatino Linotype"/>
          <w:sz w:val="24"/>
        </w:rPr>
        <w:t xml:space="preserve"> que de acuerdo artículo 2 fracción XVI, de  la Ley Superior de Fiscalización del Estado de México refiere lo siguiente:</w:t>
      </w:r>
    </w:p>
    <w:p w:rsidR="006A59C1" w:rsidRPr="00AE036D" w:rsidRDefault="006A59C1" w:rsidP="006A59C1">
      <w:pPr>
        <w:pStyle w:val="Prrafodelista"/>
        <w:tabs>
          <w:tab w:val="left" w:pos="0"/>
        </w:tabs>
        <w:spacing w:after="0" w:line="360" w:lineRule="auto"/>
        <w:ind w:left="0" w:right="48"/>
        <w:jc w:val="both"/>
        <w:rPr>
          <w:rFonts w:ascii="Palatino Linotype" w:hAnsi="Palatino Linotype"/>
          <w:sz w:val="24"/>
        </w:rPr>
      </w:pPr>
    </w:p>
    <w:p w:rsidR="006A59C1" w:rsidRPr="00AE036D" w:rsidRDefault="006A59C1" w:rsidP="006A59C1">
      <w:pPr>
        <w:pStyle w:val="Prrafodelista"/>
        <w:tabs>
          <w:tab w:val="left" w:pos="851"/>
        </w:tabs>
        <w:spacing w:after="0" w:line="360" w:lineRule="auto"/>
        <w:ind w:left="993" w:right="1182"/>
        <w:jc w:val="both"/>
        <w:rPr>
          <w:rFonts w:ascii="Palatino Linotype" w:hAnsi="Palatino Linotype"/>
          <w:i/>
        </w:rPr>
      </w:pPr>
      <w:r w:rsidRPr="00AE036D">
        <w:rPr>
          <w:rFonts w:ascii="Palatino Linotype" w:hAnsi="Palatino Linotype"/>
          <w:i/>
        </w:rPr>
        <w:t>Artículo 2. Para los efectos de la presente Ley, se entenderá por:</w:t>
      </w:r>
    </w:p>
    <w:p w:rsidR="006A59C1" w:rsidRPr="00AE036D" w:rsidRDefault="006A59C1" w:rsidP="006A59C1">
      <w:pPr>
        <w:pStyle w:val="Prrafodelista"/>
        <w:tabs>
          <w:tab w:val="left" w:pos="851"/>
        </w:tabs>
        <w:spacing w:after="0" w:line="360" w:lineRule="auto"/>
        <w:ind w:left="993" w:right="1182"/>
        <w:jc w:val="both"/>
        <w:rPr>
          <w:rFonts w:ascii="Palatino Linotype" w:hAnsi="Palatino Linotype"/>
          <w:i/>
        </w:rPr>
      </w:pPr>
      <w:r w:rsidRPr="00AE036D">
        <w:rPr>
          <w:rFonts w:ascii="Palatino Linotype" w:hAnsi="Palatino Linotype"/>
          <w:i/>
        </w:rPr>
        <w:t>(…)</w:t>
      </w:r>
    </w:p>
    <w:p w:rsidR="006A59C1" w:rsidRPr="00AE036D" w:rsidRDefault="006A59C1" w:rsidP="006A59C1">
      <w:pPr>
        <w:pStyle w:val="Prrafodelista"/>
        <w:tabs>
          <w:tab w:val="left" w:pos="851"/>
        </w:tabs>
        <w:spacing w:after="0" w:line="360" w:lineRule="auto"/>
        <w:ind w:left="993" w:right="1182"/>
        <w:jc w:val="both"/>
        <w:rPr>
          <w:rFonts w:ascii="Palatino Linotype" w:hAnsi="Palatino Linotype"/>
          <w:i/>
        </w:rPr>
      </w:pPr>
      <w:r w:rsidRPr="00AE036D">
        <w:rPr>
          <w:rFonts w:ascii="Palatino Linotype" w:hAnsi="Palatino Linotype"/>
          <w:i/>
        </w:rPr>
        <w:t>Auditoría de Desempeño: A la revisión sistemática, interdisciplinaria, organizada, objetiva, propositiva, independiente y comparativa del impacto social de la gestión pública, de los programas y de la congruencia entre lo propuesto y lo obtenido, conforme a los indicadores establecidos en los Presupuestos de Egresos aprobados para el ejercicio fiscal correspondiente y tomando en cuenta los planes de desarrollo.</w:t>
      </w:r>
    </w:p>
    <w:p w:rsidR="006A59C1" w:rsidRPr="00AE036D" w:rsidRDefault="006A59C1" w:rsidP="006A59C1">
      <w:pPr>
        <w:pStyle w:val="Prrafodelista"/>
        <w:tabs>
          <w:tab w:val="left" w:pos="851"/>
        </w:tabs>
        <w:spacing w:after="0" w:line="360" w:lineRule="auto"/>
        <w:ind w:left="993" w:right="1182"/>
        <w:jc w:val="both"/>
        <w:rPr>
          <w:rFonts w:ascii="Palatino Linotype" w:hAnsi="Palatino Linotype"/>
          <w:i/>
        </w:rPr>
      </w:pPr>
      <w:r w:rsidRPr="00AE036D">
        <w:rPr>
          <w:rFonts w:ascii="Palatino Linotype" w:hAnsi="Palatino Linotype"/>
          <w:i/>
        </w:rPr>
        <w:t>(…)</w:t>
      </w:r>
    </w:p>
    <w:p w:rsidR="006A59C1" w:rsidRPr="00AE036D" w:rsidRDefault="006A59C1" w:rsidP="006A59C1">
      <w:pPr>
        <w:pStyle w:val="Prrafodelista"/>
        <w:numPr>
          <w:ilvl w:val="0"/>
          <w:numId w:val="1"/>
        </w:numPr>
        <w:tabs>
          <w:tab w:val="left" w:pos="0"/>
        </w:tabs>
        <w:spacing w:after="0" w:line="360" w:lineRule="auto"/>
        <w:ind w:left="0" w:right="48" w:firstLine="0"/>
        <w:jc w:val="both"/>
        <w:rPr>
          <w:rFonts w:ascii="Palatino Linotype" w:hAnsi="Palatino Linotype"/>
          <w:sz w:val="24"/>
        </w:rPr>
      </w:pPr>
      <w:r w:rsidRPr="00AE036D">
        <w:rPr>
          <w:rFonts w:ascii="Palatino Linotype" w:hAnsi="Palatino Linotype"/>
          <w:sz w:val="24"/>
        </w:rPr>
        <w:t>En este sentido, la auditoria de desempeño representa un instrumento que tiene como finalidad volver más comprensible el efecto que tienen los programas presupuestarios y su realidad, es decir, entre lo propuesto y lo obtenido. Por tal motivo no existe un riesgo real, demostrable e identificable en proporcionar la información solicitada, además de ser información que por su naturaleza es pública.</w:t>
      </w:r>
    </w:p>
    <w:p w:rsidR="006A59C1" w:rsidRPr="00AE036D" w:rsidRDefault="006A59C1" w:rsidP="006A59C1">
      <w:pPr>
        <w:pStyle w:val="Prrafodelista"/>
        <w:tabs>
          <w:tab w:val="left" w:pos="0"/>
        </w:tabs>
        <w:spacing w:after="0" w:line="360" w:lineRule="auto"/>
        <w:ind w:left="0" w:right="48"/>
        <w:jc w:val="both"/>
        <w:rPr>
          <w:rFonts w:ascii="Palatino Linotype" w:hAnsi="Palatino Linotype"/>
          <w:sz w:val="24"/>
        </w:rPr>
      </w:pPr>
    </w:p>
    <w:p w:rsidR="00C514BC" w:rsidRPr="00AE036D" w:rsidRDefault="006A59C1" w:rsidP="00C514BC">
      <w:pPr>
        <w:pStyle w:val="Prrafodelista"/>
        <w:numPr>
          <w:ilvl w:val="0"/>
          <w:numId w:val="1"/>
        </w:numPr>
        <w:spacing w:after="0" w:line="360" w:lineRule="auto"/>
        <w:ind w:left="0" w:firstLine="0"/>
        <w:jc w:val="both"/>
        <w:rPr>
          <w:rFonts w:ascii="Palatino Linotype" w:hAnsi="Palatino Linotype"/>
          <w:iCs/>
          <w:color w:val="000000"/>
          <w:sz w:val="24"/>
        </w:rPr>
      </w:pPr>
      <w:r w:rsidRPr="00AE036D">
        <w:rPr>
          <w:rFonts w:ascii="Palatino Linotype" w:hAnsi="Palatino Linotype"/>
          <w:iCs/>
          <w:color w:val="000000"/>
          <w:sz w:val="24"/>
        </w:rPr>
        <w:t xml:space="preserve">Por lo que, al prever que la información solicitada corresponde a la documentales de naturaleza pública e interés social, que obran en los archivos del </w:t>
      </w:r>
      <w:r w:rsidRPr="00AE036D">
        <w:rPr>
          <w:rFonts w:ascii="Palatino Linotype" w:hAnsi="Palatino Linotype"/>
          <w:b/>
          <w:iCs/>
          <w:color w:val="000000"/>
          <w:sz w:val="24"/>
        </w:rPr>
        <w:t>SUJETO OBLIGADO</w:t>
      </w:r>
      <w:r w:rsidRPr="00AE036D">
        <w:rPr>
          <w:rFonts w:ascii="Palatino Linotype" w:hAnsi="Palatino Linotype"/>
          <w:iCs/>
          <w:color w:val="000000"/>
          <w:sz w:val="24"/>
        </w:rPr>
        <w:t xml:space="preserve">, y en cumplimiento al principio de máxima publicidad, éste debe permitir su acceso, por lo que este Órgano Garante determina </w:t>
      </w:r>
      <w:r w:rsidRPr="00AE036D">
        <w:rPr>
          <w:rFonts w:ascii="Palatino Linotype" w:hAnsi="Palatino Linotype"/>
          <w:b/>
          <w:iCs/>
          <w:color w:val="000000"/>
          <w:sz w:val="24"/>
        </w:rPr>
        <w:t>REVOCAR</w:t>
      </w:r>
      <w:r w:rsidRPr="00AE036D">
        <w:rPr>
          <w:rFonts w:ascii="Palatino Linotype" w:hAnsi="Palatino Linotype"/>
          <w:iCs/>
          <w:color w:val="000000"/>
          <w:sz w:val="24"/>
        </w:rPr>
        <w:t xml:space="preserve"> la respuesta  y </w:t>
      </w:r>
      <w:r w:rsidRPr="00AE036D">
        <w:rPr>
          <w:rFonts w:ascii="Palatino Linotype" w:hAnsi="Palatino Linotype"/>
          <w:b/>
          <w:iCs/>
          <w:color w:val="000000"/>
          <w:sz w:val="24"/>
        </w:rPr>
        <w:t>ORDENA</w:t>
      </w:r>
      <w:r w:rsidRPr="00AE036D">
        <w:rPr>
          <w:rFonts w:ascii="Palatino Linotype" w:hAnsi="Palatino Linotype"/>
          <w:iCs/>
          <w:color w:val="000000"/>
          <w:sz w:val="24"/>
        </w:rPr>
        <w:t xml:space="preserve"> la </w:t>
      </w:r>
      <w:r w:rsidR="00C514BC" w:rsidRPr="00AE036D">
        <w:rPr>
          <w:rFonts w:ascii="Palatino Linotype" w:hAnsi="Palatino Linotype"/>
          <w:iCs/>
          <w:color w:val="000000"/>
          <w:sz w:val="24"/>
        </w:rPr>
        <w:t xml:space="preserve">entrega de </w:t>
      </w:r>
      <w:r w:rsidR="00C514BC" w:rsidRPr="00AE036D">
        <w:rPr>
          <w:rFonts w:ascii="Palatino Linotype" w:hAnsi="Palatino Linotype" w:cs="Arial"/>
          <w:b/>
          <w:sz w:val="24"/>
          <w:szCs w:val="24"/>
        </w:rPr>
        <w:t xml:space="preserve">Balanza de Comprobación del Municipio de Teoloyucan, Balanza de Comprobación del </w:t>
      </w:r>
      <w:r w:rsidR="00C514BC" w:rsidRPr="00AE036D">
        <w:rPr>
          <w:rFonts w:ascii="Palatino Linotype" w:hAnsi="Palatino Linotype"/>
          <w:b/>
          <w:color w:val="000000"/>
          <w:sz w:val="24"/>
          <w:szCs w:val="24"/>
        </w:rPr>
        <w:t xml:space="preserve">Instituto Municipal de Cultura Física y Deporte de Teoloyucan, Balanza de Comprobación del Organismo Público Descentralizado para </w:t>
      </w:r>
      <w:r w:rsidR="00C514BC" w:rsidRPr="00AE036D">
        <w:rPr>
          <w:rFonts w:ascii="Palatino Linotype" w:hAnsi="Palatino Linotype"/>
          <w:b/>
          <w:color w:val="000000"/>
          <w:sz w:val="24"/>
          <w:szCs w:val="24"/>
        </w:rPr>
        <w:lastRenderedPageBreak/>
        <w:t xml:space="preserve">la Prestación de los Servicios de Agua Potable, Alcantarillado y Saneamiento de Teoloyucan y Balanza de Comprobación del Sistema Municipal para el Desarrollo Integral de la Familia de Teoloyucan del  </w:t>
      </w:r>
      <w:r w:rsidR="00C514BC" w:rsidRPr="00AE036D">
        <w:rPr>
          <w:rFonts w:ascii="Palatino Linotype" w:hAnsi="Palatino Linotype" w:cs="Arial"/>
          <w:b/>
          <w:sz w:val="24"/>
        </w:rPr>
        <w:t>uno de enero de dos mil diecinueve al treinta y uno de agosto de dos mil veinte.</w:t>
      </w:r>
    </w:p>
    <w:p w:rsidR="00C514BC" w:rsidRPr="00AE036D" w:rsidRDefault="00C514BC" w:rsidP="00C514BC">
      <w:pPr>
        <w:pStyle w:val="Prrafodelista"/>
        <w:spacing w:after="0" w:line="360" w:lineRule="auto"/>
        <w:ind w:left="0"/>
        <w:jc w:val="both"/>
        <w:rPr>
          <w:rFonts w:ascii="Palatino Linotype" w:hAnsi="Palatino Linotype"/>
          <w:iCs/>
          <w:color w:val="000000"/>
          <w:sz w:val="24"/>
        </w:rPr>
      </w:pPr>
    </w:p>
    <w:p w:rsidR="006A59C1" w:rsidRPr="00AE036D" w:rsidRDefault="006A59C1" w:rsidP="006A59C1">
      <w:pPr>
        <w:pStyle w:val="Prrafodelista"/>
        <w:rPr>
          <w:rFonts w:ascii="Palatino Linotype" w:hAnsi="Palatino Linotype"/>
          <w:iCs/>
          <w:color w:val="000000"/>
          <w:sz w:val="24"/>
        </w:rPr>
      </w:pPr>
    </w:p>
    <w:p w:rsidR="006A59C1" w:rsidRPr="00AE036D" w:rsidRDefault="006A59C1" w:rsidP="006A59C1">
      <w:pPr>
        <w:keepNext/>
        <w:keepLines/>
        <w:outlineLvl w:val="0"/>
        <w:rPr>
          <w:rFonts w:ascii="Palatino Linotype" w:eastAsia="MS Gothic" w:hAnsi="Palatino Linotype" w:cstheme="majorBidi"/>
          <w:b/>
          <w:sz w:val="24"/>
        </w:rPr>
      </w:pPr>
      <w:bookmarkStart w:id="36" w:name="_Toc61622943"/>
      <w:r w:rsidRPr="00AE036D">
        <w:rPr>
          <w:rFonts w:ascii="Palatino Linotype" w:eastAsia="MS Gothic" w:hAnsi="Palatino Linotype" w:cstheme="majorBidi"/>
          <w:b/>
          <w:sz w:val="24"/>
        </w:rPr>
        <w:t>QUINTO. Vista a los Órganos de Control Interno</w:t>
      </w:r>
      <w:bookmarkEnd w:id="36"/>
    </w:p>
    <w:p w:rsidR="006A59C1" w:rsidRPr="00AE036D" w:rsidRDefault="006A59C1" w:rsidP="006A59C1">
      <w:pPr>
        <w:spacing w:line="360" w:lineRule="auto"/>
        <w:contextualSpacing/>
        <w:jc w:val="both"/>
        <w:rPr>
          <w:rFonts w:ascii="Palatino Linotype" w:eastAsia="MS Mincho" w:hAnsi="Palatino Linotype"/>
        </w:rPr>
      </w:pPr>
    </w:p>
    <w:p w:rsidR="006A59C1" w:rsidRPr="00AE036D" w:rsidRDefault="006A59C1" w:rsidP="006A59C1">
      <w:pPr>
        <w:numPr>
          <w:ilvl w:val="0"/>
          <w:numId w:val="1"/>
        </w:numPr>
        <w:spacing w:after="0" w:line="360" w:lineRule="auto"/>
        <w:ind w:left="0" w:firstLine="0"/>
        <w:contextualSpacing/>
        <w:jc w:val="both"/>
        <w:rPr>
          <w:rFonts w:ascii="Palatino Linotype" w:hAnsi="Palatino Linotype"/>
          <w:sz w:val="24"/>
          <w:lang w:val="es-ES_tradnl" w:eastAsia="es-ES"/>
        </w:rPr>
      </w:pPr>
      <w:r w:rsidRPr="00AE036D">
        <w:rPr>
          <w:rFonts w:ascii="Palatino Linotype" w:hAnsi="Palatino Linotype"/>
          <w:sz w:val="24"/>
          <w:lang w:val="es-ES_tradnl" w:eastAsia="es-ES"/>
        </w:rPr>
        <w:t xml:space="preserve">Es necesario resaltar que el recursos de revisión previsto en la Ley de la materia no es el medio para investigar y en su caso, sancionar a servidores públicos </w:t>
      </w:r>
      <w:r w:rsidRPr="00AE036D">
        <w:rPr>
          <w:rFonts w:ascii="Palatino Linotype" w:hAnsi="Palatino Linotype"/>
          <w:b/>
          <w:sz w:val="24"/>
          <w:u w:val="single"/>
          <w:lang w:val="es-ES_tradnl" w:eastAsia="es-ES"/>
        </w:rPr>
        <w:t>por la omisión de la entrega de información pública</w:t>
      </w:r>
      <w:r w:rsidRPr="00AE036D">
        <w:rPr>
          <w:rFonts w:ascii="Palatino Linotype" w:hAnsi="Palatino Linotype"/>
          <w:sz w:val="24"/>
          <w:lang w:val="es-ES_tradnl" w:eastAsia="es-ES"/>
        </w:rPr>
        <w:t xml:space="preserve"> o en la atención a solicitudes de información; sin embargo, dados los planteamientos que se formularon en la solicitud mediante la cual el particular manifestó </w:t>
      </w:r>
      <w:r w:rsidRPr="00AE036D">
        <w:rPr>
          <w:rFonts w:ascii="Palatino Linotype" w:hAnsi="Palatino Linotype"/>
          <w:i/>
          <w:sz w:val="24"/>
          <w:lang w:val="es-ES_tradnl" w:eastAsia="es-ES"/>
        </w:rPr>
        <w:t>(…)</w:t>
      </w:r>
      <w:r w:rsidRPr="00AE036D">
        <w:rPr>
          <w:rFonts w:ascii="Palatino Linotype" w:hAnsi="Palatino Linotype"/>
          <w:sz w:val="24"/>
          <w:lang w:val="es-ES_tradnl" w:eastAsia="es-ES"/>
        </w:rPr>
        <w:t xml:space="preserve"> </w:t>
      </w:r>
      <w:r w:rsidRPr="00AE036D">
        <w:rPr>
          <w:rFonts w:ascii="Palatino Linotype" w:hAnsi="Palatino Linotype" w:cs="Arial"/>
          <w:i/>
          <w:sz w:val="24"/>
        </w:rPr>
        <w:t>“</w:t>
      </w:r>
      <w:r w:rsidRPr="00AE036D">
        <w:rPr>
          <w:rFonts w:ascii="Palatino Linotype" w:hAnsi="Palatino Linotype"/>
          <w:i/>
          <w:color w:val="000000"/>
          <w:sz w:val="24"/>
        </w:rPr>
        <w:t xml:space="preserve">estimo se está en presencia de causas de responsabilidad administrativa imputable al titular de la Unidad de Transparencia así como a los autores de los oficios: TES/OE/247/09/2020 (TESORERIA); DIF/TEO/TES/069/2020 (TESORERIA DIF); OPDAPAS/DIRGRAL/OMA/099/2020 (DIRECCION OPDAPAS); y </w:t>
      </w:r>
      <w:proofErr w:type="spellStart"/>
      <w:r w:rsidRPr="00AE036D">
        <w:rPr>
          <w:rFonts w:ascii="Palatino Linotype" w:hAnsi="Palatino Linotype"/>
          <w:i/>
          <w:color w:val="000000"/>
          <w:sz w:val="24"/>
        </w:rPr>
        <w:t>DFyA</w:t>
      </w:r>
      <w:proofErr w:type="spellEnd"/>
      <w:r w:rsidRPr="00AE036D">
        <w:rPr>
          <w:rFonts w:ascii="Palatino Linotype" w:hAnsi="Palatino Linotype"/>
          <w:i/>
          <w:color w:val="000000"/>
          <w:sz w:val="24"/>
        </w:rPr>
        <w:t>/</w:t>
      </w:r>
      <w:proofErr w:type="spellStart"/>
      <w:r w:rsidRPr="00AE036D">
        <w:rPr>
          <w:rFonts w:ascii="Palatino Linotype" w:hAnsi="Palatino Linotype"/>
          <w:i/>
          <w:color w:val="000000"/>
          <w:sz w:val="24"/>
        </w:rPr>
        <w:t>Imcufidete</w:t>
      </w:r>
      <w:proofErr w:type="spellEnd"/>
      <w:r w:rsidRPr="00AE036D">
        <w:rPr>
          <w:rFonts w:ascii="Palatino Linotype" w:hAnsi="Palatino Linotype"/>
          <w:i/>
          <w:color w:val="000000"/>
          <w:sz w:val="24"/>
        </w:rPr>
        <w:t>/042/2020 (PRESUNTAMENTE ELABORADO POR EL IMCUFIDETE), por omitir debidamente dar la información peticionada, por lo que solicito, se de vista al órgano interno de control municipal o al Órgano Superior de Fiscalización del Estado de México, según se trate de la gravedad en que incurrieron</w:t>
      </w:r>
      <w:r w:rsidRPr="00AE036D">
        <w:rPr>
          <w:rFonts w:ascii="Palatino Linotype" w:hAnsi="Palatino Linotype" w:cs="Arial"/>
          <w:i/>
          <w:sz w:val="24"/>
          <w:lang w:val="es-ES"/>
        </w:rPr>
        <w:t xml:space="preserve">”(…) , </w:t>
      </w:r>
      <w:r w:rsidRPr="00AE036D">
        <w:rPr>
          <w:rFonts w:ascii="Palatino Linotype" w:hAnsi="Palatino Linotype" w:cs="Arial"/>
          <w:sz w:val="24"/>
          <w:lang w:val="es-ES"/>
        </w:rPr>
        <w:t>por ello</w:t>
      </w:r>
      <w:r w:rsidRPr="00AE036D">
        <w:rPr>
          <w:rFonts w:ascii="Palatino Linotype" w:hAnsi="Palatino Linotype" w:cs="Arial"/>
          <w:i/>
          <w:sz w:val="24"/>
          <w:lang w:val="es-ES"/>
        </w:rPr>
        <w:t xml:space="preserve"> </w:t>
      </w:r>
      <w:r w:rsidRPr="00AE036D">
        <w:rPr>
          <w:rFonts w:ascii="Palatino Linotype" w:hAnsi="Palatino Linotype"/>
          <w:sz w:val="24"/>
          <w:lang w:val="es-ES_tradnl" w:eastAsia="es-ES"/>
        </w:rPr>
        <w:t xml:space="preserve">se dará vista al área competente para que en ejercicio de sus atribuciones realice las investigaciones pertinentes por las omisiones detectadas atribuibles al </w:t>
      </w:r>
      <w:r w:rsidRPr="00AE036D">
        <w:rPr>
          <w:rFonts w:ascii="Palatino Linotype" w:hAnsi="Palatino Linotype"/>
          <w:b/>
          <w:sz w:val="24"/>
          <w:lang w:val="es-ES_tradnl" w:eastAsia="es-ES"/>
        </w:rPr>
        <w:t>SUJETO OBLIGADO</w:t>
      </w:r>
      <w:r w:rsidRPr="00AE036D">
        <w:rPr>
          <w:rFonts w:ascii="Palatino Linotype" w:hAnsi="Palatino Linotype"/>
          <w:sz w:val="24"/>
          <w:lang w:val="es-ES_tradnl" w:eastAsia="es-ES"/>
        </w:rPr>
        <w:t>.</w:t>
      </w:r>
    </w:p>
    <w:p w:rsidR="006A59C1" w:rsidRPr="00AE036D" w:rsidRDefault="006A59C1" w:rsidP="006A59C1">
      <w:pPr>
        <w:tabs>
          <w:tab w:val="left" w:pos="3735"/>
        </w:tabs>
        <w:spacing w:line="360" w:lineRule="auto"/>
        <w:contextualSpacing/>
        <w:jc w:val="both"/>
        <w:rPr>
          <w:rFonts w:ascii="Palatino Linotype" w:hAnsi="Palatino Linotype"/>
          <w:sz w:val="24"/>
          <w:lang w:val="es-ES_tradnl" w:eastAsia="es-ES"/>
        </w:rPr>
      </w:pPr>
      <w:r w:rsidRPr="00AE036D">
        <w:rPr>
          <w:rFonts w:ascii="Palatino Linotype" w:hAnsi="Palatino Linotype"/>
          <w:sz w:val="24"/>
          <w:lang w:val="es-ES_tradnl" w:eastAsia="es-ES"/>
        </w:rPr>
        <w:tab/>
      </w:r>
    </w:p>
    <w:p w:rsidR="006A59C1" w:rsidRPr="00AE036D" w:rsidRDefault="006A59C1" w:rsidP="006A59C1">
      <w:pPr>
        <w:numPr>
          <w:ilvl w:val="0"/>
          <w:numId w:val="1"/>
        </w:numPr>
        <w:spacing w:after="0" w:line="360" w:lineRule="auto"/>
        <w:ind w:left="0" w:firstLine="0"/>
        <w:contextualSpacing/>
        <w:jc w:val="both"/>
        <w:rPr>
          <w:rFonts w:ascii="Palatino Linotype" w:hAnsi="Palatino Linotype"/>
          <w:sz w:val="24"/>
          <w:lang w:val="es-ES_tradnl" w:eastAsia="es-ES"/>
        </w:rPr>
      </w:pPr>
      <w:r w:rsidRPr="00AE036D">
        <w:rPr>
          <w:rFonts w:ascii="Palatino Linotype" w:hAnsi="Palatino Linotype"/>
          <w:sz w:val="24"/>
          <w:lang w:val="es-ES_tradnl" w:eastAsia="es-ES"/>
        </w:rPr>
        <w:lastRenderedPageBreak/>
        <w:t>Por ello, es conveniente señalar la fracción X, del artículo 36, de la Ley de Transparencia y Acceso a la Información Pública del Estado de México y Municipios, que establece:</w:t>
      </w:r>
    </w:p>
    <w:p w:rsidR="006A59C1" w:rsidRPr="00AE036D" w:rsidRDefault="006A59C1" w:rsidP="006A59C1">
      <w:pPr>
        <w:spacing w:line="360" w:lineRule="auto"/>
        <w:contextualSpacing/>
        <w:jc w:val="both"/>
        <w:rPr>
          <w:rFonts w:ascii="Palatino Linotype" w:hAnsi="Palatino Linotype"/>
          <w:lang w:val="es-ES_tradnl" w:eastAsia="es-ES"/>
        </w:rPr>
      </w:pP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i/>
          <w:lang w:val="es-ES_tradnl" w:eastAsia="es-ES"/>
        </w:rPr>
        <w:t>“</w:t>
      </w:r>
      <w:r w:rsidRPr="00AE036D">
        <w:rPr>
          <w:rFonts w:ascii="Palatino Linotype" w:hAnsi="Palatino Linotype"/>
          <w:b/>
          <w:i/>
          <w:lang w:val="es-ES_tradnl" w:eastAsia="es-ES"/>
        </w:rPr>
        <w:t>Artículo 36.</w:t>
      </w:r>
      <w:r w:rsidRPr="00AE036D">
        <w:rPr>
          <w:rFonts w:ascii="Palatino Linotype" w:hAnsi="Palatino Linotype"/>
          <w:i/>
          <w:lang w:val="es-ES_tradnl" w:eastAsia="es-ES"/>
        </w:rPr>
        <w:t xml:space="preserve"> El Instituto tendrá, en el ámbito de su competencia, las siguientes atribuciones:</w:t>
      </w: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i/>
          <w:lang w:val="es-ES_tradnl" w:eastAsia="es-ES"/>
        </w:rPr>
        <w:t>(…)</w:t>
      </w: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i/>
          <w:lang w:val="es-ES_tradnl" w:eastAsia="es-ES"/>
        </w:rPr>
        <w:t>X. Hacer del conocimiento del órgano de control interno o equivalente de cada Sujeto Obligado las infracciones a esta Ley; “</w:t>
      </w: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i/>
          <w:lang w:val="es-ES_tradnl" w:eastAsia="es-ES"/>
        </w:rPr>
        <w:t>(…)</w:t>
      </w:r>
    </w:p>
    <w:p w:rsidR="006A59C1" w:rsidRPr="00AE036D" w:rsidRDefault="006A59C1" w:rsidP="006A59C1">
      <w:pPr>
        <w:spacing w:line="360" w:lineRule="auto"/>
        <w:contextualSpacing/>
        <w:jc w:val="both"/>
        <w:rPr>
          <w:rFonts w:ascii="Palatino Linotype" w:eastAsia="MS Mincho" w:hAnsi="Palatino Linotype" w:cs="Arial"/>
          <w:lang w:val="es-ES_tradnl" w:eastAsia="es-ES"/>
        </w:rPr>
      </w:pPr>
    </w:p>
    <w:p w:rsidR="006A59C1" w:rsidRPr="00AE036D" w:rsidRDefault="006A59C1" w:rsidP="006A59C1">
      <w:pPr>
        <w:numPr>
          <w:ilvl w:val="0"/>
          <w:numId w:val="1"/>
        </w:numPr>
        <w:spacing w:after="0" w:line="360" w:lineRule="auto"/>
        <w:ind w:left="0" w:firstLine="0"/>
        <w:contextualSpacing/>
        <w:jc w:val="both"/>
        <w:rPr>
          <w:rFonts w:ascii="Palatino Linotype" w:eastAsia="MS Mincho" w:hAnsi="Palatino Linotype" w:cs="Arial"/>
          <w:sz w:val="24"/>
          <w:lang w:val="es-ES_tradnl" w:eastAsia="es-ES"/>
        </w:rPr>
      </w:pPr>
      <w:r w:rsidRPr="00AE036D">
        <w:rPr>
          <w:rFonts w:ascii="Palatino Linotype" w:hAnsi="Palatino Linotype"/>
          <w:sz w:val="24"/>
          <w:lang w:val="es-ES_tradnl" w:eastAsia="es-ES"/>
        </w:rPr>
        <w:t xml:space="preserve">Asimismo, este Pleno hará del conocimiento del órgano de control de este Instituto de las infracciones en que el </w:t>
      </w:r>
      <w:r w:rsidRPr="00AE036D">
        <w:rPr>
          <w:rFonts w:ascii="Palatino Linotype" w:hAnsi="Palatino Linotype"/>
          <w:b/>
          <w:sz w:val="24"/>
          <w:lang w:val="es-ES_tradnl" w:eastAsia="es-ES"/>
        </w:rPr>
        <w:t>SUJETO OBLIGADO</w:t>
      </w:r>
      <w:r w:rsidRPr="00AE036D">
        <w:rPr>
          <w:rFonts w:ascii="Palatino Linotype" w:hAnsi="Palatino Linotype"/>
          <w:sz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AE036D">
        <w:rPr>
          <w:rFonts w:ascii="Palatino Linotype" w:eastAsia="MS Mincho" w:hAnsi="Palatino Linotype" w:cs="Arial"/>
          <w:sz w:val="24"/>
          <w:lang w:val="es-ES_tradnl" w:eastAsia="es-ES"/>
        </w:rPr>
        <w:t>en la Ley de Transparencia Acceso a la Información Pública del Estado de México y Municipios específicamente en sus artículos 190, 222 y 223 que señalan lo siguiente:</w:t>
      </w:r>
    </w:p>
    <w:p w:rsidR="006A59C1" w:rsidRPr="00AE036D" w:rsidRDefault="006A59C1" w:rsidP="006A59C1">
      <w:pPr>
        <w:spacing w:line="360" w:lineRule="auto"/>
        <w:contextualSpacing/>
        <w:jc w:val="both"/>
        <w:rPr>
          <w:rFonts w:ascii="Palatino Linotype" w:eastAsia="MS Mincho" w:hAnsi="Palatino Linotype" w:cs="Arial"/>
          <w:lang w:val="es-ES_tradnl" w:eastAsia="es-ES"/>
        </w:rPr>
      </w:pP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i/>
          <w:lang w:val="es-ES_tradnl" w:eastAsia="es-ES"/>
        </w:rPr>
        <w:t>“</w:t>
      </w:r>
      <w:r w:rsidRPr="00AE036D">
        <w:rPr>
          <w:rFonts w:ascii="Palatino Linotype" w:hAnsi="Palatino Linotype"/>
          <w:b/>
          <w:i/>
          <w:lang w:val="es-ES_tradnl" w:eastAsia="es-ES"/>
        </w:rPr>
        <w:t>Artículo 190.</w:t>
      </w:r>
      <w:r w:rsidRPr="00AE036D">
        <w:rPr>
          <w:rFonts w:ascii="Palatino Linotype" w:hAnsi="Palatino Linotype"/>
          <w:i/>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b/>
          <w:i/>
          <w:lang w:val="es-ES_tradnl" w:eastAsia="es-ES"/>
        </w:rPr>
        <w:lastRenderedPageBreak/>
        <w:t>Artículo 222.</w:t>
      </w:r>
      <w:r w:rsidRPr="00AE036D">
        <w:rPr>
          <w:rFonts w:ascii="Palatino Linotype" w:hAnsi="Palatino Linotype"/>
          <w:i/>
          <w:lang w:val="es-ES_tradnl" w:eastAsia="es-ES"/>
        </w:rPr>
        <w:t xml:space="preserve"> Son causas de responsabilidad administrativa de los servidores públicos de los sujetos obligados, por incumplimiento de las obligaciones establecidas en la materia de la presente Ley, las siguientes:</w:t>
      </w: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i/>
          <w:lang w:val="es-ES_tradnl" w:eastAsia="es-ES"/>
        </w:rPr>
        <w:t>…</w:t>
      </w: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b/>
          <w:i/>
          <w:lang w:val="es-ES_tradnl" w:eastAsia="es-ES"/>
        </w:rPr>
        <w:t>I. Cualquier acto u omisión que provoque la suspensión o deficiencia en la atención de las solicitudes de información</w:t>
      </w:r>
      <w:r w:rsidRPr="00AE036D">
        <w:rPr>
          <w:rFonts w:ascii="Palatino Linotype" w:hAnsi="Palatino Linotype"/>
          <w:i/>
          <w:lang w:val="es-ES_tradnl" w:eastAsia="es-ES"/>
        </w:rPr>
        <w:t>;</w:t>
      </w: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b/>
          <w:i/>
          <w:lang w:val="es-ES_tradnl" w:eastAsia="es-ES"/>
        </w:rPr>
        <w:t>II. La falta de respuesta a las solicitudes de información en los plazos señalados en la normatividad aplicable</w:t>
      </w:r>
      <w:r w:rsidRPr="00AE036D">
        <w:rPr>
          <w:rFonts w:ascii="Palatino Linotype" w:hAnsi="Palatino Linotype"/>
          <w:i/>
          <w:lang w:val="es-ES_tradnl" w:eastAsia="es-ES"/>
        </w:rPr>
        <w:t>;</w:t>
      </w:r>
    </w:p>
    <w:p w:rsidR="006A59C1" w:rsidRPr="00AE036D" w:rsidRDefault="006A59C1" w:rsidP="006A59C1">
      <w:pPr>
        <w:spacing w:line="360" w:lineRule="auto"/>
        <w:ind w:left="567" w:right="567"/>
        <w:contextualSpacing/>
        <w:jc w:val="both"/>
        <w:rPr>
          <w:rFonts w:ascii="Palatino Linotype" w:hAnsi="Palatino Linotype"/>
          <w:i/>
          <w:lang w:val="es-ES_tradnl" w:eastAsia="es-ES"/>
        </w:rPr>
      </w:pPr>
      <w:r w:rsidRPr="00AE036D">
        <w:rPr>
          <w:rFonts w:ascii="Palatino Linotype" w:hAnsi="Palatino Linotype"/>
          <w:i/>
          <w:lang w:val="es-ES_tradnl" w:eastAsia="es-ES"/>
        </w:rPr>
        <w:t>…</w:t>
      </w:r>
    </w:p>
    <w:p w:rsidR="006A59C1" w:rsidRPr="00AE036D" w:rsidRDefault="006A59C1" w:rsidP="006A59C1">
      <w:pPr>
        <w:spacing w:line="360" w:lineRule="auto"/>
        <w:ind w:left="567" w:right="567"/>
        <w:contextualSpacing/>
        <w:jc w:val="both"/>
        <w:rPr>
          <w:rFonts w:ascii="Palatino Linotype" w:eastAsiaTheme="minorEastAsia" w:hAnsi="Palatino Linotype"/>
          <w:i/>
          <w:lang w:val="es-ES_tradnl" w:eastAsia="es-ES"/>
        </w:rPr>
      </w:pPr>
      <w:r w:rsidRPr="00AE036D">
        <w:rPr>
          <w:rFonts w:ascii="Palatino Linotype" w:hAnsi="Palatino Linotype"/>
          <w:i/>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AE036D">
        <w:rPr>
          <w:rFonts w:ascii="Palatino Linotype" w:eastAsiaTheme="minorEastAsia" w:hAnsi="Palatino Linotype"/>
          <w:i/>
          <w:lang w:val="es-ES_tradnl" w:eastAsia="es-ES"/>
        </w:rPr>
        <w:t xml:space="preserve"> (De Acuerdo al Decreto N°207, Publicado el 30 de mayo de 2017)</w:t>
      </w:r>
    </w:p>
    <w:p w:rsidR="006A59C1" w:rsidRPr="00AE036D" w:rsidRDefault="006A59C1" w:rsidP="006A59C1">
      <w:pPr>
        <w:spacing w:line="360" w:lineRule="auto"/>
        <w:ind w:left="567" w:right="567"/>
        <w:contextualSpacing/>
        <w:jc w:val="both"/>
        <w:rPr>
          <w:rFonts w:ascii="Palatino Linotype" w:eastAsiaTheme="minorEastAsia" w:hAnsi="Palatino Linotype"/>
          <w:i/>
          <w:lang w:val="es-ES_tradnl" w:eastAsia="es-ES"/>
        </w:rPr>
      </w:pPr>
      <w:r w:rsidRPr="00AE036D">
        <w:rPr>
          <w:rFonts w:ascii="Palatino Linotype" w:eastAsiaTheme="minorEastAsia" w:hAnsi="Palatino Linotype"/>
          <w:i/>
          <w:lang w:val="es-ES_tradnl" w:eastAsia="es-ES"/>
        </w:rPr>
        <w:t>…”</w:t>
      </w:r>
    </w:p>
    <w:p w:rsidR="006A59C1" w:rsidRPr="00AE036D" w:rsidRDefault="006A59C1" w:rsidP="006A59C1">
      <w:pPr>
        <w:pStyle w:val="Prrafodelista"/>
        <w:numPr>
          <w:ilvl w:val="0"/>
          <w:numId w:val="1"/>
        </w:numPr>
        <w:spacing w:after="0" w:line="360" w:lineRule="auto"/>
        <w:ind w:left="0" w:firstLine="0"/>
        <w:jc w:val="both"/>
        <w:rPr>
          <w:rFonts w:ascii="Palatino Linotype" w:hAnsi="Palatino Linotype"/>
          <w:b/>
          <w:iCs/>
          <w:color w:val="000000"/>
          <w:sz w:val="24"/>
          <w:szCs w:val="24"/>
        </w:rPr>
      </w:pPr>
      <w:r w:rsidRPr="00AE036D">
        <w:rPr>
          <w:rFonts w:ascii="Palatino Linotype" w:eastAsia="MS Mincho" w:hAnsi="Palatino Linotype" w:cstheme="majorBidi"/>
          <w:sz w:val="24"/>
          <w:szCs w:val="24"/>
        </w:rPr>
        <w:t xml:space="preserve">Por lo anteriormente expuesto y fundado este </w:t>
      </w:r>
      <w:r w:rsidRPr="00AE036D">
        <w:rPr>
          <w:rFonts w:ascii="Palatino Linotype" w:eastAsia="MS Mincho" w:hAnsi="Palatino Linotype" w:cstheme="majorBidi"/>
          <w:b/>
          <w:sz w:val="24"/>
          <w:szCs w:val="24"/>
        </w:rPr>
        <w:t>ÓRGANO GARANTE</w:t>
      </w:r>
      <w:r w:rsidRPr="00AE036D">
        <w:rPr>
          <w:rFonts w:ascii="Palatino Linotype" w:eastAsia="MS Mincho" w:hAnsi="Palatino Linotype" w:cstheme="majorBidi"/>
          <w:sz w:val="24"/>
          <w:szCs w:val="24"/>
        </w:rPr>
        <w:t xml:space="preserve"> emite los siguientes.</w:t>
      </w:r>
    </w:p>
    <w:p w:rsidR="00C87136" w:rsidRPr="00AE036D" w:rsidRDefault="00C87136" w:rsidP="00C87136">
      <w:pPr>
        <w:spacing w:after="0" w:line="360" w:lineRule="auto"/>
        <w:jc w:val="both"/>
        <w:rPr>
          <w:rFonts w:ascii="Palatino Linotype" w:hAnsi="Palatino Linotype"/>
          <w:b/>
          <w:iCs/>
          <w:color w:val="000000"/>
          <w:sz w:val="24"/>
          <w:szCs w:val="24"/>
        </w:rPr>
      </w:pPr>
    </w:p>
    <w:p w:rsidR="00C87136" w:rsidRPr="00AE036D" w:rsidRDefault="00C87136" w:rsidP="00C87136">
      <w:pPr>
        <w:spacing w:after="0" w:line="360" w:lineRule="auto"/>
        <w:jc w:val="both"/>
        <w:rPr>
          <w:rFonts w:ascii="Palatino Linotype" w:hAnsi="Palatino Linotype"/>
          <w:b/>
          <w:iCs/>
          <w:color w:val="000000"/>
          <w:sz w:val="24"/>
          <w:szCs w:val="24"/>
        </w:rPr>
      </w:pPr>
    </w:p>
    <w:p w:rsidR="00C87136" w:rsidRPr="00AE036D" w:rsidRDefault="00C87136" w:rsidP="00C87136">
      <w:pPr>
        <w:spacing w:after="0" w:line="360" w:lineRule="auto"/>
        <w:jc w:val="both"/>
        <w:rPr>
          <w:rFonts w:ascii="Palatino Linotype" w:hAnsi="Palatino Linotype"/>
          <w:b/>
          <w:iCs/>
          <w:color w:val="000000"/>
          <w:sz w:val="24"/>
          <w:szCs w:val="24"/>
        </w:rPr>
      </w:pPr>
    </w:p>
    <w:p w:rsidR="00C87136" w:rsidRPr="00AE036D" w:rsidRDefault="00C87136" w:rsidP="00C87136">
      <w:pPr>
        <w:spacing w:after="0" w:line="360" w:lineRule="auto"/>
        <w:jc w:val="both"/>
        <w:rPr>
          <w:rFonts w:ascii="Palatino Linotype" w:hAnsi="Palatino Linotype"/>
          <w:b/>
          <w:iCs/>
          <w:color w:val="000000"/>
          <w:sz w:val="24"/>
          <w:szCs w:val="24"/>
        </w:rPr>
      </w:pPr>
    </w:p>
    <w:p w:rsidR="00C87136" w:rsidRPr="00AE036D" w:rsidRDefault="00C87136" w:rsidP="00C87136">
      <w:pPr>
        <w:spacing w:after="0" w:line="360" w:lineRule="auto"/>
        <w:jc w:val="both"/>
        <w:rPr>
          <w:rFonts w:ascii="Palatino Linotype" w:hAnsi="Palatino Linotype"/>
          <w:b/>
          <w:iCs/>
          <w:color w:val="000000"/>
          <w:sz w:val="24"/>
          <w:szCs w:val="24"/>
        </w:rPr>
      </w:pPr>
    </w:p>
    <w:p w:rsidR="006A59C1" w:rsidRPr="00AE036D" w:rsidRDefault="006A59C1" w:rsidP="006A59C1">
      <w:pPr>
        <w:pStyle w:val="Ttulo2"/>
        <w:rPr>
          <w:rFonts w:ascii="Palatino Linotype" w:eastAsia="MS Mincho" w:hAnsi="Palatino Linotype" w:cs="Arial"/>
          <w:i/>
        </w:rPr>
      </w:pPr>
    </w:p>
    <w:p w:rsidR="006A59C1" w:rsidRPr="00AE036D" w:rsidRDefault="006A59C1" w:rsidP="006A59C1">
      <w:pPr>
        <w:keepNext/>
        <w:keepLines/>
        <w:spacing w:after="0" w:line="360" w:lineRule="auto"/>
        <w:ind w:right="332"/>
        <w:jc w:val="center"/>
        <w:outlineLvl w:val="0"/>
        <w:rPr>
          <w:rFonts w:ascii="Palatino Linotype" w:eastAsia="Times New Roman" w:hAnsi="Palatino Linotype" w:cstheme="majorBidi"/>
          <w:b/>
          <w:sz w:val="24"/>
          <w:szCs w:val="24"/>
          <w:lang w:val="es-ES_tradnl" w:eastAsia="es-ES"/>
        </w:rPr>
      </w:pPr>
      <w:bookmarkStart w:id="37" w:name="_Toc61622944"/>
      <w:r w:rsidRPr="00AE036D">
        <w:rPr>
          <w:rFonts w:ascii="Palatino Linotype" w:eastAsia="Times New Roman" w:hAnsi="Palatino Linotype" w:cstheme="majorBidi"/>
          <w:b/>
          <w:sz w:val="24"/>
          <w:szCs w:val="24"/>
          <w:lang w:val="es-ES_tradnl" w:eastAsia="es-ES"/>
        </w:rPr>
        <w:t>R E S O L U T I V O S</w:t>
      </w:r>
      <w:bookmarkEnd w:id="31"/>
      <w:bookmarkEnd w:id="37"/>
    </w:p>
    <w:p w:rsidR="006A59C1" w:rsidRPr="00AE036D" w:rsidRDefault="006A59C1" w:rsidP="006A59C1">
      <w:pPr>
        <w:keepNext/>
        <w:keepLines/>
        <w:spacing w:after="0" w:line="360" w:lineRule="auto"/>
        <w:ind w:right="332"/>
        <w:jc w:val="center"/>
        <w:outlineLvl w:val="0"/>
        <w:rPr>
          <w:rFonts w:ascii="Palatino Linotype" w:eastAsia="Times New Roman" w:hAnsi="Palatino Linotype" w:cstheme="majorBidi"/>
          <w:b/>
          <w:sz w:val="28"/>
          <w:szCs w:val="24"/>
          <w:lang w:val="es-ES_tradnl" w:eastAsia="es-ES"/>
        </w:rPr>
      </w:pPr>
    </w:p>
    <w:p w:rsidR="006A59C1" w:rsidRPr="00AE036D" w:rsidRDefault="006A59C1" w:rsidP="006A59C1">
      <w:pPr>
        <w:spacing w:line="360" w:lineRule="auto"/>
        <w:ind w:right="48"/>
        <w:jc w:val="both"/>
        <w:rPr>
          <w:rFonts w:ascii="Palatino Linotype" w:hAnsi="Palatino Linotype" w:cs="Arial"/>
          <w:bCs/>
          <w:sz w:val="24"/>
        </w:rPr>
      </w:pPr>
      <w:r w:rsidRPr="00AE036D">
        <w:rPr>
          <w:rFonts w:ascii="Palatino Linotype" w:eastAsia="Times New Roman" w:hAnsi="Palatino Linotype" w:cs="Arial"/>
          <w:b/>
          <w:sz w:val="24"/>
        </w:rPr>
        <w:t xml:space="preserve">PRIMERO. </w:t>
      </w:r>
      <w:proofErr w:type="gramStart"/>
      <w:r w:rsidRPr="00AE036D">
        <w:rPr>
          <w:rFonts w:ascii="Palatino Linotype" w:eastAsia="Times New Roman" w:hAnsi="Palatino Linotype" w:cs="Arial"/>
          <w:sz w:val="24"/>
        </w:rPr>
        <w:t>Resultan  fundadas</w:t>
      </w:r>
      <w:proofErr w:type="gramEnd"/>
      <w:r w:rsidRPr="00AE036D">
        <w:rPr>
          <w:rFonts w:ascii="Palatino Linotype" w:eastAsia="Times New Roman" w:hAnsi="Palatino Linotype" w:cs="Arial"/>
          <w:sz w:val="24"/>
        </w:rPr>
        <w:t xml:space="preserve"> las</w:t>
      </w:r>
      <w:r w:rsidRPr="00AE036D">
        <w:rPr>
          <w:rFonts w:ascii="Palatino Linotype" w:eastAsia="Times New Roman" w:hAnsi="Palatino Linotype" w:cs="Arial"/>
          <w:b/>
          <w:sz w:val="24"/>
        </w:rPr>
        <w:t xml:space="preserve"> </w:t>
      </w:r>
      <w:r w:rsidRPr="00AE036D">
        <w:rPr>
          <w:rFonts w:ascii="Palatino Linotype" w:eastAsia="Times New Roman" w:hAnsi="Palatino Linotype" w:cs="Arial"/>
          <w:sz w:val="24"/>
          <w:lang w:val="es-ES"/>
        </w:rPr>
        <w:t xml:space="preserve">razones o motivos de inconformidad hechos valer </w:t>
      </w:r>
      <w:r w:rsidRPr="00AE036D">
        <w:rPr>
          <w:rFonts w:ascii="Palatino Linotype" w:eastAsia="Calibri" w:hAnsi="Palatino Linotype" w:cs="Arial"/>
          <w:sz w:val="24"/>
          <w:lang w:val="es-ES"/>
        </w:rPr>
        <w:t xml:space="preserve">en el recurso de revisión </w:t>
      </w:r>
      <w:r w:rsidRPr="00AE036D">
        <w:rPr>
          <w:rFonts w:ascii="Palatino Linotype" w:hAnsi="Palatino Linotype" w:cs="Arial"/>
          <w:b/>
          <w:bCs/>
          <w:sz w:val="24"/>
        </w:rPr>
        <w:t xml:space="preserve">05023/INFOEM/IP/RR/2020, </w:t>
      </w:r>
      <w:r w:rsidRPr="00AE036D">
        <w:rPr>
          <w:rFonts w:ascii="Palatino Linotype" w:hAnsi="Palatino Linotype" w:cs="Arial"/>
          <w:bCs/>
          <w:sz w:val="24"/>
        </w:rPr>
        <w:t xml:space="preserve">en términos del </w:t>
      </w:r>
      <w:r w:rsidRPr="00AE036D">
        <w:rPr>
          <w:rFonts w:ascii="Palatino Linotype" w:hAnsi="Palatino Linotype" w:cs="Arial"/>
          <w:b/>
          <w:bCs/>
          <w:sz w:val="24"/>
        </w:rPr>
        <w:t>Considerando</w:t>
      </w:r>
      <w:r w:rsidRPr="00AE036D">
        <w:rPr>
          <w:rFonts w:ascii="Palatino Linotype" w:hAnsi="Palatino Linotype" w:cs="Arial"/>
          <w:bCs/>
          <w:sz w:val="24"/>
        </w:rPr>
        <w:t xml:space="preserve"> </w:t>
      </w:r>
      <w:r w:rsidR="009B6504" w:rsidRPr="00AE036D">
        <w:rPr>
          <w:rFonts w:ascii="Palatino Linotype" w:hAnsi="Palatino Linotype" w:cs="Arial"/>
          <w:b/>
          <w:bCs/>
          <w:sz w:val="24"/>
        </w:rPr>
        <w:t>QUIN</w:t>
      </w:r>
      <w:r w:rsidRPr="00AE036D">
        <w:rPr>
          <w:rFonts w:ascii="Palatino Linotype" w:hAnsi="Palatino Linotype" w:cs="Arial"/>
          <w:b/>
          <w:bCs/>
          <w:sz w:val="24"/>
        </w:rPr>
        <w:t xml:space="preserve">TO  </w:t>
      </w:r>
      <w:r w:rsidRPr="00AE036D">
        <w:rPr>
          <w:rFonts w:ascii="Palatino Linotype" w:hAnsi="Palatino Linotype" w:cs="Arial"/>
          <w:bCs/>
          <w:sz w:val="24"/>
        </w:rPr>
        <w:t>de la presente resolución.</w:t>
      </w:r>
    </w:p>
    <w:p w:rsidR="006A59C1" w:rsidRPr="00AE036D" w:rsidRDefault="006A59C1" w:rsidP="006A59C1">
      <w:pPr>
        <w:spacing w:line="360" w:lineRule="auto"/>
        <w:ind w:right="48"/>
        <w:jc w:val="both"/>
        <w:rPr>
          <w:rFonts w:ascii="Palatino Linotype" w:hAnsi="Palatino Linotype" w:cs="Arial"/>
          <w:bCs/>
          <w:sz w:val="24"/>
        </w:rPr>
      </w:pPr>
    </w:p>
    <w:p w:rsidR="006A59C1" w:rsidRPr="00AE036D" w:rsidRDefault="006A59C1" w:rsidP="006A59C1">
      <w:pPr>
        <w:spacing w:line="360" w:lineRule="auto"/>
        <w:ind w:right="48"/>
        <w:jc w:val="both"/>
        <w:rPr>
          <w:rFonts w:ascii="Palatino Linotype" w:hAnsi="Palatino Linotype" w:cs="Arial"/>
          <w:bCs/>
          <w:sz w:val="24"/>
        </w:rPr>
      </w:pPr>
      <w:bookmarkStart w:id="38" w:name="_Toc477891768"/>
      <w:bookmarkStart w:id="39" w:name="_Toc477891858"/>
      <w:bookmarkStart w:id="40" w:name="_Toc481576259"/>
      <w:bookmarkStart w:id="41" w:name="_Toc492590391"/>
      <w:bookmarkStart w:id="42" w:name="_Toc462653937"/>
      <w:bookmarkStart w:id="43" w:name="_Toc453696502"/>
      <w:bookmarkStart w:id="44" w:name="_Toc454301155"/>
      <w:r w:rsidRPr="00AE036D">
        <w:rPr>
          <w:rFonts w:ascii="Palatino Linotype" w:hAnsi="Palatino Linotype"/>
          <w:b/>
          <w:sz w:val="24"/>
        </w:rPr>
        <w:t>SEGUNDO.</w:t>
      </w:r>
      <w:r w:rsidRPr="00AE036D">
        <w:rPr>
          <w:rStyle w:val="Ttulo2Car"/>
          <w:sz w:val="28"/>
        </w:rPr>
        <w:t xml:space="preserve"> </w:t>
      </w:r>
      <w:bookmarkEnd w:id="38"/>
      <w:bookmarkEnd w:id="39"/>
      <w:bookmarkEnd w:id="40"/>
      <w:bookmarkEnd w:id="41"/>
      <w:bookmarkEnd w:id="42"/>
      <w:bookmarkEnd w:id="43"/>
      <w:bookmarkEnd w:id="44"/>
      <w:r w:rsidRPr="00AE036D">
        <w:rPr>
          <w:rFonts w:ascii="Palatino Linotype" w:eastAsia="Calibri" w:hAnsi="Palatino Linotype" w:cs="Arial"/>
          <w:sz w:val="24"/>
          <w:lang w:val="es-ES"/>
        </w:rPr>
        <w:t>Se</w:t>
      </w:r>
      <w:r w:rsidRPr="00AE036D">
        <w:rPr>
          <w:rFonts w:ascii="Palatino Linotype" w:eastAsia="Calibri" w:hAnsi="Palatino Linotype" w:cs="Arial"/>
          <w:b/>
          <w:sz w:val="24"/>
          <w:lang w:val="es-ES"/>
        </w:rPr>
        <w:t xml:space="preserve"> REVOCA </w:t>
      </w:r>
      <w:r w:rsidRPr="00AE036D">
        <w:rPr>
          <w:rFonts w:ascii="Palatino Linotype" w:eastAsia="Calibri" w:hAnsi="Palatino Linotype" w:cs="Arial"/>
          <w:sz w:val="24"/>
          <w:lang w:val="es-ES"/>
        </w:rPr>
        <w:t xml:space="preserve">la respuesta emitida por el </w:t>
      </w:r>
      <w:r w:rsidRPr="00AE036D">
        <w:rPr>
          <w:rFonts w:ascii="Palatino Linotype" w:hAnsi="Palatino Linotype" w:cs="Arial"/>
          <w:b/>
          <w:sz w:val="24"/>
        </w:rPr>
        <w:t xml:space="preserve">Ayuntamiento de Teoloyucan </w:t>
      </w:r>
      <w:r w:rsidRPr="00AE036D">
        <w:rPr>
          <w:rFonts w:ascii="Palatino Linotype" w:eastAsia="Calibri" w:hAnsi="Palatino Linotype" w:cs="Arial"/>
          <w:sz w:val="24"/>
          <w:lang w:val="es-ES"/>
        </w:rPr>
        <w:t>y se</w:t>
      </w:r>
      <w:r w:rsidRPr="00AE036D">
        <w:rPr>
          <w:rFonts w:ascii="Palatino Linotype" w:eastAsia="Calibri" w:hAnsi="Palatino Linotype" w:cs="Arial"/>
          <w:b/>
          <w:sz w:val="24"/>
          <w:lang w:val="es-ES"/>
        </w:rPr>
        <w:t xml:space="preserve"> ORDENA </w:t>
      </w:r>
      <w:r w:rsidRPr="00AE036D">
        <w:rPr>
          <w:rFonts w:ascii="Palatino Linotype" w:eastAsia="Times New Roman" w:hAnsi="Palatino Linotype" w:cs="Arial"/>
          <w:sz w:val="24"/>
          <w:lang w:val="es-ES"/>
        </w:rPr>
        <w:t>entregar vía Sistema de Acceso a la Información Mexiquense (SAIMEX)</w:t>
      </w:r>
      <w:r w:rsidR="003549D6" w:rsidRPr="00AE036D">
        <w:rPr>
          <w:rFonts w:ascii="Palatino Linotype" w:eastAsia="Times New Roman" w:hAnsi="Palatino Linotype" w:cs="Arial"/>
          <w:sz w:val="24"/>
          <w:lang w:val="es-ES"/>
        </w:rPr>
        <w:t xml:space="preserve"> del </w:t>
      </w:r>
      <w:r w:rsidR="003549D6" w:rsidRPr="00AE036D">
        <w:rPr>
          <w:rFonts w:ascii="Palatino Linotype" w:hAnsi="Palatino Linotype" w:cs="Arial"/>
          <w:b/>
          <w:sz w:val="24"/>
        </w:rPr>
        <w:t xml:space="preserve">uno de enero de dos mil diecinueve al treinta y </w:t>
      </w:r>
      <w:r w:rsidR="00C514BC" w:rsidRPr="00AE036D">
        <w:rPr>
          <w:rFonts w:ascii="Palatino Linotype" w:hAnsi="Palatino Linotype" w:cs="Arial"/>
          <w:b/>
          <w:sz w:val="24"/>
        </w:rPr>
        <w:t>uno de agosto de dos mil veinte</w:t>
      </w:r>
      <w:r w:rsidRPr="00AE036D">
        <w:rPr>
          <w:rFonts w:ascii="Palatino Linotype" w:eastAsia="Times New Roman" w:hAnsi="Palatino Linotype" w:cs="Arial"/>
          <w:sz w:val="24"/>
          <w:lang w:val="es-ES"/>
        </w:rPr>
        <w:t xml:space="preserve">, la siguiente </w:t>
      </w:r>
      <w:r w:rsidRPr="00AE036D">
        <w:rPr>
          <w:rFonts w:ascii="Palatino Linotype" w:hAnsi="Palatino Linotype" w:cs="Arial"/>
          <w:bCs/>
          <w:sz w:val="24"/>
        </w:rPr>
        <w:t>información:</w:t>
      </w:r>
    </w:p>
    <w:p w:rsidR="003549D6" w:rsidRPr="00AE036D" w:rsidRDefault="006A59C1" w:rsidP="006A59C1">
      <w:pPr>
        <w:pStyle w:val="Prrafodelista"/>
        <w:numPr>
          <w:ilvl w:val="0"/>
          <w:numId w:val="3"/>
        </w:numPr>
        <w:spacing w:after="0" w:line="360" w:lineRule="auto"/>
        <w:ind w:right="48"/>
        <w:jc w:val="both"/>
        <w:rPr>
          <w:rFonts w:ascii="Palatino Linotype" w:hAnsi="Palatino Linotype" w:cs="Arial"/>
          <w:b/>
          <w:bCs/>
          <w:sz w:val="24"/>
          <w:szCs w:val="24"/>
        </w:rPr>
      </w:pPr>
      <w:r w:rsidRPr="00AE036D">
        <w:rPr>
          <w:rFonts w:ascii="Palatino Linotype" w:hAnsi="Palatino Linotype" w:cs="Arial"/>
          <w:b/>
          <w:sz w:val="24"/>
          <w:szCs w:val="24"/>
        </w:rPr>
        <w:t xml:space="preserve">Balanza de Comprobación </w:t>
      </w:r>
      <w:r w:rsidR="003549D6" w:rsidRPr="00AE036D">
        <w:rPr>
          <w:rFonts w:ascii="Palatino Linotype" w:hAnsi="Palatino Linotype" w:cs="Arial"/>
          <w:b/>
          <w:sz w:val="24"/>
          <w:szCs w:val="24"/>
        </w:rPr>
        <w:t>del Municipio de Teoloyucan.</w:t>
      </w:r>
    </w:p>
    <w:p w:rsidR="003549D6" w:rsidRPr="00AE036D" w:rsidRDefault="003549D6" w:rsidP="006A59C1">
      <w:pPr>
        <w:pStyle w:val="Prrafodelista"/>
        <w:numPr>
          <w:ilvl w:val="0"/>
          <w:numId w:val="3"/>
        </w:numPr>
        <w:spacing w:after="0" w:line="360" w:lineRule="auto"/>
        <w:ind w:right="48"/>
        <w:jc w:val="both"/>
        <w:rPr>
          <w:rFonts w:ascii="Palatino Linotype" w:hAnsi="Palatino Linotype" w:cs="Arial"/>
          <w:b/>
          <w:bCs/>
          <w:sz w:val="24"/>
          <w:szCs w:val="24"/>
        </w:rPr>
      </w:pPr>
      <w:r w:rsidRPr="00AE036D">
        <w:rPr>
          <w:rFonts w:ascii="Palatino Linotype" w:hAnsi="Palatino Linotype" w:cs="Arial"/>
          <w:b/>
          <w:sz w:val="24"/>
          <w:szCs w:val="24"/>
        </w:rPr>
        <w:t xml:space="preserve">Balanza de Comprobación del </w:t>
      </w:r>
      <w:r w:rsidRPr="00AE036D">
        <w:rPr>
          <w:rFonts w:ascii="Palatino Linotype" w:hAnsi="Palatino Linotype"/>
          <w:b/>
          <w:color w:val="000000"/>
          <w:sz w:val="24"/>
          <w:szCs w:val="24"/>
        </w:rPr>
        <w:t>Instituto Municipal de Cultura Física y Deporte de Teoloyucan.</w:t>
      </w:r>
    </w:p>
    <w:p w:rsidR="003549D6" w:rsidRPr="00AE036D" w:rsidRDefault="003549D6" w:rsidP="006A59C1">
      <w:pPr>
        <w:pStyle w:val="Prrafodelista"/>
        <w:numPr>
          <w:ilvl w:val="0"/>
          <w:numId w:val="3"/>
        </w:numPr>
        <w:spacing w:after="0" w:line="360" w:lineRule="auto"/>
        <w:ind w:right="48"/>
        <w:jc w:val="both"/>
        <w:rPr>
          <w:rFonts w:ascii="Palatino Linotype" w:hAnsi="Palatino Linotype" w:cs="Arial"/>
          <w:b/>
          <w:bCs/>
          <w:sz w:val="24"/>
          <w:szCs w:val="24"/>
        </w:rPr>
      </w:pPr>
      <w:r w:rsidRPr="00AE036D">
        <w:rPr>
          <w:rFonts w:ascii="Palatino Linotype" w:hAnsi="Palatino Linotype"/>
          <w:color w:val="000000"/>
          <w:sz w:val="24"/>
          <w:szCs w:val="24"/>
        </w:rPr>
        <w:t xml:space="preserve"> </w:t>
      </w:r>
      <w:r w:rsidRPr="00AE036D">
        <w:rPr>
          <w:rFonts w:ascii="Palatino Linotype" w:hAnsi="Palatino Linotype"/>
          <w:b/>
          <w:color w:val="000000"/>
          <w:sz w:val="24"/>
          <w:szCs w:val="24"/>
        </w:rPr>
        <w:t>Balanza de Comprobación del Organismo Público Descentralizado para la Prestación de los Servicios de Agua Potable, Alcantarillado y Saneamiento de Teoloyucan.</w:t>
      </w:r>
    </w:p>
    <w:p w:rsidR="003549D6" w:rsidRPr="00AE036D" w:rsidRDefault="003549D6" w:rsidP="006A59C1">
      <w:pPr>
        <w:pStyle w:val="Prrafodelista"/>
        <w:numPr>
          <w:ilvl w:val="0"/>
          <w:numId w:val="3"/>
        </w:numPr>
        <w:spacing w:after="0" w:line="360" w:lineRule="auto"/>
        <w:ind w:right="48"/>
        <w:jc w:val="both"/>
        <w:rPr>
          <w:rFonts w:ascii="Palatino Linotype" w:hAnsi="Palatino Linotype" w:cs="Arial"/>
          <w:b/>
          <w:bCs/>
          <w:sz w:val="24"/>
          <w:szCs w:val="24"/>
        </w:rPr>
      </w:pPr>
      <w:r w:rsidRPr="00AE036D">
        <w:rPr>
          <w:rFonts w:ascii="Palatino Linotype" w:hAnsi="Palatino Linotype"/>
          <w:b/>
          <w:color w:val="000000"/>
          <w:sz w:val="24"/>
          <w:szCs w:val="24"/>
        </w:rPr>
        <w:t>Balanza de Comprobación del Sistema Municipal para el Desarrollo Integral de la Familia de Teoloyucan.</w:t>
      </w:r>
    </w:p>
    <w:p w:rsidR="006A59C1" w:rsidRPr="00AE036D" w:rsidRDefault="006A59C1" w:rsidP="006A59C1">
      <w:pPr>
        <w:spacing w:line="360" w:lineRule="auto"/>
        <w:ind w:right="48"/>
        <w:jc w:val="both"/>
        <w:rPr>
          <w:rFonts w:ascii="Palatino Linotype" w:hAnsi="Palatino Linotype" w:cs="Arial"/>
          <w:b/>
          <w:bCs/>
          <w:color w:val="FF0000"/>
          <w:sz w:val="24"/>
        </w:rPr>
      </w:pPr>
    </w:p>
    <w:p w:rsidR="006A59C1" w:rsidRPr="00AE036D" w:rsidRDefault="006A59C1" w:rsidP="006A59C1">
      <w:pPr>
        <w:tabs>
          <w:tab w:val="left" w:pos="8080"/>
        </w:tabs>
        <w:spacing w:line="360" w:lineRule="auto"/>
        <w:ind w:right="48"/>
        <w:contextualSpacing/>
        <w:jc w:val="both"/>
        <w:rPr>
          <w:rFonts w:ascii="Palatino Linotype" w:eastAsia="Palatino Linotype" w:hAnsi="Palatino Linotype" w:cs="Palatino Linotype"/>
          <w:b/>
          <w:sz w:val="24"/>
        </w:rPr>
      </w:pPr>
      <w:bookmarkStart w:id="45" w:name="_Toc460947013"/>
      <w:r w:rsidRPr="00AE036D">
        <w:rPr>
          <w:rFonts w:ascii="Palatino Linotype" w:eastAsia="Palatino Linotype" w:hAnsi="Palatino Linotype" w:cs="Palatino Linotype"/>
          <w:b/>
          <w:sz w:val="24"/>
        </w:rPr>
        <w:t xml:space="preserve">TERCERO. Notifíquese </w:t>
      </w:r>
      <w:r w:rsidRPr="00AE036D">
        <w:rPr>
          <w:rFonts w:ascii="Palatino Linotype" w:eastAsia="Palatino Linotype" w:hAnsi="Palatino Linotype" w:cs="Palatino Linotype"/>
          <w:sz w:val="24"/>
        </w:rPr>
        <w:t xml:space="preserve">al Titular de la Unidad de Transparencia del </w:t>
      </w:r>
      <w:r w:rsidRPr="00AE036D">
        <w:rPr>
          <w:rFonts w:ascii="Palatino Linotype" w:eastAsia="Palatino Linotype" w:hAnsi="Palatino Linotype" w:cs="Palatino Linotype"/>
          <w:b/>
          <w:sz w:val="24"/>
        </w:rPr>
        <w:t>SUJETO OBLIGADO</w:t>
      </w:r>
      <w:r w:rsidRPr="00AE036D">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w:t>
      </w:r>
      <w:r w:rsidRPr="00AE036D">
        <w:rPr>
          <w:rFonts w:ascii="Palatino Linotype" w:eastAsia="Palatino Linotype" w:hAnsi="Palatino Linotype" w:cs="Palatino Linotype"/>
          <w:sz w:val="24"/>
        </w:rPr>
        <w:lastRenderedPageBreak/>
        <w:t xml:space="preserve">y Municipios, </w:t>
      </w:r>
      <w:r w:rsidRPr="00AE036D">
        <w:rPr>
          <w:rFonts w:ascii="Palatino Linotype" w:hAnsi="Palatino Linotype"/>
          <w:color w:val="222222"/>
          <w:sz w:val="24"/>
          <w:shd w:val="clear" w:color="auto" w:fill="FFFFFF"/>
        </w:rPr>
        <w:t xml:space="preserve">vigente, dé cumplimiento a lo ordenado dentro del plazo de diez días </w:t>
      </w:r>
      <w:bookmarkStart w:id="46" w:name="_GoBack"/>
      <w:bookmarkEnd w:id="46"/>
      <w:r w:rsidRPr="00AE036D">
        <w:rPr>
          <w:rFonts w:ascii="Palatino Linotype" w:hAnsi="Palatino Linotype"/>
          <w:color w:val="222222"/>
          <w:sz w:val="24"/>
          <w:shd w:val="clear" w:color="auto" w:fill="FFFFFF"/>
        </w:rPr>
        <w:t>hábiles, debiendo rendir a este Instituto el informe de cumplimiento de la resolución en un plazo de tres días hábiles posteriores.</w:t>
      </w:r>
    </w:p>
    <w:p w:rsidR="006A59C1" w:rsidRPr="00AE036D" w:rsidRDefault="006A59C1" w:rsidP="006A59C1">
      <w:pPr>
        <w:shd w:val="clear" w:color="auto" w:fill="FFFFFF"/>
        <w:tabs>
          <w:tab w:val="left" w:pos="4020"/>
        </w:tabs>
        <w:spacing w:line="360" w:lineRule="auto"/>
        <w:ind w:right="48"/>
        <w:jc w:val="both"/>
        <w:rPr>
          <w:rFonts w:ascii="Palatino Linotype" w:eastAsia="Times New Roman" w:hAnsi="Palatino Linotype" w:cs="Arial"/>
          <w:b/>
          <w:sz w:val="24"/>
        </w:rPr>
      </w:pPr>
      <w:r w:rsidRPr="00AE036D">
        <w:rPr>
          <w:rFonts w:ascii="Palatino Linotype" w:eastAsia="Times New Roman" w:hAnsi="Palatino Linotype" w:cs="Arial"/>
          <w:b/>
          <w:sz w:val="24"/>
        </w:rPr>
        <w:tab/>
      </w:r>
    </w:p>
    <w:p w:rsidR="006A59C1" w:rsidRPr="00AE036D" w:rsidRDefault="006A59C1" w:rsidP="006A59C1">
      <w:pPr>
        <w:shd w:val="clear" w:color="auto" w:fill="FFFFFF"/>
        <w:spacing w:line="360" w:lineRule="auto"/>
        <w:ind w:right="48"/>
        <w:jc w:val="both"/>
        <w:rPr>
          <w:rFonts w:ascii="Palatino Linotype" w:hAnsi="Palatino Linotype"/>
          <w:sz w:val="24"/>
        </w:rPr>
      </w:pPr>
      <w:r w:rsidRPr="00AE036D">
        <w:rPr>
          <w:rFonts w:ascii="Palatino Linotype" w:eastAsia="Times New Roman" w:hAnsi="Palatino Linotype" w:cs="Arial"/>
          <w:b/>
          <w:sz w:val="24"/>
        </w:rPr>
        <w:t xml:space="preserve">CUARTO. </w:t>
      </w:r>
      <w:r w:rsidRPr="00AE036D">
        <w:rPr>
          <w:rFonts w:ascii="Palatino Linotype" w:eastAsia="Times New Roman" w:hAnsi="Palatino Linotype" w:cs="Times New Roman"/>
          <w:b/>
          <w:bCs/>
          <w:color w:val="222222"/>
          <w:sz w:val="24"/>
          <w:lang w:val="es-ES"/>
        </w:rPr>
        <w:t>Notifíquese al RECURRENTE</w:t>
      </w:r>
      <w:r w:rsidRPr="00AE036D">
        <w:rPr>
          <w:rFonts w:ascii="Palatino Linotype" w:hAnsi="Palatino Linotype"/>
          <w:sz w:val="24"/>
        </w:rPr>
        <w:t xml:space="preserve"> la presente resolución. </w:t>
      </w:r>
    </w:p>
    <w:p w:rsidR="006A59C1" w:rsidRPr="00AE036D" w:rsidRDefault="006A59C1" w:rsidP="006A59C1">
      <w:pPr>
        <w:shd w:val="clear" w:color="auto" w:fill="FFFFFF"/>
        <w:spacing w:line="360" w:lineRule="auto"/>
        <w:ind w:right="48"/>
        <w:jc w:val="both"/>
        <w:rPr>
          <w:rFonts w:ascii="Palatino Linotype" w:hAnsi="Palatino Linotype"/>
          <w:b/>
          <w:color w:val="FF0000"/>
          <w:sz w:val="24"/>
        </w:rPr>
      </w:pPr>
    </w:p>
    <w:bookmarkEnd w:id="45"/>
    <w:p w:rsidR="006A59C1" w:rsidRPr="00AE036D" w:rsidRDefault="006A59C1" w:rsidP="006A59C1">
      <w:pPr>
        <w:spacing w:line="360" w:lineRule="auto"/>
        <w:ind w:right="48"/>
        <w:jc w:val="both"/>
        <w:rPr>
          <w:rFonts w:ascii="Palatino Linotype" w:eastAsia="MS Mincho" w:hAnsi="Palatino Linotype" w:cs="Times New Roman"/>
          <w:sz w:val="24"/>
          <w:lang w:val="es-ES"/>
        </w:rPr>
      </w:pPr>
      <w:r w:rsidRPr="00AE036D">
        <w:rPr>
          <w:rFonts w:ascii="Palatino Linotype" w:eastAsia="MS Mincho" w:hAnsi="Palatino Linotype" w:cs="Times New Roman"/>
          <w:b/>
          <w:sz w:val="24"/>
        </w:rPr>
        <w:t>QUINTO.</w:t>
      </w:r>
      <w:r w:rsidRPr="00AE036D">
        <w:rPr>
          <w:rFonts w:ascii="Palatino Linotype" w:eastAsia="MS Mincho" w:hAnsi="Palatino Linotype" w:cs="Times New Roman"/>
          <w:sz w:val="24"/>
        </w:rPr>
        <w:t xml:space="preserve"> </w:t>
      </w:r>
      <w:r w:rsidRPr="00AE036D">
        <w:rPr>
          <w:rFonts w:ascii="Palatino Linotype" w:eastAsia="MS Mincho" w:hAnsi="Palatino Linotype" w:cs="Times New Roman"/>
          <w:sz w:val="24"/>
          <w:lang w:val="es-ES"/>
        </w:rPr>
        <w:t xml:space="preserve">Se hace del conocimiento del </w:t>
      </w:r>
      <w:r w:rsidRPr="00AE036D">
        <w:rPr>
          <w:rFonts w:ascii="Palatino Linotype" w:eastAsia="MS Mincho" w:hAnsi="Palatino Linotype" w:cs="Times New Roman"/>
          <w:b/>
          <w:sz w:val="24"/>
          <w:lang w:val="es-ES"/>
        </w:rPr>
        <w:t>RECURRENTE</w:t>
      </w:r>
      <w:r w:rsidRPr="00AE036D">
        <w:rPr>
          <w:rFonts w:ascii="Palatino Linotype" w:eastAsia="MS Mincho" w:hAnsi="Palatino Linotype" w:cs="Times New Roman"/>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E036D">
        <w:rPr>
          <w:rFonts w:ascii="Palatino Linotype" w:eastAsia="MS Mincho" w:hAnsi="Palatino Linotype" w:cs="Times New Roman"/>
          <w:bCs/>
          <w:sz w:val="24"/>
          <w:lang w:val="es-ES"/>
        </w:rPr>
        <w:t>vía juicio de amparo</w:t>
      </w:r>
      <w:r w:rsidRPr="00AE036D">
        <w:rPr>
          <w:rFonts w:ascii="Palatino Linotype" w:eastAsia="MS Mincho" w:hAnsi="Palatino Linotype" w:cs="Times New Roman"/>
          <w:sz w:val="24"/>
          <w:lang w:val="es-ES"/>
        </w:rPr>
        <w:t> en los términos de las leyes aplicables.</w:t>
      </w:r>
    </w:p>
    <w:p w:rsidR="006A59C1" w:rsidRPr="00AE036D" w:rsidRDefault="006A59C1" w:rsidP="006A59C1">
      <w:pPr>
        <w:spacing w:line="360" w:lineRule="auto"/>
        <w:ind w:right="48"/>
        <w:jc w:val="both"/>
        <w:rPr>
          <w:rFonts w:ascii="Palatino Linotype" w:eastAsia="MS Mincho" w:hAnsi="Palatino Linotype" w:cs="Times New Roman"/>
          <w:sz w:val="24"/>
          <w:lang w:val="es-ES"/>
        </w:rPr>
      </w:pPr>
    </w:p>
    <w:p w:rsidR="006A59C1" w:rsidRPr="00AE036D" w:rsidRDefault="006A59C1" w:rsidP="006A59C1">
      <w:pPr>
        <w:spacing w:line="360" w:lineRule="auto"/>
        <w:jc w:val="both"/>
        <w:rPr>
          <w:rFonts w:ascii="Palatino Linotype" w:eastAsia="MS Mincho" w:hAnsi="Palatino Linotype"/>
          <w:b/>
          <w:sz w:val="24"/>
          <w:lang w:val="es-ES_tradnl" w:eastAsia="es-ES"/>
        </w:rPr>
      </w:pPr>
      <w:r w:rsidRPr="00AE036D">
        <w:rPr>
          <w:rFonts w:ascii="Palatino Linotype" w:eastAsia="MS Mincho" w:hAnsi="Palatino Linotype"/>
          <w:b/>
          <w:sz w:val="24"/>
          <w:lang w:val="es-ES" w:eastAsia="es-ES"/>
        </w:rPr>
        <w:t>SEXTO.</w:t>
      </w:r>
      <w:r w:rsidRPr="00AE036D">
        <w:rPr>
          <w:rFonts w:ascii="Palatino Linotype" w:eastAsia="MS Mincho" w:hAnsi="Palatino Linotype"/>
          <w:sz w:val="24"/>
          <w:lang w:val="es-ES" w:eastAsia="es-ES"/>
        </w:rPr>
        <w:t xml:space="preserve"> </w:t>
      </w:r>
      <w:r w:rsidRPr="00AE036D">
        <w:rPr>
          <w:rFonts w:ascii="Palatino Linotype" w:eastAsia="MS Mincho" w:hAnsi="Palatino Linotype"/>
          <w:sz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AE036D">
        <w:rPr>
          <w:rFonts w:ascii="Palatino Linotype" w:eastAsia="MS Mincho" w:hAnsi="Palatino Linotype"/>
          <w:b/>
          <w:sz w:val="24"/>
          <w:lang w:val="es-ES_tradnl" w:eastAsia="es-ES"/>
        </w:rPr>
        <w:t>Considerando QUINTO.</w:t>
      </w:r>
    </w:p>
    <w:p w:rsidR="006A59C1" w:rsidRPr="00AE036D" w:rsidRDefault="006A59C1" w:rsidP="006A59C1">
      <w:pPr>
        <w:spacing w:line="360" w:lineRule="auto"/>
        <w:ind w:right="48"/>
        <w:jc w:val="both"/>
        <w:rPr>
          <w:rFonts w:ascii="Palatino Linotype" w:eastAsia="MS Mincho" w:hAnsi="Palatino Linotype" w:cs="Times New Roman"/>
          <w:sz w:val="24"/>
          <w:lang w:val="es-ES"/>
        </w:rPr>
      </w:pPr>
    </w:p>
    <w:p w:rsidR="005F344F" w:rsidRPr="00AE036D" w:rsidRDefault="006A59C1" w:rsidP="005F344F">
      <w:pPr>
        <w:spacing w:line="360" w:lineRule="auto"/>
        <w:ind w:right="48"/>
        <w:jc w:val="both"/>
        <w:rPr>
          <w:rFonts w:ascii="Palatino Linotype" w:hAnsi="Palatino Linotype"/>
          <w:color w:val="000000"/>
          <w:sz w:val="24"/>
          <w:shd w:val="clear" w:color="auto" w:fill="FFFFFF"/>
        </w:rPr>
      </w:pPr>
      <w:r w:rsidRPr="00AE036D">
        <w:rPr>
          <w:rFonts w:ascii="Palatino Linotype" w:hAnsi="Palatino Linotype"/>
          <w:b/>
          <w:bCs/>
          <w:color w:val="000000"/>
          <w:sz w:val="24"/>
          <w:shd w:val="clear" w:color="auto" w:fill="FFFFFF"/>
        </w:rPr>
        <w:t>SÉPTIMO.</w:t>
      </w:r>
      <w:r w:rsidRPr="00AE036D">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AE036D">
        <w:rPr>
          <w:rFonts w:ascii="Palatino Linotype" w:hAnsi="Palatino Linotype"/>
          <w:b/>
          <w:bCs/>
          <w:color w:val="000000"/>
          <w:sz w:val="24"/>
          <w:shd w:val="clear" w:color="auto" w:fill="FFFFFF"/>
        </w:rPr>
        <w:t>SUJETO OBLIGADO</w:t>
      </w:r>
      <w:r w:rsidRPr="00AE036D">
        <w:rPr>
          <w:rFonts w:ascii="Palatino Linotype" w:hAnsi="Palatino Linotype"/>
          <w:color w:val="000000"/>
          <w:sz w:val="24"/>
          <w:shd w:val="clear" w:color="auto" w:fill="FFFFFF"/>
        </w:rPr>
        <w:t xml:space="preserve"> de que, en caso de incumplimiento total o parcial de la presente resolución, </w:t>
      </w:r>
      <w:r w:rsidRPr="00AE036D">
        <w:rPr>
          <w:rFonts w:ascii="Palatino Linotype" w:hAnsi="Palatino Linotype"/>
          <w:color w:val="000000"/>
          <w:sz w:val="24"/>
          <w:shd w:val="clear" w:color="auto" w:fill="FFFFFF"/>
        </w:rPr>
        <w:lastRenderedPageBreak/>
        <w:t>se actuará de conformidad con lo dispuesto en los artículos 213, 214, 215, 216 y 217 de la ley en cita. </w:t>
      </w:r>
    </w:p>
    <w:p w:rsidR="005F344F" w:rsidRPr="00AE036D" w:rsidRDefault="005F344F" w:rsidP="005F344F">
      <w:pPr>
        <w:spacing w:line="360" w:lineRule="auto"/>
        <w:ind w:right="48"/>
        <w:jc w:val="both"/>
        <w:rPr>
          <w:rFonts w:ascii="Palatino Linotype" w:hAnsi="Palatino Linotype"/>
          <w:color w:val="000000"/>
          <w:sz w:val="24"/>
          <w:shd w:val="clear" w:color="auto" w:fill="FFFFFF"/>
        </w:rPr>
      </w:pPr>
      <w:r w:rsidRPr="00AE036D">
        <w:rPr>
          <w:rFonts w:ascii="Palatino Linotype" w:hAnsi="Palatino Linotype"/>
          <w:b/>
          <w:color w:val="000000"/>
          <w:sz w:val="24"/>
          <w:shd w:val="clear" w:color="auto" w:fill="FFFFFF"/>
        </w:rPr>
        <w:t>NOVENO.</w:t>
      </w:r>
      <w:r w:rsidRPr="00AE036D">
        <w:rPr>
          <w:rFonts w:ascii="Palatino Linotype" w:hAnsi="Palatino Linotype"/>
          <w:color w:val="000000"/>
          <w:sz w:val="24"/>
          <w:shd w:val="clear" w:color="auto" w:fill="FFFFFF"/>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E036D" w:rsidRDefault="00AE036D" w:rsidP="00AE036D">
      <w:pPr>
        <w:shd w:val="clear" w:color="auto" w:fill="FFFFFF"/>
        <w:spacing w:before="240" w:after="360" w:line="360" w:lineRule="auto"/>
        <w:jc w:val="both"/>
        <w:rPr>
          <w:rFonts w:ascii="Palatino Linotype" w:hAnsi="Palatino Linotype" w:cs="Arial"/>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PRIMERA SESIÓN ORDINARIA 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AE036D" w:rsidTr="00AE036D">
        <w:trPr>
          <w:trHeight w:val="1807"/>
        </w:trPr>
        <w:tc>
          <w:tcPr>
            <w:tcW w:w="9073" w:type="dxa"/>
            <w:gridSpan w:val="3"/>
            <w:vAlign w:val="center"/>
          </w:tcPr>
          <w:p w:rsidR="00AE036D" w:rsidRDefault="00AE036D">
            <w:pPr>
              <w:pStyle w:val="Prrafodelista"/>
              <w:spacing w:line="276" w:lineRule="auto"/>
              <w:ind w:left="0"/>
              <w:rPr>
                <w:rFonts w:ascii="Palatino Linotype" w:hAnsi="Palatino Linotype" w:cs="Arial"/>
                <w:color w:val="000000" w:themeColor="text1"/>
              </w:rPr>
            </w:pPr>
          </w:p>
          <w:p w:rsidR="00AE036D" w:rsidRDefault="00AE036D">
            <w:pPr>
              <w:pStyle w:val="Prrafodelista"/>
              <w:spacing w:line="276" w:lineRule="auto"/>
              <w:ind w:left="0"/>
              <w:rPr>
                <w:rFonts w:ascii="Palatino Linotype" w:hAnsi="Palatino Linotype" w:cs="Arial"/>
                <w:color w:val="000000" w:themeColor="text1"/>
              </w:rPr>
            </w:pPr>
          </w:p>
          <w:p w:rsidR="00AE036D" w:rsidRDefault="00AE036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rsidR="00AE036D" w:rsidRDefault="00AE036D">
            <w:pPr>
              <w:spacing w:line="276"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rsidR="00AE036D" w:rsidRDefault="00AE036D">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AE036D" w:rsidTr="00AE036D">
        <w:trPr>
          <w:trHeight w:val="2156"/>
        </w:trPr>
        <w:tc>
          <w:tcPr>
            <w:tcW w:w="4253" w:type="dxa"/>
            <w:vAlign w:val="center"/>
          </w:tcPr>
          <w:p w:rsidR="00AE036D" w:rsidRDefault="00AE036D">
            <w:pPr>
              <w:spacing w:line="276" w:lineRule="auto"/>
              <w:rPr>
                <w:rFonts w:ascii="Palatino Linotype" w:hAnsi="Palatino Linotype" w:cs="Times New Roman"/>
                <w:b/>
                <w:color w:val="000000" w:themeColor="text1"/>
              </w:rPr>
            </w:pPr>
          </w:p>
          <w:p w:rsidR="00AE036D" w:rsidRDefault="00AE036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rsidR="00AE036D" w:rsidRDefault="00AE036D">
            <w:pPr>
              <w:spacing w:line="276" w:lineRule="auto"/>
              <w:rPr>
                <w:rFonts w:ascii="Palatino Linotype" w:hAnsi="Palatino Linotype" w:cs="Times New Roman"/>
                <w:b/>
                <w:color w:val="000000" w:themeColor="text1"/>
              </w:rPr>
            </w:pPr>
          </w:p>
          <w:p w:rsidR="00AE036D" w:rsidRDefault="00AE036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E036D" w:rsidTr="00AE036D">
        <w:trPr>
          <w:trHeight w:val="2244"/>
        </w:trPr>
        <w:tc>
          <w:tcPr>
            <w:tcW w:w="4536" w:type="dxa"/>
            <w:gridSpan w:val="2"/>
            <w:vAlign w:val="center"/>
          </w:tcPr>
          <w:p w:rsidR="00AE036D" w:rsidRDefault="00AE036D">
            <w:pPr>
              <w:spacing w:line="276" w:lineRule="auto"/>
              <w:rPr>
                <w:rFonts w:ascii="Palatino Linotype" w:hAnsi="Palatino Linotype" w:cs="Times New Roman"/>
                <w:b/>
                <w:color w:val="000000" w:themeColor="text1"/>
              </w:rPr>
            </w:pPr>
          </w:p>
          <w:p w:rsidR="00AE036D" w:rsidRDefault="00AE036D">
            <w:pPr>
              <w:spacing w:line="276" w:lineRule="auto"/>
              <w:jc w:val="center"/>
              <w:rPr>
                <w:rFonts w:ascii="Palatino Linotype" w:hAnsi="Palatino Linotype" w:cs="Times New Roman"/>
                <w:b/>
                <w:color w:val="000000" w:themeColor="text1"/>
              </w:rPr>
            </w:pPr>
          </w:p>
          <w:p w:rsidR="00AE036D" w:rsidRDefault="00AE036D">
            <w:pPr>
              <w:spacing w:line="276" w:lineRule="auto"/>
              <w:jc w:val="center"/>
              <w:rPr>
                <w:rFonts w:ascii="Palatino Linotype" w:hAnsi="Palatino Linotype" w:cs="Times New Roman"/>
                <w:b/>
                <w:color w:val="000000" w:themeColor="text1"/>
              </w:rPr>
            </w:pPr>
          </w:p>
          <w:p w:rsidR="00AE036D" w:rsidRDefault="00AE036D">
            <w:pPr>
              <w:spacing w:line="276" w:lineRule="auto"/>
              <w:jc w:val="center"/>
              <w:rPr>
                <w:rFonts w:ascii="Palatino Linotype" w:hAnsi="Palatino Linotype" w:cs="Times New Roman"/>
                <w:b/>
                <w:color w:val="000000" w:themeColor="text1"/>
              </w:rPr>
            </w:pP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AE036D" w:rsidRDefault="00AE036D">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rsidR="00AE036D" w:rsidRDefault="00AE036D">
            <w:pPr>
              <w:spacing w:line="276" w:lineRule="auto"/>
              <w:rPr>
                <w:rFonts w:ascii="Palatino Linotype" w:hAnsi="Palatino Linotype" w:cs="Times New Roman"/>
                <w:color w:val="000000" w:themeColor="text1"/>
              </w:rPr>
            </w:pPr>
          </w:p>
          <w:p w:rsidR="00AE036D" w:rsidRDefault="00AE036D">
            <w:pPr>
              <w:spacing w:line="276" w:lineRule="auto"/>
              <w:jc w:val="center"/>
              <w:rPr>
                <w:rFonts w:ascii="Palatino Linotype" w:hAnsi="Palatino Linotype" w:cs="Times New Roman"/>
                <w:b/>
                <w:color w:val="000000" w:themeColor="text1"/>
              </w:rPr>
            </w:pPr>
          </w:p>
          <w:p w:rsidR="00AE036D" w:rsidRDefault="00AE036D">
            <w:pPr>
              <w:spacing w:line="276" w:lineRule="auto"/>
              <w:jc w:val="center"/>
              <w:rPr>
                <w:rFonts w:ascii="Palatino Linotype" w:hAnsi="Palatino Linotype" w:cs="Times New Roman"/>
                <w:b/>
                <w:color w:val="000000" w:themeColor="text1"/>
              </w:rPr>
            </w:pPr>
          </w:p>
          <w:p w:rsidR="00AE036D" w:rsidRDefault="00AE036D">
            <w:pPr>
              <w:spacing w:line="276" w:lineRule="auto"/>
              <w:jc w:val="center"/>
              <w:rPr>
                <w:rFonts w:ascii="Palatino Linotype" w:hAnsi="Palatino Linotype" w:cs="Times New Roman"/>
                <w:b/>
                <w:color w:val="000000" w:themeColor="text1"/>
              </w:rPr>
            </w:pP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E036D" w:rsidTr="00AE036D">
        <w:trPr>
          <w:trHeight w:val="1953"/>
        </w:trPr>
        <w:tc>
          <w:tcPr>
            <w:tcW w:w="9073" w:type="dxa"/>
            <w:gridSpan w:val="3"/>
            <w:vAlign w:val="center"/>
          </w:tcPr>
          <w:p w:rsidR="00AE036D" w:rsidRDefault="00AE036D">
            <w:pPr>
              <w:pStyle w:val="Prrafodelista"/>
              <w:spacing w:line="276" w:lineRule="auto"/>
              <w:ind w:left="0"/>
              <w:rPr>
                <w:rFonts w:ascii="Palatino Linotype" w:hAnsi="Palatino Linotype"/>
                <w:color w:val="000000" w:themeColor="text1"/>
              </w:rPr>
            </w:pPr>
          </w:p>
          <w:p w:rsidR="00AE036D" w:rsidRDefault="00AE036D">
            <w:pPr>
              <w:pStyle w:val="Prrafodelista"/>
              <w:spacing w:line="276" w:lineRule="auto"/>
              <w:ind w:left="0"/>
              <w:jc w:val="center"/>
              <w:rPr>
                <w:rFonts w:ascii="Palatino Linotype" w:hAnsi="Palatino Linotype"/>
                <w:color w:val="000000" w:themeColor="text1"/>
              </w:rPr>
            </w:pPr>
          </w:p>
          <w:p w:rsidR="00AE036D" w:rsidRDefault="00AE036D">
            <w:pPr>
              <w:pStyle w:val="Prrafodelista"/>
              <w:spacing w:line="276" w:lineRule="auto"/>
              <w:ind w:left="0"/>
              <w:jc w:val="center"/>
              <w:rPr>
                <w:rFonts w:ascii="Palatino Linotype" w:hAnsi="Palatino Linotype"/>
                <w:color w:val="000000" w:themeColor="text1"/>
              </w:rPr>
            </w:pPr>
          </w:p>
          <w:p w:rsidR="00AE036D" w:rsidRDefault="00AE036D">
            <w:pPr>
              <w:pStyle w:val="Prrafodelista"/>
              <w:spacing w:line="276" w:lineRule="auto"/>
              <w:ind w:left="0"/>
              <w:jc w:val="center"/>
              <w:rPr>
                <w:rFonts w:ascii="Palatino Linotype" w:hAnsi="Palatino Linotype"/>
                <w:color w:val="000000" w:themeColor="text1"/>
              </w:rPr>
            </w:pPr>
          </w:p>
          <w:p w:rsidR="00AE036D" w:rsidRDefault="00AE036D">
            <w:pPr>
              <w:pStyle w:val="Prrafodelista"/>
              <w:spacing w:line="276" w:lineRule="auto"/>
              <w:ind w:left="0"/>
              <w:jc w:val="center"/>
              <w:rPr>
                <w:rFonts w:ascii="Palatino Linotype" w:hAnsi="Palatino Linotype"/>
                <w:color w:val="000000" w:themeColor="text1"/>
              </w:rPr>
            </w:pPr>
          </w:p>
          <w:p w:rsidR="00AE036D" w:rsidRDefault="00AE036D">
            <w:pPr>
              <w:pStyle w:val="Prrafodelista"/>
              <w:spacing w:line="276" w:lineRule="auto"/>
              <w:ind w:left="0"/>
              <w:jc w:val="center"/>
              <w:rPr>
                <w:rFonts w:ascii="Palatino Linotype" w:hAnsi="Palatino Linotype"/>
                <w:color w:val="000000" w:themeColor="text1"/>
              </w:rPr>
            </w:pPr>
          </w:p>
          <w:p w:rsidR="00AE036D" w:rsidRDefault="00AE036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rsidR="00AE036D" w:rsidRDefault="00AE036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AE036D" w:rsidRDefault="00AE036D" w:rsidP="00AE036D">
      <w:pPr>
        <w:spacing w:before="240" w:after="240" w:line="360" w:lineRule="auto"/>
        <w:jc w:val="both"/>
        <w:rPr>
          <w:rFonts w:ascii="Palatino Linotype" w:eastAsiaTheme="minorEastAsia" w:hAnsi="Palatino Linotype"/>
          <w:lang w:val="es-ES_tradnl" w:eastAsia="es-ES"/>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05023/INFOEM/</w:t>
      </w:r>
      <w:r w:rsidR="002D4CE6">
        <w:rPr>
          <w:rFonts w:ascii="Palatino Linotype" w:hAnsi="Palatino Linotype" w:cs="Arial"/>
          <w:b/>
          <w:bCs/>
        </w:rPr>
        <w:t>IP</w:t>
      </w:r>
      <w:r>
        <w:rPr>
          <w:rFonts w:ascii="Palatino Linotype" w:hAnsi="Palatino Linotype" w:cs="Arial"/>
          <w:b/>
          <w:bCs/>
        </w:rPr>
        <w:t>/RR/2020</w:t>
      </w:r>
      <w:r>
        <w:rPr>
          <w:rFonts w:ascii="Palatino Linotype" w:eastAsia="Times New Roman" w:hAnsi="Palatino Linotype" w:cs="Arial"/>
          <w:b/>
          <w:color w:val="000000" w:themeColor="text1"/>
        </w:rPr>
        <w:t>.</w:t>
      </w:r>
    </w:p>
    <w:p w:rsidR="006A59C1" w:rsidRDefault="006A59C1" w:rsidP="006A59C1"/>
    <w:p w:rsidR="006A59C1" w:rsidRDefault="006A59C1" w:rsidP="006A59C1"/>
    <w:p w:rsidR="006A59C1" w:rsidRDefault="006A59C1" w:rsidP="006A59C1"/>
    <w:p w:rsidR="00644782" w:rsidRDefault="00644782"/>
    <w:sectPr w:rsidR="00644782" w:rsidSect="004417A0">
      <w:headerReference w:type="even" r:id="rId21"/>
      <w:headerReference w:type="default" r:id="rId22"/>
      <w:footerReference w:type="even" r:id="rId23"/>
      <w:footerReference w:type="default" r:id="rId24"/>
      <w:headerReference w:type="first" r:id="rId25"/>
      <w:footerReference w:type="first" r:id="rId26"/>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DED" w:rsidRDefault="00664DED">
      <w:pPr>
        <w:spacing w:after="0" w:line="240" w:lineRule="auto"/>
      </w:pPr>
      <w:r>
        <w:separator/>
      </w:r>
    </w:p>
  </w:endnote>
  <w:endnote w:type="continuationSeparator" w:id="0">
    <w:p w:rsidR="00664DED" w:rsidRDefault="00664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36D" w:rsidRDefault="00AE03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6D1D75" w:rsidRPr="00883450" w:rsidRDefault="00C514BC" w:rsidP="004417A0">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D4CE6">
              <w:rPr>
                <w:rFonts w:ascii="Palatino Linotype" w:hAnsi="Palatino Linotype"/>
                <w:b/>
                <w:bCs/>
                <w:noProof/>
                <w:szCs w:val="20"/>
              </w:rPr>
              <w:t>32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D4CE6">
              <w:rPr>
                <w:rFonts w:ascii="Palatino Linotype" w:hAnsi="Palatino Linotype"/>
                <w:b/>
                <w:bCs/>
                <w:noProof/>
                <w:szCs w:val="20"/>
              </w:rPr>
              <w:t>50</w:t>
            </w:r>
            <w:r w:rsidRPr="00883450">
              <w:rPr>
                <w:rFonts w:ascii="Palatino Linotype" w:hAnsi="Palatino Linotype"/>
                <w:b/>
                <w:bCs/>
                <w:szCs w:val="20"/>
              </w:rPr>
              <w:fldChar w:fldCharType="end"/>
            </w:r>
          </w:p>
        </w:sdtContent>
      </w:sdt>
    </w:sdtContent>
  </w:sdt>
  <w:p w:rsidR="006D1D75" w:rsidRDefault="009F01D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D75" w:rsidRPr="00883450" w:rsidRDefault="00C514BC" w:rsidP="004417A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D4CE6" w:rsidRPr="002D4CE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D4CE6" w:rsidRPr="002D4CE6">
      <w:rPr>
        <w:rFonts w:ascii="Palatino Linotype" w:hAnsi="Palatino Linotype"/>
        <w:noProof/>
        <w:lang w:val="es-ES"/>
      </w:rPr>
      <w:t>50</w:t>
    </w:r>
    <w:r w:rsidRPr="00883450">
      <w:rPr>
        <w:rFonts w:ascii="Palatino Linotype" w:hAnsi="Palatino Linotype"/>
      </w:rPr>
      <w:fldChar w:fldCharType="end"/>
    </w:r>
  </w:p>
  <w:p w:rsidR="006D1D75" w:rsidRPr="00883450" w:rsidRDefault="009F01D8">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DED" w:rsidRDefault="00664DED">
      <w:pPr>
        <w:spacing w:after="0" w:line="240" w:lineRule="auto"/>
      </w:pPr>
      <w:r>
        <w:separator/>
      </w:r>
    </w:p>
  </w:footnote>
  <w:footnote w:type="continuationSeparator" w:id="0">
    <w:p w:rsidR="00664DED" w:rsidRDefault="00664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36D" w:rsidRDefault="009F01D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1498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D75" w:rsidRDefault="009F01D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14986"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6D1D75" w:rsidRDefault="00C514BC" w:rsidP="004417A0">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6D1D75" w:rsidRPr="00EF13C1" w:rsidTr="004417A0">
      <w:trPr>
        <w:trHeight w:val="138"/>
      </w:trPr>
      <w:tc>
        <w:tcPr>
          <w:tcW w:w="2552" w:type="dxa"/>
          <w:vAlign w:val="center"/>
        </w:tcPr>
        <w:p w:rsidR="006D1D75" w:rsidRPr="00EF13C1" w:rsidRDefault="00C514BC" w:rsidP="004417A0">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6D1D75" w:rsidRPr="005176BA" w:rsidRDefault="00C514BC" w:rsidP="004417A0">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05023/INFOEM/IP/RR/2020</w:t>
          </w:r>
        </w:p>
      </w:tc>
    </w:tr>
    <w:tr w:rsidR="006D1D75" w:rsidRPr="00EF13C1" w:rsidTr="004417A0">
      <w:trPr>
        <w:trHeight w:val="321"/>
      </w:trPr>
      <w:tc>
        <w:tcPr>
          <w:tcW w:w="2552" w:type="dxa"/>
          <w:vAlign w:val="center"/>
        </w:tcPr>
        <w:p w:rsidR="006D1D75" w:rsidRPr="00EF13C1" w:rsidRDefault="00C514BC" w:rsidP="004417A0">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6D1D75" w:rsidRPr="00EF13C1" w:rsidRDefault="00C514BC" w:rsidP="004417A0">
          <w:pPr>
            <w:pStyle w:val="Encabezado"/>
            <w:rPr>
              <w:rFonts w:ascii="Palatino Linotype" w:hAnsi="Palatino Linotype"/>
              <w:b/>
              <w:sz w:val="22"/>
              <w:szCs w:val="22"/>
            </w:rPr>
          </w:pPr>
          <w:r>
            <w:rPr>
              <w:rFonts w:ascii="Palatino Linotype" w:hAnsi="Palatino Linotype"/>
              <w:b/>
            </w:rPr>
            <w:t>Ayuntamiento de Teoloyucan</w:t>
          </w:r>
        </w:p>
      </w:tc>
    </w:tr>
    <w:tr w:rsidR="006D1D75" w:rsidRPr="00EF13C1" w:rsidTr="004417A0">
      <w:trPr>
        <w:trHeight w:val="321"/>
      </w:trPr>
      <w:tc>
        <w:tcPr>
          <w:tcW w:w="2552" w:type="dxa"/>
          <w:vAlign w:val="center"/>
        </w:tcPr>
        <w:p w:rsidR="006D1D75" w:rsidRPr="00EF13C1" w:rsidRDefault="00C514BC" w:rsidP="004417A0">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6D1D75" w:rsidRPr="00EF13C1" w:rsidRDefault="00C514BC" w:rsidP="004417A0">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6D1D75" w:rsidRDefault="009F01D8" w:rsidP="004417A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D75" w:rsidRPr="00364302" w:rsidRDefault="009F01D8" w:rsidP="004417A0">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61498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514BC">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6D1D75" w:rsidRPr="0018764D" w:rsidTr="004417A0">
      <w:trPr>
        <w:trHeight w:val="138"/>
      </w:trPr>
      <w:tc>
        <w:tcPr>
          <w:tcW w:w="2976" w:type="dxa"/>
          <w:vAlign w:val="center"/>
        </w:tcPr>
        <w:p w:rsidR="006D1D75" w:rsidRPr="0018764D" w:rsidRDefault="00C514BC" w:rsidP="004417A0">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6D1D75" w:rsidRPr="0018764D" w:rsidRDefault="00C514BC" w:rsidP="004417A0">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05023/INFOEM/IP/RR/2020</w:t>
          </w:r>
        </w:p>
      </w:tc>
    </w:tr>
    <w:tr w:rsidR="006D1D75" w:rsidRPr="0018764D" w:rsidTr="004417A0">
      <w:trPr>
        <w:trHeight w:val="227"/>
      </w:trPr>
      <w:tc>
        <w:tcPr>
          <w:tcW w:w="2976" w:type="dxa"/>
          <w:vAlign w:val="center"/>
        </w:tcPr>
        <w:p w:rsidR="006D1D75" w:rsidRPr="0018764D" w:rsidRDefault="00C514BC" w:rsidP="004417A0">
          <w:pPr>
            <w:rPr>
              <w:rFonts w:ascii="Palatino Linotype" w:hAnsi="Palatino Linotype"/>
              <w:b/>
            </w:rPr>
          </w:pPr>
          <w:r w:rsidRPr="0018764D">
            <w:rPr>
              <w:rFonts w:ascii="Palatino Linotype" w:hAnsi="Palatino Linotype"/>
              <w:b/>
            </w:rPr>
            <w:t>Recurrente:</w:t>
          </w:r>
        </w:p>
      </w:tc>
      <w:tc>
        <w:tcPr>
          <w:tcW w:w="4253" w:type="dxa"/>
          <w:vAlign w:val="center"/>
        </w:tcPr>
        <w:p w:rsidR="006D1D75" w:rsidRPr="0018764D" w:rsidRDefault="009F01D8" w:rsidP="004417A0">
          <w:pPr>
            <w:tabs>
              <w:tab w:val="right" w:pos="8504"/>
            </w:tabs>
            <w:ind w:left="72" w:right="-250" w:hanging="142"/>
            <w:rPr>
              <w:rFonts w:ascii="Palatino Linotype" w:hAnsi="Palatino Linotype"/>
              <w:b/>
            </w:rPr>
          </w:pPr>
        </w:p>
      </w:tc>
    </w:tr>
    <w:tr w:rsidR="006D1D75" w:rsidRPr="0018764D" w:rsidTr="004417A0">
      <w:trPr>
        <w:trHeight w:val="232"/>
      </w:trPr>
      <w:tc>
        <w:tcPr>
          <w:tcW w:w="2976" w:type="dxa"/>
          <w:vAlign w:val="center"/>
        </w:tcPr>
        <w:p w:rsidR="006D1D75" w:rsidRPr="0018764D" w:rsidRDefault="00C514BC" w:rsidP="004417A0">
          <w:pPr>
            <w:rPr>
              <w:rFonts w:ascii="Palatino Linotype" w:hAnsi="Palatino Linotype"/>
              <w:b/>
            </w:rPr>
          </w:pPr>
          <w:r w:rsidRPr="0018764D">
            <w:rPr>
              <w:rFonts w:ascii="Palatino Linotype" w:hAnsi="Palatino Linotype"/>
              <w:b/>
            </w:rPr>
            <w:t>Sujeto obligado:</w:t>
          </w:r>
        </w:p>
      </w:tc>
      <w:tc>
        <w:tcPr>
          <w:tcW w:w="4253" w:type="dxa"/>
          <w:vAlign w:val="center"/>
        </w:tcPr>
        <w:p w:rsidR="006D1D75" w:rsidRPr="0018764D" w:rsidRDefault="00C514BC" w:rsidP="004417A0">
          <w:pPr>
            <w:tabs>
              <w:tab w:val="center" w:pos="4252"/>
              <w:tab w:val="right" w:pos="8504"/>
            </w:tabs>
            <w:rPr>
              <w:rFonts w:ascii="Palatino Linotype" w:hAnsi="Palatino Linotype"/>
              <w:b/>
            </w:rPr>
          </w:pPr>
          <w:r>
            <w:rPr>
              <w:rFonts w:ascii="Palatino Linotype" w:hAnsi="Palatino Linotype"/>
              <w:b/>
            </w:rPr>
            <w:t xml:space="preserve">Ayuntamiento de Teoloyucan </w:t>
          </w:r>
          <w:r w:rsidRPr="0018764D">
            <w:rPr>
              <w:rFonts w:ascii="Palatino Linotype" w:hAnsi="Palatino Linotype"/>
              <w:b/>
            </w:rPr>
            <w:t xml:space="preserve">             </w:t>
          </w:r>
        </w:p>
      </w:tc>
    </w:tr>
    <w:tr w:rsidR="006D1D75" w:rsidRPr="0018764D" w:rsidTr="004417A0">
      <w:trPr>
        <w:trHeight w:val="320"/>
      </w:trPr>
      <w:tc>
        <w:tcPr>
          <w:tcW w:w="2976" w:type="dxa"/>
          <w:vAlign w:val="center"/>
        </w:tcPr>
        <w:p w:rsidR="006D1D75" w:rsidRPr="0018764D" w:rsidRDefault="00C514BC" w:rsidP="004417A0">
          <w:pPr>
            <w:rPr>
              <w:rFonts w:ascii="Palatino Linotype" w:hAnsi="Palatino Linotype"/>
              <w:b/>
            </w:rPr>
          </w:pPr>
          <w:r w:rsidRPr="0018764D">
            <w:rPr>
              <w:rFonts w:ascii="Palatino Linotype" w:hAnsi="Palatino Linotype"/>
              <w:b/>
            </w:rPr>
            <w:t>Comisionado ponente:</w:t>
          </w:r>
        </w:p>
      </w:tc>
      <w:tc>
        <w:tcPr>
          <w:tcW w:w="4253" w:type="dxa"/>
          <w:vAlign w:val="center"/>
        </w:tcPr>
        <w:p w:rsidR="006D1D75" w:rsidRPr="0018764D" w:rsidRDefault="00C514BC" w:rsidP="004417A0">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6D1D75" w:rsidRDefault="009F01D8" w:rsidP="004417A0">
    <w:pPr>
      <w:pStyle w:val="Encabezado"/>
      <w:tabs>
        <w:tab w:val="left" w:pos="3103"/>
      </w:tabs>
    </w:pPr>
  </w:p>
  <w:p w:rsidR="006D1D75" w:rsidRDefault="009F01D8" w:rsidP="004417A0">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323903"/>
    <w:multiLevelType w:val="hybridMultilevel"/>
    <w:tmpl w:val="E6107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657368"/>
    <w:multiLevelType w:val="hybridMultilevel"/>
    <w:tmpl w:val="800A9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9C1"/>
    <w:rsid w:val="00154517"/>
    <w:rsid w:val="00161057"/>
    <w:rsid w:val="002D4CE6"/>
    <w:rsid w:val="002D6D9C"/>
    <w:rsid w:val="002F06A0"/>
    <w:rsid w:val="003549D6"/>
    <w:rsid w:val="005F344F"/>
    <w:rsid w:val="00644782"/>
    <w:rsid w:val="00664DED"/>
    <w:rsid w:val="006A59C1"/>
    <w:rsid w:val="00761BC2"/>
    <w:rsid w:val="00832222"/>
    <w:rsid w:val="0084170D"/>
    <w:rsid w:val="009B6504"/>
    <w:rsid w:val="009F01D8"/>
    <w:rsid w:val="00AE036D"/>
    <w:rsid w:val="00B13EAE"/>
    <w:rsid w:val="00C514BC"/>
    <w:rsid w:val="00C87136"/>
    <w:rsid w:val="00CC6F10"/>
    <w:rsid w:val="00CF7399"/>
    <w:rsid w:val="00D17C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B510F3F-D3A9-4CC5-B3FB-8C219547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59C1"/>
  </w:style>
  <w:style w:type="paragraph" w:styleId="Ttulo2">
    <w:name w:val="heading 2"/>
    <w:basedOn w:val="Normal"/>
    <w:next w:val="Normal"/>
    <w:link w:val="Ttulo2Car"/>
    <w:uiPriority w:val="9"/>
    <w:unhideWhenUsed/>
    <w:qFormat/>
    <w:rsid w:val="006A59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A59C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6A59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59C1"/>
  </w:style>
  <w:style w:type="paragraph" w:styleId="Piedepgina">
    <w:name w:val="footer"/>
    <w:basedOn w:val="Normal"/>
    <w:link w:val="PiedepginaCar"/>
    <w:uiPriority w:val="99"/>
    <w:unhideWhenUsed/>
    <w:rsid w:val="006A59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59C1"/>
  </w:style>
  <w:style w:type="table" w:styleId="Tablaconcuadrcula">
    <w:name w:val="Table Grid"/>
    <w:basedOn w:val="Tablanormal"/>
    <w:uiPriority w:val="39"/>
    <w:rsid w:val="006A59C1"/>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A59C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A59C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A59C1"/>
  </w:style>
  <w:style w:type="paragraph" w:styleId="TDC1">
    <w:name w:val="toc 1"/>
    <w:basedOn w:val="Normal"/>
    <w:next w:val="Normal"/>
    <w:autoRedefine/>
    <w:uiPriority w:val="39"/>
    <w:unhideWhenUsed/>
    <w:rsid w:val="006A59C1"/>
    <w:pPr>
      <w:spacing w:after="100"/>
    </w:pPr>
  </w:style>
  <w:style w:type="character" w:styleId="Hipervnculo">
    <w:name w:val="Hyperlink"/>
    <w:basedOn w:val="Fuentedeprrafopredeter"/>
    <w:uiPriority w:val="99"/>
    <w:unhideWhenUsed/>
    <w:rsid w:val="006A59C1"/>
    <w:rPr>
      <w:color w:val="0563C1" w:themeColor="hyperlink"/>
      <w:u w:val="single"/>
    </w:rPr>
  </w:style>
  <w:style w:type="table" w:customStyle="1" w:styleId="Tablaconcuadrcula1">
    <w:name w:val="Tabla con cuadrícula1"/>
    <w:basedOn w:val="Tablanormal"/>
    <w:uiPriority w:val="59"/>
    <w:rsid w:val="00AE036D"/>
    <w:pPr>
      <w:spacing w:after="0" w:line="240" w:lineRule="auto"/>
    </w:pPr>
    <w:rPr>
      <w:rFonts w:eastAsia="Times New Roman"/>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92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94053.pag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imex.org.mx/saimex/solicitud/downloadAttach/994052.page"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994056.pag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saimex.org.mx/saimex/solicitud/downloadAttach/994055.pag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saimex.org.mx/saimex/solicitud/downloadAttach/994054.page"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50</Pages>
  <Words>10278</Words>
  <Characters>56534</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8</cp:revision>
  <dcterms:created xsi:type="dcterms:W3CDTF">2021-01-08T02:50:00Z</dcterms:created>
  <dcterms:modified xsi:type="dcterms:W3CDTF">2021-02-24T02:36:00Z</dcterms:modified>
</cp:coreProperties>
</file>