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BE" w:rsidRDefault="001E6909">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cinco de agosto de dos mil veinte.</w:t>
      </w:r>
    </w:p>
    <w:p w:rsidR="007B7EBE" w:rsidRPr="003A5457" w:rsidRDefault="001E6909">
      <w:pPr>
        <w:spacing w:before="280" w:after="280" w:line="360" w:lineRule="auto"/>
        <w:jc w:val="both"/>
        <w:rPr>
          <w:rFonts w:ascii="Palatino Linotype" w:eastAsia="Palatino Linotype" w:hAnsi="Palatino Linotype" w:cs="Palatino Linotype"/>
        </w:rPr>
      </w:pPr>
      <w:r w:rsidRPr="003A5457">
        <w:rPr>
          <w:rFonts w:ascii="Palatino Linotype" w:eastAsia="Palatino Linotype" w:hAnsi="Palatino Linotype" w:cs="Palatino Linotype"/>
          <w:b/>
        </w:rPr>
        <w:t>VISTO</w:t>
      </w:r>
      <w:r w:rsidRPr="003A5457">
        <w:rPr>
          <w:rFonts w:ascii="Palatino Linotype" w:eastAsia="Palatino Linotype" w:hAnsi="Palatino Linotype" w:cs="Palatino Linotype"/>
        </w:rPr>
        <w:t xml:space="preserve"> el expediente formado con motivo del Recurso de Revisión</w:t>
      </w:r>
      <w:r w:rsidRPr="003A5457">
        <w:rPr>
          <w:rFonts w:ascii="Palatino Linotype" w:eastAsia="Palatino Linotype" w:hAnsi="Palatino Linotype" w:cs="Palatino Linotype"/>
          <w:b/>
          <w:color w:val="FF0000"/>
        </w:rPr>
        <w:t xml:space="preserve"> </w:t>
      </w:r>
      <w:r w:rsidRPr="003A5457">
        <w:rPr>
          <w:rFonts w:ascii="Palatino Linotype" w:eastAsia="Palatino Linotype" w:hAnsi="Palatino Linotype" w:cs="Palatino Linotype"/>
          <w:b/>
        </w:rPr>
        <w:t>00712/INFOEM/IP/RR/2020</w:t>
      </w:r>
      <w:r w:rsidRPr="003A5457">
        <w:rPr>
          <w:rFonts w:ascii="Palatino Linotype" w:eastAsia="Palatino Linotype" w:hAnsi="Palatino Linotype" w:cs="Palatino Linotype"/>
        </w:rPr>
        <w:t>, promovido por el C.</w:t>
      </w:r>
      <w:r w:rsidR="003A5457" w:rsidRPr="003A5457">
        <w:rPr>
          <w:rFonts w:ascii="Palatino Linotype" w:eastAsia="Palatino Linotype" w:hAnsi="Palatino Linotype" w:cs="Palatino Linotype"/>
          <w:b/>
        </w:rPr>
        <w:t xml:space="preserve"> </w:t>
      </w:r>
      <w:r w:rsidR="003A5457" w:rsidRPr="003A5457">
        <w:rPr>
          <w:rFonts w:ascii="Palatino Linotype" w:eastAsia="Palatino Linotype" w:hAnsi="Palatino Linotype" w:cs="Palatino Linotype"/>
          <w:b/>
        </w:rPr>
        <w:t>Xxxxxx XXXXXX y/o Xxxxxx Xxxxxx Xx Xxxxxxxxxx</w:t>
      </w:r>
      <w:r w:rsidRPr="003A5457">
        <w:rPr>
          <w:rFonts w:ascii="Palatino Linotype" w:eastAsia="Palatino Linotype" w:hAnsi="Palatino Linotype" w:cs="Palatino Linotype"/>
        </w:rPr>
        <w:t>, en lo sucesivo</w:t>
      </w:r>
      <w:r w:rsidRPr="003A5457">
        <w:rPr>
          <w:rFonts w:ascii="Palatino Linotype" w:eastAsia="Palatino Linotype" w:hAnsi="Palatino Linotype" w:cs="Palatino Linotype"/>
          <w:b/>
        </w:rPr>
        <w:t xml:space="preserve"> EL RECURRENTE</w:t>
      </w:r>
      <w:r w:rsidRPr="003A5457">
        <w:rPr>
          <w:rFonts w:ascii="Palatino Linotype" w:eastAsia="Palatino Linotype" w:hAnsi="Palatino Linotype" w:cs="Palatino Linotype"/>
        </w:rPr>
        <w:t>, en contra de la falta de respuesta en que incurre el</w:t>
      </w:r>
      <w:r w:rsidRPr="003A5457">
        <w:t xml:space="preserve"> </w:t>
      </w:r>
      <w:r w:rsidRPr="003A5457">
        <w:rPr>
          <w:rFonts w:ascii="Palatino Linotype" w:eastAsia="Palatino Linotype" w:hAnsi="Palatino Linotype" w:cs="Palatino Linotype"/>
          <w:b/>
        </w:rPr>
        <w:t>Ayuntamiento de Coyotepec</w:t>
      </w:r>
      <w:r w:rsidRPr="003A5457">
        <w:rPr>
          <w:rFonts w:ascii="Palatino Linotype" w:eastAsia="Palatino Linotype" w:hAnsi="Palatino Linotype" w:cs="Palatino Linotype"/>
        </w:rPr>
        <w:t xml:space="preserve">, en lo sucesivo </w:t>
      </w:r>
      <w:r w:rsidRPr="003A5457">
        <w:rPr>
          <w:rFonts w:ascii="Palatino Linotype" w:eastAsia="Palatino Linotype" w:hAnsi="Palatino Linotype" w:cs="Palatino Linotype"/>
          <w:b/>
        </w:rPr>
        <w:t>EL SUJETO OBLIGADO</w:t>
      </w:r>
      <w:r w:rsidRPr="003A5457">
        <w:rPr>
          <w:rFonts w:ascii="Palatino Linotype" w:eastAsia="Palatino Linotype" w:hAnsi="Palatino Linotype" w:cs="Palatino Linotype"/>
        </w:rPr>
        <w:t xml:space="preserve">, se procede a dictar la presente resolución con base en lo siguiente: </w:t>
      </w:r>
    </w:p>
    <w:p w:rsidR="007B7EBE" w:rsidRDefault="001E6909">
      <w:pPr>
        <w:spacing w:before="280" w:after="28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rsidR="007B7EBE" w:rsidRDefault="001E6909">
      <w:pPr>
        <w:numPr>
          <w:ilvl w:val="0"/>
          <w:numId w:val="1"/>
        </w:numPr>
        <w:pBdr>
          <w:top w:val="nil"/>
          <w:left w:val="nil"/>
          <w:bottom w:val="nil"/>
          <w:right w:val="nil"/>
          <w:between w:val="nil"/>
        </w:pBdr>
        <w:tabs>
          <w:tab w:val="left" w:pos="709"/>
        </w:tabs>
        <w:spacing w:before="280" w:after="28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dieciséis de diciembre de dos mil diecinueve,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presentó, a través del Sistema Nacional de Transparencia vinculado al 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la solicitud de acceso a la información pública, a la que se le asignó el número</w:t>
      </w:r>
      <w:r>
        <w:rPr>
          <w:rFonts w:ascii="Verdana" w:eastAsia="Verdana" w:hAnsi="Verdana" w:cs="Verdana"/>
          <w:b/>
          <w:color w:val="FF0000"/>
        </w:rPr>
        <w:t xml:space="preserve"> </w:t>
      </w:r>
      <w:r>
        <w:rPr>
          <w:rFonts w:ascii="Palatino Linotype" w:eastAsia="Palatino Linotype" w:hAnsi="Palatino Linotype" w:cs="Palatino Linotype"/>
          <w:b/>
          <w:color w:val="000000"/>
        </w:rPr>
        <w:t>00533/COYOTEP/IP/2019</w:t>
      </w:r>
      <w:r>
        <w:rPr>
          <w:rFonts w:ascii="Palatino Linotype" w:eastAsia="Palatino Linotype" w:hAnsi="Palatino Linotype" w:cs="Palatino Linotype"/>
          <w:color w:val="000000"/>
        </w:rPr>
        <w:t>, mediante la cual requirió, lo siguiente:</w:t>
      </w:r>
    </w:p>
    <w:p w:rsidR="007B7EBE" w:rsidRDefault="001E6909">
      <w:pPr>
        <w:spacing w:before="280" w:after="280"/>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“Requiero saber la ESCOLARIDAD MÍNIMA COMPROBABLE de la totalidad de los trabajadores al servicio del ayuntamiento en sus distintas áreas incluidos los organismos desconcentrados y paramunicipales y/o DE LA TOTALIDAD DE LOS TRABAJADORES DE LA DEPENDENCIA QUE EN LO PARTICULAR LE CONFIERE, según sea el caso. Requiero saber del total de trabajadores con los que cuenta el ayuntamiento u organismo correspondiente, cuantos tienen escolaridad mínima terminada, es decir cuantos primaria terminada y cuantos trunca, cuantos secundaria terminada y cuantos trunca, cuantos bachillerato o equivalente terminada o trunca, cuantos nivel licenciatura terminada o trunca, cuantos especialidad terminada o trunca.”</w:t>
      </w:r>
      <w:r>
        <w:rPr>
          <w:rFonts w:ascii="Palatino Linotype" w:eastAsia="Palatino Linotype" w:hAnsi="Palatino Linotype" w:cs="Palatino Linotype"/>
          <w:sz w:val="22"/>
          <w:szCs w:val="22"/>
        </w:rPr>
        <w:t>(Sic)</w:t>
      </w:r>
    </w:p>
    <w:p w:rsidR="007B7EBE" w:rsidRDefault="001E6909">
      <w:pPr>
        <w:ind w:right="709"/>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y</w:t>
      </w:r>
      <w:r>
        <w:rPr>
          <w:rFonts w:ascii="Palatino Linotype" w:eastAsia="Palatino Linotype" w:hAnsi="Palatino Linotype" w:cs="Palatino Linotype"/>
          <w:b/>
        </w:rPr>
        <w:t xml:space="preserve"> correo electrónico</w:t>
      </w:r>
    </w:p>
    <w:p w:rsidR="007B7EBE" w:rsidRDefault="007B7EBE">
      <w:pPr>
        <w:ind w:right="709"/>
        <w:jc w:val="both"/>
        <w:rPr>
          <w:rFonts w:ascii="Palatino Linotype" w:eastAsia="Palatino Linotype" w:hAnsi="Palatino Linotype" w:cs="Palatino Linotype"/>
        </w:rPr>
      </w:pPr>
    </w:p>
    <w:p w:rsidR="007B7EBE" w:rsidRDefault="001E690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color w:val="000000"/>
        </w:rPr>
        <w:t xml:space="preserve">En fecha dieciocho de diciembre de dos mil diecinueve, la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mediante el folio número </w:t>
      </w:r>
      <w:r>
        <w:rPr>
          <w:rFonts w:ascii="Palatino Linotype" w:eastAsia="Palatino Linotype" w:hAnsi="Palatino Linotype" w:cs="Palatino Linotype"/>
          <w:b/>
          <w:color w:val="000000"/>
        </w:rPr>
        <w:t xml:space="preserve">00533/COYOTEP/IP/2019/TSP/0001, </w:t>
      </w:r>
      <w:r>
        <w:rPr>
          <w:rFonts w:ascii="Palatino Linotype" w:eastAsia="Palatino Linotype" w:hAnsi="Palatino Linotype" w:cs="Palatino Linotype"/>
          <w:color w:val="000000"/>
        </w:rPr>
        <w:t>turnó el requerimiento de información al  Servidor Público Habilitado de la Dirección de Administración,</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xml:space="preserve"> a fin de colmar la solicitud de acceso a la información; quien omito dar respuesta, tal y como, se aprecia en la siguiente imagen: </w:t>
      </w:r>
    </w:p>
    <w:p w:rsidR="007B7EBE" w:rsidRDefault="001E690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noProof/>
          <w:color w:val="000000"/>
        </w:rPr>
        <w:drawing>
          <wp:inline distT="0" distB="0" distL="0" distR="0">
            <wp:extent cx="5854700" cy="7874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7893" t="30390" r="6151" b="61788"/>
                    <a:stretch>
                      <a:fillRect/>
                    </a:stretch>
                  </pic:blipFill>
                  <pic:spPr>
                    <a:xfrm>
                      <a:off x="0" y="0"/>
                      <a:ext cx="5854700" cy="787400"/>
                    </a:xfrm>
                    <a:prstGeom prst="rect">
                      <a:avLst/>
                    </a:prstGeom>
                    <a:ln/>
                  </pic:spPr>
                </pic:pic>
              </a:graphicData>
            </a:graphic>
          </wp:inline>
        </w:drawing>
      </w:r>
    </w:p>
    <w:p w:rsidR="007B7EBE" w:rsidRDefault="001E690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las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dio respuesta a la solicitud de acceso a la información, tal como se advierte de la imagen impresa:</w:t>
      </w:r>
    </w:p>
    <w:p w:rsidR="007B7EBE" w:rsidRDefault="001E69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color w:val="000000"/>
        </w:rPr>
        <w:t xml:space="preserve"> </w:t>
      </w:r>
      <w:r w:rsidR="003A5457">
        <w:rPr>
          <w:noProof/>
        </w:rPr>
        <w:drawing>
          <wp:inline distT="0" distB="0" distL="0" distR="0" wp14:anchorId="429E0F5D" wp14:editId="424C5920">
            <wp:extent cx="5791835" cy="1397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97000"/>
                    </a:xfrm>
                    <a:prstGeom prst="rect">
                      <a:avLst/>
                    </a:prstGeom>
                  </pic:spPr>
                </pic:pic>
              </a:graphicData>
            </a:graphic>
          </wp:inline>
        </w:drawing>
      </w:r>
      <w:r w:rsidR="003A5457">
        <w:rPr>
          <w:noProof/>
        </w:rPr>
        <w:t xml:space="preserve"> </w:t>
      </w:r>
    </w:p>
    <w:p w:rsidR="007B7EBE" w:rsidRDefault="001E6909">
      <w:pPr>
        <w:widowControl w:val="0"/>
        <w:numPr>
          <w:ilvl w:val="0"/>
          <w:numId w:val="1"/>
        </w:numPr>
        <w:pBdr>
          <w:top w:val="nil"/>
          <w:left w:val="nil"/>
          <w:bottom w:val="nil"/>
          <w:right w:val="nil"/>
          <w:between w:val="nil"/>
        </w:pBdr>
        <w:tabs>
          <w:tab w:val="left" w:pos="0"/>
        </w:tabs>
        <w:spacing w:before="280" w:after="280" w:line="360" w:lineRule="auto"/>
        <w:ind w:left="0" w:firstLine="0"/>
        <w:jc w:val="both"/>
        <w:rPr>
          <w:rFonts w:ascii="Palatino Linotype" w:eastAsia="Palatino Linotype" w:hAnsi="Palatino Linotype" w:cs="Palatino Linotype"/>
          <w:color w:val="000000"/>
        </w:rPr>
      </w:pPr>
      <w:bookmarkStart w:id="1" w:name="_heading=h.30j0zll" w:colFirst="0" w:colLast="0"/>
      <w:bookmarkEnd w:id="1"/>
      <w:r>
        <w:rPr>
          <w:rFonts w:ascii="Palatino Linotype" w:eastAsia="Palatino Linotype" w:hAnsi="Palatino Linotype" w:cs="Palatino Linotype"/>
          <w:color w:val="000000"/>
        </w:rPr>
        <w:t xml:space="preserve">Inconforme con la falta de respuesta en que incurre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lastRenderedPageBreak/>
        <w:t xml:space="preserve">en fecha veinticinco de enero de dos mil veinte,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a través del</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interpuso el recurso de revisión objeto del presente estudio, al que se le asignó el número al rubro citado, en el que señaló como acto impugnado, lo siguiente:</w:t>
      </w:r>
    </w:p>
    <w:p w:rsidR="007B7EBE" w:rsidRDefault="001E6909">
      <w:pPr>
        <w:spacing w:before="280" w:after="280"/>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“FALTA DE RESPUESTA A LO SOLICITADO” </w:t>
      </w:r>
      <w:r>
        <w:rPr>
          <w:rFonts w:ascii="Palatino Linotype" w:eastAsia="Palatino Linotype" w:hAnsi="Palatino Linotype" w:cs="Palatino Linotype"/>
          <w:sz w:val="22"/>
          <w:szCs w:val="22"/>
        </w:rPr>
        <w:t>(Sic)</w:t>
      </w:r>
    </w:p>
    <w:p w:rsidR="007B7EBE" w:rsidRDefault="001E6909">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indicó como razones o motivos de inconformidad:</w:t>
      </w:r>
    </w:p>
    <w:p w:rsidR="007B7EBE" w:rsidRDefault="001E6909">
      <w:pPr>
        <w:spacing w:before="280" w:after="280"/>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“NO SE HA DADO RESPUESTA A LO SOLICITADO Y EL PLAZO SE ENCUENTRA VENCIDO” </w:t>
      </w:r>
      <w:r>
        <w:rPr>
          <w:rFonts w:ascii="Palatino Linotype" w:eastAsia="Palatino Linotype" w:hAnsi="Palatino Linotype" w:cs="Palatino Linotype"/>
          <w:sz w:val="22"/>
          <w:szCs w:val="22"/>
        </w:rPr>
        <w:t>(Sic)</w:t>
      </w:r>
    </w:p>
    <w:p w:rsidR="007B7EBE" w:rsidRDefault="001E6909">
      <w:pPr>
        <w:widowControl w:val="0"/>
        <w:numPr>
          <w:ilvl w:val="0"/>
          <w:numId w:val="1"/>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veinticinco de enero de dos mil veinte,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EVA ABAID YAPUR</w:t>
      </w:r>
      <w:r>
        <w:rPr>
          <w:rFonts w:ascii="Palatino Linotype" w:eastAsia="Palatino Linotype" w:hAnsi="Palatino Linotype" w:cs="Palatino Linotype"/>
          <w:color w:val="000000"/>
        </w:rPr>
        <w:t>, a efecto de que decretara su admisión o desechamiento.</w:t>
      </w:r>
    </w:p>
    <w:p w:rsidR="007B7EBE" w:rsidRDefault="001E6909">
      <w:pPr>
        <w:widowControl w:val="0"/>
        <w:numPr>
          <w:ilvl w:val="0"/>
          <w:numId w:val="1"/>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treinta y uno de enero de dos mil veinte, atento a lo dispuesto en el artículo 185, fracciones I, II y IV, de la Ley de Transparencia y Acceso a la Información Pública del Estado de México y Municipios, se acordó la admisión a trámite del referido recurso de revisión; así como, la integración del expediente respectivo, mismo que se puso a disposición de las partes, para que en el plazo máximo de siete días hábiles,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realizara manifestaciones, alegatos y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para que exhibiera el Informe Justificado correspondiente.</w:t>
      </w:r>
    </w:p>
    <w:p w:rsidR="007B7EBE" w:rsidRDefault="001E6909">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De las constancias que obran en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rindió su Informe Justificado; por su parte,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manifestaciones, alegatos ni ofreció los medios de prueba que a su derecho convinieran, tal como se observa a continuación:</w:t>
      </w:r>
    </w:p>
    <w:p w:rsidR="007B7EBE" w:rsidRDefault="001E6909">
      <w:pPr>
        <w:pBdr>
          <w:top w:val="nil"/>
          <w:left w:val="nil"/>
          <w:bottom w:val="nil"/>
          <w:right w:val="nil"/>
          <w:between w:val="nil"/>
        </w:pBdr>
        <w:spacing w:before="240" w:after="240" w:line="360" w:lineRule="auto"/>
        <w:jc w:val="both"/>
        <w:rPr>
          <w:color w:val="000000"/>
        </w:rPr>
      </w:pPr>
      <w:r>
        <w:rPr>
          <w:noProof/>
          <w:color w:val="000000"/>
        </w:rPr>
        <w:drawing>
          <wp:inline distT="0" distB="0" distL="0" distR="0">
            <wp:extent cx="5765800" cy="16256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15130" t="30989" r="15360" b="48545"/>
                    <a:stretch>
                      <a:fillRect/>
                    </a:stretch>
                  </pic:blipFill>
                  <pic:spPr>
                    <a:xfrm>
                      <a:off x="0" y="0"/>
                      <a:ext cx="5765800" cy="1625600"/>
                    </a:xfrm>
                    <a:prstGeom prst="rect">
                      <a:avLst/>
                    </a:prstGeom>
                    <a:ln/>
                  </pic:spPr>
                </pic:pic>
              </a:graphicData>
            </a:graphic>
          </wp:inline>
        </w:drawing>
      </w:r>
    </w:p>
    <w:p w:rsidR="007B7EBE" w:rsidRDefault="001E6909">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Una vez analizado el estado procesal que guardaba el expediente, el catorce de febrero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B7EBE" w:rsidRDefault="001E6909">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fecha dieciocho 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7177E9" w:rsidRDefault="007177E9">
      <w:p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sz w:val="28"/>
          <w:szCs w:val="28"/>
        </w:rPr>
      </w:pPr>
    </w:p>
    <w:p w:rsidR="007B7EBE" w:rsidRDefault="001E6909">
      <w:p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lastRenderedPageBreak/>
        <w:t>CONSIDERANDO</w:t>
      </w:r>
    </w:p>
    <w:p w:rsidR="007B7EBE" w:rsidRDefault="001E6909">
      <w:pPr>
        <w:widowControl w:val="0"/>
        <w:numPr>
          <w:ilvl w:val="0"/>
          <w:numId w:val="5"/>
        </w:numPr>
        <w:pBdr>
          <w:top w:val="nil"/>
          <w:left w:val="nil"/>
          <w:bottom w:val="nil"/>
          <w:right w:val="nil"/>
          <w:between w:val="nil"/>
        </w:pBdr>
        <w:tabs>
          <w:tab w:val="left" w:pos="1701"/>
          <w:tab w:val="left" w:pos="1843"/>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7B7EBE" w:rsidRDefault="001E6909">
      <w:pPr>
        <w:widowControl w:val="0"/>
        <w:numPr>
          <w:ilvl w:val="0"/>
          <w:numId w:val="5"/>
        </w:numPr>
        <w:pBdr>
          <w:top w:val="nil"/>
          <w:left w:val="nil"/>
          <w:bottom w:val="nil"/>
          <w:right w:val="nil"/>
          <w:between w:val="nil"/>
        </w:pBdr>
        <w:tabs>
          <w:tab w:val="left" w:pos="1701"/>
          <w:tab w:val="left" w:pos="1843"/>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Interés.</w:t>
      </w:r>
      <w:r>
        <w:rPr>
          <w:rFonts w:ascii="Palatino Linotype" w:eastAsia="Palatino Linotype" w:hAnsi="Palatino Linotype" w:cs="Palatino Linotype"/>
          <w:color w:val="000000"/>
        </w:rPr>
        <w:t xml:space="preserve"> El recurso de revisión fue interpuesto por parte legítima en atención a que fue presentado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quien formuló la solicitud de información pública número</w:t>
      </w:r>
      <w:r>
        <w:rPr>
          <w:rFonts w:ascii="Verdana" w:eastAsia="Verdana" w:hAnsi="Verdana" w:cs="Verdana"/>
          <w:b/>
          <w:color w:val="FF0000"/>
        </w:rPr>
        <w:t xml:space="preserve"> </w:t>
      </w:r>
      <w:r>
        <w:rPr>
          <w:rFonts w:ascii="Palatino Linotype" w:eastAsia="Palatino Linotype" w:hAnsi="Palatino Linotype" w:cs="Palatino Linotype"/>
          <w:b/>
          <w:color w:val="000000"/>
        </w:rPr>
        <w:t>00533/COYOTEP/IP/2019.</w:t>
      </w:r>
    </w:p>
    <w:p w:rsidR="007B7EBE" w:rsidRDefault="001E6909">
      <w:pPr>
        <w:widowControl w:val="0"/>
        <w:numPr>
          <w:ilvl w:val="0"/>
          <w:numId w:val="5"/>
        </w:numPr>
        <w:pBdr>
          <w:top w:val="nil"/>
          <w:left w:val="nil"/>
          <w:bottom w:val="nil"/>
          <w:right w:val="nil"/>
          <w:between w:val="nil"/>
        </w:pBdr>
        <w:tabs>
          <w:tab w:val="left" w:pos="993"/>
          <w:tab w:val="left" w:pos="1701"/>
        </w:tabs>
        <w:spacing w:before="240" w:after="28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7B7EBE" w:rsidRDefault="001E6909">
      <w:pPr>
        <w:spacing w:before="280" w:after="28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7B7EBE" w:rsidRDefault="001E6909">
      <w:pPr>
        <w:spacing w:before="280" w:after="28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7B7EBE" w:rsidRDefault="001E6909">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7B7EBE" w:rsidRDefault="001E6909">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lo anterior, se constituye la figura jurídica de la </w:t>
      </w:r>
      <w:r>
        <w:rPr>
          <w:rFonts w:ascii="Palatino Linotype" w:eastAsia="Palatino Linotype" w:hAnsi="Palatino Linotype" w:cs="Palatino Linotype"/>
          <w:b/>
          <w:color w:val="000000"/>
        </w:rPr>
        <w:t>NEGATIVA FICTA</w:t>
      </w:r>
      <w:r>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rsidR="007B7EBE" w:rsidRDefault="001E6909">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rsidR="007B7EBE" w:rsidRDefault="001E6909">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178. </w:t>
      </w:r>
      <w:r>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B7EBE" w:rsidRDefault="001E6909">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rsidR="007B7EBE" w:rsidRDefault="001E6909">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 (Sic)</w:t>
      </w:r>
    </w:p>
    <w:p w:rsidR="007B7EBE" w:rsidRDefault="001E6909">
      <w:pPr>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7B7EBE" w:rsidRDefault="001E6909">
      <w:pPr>
        <w:spacing w:before="280" w:after="280"/>
        <w:ind w:left="851" w:right="899"/>
        <w:jc w:val="cente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Criterio 0001-15</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w:t>
      </w:r>
      <w:bookmarkStart w:id="2" w:name="_GoBack"/>
      <w:bookmarkEnd w:id="2"/>
      <w:r>
        <w:rPr>
          <w:rFonts w:ascii="Palatino Linotype" w:eastAsia="Palatino Linotype" w:hAnsi="Palatino Linotype" w:cs="Palatino Linotype"/>
          <w:i/>
          <w:sz w:val="22"/>
          <w:szCs w:val="22"/>
        </w:rPr>
        <w:t xml:space="preserv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rsidR="007B7EBE" w:rsidRDefault="001E6909">
      <w:pPr>
        <w:widowControl w:val="0"/>
        <w:numPr>
          <w:ilvl w:val="0"/>
          <w:numId w:val="5"/>
        </w:numPr>
        <w:pBdr>
          <w:top w:val="nil"/>
          <w:left w:val="nil"/>
          <w:bottom w:val="nil"/>
          <w:right w:val="nil"/>
          <w:between w:val="nil"/>
        </w:pBdr>
        <w:tabs>
          <w:tab w:val="left" w:pos="1701"/>
          <w:tab w:val="left" w:pos="1843"/>
        </w:tabs>
        <w:spacing w:before="240" w:after="28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Procedibilidad. </w:t>
      </w:r>
      <w:r>
        <w:rPr>
          <w:rFonts w:ascii="Palatino Linotype" w:eastAsia="Palatino Linotype" w:hAnsi="Palatino Linotype" w:cs="Palatino Linotype"/>
          <w:color w:val="000000"/>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 xml:space="preserve">El recurso </w:t>
      </w:r>
      <w:r>
        <w:rPr>
          <w:rFonts w:ascii="Palatino Linotype" w:eastAsia="Palatino Linotype" w:hAnsi="Palatino Linotype" w:cs="Palatino Linotype"/>
          <w:i/>
          <w:color w:val="222222"/>
          <w:sz w:val="22"/>
          <w:szCs w:val="22"/>
        </w:rPr>
        <w:t>de</w:t>
      </w:r>
      <w:r>
        <w:rPr>
          <w:rFonts w:ascii="Palatino Linotype" w:eastAsia="Palatino Linotype" w:hAnsi="Palatino Linotype" w:cs="Palatino Linotype"/>
          <w:i/>
          <w:sz w:val="22"/>
          <w:szCs w:val="22"/>
        </w:rPr>
        <w:t xml:space="preserve"> revisión contendrá:</w:t>
      </w:r>
      <w:r>
        <w:rPr>
          <w:rFonts w:ascii="Palatino Linotype" w:eastAsia="Palatino Linotype" w:hAnsi="Palatino Linotype" w:cs="Palatino Linotype"/>
          <w:b/>
          <w:i/>
          <w:sz w:val="22"/>
          <w:szCs w:val="22"/>
        </w:rPr>
        <w:t xml:space="preserve"> </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El sujeto obligado ante la cual </w:t>
      </w:r>
      <w:r>
        <w:rPr>
          <w:rFonts w:ascii="Palatino Linotype" w:eastAsia="Palatino Linotype" w:hAnsi="Palatino Linotype" w:cs="Palatino Linotype"/>
          <w:i/>
          <w:color w:val="222222"/>
          <w:sz w:val="22"/>
          <w:szCs w:val="22"/>
        </w:rPr>
        <w:t>se</w:t>
      </w:r>
      <w:r>
        <w:rPr>
          <w:rFonts w:ascii="Palatino Linotype" w:eastAsia="Palatino Linotype" w:hAnsi="Palatino Linotype" w:cs="Palatino Linotype"/>
          <w:i/>
          <w:sz w:val="22"/>
          <w:szCs w:val="22"/>
        </w:rPr>
        <w:t xml:space="preserve"> presentó la solicitud;</w:t>
      </w:r>
      <w:r>
        <w:rPr>
          <w:rFonts w:ascii="Palatino Linotype" w:eastAsia="Palatino Linotype" w:hAnsi="Palatino Linotype" w:cs="Palatino Linotype"/>
          <w:b/>
          <w:i/>
          <w:sz w:val="22"/>
          <w:szCs w:val="22"/>
        </w:rPr>
        <w:t xml:space="preserve"> </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b/>
          <w:i/>
          <w:sz w:val="22"/>
          <w:szCs w:val="22"/>
          <w:u w:val="single"/>
        </w:rPr>
        <w:t xml:space="preserve">El nombre del solicitante </w:t>
      </w:r>
      <w:r>
        <w:rPr>
          <w:rFonts w:ascii="Palatino Linotype" w:eastAsia="Palatino Linotype" w:hAnsi="Palatino Linotype" w:cs="Palatino Linotype"/>
          <w:b/>
          <w:i/>
          <w:color w:val="222222"/>
          <w:sz w:val="22"/>
          <w:szCs w:val="22"/>
          <w:u w:val="single"/>
        </w:rPr>
        <w:t>que</w:t>
      </w:r>
      <w:r>
        <w:rPr>
          <w:rFonts w:ascii="Palatino Linotype" w:eastAsia="Palatino Linotype" w:hAnsi="Palatino Linotype" w:cs="Palatino Linotype"/>
          <w:b/>
          <w:i/>
          <w:sz w:val="22"/>
          <w:szCs w:val="22"/>
          <w:u w:val="single"/>
        </w:rPr>
        <w:t xml:space="preserve"> recurre </w:t>
      </w:r>
      <w:r>
        <w:rPr>
          <w:rFonts w:ascii="Palatino Linotype" w:eastAsia="Palatino Linotype" w:hAnsi="Palatino Linotype" w:cs="Palatino Linotype"/>
          <w:i/>
          <w:sz w:val="22"/>
          <w:szCs w:val="22"/>
        </w:rPr>
        <w:t>o de su representante y, en su caso, del tercero interesado, así como la dirección o medio que señale para recibir notificaciones;</w:t>
      </w:r>
      <w:r>
        <w:rPr>
          <w:rFonts w:ascii="Palatino Linotype" w:eastAsia="Palatino Linotype" w:hAnsi="Palatino Linotype" w:cs="Palatino Linotype"/>
          <w:b/>
          <w:i/>
          <w:sz w:val="22"/>
          <w:szCs w:val="22"/>
        </w:rPr>
        <w:t xml:space="preserve"> </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 xml:space="preserve">El número de folio de </w:t>
      </w:r>
      <w:r>
        <w:rPr>
          <w:rFonts w:ascii="Palatino Linotype" w:eastAsia="Palatino Linotype" w:hAnsi="Palatino Linotype" w:cs="Palatino Linotype"/>
          <w:i/>
          <w:color w:val="222222"/>
          <w:sz w:val="22"/>
          <w:szCs w:val="22"/>
        </w:rPr>
        <w:t>respuesta</w:t>
      </w:r>
      <w:r>
        <w:rPr>
          <w:rFonts w:ascii="Palatino Linotype" w:eastAsia="Palatino Linotype" w:hAnsi="Palatino Linotype" w:cs="Palatino Linotype"/>
          <w:i/>
          <w:sz w:val="22"/>
          <w:szCs w:val="22"/>
        </w:rPr>
        <w:t xml:space="preserve"> de la solicitud de acceso; </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 xml:space="preserve">La fecha en que fue </w:t>
      </w:r>
      <w:r>
        <w:rPr>
          <w:rFonts w:ascii="Palatino Linotype" w:eastAsia="Palatino Linotype" w:hAnsi="Palatino Linotype" w:cs="Palatino Linotype"/>
          <w:i/>
          <w:color w:val="222222"/>
          <w:sz w:val="22"/>
          <w:szCs w:val="22"/>
        </w:rPr>
        <w:t>notificada</w:t>
      </w:r>
      <w:r>
        <w:rPr>
          <w:rFonts w:ascii="Palatino Linotype" w:eastAsia="Palatino Linotype" w:hAnsi="Palatino Linotype" w:cs="Palatino Linotype"/>
          <w:i/>
          <w:sz w:val="22"/>
          <w:szCs w:val="22"/>
        </w:rPr>
        <w:t xml:space="preserve"> la respuesta al solicitante o tuvo conocimiento del acto reclamado, o de presentación de la solicitud, en caso de falta de respuesta;</w:t>
      </w:r>
      <w:r>
        <w:rPr>
          <w:rFonts w:ascii="Palatino Linotype" w:eastAsia="Palatino Linotype" w:hAnsi="Palatino Linotype" w:cs="Palatino Linotype"/>
          <w:b/>
          <w:i/>
          <w:sz w:val="22"/>
          <w:szCs w:val="22"/>
        </w:rPr>
        <w:t xml:space="preserve"> </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El acto que se </w:t>
      </w:r>
      <w:r>
        <w:rPr>
          <w:rFonts w:ascii="Palatino Linotype" w:eastAsia="Palatino Linotype" w:hAnsi="Palatino Linotype" w:cs="Palatino Linotype"/>
          <w:i/>
          <w:color w:val="222222"/>
          <w:sz w:val="22"/>
          <w:szCs w:val="22"/>
        </w:rPr>
        <w:t>recurre</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 </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 xml:space="preserve">Las razones o </w:t>
      </w:r>
      <w:r>
        <w:rPr>
          <w:rFonts w:ascii="Palatino Linotype" w:eastAsia="Palatino Linotype" w:hAnsi="Palatino Linotype" w:cs="Palatino Linotype"/>
          <w:i/>
          <w:color w:val="222222"/>
          <w:sz w:val="22"/>
          <w:szCs w:val="22"/>
        </w:rPr>
        <w:t>motivos</w:t>
      </w:r>
      <w:r>
        <w:rPr>
          <w:rFonts w:ascii="Palatino Linotype" w:eastAsia="Palatino Linotype" w:hAnsi="Palatino Linotype" w:cs="Palatino Linotype"/>
          <w:i/>
          <w:sz w:val="22"/>
          <w:szCs w:val="22"/>
        </w:rPr>
        <w:t xml:space="preserve"> de inconformidad;</w:t>
      </w:r>
      <w:r>
        <w:rPr>
          <w:rFonts w:ascii="Palatino Linotype" w:eastAsia="Palatino Linotype" w:hAnsi="Palatino Linotype" w:cs="Palatino Linotype"/>
          <w:b/>
          <w:i/>
          <w:sz w:val="22"/>
          <w:szCs w:val="22"/>
        </w:rPr>
        <w:t xml:space="preserve"> </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copia de la respuesta que se impugna y, en su caso, de la notificación correspondiente, en el caso de respuesta de la solicitud; y</w:t>
      </w:r>
      <w:r>
        <w:rPr>
          <w:rFonts w:ascii="Palatino Linotype" w:eastAsia="Palatino Linotype" w:hAnsi="Palatino Linotype" w:cs="Palatino Linotype"/>
          <w:b/>
          <w:i/>
          <w:sz w:val="22"/>
          <w:szCs w:val="22"/>
        </w:rPr>
        <w:t xml:space="preserve"> </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w:t>
      </w:r>
      <w:r>
        <w:rPr>
          <w:rFonts w:ascii="Palatino Linotype" w:eastAsia="Palatino Linotype" w:hAnsi="Palatino Linotype" w:cs="Palatino Linotype"/>
          <w:i/>
          <w:sz w:val="22"/>
          <w:szCs w:val="22"/>
        </w:rPr>
        <w:t>Firma del recurrente, en su caso, cuando se presente por escrito, requisito sin el cual se dará trámite al recurso.</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Adicionalmente, se podrán anexar las pruebas y demás elementos que considere procedentes someter a juicio del Instituto. </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ningún caso será necesario que el particular ratifique el recurso de revisión interpuesto. </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u w:val="single"/>
        </w:rPr>
        <w:t xml:space="preserve">En caso de </w:t>
      </w:r>
      <w:r>
        <w:rPr>
          <w:rFonts w:ascii="Palatino Linotype" w:eastAsia="Palatino Linotype" w:hAnsi="Palatino Linotype" w:cs="Palatino Linotype"/>
          <w:b/>
          <w:i/>
          <w:color w:val="222222"/>
          <w:sz w:val="22"/>
          <w:szCs w:val="22"/>
          <w:u w:val="single"/>
        </w:rPr>
        <w:t>que</w:t>
      </w:r>
      <w:r>
        <w:rPr>
          <w:rFonts w:ascii="Palatino Linotype" w:eastAsia="Palatino Linotype" w:hAnsi="Palatino Linotype" w:cs="Palatino Linotype"/>
          <w:b/>
          <w:i/>
          <w:sz w:val="22"/>
          <w:szCs w:val="22"/>
          <w:u w:val="single"/>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rsidR="007B7EBE" w:rsidRDefault="001E69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principio, de una interpretación del artículo transcrito se observan los requisitos que deberán contener los recursos de revisión; sobre el particular, de la revisión del expediente electrónico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la parte solicitante y ahora </w:t>
      </w:r>
      <w:r>
        <w:rPr>
          <w:rFonts w:ascii="Palatino Linotype" w:eastAsia="Palatino Linotype" w:hAnsi="Palatino Linotype" w:cs="Palatino Linotype"/>
          <w:b/>
        </w:rPr>
        <w:t>RECURRENTE</w:t>
      </w:r>
      <w:r>
        <w:rPr>
          <w:rFonts w:ascii="Palatino Linotype" w:eastAsia="Palatino Linotype" w:hAnsi="Palatino Linotype" w:cs="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7B7EBE" w:rsidRDefault="001E6909">
      <w:pPr>
        <w:spacing w:before="240" w:after="240" w:line="360" w:lineRule="auto"/>
        <w:ind w:right="-91"/>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Empero, debe destacarse que el artículo 15 de Ley de Transparencia y Acceso a la Información Pública del Estado de México y Municipios prevé que toda persona tendrá acceso a la información </w:t>
      </w:r>
      <w:r>
        <w:rPr>
          <w:rFonts w:ascii="Palatino Linotype" w:eastAsia="Palatino Linotype" w:hAnsi="Palatino Linotype" w:cs="Palatino Linotype"/>
          <w:color w:val="000000"/>
        </w:rPr>
        <w:t xml:space="preserve">sin necesidad de acreditar interés alguno o justificar su utilización, de lo que se infiere que para el ejercicio del derecho de acceso a la información pública, el nombre no es un requisito </w:t>
      </w:r>
      <w:r>
        <w:rPr>
          <w:rFonts w:ascii="Palatino Linotype" w:eastAsia="Palatino Linotype" w:hAnsi="Palatino Linotype" w:cs="Palatino Linotype"/>
          <w:i/>
          <w:color w:val="000000"/>
        </w:rPr>
        <w:t>sine qua non</w:t>
      </w:r>
      <w:r>
        <w:rPr>
          <w:rFonts w:ascii="Palatino Linotype" w:eastAsia="Palatino Linotype" w:hAnsi="Palatino Linotype" w:cs="Palatino Linotype"/>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B7EBE" w:rsidRDefault="001E69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B7EBE" w:rsidRDefault="001E6909">
      <w:pPr>
        <w:ind w:left="851" w:right="99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Constitución Política de los Estados Unidos Mexicanos</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r>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eastAsia="Palatino Linotype" w:hAnsi="Palatino Linotype" w:cs="Palatino Linotype"/>
          <w:b/>
          <w:i/>
          <w:sz w:val="22"/>
          <w:szCs w:val="22"/>
        </w:rPr>
        <w:t>El derecho a la información será garantizado por el Estado.</w:t>
      </w:r>
      <w:r>
        <w:rPr>
          <w:rFonts w:ascii="Palatino Linotype" w:eastAsia="Palatino Linotype" w:hAnsi="Palatino Linotype" w:cs="Palatino Linotype"/>
          <w:i/>
          <w:sz w:val="22"/>
          <w:szCs w:val="22"/>
        </w:rPr>
        <w:t xml:space="preserve"> </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persona tiene derecho al libre acceso a información plural y oportuna, así como a buscar, recibir y difundir información e ideas de toda índole por cualquier medio de expresión.</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efectos de lo dispuesto en el presente artículo se observará lo siguiente:</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rsidR="007B7EBE" w:rsidRDefault="001E6909">
      <w:pPr>
        <w:ind w:left="851" w:right="992"/>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La información que se refiere a la vida privada y los datos personales será protegida en los términos y con las excepciones que fijen las leyes.</w:t>
      </w:r>
    </w:p>
    <w:p w:rsidR="007B7EBE" w:rsidRDefault="001E6909">
      <w:pPr>
        <w:ind w:left="851" w:right="992"/>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III. Toda persona, sin necesidad de acreditar interés alguno o justificar su utilización, tendrá acceso gratuito a la información pública, a sus datos personales o a la rectificación de éstos.</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7B7EBE" w:rsidRDefault="001E6909">
      <w:pPr>
        <w:ind w:left="851" w:right="992"/>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B7EBE" w:rsidRDefault="001E6909">
      <w:pPr>
        <w:ind w:left="851" w:right="992"/>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i/>
          <w:sz w:val="22"/>
          <w:szCs w:val="22"/>
          <w:u w:val="single"/>
        </w:rPr>
        <w:lastRenderedPageBreak/>
        <w:t>VI. Las leyes determinarán la manera en que los sujetos obligados deberán hacer pública la información relativa a los recursos públicos que entreguen a personas físicas o morales.</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La inobservancia a las disposiciones en materia de acceso a la información pública será sancionada en los términos que dispongan las leyes.</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B7EBE" w:rsidRDefault="001E6909">
      <w:pPr>
        <w:ind w:left="851" w:right="99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u w:val="single"/>
        </w:rPr>
        <w:t>La ley establecerá aquella información que se considere reservada o confidencial.</w:t>
      </w:r>
      <w:r>
        <w:rPr>
          <w:rFonts w:ascii="Palatino Linotype" w:eastAsia="Palatino Linotype" w:hAnsi="Palatino Linotype" w:cs="Palatino Linotype"/>
          <w:b/>
          <w:i/>
          <w:sz w:val="22"/>
          <w:szCs w:val="22"/>
        </w:rPr>
        <w:t>”</w:t>
      </w:r>
      <w:r>
        <w:rPr>
          <w:rFonts w:ascii="Palatino Linotype" w:eastAsia="Palatino Linotype" w:hAnsi="Palatino Linotype" w:cs="Palatino Linotype"/>
          <w:i/>
          <w:color w:val="000000"/>
          <w:sz w:val="22"/>
          <w:szCs w:val="22"/>
        </w:rPr>
        <w:t xml:space="preserve"> </w:t>
      </w:r>
    </w:p>
    <w:p w:rsidR="007B7EBE" w:rsidRDefault="001E6909">
      <w:pPr>
        <w:ind w:left="851" w:right="99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Constitución Política del Estado Libre y Soberano de México</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5. … </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derecho a la información será garantizado por el Estado</w:t>
      </w:r>
      <w:r>
        <w:rPr>
          <w:rFonts w:ascii="Palatino Linotype" w:eastAsia="Palatino Linotype" w:hAnsi="Palatino Linotype" w:cs="Palatino Linotype"/>
          <w:i/>
          <w:sz w:val="22"/>
          <w:szCs w:val="22"/>
        </w:rPr>
        <w:t xml:space="preserve">. La ley establecerá las previsiones que permitan asegurar la protección, el respeto y la difusión de este derecho. </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derecho se regirá por los principios y bases siguientes:</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III. Toda persona, sin necesidad de acreditar interés alguno o justificar su utilización, tendrá acceso gratuito a la información pública, a sus datos personales o a la rectificación de éstos.</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Se establecerán mecanismos de acceso a la información y procedimientos de revisión expeditos que se sustanciarán ante el organismo autónomo especializado e imparcial que establece esta Constitución.</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La ley reglamentaria, determinará la manera en que los sujetos obligados deberán hacer pública la información relativa a los recursos públicos que entreguen a personas físicas o jurídicas colectivas.</w:t>
      </w:r>
      <w:r>
        <w:rPr>
          <w:rFonts w:ascii="Palatino Linotype" w:eastAsia="Palatino Linotype" w:hAnsi="Palatino Linotype" w:cs="Palatino Linotype"/>
          <w:b/>
          <w:i/>
          <w:sz w:val="22"/>
          <w:szCs w:val="22"/>
        </w:rPr>
        <w:t>”</w:t>
      </w:r>
    </w:p>
    <w:p w:rsidR="007B7EBE" w:rsidRDefault="001E6909">
      <w:pPr>
        <w:ind w:left="851" w:right="9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7B7EBE" w:rsidRDefault="001E69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del contenido del artículo 1 de la Constitución Política de los Estados Unidos Mexicanos, se destaca lo siguiente:</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1o</w:t>
      </w:r>
      <w:r>
        <w:rPr>
          <w:rFonts w:ascii="Palatino Linotype" w:eastAsia="Palatino Linotype" w:hAnsi="Palatino Linotype" w:cs="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B7EBE" w:rsidRDefault="001E6909">
      <w:pPr>
        <w:ind w:left="851" w:right="99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u w:val="single"/>
        </w:rPr>
        <w:t>Las normas relativas a los derechos humanos se interpretarán</w:t>
      </w:r>
      <w:r>
        <w:rPr>
          <w:rFonts w:ascii="Palatino Linotype" w:eastAsia="Palatino Linotype" w:hAnsi="Palatino Linotype" w:cs="Palatino Linotype"/>
          <w:i/>
          <w:sz w:val="22"/>
          <w:szCs w:val="22"/>
        </w:rPr>
        <w:t xml:space="preserve"> de conformidad con esta Constitución y con los tratados internacionales de la </w:t>
      </w:r>
      <w:r>
        <w:rPr>
          <w:rFonts w:ascii="Palatino Linotype" w:eastAsia="Palatino Linotype" w:hAnsi="Palatino Linotype" w:cs="Palatino Linotype"/>
          <w:b/>
          <w:i/>
          <w:sz w:val="22"/>
          <w:szCs w:val="22"/>
        </w:rPr>
        <w:t xml:space="preserve">materia </w:t>
      </w:r>
      <w:r>
        <w:rPr>
          <w:rFonts w:ascii="Palatino Linotype" w:eastAsia="Palatino Linotype" w:hAnsi="Palatino Linotype" w:cs="Palatino Linotype"/>
          <w:b/>
          <w:i/>
          <w:sz w:val="22"/>
          <w:szCs w:val="22"/>
          <w:u w:val="single"/>
        </w:rPr>
        <w:t>favoreciendo en todo tiempo a las personas la protección más amplia</w:t>
      </w:r>
      <w:r>
        <w:rPr>
          <w:rFonts w:ascii="Palatino Linotype" w:eastAsia="Palatino Linotype" w:hAnsi="Palatino Linotype" w:cs="Palatino Linotype"/>
          <w:b/>
          <w:i/>
          <w:sz w:val="22"/>
          <w:szCs w:val="22"/>
        </w:rPr>
        <w:t>.</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Pr>
          <w:rFonts w:ascii="Palatino Linotype" w:eastAsia="Palatino Linotype" w:hAnsi="Palatino Linotype" w:cs="Palatino Linotype"/>
          <w:i/>
          <w:sz w:val="22"/>
          <w:szCs w:val="22"/>
        </w:rPr>
        <w:t>. En consecuencia, el Estado deberá prevenir, investigar, sancionar y reparar las violaciones a los derechos humanos, en los términos que establezca la ley.</w:t>
      </w:r>
      <w:r>
        <w:rPr>
          <w:rFonts w:ascii="Palatino Linotype" w:eastAsia="Palatino Linotype" w:hAnsi="Palatino Linotype" w:cs="Palatino Linotype"/>
          <w:b/>
          <w:i/>
          <w:sz w:val="22"/>
          <w:szCs w:val="22"/>
        </w:rPr>
        <w:t>”</w:t>
      </w:r>
    </w:p>
    <w:p w:rsidR="007B7EBE" w:rsidRDefault="001E6909">
      <w:pPr>
        <w:ind w:left="851" w:right="99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7B7EBE" w:rsidRDefault="001E69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B7EBE" w:rsidRDefault="001E69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Robustece lo anterior, el Criterio 6/2014 del entonces Instituto Federal de Acceso a la Información y Protección de Datos (IFAI), ahora INAI, el cual se reproduce para una mayor referencia:</w:t>
      </w:r>
    </w:p>
    <w:p w:rsidR="007B7EBE" w:rsidRDefault="001E6909">
      <w:pPr>
        <w:ind w:left="851"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“Acceso a información gubernamental. No debe condicionarse a que el solicitante acredite su personalidad, demuestre interés alguno o justifique su utilización.</w:t>
      </w:r>
      <w:r>
        <w:rPr>
          <w:rFonts w:ascii="Palatino Linotype" w:eastAsia="Palatino Linotype" w:hAnsi="Palatino Linotype" w:cs="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B7EBE" w:rsidRDefault="001E69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través de dicho dato personal, en ciertos extremos se equipara a una exigencia acerca de su interés o justificación de su utilización, lo que materialmente haría nugatorio un derecho fundamental.</w:t>
      </w:r>
    </w:p>
    <w:p w:rsidR="007B7EBE" w:rsidRDefault="001E69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B7EBE" w:rsidRDefault="001E69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dado lo expuesto y fundado con anterioridad, se estima que el requisito relativo al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w:t>
      </w:r>
      <w:r>
        <w:rPr>
          <w:rFonts w:ascii="Palatino Linotype" w:eastAsia="Palatino Linotype" w:hAnsi="Palatino Linotype" w:cs="Palatino Linotype"/>
        </w:rPr>
        <w:lastRenderedPageBreak/>
        <w:t xml:space="preserve">se acredita en las constancias electrónicas del expediente, de las que se desprende que </w:t>
      </w:r>
      <w:r>
        <w:rPr>
          <w:rFonts w:ascii="Palatino Linotype" w:eastAsia="Palatino Linotype" w:hAnsi="Palatino Linotype" w:cs="Palatino Linotype"/>
          <w:b/>
        </w:rPr>
        <w:t>EL RECURRENTE</w:t>
      </w:r>
      <w:r>
        <w:rPr>
          <w:rFonts w:ascii="Palatino Linotype" w:eastAsia="Palatino Linotype" w:hAnsi="Palatino Linotype" w:cs="Palatino Linotype"/>
        </w:rPr>
        <w:t>, es la misma persona que realizó la solicitud de acceso a la información pública que ahora se impugna.</w:t>
      </w:r>
    </w:p>
    <w:p w:rsidR="007B7EBE" w:rsidRDefault="001E69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el propio artículo 180 en su último párrafo establece que cuando el recurso se interponga de manera electrónica no será indispensable que contengan determinados requisitos, entre ellos, el nombre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rsidR="007B7EBE" w:rsidRDefault="001E6909">
      <w:pPr>
        <w:widowControl w:val="0"/>
        <w:numPr>
          <w:ilvl w:val="0"/>
          <w:numId w:val="5"/>
        </w:numPr>
        <w:pBdr>
          <w:top w:val="nil"/>
          <w:left w:val="nil"/>
          <w:bottom w:val="nil"/>
          <w:right w:val="nil"/>
          <w:between w:val="nil"/>
        </w:pBdr>
        <w:tabs>
          <w:tab w:val="left" w:pos="1276"/>
        </w:tabs>
        <w:spacing w:before="240" w:after="28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Estudio y resolución del asunto.</w:t>
      </w:r>
      <w:r>
        <w:rPr>
          <w:rFonts w:ascii="Palatino Linotype" w:eastAsia="Palatino Linotype" w:hAnsi="Palatino Linotype" w:cs="Palatino Linotype"/>
          <w:color w:val="000000"/>
        </w:rPr>
        <w:t xml:space="preserve"> Del análisis efectuado, se advierte que el Recurso de Revisión de que se trata es procedente; toda vez, que se actualiza la hipótesis prevista en la fracción VII del artículo 179 de la Ley de la materia, que a la letra dice:</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179.</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otorga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particulares,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valer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causas:</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7B7EBE" w:rsidRDefault="001E690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falta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respuesta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una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solicitud</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p>
    <w:p w:rsidR="007B7EBE" w:rsidRDefault="001E6909">
      <w:pPr>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r>
        <w:rPr>
          <w:rFonts w:ascii="Palatino Linotype" w:eastAsia="Palatino Linotype" w:hAnsi="Palatino Linotype" w:cs="Palatino Linotype"/>
          <w:b/>
          <w:i/>
        </w:rPr>
        <w:t xml:space="preserve"> </w:t>
      </w:r>
    </w:p>
    <w:p w:rsidR="007B7EBE" w:rsidRDefault="001E6909">
      <w:pPr>
        <w:ind w:left="851" w:right="90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(Énfasis añadido.)</w:t>
      </w:r>
    </w:p>
    <w:p w:rsidR="007B7EBE" w:rsidRDefault="001E6909">
      <w:pPr>
        <w:spacing w:before="280" w:after="28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precepto legal citado, establece como supuesto de procedencia del recurso de revisión, en aquellos casos en que no se dé respuesta a lo solicitado por los particulares y en el presente asunto,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dar respuesta a lo requerido por el ahora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7B7EBE" w:rsidRDefault="001E690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Una vez determinada la vía sobre la que versará el presente asunto y previa revisión del expediente electrónico formado en 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por motivo de la solicitud de información y del recurso a que da origen, se observa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dio respuesta a la solicitud de información planteada por el particular,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w:t>
      </w:r>
    </w:p>
    <w:p w:rsidR="007B7EBE" w:rsidRDefault="001E690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Previo a exponer los argumentos que justifiquen la afirmación que antecede, primeramente, es importante recordar que el particular requirió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w:t>
      </w:r>
      <w:r>
        <w:rPr>
          <w:rFonts w:ascii="Palatino Linotype" w:eastAsia="Palatino Linotype" w:hAnsi="Palatino Linotype" w:cs="Palatino Linotype"/>
          <w:b/>
          <w:i/>
          <w:color w:val="000000"/>
        </w:rPr>
        <w:t>La escolaridad de los trabajadores adscritos al SUJETO OBLIGADO.”</w:t>
      </w:r>
      <w:r>
        <w:rPr>
          <w:rFonts w:ascii="Palatino Linotype" w:eastAsia="Palatino Linotype" w:hAnsi="Palatino Linotype" w:cs="Palatino Linotype"/>
          <w:i/>
          <w:color w:val="000000"/>
          <w:vertAlign w:val="superscript"/>
        </w:rPr>
        <w:footnoteReference w:id="2"/>
      </w:r>
      <w:r>
        <w:rPr>
          <w:rFonts w:ascii="Palatino Linotype" w:eastAsia="Palatino Linotype" w:hAnsi="Palatino Linotype" w:cs="Palatino Linotype"/>
          <w:i/>
          <w:color w:val="000000"/>
        </w:rPr>
        <w:t>.</w:t>
      </w:r>
    </w:p>
    <w:p w:rsidR="007B7EBE" w:rsidRDefault="001E690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respecto, se destaca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dio respuesta a la solicitud de acceso a la información, motivo por el cual el hoy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interpuso el medio de defensa de análisis.</w:t>
      </w:r>
    </w:p>
    <w:p w:rsidR="007B7EBE" w:rsidRDefault="001E690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análisis realizado al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observó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rindió su Informe Justificado; por su parte,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manifestaciones, alegatos ni ofreció los medios de prueba que a su derecho convinieran.</w:t>
      </w:r>
    </w:p>
    <w:p w:rsidR="007B7EBE" w:rsidRDefault="001E690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ese contexto, este Instituto analizó la totalidad de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y observó que las razones o motivos de </w:t>
      </w:r>
      <w:r>
        <w:rPr>
          <w:rFonts w:ascii="Palatino Linotype" w:eastAsia="Palatino Linotype" w:hAnsi="Palatino Linotype" w:cs="Palatino Linotype"/>
          <w:color w:val="000000"/>
        </w:rPr>
        <w:lastRenderedPageBreak/>
        <w:t xml:space="preserve">inconformidad hechos valer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devienen </w:t>
      </w:r>
      <w:r>
        <w:rPr>
          <w:rFonts w:ascii="Palatino Linotype" w:eastAsia="Palatino Linotype" w:hAnsi="Palatino Linotype" w:cs="Palatino Linotype"/>
          <w:b/>
          <w:color w:val="000000"/>
        </w:rPr>
        <w:t>fundados</w:t>
      </w:r>
      <w:r>
        <w:rPr>
          <w:rFonts w:ascii="Palatino Linotype" w:eastAsia="Palatino Linotype" w:hAnsi="Palatino Linotype" w:cs="Palatino Linotype"/>
          <w:color w:val="000000"/>
        </w:rPr>
        <w:t>, en atención a las siguientes Consideraciones de hecho y de Derecho:</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es pertinente enfatizar lo que, respecto al derecho de acceso a la información pública, refiere el artículo 6° de la Constitución Política de los Estados Unidos Mexicanos, que en su parte conducente señala:</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6o.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manifestación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ninguna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inquisición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ataque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terceros,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provoque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algún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perturbe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orden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réplica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i/>
        </w:rPr>
        <w:t xml:space="preserve"> </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tiene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plural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oportuna,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buscar,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índole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expresión.</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artículo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observará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Distrito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respectivas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bases:</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posesión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cualquier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realice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ámbito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federal,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temporalmente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nacional,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prevalecer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máxima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publicidad.</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derive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facultades,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competencias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específicos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declaración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inexistencia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refiere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protegida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alguno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gratuito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rectificación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mecanismos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sustanciarán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archivos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administrativos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disponibles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completa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sobre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resultados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obtenidos.</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morales.</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inobservancia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sancionada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dispongan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colegiado,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patrimonio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plena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autonomía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técnica,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gestión,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capacidad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decidir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presupuesto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responsable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garantizar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posesión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considere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p>
    <w:p w:rsidR="007B7EBE" w:rsidRDefault="001E6909">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7B7EBE" w:rsidRDefault="001E690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Por su parte, la Constitución Política del Estado Libre y Soberano de México, en su artículo 5°, dispone en su parte conducente, lo siguiente:</w:t>
      </w:r>
    </w:p>
    <w:p w:rsidR="007B7EBE" w:rsidRDefault="001E690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w:t>
      </w:r>
      <w:r>
        <w:rPr>
          <w:rFonts w:ascii="Palatino Linotype" w:eastAsia="Palatino Linotype" w:hAnsi="Palatino Linotype" w:cs="Palatino Linotype"/>
          <w:b/>
          <w:i/>
        </w:rPr>
        <w:t xml:space="preserve"> </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asegurar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garantizar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transparentarán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oportuna,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veraz</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fácil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bases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posesión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cualquier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lastRenderedPageBreak/>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gobierno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descentralizados,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asimismo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reciba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ejerza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realice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ámbito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temporalmente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Mexicanos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prevalecer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máxima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publicidad.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derive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facultades,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funciones,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específicos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declaración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inexistencia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referente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intimidad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imagen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protegida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marco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rígido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tratamiento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alguno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gratuito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rectificación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mecanismos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sustanciarán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supresión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derivados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tramitarse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electrónicos,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automatizado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resoluciones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correspondan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sistematizarán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favorecer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consulta.</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archivos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administrativos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disponibles,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completa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sobre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resultados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obtenidos.</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colectivas.”</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7B7EBE" w:rsidRDefault="001E690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7B7EBE" w:rsidRDefault="001E690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7B7EBE" w:rsidRDefault="001E6909">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7B7EBE" w:rsidRDefault="001E6909">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w:t>
      </w:r>
      <w:r>
        <w:rPr>
          <w:rFonts w:ascii="Palatino Linotype" w:eastAsia="Palatino Linotype" w:hAnsi="Palatino Linotype" w:cs="Palatino Linotype"/>
        </w:rPr>
        <w:t xml:space="preserve"> </w:t>
      </w:r>
      <w:r>
        <w:rPr>
          <w:rFonts w:ascii="Palatino Linotype" w:eastAsia="Palatino Linotype" w:hAnsi="Palatino Linotype" w:cs="Palatino Linotype"/>
          <w:sz w:val="22"/>
          <w:szCs w:val="22"/>
        </w:rPr>
        <w:t>añadido)</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7B7EBE" w:rsidRDefault="001E690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7B7EBE" w:rsidRDefault="001E690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7B7EBE" w:rsidRDefault="001E690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7B7EBE" w:rsidRDefault="001E6909">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la Unidad de Transparencia incumplió la normativa en la materia, puesto que no dio trámite ni </w:t>
      </w:r>
      <w:r>
        <w:rPr>
          <w:rFonts w:ascii="Palatino Linotype" w:eastAsia="Palatino Linotype" w:hAnsi="Palatino Linotype" w:cs="Palatino Linotype"/>
        </w:rPr>
        <w:lastRenderedPageBreak/>
        <w:t>respuesta a la solicitud de acceso a la información, limitando el derecho de acceso a la información, accionado por el particular.</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el requerimiento de información deberá manifestarse al respecto.</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esta Ponencia Resolutora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w:t>
      </w:r>
      <w:r>
        <w:rPr>
          <w:rFonts w:ascii="Palatino Linotype" w:eastAsia="Palatino Linotype" w:hAnsi="Palatino Linotype" w:cs="Palatino Linotype"/>
        </w:rPr>
        <w:lastRenderedPageBreak/>
        <w:t>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7B7EBE" w:rsidRDefault="001E690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sentido, es de precisar que </w:t>
      </w:r>
      <w:r>
        <w:rPr>
          <w:rFonts w:ascii="Palatino Linotype" w:eastAsia="Palatino Linotype" w:hAnsi="Palatino Linotype" w:cs="Palatino Linotype"/>
          <w:color w:val="0D0D0D"/>
        </w:rPr>
        <w:t xml:space="preserve">la clasificación de la información no se da por el simple mandato de la Ley, sino que </w:t>
      </w:r>
      <w:r>
        <w:rPr>
          <w:rFonts w:ascii="Palatino Linotype" w:eastAsia="Palatino Linotype" w:hAnsi="Palatino Linotype" w:cs="Palatino Linotype"/>
        </w:rPr>
        <w:t xml:space="preserve">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Pr>
          <w:rFonts w:ascii="Palatino Linotype" w:eastAsia="Palatino Linotype" w:hAnsi="Palatino Linotype" w:cs="Palatino Linotype"/>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esta Ponencia Resolutora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w:t>
      </w:r>
      <w:r>
        <w:rPr>
          <w:rFonts w:ascii="Palatino Linotype" w:eastAsia="Palatino Linotype" w:hAnsi="Palatino Linotype" w:cs="Palatino Linotype"/>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7B7EBE" w:rsidRDefault="001E6909">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Palatino Linotype" w:hAnsi="Palatino Linotype" w:cs="Palatino Linotype"/>
          <w:color w:val="000000"/>
        </w:rPr>
        <w:t>, que literalmente señala:</w:t>
      </w:r>
    </w:p>
    <w:p w:rsidR="007B7EBE" w:rsidRDefault="001E690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Palatino Linotype" w:hAnsi="Palatino Linotype" w:cs="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actualiza alguno de los supuestos conforme a las normas aplicables.</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Pr>
          <w:rFonts w:ascii="Palatino Linotype" w:eastAsia="Palatino Linotype" w:hAnsi="Palatino Linotype" w:cs="Palatino Linotype"/>
        </w:rPr>
        <w:lastRenderedPageBreak/>
        <w:t>que el menoscabo o daño que puede producirse con la publicidad de la información, es mayor que el interés de conocerla; por lo que, debe clasificarse como reservada.</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7B7EBE" w:rsidRDefault="001E6909">
      <w:pPr>
        <w:numPr>
          <w:ilvl w:val="0"/>
          <w:numId w:val="3"/>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7B7EBE" w:rsidRDefault="001E6909">
      <w:pPr>
        <w:numPr>
          <w:ilvl w:val="0"/>
          <w:numId w:val="3"/>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7B7EBE" w:rsidRDefault="001E6909">
      <w:pPr>
        <w:numPr>
          <w:ilvl w:val="0"/>
          <w:numId w:val="3"/>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7B7EBE" w:rsidRDefault="001E6909">
      <w:pPr>
        <w:numPr>
          <w:ilvl w:val="0"/>
          <w:numId w:val="4"/>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7B7EBE" w:rsidRDefault="001E6909">
      <w:pPr>
        <w:numPr>
          <w:ilvl w:val="0"/>
          <w:numId w:val="4"/>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7B7EBE" w:rsidRDefault="001E6909">
      <w:pPr>
        <w:numPr>
          <w:ilvl w:val="0"/>
          <w:numId w:val="4"/>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7B7EBE" w:rsidRDefault="001E690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rsidR="007B7EBE" w:rsidRDefault="001E6909">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la sustente, en el que se expongan los fundamentos y razones que </w:t>
      </w:r>
      <w:r>
        <w:rPr>
          <w:rFonts w:ascii="Palatino Linotype" w:eastAsia="Palatino Linotype" w:hAnsi="Palatino Linotype" w:cs="Palatino Linotype"/>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esta Ponencia Resolutora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B7EBE" w:rsidRDefault="001E6909">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7B7EBE" w:rsidRDefault="001E6909">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7B7EBE" w:rsidRDefault="001E690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B7EBE" w:rsidRDefault="001E690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rsidR="007B7EBE" w:rsidRDefault="001E690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7B7EBE" w:rsidRDefault="001E690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rsidR="007B7EBE" w:rsidRDefault="001E6909">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rsidR="007B7EBE" w:rsidRDefault="001E6909">
      <w:pPr>
        <w:shd w:val="clear" w:color="auto" w:fill="FFFFFF"/>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lastRenderedPageBreak/>
        <w:t>(Énfasis añadido)</w:t>
      </w:r>
    </w:p>
    <w:p w:rsidR="007B7EBE" w:rsidRDefault="007B7EBE">
      <w:pPr>
        <w:shd w:val="clear" w:color="auto" w:fill="FFFFFF"/>
        <w:ind w:right="902" w:firstLine="851"/>
        <w:jc w:val="both"/>
        <w:rPr>
          <w:rFonts w:ascii="Georgia" w:eastAsia="Georgia" w:hAnsi="Georgia" w:cs="Georgia"/>
          <w:sz w:val="22"/>
          <w:szCs w:val="22"/>
        </w:rPr>
      </w:pPr>
    </w:p>
    <w:p w:rsidR="007B7EBE" w:rsidRDefault="001E69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 acceso a la información, atendiendo lo señalado en el presente Considerando.</w:t>
      </w:r>
    </w:p>
    <w:p w:rsidR="007B7EBE" w:rsidRDefault="001E690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7B7EBE" w:rsidRDefault="001E6909">
      <w:pPr>
        <w:widowControl w:val="0"/>
        <w:pBdr>
          <w:top w:val="nil"/>
          <w:left w:val="nil"/>
          <w:bottom w:val="nil"/>
          <w:right w:val="nil"/>
          <w:between w:val="nil"/>
        </w:pBdr>
        <w:tabs>
          <w:tab w:val="left" w:pos="1276"/>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vigésimo segundo, vigésimo tercero y vigésimo cuarto,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7B7EBE" w:rsidRDefault="001E6909">
      <w:pPr>
        <w:spacing w:before="240" w:after="280" w:line="276"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rsidR="007B7EBE" w:rsidRDefault="001E6909">
      <w:pPr>
        <w:widowControl w:val="0"/>
        <w:numPr>
          <w:ilvl w:val="0"/>
          <w:numId w:val="2"/>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Resultan </w:t>
      </w:r>
      <w:r>
        <w:rPr>
          <w:rFonts w:ascii="Palatino Linotype" w:eastAsia="Palatino Linotype" w:hAnsi="Palatino Linotype" w:cs="Palatino Linotype"/>
          <w:b/>
          <w:color w:val="000000"/>
        </w:rPr>
        <w:t>fundadas</w:t>
      </w:r>
      <w:r>
        <w:rPr>
          <w:rFonts w:ascii="Palatino Linotype" w:eastAsia="Palatino Linotype" w:hAnsi="Palatino Linotype" w:cs="Palatino Linotype"/>
          <w:color w:val="000000"/>
        </w:rPr>
        <w:t xml:space="preserve"> las </w:t>
      </w:r>
      <w:r>
        <w:rPr>
          <w:rFonts w:ascii="Palatino Linotype" w:eastAsia="Palatino Linotype" w:hAnsi="Palatino Linotype" w:cs="Palatino Linotype"/>
          <w:color w:val="000000"/>
          <w:highlight w:val="white"/>
        </w:rPr>
        <w:t>razones</w:t>
      </w:r>
      <w:r>
        <w:rPr>
          <w:rFonts w:ascii="Palatino Linotype" w:eastAsia="Palatino Linotype" w:hAnsi="Palatino Linotype" w:cs="Palatino Linotype"/>
          <w:color w:val="000000"/>
        </w:rPr>
        <w:t xml:space="preserve"> o motivos de inconformidad hechas valer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en términos del Considerando </w:t>
      </w:r>
      <w:r>
        <w:rPr>
          <w:rFonts w:ascii="Palatino Linotype" w:eastAsia="Palatino Linotype" w:hAnsi="Palatino Linotype" w:cs="Palatino Linotype"/>
          <w:b/>
          <w:color w:val="000000"/>
        </w:rPr>
        <w:t>QUINTO</w:t>
      </w:r>
      <w:r>
        <w:rPr>
          <w:rFonts w:ascii="Palatino Linotype" w:eastAsia="Palatino Linotype" w:hAnsi="Palatino Linotype" w:cs="Palatino Linotype"/>
          <w:color w:val="000000"/>
        </w:rPr>
        <w:t xml:space="preserve"> de la presente </w:t>
      </w:r>
      <w:r>
        <w:rPr>
          <w:rFonts w:ascii="Palatino Linotype" w:eastAsia="Palatino Linotype" w:hAnsi="Palatino Linotype" w:cs="Palatino Linotype"/>
          <w:color w:val="000000"/>
        </w:rPr>
        <w:lastRenderedPageBreak/>
        <w:t>resolución.</w:t>
      </w:r>
    </w:p>
    <w:p w:rsidR="007B7EBE" w:rsidRDefault="001E6909">
      <w:pPr>
        <w:widowControl w:val="0"/>
        <w:numPr>
          <w:ilvl w:val="0"/>
          <w:numId w:val="2"/>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222222"/>
        </w:rPr>
        <w:t>Se</w:t>
      </w:r>
      <w:r>
        <w:rPr>
          <w:rFonts w:ascii="Palatino Linotype" w:eastAsia="Palatino Linotype" w:hAnsi="Palatino Linotype" w:cs="Palatino Linotype"/>
          <w:b/>
          <w:color w:val="222222"/>
        </w:rPr>
        <w:t xml:space="preserve"> 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motivo del recurso de revisión </w:t>
      </w:r>
      <w:r>
        <w:rPr>
          <w:rFonts w:ascii="Palatino Linotype" w:eastAsia="Palatino Linotype" w:hAnsi="Palatino Linotype" w:cs="Palatino Linotype"/>
          <w:b/>
          <w:color w:val="000000"/>
        </w:rPr>
        <w:t>00712/INFOEM/IP/RR/2020</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en términos del Considerando </w:t>
      </w:r>
      <w:r>
        <w:rPr>
          <w:rFonts w:ascii="Palatino Linotype" w:eastAsia="Palatino Linotype" w:hAnsi="Palatino Linotype" w:cs="Palatino Linotype"/>
          <w:b/>
          <w:color w:val="222222"/>
        </w:rPr>
        <w:t xml:space="preserve">QUINTO </w:t>
      </w:r>
      <w:r>
        <w:rPr>
          <w:rFonts w:ascii="Palatino Linotype" w:eastAsia="Palatino Linotype" w:hAnsi="Palatino Linotype" w:cs="Palatino Linotype"/>
          <w:color w:val="222222"/>
        </w:rPr>
        <w:t xml:space="preserve">de esta resolución; y emita respuesta vía </w:t>
      </w:r>
      <w:r>
        <w:rPr>
          <w:rFonts w:ascii="Palatino Linotype" w:eastAsia="Palatino Linotype" w:hAnsi="Palatino Linotype" w:cs="Palatino Linotype"/>
          <w:b/>
          <w:color w:val="222222"/>
        </w:rPr>
        <w:t>SAIMEX y correo electrónico</w:t>
      </w:r>
      <w:r>
        <w:rPr>
          <w:rFonts w:ascii="Palatino Linotype" w:eastAsia="Palatino Linotype" w:hAnsi="Palatino Linotype" w:cs="Palatino Linotype"/>
          <w:color w:val="222222"/>
        </w:rPr>
        <w:t>, debiendo observar las excepciones contenidas en la Ley de Transparencia y Acceso a la Información Pública del Estado de México y Municipios.</w:t>
      </w:r>
    </w:p>
    <w:p w:rsidR="007B7EBE" w:rsidRDefault="001E6909">
      <w:pPr>
        <w:widowControl w:val="0"/>
        <w:numPr>
          <w:ilvl w:val="0"/>
          <w:numId w:val="2"/>
        </w:numPr>
        <w:pBdr>
          <w:top w:val="nil"/>
          <w:left w:val="nil"/>
          <w:bottom w:val="nil"/>
          <w:right w:val="nil"/>
          <w:between w:val="nil"/>
        </w:pBdr>
        <w:tabs>
          <w:tab w:val="left" w:pos="1701"/>
        </w:tabs>
        <w:spacing w:before="240" w:line="360" w:lineRule="auto"/>
        <w:ind w:left="0" w:firstLine="0"/>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highlight w:val="white"/>
        </w:rPr>
        <w:t xml:space="preserve">a la </w:t>
      </w:r>
      <w:r>
        <w:rPr>
          <w:rFonts w:ascii="Palatino Linotype" w:eastAsia="Palatino Linotype" w:hAnsi="Palatino Linotype" w:cs="Palatino Linotype"/>
          <w:color w:val="000000"/>
        </w:rPr>
        <w:t>Titular</w:t>
      </w:r>
      <w:r>
        <w:rPr>
          <w:rFonts w:ascii="Palatino Linotype" w:eastAsia="Palatino Linotype" w:hAnsi="Palatino Linotype" w:cs="Palatino Linotype"/>
          <w:color w:val="000000"/>
          <w:highlight w:val="white"/>
        </w:rPr>
        <w:t xml:space="preserve">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xml:space="preserve"> para que, </w:t>
      </w:r>
      <w:r>
        <w:rPr>
          <w:rFonts w:ascii="Palatino Linotype" w:eastAsia="Palatino Linotype" w:hAnsi="Palatino Linotype" w:cs="Palatino Linotype"/>
          <w:color w:val="000000"/>
        </w:rPr>
        <w:t>conforme</w:t>
      </w:r>
      <w:r>
        <w:rPr>
          <w:rFonts w:ascii="Palatino Linotype" w:eastAsia="Palatino Linotype" w:hAnsi="Palatino Linotype" w:cs="Palatino Linotype"/>
          <w:color w:val="000000"/>
          <w:highlight w:val="white"/>
        </w:rPr>
        <w:t xml:space="preserve"> a los artículos 186, último párrafo y 189, párrafo segundo de la Ley de </w:t>
      </w:r>
      <w:r>
        <w:rPr>
          <w:rFonts w:ascii="Palatino Linotype" w:eastAsia="Palatino Linotype" w:hAnsi="Palatino Linotype" w:cs="Palatino Linotype"/>
          <w:color w:val="000000"/>
        </w:rPr>
        <w:t>Transparencia</w:t>
      </w:r>
      <w:r>
        <w:rPr>
          <w:rFonts w:ascii="Palatino Linotype" w:eastAsia="Palatino Linotype" w:hAnsi="Palatino Linotype" w:cs="Palatino Linotype"/>
          <w:color w:val="000000"/>
          <w:highlight w:val="white"/>
        </w:rPr>
        <w:t xml:space="preserve"> y </w:t>
      </w:r>
      <w:r>
        <w:rPr>
          <w:rFonts w:ascii="Palatino Linotype" w:eastAsia="Palatino Linotype" w:hAnsi="Palatino Linotype" w:cs="Palatino Linotype"/>
          <w:color w:val="000000"/>
        </w:rPr>
        <w:t>Acceso</w:t>
      </w:r>
      <w:r>
        <w:rPr>
          <w:rFonts w:ascii="Palatino Linotype" w:eastAsia="Palatino Linotype" w:hAnsi="Palatino Linotype" w:cs="Palatino Linotype"/>
          <w:color w:val="000000"/>
          <w:highlight w:val="white"/>
        </w:rPr>
        <w:t xml:space="preserve"> a la Información Pública del Estado de México y Municipios, dé </w:t>
      </w:r>
      <w:r>
        <w:rPr>
          <w:rFonts w:ascii="Palatino Linotype" w:eastAsia="Palatino Linotype" w:hAnsi="Palatino Linotype" w:cs="Palatino Linotype"/>
          <w:color w:val="000000"/>
        </w:rPr>
        <w:t>cumplimiento</w:t>
      </w:r>
      <w:r>
        <w:rPr>
          <w:rFonts w:ascii="Palatino Linotype" w:eastAsia="Palatino Linotype" w:hAnsi="Palatino Linotype" w:cs="Palatino Linotype"/>
          <w:color w:val="000000"/>
          <w:highlight w:val="white"/>
        </w:rPr>
        <w:t xml:space="preserve"> a lo ordenado dentro del plazo de diez días hábiles, debiendo informar a este Instituto en un plazo </w:t>
      </w:r>
      <w:r>
        <w:rPr>
          <w:rFonts w:ascii="Palatino Linotype" w:eastAsia="Palatino Linotype" w:hAnsi="Palatino Linotype" w:cs="Palatino Linotype"/>
          <w:color w:val="000000"/>
        </w:rPr>
        <w:t>de</w:t>
      </w:r>
      <w:r>
        <w:rPr>
          <w:rFonts w:ascii="Palatino Linotype" w:eastAsia="Palatino Linotype" w:hAnsi="Palatino Linotype" w:cs="Palatino Linotype"/>
          <w:color w:val="000000"/>
          <w:highlight w:val="white"/>
        </w:rPr>
        <w:t xml:space="preserve"> tres días hábiles siguientes sobre el cumplimiento dado a la resolución.</w:t>
      </w:r>
    </w:p>
    <w:p w:rsidR="007B7EBE" w:rsidRDefault="001E6909">
      <w:pPr>
        <w:widowControl w:val="0"/>
        <w:numPr>
          <w:ilvl w:val="0"/>
          <w:numId w:val="2"/>
        </w:numPr>
        <w:pBdr>
          <w:top w:val="nil"/>
          <w:left w:val="nil"/>
          <w:bottom w:val="nil"/>
          <w:right w:val="nil"/>
          <w:between w:val="nil"/>
        </w:pBdr>
        <w:tabs>
          <w:tab w:val="left" w:pos="1701"/>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que, en caso de negarse a cumplir la presente resolución o hacerlo de manera parcial se actuará de conformidad con lo previsto en los artículos 213, 214, 216 y 217 de dicha Ley.</w:t>
      </w:r>
    </w:p>
    <w:p w:rsidR="007B7EBE" w:rsidRDefault="001E6909">
      <w:pPr>
        <w:widowControl w:val="0"/>
        <w:numPr>
          <w:ilvl w:val="0"/>
          <w:numId w:val="2"/>
        </w:numPr>
        <w:pBdr>
          <w:top w:val="nil"/>
          <w:left w:val="nil"/>
          <w:bottom w:val="nil"/>
          <w:right w:val="nil"/>
          <w:between w:val="nil"/>
        </w:pBdr>
        <w:tabs>
          <w:tab w:val="left" w:pos="1701"/>
        </w:tabs>
        <w:spacing w:before="240" w:after="240" w:line="360" w:lineRule="auto"/>
        <w:ind w:left="0"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Notifíquese</w:t>
      </w:r>
      <w:r>
        <w:rPr>
          <w:rFonts w:ascii="Palatino Linotype" w:eastAsia="Palatino Linotype" w:hAnsi="Palatino Linotype" w:cs="Palatino Linotype"/>
          <w:color w:val="000000"/>
        </w:rPr>
        <w:t xml:space="preserve"> al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la presente </w:t>
      </w:r>
      <w:r>
        <w:rPr>
          <w:rFonts w:ascii="Palatino Linotype" w:eastAsia="Palatino Linotype" w:hAnsi="Palatino Linotype" w:cs="Palatino Linotype"/>
          <w:color w:val="000000"/>
          <w:highlight w:val="white"/>
        </w:rPr>
        <w:t>resolución</w:t>
      </w:r>
      <w:r>
        <w:rPr>
          <w:rFonts w:ascii="Palatino Linotype" w:eastAsia="Palatino Linotype" w:hAnsi="Palatino Linotype" w:cs="Palatino Linotype"/>
          <w:color w:val="000000"/>
        </w:rPr>
        <w:t>.</w:t>
      </w:r>
    </w:p>
    <w:p w:rsidR="007B7EBE" w:rsidRDefault="001E6909">
      <w:pPr>
        <w:widowControl w:val="0"/>
        <w:numPr>
          <w:ilvl w:val="0"/>
          <w:numId w:val="2"/>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000000"/>
        </w:rPr>
        <w:t>Hágase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del conocimiento</w:t>
      </w:r>
      <w:r>
        <w:rPr>
          <w:rFonts w:ascii="Palatino Linotype" w:eastAsia="Palatino Linotype" w:hAnsi="Palatino Linotype" w:cs="Palatino Linotype"/>
          <w:color w:val="000000"/>
        </w:rPr>
        <w:t xml:space="preserve"> del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que, de conformidad con lo establecido en el artículo 196 de la Ley de Transparencia y Acceso a la </w:t>
      </w:r>
      <w:r>
        <w:rPr>
          <w:rFonts w:ascii="Palatino Linotype" w:eastAsia="Palatino Linotype" w:hAnsi="Palatino Linotype" w:cs="Palatino Linotype"/>
          <w:color w:val="000000"/>
        </w:rPr>
        <w:lastRenderedPageBreak/>
        <w:t>Información Pública del Estado de México y Municipios, podrá impugnarla vía Juicio de Amparo en los términos de las leyes aplicables.</w:t>
      </w:r>
    </w:p>
    <w:p w:rsidR="007B7EBE" w:rsidRDefault="001E6909">
      <w:pPr>
        <w:widowControl w:val="0"/>
        <w:numPr>
          <w:ilvl w:val="0"/>
          <w:numId w:val="2"/>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 xml:space="preserve">Hágase del conocimiento </w:t>
      </w:r>
      <w:r>
        <w:rPr>
          <w:rFonts w:ascii="Palatino Linotype" w:eastAsia="Palatino Linotype" w:hAnsi="Palatino Linotype" w:cs="Palatino Linotype"/>
          <w:color w:val="222222"/>
        </w:rPr>
        <w:t xml:space="preserve">del </w:t>
      </w:r>
      <w:r>
        <w:rPr>
          <w:rFonts w:ascii="Palatino Linotype" w:eastAsia="Palatino Linotype" w:hAnsi="Palatino Linotype" w:cs="Palatino Linotype"/>
          <w:b/>
          <w:color w:val="222222"/>
        </w:rPr>
        <w:t xml:space="preserve">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B7EBE" w:rsidRDefault="001E6909">
      <w:pPr>
        <w:widowControl w:val="0"/>
        <w:numPr>
          <w:ilvl w:val="0"/>
          <w:numId w:val="2"/>
        </w:numPr>
        <w:pBdr>
          <w:top w:val="nil"/>
          <w:left w:val="nil"/>
          <w:bottom w:val="nil"/>
          <w:right w:val="nil"/>
          <w:between w:val="nil"/>
        </w:pBd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 xml:space="preserve">Gírese oficio </w:t>
      </w:r>
      <w:r>
        <w:rPr>
          <w:rFonts w:ascii="Palatino Linotype" w:eastAsia="Palatino Linotype" w:hAnsi="Palatino Linotype" w:cs="Palatino Linotype"/>
          <w:color w:val="222222"/>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eastAsia="Palatino Linotype" w:hAnsi="Palatino Linotype" w:cs="Palatino Linotype"/>
          <w:b/>
          <w:color w:val="222222"/>
        </w:rPr>
        <w:t>QUINTO</w:t>
      </w:r>
      <w:r>
        <w:rPr>
          <w:rFonts w:ascii="Palatino Linotype" w:eastAsia="Palatino Linotype" w:hAnsi="Palatino Linotype" w:cs="Palatino Linotype"/>
          <w:color w:val="222222"/>
        </w:rPr>
        <w:t xml:space="preserve"> de la presente resolución.</w:t>
      </w:r>
    </w:p>
    <w:p w:rsidR="007B7EBE" w:rsidRDefault="001E6909">
      <w:pPr>
        <w:spacing w:before="280" w:after="28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w:t>
      </w:r>
      <w:r>
        <w:rPr>
          <w:rFonts w:ascii="Palatino Linotype" w:eastAsia="Palatino Linotype" w:hAnsi="Palatino Linotype" w:cs="Palatino Linotype"/>
          <w:highlight w:val="white"/>
        </w:rPr>
        <w:t xml:space="preserve">EN LA DÉCIMA SEGUNDA </w:t>
      </w:r>
      <w:r>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smallCaps/>
        </w:rPr>
        <w:t>CINCO</w:t>
      </w:r>
      <w:r>
        <w:rPr>
          <w:rFonts w:ascii="Palatino Linotype" w:eastAsia="Palatino Linotype" w:hAnsi="Palatino Linotype" w:cs="Palatino Linotype"/>
        </w:rPr>
        <w:t xml:space="preserve"> DE AGOSTO DE DOS MIL VEINTE, ANTE EL SECRETARIO TÉCNICO DEL PLENO, ALEXIS TAPIA RAMÍREZ.</w:t>
      </w:r>
    </w:p>
    <w:tbl>
      <w:tblPr>
        <w:tblStyle w:val="a"/>
        <w:tblW w:w="9214" w:type="dxa"/>
        <w:jc w:val="center"/>
        <w:tblInd w:w="0" w:type="dxa"/>
        <w:tblLayout w:type="fixed"/>
        <w:tblLook w:val="0400" w:firstRow="0" w:lastRow="0" w:firstColumn="0" w:lastColumn="0" w:noHBand="0" w:noVBand="1"/>
      </w:tblPr>
      <w:tblGrid>
        <w:gridCol w:w="4756"/>
        <w:gridCol w:w="4458"/>
      </w:tblGrid>
      <w:tr w:rsidR="007B7EBE">
        <w:trPr>
          <w:jc w:val="center"/>
        </w:trPr>
        <w:tc>
          <w:tcPr>
            <w:tcW w:w="9214" w:type="dxa"/>
            <w:gridSpan w:val="2"/>
            <w:shd w:val="clear" w:color="auto" w:fill="auto"/>
          </w:tcPr>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b/>
              </w:rPr>
              <w:t>Zulema Martínez Sánchez</w:t>
            </w: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rPr>
              <w:t>Comisionada Presidenta</w:t>
            </w: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7B7EBE">
        <w:trPr>
          <w:jc w:val="center"/>
        </w:trPr>
        <w:tc>
          <w:tcPr>
            <w:tcW w:w="4756" w:type="dxa"/>
            <w:shd w:val="clear" w:color="auto" w:fill="auto"/>
          </w:tcPr>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b/>
              </w:rPr>
              <w:t>Eva Abaid Yapur</w:t>
            </w:r>
          </w:p>
          <w:p w:rsidR="007B7EBE" w:rsidRDefault="001E6909">
            <w:pPr>
              <w:jc w:val="center"/>
              <w:rPr>
                <w:rFonts w:ascii="Palatino Linotype" w:eastAsia="Palatino Linotype" w:hAnsi="Palatino Linotype" w:cs="Palatino Linotype"/>
              </w:rPr>
            </w:pPr>
            <w:r>
              <w:rPr>
                <w:rFonts w:ascii="Palatino Linotype" w:eastAsia="Palatino Linotype" w:hAnsi="Palatino Linotype" w:cs="Palatino Linotype"/>
              </w:rPr>
              <w:t>Comisionada</w:t>
            </w: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c>
          <w:tcPr>
            <w:tcW w:w="4458" w:type="dxa"/>
            <w:shd w:val="clear" w:color="auto" w:fill="auto"/>
          </w:tcPr>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b/>
              </w:rPr>
              <w:t>José Guadalupe Luna Hernández</w:t>
            </w:r>
          </w:p>
          <w:p w:rsidR="007B7EBE" w:rsidRDefault="001E6909">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7B7EBE">
        <w:trPr>
          <w:jc w:val="center"/>
        </w:trPr>
        <w:tc>
          <w:tcPr>
            <w:tcW w:w="4756" w:type="dxa"/>
            <w:shd w:val="clear" w:color="auto" w:fill="auto"/>
          </w:tcPr>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b/>
              </w:rPr>
              <w:t>Javier Martínez Cruz</w:t>
            </w:r>
          </w:p>
          <w:p w:rsidR="007B7EBE" w:rsidRDefault="001E6909">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7B7EBE" w:rsidRDefault="001E6909">
            <w:pPr>
              <w:jc w:val="center"/>
              <w:rPr>
                <w:rFonts w:ascii="Palatino Linotype" w:eastAsia="Palatino Linotype" w:hAnsi="Palatino Linotype" w:cs="Palatino Linotype"/>
              </w:rPr>
            </w:pPr>
            <w:r>
              <w:rPr>
                <w:rFonts w:ascii="Palatino Linotype" w:eastAsia="Palatino Linotype" w:hAnsi="Palatino Linotype" w:cs="Palatino Linotype"/>
                <w:b/>
              </w:rPr>
              <w:t>(RÚBRICA)</w:t>
            </w:r>
          </w:p>
        </w:tc>
        <w:tc>
          <w:tcPr>
            <w:tcW w:w="4458" w:type="dxa"/>
            <w:shd w:val="clear" w:color="auto" w:fill="auto"/>
          </w:tcPr>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b/>
              </w:rPr>
              <w:t>Luis Gustavo Parra Noriega</w:t>
            </w:r>
          </w:p>
          <w:p w:rsidR="007B7EBE" w:rsidRDefault="001E6909">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7B7EBE">
        <w:trPr>
          <w:jc w:val="center"/>
        </w:trPr>
        <w:tc>
          <w:tcPr>
            <w:tcW w:w="9214" w:type="dxa"/>
            <w:gridSpan w:val="2"/>
            <w:shd w:val="clear" w:color="auto" w:fill="auto"/>
          </w:tcPr>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7B7EBE">
            <w:pPr>
              <w:jc w:val="center"/>
              <w:rPr>
                <w:rFonts w:ascii="Palatino Linotype" w:eastAsia="Palatino Linotype" w:hAnsi="Palatino Linotype" w:cs="Palatino Linotype"/>
                <w:b/>
              </w:rPr>
            </w:pPr>
          </w:p>
          <w:p w:rsidR="007B7EBE" w:rsidRDefault="001E6909">
            <w:pPr>
              <w:jc w:val="center"/>
              <w:rPr>
                <w:rFonts w:ascii="Palatino Linotype" w:eastAsia="Palatino Linotype" w:hAnsi="Palatino Linotype" w:cs="Palatino Linotype"/>
                <w:b/>
              </w:rPr>
            </w:pPr>
            <w:r>
              <w:rPr>
                <w:rFonts w:ascii="Palatino Linotype" w:eastAsia="Palatino Linotype" w:hAnsi="Palatino Linotype" w:cs="Palatino Linotype"/>
                <w:b/>
              </w:rPr>
              <w:t>Alexis Tapia Ramírez</w:t>
            </w:r>
          </w:p>
          <w:p w:rsidR="007B7EBE" w:rsidRDefault="001E6909">
            <w:pPr>
              <w:jc w:val="center"/>
              <w:rPr>
                <w:rFonts w:ascii="Palatino Linotype" w:eastAsia="Palatino Linotype" w:hAnsi="Palatino Linotype" w:cs="Palatino Linotype"/>
              </w:rPr>
            </w:pPr>
            <w:r>
              <w:rPr>
                <w:rFonts w:ascii="Palatino Linotype" w:eastAsia="Palatino Linotype" w:hAnsi="Palatino Linotype" w:cs="Palatino Linotype"/>
              </w:rPr>
              <w:t>Secretario Técnico del Pleno</w:t>
            </w:r>
          </w:p>
          <w:p w:rsidR="007B7EBE" w:rsidRDefault="001E6909">
            <w:pPr>
              <w:jc w:val="center"/>
              <w:rPr>
                <w:rFonts w:ascii="Palatino Linotype" w:eastAsia="Palatino Linotype" w:hAnsi="Palatino Linotype" w:cs="Palatino Linotype"/>
              </w:rPr>
            </w:pPr>
            <w:r>
              <w:rPr>
                <w:rFonts w:ascii="Palatino Linotype" w:eastAsia="Palatino Linotype" w:hAnsi="Palatino Linotype" w:cs="Palatino Linotype"/>
                <w:b/>
              </w:rPr>
              <w:t>(RÚBRICA)</w:t>
            </w:r>
          </w:p>
        </w:tc>
      </w:tr>
    </w:tbl>
    <w:p w:rsidR="007B7EBE" w:rsidRDefault="001E6909">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Esta hoja corresponde a la resolución de fecha cinco de agosto de dos mil veinte, emitida en el recurso de revisión número 00712/INFOEM/IP/RR/2020. </w:t>
      </w:r>
    </w:p>
    <w:p w:rsidR="007B7EBE" w:rsidRDefault="001E6909">
      <w:pPr>
        <w:ind w:left="709" w:hanging="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YSM/AAS</w:t>
      </w:r>
    </w:p>
    <w:sectPr w:rsidR="007B7EBE">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E95" w:rsidRDefault="00035E95">
      <w:r>
        <w:separator/>
      </w:r>
    </w:p>
  </w:endnote>
  <w:endnote w:type="continuationSeparator" w:id="0">
    <w:p w:rsidR="00035E95" w:rsidRDefault="0003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E" w:rsidRDefault="001E690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545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545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E" w:rsidRDefault="001E690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545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545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E95" w:rsidRDefault="00035E95">
      <w:r>
        <w:separator/>
      </w:r>
    </w:p>
  </w:footnote>
  <w:footnote w:type="continuationSeparator" w:id="0">
    <w:p w:rsidR="00035E95" w:rsidRDefault="00035E95">
      <w:r>
        <w:continuationSeparator/>
      </w:r>
    </w:p>
  </w:footnote>
  <w:footnote w:id="1">
    <w:p w:rsidR="007B7EBE" w:rsidRDefault="001E6909">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 xml:space="preserve">De conformidad con la información publicada en el Portal de Información Pública de Oficio Mexiquense (IPOMEX), del </w:t>
      </w:r>
      <w:r>
        <w:rPr>
          <w:rFonts w:ascii="Palatino Linotype" w:eastAsia="Palatino Linotype" w:hAnsi="Palatino Linotype" w:cs="Palatino Linotype"/>
          <w:b/>
          <w:color w:val="000000"/>
          <w:sz w:val="20"/>
          <w:szCs w:val="20"/>
        </w:rPr>
        <w:t>SUJETO OBLIGADO</w:t>
      </w:r>
      <w:r>
        <w:rPr>
          <w:rFonts w:ascii="Palatino Linotype" w:eastAsia="Palatino Linotype" w:hAnsi="Palatino Linotype" w:cs="Palatino Linotype"/>
          <w:color w:val="000000"/>
          <w:sz w:val="20"/>
          <w:szCs w:val="20"/>
        </w:rPr>
        <w:t>, ubicable en la siguiente liga electrónica: https://www.ipomex.org.mx/ipo3/lgt/indice/COYOTEPEC/art_92_vii.web</w:t>
      </w:r>
    </w:p>
  </w:footnote>
  <w:footnote w:id="2">
    <w:p w:rsidR="007B7EBE" w:rsidRDefault="001E6909">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Cabe destacarse que el particular no refirió la temporalidad de la información a la que pretende acceso, por ello, este Instituto suple la deficiencia en que incurre y determina que requiere la información vigente generada al 16 de diciembre de 2019, fecha en que se presentó la solicitud, en términos de lo dispuesto por los artículos 13 y 181, cuarto párrafo de la Ley de Transparencia y Acceso a la Información Pública del Estado de México y Municipios.</w:t>
      </w:r>
    </w:p>
  </w:footnote>
  <w:footnote w:id="3">
    <w:p w:rsidR="007B7EBE" w:rsidRDefault="001E6909">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E9" w:rsidRDefault="00035E95">
    <w:pPr>
      <w:pStyle w:val="Encabezado"/>
    </w:pPr>
    <w:r>
      <w:rPr>
        <w:noProof/>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695688"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E" w:rsidRDefault="00035E9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695689"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461C4" w:rsidRPr="008F2CCC" w:rsidTr="00B15D87">
      <w:tc>
        <w:tcPr>
          <w:tcW w:w="3261" w:type="dxa"/>
          <w:vMerge w:val="restart"/>
        </w:tcPr>
        <w:p w:rsidR="006461C4" w:rsidRPr="008F2CCC" w:rsidRDefault="006461C4" w:rsidP="006461C4">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5B0E1EB8" wp14:editId="47BD716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6461C4" w:rsidRPr="00664658" w:rsidRDefault="006461C4" w:rsidP="006461C4">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6461C4" w:rsidRDefault="006461C4" w:rsidP="006461C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00712/INFOEM/IP/RR/2020</w:t>
          </w:r>
        </w:p>
      </w:tc>
    </w:tr>
    <w:tr w:rsidR="006461C4" w:rsidRPr="008F2CCC" w:rsidTr="00B15D87">
      <w:tc>
        <w:tcPr>
          <w:tcW w:w="3261" w:type="dxa"/>
          <w:vMerge/>
        </w:tcPr>
        <w:p w:rsidR="006461C4" w:rsidRPr="008F2CCC" w:rsidRDefault="006461C4" w:rsidP="006461C4">
          <w:pPr>
            <w:rPr>
              <w:rFonts w:ascii="Palatino Linotype" w:hAnsi="Palatino Linotype"/>
              <w:b/>
              <w:sz w:val="22"/>
              <w:szCs w:val="22"/>
              <w:lang w:val="es-ES_tradnl"/>
            </w:rPr>
          </w:pPr>
        </w:p>
      </w:tc>
      <w:tc>
        <w:tcPr>
          <w:tcW w:w="2551" w:type="dxa"/>
          <w:shd w:val="clear" w:color="auto" w:fill="auto"/>
        </w:tcPr>
        <w:p w:rsidR="006461C4" w:rsidRPr="00664658" w:rsidRDefault="006461C4" w:rsidP="006461C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6461C4" w:rsidRDefault="006461C4" w:rsidP="006461C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Coyotepec</w:t>
          </w:r>
        </w:p>
      </w:tc>
    </w:tr>
    <w:tr w:rsidR="006461C4" w:rsidRPr="008F2CCC" w:rsidTr="00B15D87">
      <w:trPr>
        <w:trHeight w:val="228"/>
      </w:trPr>
      <w:tc>
        <w:tcPr>
          <w:tcW w:w="3261" w:type="dxa"/>
          <w:vMerge/>
        </w:tcPr>
        <w:p w:rsidR="006461C4" w:rsidRPr="008F2CCC" w:rsidRDefault="006461C4" w:rsidP="006461C4">
          <w:pPr>
            <w:rPr>
              <w:rFonts w:ascii="Palatino Linotype" w:hAnsi="Palatino Linotype"/>
              <w:b/>
              <w:sz w:val="22"/>
              <w:szCs w:val="22"/>
              <w:lang w:val="es-ES_tradnl"/>
            </w:rPr>
          </w:pPr>
        </w:p>
      </w:tc>
      <w:tc>
        <w:tcPr>
          <w:tcW w:w="2551" w:type="dxa"/>
          <w:shd w:val="clear" w:color="auto" w:fill="auto"/>
        </w:tcPr>
        <w:p w:rsidR="006461C4" w:rsidRPr="00664658" w:rsidRDefault="006461C4" w:rsidP="006461C4">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6461C4" w:rsidRPr="00664658" w:rsidRDefault="006461C4" w:rsidP="006461C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461C4" w:rsidRDefault="006461C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E" w:rsidRDefault="00035E95">
    <w:pPr>
      <w:rPr>
        <w:rFonts w:ascii="Palatino Linotype" w:eastAsia="Palatino Linotype" w:hAnsi="Palatino Linotype" w:cs="Palatino Linotype"/>
        <w:sz w:val="28"/>
        <w:szCs w:val="28"/>
      </w:rPr>
    </w:pPr>
    <w:r>
      <w:rPr>
        <w:rFonts w:ascii="Palatino Linotype" w:eastAsia="Palatino Linotype" w:hAnsi="Palatino Linotype" w:cs="Palatino Linotype"/>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695687" o:spid="_x0000_s2049"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461C4" w:rsidRPr="008F2CCC" w:rsidTr="00B15D87">
      <w:tc>
        <w:tcPr>
          <w:tcW w:w="4253" w:type="dxa"/>
          <w:vMerge w:val="restart"/>
          <w:shd w:val="clear" w:color="auto" w:fill="auto"/>
        </w:tcPr>
        <w:p w:rsidR="006461C4" w:rsidRPr="008F2CCC" w:rsidRDefault="006461C4" w:rsidP="006461C4">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6BCA42F0" wp14:editId="4976DAC3">
                <wp:extent cx="166344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6461C4" w:rsidRPr="008F2CCC" w:rsidRDefault="006461C4" w:rsidP="006461C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6461C4" w:rsidRDefault="006461C4" w:rsidP="006461C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00712/INFOEM/IP/RR/2020</w:t>
          </w:r>
        </w:p>
      </w:tc>
    </w:tr>
    <w:tr w:rsidR="006461C4" w:rsidRPr="008F2CCC" w:rsidTr="00B15D87">
      <w:tc>
        <w:tcPr>
          <w:tcW w:w="4253" w:type="dxa"/>
          <w:vMerge/>
          <w:shd w:val="clear" w:color="auto" w:fill="auto"/>
        </w:tcPr>
        <w:p w:rsidR="006461C4" w:rsidRPr="008F2CCC" w:rsidRDefault="006461C4" w:rsidP="006461C4">
          <w:pPr>
            <w:rPr>
              <w:rFonts w:ascii="Palatino Linotype" w:hAnsi="Palatino Linotype"/>
              <w:b/>
              <w:sz w:val="22"/>
              <w:szCs w:val="22"/>
              <w:lang w:val="es-ES_tradnl"/>
            </w:rPr>
          </w:pPr>
        </w:p>
      </w:tc>
      <w:tc>
        <w:tcPr>
          <w:tcW w:w="2552" w:type="dxa"/>
          <w:shd w:val="clear" w:color="auto" w:fill="auto"/>
        </w:tcPr>
        <w:p w:rsidR="006461C4" w:rsidRPr="008F2CCC" w:rsidRDefault="006461C4" w:rsidP="006461C4">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6461C4" w:rsidRDefault="003A5457" w:rsidP="003A54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Xxxxxx XXXXXX</w:t>
          </w:r>
          <w:r w:rsidR="006461C4">
            <w:rPr>
              <w:rFonts w:ascii="Palatino Linotype" w:eastAsia="Palatino Linotype" w:hAnsi="Palatino Linotype" w:cs="Palatino Linotype"/>
              <w:b/>
            </w:rPr>
            <w:t xml:space="preserve"> y/o </w:t>
          </w:r>
          <w:r>
            <w:rPr>
              <w:rFonts w:ascii="Palatino Linotype" w:eastAsia="Palatino Linotype" w:hAnsi="Palatino Linotype" w:cs="Palatino Linotype"/>
              <w:b/>
              <w:sz w:val="22"/>
              <w:szCs w:val="22"/>
            </w:rPr>
            <w:t>Xxxxxx Xxxxxx Xx Xxxxxxxxxx</w:t>
          </w:r>
        </w:p>
      </w:tc>
    </w:tr>
    <w:tr w:rsidR="006461C4" w:rsidRPr="008F2CCC" w:rsidTr="00B15D87">
      <w:trPr>
        <w:trHeight w:val="228"/>
      </w:trPr>
      <w:tc>
        <w:tcPr>
          <w:tcW w:w="4253" w:type="dxa"/>
          <w:vMerge/>
          <w:shd w:val="clear" w:color="auto" w:fill="auto"/>
        </w:tcPr>
        <w:p w:rsidR="006461C4" w:rsidRPr="008F2CCC" w:rsidRDefault="006461C4" w:rsidP="006461C4">
          <w:pPr>
            <w:rPr>
              <w:rFonts w:ascii="Palatino Linotype" w:hAnsi="Palatino Linotype"/>
              <w:b/>
              <w:sz w:val="22"/>
              <w:szCs w:val="22"/>
              <w:lang w:val="es-ES_tradnl"/>
            </w:rPr>
          </w:pPr>
        </w:p>
      </w:tc>
      <w:tc>
        <w:tcPr>
          <w:tcW w:w="2552" w:type="dxa"/>
          <w:shd w:val="clear" w:color="auto" w:fill="auto"/>
        </w:tcPr>
        <w:p w:rsidR="006461C4" w:rsidRPr="008F2CCC" w:rsidRDefault="006461C4" w:rsidP="006461C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6461C4" w:rsidRDefault="006461C4" w:rsidP="006461C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Coyotepec</w:t>
          </w:r>
        </w:p>
      </w:tc>
    </w:tr>
    <w:tr w:rsidR="006461C4" w:rsidRPr="008F2CCC" w:rsidTr="00B15D87">
      <w:tc>
        <w:tcPr>
          <w:tcW w:w="4253" w:type="dxa"/>
          <w:vMerge/>
          <w:shd w:val="clear" w:color="auto" w:fill="auto"/>
        </w:tcPr>
        <w:p w:rsidR="006461C4" w:rsidRPr="008F2CCC" w:rsidRDefault="006461C4" w:rsidP="006461C4">
          <w:pPr>
            <w:rPr>
              <w:rFonts w:ascii="Palatino Linotype" w:hAnsi="Palatino Linotype"/>
              <w:b/>
              <w:sz w:val="22"/>
              <w:szCs w:val="22"/>
              <w:lang w:val="es-ES_tradnl"/>
            </w:rPr>
          </w:pPr>
        </w:p>
      </w:tc>
      <w:tc>
        <w:tcPr>
          <w:tcW w:w="2552" w:type="dxa"/>
          <w:shd w:val="clear" w:color="auto" w:fill="auto"/>
        </w:tcPr>
        <w:p w:rsidR="006461C4" w:rsidRPr="008F2CCC" w:rsidRDefault="006461C4" w:rsidP="006461C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6461C4" w:rsidRPr="008F2CCC" w:rsidRDefault="006461C4" w:rsidP="006461C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461C4" w:rsidRDefault="006461C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77A1"/>
    <w:multiLevelType w:val="multilevel"/>
    <w:tmpl w:val="3DB82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85618E"/>
    <w:multiLevelType w:val="multilevel"/>
    <w:tmpl w:val="93602F4A"/>
    <w:lvl w:ilvl="0">
      <w:start w:val="1"/>
      <w:numFmt w:val="decimal"/>
      <w:lvlText w:val="%1."/>
      <w:lvlJc w:val="left"/>
      <w:pPr>
        <w:ind w:left="502" w:hanging="360"/>
      </w:pPr>
      <w:rPr>
        <w:b/>
        <w:i w:val="0"/>
        <w:smallCaps/>
        <w:sz w:val="28"/>
        <w:szCs w:val="28"/>
      </w:rPr>
    </w:lvl>
    <w:lvl w:ilvl="1">
      <w:start w:val="1"/>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730D18"/>
    <w:multiLevelType w:val="multilevel"/>
    <w:tmpl w:val="2B40C16C"/>
    <w:lvl w:ilvl="0">
      <w:start w:val="1"/>
      <w:numFmt w:val="upperRoman"/>
      <w:lvlText w:val="%1."/>
      <w:lvlJc w:val="left"/>
      <w:pPr>
        <w:ind w:left="2062" w:hanging="360"/>
      </w:pPr>
      <w:rPr>
        <w:b/>
        <w:i w:val="0"/>
        <w:smallCaps/>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CD38CC"/>
    <w:multiLevelType w:val="multilevel"/>
    <w:tmpl w:val="489E5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CB15C2"/>
    <w:multiLevelType w:val="multilevel"/>
    <w:tmpl w:val="BA98F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725588"/>
    <w:multiLevelType w:val="multilevel"/>
    <w:tmpl w:val="163C4712"/>
    <w:lvl w:ilvl="0">
      <w:start w:val="1"/>
      <w:numFmt w:val="decimal"/>
      <w:lvlText w:val="%1."/>
      <w:lvlJc w:val="left"/>
      <w:pPr>
        <w:ind w:left="720" w:hanging="360"/>
      </w:pPr>
      <w:rPr>
        <w:rFonts w:ascii="Palatino Linotype" w:eastAsia="Palatino Linotype" w:hAnsi="Palatino Linotype" w:cs="Palatino Linotype"/>
        <w:b/>
        <w:small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BE"/>
    <w:rsid w:val="00035E95"/>
    <w:rsid w:val="001208A4"/>
    <w:rsid w:val="001E6909"/>
    <w:rsid w:val="003A5457"/>
    <w:rsid w:val="006461C4"/>
    <w:rsid w:val="007177E9"/>
    <w:rsid w:val="007B7E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CB43F9A-E032-41ED-BE78-3D22C19D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table" w:customStyle="1" w:styleId="Tablaconcuadrcula1">
    <w:name w:val="Tabla con cuadrícula1"/>
    <w:basedOn w:val="Tablanormal"/>
    <w:next w:val="Tablaconcuadrcula"/>
    <w:uiPriority w:val="39"/>
    <w:rsid w:val="0018186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style>
  <w:style w:type="numbering" w:customStyle="1" w:styleId="Estiloimportado12">
    <w:name w:val="Estilo importado 12"/>
    <w:rsid w:val="00E77CA5"/>
  </w:style>
  <w:style w:type="table" w:customStyle="1" w:styleId="Tablaconcuadrcula121">
    <w:name w:val="Tabla con cuadrícula121"/>
    <w:basedOn w:val="Tablanormal"/>
    <w:next w:val="Tablaconcuadrcula"/>
    <w:uiPriority w:val="5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style>
  <w:style w:type="numbering" w:customStyle="1" w:styleId="Estiloimportado112">
    <w:name w:val="Estilo importado 112"/>
    <w:rsid w:val="004F5445"/>
  </w:style>
  <w:style w:type="table" w:customStyle="1" w:styleId="Tablaconcuadrcula1122">
    <w:name w:val="Tabla con cuadrícula1122"/>
    <w:basedOn w:val="Tablanormal"/>
    <w:next w:val="Tablaconcuadrcula"/>
    <w:uiPriority w:val="39"/>
    <w:rsid w:val="004F544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style>
  <w:style w:type="numbering" w:customStyle="1" w:styleId="Estiloimportado14">
    <w:name w:val="Estilo importado 14"/>
    <w:rsid w:val="002D349E"/>
  </w:style>
  <w:style w:type="table" w:customStyle="1" w:styleId="Tablaconcuadrcula122">
    <w:name w:val="Tabla con cuadrícula122"/>
    <w:basedOn w:val="Tablanormal"/>
    <w:next w:val="Tablaconcuadrcula"/>
    <w:uiPriority w:val="5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8pV2w6pIHjivyAMcm/rJYO8HRg==">AMUW2mUd6t1CWJGKY04ROxuCsY88GytTrbkWe+wXWE1jsdd/MLAZLbmh3lz05HUxp/ZiaxeFwzjtFl0E8HvxBXBQzMz+p5N2F3w1vvMKXGTClQqWd/XwWq5XBJMA56uhcp4B0dslpTfHqS3G3dNmI05xbYOClIFs7Q==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9647</Words>
  <Characters>53064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LUISITO</cp:lastModifiedBy>
  <cp:revision>2</cp:revision>
  <dcterms:created xsi:type="dcterms:W3CDTF">2020-08-26T20:01:00Z</dcterms:created>
  <dcterms:modified xsi:type="dcterms:W3CDTF">2020-08-26T20:01:00Z</dcterms:modified>
</cp:coreProperties>
</file>