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D32" w:rsidRDefault="00FF18EF">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1B1D32" w:rsidRPr="00096EE1" w:rsidRDefault="00FF18EF">
      <w:pPr>
        <w:spacing w:beforeAutospacing="1" w:afterAutospacing="1" w:line="360" w:lineRule="auto"/>
        <w:jc w:val="both"/>
        <w:rPr>
          <w:rFonts w:ascii="Palatino Linotype" w:hAnsi="Palatino Linotype"/>
          <w:b/>
          <w:lang w:val="es-ES_tradnl"/>
        </w:rPr>
      </w:pPr>
      <w:r w:rsidRPr="00096EE1">
        <w:rPr>
          <w:rFonts w:ascii="Palatino Linotype" w:hAnsi="Palatino Linotype"/>
          <w:b/>
        </w:rPr>
        <w:t>VISTO</w:t>
      </w:r>
      <w:r w:rsidRPr="00096EE1">
        <w:rPr>
          <w:rFonts w:ascii="Palatino Linotype" w:hAnsi="Palatino Linotype"/>
        </w:rPr>
        <w:t xml:space="preserve"> el expediente formado con motivo del recurso de revisión</w:t>
      </w:r>
      <w:r w:rsidRPr="00096EE1">
        <w:rPr>
          <w:rFonts w:ascii="Verdana" w:hAnsi="Verdana"/>
          <w:b/>
          <w:bCs/>
          <w:color w:val="FF0000"/>
        </w:rPr>
        <w:t xml:space="preserve"> </w:t>
      </w:r>
      <w:r w:rsidRPr="00096EE1">
        <w:rPr>
          <w:rFonts w:ascii="Palatino Linotype" w:hAnsi="Palatino Linotype"/>
          <w:b/>
          <w:bCs/>
        </w:rPr>
        <w:t>00927/INFOEM/IP/RR/2020</w:t>
      </w:r>
      <w:r w:rsidRPr="00096EE1">
        <w:rPr>
          <w:rFonts w:ascii="Palatino Linotype" w:hAnsi="Palatino Linotype"/>
        </w:rPr>
        <w:t>, promovido por el C.</w:t>
      </w:r>
      <w:r w:rsidR="00096EE1" w:rsidRPr="00096EE1">
        <w:rPr>
          <w:rFonts w:ascii="Palatino Linotype" w:hAnsi="Palatino Linotype"/>
          <w:b/>
          <w:lang w:val="es-ES_tradnl"/>
        </w:rPr>
        <w:t xml:space="preserve"> </w:t>
      </w:r>
      <w:r w:rsidR="00096EE1" w:rsidRPr="00096EE1">
        <w:rPr>
          <w:rFonts w:ascii="Palatino Linotype" w:hAnsi="Palatino Linotype"/>
          <w:b/>
          <w:lang w:val="es-ES_tradnl"/>
        </w:rPr>
        <w:t>XXXX</w:t>
      </w:r>
      <w:r w:rsidR="00096EE1" w:rsidRPr="00096EE1">
        <w:t xml:space="preserve"> </w:t>
      </w:r>
      <w:r w:rsidR="00096EE1" w:rsidRPr="00096EE1">
        <w:rPr>
          <w:rFonts w:ascii="Palatino Linotype" w:hAnsi="Palatino Linotype"/>
          <w:b/>
          <w:lang w:val="es-ES_tradnl"/>
        </w:rPr>
        <w:t>XXXXXX XXXXXX</w:t>
      </w:r>
      <w:r w:rsidRPr="00096EE1">
        <w:rPr>
          <w:rFonts w:ascii="Palatino Linotype" w:hAnsi="Palatino Linotype" w:cs="Arial"/>
        </w:rPr>
        <w:t>, en lo sucesivo</w:t>
      </w:r>
      <w:r w:rsidRPr="00096EE1">
        <w:rPr>
          <w:rFonts w:ascii="Palatino Linotype" w:hAnsi="Palatino Linotype" w:cs="Arial"/>
          <w:b/>
        </w:rPr>
        <w:t xml:space="preserve"> EL RECURRENTE</w:t>
      </w:r>
      <w:r w:rsidRPr="00096EE1">
        <w:rPr>
          <w:rFonts w:ascii="Palatino Linotype" w:hAnsi="Palatino Linotype"/>
        </w:rPr>
        <w:t>, en contra de la respuesta emitida por la</w:t>
      </w:r>
      <w:r w:rsidRPr="00096EE1">
        <w:rPr>
          <w:rFonts w:ascii="Palatino Linotype" w:hAnsi="Palatino Linotype"/>
          <w:b/>
        </w:rPr>
        <w:t xml:space="preserve"> Secretaría de Educación,</w:t>
      </w:r>
      <w:r w:rsidRPr="00096EE1">
        <w:rPr>
          <w:rFonts w:ascii="Palatino Linotype" w:hAnsi="Palatino Linotype"/>
        </w:rPr>
        <w:t xml:space="preserve"> en lo sucesivo </w:t>
      </w:r>
      <w:r w:rsidRPr="00096EE1">
        <w:rPr>
          <w:rFonts w:ascii="Palatino Linotype" w:hAnsi="Palatino Linotype"/>
          <w:b/>
        </w:rPr>
        <w:t>EL SUJETO OBLIGADO</w:t>
      </w:r>
      <w:r w:rsidRPr="00096EE1">
        <w:rPr>
          <w:rFonts w:ascii="Palatino Linotype" w:hAnsi="Palatino Linotype"/>
        </w:rPr>
        <w:t xml:space="preserve">, se procede a dictar la presente resolución con base en lo siguiente: </w:t>
      </w:r>
    </w:p>
    <w:p w:rsidR="001B1D32" w:rsidRDefault="00FF18EF">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1B1D32" w:rsidRDefault="00FF18EF">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veinticuatro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00063/SE/IP/2020</w:t>
      </w:r>
      <w:r>
        <w:rPr>
          <w:rFonts w:ascii="Palatino Linotype" w:hAnsi="Palatino Linotype"/>
        </w:rPr>
        <w:t>, mediante la cual requirió lo siguiente:</w:t>
      </w:r>
    </w:p>
    <w:p w:rsidR="001B1D32" w:rsidRDefault="00FF18EF">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“SI EXISTE NORMATIVIDAD DONDE EL RECESO ESCOLAR NO APLIQUE PARA SERVIDORES PUBLICOS DOCENTES QUE SE ENCUENTRAN LABORANDO EN LA DIRECCION GENERAL DE EDUCACION MEDIA SUPERIOR, SI EXISTERA CUAL ES …… QUE NOS DIGA MEDIANTE OFICIO POR DIRECTOR GENERAL DE EDUCACION MEDIA SUPERIOR, QUE PERIDO VACIONAL Y QUE RECESO ESCOLAR CUENTAN LOS SERVIDORES PUBLICOS DOCENTES ADSCRITOS A LA DIRECCION GENERAL DE EDUCACION MEDIA SUPERIOR EL CUAL DEBERA IR BIEN FUNDAMENTADO DE ACUERDO A LO PUBLICADO EN GACETA DE GOBIERNO.” </w:t>
      </w:r>
      <w:r>
        <w:rPr>
          <w:rFonts w:ascii="Palatino Linotype" w:hAnsi="Palatino Linotype"/>
          <w:sz w:val="22"/>
          <w:szCs w:val="22"/>
        </w:rPr>
        <w:t>(Sic)</w:t>
      </w:r>
      <w:bookmarkStart w:id="0" w:name="_Ref531692384"/>
      <w:bookmarkStart w:id="1" w:name="_Ref516764469"/>
    </w:p>
    <w:p w:rsidR="001B1D32" w:rsidRDefault="00FF18EF">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1B1D32" w:rsidRDefault="001B1D32">
      <w:pPr>
        <w:spacing w:before="160" w:after="160"/>
        <w:ind w:right="709"/>
        <w:jc w:val="both"/>
        <w:rPr>
          <w:rFonts w:ascii="Palatino Linotype" w:hAnsi="Palatino Linotype"/>
          <w:sz w:val="22"/>
          <w:szCs w:val="22"/>
        </w:rPr>
      </w:pPr>
    </w:p>
    <w:p w:rsidR="001B1D32" w:rsidRDefault="00FF18EF">
      <w:pPr>
        <w:pStyle w:val="Prrafodelista"/>
        <w:numPr>
          <w:ilvl w:val="0"/>
          <w:numId w:val="2"/>
        </w:numPr>
        <w:tabs>
          <w:tab w:val="left" w:pos="0"/>
        </w:tabs>
        <w:spacing w:line="360" w:lineRule="auto"/>
        <w:ind w:left="0" w:firstLine="0"/>
        <w:jc w:val="both"/>
        <w:rPr>
          <w:rFonts w:ascii="Palatino Linotype" w:hAnsi="Palatino Linotype" w:cs="Arial"/>
        </w:rPr>
      </w:pPr>
      <w:r>
        <w:rPr>
          <w:rFonts w:ascii="Palatino Linotype" w:hAnsi="Palatino Linotype" w:cs="Arial"/>
        </w:rPr>
        <w:t xml:space="preserve">En cumplimiento al artículo 162 de la Ley de Transparencia y Acceso a la Información Pública del Estado de México y Municipios, el veintisiete y veintinueve de enero dos mil veinte, el Titular de la Unidad de Transparencia del </w:t>
      </w:r>
      <w:r>
        <w:rPr>
          <w:rFonts w:ascii="Palatino Linotype" w:hAnsi="Palatino Linotype" w:cs="Arial"/>
          <w:b/>
        </w:rPr>
        <w:t>SUJETO OBLIGADO</w:t>
      </w:r>
      <w:r>
        <w:rPr>
          <w:rFonts w:ascii="Palatino Linotype" w:hAnsi="Palatino Linotype" w:cs="Arial"/>
        </w:rPr>
        <w:t xml:space="preserve">, mediante los folios números </w:t>
      </w:r>
      <w:r>
        <w:rPr>
          <w:rFonts w:ascii="Palatino Linotype" w:hAnsi="Palatino Linotype" w:cs="Arial"/>
          <w:b/>
          <w:bCs/>
        </w:rPr>
        <w:t xml:space="preserve">00063/SE/IP/2020/TSP/0001 </w:t>
      </w:r>
      <w:r>
        <w:rPr>
          <w:rFonts w:ascii="Palatino Linotype" w:hAnsi="Palatino Linotype" w:cs="Arial"/>
          <w:bCs/>
        </w:rPr>
        <w:t>y</w:t>
      </w:r>
      <w:r>
        <w:rPr>
          <w:rFonts w:ascii="Palatino Linotype" w:hAnsi="Palatino Linotype" w:cs="Arial"/>
          <w:b/>
          <w:bCs/>
        </w:rPr>
        <w:t xml:space="preserve"> 00063/SE/IP/2020/TSP/0001</w:t>
      </w:r>
      <w:r>
        <w:rPr>
          <w:rFonts w:ascii="Palatino Linotype" w:hAnsi="Palatino Linotype" w:cs="Arial"/>
          <w:b/>
        </w:rPr>
        <w:t>,</w:t>
      </w:r>
      <w:r>
        <w:rPr>
          <w:rFonts w:ascii="Palatino Linotype" w:hAnsi="Palatino Linotype" w:cs="Arial"/>
        </w:rPr>
        <w:t xml:space="preserve"> </w:t>
      </w:r>
      <w:r>
        <w:rPr>
          <w:rFonts w:ascii="Palatino Linotype" w:hAnsi="Palatino Linotype"/>
          <w:bCs/>
        </w:rPr>
        <w:t>turnó el requerimiento de información al Servidor Público Habilitado de la Dirección General de Educación Media Superior, a fin de colmar la solicitud de acceso a la información; tal y como, se aprecia en la imagen siguiente:</w:t>
      </w:r>
    </w:p>
    <w:p w:rsidR="001B1D32" w:rsidRDefault="001B1D32">
      <w:pPr>
        <w:pStyle w:val="Prrafodelista"/>
        <w:tabs>
          <w:tab w:val="left" w:pos="0"/>
        </w:tabs>
        <w:spacing w:line="360" w:lineRule="auto"/>
        <w:ind w:left="0"/>
        <w:jc w:val="both"/>
        <w:rPr>
          <w:rFonts w:ascii="Palatino Linotype" w:hAnsi="Palatino Linotype" w:cs="Arial"/>
        </w:rPr>
      </w:pPr>
    </w:p>
    <w:p w:rsidR="001B1D32" w:rsidRDefault="00FF18EF">
      <w:pPr>
        <w:pStyle w:val="Prrafodelista"/>
        <w:tabs>
          <w:tab w:val="left" w:pos="709"/>
        </w:tabs>
        <w:spacing w:line="360" w:lineRule="auto"/>
        <w:ind w:left="0"/>
        <w:jc w:val="both"/>
        <w:rPr>
          <w:rFonts w:ascii="Palatino Linotype" w:hAnsi="Palatino Linotype" w:cs="Arial"/>
        </w:rPr>
      </w:pPr>
      <w:r>
        <w:rPr>
          <w:noProof/>
          <w:lang w:eastAsia="es-MX"/>
        </w:rPr>
        <w:drawing>
          <wp:inline distT="0" distB="0" distL="0" distR="0">
            <wp:extent cx="5859780" cy="982345"/>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rcRect l="3027" t="35384" r="7161" b="54646"/>
                    <a:stretch>
                      <a:fillRect/>
                    </a:stretch>
                  </pic:blipFill>
                  <pic:spPr bwMode="auto">
                    <a:xfrm>
                      <a:off x="0" y="0"/>
                      <a:ext cx="5859780" cy="982345"/>
                    </a:xfrm>
                    <a:prstGeom prst="rect">
                      <a:avLst/>
                    </a:prstGeom>
                  </pic:spPr>
                </pic:pic>
              </a:graphicData>
            </a:graphic>
          </wp:inline>
        </w:drawing>
      </w:r>
    </w:p>
    <w:p w:rsidR="001B1D32" w:rsidRDefault="001B1D32">
      <w:pPr>
        <w:pStyle w:val="Prrafodelista"/>
        <w:tabs>
          <w:tab w:val="left" w:pos="709"/>
        </w:tabs>
        <w:spacing w:line="360" w:lineRule="auto"/>
        <w:ind w:left="0"/>
        <w:jc w:val="both"/>
        <w:rPr>
          <w:rFonts w:ascii="Palatino Linotype" w:hAnsi="Palatino Linotype" w:cs="Arial"/>
        </w:rPr>
      </w:pPr>
    </w:p>
    <w:p w:rsidR="001B1D32" w:rsidRDefault="00FF18EF">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cuatro de febrero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1B1D32" w:rsidRDefault="001B1D32">
      <w:pPr>
        <w:ind w:left="851" w:right="899"/>
        <w:jc w:val="both"/>
        <w:rPr>
          <w:rFonts w:ascii="Palatino Linotype" w:hAnsi="Palatino Linotype" w:cs="Arial"/>
          <w:i/>
          <w:sz w:val="22"/>
          <w:szCs w:val="22"/>
        </w:rPr>
      </w:pPr>
    </w:p>
    <w:p w:rsidR="001B1D32" w:rsidRDefault="00FF18EF">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B1D32" w:rsidRDefault="001B1D32">
      <w:pPr>
        <w:ind w:left="851" w:right="899"/>
        <w:jc w:val="both"/>
        <w:rPr>
          <w:rFonts w:ascii="Palatino Linotype" w:hAnsi="Palatino Linotype" w:cs="Arial"/>
          <w:i/>
          <w:sz w:val="22"/>
          <w:szCs w:val="22"/>
        </w:rPr>
      </w:pPr>
    </w:p>
    <w:p w:rsidR="001B1D32" w:rsidRDefault="00FF18EF">
      <w:pPr>
        <w:ind w:left="851" w:right="899"/>
        <w:jc w:val="both"/>
        <w:rPr>
          <w:rFonts w:ascii="Palatino Linotype" w:hAnsi="Palatino Linotype" w:cs="Arial"/>
          <w:i/>
          <w:sz w:val="22"/>
          <w:szCs w:val="22"/>
        </w:rPr>
      </w:pPr>
      <w:r>
        <w:rPr>
          <w:rFonts w:ascii="Palatino Linotype" w:hAnsi="Palatino Linotype" w:cs="Arial"/>
          <w:i/>
          <w:sz w:val="22"/>
          <w:szCs w:val="22"/>
        </w:rPr>
        <w:t>De conformidad con lo dispuesto en el artículo 163 de la Ley de Transparencia y Acceso a la Información Pública del Estado de México y Municipios, se adjunta un archivo correspondiente al acuerdo de fecha 04 de febrero de dos mil veinte signado por el Titular de la Unidad de Transparencia, así mismo se anexan archivos con información remitida por el Servidor Público Habilitado. (Sic)</w:t>
      </w:r>
    </w:p>
    <w:p w:rsidR="001B1D32" w:rsidRDefault="001B1D32">
      <w:pPr>
        <w:tabs>
          <w:tab w:val="left" w:pos="709"/>
        </w:tabs>
        <w:spacing w:line="360" w:lineRule="auto"/>
        <w:jc w:val="both"/>
        <w:rPr>
          <w:rFonts w:ascii="Palatino Linotype" w:hAnsi="Palatino Linotype" w:cs="Arial"/>
          <w:b/>
          <w:sz w:val="22"/>
          <w:szCs w:val="22"/>
        </w:rPr>
      </w:pPr>
    </w:p>
    <w:p w:rsidR="001B1D32" w:rsidRDefault="00FF18EF">
      <w:pPr>
        <w:tabs>
          <w:tab w:val="left" w:pos="709"/>
        </w:tabs>
        <w:spacing w:line="360" w:lineRule="auto"/>
        <w:jc w:val="both"/>
        <w:rPr>
          <w:rFonts w:ascii="Palatino Linotype" w:hAnsi="Palatino Linotype" w:cs="Arial"/>
        </w:rPr>
      </w:pPr>
      <w:r>
        <w:rPr>
          <w:rFonts w:ascii="Palatino Linotype" w:hAnsi="Palatino Linotype" w:cs="Arial"/>
        </w:rPr>
        <w:lastRenderedPageBreak/>
        <w:t>Así mismo, adjuntó a la respuesta, los siguientes archivos electrónicos:</w:t>
      </w:r>
    </w:p>
    <w:p w:rsidR="001B1D32" w:rsidRDefault="001B1D32">
      <w:pPr>
        <w:tabs>
          <w:tab w:val="left" w:pos="709"/>
        </w:tabs>
        <w:spacing w:line="360" w:lineRule="auto"/>
        <w:jc w:val="both"/>
        <w:rPr>
          <w:rFonts w:ascii="Palatino Linotype" w:hAnsi="Palatino Linotype" w:cs="Arial"/>
        </w:rPr>
      </w:pPr>
    </w:p>
    <w:p w:rsidR="001B1D32" w:rsidRDefault="00FF18EF">
      <w:pPr>
        <w:pStyle w:val="Prrafodelista"/>
        <w:numPr>
          <w:ilvl w:val="0"/>
          <w:numId w:val="5"/>
        </w:numPr>
        <w:tabs>
          <w:tab w:val="left" w:pos="709"/>
        </w:tabs>
        <w:spacing w:line="360" w:lineRule="auto"/>
        <w:jc w:val="both"/>
        <w:rPr>
          <w:rFonts w:ascii="Palatino Linotype" w:hAnsi="Palatino Linotype" w:cs="Arial"/>
          <w:b/>
          <w:i/>
        </w:rPr>
      </w:pPr>
      <w:r>
        <w:rPr>
          <w:rFonts w:ascii="Palatino Linotype" w:hAnsi="Palatino Linotype" w:cs="Arial"/>
          <w:b/>
          <w:i/>
        </w:rPr>
        <w:t xml:space="preserve">res. SPH 000630001.pdf; </w:t>
      </w:r>
      <w:r>
        <w:rPr>
          <w:rFonts w:ascii="Palatino Linotype" w:hAnsi="Palatino Linotype" w:cs="Arial"/>
        </w:rPr>
        <w:t xml:space="preserve">consistente en el oficio de fecha treinta de enero de dos mil veinte, signado por el </w:t>
      </w:r>
      <w:r>
        <w:rPr>
          <w:rFonts w:ascii="Palatino Linotype" w:hAnsi="Palatino Linotype"/>
          <w:bCs/>
        </w:rPr>
        <w:t xml:space="preserve">Director General de Educación Media Superior, mediante el cual informó que no existe normatividad donde el receso escolar no aplique para servidores públicos docentes que se encuentran laborando en la Dirección General de Educación Media Superior. De igual forma, refirió que respecto al periodo vacacional y el receso escolar con que cuentan los servidores públicos docentes adscritos a la Dirección General de Educación Media Superior, el particular podría consultar el Calendario Escolar 2019-2020, el cual fue publicado en la Gaceta de Gobierno del Estado Libre y Soberano de México, el 5 de agosto de 2019, visible en la página electrónica </w:t>
      </w:r>
      <w:hyperlink r:id="rId9">
        <w:r>
          <w:rPr>
            <w:rStyle w:val="Hipervnculo"/>
            <w:rFonts w:ascii="Palatino Linotype" w:hAnsi="Palatino Linotype"/>
          </w:rPr>
          <w:t>https://legislacion.edomex.gob.mx/ve_periodico_oficial</w:t>
        </w:r>
      </w:hyperlink>
      <w:r>
        <w:rPr>
          <w:rFonts w:ascii="Palatino Linotype" w:hAnsi="Palatino Linotype"/>
          <w:color w:val="0000FF"/>
        </w:rPr>
        <w:t>;</w:t>
      </w:r>
      <w:r>
        <w:rPr>
          <w:color w:val="0000FF"/>
        </w:rPr>
        <w:t xml:space="preserve"> </w:t>
      </w:r>
      <w:r>
        <w:rPr>
          <w:rFonts w:ascii="Palatino Linotype" w:hAnsi="Palatino Linotype"/>
        </w:rPr>
        <w:t>así como, el Reglamento de Condiciones Generales del Trabajo de los Servidores Públicos Docentes del Subsistema Educativo Estatal, en su CAPÍTULO XI DE LOS DESCANSOS, articulo 123 y CAPÍTULO XII DE LAS VACACIONES, en sus artículos 124 y 125 y artículo sexto del Acuerdo por el que se establece el “CALENDARIO OFICIAL QUE REGIRÁ DURANTE EL AÑO 2020”, publicado en Gaceta de Gobierno el 26 de diciembre de 2019.</w:t>
      </w:r>
    </w:p>
    <w:p w:rsidR="001B1D32" w:rsidRDefault="00FF18EF">
      <w:pPr>
        <w:pStyle w:val="Prrafodelista"/>
        <w:numPr>
          <w:ilvl w:val="0"/>
          <w:numId w:val="5"/>
        </w:numPr>
        <w:tabs>
          <w:tab w:val="left" w:pos="709"/>
        </w:tabs>
        <w:spacing w:line="360" w:lineRule="auto"/>
        <w:jc w:val="both"/>
        <w:rPr>
          <w:rFonts w:ascii="Palatino Linotype" w:hAnsi="Palatino Linotype" w:cs="Arial"/>
          <w:b/>
          <w:i/>
        </w:rPr>
      </w:pPr>
      <w:r>
        <w:rPr>
          <w:rFonts w:ascii="Palatino Linotype" w:hAnsi="Palatino Linotype" w:cs="Arial"/>
          <w:b/>
          <w:i/>
        </w:rPr>
        <w:t xml:space="preserve">Acuerdo 000630001.pdf; </w:t>
      </w:r>
      <w:r>
        <w:rPr>
          <w:rFonts w:ascii="Palatino Linotype" w:hAnsi="Palatino Linotype" w:cs="Arial"/>
        </w:rPr>
        <w:t xml:space="preserve">consistente en el oficio de fecha cuatro de febrero de dos mil veinte, signado por el Encargado de la Unidad de Transparencia, mediante el cual señaló que se anexaba a la respuesta el oficio signado por el Director General de Educación Media Superior y el Periódico Oficial, Gaceta de Gobierno de fecha 5 de agosto de 2019, donde se estableció el calendario escolar 2019 y </w:t>
      </w:r>
      <w:r>
        <w:rPr>
          <w:rFonts w:ascii="Palatino Linotype" w:hAnsi="Palatino Linotype" w:cs="Arial"/>
        </w:rPr>
        <w:lastRenderedPageBreak/>
        <w:t xml:space="preserve">2020 para instituciones educativas dependientes de la Dirección General de Educación Media Superior.   </w:t>
      </w:r>
    </w:p>
    <w:p w:rsidR="001B1D32" w:rsidRDefault="00FF18EF">
      <w:pPr>
        <w:pStyle w:val="Prrafodelista"/>
        <w:numPr>
          <w:ilvl w:val="0"/>
          <w:numId w:val="5"/>
        </w:numPr>
        <w:tabs>
          <w:tab w:val="left" w:pos="709"/>
        </w:tabs>
        <w:spacing w:line="360" w:lineRule="auto"/>
        <w:jc w:val="both"/>
        <w:rPr>
          <w:rFonts w:ascii="Palatino Linotype" w:hAnsi="Palatino Linotype" w:cs="Arial"/>
          <w:b/>
          <w:i/>
        </w:rPr>
      </w:pPr>
      <w:r>
        <w:rPr>
          <w:rFonts w:ascii="Palatino Linotype" w:hAnsi="Palatino Linotype" w:cs="Arial"/>
          <w:b/>
          <w:i/>
        </w:rPr>
        <w:t xml:space="preserve">ago051(1) Calendario Media Superior y Superior.pdf,  </w:t>
      </w:r>
      <w:r>
        <w:rPr>
          <w:rFonts w:ascii="Palatino Linotype" w:hAnsi="Palatino Linotype" w:cs="Arial"/>
        </w:rPr>
        <w:t>consistente en el</w:t>
      </w:r>
      <w:r>
        <w:rPr>
          <w:rFonts w:ascii="Palatino Linotype" w:hAnsi="Palatino Linotype" w:cs="Arial"/>
          <w:b/>
          <w:i/>
        </w:rPr>
        <w:t xml:space="preserve"> </w:t>
      </w:r>
      <w:r>
        <w:rPr>
          <w:rFonts w:ascii="Palatino Linotype" w:hAnsi="Palatino Linotype" w:cs="Arial"/>
        </w:rPr>
        <w:t xml:space="preserve">Periódico Oficial, Gaceta de Gobierno de fecha 5 de agosto de 2019, donde se estableció el calendario escolar 2019 y 2020 para instituciones educativas dependientes de la Dirección General de Educación Media Superior.   </w:t>
      </w:r>
    </w:p>
    <w:p w:rsidR="001B1D32" w:rsidRDefault="001B1D32">
      <w:pPr>
        <w:tabs>
          <w:tab w:val="left" w:pos="709"/>
        </w:tabs>
        <w:spacing w:line="360" w:lineRule="auto"/>
        <w:jc w:val="both"/>
        <w:rPr>
          <w:rFonts w:ascii="Palatino Linotype" w:hAnsi="Palatino Linotype" w:cs="Arial"/>
          <w:b/>
          <w:sz w:val="22"/>
          <w:szCs w:val="22"/>
        </w:rPr>
      </w:pPr>
    </w:p>
    <w:p w:rsidR="001B1D32" w:rsidRDefault="00FF18EF">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siete de febrero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00927/INFOEM/IP/RR/2020</w:t>
      </w:r>
      <w:r>
        <w:rPr>
          <w:rFonts w:ascii="Palatino Linotype" w:hAnsi="Palatino Linotype" w:cs="Arial"/>
        </w:rPr>
        <w:t>, en el que señaló como acto impugnado, así como</w:t>
      </w:r>
      <w:r>
        <w:rPr>
          <w:rFonts w:ascii="Palatino Linotype" w:hAnsi="Palatino Linotype"/>
        </w:rPr>
        <w:t xml:space="preserve"> razones o motivos de inconformidad</w:t>
      </w:r>
      <w:r>
        <w:rPr>
          <w:rFonts w:ascii="Palatino Linotype" w:hAnsi="Palatino Linotype" w:cs="Arial"/>
        </w:rPr>
        <w:t>, lo siguiente:</w:t>
      </w:r>
    </w:p>
    <w:p w:rsidR="001B1D32" w:rsidRDefault="00FF18EF">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“NO ESPECIFICA SI APLICA QUE PERIODO VACIONAL Y QUE PERIODO DE RECESO ESCOLAR TIEIEN LO SERVIDORES PUBLICOS ADCRITOS A LA DIRECCION GENERAL DE EDUCACION MEDIA SUPERIOR.”</w:t>
      </w:r>
      <w:r>
        <w:rPr>
          <w:rFonts w:ascii="Palatino Linotype" w:hAnsi="Palatino Linotype" w:cs="Arial"/>
          <w:sz w:val="22"/>
          <w:szCs w:val="22"/>
          <w:lang w:eastAsia="es-MX"/>
        </w:rPr>
        <w:t xml:space="preserve"> (Sic)</w:t>
      </w:r>
    </w:p>
    <w:p w:rsidR="001B1D32" w:rsidRDefault="00FF18EF">
      <w:pPr>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siete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1B1D32" w:rsidRDefault="00FF18EF">
      <w:pPr>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trece de febrero de dos mil veinte</w:t>
      </w:r>
      <w:r>
        <w:rPr>
          <w:rFonts w:ascii="Palatino Linotype" w:hAnsi="Palatino Linotype" w:cs="Arial"/>
        </w:rPr>
        <w:t xml:space="preserve">, atento a lo dispuesto en el artículo </w:t>
      </w:r>
      <w:r>
        <w:rPr>
          <w:rFonts w:ascii="Palatino Linotype" w:hAnsi="Palatino Linotype" w:cs="Arial"/>
        </w:rPr>
        <w:lastRenderedPageBreak/>
        <w:t xml:space="preserve">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1B1D32" w:rsidRDefault="00FF18EF">
      <w:pPr>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 xml:space="preserve">EL RECURRENTE </w:t>
      </w:r>
      <w:r>
        <w:rPr>
          <w:rFonts w:ascii="Palatino Linotype" w:hAnsi="Palatino Linotype" w:cs="Arial"/>
        </w:rPr>
        <w:t xml:space="preserve">no presentó manifestaciones y alegatos, ni ofreció los medios de prueba que a su derecho convinieran. Por su parte, </w:t>
      </w:r>
      <w:r>
        <w:rPr>
          <w:rFonts w:ascii="Palatino Linotype" w:hAnsi="Palatino Linotype" w:cs="Arial"/>
          <w:b/>
        </w:rPr>
        <w:t>EL SUJETO OBLIGADO</w:t>
      </w:r>
      <w:r>
        <w:rPr>
          <w:rFonts w:ascii="Palatino Linotype" w:hAnsi="Palatino Linotype" w:cs="Arial"/>
        </w:rPr>
        <w:t xml:space="preserve"> no rindió el Informe Justificado, como se advierte en la siguiente imagen:</w:t>
      </w:r>
      <w:r>
        <w:rPr>
          <w:rFonts w:ascii="Palatino Linotype" w:hAnsi="Palatino Linotype"/>
        </w:rPr>
        <w:tab/>
      </w:r>
    </w:p>
    <w:p w:rsidR="001B1D32" w:rsidRDefault="00FF18EF">
      <w:pPr>
        <w:spacing w:before="240" w:after="240" w:line="360" w:lineRule="auto"/>
        <w:jc w:val="both"/>
        <w:rPr>
          <w:rFonts w:ascii="Palatino Linotype" w:hAnsi="Palatino Linotype"/>
        </w:rPr>
      </w:pPr>
      <w:r>
        <w:rPr>
          <w:noProof/>
          <w:lang w:eastAsia="es-MX"/>
        </w:rPr>
        <w:drawing>
          <wp:inline distT="0" distB="0" distL="0" distR="0">
            <wp:extent cx="5834380" cy="196786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0"/>
                    <a:srcRect l="11844" t="34783" r="12121" b="41649"/>
                    <a:stretch>
                      <a:fillRect/>
                    </a:stretch>
                  </pic:blipFill>
                  <pic:spPr bwMode="auto">
                    <a:xfrm>
                      <a:off x="0" y="0"/>
                      <a:ext cx="5834380" cy="1967865"/>
                    </a:xfrm>
                    <a:prstGeom prst="rect">
                      <a:avLst/>
                    </a:prstGeom>
                  </pic:spPr>
                </pic:pic>
              </a:graphicData>
            </a:graphic>
          </wp:inline>
        </w:drawing>
      </w:r>
    </w:p>
    <w:p w:rsidR="001B1D32" w:rsidRPr="00C61E3D" w:rsidRDefault="00FF18EF">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seis de mayo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w:t>
      </w:r>
      <w:r>
        <w:rPr>
          <w:rFonts w:ascii="Palatino Linotype" w:hAnsi="Palatino Linotype" w:cs="Arial"/>
        </w:rPr>
        <w:lastRenderedPageBreak/>
        <w:t>en el artículo 185, fracciones VI y VIII de la Ley de Transparencia y Acceso a la Información Pública del Estado de México y Municipios;</w:t>
      </w:r>
      <w:bookmarkStart w:id="2" w:name="_Ref507070922"/>
      <w:bookmarkEnd w:id="2"/>
    </w:p>
    <w:p w:rsidR="00C61E3D" w:rsidRPr="00D06840" w:rsidRDefault="00C61E3D" w:rsidP="00FD006F">
      <w:pPr>
        <w:numPr>
          <w:ilvl w:val="0"/>
          <w:numId w:val="2"/>
        </w:numPr>
        <w:tabs>
          <w:tab w:val="left" w:pos="426"/>
        </w:tabs>
        <w:spacing w:before="240" w:after="240" w:line="360" w:lineRule="auto"/>
        <w:ind w:left="0" w:firstLine="0"/>
        <w:jc w:val="both"/>
        <w:rPr>
          <w:rFonts w:ascii="Palatino Linotype" w:hAnsi="Palatino Linotype"/>
        </w:rPr>
      </w:pPr>
      <w:r w:rsidRPr="00D06840">
        <w:rPr>
          <w:rFonts w:ascii="Palatino Linotype" w:hAnsi="Palatino Linotype" w:cs="Arial"/>
        </w:rPr>
        <w:t>El once de agosto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B1D32" w:rsidRDefault="00FF18EF">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1B1D32" w:rsidRDefault="00FF18EF">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1B1D32" w:rsidRDefault="00FF18EF">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w:t>
      </w:r>
      <w:r>
        <w:rPr>
          <w:rFonts w:ascii="Palatino Linotype" w:hAnsi="Palatino Linotype" w:cs="Arial"/>
          <w:color w:val="000000" w:themeColor="text1"/>
        </w:rPr>
        <w:lastRenderedPageBreak/>
        <w:t xml:space="preserve">información pública </w:t>
      </w:r>
      <w:r>
        <w:rPr>
          <w:rFonts w:ascii="Palatino Linotype" w:hAnsi="Palatino Linotype"/>
          <w:color w:val="000000" w:themeColor="text1"/>
        </w:rPr>
        <w:t>número</w:t>
      </w:r>
      <w:r>
        <w:rPr>
          <w:rFonts w:ascii="Verdana" w:hAnsi="Verdana"/>
          <w:b/>
          <w:bCs/>
          <w:color w:val="FF0000"/>
        </w:rPr>
        <w:t xml:space="preserve"> </w:t>
      </w:r>
      <w:r>
        <w:rPr>
          <w:rFonts w:ascii="Palatino Linotype" w:hAnsi="Palatino Linotype"/>
          <w:b/>
          <w:bCs/>
          <w:color w:val="000000" w:themeColor="text1"/>
        </w:rPr>
        <w:t>00063/SE/IP/2020</w:t>
      </w:r>
      <w:r>
        <w:rPr>
          <w:rFonts w:ascii="Palatino Linotype" w:hAnsi="Palatino Linotype" w:cs="Arial"/>
          <w:color w:val="000000" w:themeColor="text1"/>
          <w:lang w:val="es-ES_tradnl"/>
        </w:rPr>
        <w:t>.</w:t>
      </w:r>
    </w:p>
    <w:p w:rsidR="001B1D32" w:rsidRDefault="00FF18EF">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1D32" w:rsidRDefault="001B1D32">
      <w:pPr>
        <w:ind w:left="851" w:right="902"/>
        <w:jc w:val="both"/>
        <w:rPr>
          <w:rFonts w:ascii="Palatino Linotype" w:eastAsiaTheme="minorEastAsia" w:hAnsi="Palatino Linotype" w:cs="Arial"/>
          <w:szCs w:val="20"/>
          <w:lang w:val="es-ES_tradnl"/>
        </w:rPr>
      </w:pPr>
    </w:p>
    <w:p w:rsidR="001B1D32" w:rsidRDefault="00FF18EF">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1D32" w:rsidRDefault="00FF18EF">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1D32" w:rsidRDefault="00FF18EF">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1B1D32" w:rsidRDefault="001B1D32">
      <w:pPr>
        <w:ind w:left="851" w:right="902"/>
        <w:jc w:val="both"/>
        <w:rPr>
          <w:rFonts w:ascii="Palatino Linotype" w:eastAsiaTheme="minorEastAsia" w:hAnsi="Palatino Linotype" w:cs="Arial"/>
          <w:szCs w:val="20"/>
          <w:lang w:val="es-ES_tradnl"/>
        </w:rPr>
      </w:pPr>
    </w:p>
    <w:p w:rsidR="001B1D32" w:rsidRDefault="00FF18EF">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cuatro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cinco al veinticinco de febrero de dos mil veinte</w:t>
      </w:r>
      <w:r>
        <w:rPr>
          <w:rFonts w:ascii="Palatino Linotype" w:hAnsi="Palatino Linotype" w:cs="Arial"/>
        </w:rPr>
        <w:t xml:space="preserve">, sin contemplar en el cómputo los días ocho, nueve, quince, dieciséis, veintidós y veintitrés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xml:space="preserve"> y de conformidad con el Calendario Oficial en </w:t>
      </w:r>
      <w:r>
        <w:rPr>
          <w:rFonts w:ascii="Palatino Linotype" w:hAnsi="Palatino Linotype" w:cs="Arial"/>
        </w:rPr>
        <w:lastRenderedPageBreak/>
        <w:t>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1B1D32" w:rsidRDefault="001B1D32">
      <w:pPr>
        <w:spacing w:line="360" w:lineRule="auto"/>
        <w:jc w:val="both"/>
        <w:rPr>
          <w:rFonts w:ascii="Palatino Linotype" w:hAnsi="Palatino Linotype"/>
        </w:rPr>
      </w:pPr>
    </w:p>
    <w:p w:rsidR="001B1D32" w:rsidRDefault="00FF18EF">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cuatro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B1D32" w:rsidRDefault="001B1D32">
      <w:pPr>
        <w:spacing w:line="360" w:lineRule="auto"/>
        <w:jc w:val="both"/>
        <w:rPr>
          <w:rFonts w:ascii="Palatino Linotype" w:eastAsiaTheme="minorEastAsia" w:hAnsi="Palatino Linotype" w:cs="Arial"/>
          <w:lang w:val="es-ES_tradnl"/>
        </w:rPr>
      </w:pPr>
    </w:p>
    <w:p w:rsidR="001B1D32" w:rsidRDefault="00FF18EF">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1B1D32" w:rsidRDefault="001B1D32">
      <w:pPr>
        <w:pStyle w:val="Prrafodelista"/>
        <w:widowControl w:val="0"/>
        <w:tabs>
          <w:tab w:val="left" w:pos="1701"/>
          <w:tab w:val="left" w:pos="1843"/>
        </w:tabs>
        <w:spacing w:line="360" w:lineRule="auto"/>
        <w:ind w:left="0"/>
        <w:jc w:val="both"/>
        <w:rPr>
          <w:rFonts w:ascii="Palatino Linotype" w:hAnsi="Palatino Linotype" w:cs="Arial"/>
        </w:rPr>
      </w:pPr>
    </w:p>
    <w:p w:rsidR="001B1D32" w:rsidRDefault="00FF18EF">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sz w:val="22"/>
          <w:szCs w:val="22"/>
          <w:lang w:eastAsia="es-MX"/>
        </w:rPr>
      </w:pPr>
      <w:bookmarkStart w:id="3" w:name="_Ref3465962"/>
      <w:r>
        <w:rPr>
          <w:rFonts w:ascii="Palatino Linotype" w:hAnsi="Palatino Linotype" w:cs="Arial"/>
          <w:b/>
        </w:rPr>
        <w:t>Estudio y resolución del asunto.</w:t>
      </w:r>
      <w:r>
        <w:rPr>
          <w:rFonts w:ascii="Palatino Linotype" w:hAnsi="Palatino Linotype" w:cs="Arial"/>
        </w:rPr>
        <w:t xml:space="preserve"> </w:t>
      </w:r>
      <w:bookmarkEnd w:id="3"/>
      <w:r>
        <w:rPr>
          <w:rFonts w:ascii="Palatino Linotype" w:hAnsi="Palatino Linotype" w:cs="Arial"/>
        </w:rPr>
        <w:t>Del análisis efectuado se advierte que el recurso de revisión de que se trata es procedente; toda vez, que se actualiza la hipótesis prevista en la fracción XIII del artículo 179 de la Ley de la materia, que a la letra indica:</w:t>
      </w:r>
    </w:p>
    <w:p w:rsidR="001B1D32" w:rsidRDefault="001B1D32">
      <w:pPr>
        <w:spacing w:line="276" w:lineRule="auto"/>
        <w:ind w:left="709" w:right="709"/>
        <w:jc w:val="both"/>
        <w:rPr>
          <w:rFonts w:ascii="Palatino Linotype" w:hAnsi="Palatino Linotype" w:cs="Arial"/>
          <w:bCs/>
          <w:i/>
          <w:sz w:val="22"/>
          <w:szCs w:val="22"/>
        </w:rPr>
      </w:pPr>
    </w:p>
    <w:p w:rsidR="001B1D32" w:rsidRDefault="00FF18EF">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1B1D32" w:rsidRDefault="00FF18EF">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1B1D32" w:rsidRDefault="00FF18EF">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XIII. La falta, deficiencia o insuficiencia de la fundamentación y/o motivación en la respuesta; y</w:t>
      </w:r>
    </w:p>
    <w:p w:rsidR="001B1D32" w:rsidRDefault="00FF18EF">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1B1D32" w:rsidRDefault="001B1D32">
      <w:pPr>
        <w:spacing w:line="276" w:lineRule="auto"/>
        <w:ind w:left="709" w:right="709"/>
        <w:jc w:val="both"/>
        <w:rPr>
          <w:rFonts w:ascii="Palatino Linotype" w:hAnsi="Palatino Linotype" w:cs="Arial"/>
          <w:b/>
          <w:bCs/>
          <w:i/>
          <w:sz w:val="22"/>
          <w:szCs w:val="22"/>
        </w:rPr>
      </w:pPr>
    </w:p>
    <w:p w:rsidR="001B1D32" w:rsidRDefault="00FF18EF">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1B1D32" w:rsidRDefault="00FF18EF">
      <w:pPr>
        <w:widowControl w:val="0"/>
        <w:spacing w:before="200" w:after="200" w:line="360" w:lineRule="auto"/>
        <w:jc w:val="both"/>
        <w:rPr>
          <w:rFonts w:ascii="Palatino Linotype" w:hAnsi="Palatino Linotype" w:cs="Arial"/>
        </w:rPr>
      </w:pPr>
      <w:r>
        <w:rPr>
          <w:rFonts w:ascii="Palatino Linotype" w:hAnsi="Palatino Linotype" w:cs="Arial"/>
        </w:rPr>
        <w:t>El precepto legal antes citado, establece como supuestos de procedencia del recurso de revisión,</w:t>
      </w:r>
      <w:r>
        <w:t xml:space="preserve"> </w:t>
      </w:r>
      <w:r>
        <w:rPr>
          <w:rFonts w:ascii="Palatino Linotype" w:hAnsi="Palatino Linotype" w:cs="Arial"/>
        </w:rPr>
        <w:t>la falta, deficiencia o insuficiencia de la fundamentación y/o motivación en la respuesta, situación que se actualiza en el presente caso, tal como se analizará más adelante.</w:t>
      </w:r>
    </w:p>
    <w:p w:rsidR="001B1D32" w:rsidRDefault="00FF18EF">
      <w:pPr>
        <w:widowControl w:val="0"/>
        <w:spacing w:before="200" w:after="200" w:line="360" w:lineRule="auto"/>
        <w:jc w:val="both"/>
        <w:rPr>
          <w:rFonts w:ascii="Palatino Linotype" w:hAnsi="Palatino Linotype" w:cs="Arial"/>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lo siguiente:</w:t>
      </w:r>
    </w:p>
    <w:p w:rsidR="001B1D32" w:rsidRDefault="00FF18EF">
      <w:pPr>
        <w:pStyle w:val="Prrafodelista"/>
        <w:widowControl w:val="0"/>
        <w:numPr>
          <w:ilvl w:val="0"/>
          <w:numId w:val="4"/>
        </w:numPr>
        <w:tabs>
          <w:tab w:val="left" w:pos="1701"/>
          <w:tab w:val="left" w:pos="1843"/>
        </w:tabs>
        <w:spacing w:beforeAutospacing="1" w:line="360" w:lineRule="auto"/>
        <w:contextualSpacing/>
        <w:jc w:val="both"/>
        <w:rPr>
          <w:rFonts w:ascii="Palatino Linotype" w:hAnsi="Palatino Linotype" w:cs="Arial"/>
        </w:rPr>
      </w:pPr>
      <w:r>
        <w:rPr>
          <w:rFonts w:ascii="Palatino Linotype" w:hAnsi="Palatino Linotype"/>
          <w:b/>
        </w:rPr>
        <w:t>La normatividad donde se fundamente que el receso escolar no aplica para servidores públicos docentes adscritos a la Dirección General de Educación Media Superior.</w:t>
      </w:r>
    </w:p>
    <w:p w:rsidR="001B1D32" w:rsidRDefault="00FF18EF">
      <w:pPr>
        <w:pStyle w:val="Prrafodelista"/>
        <w:widowControl w:val="0"/>
        <w:numPr>
          <w:ilvl w:val="0"/>
          <w:numId w:val="4"/>
        </w:numPr>
        <w:tabs>
          <w:tab w:val="left" w:pos="1701"/>
          <w:tab w:val="left" w:pos="1843"/>
        </w:tabs>
        <w:spacing w:afterAutospacing="1" w:line="360" w:lineRule="auto"/>
        <w:contextualSpacing/>
        <w:jc w:val="both"/>
        <w:rPr>
          <w:rFonts w:ascii="Palatino Linotype" w:hAnsi="Palatino Linotype" w:cs="Arial"/>
        </w:rPr>
      </w:pPr>
      <w:r>
        <w:rPr>
          <w:rFonts w:ascii="Palatino Linotype" w:hAnsi="Palatino Linotype"/>
          <w:b/>
        </w:rPr>
        <w:t>El periodo vacacional y el receso escolar a que tienen derecho los servidores públicos docentes adscritos a la Dirección General de Educación Media Superior.</w:t>
      </w:r>
    </w:p>
    <w:p w:rsidR="001B1D32" w:rsidRDefault="00FF18EF">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adjuntando los documentos descritos en el Resultando </w:t>
      </w:r>
      <w:r>
        <w:rPr>
          <w:rFonts w:ascii="Palatino Linotype" w:hAnsi="Palatino Linotype" w:cs="Arial"/>
          <w:b/>
        </w:rPr>
        <w:t xml:space="preserve">III </w:t>
      </w:r>
      <w:r>
        <w:rPr>
          <w:rFonts w:ascii="Palatino Linotype" w:hAnsi="Palatino Linotype" w:cs="Arial"/>
        </w:rPr>
        <w:t>de la presente resolución.</w:t>
      </w:r>
    </w:p>
    <w:p w:rsidR="001B1D32" w:rsidRDefault="001B1D32">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1B1D32" w:rsidRDefault="00FF18EF">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no se le había entregado la información </w:t>
      </w:r>
      <w:r>
        <w:rPr>
          <w:rFonts w:ascii="Palatino Linotype" w:hAnsi="Palatino Linotype" w:cs="Arial"/>
        </w:rPr>
        <w:lastRenderedPageBreak/>
        <w:t>concerniente al periodo vacacional  y de receso escolar que tienen los servidores públicos adscritos a la Dirección General de Educación Media Superior.</w:t>
      </w:r>
    </w:p>
    <w:p w:rsidR="001B1D32" w:rsidRDefault="001B1D32">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1B1D32" w:rsidRDefault="00FF18EF">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tampoco exhibió el Informe Justificado </w:t>
      </w:r>
      <w:r>
        <w:rPr>
          <w:rFonts w:ascii="Palatino Linotype" w:hAnsi="Palatino Linotype"/>
          <w:szCs w:val="21"/>
        </w:rPr>
        <w:t>correspondiente</w:t>
      </w:r>
      <w:r>
        <w:rPr>
          <w:rFonts w:ascii="Palatino Linotype" w:hAnsi="Palatino Linotype" w:cs="Arial"/>
        </w:rPr>
        <w:t>.</w:t>
      </w:r>
    </w:p>
    <w:p w:rsidR="001B1D32" w:rsidRDefault="001B1D32">
      <w:pPr>
        <w:widowControl w:val="0"/>
        <w:tabs>
          <w:tab w:val="left" w:pos="1701"/>
          <w:tab w:val="left" w:pos="1843"/>
        </w:tabs>
        <w:spacing w:line="360" w:lineRule="auto"/>
        <w:jc w:val="both"/>
        <w:rPr>
          <w:rFonts w:ascii="Palatino Linotype" w:hAnsi="Palatino Linotype"/>
        </w:rPr>
      </w:pPr>
    </w:p>
    <w:p w:rsidR="001B1D32" w:rsidRDefault="00FF18EF">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parcialmente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1B1D32" w:rsidRDefault="00FF18EF">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1B1D32" w:rsidRDefault="00FF18EF">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w:t>
      </w:r>
      <w:r>
        <w:rPr>
          <w:rFonts w:ascii="Palatino Linotype" w:hAnsi="Palatino Linotype"/>
          <w:lang w:val="es-ES"/>
        </w:rPr>
        <w:lastRenderedPageBreak/>
        <w:t>de la Ley de Transparencia y Acceso a la Información Pública del Estado de México y Municipios, que literalmente establece:</w:t>
      </w:r>
    </w:p>
    <w:p w:rsidR="001B1D32" w:rsidRDefault="001B1D32">
      <w:pPr>
        <w:spacing w:line="360" w:lineRule="auto"/>
        <w:jc w:val="both"/>
        <w:rPr>
          <w:rFonts w:ascii="Palatino Linotype" w:hAnsi="Palatino Linotype"/>
          <w:lang w:val="es-ES"/>
        </w:rPr>
      </w:pPr>
    </w:p>
    <w:p w:rsidR="001B1D32" w:rsidRDefault="00FF18EF">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1B1D32" w:rsidRDefault="001B1D32">
      <w:pPr>
        <w:ind w:left="851" w:right="899"/>
        <w:jc w:val="both"/>
        <w:rPr>
          <w:rFonts w:ascii="Palatino Linotype" w:hAnsi="Palatino Linotype"/>
          <w:i/>
          <w:sz w:val="22"/>
          <w:szCs w:val="22"/>
          <w:lang w:val="es-ES"/>
        </w:rPr>
      </w:pPr>
    </w:p>
    <w:p w:rsidR="001B1D32" w:rsidRDefault="00FF18EF">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1B1D32" w:rsidRDefault="001B1D32">
      <w:pPr>
        <w:spacing w:line="360" w:lineRule="auto"/>
        <w:ind w:left="851" w:right="899"/>
        <w:jc w:val="both"/>
        <w:rPr>
          <w:rFonts w:ascii="Palatino Linotype" w:hAnsi="Palatino Linotype"/>
          <w:i/>
          <w:sz w:val="22"/>
          <w:szCs w:val="22"/>
          <w:lang w:val="es-ES"/>
        </w:rPr>
      </w:pPr>
    </w:p>
    <w:p w:rsidR="001B1D32" w:rsidRDefault="00FF18EF">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1B1D32" w:rsidRDefault="001B1D32">
      <w:pPr>
        <w:spacing w:line="360" w:lineRule="auto"/>
        <w:jc w:val="both"/>
        <w:rPr>
          <w:rFonts w:ascii="Palatino Linotype" w:hAnsi="Palatino Linotype"/>
          <w:lang w:val="es-ES"/>
        </w:rPr>
      </w:pPr>
    </w:p>
    <w:p w:rsidR="001B1D32" w:rsidRDefault="00FF18EF">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rsidR="001B1D32" w:rsidRDefault="00FF18EF">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B1D32" w:rsidRDefault="00FF18EF">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w:t>
      </w:r>
      <w:bookmarkStart w:id="4" w:name="_GoBack"/>
      <w:bookmarkEnd w:id="4"/>
      <w:r>
        <w:rPr>
          <w:rFonts w:ascii="Palatino Linotype" w:hAnsi="Palatino Linotype" w:cs="Arial"/>
          <w:i/>
          <w:sz w:val="22"/>
        </w:rPr>
        <w:t xml:space="preserve">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B1D32" w:rsidRDefault="00FF18EF">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1B1D32" w:rsidRDefault="001B1D32">
      <w:pPr>
        <w:ind w:left="709" w:right="757"/>
        <w:jc w:val="both"/>
        <w:rPr>
          <w:rFonts w:ascii="Palatino Linotype" w:hAnsi="Palatino Linotype" w:cs="Arial"/>
          <w:b/>
          <w:i/>
          <w:sz w:val="22"/>
        </w:rPr>
      </w:pPr>
    </w:p>
    <w:p w:rsidR="001B1D32" w:rsidRDefault="00FF18EF">
      <w:pPr>
        <w:spacing w:line="360" w:lineRule="auto"/>
        <w:jc w:val="both"/>
        <w:rPr>
          <w:rFonts w:ascii="Palatino Linotype" w:hAnsi="Palatino Linotype" w:cs="Arial"/>
        </w:rPr>
      </w:pPr>
      <w:r>
        <w:rPr>
          <w:rFonts w:ascii="Palatino Linotype" w:hAnsi="Palatino Linotype" w:cs="Arial"/>
        </w:rPr>
        <w:t>Ahora bien, es importante referir que el particular, se inconformó respecto de la falta de entrega de la información solicitada referente al periodo vacacional y el receso aplicable a los</w:t>
      </w:r>
      <w:r>
        <w:rPr>
          <w:rFonts w:ascii="Palatino Linotype" w:hAnsi="Palatino Linotype"/>
        </w:rPr>
        <w:t xml:space="preserve"> servidores públicos </w:t>
      </w:r>
      <w:r>
        <w:rPr>
          <w:rFonts w:ascii="Palatino Linotype" w:hAnsi="Palatino Linotype" w:cs="Arial"/>
        </w:rPr>
        <w:t xml:space="preserve">adscritos a la Dirección General de Educación Media Superior; por lo que, se considera que </w:t>
      </w:r>
      <w:r>
        <w:rPr>
          <w:rFonts w:ascii="Palatino Linotype" w:hAnsi="Palatino Linotype" w:cs="Arial"/>
          <w:b/>
        </w:rPr>
        <w:t>EL RECURRENTE</w:t>
      </w:r>
      <w:r>
        <w:rPr>
          <w:rFonts w:ascii="Palatino Linotype" w:hAnsi="Palatino Linotype" w:cs="Arial"/>
        </w:rPr>
        <w:t xml:space="preserve"> consintió parte de la respuesta. </w:t>
      </w:r>
      <w:r>
        <w:rPr>
          <w:rFonts w:ascii="Palatino Linotype" w:hAnsi="Palatino Linotype"/>
        </w:rPr>
        <w:t xml:space="preserve">Lo anterior es así, debido a que cuando el particular no expresa razón o motivo de inconformidad en contra de los rubros de la respuesta que pudieran ser un </w:t>
      </w:r>
      <w:r>
        <w:rPr>
          <w:rFonts w:ascii="Palatino Linotype" w:hAnsi="Palatino Linotype"/>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B1D32" w:rsidRDefault="001B1D32">
      <w:pPr>
        <w:spacing w:line="360" w:lineRule="auto"/>
        <w:jc w:val="both"/>
        <w:rPr>
          <w:rFonts w:ascii="Palatino Linotype" w:hAnsi="Palatino Linotype" w:cs="Arial"/>
        </w:rPr>
      </w:pPr>
    </w:p>
    <w:p w:rsidR="001B1D32" w:rsidRDefault="00FF18EF">
      <w:pPr>
        <w:tabs>
          <w:tab w:val="left" w:pos="7088"/>
        </w:tabs>
        <w:spacing w:line="276" w:lineRule="auto"/>
        <w:ind w:left="851" w:right="618"/>
        <w:jc w:val="both"/>
        <w:rPr>
          <w:rFonts w:ascii="Palatino Linotype" w:hAnsi="Palatino Linotype"/>
        </w:rPr>
      </w:pPr>
      <w:r>
        <w:rPr>
          <w:rFonts w:ascii="Palatino Linotype" w:hAnsi="Palatino Linotype"/>
        </w:rPr>
        <w:t>“</w:t>
      </w:r>
      <w:r>
        <w:rPr>
          <w:rFonts w:ascii="Palatino Linotype" w:hAnsi="Palatino Linotype"/>
          <w:b/>
          <w:i/>
        </w:rPr>
        <w:t>REVISIÓN EN AMPARO. LOS RESOLUTIVOS NO COMBATIDOS DEBEN DECLARARSE FIRMES</w:t>
      </w:r>
      <w:r>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B1D32" w:rsidRDefault="00FF18EF">
      <w:pPr>
        <w:spacing w:beforeAutospacing="1" w:afterAutospacing="1" w:line="360" w:lineRule="auto"/>
        <w:jc w:val="both"/>
        <w:rPr>
          <w:rFonts w:ascii="Palatino Linotype" w:hAnsi="Palatino Linotype"/>
        </w:rPr>
      </w:pPr>
      <w:r>
        <w:rPr>
          <w:rFonts w:ascii="Palatino Linotype" w:hAnsi="Palatino Linotype"/>
        </w:rPr>
        <w:t xml:space="preserve">Así, en razón de que la información proporcionada a la solicitud y de la que no expresó inconformidad, debe declararse consentida por el hoy </w:t>
      </w:r>
      <w:r>
        <w:rPr>
          <w:rFonts w:ascii="Palatino Linotype" w:hAnsi="Palatino Linotype"/>
          <w:b/>
        </w:rPr>
        <w:t>RECURRENTE</w:t>
      </w:r>
      <w:r>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1B1D32" w:rsidRDefault="00FF18EF">
      <w:pPr>
        <w:spacing w:line="276" w:lineRule="auto"/>
        <w:ind w:left="851" w:right="902"/>
        <w:jc w:val="both"/>
        <w:rPr>
          <w:rFonts w:ascii="Palatino Linotype" w:hAnsi="Palatino Linotype"/>
          <w:i/>
        </w:rPr>
      </w:pPr>
      <w:r>
        <w:rPr>
          <w:rFonts w:ascii="Palatino Linotype" w:hAnsi="Palatino Linotype"/>
          <w:i/>
        </w:rPr>
        <w:t>“</w:t>
      </w:r>
      <w:r>
        <w:rPr>
          <w:rFonts w:ascii="Palatino Linotype" w:hAnsi="Palatino Linotype"/>
          <w:b/>
          <w:i/>
        </w:rPr>
        <w:t>ACTOS CONSENTIDOS. SON LOS QUE NO SE IMPUGNAN MEDIANTE EL RECURSO IDÓNEO</w:t>
      </w:r>
      <w:r>
        <w:rPr>
          <w:rFonts w:ascii="Palatino Linotype" w:hAnsi="Palatino Linotype"/>
          <w:i/>
        </w:rPr>
        <w:t xml:space="preserve">. Debe reputarse como consentido el acto que no se impugnó por el medio establecido por la ley, ya que si se hizo </w:t>
      </w:r>
      <w:r>
        <w:rPr>
          <w:rFonts w:ascii="Palatino Linotype" w:hAnsi="Palatino Linotype"/>
          <w:i/>
        </w:rPr>
        <w:lastRenderedPageBreak/>
        <w:t>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B1D32" w:rsidRDefault="001B1D32">
      <w:pPr>
        <w:spacing w:beforeAutospacing="1" w:afterAutospacing="1" w:line="360" w:lineRule="auto"/>
        <w:contextualSpacing/>
        <w:jc w:val="both"/>
        <w:rPr>
          <w:rFonts w:ascii="Palatino Linotype" w:eastAsia="Calibri" w:hAnsi="Palatino Linotype" w:cs="Arial"/>
        </w:rPr>
      </w:pPr>
    </w:p>
    <w:p w:rsidR="001B1D32" w:rsidRDefault="00FF18EF">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Ahora bien,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r>
        <w:rPr>
          <w:rFonts w:ascii="Palatino Linotype" w:eastAsia="Calibri" w:hAnsi="Palatino Linotype" w:cs="Arial"/>
        </w:rPr>
        <w:t>.</w:t>
      </w:r>
    </w:p>
    <w:p w:rsidR="001B1D32" w:rsidRDefault="001B1D32">
      <w:pPr>
        <w:spacing w:beforeAutospacing="1" w:afterAutospacing="1" w:line="360" w:lineRule="auto"/>
        <w:contextualSpacing/>
        <w:jc w:val="both"/>
        <w:rPr>
          <w:rFonts w:ascii="Palatino Linotype" w:eastAsia="Calibri" w:hAnsi="Palatino Linotype" w:cs="Arial"/>
        </w:rPr>
      </w:pPr>
    </w:p>
    <w:tbl>
      <w:tblPr>
        <w:tblStyle w:val="Tablaconcuadrcula"/>
        <w:tblW w:w="9111" w:type="dxa"/>
        <w:tblLook w:val="04A0" w:firstRow="1" w:lastRow="0" w:firstColumn="1" w:lastColumn="0" w:noHBand="0" w:noVBand="1"/>
      </w:tblPr>
      <w:tblGrid>
        <w:gridCol w:w="2440"/>
        <w:gridCol w:w="4072"/>
        <w:gridCol w:w="2599"/>
      </w:tblGrid>
      <w:tr w:rsidR="001B1D32">
        <w:tc>
          <w:tcPr>
            <w:tcW w:w="2829" w:type="dxa"/>
            <w:shd w:val="clear" w:color="auto" w:fill="000000" w:themeFill="text1"/>
          </w:tcPr>
          <w:p w:rsidR="001B1D32" w:rsidRDefault="00FF18EF">
            <w:pPr>
              <w:spacing w:line="360" w:lineRule="auto"/>
              <w:jc w:val="center"/>
              <w:rPr>
                <w:rFonts w:ascii="Palatino Linotype" w:hAnsi="Palatino Linotype" w:cs="Arial"/>
              </w:rPr>
            </w:pPr>
            <w:r>
              <w:rPr>
                <w:rFonts w:ascii="Palatino Linotype" w:eastAsiaTheme="minorHAnsi" w:hAnsi="Palatino Linotype" w:cs="Arial"/>
              </w:rPr>
              <w:t>Solicitud</w:t>
            </w:r>
          </w:p>
        </w:tc>
        <w:tc>
          <w:tcPr>
            <w:tcW w:w="3402" w:type="dxa"/>
            <w:shd w:val="clear" w:color="auto" w:fill="000000" w:themeFill="text1"/>
          </w:tcPr>
          <w:p w:rsidR="001B1D32" w:rsidRDefault="00FF18EF">
            <w:pPr>
              <w:spacing w:line="360" w:lineRule="auto"/>
              <w:jc w:val="both"/>
              <w:rPr>
                <w:rFonts w:ascii="Palatino Linotype" w:hAnsi="Palatino Linotype" w:cs="Arial"/>
              </w:rPr>
            </w:pPr>
            <w:r>
              <w:rPr>
                <w:rFonts w:ascii="Palatino Linotype" w:eastAsiaTheme="minorHAnsi" w:hAnsi="Palatino Linotype" w:cs="Arial"/>
              </w:rPr>
              <w:t>Respuesta</w:t>
            </w:r>
          </w:p>
        </w:tc>
        <w:tc>
          <w:tcPr>
            <w:tcW w:w="2880" w:type="dxa"/>
            <w:shd w:val="clear" w:color="auto" w:fill="000000" w:themeFill="text1"/>
          </w:tcPr>
          <w:p w:rsidR="001B1D32" w:rsidRDefault="00FF18EF">
            <w:pPr>
              <w:spacing w:line="360" w:lineRule="auto"/>
              <w:jc w:val="both"/>
              <w:rPr>
                <w:rFonts w:ascii="Palatino Linotype" w:hAnsi="Palatino Linotype" w:cs="Arial"/>
              </w:rPr>
            </w:pPr>
            <w:r>
              <w:rPr>
                <w:rFonts w:ascii="Palatino Linotype" w:eastAsiaTheme="minorHAnsi" w:hAnsi="Palatino Linotype" w:cs="Arial"/>
              </w:rPr>
              <w:t>Colmó</w:t>
            </w:r>
          </w:p>
        </w:tc>
      </w:tr>
      <w:tr w:rsidR="001B1D32">
        <w:tc>
          <w:tcPr>
            <w:tcW w:w="2829" w:type="dxa"/>
          </w:tcPr>
          <w:p w:rsidR="001B1D32" w:rsidRDefault="00FF18EF">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sz w:val="20"/>
                <w:szCs w:val="20"/>
              </w:rPr>
              <w:t>El periodo vacacional a que tienen derecho los servidores públicos docentes adscritos a la Dirección General de Educación Media Superior.</w:t>
            </w:r>
          </w:p>
        </w:tc>
        <w:tc>
          <w:tcPr>
            <w:tcW w:w="3402" w:type="dxa"/>
          </w:tcPr>
          <w:p w:rsidR="001B1D32" w:rsidRDefault="00FF18EF">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xml:space="preserve">, señaló que el particular podría consultar el Calendario Escolar 2019-2020, publicado en la Gaceta de Gobierno del Estado Libre y Soberano de México, el 5 de agosto de 2019, visible en la página electrónica </w:t>
            </w:r>
            <w:r>
              <w:rPr>
                <w:rFonts w:ascii="Palatino Linotype" w:eastAsiaTheme="minorHAnsi" w:hAnsi="Palatino Linotype" w:cs="Arial"/>
                <w:spacing w:val="-20"/>
                <w:sz w:val="20"/>
                <w:szCs w:val="20"/>
              </w:rPr>
              <w:t>https://legislacion.edomex.gob.mx/ve_periodico_oficial</w:t>
            </w:r>
            <w:r>
              <w:rPr>
                <w:rFonts w:ascii="Palatino Linotype" w:eastAsiaTheme="minorHAnsi" w:hAnsi="Palatino Linotype" w:cs="Arial"/>
                <w:sz w:val="20"/>
                <w:szCs w:val="20"/>
              </w:rPr>
              <w:t xml:space="preserve">; así como, el Reglamento de Condiciones Generales del Trabajo de los Servidores Públicos Docentes del Subsistema Educativo Estatal, en su CAPÍTULO XI DE LOS DESCANSOS, articulo 123 y CAPÍTULO XII DE LAS VACACIONES, en sus artículos 124 y 125 y artículo sexto del Acuerdo por el que se establece el “CALENDARIO OFICIAL QUE REGIRÁ </w:t>
            </w:r>
            <w:r>
              <w:rPr>
                <w:rFonts w:ascii="Palatino Linotype" w:eastAsiaTheme="minorHAnsi" w:hAnsi="Palatino Linotype" w:cs="Arial"/>
                <w:sz w:val="20"/>
                <w:szCs w:val="20"/>
              </w:rPr>
              <w:lastRenderedPageBreak/>
              <w:t>DURANTE EL AÑO 2020”, publicado en Gaceta de Gobierno el 26 de diciembre de 2019.</w:t>
            </w:r>
          </w:p>
        </w:tc>
        <w:tc>
          <w:tcPr>
            <w:tcW w:w="2880" w:type="dxa"/>
          </w:tcPr>
          <w:p w:rsidR="001B1D32" w:rsidRDefault="00FF18EF">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lastRenderedPageBreak/>
              <w:t>Colmó</w:t>
            </w:r>
          </w:p>
          <w:p w:rsidR="001B1D32" w:rsidRDefault="00FF18EF">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el </w:t>
            </w:r>
            <w:r>
              <w:rPr>
                <w:rFonts w:ascii="Palatino Linotype" w:eastAsiaTheme="minorHAnsi" w:hAnsi="Palatino Linotype" w:cs="Arial"/>
                <w:b/>
                <w:sz w:val="20"/>
                <w:szCs w:val="20"/>
              </w:rPr>
              <w:t>SUJETO OBLIGADO</w:t>
            </w:r>
            <w:r>
              <w:rPr>
                <w:rFonts w:ascii="Palatino Linotype" w:eastAsiaTheme="minorHAnsi" w:hAnsi="Palatino Linotype" w:cs="Arial"/>
                <w:sz w:val="20"/>
                <w:szCs w:val="20"/>
              </w:rPr>
              <w:t xml:space="preserve">,  remitió el calendario escolar 2019-2020 para instituciones educativas dependientes de la Dirección General de Educación Media Superior, donde se advierte el periodo vacacional </w:t>
            </w:r>
            <w:r>
              <w:rPr>
                <w:rFonts w:ascii="Palatino Linotype" w:eastAsiaTheme="minorHAnsi" w:hAnsi="Palatino Linotype"/>
                <w:sz w:val="20"/>
                <w:szCs w:val="20"/>
              </w:rPr>
              <w:t xml:space="preserve">a que tienen derecho los servidores públicos docentes adscritos a la Dirección General de Educación Media Superior en </w:t>
            </w:r>
            <w:r>
              <w:rPr>
                <w:rFonts w:ascii="Palatino Linotype" w:eastAsiaTheme="minorHAnsi" w:hAnsi="Palatino Linotype"/>
                <w:sz w:val="20"/>
                <w:szCs w:val="20"/>
              </w:rPr>
              <w:lastRenderedPageBreak/>
              <w:t xml:space="preserve">concordancia con el </w:t>
            </w:r>
            <w:r>
              <w:rPr>
                <w:rFonts w:ascii="Palatino Linotype" w:eastAsiaTheme="minorHAnsi" w:hAnsi="Palatino Linotype" w:cs="Arial"/>
                <w:sz w:val="20"/>
                <w:szCs w:val="20"/>
              </w:rPr>
              <w:t xml:space="preserve">artículo 124 del Reglamento de Condiciones Generales del Trabajo de los Servidores </w:t>
            </w:r>
          </w:p>
          <w:p w:rsidR="001B1D32" w:rsidRDefault="00FF18EF">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Públicos Docentes del Subsistema Educativo Estatal.</w:t>
            </w:r>
          </w:p>
          <w:p w:rsidR="001B1D32" w:rsidRDefault="001B1D32">
            <w:pPr>
              <w:spacing w:line="360" w:lineRule="auto"/>
              <w:jc w:val="both"/>
              <w:rPr>
                <w:rFonts w:ascii="Palatino Linotype" w:hAnsi="Palatino Linotype" w:cs="Arial"/>
              </w:rPr>
            </w:pPr>
          </w:p>
        </w:tc>
      </w:tr>
      <w:tr w:rsidR="001B1D32">
        <w:tc>
          <w:tcPr>
            <w:tcW w:w="2829" w:type="dxa"/>
          </w:tcPr>
          <w:p w:rsidR="001B1D32" w:rsidRDefault="00FF18EF">
            <w:pPr>
              <w:spacing w:line="360" w:lineRule="auto"/>
              <w:jc w:val="both"/>
              <w:rPr>
                <w:rFonts w:ascii="Palatino Linotype" w:hAnsi="Palatino Linotype"/>
                <w:sz w:val="20"/>
                <w:szCs w:val="20"/>
              </w:rPr>
            </w:pPr>
            <w:r>
              <w:rPr>
                <w:rFonts w:ascii="Palatino Linotype" w:eastAsiaTheme="minorHAnsi" w:hAnsi="Palatino Linotype"/>
                <w:sz w:val="20"/>
                <w:szCs w:val="20"/>
              </w:rPr>
              <w:lastRenderedPageBreak/>
              <w:t>El receso escolar a que tienen derecho los servidores públicos docentes adscritos a la Dirección General de Educación Media Superior.</w:t>
            </w:r>
          </w:p>
        </w:tc>
        <w:tc>
          <w:tcPr>
            <w:tcW w:w="3402" w:type="dxa"/>
          </w:tcPr>
          <w:p w:rsidR="001B1D32" w:rsidRDefault="00FF18EF">
            <w:pPr>
              <w:spacing w:line="360" w:lineRule="auto"/>
              <w:jc w:val="both"/>
              <w:rPr>
                <w:rFonts w:ascii="Palatino Linotype" w:hAnsi="Palatino Linotype" w:cs="Arial"/>
              </w:rPr>
            </w:pPr>
            <w:r>
              <w:rPr>
                <w:rFonts w:ascii="Palatino Linotype" w:eastAsiaTheme="minorHAnsi" w:hAnsi="Palatino Linotype" w:cs="Arial"/>
                <w:sz w:val="20"/>
                <w:szCs w:val="20"/>
              </w:rPr>
              <w:t xml:space="preserve">Mediante respuesta,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xml:space="preserve">, señaló que el particular podría consultar el Calendario Escolar 2019-2020, publicado en la Gaceta de Gobierno del Estado Libre y Soberano de México, el 5 de agosto de 2019, visible en la página electrónica </w:t>
            </w:r>
            <w:r>
              <w:rPr>
                <w:rFonts w:ascii="Palatino Linotype" w:eastAsiaTheme="minorHAnsi" w:hAnsi="Palatino Linotype" w:cs="Arial"/>
                <w:spacing w:val="-20"/>
                <w:sz w:val="20"/>
                <w:szCs w:val="20"/>
              </w:rPr>
              <w:t>https://legislacion.edomex.gob.mx/ve_periodico_oficial</w:t>
            </w:r>
            <w:r>
              <w:rPr>
                <w:rFonts w:ascii="Palatino Linotype" w:eastAsiaTheme="minorHAnsi" w:hAnsi="Palatino Linotype" w:cs="Arial"/>
                <w:sz w:val="20"/>
                <w:szCs w:val="20"/>
              </w:rPr>
              <w:t xml:space="preserve">; así como, el Reglamento de Condiciones Generales del Trabajo de los Servidores Públicos Docentes del Subsistema Educativo Estatal, en su CAPÍTULO XI DE LOS DESCANSOS, articulo 123 y CAPÍTULO XII DE LAS VACACIONES, en sus artículos 124 y 125 y artículo sexto del Acuerdo por el que se establece el “CALENDARIO OFICIAL QUE REGIRÁ DURANTE EL AÑO 2020”, publicado en </w:t>
            </w:r>
            <w:r>
              <w:rPr>
                <w:rFonts w:ascii="Palatino Linotype" w:eastAsiaTheme="minorHAnsi" w:hAnsi="Palatino Linotype" w:cs="Arial"/>
                <w:sz w:val="20"/>
                <w:szCs w:val="20"/>
              </w:rPr>
              <w:lastRenderedPageBreak/>
              <w:t>Gaceta de Gobierno el 26 de diciembre de 2019.</w:t>
            </w:r>
          </w:p>
        </w:tc>
        <w:tc>
          <w:tcPr>
            <w:tcW w:w="2880" w:type="dxa"/>
          </w:tcPr>
          <w:p w:rsidR="001B1D32" w:rsidRDefault="00FF18EF">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lastRenderedPageBreak/>
              <w:t>No colmó</w:t>
            </w:r>
          </w:p>
          <w:p w:rsidR="001B1D32" w:rsidRDefault="00FF18EF">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La respuesta proporcionada por </w:t>
            </w:r>
            <w:r>
              <w:rPr>
                <w:rFonts w:ascii="Palatino Linotype" w:eastAsiaTheme="minorHAnsi" w:hAnsi="Palatino Linotype" w:cs="Arial"/>
                <w:b/>
                <w:sz w:val="20"/>
                <w:szCs w:val="20"/>
              </w:rPr>
              <w:t xml:space="preserve">EL SUJETO OBLIGADO, </w:t>
            </w:r>
            <w:r>
              <w:rPr>
                <w:rFonts w:ascii="Palatino Linotype" w:eastAsiaTheme="minorHAnsi" w:hAnsi="Palatino Linotype" w:cs="Arial"/>
                <w:sz w:val="20"/>
                <w:szCs w:val="20"/>
              </w:rPr>
              <w:t xml:space="preserve">carece de fundamentación y motivación y causó incertidumbre al particular, al  mencionar que no existe normatividad donde el receso escolar no aplique a los servidores públicos docentes que se encuentran laborando en la Dirección General de Educación Media Superior, lo cual se contrapone a lo expuesto por el artículo 125 del </w:t>
            </w:r>
            <w:r>
              <w:rPr>
                <w:rFonts w:ascii="Palatino Linotype" w:eastAsiaTheme="minorHAnsi" w:hAnsi="Palatino Linotype" w:cs="Arial"/>
                <w:sz w:val="20"/>
                <w:szCs w:val="20"/>
              </w:rPr>
              <w:lastRenderedPageBreak/>
              <w:t xml:space="preserve">Reglamento de Condiciones Generales del Trabajo de los Servidores Públicos Docentes del Subsistema Educativo Estatal, mismo que fue descrito en respuesta por </w:t>
            </w:r>
            <w:r>
              <w:rPr>
                <w:rFonts w:ascii="Palatino Linotype" w:eastAsiaTheme="minorHAnsi" w:hAnsi="Palatino Linotype" w:cs="Arial"/>
                <w:b/>
                <w:sz w:val="20"/>
                <w:szCs w:val="20"/>
              </w:rPr>
              <w:t>EL SUJETO OBLIGADO.</w:t>
            </w:r>
          </w:p>
        </w:tc>
      </w:tr>
    </w:tbl>
    <w:p w:rsidR="001B1D32" w:rsidRDefault="001B1D32">
      <w:pPr>
        <w:spacing w:line="360" w:lineRule="auto"/>
        <w:jc w:val="both"/>
        <w:rPr>
          <w:rFonts w:ascii="Palatino Linotype" w:hAnsi="Palatino Linotype" w:cs="Arial"/>
        </w:rPr>
      </w:pPr>
    </w:p>
    <w:p w:rsidR="001B1D32" w:rsidRDefault="00FF18EF">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En ese contexto, este Instituto analizó la totalidad de las constancias que integran el expediente electrónico del </w:t>
      </w:r>
      <w:r>
        <w:rPr>
          <w:rFonts w:ascii="Palatino Linotype" w:eastAsia="Calibri" w:hAnsi="Palatino Linotype" w:cs="Arial"/>
          <w:b/>
        </w:rPr>
        <w:t xml:space="preserve">SAIMEX, </w:t>
      </w:r>
      <w:r>
        <w:rPr>
          <w:rFonts w:ascii="Palatino Linotype" w:eastAsia="Calibri" w:hAnsi="Palatino Linotype" w:cs="Arial"/>
        </w:rPr>
        <w:t xml:space="preserve">y se concluye que la controversia en el presente asunto radica en que </w:t>
      </w:r>
      <w:r>
        <w:rPr>
          <w:rFonts w:ascii="Palatino Linotype" w:eastAsia="Calibri" w:hAnsi="Palatino Linotype" w:cs="Arial"/>
          <w:b/>
        </w:rPr>
        <w:t xml:space="preserve">EL SUJETO OBLIGADO </w:t>
      </w:r>
      <w:r>
        <w:rPr>
          <w:rFonts w:ascii="Palatino Linotype" w:eastAsia="Calibri" w:hAnsi="Palatino Linotype" w:cs="Arial"/>
        </w:rPr>
        <w:t>satisfizo o no, el derecho de acceso a la información pública del particular mediante respuesta.</w:t>
      </w:r>
    </w:p>
    <w:p w:rsidR="001B1D32" w:rsidRDefault="001B1D32">
      <w:pPr>
        <w:spacing w:beforeAutospacing="1" w:afterAutospacing="1" w:line="360" w:lineRule="auto"/>
        <w:contextualSpacing/>
        <w:jc w:val="both"/>
        <w:rPr>
          <w:rFonts w:ascii="Palatino Linotype" w:eastAsia="Calibri" w:hAnsi="Palatino Linotype" w:cs="Arial"/>
        </w:rPr>
      </w:pPr>
    </w:p>
    <w:p w:rsidR="001B1D32" w:rsidRDefault="00FF18EF">
      <w:pPr>
        <w:spacing w:beforeAutospacing="1" w:afterAutospacing="1" w:line="360" w:lineRule="auto"/>
        <w:contextualSpacing/>
        <w:jc w:val="both"/>
        <w:rPr>
          <w:rFonts w:ascii="Palatino Linotype" w:hAnsi="Palatino Linotype" w:cs="Arial"/>
        </w:rPr>
      </w:pPr>
      <w:r>
        <w:rPr>
          <w:rFonts w:ascii="Palatino Linotype" w:eastAsia="Calibri" w:hAnsi="Palatino Linotype" w:cs="Arial"/>
        </w:rPr>
        <w:t xml:space="preserve">Es este mismo orden de ideas, es importante recordar que el particular solicitó conocer </w:t>
      </w:r>
      <w:r>
        <w:rPr>
          <w:rFonts w:ascii="Palatino Linotype" w:hAnsi="Palatino Linotype"/>
        </w:rPr>
        <w:t xml:space="preserve">el periodo vacacional y el receso escolar a que tienen derecho los servidores públicos docentes adscritos a la Dirección General de Educación Media Superior; así, mediante respuesta </w:t>
      </w:r>
      <w:r>
        <w:rPr>
          <w:rFonts w:ascii="Palatino Linotype" w:hAnsi="Palatino Linotype"/>
          <w:b/>
        </w:rPr>
        <w:t>EL SUJETO OBLIGADO</w:t>
      </w:r>
      <w:r>
        <w:rPr>
          <w:rFonts w:ascii="Palatino Linotype" w:hAnsi="Palatino Linotype"/>
        </w:rPr>
        <w:t xml:space="preserve">, señaló que, el particular podría consultar el Calendario Escolar 2019-2020, publicado en la Gaceta de Gobierno del Estado Libre y Soberano de México, el 5 de agosto de 2019, visible en la página electrónica https://legislacion.edomex.gob.mx/ve_periodico_oficial; así como, el Reglamento de Condiciones Generales del Trabajo de los Servidores Públicos Docentes del Subsistema Educativo Estatal, en su CAPÍTULO XI DE LOS DESCANSOS, articulo 123 y CAPÍTULO XII DE LAS VACACIONES, en sus artículos 124 y 125 y artículo sexto del Acuerdo por el que se establece el “CALENDARIO OFICIAL QUE REGIRÁ </w:t>
      </w:r>
      <w:r>
        <w:rPr>
          <w:rFonts w:ascii="Palatino Linotype" w:hAnsi="Palatino Linotype"/>
        </w:rPr>
        <w:lastRenderedPageBreak/>
        <w:t xml:space="preserve">DURANTE EL AÑO 2020”, publicado en Gaceta de Gobierno el 26 de diciembre de 2019 y adjuntó </w:t>
      </w:r>
      <w:r>
        <w:rPr>
          <w:rFonts w:ascii="Palatino Linotype" w:hAnsi="Palatino Linotype" w:cs="Arial"/>
        </w:rPr>
        <w:t>el</w:t>
      </w:r>
      <w:r>
        <w:rPr>
          <w:rFonts w:ascii="Palatino Linotype" w:hAnsi="Palatino Linotype" w:cs="Arial"/>
          <w:b/>
          <w:i/>
        </w:rPr>
        <w:t xml:space="preserve"> </w:t>
      </w:r>
      <w:r>
        <w:rPr>
          <w:rFonts w:ascii="Palatino Linotype" w:hAnsi="Palatino Linotype" w:cs="Arial"/>
        </w:rPr>
        <w:t xml:space="preserve">Periódico Oficial, “Gaceta de Gobierno” de fecha 5 de agosto de 2019, donde se estableció el calendario escolar 2019 y 2020 para instituciones educativas dependientes de la Dirección General de Educación Media Superior.   </w:t>
      </w:r>
    </w:p>
    <w:p w:rsidR="001B1D32" w:rsidRDefault="001B1D32">
      <w:pPr>
        <w:spacing w:beforeAutospacing="1" w:afterAutospacing="1" w:line="360" w:lineRule="auto"/>
        <w:contextualSpacing/>
        <w:jc w:val="both"/>
        <w:rPr>
          <w:rFonts w:ascii="Palatino Linotype" w:hAnsi="Palatino Linotype" w:cs="Arial"/>
        </w:rPr>
      </w:pPr>
    </w:p>
    <w:p w:rsidR="001B1D32" w:rsidRDefault="00FF18EF">
      <w:pPr>
        <w:spacing w:line="360" w:lineRule="auto"/>
        <w:contextualSpacing/>
        <w:jc w:val="both"/>
        <w:rPr>
          <w:rFonts w:ascii="Palatino Linotype" w:hAnsi="Palatino Linotype" w:cs="Arial"/>
        </w:rPr>
      </w:pPr>
      <w:r>
        <w:rPr>
          <w:rFonts w:ascii="Palatino Linotype" w:hAnsi="Palatino Linotype" w:cs="Arial"/>
        </w:rPr>
        <w:t xml:space="preserve">De esta forma, se advierte que en el Periódico Oficial, “Gaceta de Gobierno” de fecha 5 de agosto de 2019, se publicó el calendario escolar 2019-2020 para instituciones educativas dependientes de la Dirección General de Educación Media Superior.   </w:t>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5743575" cy="41910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1"/>
                    <a:srcRect l="26487" t="13376" r="26955" b="6590"/>
                    <a:stretch>
                      <a:fillRect/>
                    </a:stretch>
                  </pic:blipFill>
                  <pic:spPr bwMode="auto">
                    <a:xfrm>
                      <a:off x="0" y="0"/>
                      <a:ext cx="5743575" cy="4191000"/>
                    </a:xfrm>
                    <a:prstGeom prst="rect">
                      <a:avLst/>
                    </a:prstGeom>
                  </pic:spPr>
                </pic:pic>
              </a:graphicData>
            </a:graphic>
          </wp:inline>
        </w:drawing>
      </w:r>
      <w:r>
        <w:rPr>
          <w:noProof/>
          <w:lang w:eastAsia="es-MX"/>
        </w:rPr>
        <mc:AlternateContent>
          <mc:Choice Requires="wps">
            <w:drawing>
              <wp:anchor distT="0" distB="0" distL="0" distR="0" simplePos="0" relativeHeight="87" behindDoc="0" locked="0" layoutInCell="1" allowOverlap="1" wp14:anchorId="5B98AA13">
                <wp:simplePos x="0" y="0"/>
                <wp:positionH relativeFrom="column">
                  <wp:posOffset>186690</wp:posOffset>
                </wp:positionH>
                <wp:positionV relativeFrom="paragraph">
                  <wp:posOffset>3673475</wp:posOffset>
                </wp:positionV>
                <wp:extent cx="2629535" cy="381635"/>
                <wp:effectExtent l="57150" t="38100" r="76200" b="95250"/>
                <wp:wrapNone/>
                <wp:docPr id="3" name="Rectángulo 11"/>
                <wp:cNvGraphicFramePr/>
                <a:graphic xmlns:a="http://schemas.openxmlformats.org/drawingml/2006/main">
                  <a:graphicData uri="http://schemas.microsoft.com/office/word/2010/wordprocessingShape">
                    <wps:wsp>
                      <wps:cNvSpPr/>
                      <wps:spPr>
                        <a:xfrm>
                          <a:off x="0" y="0"/>
                          <a:ext cx="2629080" cy="38088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1" stroked="t" style="position:absolute;margin-left:14.7pt;margin-top:289.25pt;width:206.95pt;height:29.95pt" wp14:anchorId="5B98AA13">
                <w10:wrap type="none"/>
                <v:fill o:detectmouseclick="t" on="false"/>
                <v:stroke color="red" weight="28440" joinstyle="round" endcap="flat"/>
                <v:shadow on="t" obscured="f" color="black"/>
              </v:rect>
            </w:pict>
          </mc:Fallback>
        </mc:AlternateContent>
      </w:r>
    </w:p>
    <w:p w:rsidR="001B1D32" w:rsidRDefault="00FF18EF">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800725" cy="7362825"/>
            <wp:effectExtent l="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pic:cNvPicPr>
                      <a:picLocks noChangeAspect="1" noChangeArrowheads="1"/>
                    </pic:cNvPicPr>
                  </pic:nvPicPr>
                  <pic:blipFill>
                    <a:blip r:embed="rId12"/>
                    <a:srcRect l="15956" t="19739" r="16953" b="5714"/>
                    <a:stretch>
                      <a:fillRect/>
                    </a:stretch>
                  </pic:blipFill>
                  <pic:spPr bwMode="auto">
                    <a:xfrm>
                      <a:off x="0" y="0"/>
                      <a:ext cx="5800725" cy="7362825"/>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800725" cy="237172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4"/>
                    <pic:cNvPicPr>
                      <a:picLocks noChangeAspect="1" noChangeArrowheads="1"/>
                    </pic:cNvPicPr>
                  </pic:nvPicPr>
                  <pic:blipFill>
                    <a:blip r:embed="rId13"/>
                    <a:srcRect l="7349" t="28071" r="6880" b="38396"/>
                    <a:stretch>
                      <a:fillRect/>
                    </a:stretch>
                  </pic:blipFill>
                  <pic:spPr bwMode="auto">
                    <a:xfrm>
                      <a:off x="0" y="0"/>
                      <a:ext cx="5800725" cy="2371725"/>
                    </a:xfrm>
                    <a:prstGeom prst="rect">
                      <a:avLst/>
                    </a:prstGeom>
                  </pic:spPr>
                </pic:pic>
              </a:graphicData>
            </a:graphic>
          </wp:inline>
        </w:drawing>
      </w:r>
      <w:r>
        <w:rPr>
          <w:noProof/>
          <w:lang w:eastAsia="es-MX"/>
        </w:rPr>
        <mc:AlternateContent>
          <mc:Choice Requires="wps">
            <w:drawing>
              <wp:anchor distT="0" distB="0" distL="0" distR="0" simplePos="0" relativeHeight="88" behindDoc="0" locked="0" layoutInCell="1" allowOverlap="1" wp14:anchorId="4CE59554">
                <wp:simplePos x="0" y="0"/>
                <wp:positionH relativeFrom="column">
                  <wp:posOffset>4434840</wp:posOffset>
                </wp:positionH>
                <wp:positionV relativeFrom="paragraph">
                  <wp:posOffset>45720</wp:posOffset>
                </wp:positionV>
                <wp:extent cx="1010285" cy="276860"/>
                <wp:effectExtent l="57150" t="38100" r="76200" b="104775"/>
                <wp:wrapNone/>
                <wp:docPr id="6" name="Rectángulo 15"/>
                <wp:cNvGraphicFramePr/>
                <a:graphic xmlns:a="http://schemas.openxmlformats.org/drawingml/2006/main">
                  <a:graphicData uri="http://schemas.microsoft.com/office/word/2010/wordprocessingShape">
                    <wps:wsp>
                      <wps:cNvSpPr/>
                      <wps:spPr>
                        <a:xfrm>
                          <a:off x="0" y="0"/>
                          <a:ext cx="1009800" cy="27612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5" stroked="t" style="position:absolute;margin-left:349.2pt;margin-top:3.6pt;width:79.45pt;height:21.7pt" wp14:anchorId="4CE59554">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89" behindDoc="0" locked="0" layoutInCell="1" allowOverlap="1" wp14:anchorId="6AF8454D">
                <wp:simplePos x="0" y="0"/>
                <wp:positionH relativeFrom="column">
                  <wp:posOffset>3158490</wp:posOffset>
                </wp:positionH>
                <wp:positionV relativeFrom="paragraph">
                  <wp:posOffset>1998345</wp:posOffset>
                </wp:positionV>
                <wp:extent cx="1010285" cy="276860"/>
                <wp:effectExtent l="57150" t="38100" r="76200" b="104775"/>
                <wp:wrapNone/>
                <wp:docPr id="7" name="Rectángulo 16"/>
                <wp:cNvGraphicFramePr/>
                <a:graphic xmlns:a="http://schemas.openxmlformats.org/drawingml/2006/main">
                  <a:graphicData uri="http://schemas.microsoft.com/office/word/2010/wordprocessingShape">
                    <wps:wsp>
                      <wps:cNvSpPr/>
                      <wps:spPr>
                        <a:xfrm>
                          <a:off x="0" y="0"/>
                          <a:ext cx="1009800" cy="27612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6" stroked="t" style="position:absolute;margin-left:248.7pt;margin-top:157.35pt;width:79.45pt;height:21.7pt" wp14:anchorId="6AF8454D">
                <w10:wrap type="none"/>
                <v:fill o:detectmouseclick="t" on="false"/>
                <v:stroke color="red" weight="28440" joinstyle="round" endcap="flat"/>
                <v:shadow on="t" obscured="f" color="black"/>
              </v:rect>
            </w:pict>
          </mc:Fallback>
        </mc:AlternateContent>
      </w:r>
    </w:p>
    <w:p w:rsidR="001B1D32" w:rsidRDefault="001B1D32">
      <w:pPr>
        <w:tabs>
          <w:tab w:val="left" w:pos="8080"/>
        </w:tabs>
        <w:spacing w:line="360" w:lineRule="auto"/>
        <w:ind w:right="49"/>
        <w:jc w:val="both"/>
        <w:rPr>
          <w:rFonts w:ascii="Palatino Linotype" w:hAnsi="Palatino Linotype" w:cs="Arial"/>
        </w:rPr>
      </w:pPr>
    </w:p>
    <w:p w:rsidR="001B1D32" w:rsidRDefault="0078355B">
      <w:pPr>
        <w:tabs>
          <w:tab w:val="left" w:pos="8080"/>
        </w:tabs>
        <w:spacing w:line="360" w:lineRule="auto"/>
        <w:ind w:right="49"/>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2122170</wp:posOffset>
                </wp:positionV>
                <wp:extent cx="5905500" cy="2324100"/>
                <wp:effectExtent l="38100" t="38100" r="76200" b="95250"/>
                <wp:wrapNone/>
                <wp:docPr id="32" name="Conector recto 32"/>
                <wp:cNvGraphicFramePr/>
                <a:graphic xmlns:a="http://schemas.openxmlformats.org/drawingml/2006/main">
                  <a:graphicData uri="http://schemas.microsoft.com/office/word/2010/wordprocessingShape">
                    <wps:wsp>
                      <wps:cNvCnPr/>
                      <wps:spPr>
                        <a:xfrm>
                          <a:off x="0" y="0"/>
                          <a:ext cx="5905500" cy="2324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CC0147" id="Conector recto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67.1pt" to="464.7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" strokecolor="#4f81bd [3204]" strokeweight="2pt">
                <v:shadow on="t" color="black" opacity="24903f" origin=",.5" offset="0,.55556mm"/>
              </v:line>
            </w:pict>
          </mc:Fallback>
        </mc:AlternateContent>
      </w:r>
      <w:r w:rsidR="00FF18EF">
        <w:rPr>
          <w:rFonts w:ascii="Palatino Linotype" w:hAnsi="Palatino Linotype" w:cs="Arial"/>
        </w:rPr>
        <w:t xml:space="preserve">De esta forma, </w:t>
      </w:r>
      <w:r w:rsidR="00FF18EF">
        <w:rPr>
          <w:rFonts w:ascii="Palatino Linotype" w:hAnsi="Palatino Linotype" w:cs="Arial"/>
          <w:b/>
        </w:rPr>
        <w:t>EL SUJETO OBLIGADO</w:t>
      </w:r>
      <w:r w:rsidR="00FF18EF">
        <w:rPr>
          <w:rFonts w:ascii="Palatino Linotype" w:hAnsi="Palatino Linotype" w:cs="Arial"/>
        </w:rPr>
        <w:t>, señaló que la información solicitada, correspondiente al</w:t>
      </w:r>
      <w:r w:rsidR="00FF18EF">
        <w:rPr>
          <w:rFonts w:ascii="Palatino Linotype" w:hAnsi="Palatino Linotype"/>
        </w:rPr>
        <w:t xml:space="preserve"> periodo vacacional y el receso escolar a que tienen derecho los servidores públicos docentes adscritos a la Dirección General de Educación Media Superior; podría ser consultada en el Calendario Escolar 2019-2020, publicado en la Gaceta de Gobierno del Estado Libre y Soberano de México, el 5 de agosto de 2019, visible en la página electrónica </w:t>
      </w:r>
      <w:hyperlink r:id="rId14">
        <w:r w:rsidR="00FF18EF">
          <w:rPr>
            <w:rStyle w:val="Hipervnculo"/>
            <w:rFonts w:ascii="Palatino Linotype" w:hAnsi="Palatino Linotype"/>
            <w:spacing w:val="-20"/>
          </w:rPr>
          <w:t>https://legislacion.edomex.gob.mx/ve_periodico_oficial</w:t>
        </w:r>
      </w:hyperlink>
      <w:r w:rsidR="00FF18EF">
        <w:rPr>
          <w:rFonts w:ascii="Palatino Linotype" w:hAnsi="Palatino Linotype"/>
          <w:spacing w:val="-20"/>
        </w:rPr>
        <w:t xml:space="preserve">, </w:t>
      </w:r>
      <w:r w:rsidR="00FF18EF">
        <w:rPr>
          <w:rFonts w:ascii="Palatino Linotype" w:hAnsi="Palatino Linotype"/>
        </w:rPr>
        <w:t>la cual remite a la Dirección de Legalización y del Periódico Oficial “Gaceta de Gobierno”:</w:t>
      </w:r>
    </w:p>
    <w:p w:rsidR="001B1D32" w:rsidRDefault="00FF18EF">
      <w:pPr>
        <w:tabs>
          <w:tab w:val="left" w:pos="8080"/>
        </w:tabs>
        <w:spacing w:line="360" w:lineRule="auto"/>
        <w:ind w:right="49"/>
        <w:jc w:val="both"/>
        <w:rPr>
          <w:rFonts w:ascii="Palatino Linotype" w:hAnsi="Palatino Linotype"/>
        </w:rPr>
      </w:pPr>
      <w:r>
        <w:rPr>
          <w:noProof/>
          <w:lang w:eastAsia="es-MX"/>
        </w:rPr>
        <w:lastRenderedPageBreak/>
        <w:drawing>
          <wp:inline distT="0" distB="0" distL="0" distR="0">
            <wp:extent cx="5695950" cy="2581275"/>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7"/>
                    <pic:cNvPicPr>
                      <a:picLocks noChangeAspect="1" noChangeArrowheads="1"/>
                    </pic:cNvPicPr>
                  </pic:nvPicPr>
                  <pic:blipFill>
                    <a:blip r:embed="rId15"/>
                    <a:srcRect t="4385" r="4617" b="8568"/>
                    <a:stretch>
                      <a:fillRect/>
                    </a:stretch>
                  </pic:blipFill>
                  <pic:spPr bwMode="auto">
                    <a:xfrm>
                      <a:off x="0" y="0"/>
                      <a:ext cx="5695950" cy="2581275"/>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rPr>
      </w:pPr>
      <w:r>
        <w:rPr>
          <w:rFonts w:ascii="Palatino Linotype" w:hAnsi="Palatino Linotype"/>
        </w:rPr>
        <w:t xml:space="preserve">No obstante a ello y aunque la fuente señalada implica que el particular haga una búsqueda de la información que ya ha sido publicada previamente al público en general, </w:t>
      </w:r>
      <w:r>
        <w:rPr>
          <w:rFonts w:ascii="Palatino Linotype" w:hAnsi="Palatino Linotype"/>
          <w:b/>
        </w:rPr>
        <w:t>EL SUJETO OBLIGADO</w:t>
      </w:r>
      <w:r>
        <w:rPr>
          <w:rFonts w:ascii="Palatino Linotype" w:hAnsi="Palatino Linotype"/>
        </w:rPr>
        <w:t>, adjuntó a su respuesta el Calendario Escolar 2019-2020, que el particular, debía consultar en la página electrónica señalada, el cual marca como receso del clases los días uno, dos, cinco, seis, siete, ocho y nueve del mes de agosto de dos mil diecinueve y los días diecisiete, veinte, veintiuno, veintidós, veintitrés, veinticuatro, veintisiete, veintiocho, veintinueve, treinta y treinta y uno del mes de julio de dos mil veinte, como se observa a continuación:</w:t>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2620645" cy="1597660"/>
            <wp:effectExtent l="0" t="0" r="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9"/>
                    <pic:cNvPicPr>
                      <a:picLocks noChangeAspect="1" noChangeArrowheads="1"/>
                    </pic:cNvPicPr>
                  </pic:nvPicPr>
                  <pic:blipFill>
                    <a:blip r:embed="rId16"/>
                    <a:srcRect l="65242" t="58524" r="20540" b="19026"/>
                    <a:stretch>
                      <a:fillRect/>
                    </a:stretch>
                  </pic:blipFill>
                  <pic:spPr bwMode="auto">
                    <a:xfrm>
                      <a:off x="0" y="0"/>
                      <a:ext cx="2620645" cy="1597660"/>
                    </a:xfrm>
                    <a:prstGeom prst="rect">
                      <a:avLst/>
                    </a:prstGeom>
                  </pic:spPr>
                </pic:pic>
              </a:graphicData>
            </a:graphic>
          </wp:inline>
        </w:drawing>
      </w:r>
      <w:r>
        <w:rPr>
          <w:noProof/>
          <w:lang w:eastAsia="es-MX"/>
        </w:rPr>
        <w:drawing>
          <wp:anchor distT="0" distB="0" distL="114300" distR="114300" simplePos="0" relativeHeight="90" behindDoc="0" locked="0" layoutInCell="1" allowOverlap="1">
            <wp:simplePos x="0" y="0"/>
            <wp:positionH relativeFrom="margin">
              <wp:posOffset>215900</wp:posOffset>
            </wp:positionH>
            <wp:positionV relativeFrom="paragraph">
              <wp:posOffset>208915</wp:posOffset>
            </wp:positionV>
            <wp:extent cx="2400935" cy="1456690"/>
            <wp:effectExtent l="0" t="0" r="0" b="0"/>
            <wp:wrapSquare wrapText="bothSides"/>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16"/>
                    <a:srcRect l="23080" t="12259" r="63743" b="66703"/>
                    <a:stretch>
                      <a:fillRect/>
                    </a:stretch>
                  </pic:blipFill>
                  <pic:spPr bwMode="auto">
                    <a:xfrm>
                      <a:off x="0" y="0"/>
                      <a:ext cx="2400935" cy="1456690"/>
                    </a:xfrm>
                    <a:prstGeom prst="rect">
                      <a:avLst/>
                    </a:prstGeom>
                  </pic:spPr>
                </pic:pic>
              </a:graphicData>
            </a:graphic>
          </wp:anchor>
        </w:drawing>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2029460" cy="311150"/>
            <wp:effectExtent l="0" t="0" r="0" b="0"/>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
                    <pic:cNvPicPr>
                      <a:picLocks noChangeAspect="1" noChangeArrowheads="1"/>
                    </pic:cNvPicPr>
                  </pic:nvPicPr>
                  <pic:blipFill>
                    <a:blip r:embed="rId13"/>
                    <a:srcRect l="72698" t="28071" r="13280" b="67239"/>
                    <a:stretch>
                      <a:fillRect/>
                    </a:stretch>
                  </pic:blipFill>
                  <pic:spPr bwMode="auto">
                    <a:xfrm>
                      <a:off x="0" y="0"/>
                      <a:ext cx="2029460" cy="311150"/>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cs="Arial"/>
        </w:rPr>
      </w:pPr>
      <w:r>
        <w:rPr>
          <w:rFonts w:ascii="Palatino Linotype" w:hAnsi="Palatino Linotype" w:cs="Arial"/>
        </w:rPr>
        <w:lastRenderedPageBreak/>
        <w:t>De igual manera, el multicitado calendario escolar, expone como periodo vacacional, del día veintitrés de enero de dos mil diecinueve al siete de enero de dos mil veinte y del seis al diecisiete de abril de dos mil veinte, como se advierte de las siguientes imágenes:</w:t>
      </w:r>
    </w:p>
    <w:p w:rsidR="001B1D32" w:rsidRDefault="001B1D32">
      <w:pPr>
        <w:tabs>
          <w:tab w:val="left" w:pos="8080"/>
        </w:tabs>
        <w:spacing w:line="360" w:lineRule="auto"/>
        <w:ind w:right="49"/>
        <w:jc w:val="both"/>
        <w:rPr>
          <w:rFonts w:ascii="Palatino Linotype" w:hAnsi="Palatino Linotype" w:cs="Arial"/>
        </w:rPr>
      </w:pPr>
    </w:p>
    <w:p w:rsidR="001B1D32" w:rsidRDefault="00FF18EF">
      <w:pPr>
        <w:tabs>
          <w:tab w:val="left" w:pos="8080"/>
        </w:tabs>
        <w:spacing w:line="360" w:lineRule="auto"/>
        <w:ind w:left="709" w:right="616"/>
        <w:jc w:val="both"/>
        <w:rPr>
          <w:rFonts w:ascii="Palatino Linotype" w:hAnsi="Palatino Linotype" w:cs="Arial"/>
        </w:rPr>
      </w:pPr>
      <w:r>
        <w:rPr>
          <w:noProof/>
          <w:lang w:eastAsia="es-MX"/>
        </w:rPr>
        <w:drawing>
          <wp:inline distT="0" distB="0" distL="0" distR="0">
            <wp:extent cx="5001895" cy="1444625"/>
            <wp:effectExtent l="0" t="0" r="0" b="0"/>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1"/>
                    <pic:cNvPicPr>
                      <a:picLocks noChangeAspect="1" noChangeArrowheads="1"/>
                    </pic:cNvPicPr>
                  </pic:nvPicPr>
                  <pic:blipFill>
                    <a:blip r:embed="rId17"/>
                    <a:srcRect l="23205" t="43031" r="48821" b="33366"/>
                    <a:stretch>
                      <a:fillRect/>
                    </a:stretch>
                  </pic:blipFill>
                  <pic:spPr bwMode="auto">
                    <a:xfrm>
                      <a:off x="0" y="0"/>
                      <a:ext cx="5001895" cy="1444625"/>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2622550" cy="1717675"/>
            <wp:effectExtent l="0" t="0" r="0" b="0"/>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
                    <pic:cNvPicPr>
                      <a:picLocks noChangeAspect="1" noChangeArrowheads="1"/>
                    </pic:cNvPicPr>
                  </pic:nvPicPr>
                  <pic:blipFill>
                    <a:blip r:embed="rId17"/>
                    <a:srcRect l="23216" t="66191" r="63437" b="9070"/>
                    <a:stretch>
                      <a:fillRect/>
                    </a:stretch>
                  </pic:blipFill>
                  <pic:spPr bwMode="auto">
                    <a:xfrm>
                      <a:off x="0" y="0"/>
                      <a:ext cx="2622550" cy="1717675"/>
                    </a:xfrm>
                    <a:prstGeom prst="rect">
                      <a:avLst/>
                    </a:prstGeom>
                  </pic:spPr>
                </pic:pic>
              </a:graphicData>
            </a:graphic>
          </wp:inline>
        </w:drawing>
      </w:r>
      <w:r>
        <w:rPr>
          <w:noProof/>
          <w:lang w:eastAsia="es-MX"/>
        </w:rPr>
        <w:drawing>
          <wp:inline distT="0" distB="0" distL="0" distR="0">
            <wp:extent cx="2311400" cy="356870"/>
            <wp:effectExtent l="0" t="0" r="0" b="0"/>
            <wp:docPr id="1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4"/>
                    <pic:cNvPicPr>
                      <a:picLocks noChangeAspect="1" noChangeArrowheads="1"/>
                    </pic:cNvPicPr>
                  </pic:nvPicPr>
                  <pic:blipFill>
                    <a:blip r:embed="rId13"/>
                    <a:srcRect l="52597" t="56555" r="29709" b="38396"/>
                    <a:stretch>
                      <a:fillRect/>
                    </a:stretch>
                  </pic:blipFill>
                  <pic:spPr bwMode="auto">
                    <a:xfrm>
                      <a:off x="0" y="0"/>
                      <a:ext cx="2311400" cy="356870"/>
                    </a:xfrm>
                    <a:prstGeom prst="rect">
                      <a:avLst/>
                    </a:prstGeom>
                  </pic:spPr>
                </pic:pic>
              </a:graphicData>
            </a:graphic>
          </wp:inline>
        </w:drawing>
      </w:r>
    </w:p>
    <w:p w:rsidR="001B1D32" w:rsidRDefault="001B1D32">
      <w:pPr>
        <w:tabs>
          <w:tab w:val="left" w:pos="8080"/>
        </w:tabs>
        <w:spacing w:line="360" w:lineRule="auto"/>
        <w:ind w:right="49"/>
        <w:jc w:val="both"/>
        <w:rPr>
          <w:rFonts w:ascii="Palatino Linotype" w:hAnsi="Palatino Linotype" w:cs="Arial"/>
        </w:rPr>
      </w:pPr>
    </w:p>
    <w:p w:rsidR="001B1D32" w:rsidRDefault="00FF18EF">
      <w:pPr>
        <w:tabs>
          <w:tab w:val="left" w:pos="8080"/>
        </w:tabs>
        <w:spacing w:line="360" w:lineRule="auto"/>
        <w:ind w:right="49"/>
        <w:jc w:val="both"/>
        <w:rPr>
          <w:rFonts w:ascii="Palatino Linotype" w:hAnsi="Palatino Linotype" w:cs="Arial"/>
        </w:rPr>
      </w:pPr>
      <w:r>
        <w:rPr>
          <w:rFonts w:ascii="Palatino Linotype" w:hAnsi="Palatino Linotype" w:cs="Arial"/>
        </w:rPr>
        <w:t xml:space="preserve">En este mismo contexto, </w:t>
      </w:r>
      <w:r>
        <w:rPr>
          <w:rFonts w:ascii="Palatino Linotype" w:hAnsi="Palatino Linotype" w:cs="Arial"/>
          <w:b/>
        </w:rPr>
        <w:t>EL SUJETO OBLIGADO</w:t>
      </w:r>
      <w:r>
        <w:rPr>
          <w:rFonts w:ascii="Palatino Linotype" w:hAnsi="Palatino Linotype" w:cs="Arial"/>
        </w:rPr>
        <w:t xml:space="preserve">, manifestó que respecto al receso y periodo vacacional de los servidores públicos docentes adscritos a la Dirección General de Educación Media Superior, </w:t>
      </w:r>
      <w:r>
        <w:rPr>
          <w:rFonts w:ascii="Palatino Linotype" w:hAnsi="Palatino Linotype"/>
        </w:rPr>
        <w:t>el particular debía consultar lo señalado en el Reglamento de Condiciones Generales del Trabajo de los Servidores Públicos Docentes del Subsistema Educativo Estatal</w:t>
      </w:r>
      <w:r>
        <w:rPr>
          <w:rStyle w:val="FootnoteAnchor"/>
          <w:rFonts w:ascii="Palatino Linotype" w:hAnsi="Palatino Linotype"/>
        </w:rPr>
        <w:footnoteReference w:id="1"/>
      </w:r>
      <w:r>
        <w:rPr>
          <w:rFonts w:ascii="Palatino Linotype" w:hAnsi="Palatino Linotype"/>
        </w:rPr>
        <w:t xml:space="preserve">, en su CAPÍTULO XI DE LOS DESCANSOS, articulo 123 y CAPÍTULO XII DE LAS VACACIONES, en sus artículos 124 y 125 y artículo </w:t>
      </w:r>
      <w:r>
        <w:rPr>
          <w:rFonts w:ascii="Palatino Linotype" w:hAnsi="Palatino Linotype"/>
        </w:rPr>
        <w:lastRenderedPageBreak/>
        <w:t>sexto del Acuerdo por el que se establece el “CALENDARIO OFICIAL QUE REGIRÁ DURANTE EL AÑO 2020”</w:t>
      </w:r>
      <w:r>
        <w:rPr>
          <w:rStyle w:val="FootnoteAnchor"/>
          <w:rFonts w:ascii="Palatino Linotype" w:hAnsi="Palatino Linotype"/>
        </w:rPr>
        <w:footnoteReference w:id="2"/>
      </w:r>
      <w:r>
        <w:rPr>
          <w:rFonts w:ascii="Palatino Linotype" w:hAnsi="Palatino Linotype"/>
        </w:rPr>
        <w:t>, publicado en Gaceta de Gobierno el 26 de diciembre de 2019, los cuales señalan lo siguiente:</w:t>
      </w:r>
    </w:p>
    <w:p w:rsidR="001B1D32" w:rsidRDefault="001B1D32">
      <w:pPr>
        <w:tabs>
          <w:tab w:val="left" w:pos="8080"/>
        </w:tabs>
        <w:ind w:right="51"/>
        <w:jc w:val="center"/>
        <w:rPr>
          <w:rFonts w:ascii="Palatino Linotype" w:hAnsi="Palatino Linotype"/>
          <w:b/>
          <w:sz w:val="22"/>
          <w:szCs w:val="22"/>
        </w:rPr>
      </w:pPr>
    </w:p>
    <w:p w:rsidR="001B1D32" w:rsidRDefault="00FF18EF">
      <w:pPr>
        <w:tabs>
          <w:tab w:val="left" w:pos="8080"/>
        </w:tabs>
        <w:ind w:right="51"/>
        <w:jc w:val="center"/>
        <w:rPr>
          <w:rFonts w:ascii="Palatino Linotype" w:hAnsi="Palatino Linotype"/>
          <w:b/>
          <w:sz w:val="22"/>
          <w:szCs w:val="22"/>
        </w:rPr>
      </w:pPr>
      <w:r>
        <w:rPr>
          <w:rFonts w:ascii="Palatino Linotype" w:hAnsi="Palatino Linotype"/>
          <w:b/>
          <w:sz w:val="22"/>
          <w:szCs w:val="22"/>
        </w:rPr>
        <w:t xml:space="preserve">Reglamento de Condiciones Generales del Trabajo de los Servidores </w:t>
      </w:r>
    </w:p>
    <w:p w:rsidR="001B1D32" w:rsidRDefault="00FF18EF">
      <w:pPr>
        <w:tabs>
          <w:tab w:val="left" w:pos="8080"/>
        </w:tabs>
        <w:ind w:right="51"/>
        <w:jc w:val="center"/>
        <w:rPr>
          <w:rFonts w:ascii="Palatino Linotype" w:hAnsi="Palatino Linotype"/>
          <w:b/>
          <w:sz w:val="22"/>
          <w:szCs w:val="22"/>
        </w:rPr>
      </w:pPr>
      <w:r>
        <w:rPr>
          <w:rFonts w:ascii="Palatino Linotype" w:hAnsi="Palatino Linotype"/>
          <w:b/>
          <w:sz w:val="22"/>
          <w:szCs w:val="22"/>
        </w:rPr>
        <w:t>Públicos Docentes del Subsistema Educativo Estatal</w:t>
      </w:r>
    </w:p>
    <w:p w:rsidR="001B1D32" w:rsidRDefault="00FF18EF">
      <w:pPr>
        <w:tabs>
          <w:tab w:val="left" w:pos="8080"/>
        </w:tabs>
        <w:spacing w:line="360" w:lineRule="auto"/>
        <w:ind w:right="49"/>
        <w:jc w:val="center"/>
        <w:rPr>
          <w:rFonts w:ascii="Palatino Linotype" w:hAnsi="Palatino Linotype"/>
          <w:b/>
          <w:sz w:val="22"/>
          <w:szCs w:val="22"/>
        </w:rPr>
      </w:pPr>
      <w:r>
        <w:rPr>
          <w:noProof/>
          <w:lang w:eastAsia="es-MX"/>
        </w:rPr>
        <w:drawing>
          <wp:inline distT="0" distB="0" distL="0" distR="0">
            <wp:extent cx="5331460" cy="1216025"/>
            <wp:effectExtent l="0" t="0" r="0" b="0"/>
            <wp:docPr id="1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33"/>
                    <pic:cNvPicPr>
                      <a:picLocks noChangeAspect="1" noChangeArrowheads="1"/>
                    </pic:cNvPicPr>
                  </pic:nvPicPr>
                  <pic:blipFill>
                    <a:blip r:embed="rId18"/>
                    <a:srcRect l="1823" t="29385" r="54173" b="55600"/>
                    <a:stretch>
                      <a:fillRect/>
                    </a:stretch>
                  </pic:blipFill>
                  <pic:spPr bwMode="auto">
                    <a:xfrm>
                      <a:off x="0" y="0"/>
                      <a:ext cx="5331460" cy="1216025"/>
                    </a:xfrm>
                    <a:prstGeom prst="rect">
                      <a:avLst/>
                    </a:prstGeom>
                  </pic:spPr>
                </pic:pic>
              </a:graphicData>
            </a:graphic>
          </wp:inline>
        </w:drawing>
      </w:r>
    </w:p>
    <w:p w:rsidR="001B1D32" w:rsidRDefault="001B1D32">
      <w:pPr>
        <w:tabs>
          <w:tab w:val="left" w:pos="8080"/>
        </w:tabs>
        <w:spacing w:line="360" w:lineRule="auto"/>
        <w:ind w:right="49"/>
        <w:jc w:val="both"/>
        <w:rPr>
          <w:rFonts w:ascii="Palatino Linotype" w:hAnsi="Palatino Linotype"/>
        </w:rPr>
      </w:pPr>
    </w:p>
    <w:p w:rsidR="001B1D32" w:rsidRDefault="00FF18EF">
      <w:pPr>
        <w:tabs>
          <w:tab w:val="left" w:pos="8080"/>
        </w:tabs>
        <w:spacing w:line="360" w:lineRule="auto"/>
        <w:ind w:right="49"/>
        <w:jc w:val="both"/>
        <w:rPr>
          <w:rFonts w:ascii="Palatino Linotype" w:hAnsi="Palatino Linotype"/>
        </w:rPr>
      </w:pPr>
      <w:r>
        <w:rPr>
          <w:noProof/>
          <w:lang w:eastAsia="es-MX"/>
        </w:rPr>
        <w:drawing>
          <wp:inline distT="0" distB="0" distL="0" distR="0">
            <wp:extent cx="5647055" cy="1306195"/>
            <wp:effectExtent l="0" t="0" r="0" b="0"/>
            <wp:docPr id="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5"/>
                    <pic:cNvPicPr>
                      <a:picLocks noChangeAspect="1" noChangeArrowheads="1"/>
                    </pic:cNvPicPr>
                  </pic:nvPicPr>
                  <pic:blipFill>
                    <a:blip r:embed="rId19"/>
                    <a:srcRect l="52235" t="15271" r="3178" b="61831"/>
                    <a:stretch>
                      <a:fillRect/>
                    </a:stretch>
                  </pic:blipFill>
                  <pic:spPr bwMode="auto">
                    <a:xfrm>
                      <a:off x="0" y="0"/>
                      <a:ext cx="5647055" cy="1306195"/>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rPr>
      </w:pPr>
      <w:r>
        <w:rPr>
          <w:noProof/>
          <w:lang w:eastAsia="es-MX"/>
        </w:rPr>
        <w:drawing>
          <wp:inline distT="0" distB="0" distL="0" distR="0">
            <wp:extent cx="5707380" cy="1657985"/>
            <wp:effectExtent l="0" t="0" r="0" b="0"/>
            <wp:docPr id="1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6"/>
                    <pic:cNvPicPr>
                      <a:picLocks noChangeAspect="1" noChangeArrowheads="1"/>
                    </pic:cNvPicPr>
                  </pic:nvPicPr>
                  <pic:blipFill>
                    <a:blip r:embed="rId19"/>
                    <a:srcRect l="4167" t="61772" r="51582" b="15556"/>
                    <a:stretch>
                      <a:fillRect/>
                    </a:stretch>
                  </pic:blipFill>
                  <pic:spPr bwMode="auto">
                    <a:xfrm>
                      <a:off x="0" y="0"/>
                      <a:ext cx="5707380" cy="1657985"/>
                    </a:xfrm>
                    <a:prstGeom prst="rect">
                      <a:avLst/>
                    </a:prstGeom>
                  </pic:spPr>
                </pic:pic>
              </a:graphicData>
            </a:graphic>
          </wp:inline>
        </w:drawing>
      </w:r>
    </w:p>
    <w:p w:rsidR="001B1D32" w:rsidRDefault="001B1D32">
      <w:pPr>
        <w:tabs>
          <w:tab w:val="left" w:pos="8080"/>
        </w:tabs>
        <w:spacing w:line="360" w:lineRule="auto"/>
        <w:ind w:right="49"/>
        <w:jc w:val="both"/>
        <w:rPr>
          <w:rFonts w:ascii="Palatino Linotype" w:hAnsi="Palatino Linotype"/>
        </w:rPr>
      </w:pPr>
    </w:p>
    <w:p w:rsidR="001B1D32" w:rsidRDefault="00FF18EF">
      <w:pPr>
        <w:tabs>
          <w:tab w:val="left" w:pos="8080"/>
        </w:tabs>
        <w:spacing w:line="360" w:lineRule="auto"/>
        <w:ind w:right="49"/>
        <w:jc w:val="both"/>
        <w:rPr>
          <w:rFonts w:ascii="Palatino Linotype" w:hAnsi="Palatino Linotype"/>
        </w:rPr>
      </w:pPr>
      <w:r>
        <w:rPr>
          <w:noProof/>
          <w:lang w:eastAsia="es-MX"/>
        </w:rPr>
        <w:lastRenderedPageBreak/>
        <w:drawing>
          <wp:inline distT="0" distB="0" distL="0" distR="0">
            <wp:extent cx="5776595" cy="3506470"/>
            <wp:effectExtent l="0" t="0" r="0" b="0"/>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7"/>
                    <pic:cNvPicPr>
                      <a:picLocks noChangeAspect="1" noChangeArrowheads="1"/>
                    </pic:cNvPicPr>
                  </pic:nvPicPr>
                  <pic:blipFill>
                    <a:blip r:embed="rId20"/>
                    <a:srcRect l="4337" t="29385" r="51080" b="16014"/>
                    <a:stretch>
                      <a:fillRect/>
                    </a:stretch>
                  </pic:blipFill>
                  <pic:spPr bwMode="auto">
                    <a:xfrm>
                      <a:off x="0" y="0"/>
                      <a:ext cx="5776595" cy="3506470"/>
                    </a:xfrm>
                    <a:prstGeom prst="rect">
                      <a:avLst/>
                    </a:prstGeom>
                  </pic:spPr>
                </pic:pic>
              </a:graphicData>
            </a:graphic>
          </wp:inline>
        </w:drawing>
      </w:r>
      <w:r>
        <w:rPr>
          <w:noProof/>
          <w:lang w:eastAsia="es-MX"/>
        </w:rPr>
        <mc:AlternateContent>
          <mc:Choice Requires="wps">
            <w:drawing>
              <wp:anchor distT="0" distB="0" distL="0" distR="0" simplePos="0" relativeHeight="91" behindDoc="0" locked="0" layoutInCell="1" allowOverlap="1" wp14:anchorId="54D304C9">
                <wp:simplePos x="0" y="0"/>
                <wp:positionH relativeFrom="margin">
                  <wp:align>right</wp:align>
                </wp:positionH>
                <wp:positionV relativeFrom="paragraph">
                  <wp:posOffset>767080</wp:posOffset>
                </wp:positionV>
                <wp:extent cx="5697855" cy="1769110"/>
                <wp:effectExtent l="57150" t="38100" r="74930" b="98425"/>
                <wp:wrapNone/>
                <wp:docPr id="19" name="Rectángulo 28"/>
                <wp:cNvGraphicFramePr/>
                <a:graphic xmlns:a="http://schemas.openxmlformats.org/drawingml/2006/main">
                  <a:graphicData uri="http://schemas.microsoft.com/office/word/2010/wordprocessingShape">
                    <wps:wsp>
                      <wps:cNvSpPr/>
                      <wps:spPr>
                        <a:xfrm>
                          <a:off x="0" y="0"/>
                          <a:ext cx="5697360" cy="176832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28" stroked="t" style="position:absolute;margin-left:1.5pt;margin-top:60.4pt;width:448.55pt;height:139.2pt;mso-position-horizontal:right;mso-position-horizontal-relative:margin" wp14:anchorId="54D304C9">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92" behindDoc="0" locked="0" layoutInCell="1" allowOverlap="1" wp14:anchorId="521651B2">
                <wp:simplePos x="0" y="0"/>
                <wp:positionH relativeFrom="column">
                  <wp:posOffset>4114800</wp:posOffset>
                </wp:positionH>
                <wp:positionV relativeFrom="paragraph">
                  <wp:posOffset>1993265</wp:posOffset>
                </wp:positionV>
                <wp:extent cx="1547495" cy="635"/>
                <wp:effectExtent l="38100" t="38100" r="72390" b="95250"/>
                <wp:wrapNone/>
                <wp:docPr id="20" name="Conector recto 29"/>
                <wp:cNvGraphicFramePr/>
                <a:graphic xmlns:a="http://schemas.openxmlformats.org/drawingml/2006/main">
                  <a:graphicData uri="http://schemas.microsoft.com/office/word/2010/wordprocessingShape">
                    <wps:wsp>
                      <wps:cNvCnPr/>
                      <wps:spPr>
                        <a:xfrm>
                          <a:off x="0" y="0"/>
                          <a:ext cx="1546920" cy="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324pt,156.95pt" to="445.75pt,156.95pt" ID="Conector recto 29" stroked="t" style="position:absolute" wp14:anchorId="521651B2">
                <v:stroke color="#4f81bd" weight="25560" joinstyle="round" endcap="flat"/>
                <v:fill o:detectmouseclick="t" on="false"/>
                <v:shadow on="t" obscured="f" color="black"/>
              </v:line>
            </w:pict>
          </mc:Fallback>
        </mc:AlternateContent>
      </w:r>
      <w:r>
        <w:rPr>
          <w:noProof/>
          <w:lang w:eastAsia="es-MX"/>
        </w:rPr>
        <mc:AlternateContent>
          <mc:Choice Requires="wps">
            <w:drawing>
              <wp:anchor distT="0" distB="0" distL="0" distR="0" simplePos="0" relativeHeight="93" behindDoc="0" locked="0" layoutInCell="1" allowOverlap="1" wp14:anchorId="5582A06C">
                <wp:simplePos x="0" y="0"/>
                <wp:positionH relativeFrom="margin">
                  <wp:align>left</wp:align>
                </wp:positionH>
                <wp:positionV relativeFrom="paragraph">
                  <wp:posOffset>2127885</wp:posOffset>
                </wp:positionV>
                <wp:extent cx="5687695" cy="10795"/>
                <wp:effectExtent l="38100" t="38100" r="66040" b="85725"/>
                <wp:wrapNone/>
                <wp:docPr id="21" name="Conector recto 30"/>
                <wp:cNvGraphicFramePr/>
                <a:graphic xmlns:a="http://schemas.openxmlformats.org/drawingml/2006/main">
                  <a:graphicData uri="http://schemas.microsoft.com/office/word/2010/wordprocessingShape">
                    <wps:wsp>
                      <wps:cNvCnPr/>
                      <wps:spPr>
                        <a:xfrm flipV="1">
                          <a:off x="0" y="0"/>
                          <a:ext cx="5686920" cy="10080"/>
                        </a:xfrm>
                        <a:prstGeom prst="line">
                          <a:avLst/>
                        </a:prstGeom>
                        <a:ln w="25560">
                          <a:solidFill>
                            <a:srgbClr val="4F81BD"/>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67.2pt" to="447.75pt,167.95pt" ID="Conector recto 30" stroked="t" style="position:absolute;flip:y;mso-position-horizontal:left;mso-position-horizontal-relative:margin" wp14:anchorId="5582A06C">
                <v:stroke color="#4f81bd" weight="25560" joinstyle="round" endcap="flat"/>
                <v:fill o:detectmouseclick="t" on="false"/>
                <v:shadow on="t" obscured="f" color="black"/>
              </v:line>
            </w:pict>
          </mc:Fallback>
        </mc:AlternateContent>
      </w:r>
      <w:r>
        <w:rPr>
          <w:noProof/>
          <w:lang w:eastAsia="es-MX"/>
        </w:rPr>
        <mc:AlternateContent>
          <mc:Choice Requires="wps">
            <w:drawing>
              <wp:anchor distT="0" distB="0" distL="0" distR="0" simplePos="0" relativeHeight="94" behindDoc="0" locked="0" layoutInCell="1" allowOverlap="1" wp14:anchorId="219B8C21">
                <wp:simplePos x="0" y="0"/>
                <wp:positionH relativeFrom="margin">
                  <wp:posOffset>15240</wp:posOffset>
                </wp:positionH>
                <wp:positionV relativeFrom="paragraph">
                  <wp:posOffset>2248535</wp:posOffset>
                </wp:positionV>
                <wp:extent cx="5687695" cy="10795"/>
                <wp:effectExtent l="38100" t="38100" r="66040" b="85725"/>
                <wp:wrapNone/>
                <wp:docPr id="22" name="Conector recto 31"/>
                <wp:cNvGraphicFramePr/>
                <a:graphic xmlns:a="http://schemas.openxmlformats.org/drawingml/2006/main">
                  <a:graphicData uri="http://schemas.microsoft.com/office/word/2010/wordprocessingShape">
                    <wps:wsp>
                      <wps:cNvCnPr/>
                      <wps:spPr>
                        <a:xfrm flipV="1">
                          <a:off x="0" y="0"/>
                          <a:ext cx="5686920" cy="9360"/>
                        </a:xfrm>
                        <a:prstGeom prst="line">
                          <a:avLst/>
                        </a:prstGeom>
                        <a:ln w="25560">
                          <a:solidFill>
                            <a:srgbClr val="4F81BD"/>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2pt,176.7pt" to="448.95pt,177.4pt" ID="Conector recto 31" stroked="t" style="position:absolute;flip:y;mso-position-horizontal-relative:margin" wp14:anchorId="219B8C21">
                <v:stroke color="#4f81bd" weight="25560" joinstyle="round" endcap="flat"/>
                <v:fill o:detectmouseclick="t" on="false"/>
                <v:shadow on="t" obscured="f" color="black"/>
              </v:line>
            </w:pict>
          </mc:Fallback>
        </mc:AlternateContent>
      </w:r>
      <w:r>
        <w:rPr>
          <w:noProof/>
          <w:lang w:eastAsia="es-MX"/>
        </w:rPr>
        <mc:AlternateContent>
          <mc:Choice Requires="wps">
            <w:drawing>
              <wp:anchor distT="0" distB="0" distL="0" distR="0" simplePos="0" relativeHeight="95" behindDoc="0" locked="0" layoutInCell="1" allowOverlap="1" wp14:anchorId="1CA18633">
                <wp:simplePos x="0" y="0"/>
                <wp:positionH relativeFrom="margin">
                  <wp:align>right</wp:align>
                </wp:positionH>
                <wp:positionV relativeFrom="paragraph">
                  <wp:posOffset>2384425</wp:posOffset>
                </wp:positionV>
                <wp:extent cx="5717540" cy="20955"/>
                <wp:effectExtent l="38100" t="38100" r="74295" b="94615"/>
                <wp:wrapNone/>
                <wp:docPr id="23" name="Conector recto 32"/>
                <wp:cNvGraphicFramePr/>
                <a:graphic xmlns:a="http://schemas.openxmlformats.org/drawingml/2006/main">
                  <a:graphicData uri="http://schemas.microsoft.com/office/word/2010/wordprocessingShape">
                    <wps:wsp>
                      <wps:cNvCnPr/>
                      <wps:spPr>
                        <a:xfrm flipV="1">
                          <a:off x="0" y="0"/>
                          <a:ext cx="5716800" cy="20160"/>
                        </a:xfrm>
                        <a:prstGeom prst="line">
                          <a:avLst/>
                        </a:prstGeom>
                        <a:ln w="25560">
                          <a:solidFill>
                            <a:srgbClr val="4F81BD"/>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85pt,187pt" to="455.95pt,188.55pt" ID="Conector recto 32" stroked="t" style="position:absolute;flip:y;mso-position-horizontal:right;mso-position-horizontal-relative:margin" wp14:anchorId="1CA18633">
                <v:stroke color="#4f81bd" weight="25560" joinstyle="round" endcap="flat"/>
                <v:fill o:detectmouseclick="t" on="false"/>
                <v:shadow on="t" obscured="f" color="black"/>
              </v:line>
            </w:pict>
          </mc:Fallback>
        </mc:AlternateContent>
      </w:r>
    </w:p>
    <w:p w:rsidR="001B1D32" w:rsidRDefault="001B1D32">
      <w:pPr>
        <w:tabs>
          <w:tab w:val="left" w:pos="8080"/>
        </w:tabs>
        <w:spacing w:line="360" w:lineRule="auto"/>
        <w:ind w:right="49"/>
        <w:jc w:val="both"/>
        <w:rPr>
          <w:rFonts w:ascii="Palatino Linotype" w:hAnsi="Palatino Linotype" w:cs="Arial"/>
        </w:rPr>
      </w:pPr>
    </w:p>
    <w:p w:rsidR="001B1D32" w:rsidRDefault="00FF18EF">
      <w:pPr>
        <w:tabs>
          <w:tab w:val="left" w:pos="8080"/>
        </w:tabs>
        <w:ind w:right="51"/>
        <w:jc w:val="center"/>
        <w:rPr>
          <w:rFonts w:ascii="Palatino Linotype" w:hAnsi="Palatino Linotype" w:cs="Arial"/>
          <w:b/>
          <w:sz w:val="22"/>
          <w:szCs w:val="22"/>
        </w:rPr>
      </w:pPr>
      <w:r>
        <w:rPr>
          <w:rFonts w:ascii="Palatino Linotype" w:hAnsi="Palatino Linotype" w:cs="Arial"/>
          <w:b/>
          <w:sz w:val="22"/>
          <w:szCs w:val="22"/>
        </w:rPr>
        <w:t>Acuerdo por el que se establece el</w:t>
      </w:r>
    </w:p>
    <w:p w:rsidR="001B1D32" w:rsidRDefault="00FF18EF">
      <w:pPr>
        <w:tabs>
          <w:tab w:val="left" w:pos="8080"/>
        </w:tabs>
        <w:ind w:right="51"/>
        <w:jc w:val="center"/>
        <w:rPr>
          <w:rFonts w:ascii="Palatino Linotype" w:hAnsi="Palatino Linotype" w:cs="Arial"/>
          <w:b/>
          <w:sz w:val="22"/>
          <w:szCs w:val="22"/>
        </w:rPr>
      </w:pPr>
      <w:r>
        <w:rPr>
          <w:rFonts w:ascii="Palatino Linotype" w:hAnsi="Palatino Linotype" w:cs="Arial"/>
          <w:b/>
          <w:sz w:val="22"/>
          <w:szCs w:val="22"/>
        </w:rPr>
        <w:t>“Calendario oficial que regirá durante el año 2020”</w:t>
      </w:r>
      <w:r>
        <w:rPr>
          <w:rFonts w:ascii="Palatino Linotype" w:hAnsi="Palatino Linotype" w:cs="Arial"/>
          <w:b/>
          <w:sz w:val="22"/>
          <w:szCs w:val="22"/>
        </w:rPr>
        <w:br/>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5566410" cy="632460"/>
            <wp:effectExtent l="0" t="0" r="0" b="0"/>
            <wp:docPr id="2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4"/>
                    <pic:cNvPicPr>
                      <a:picLocks noChangeAspect="1" noChangeArrowheads="1"/>
                    </pic:cNvPicPr>
                  </pic:nvPicPr>
                  <pic:blipFill>
                    <a:blip r:embed="rId21"/>
                    <a:srcRect l="15997" t="50202" r="16211" b="44833"/>
                    <a:stretch>
                      <a:fillRect/>
                    </a:stretch>
                  </pic:blipFill>
                  <pic:spPr bwMode="auto">
                    <a:xfrm>
                      <a:off x="0" y="0"/>
                      <a:ext cx="5566410" cy="632460"/>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rPr>
      </w:pPr>
      <w:r>
        <w:rPr>
          <w:rFonts w:ascii="Palatino Linotype" w:hAnsi="Palatino Linotype" w:cs="Arial"/>
        </w:rPr>
        <w:t xml:space="preserve">Expuesto lo anterior y de conformidad con el artículo 125 del Reglamento de Condiciones Generales del Trabajo de los Servidores Públicos Docentes del Subsistema Educativo Estatal, se observa que el receso escolar es un periodo comprendido entre dos ciclos escolares; sin embargo, se exceptúan de ello, los servidores públicos docentes que presten sus servicios en los centros de Prevención y Readaptación Social y en las oficinas administrativas de la dependencia, es decir de la Secretaría de </w:t>
      </w:r>
      <w:r>
        <w:rPr>
          <w:rFonts w:ascii="Palatino Linotype" w:hAnsi="Palatino Linotype" w:cs="Arial"/>
        </w:rPr>
        <w:lastRenderedPageBreak/>
        <w:t>Educación</w:t>
      </w:r>
      <w:r>
        <w:rPr>
          <w:rStyle w:val="FootnoteAnchor"/>
          <w:rFonts w:ascii="Palatino Linotype" w:hAnsi="Palatino Linotype" w:cs="Arial"/>
        </w:rPr>
        <w:footnoteReference w:id="3"/>
      </w:r>
      <w:r>
        <w:rPr>
          <w:rFonts w:ascii="Palatino Linotype" w:hAnsi="Palatino Linotype" w:cs="Arial"/>
        </w:rPr>
        <w:t xml:space="preserve">, lo que involucra a la </w:t>
      </w:r>
      <w:r>
        <w:rPr>
          <w:rFonts w:ascii="Palatino Linotype" w:hAnsi="Palatino Linotype"/>
        </w:rPr>
        <w:t>Dirección General de Educación Media Superior, de acuerdo a su organigrama</w:t>
      </w:r>
      <w:r>
        <w:rPr>
          <w:rStyle w:val="FootnoteAnchor"/>
          <w:rFonts w:ascii="Palatino Linotype" w:hAnsi="Palatino Linotype"/>
        </w:rPr>
        <w:footnoteReference w:id="4"/>
      </w:r>
      <w:r>
        <w:rPr>
          <w:rFonts w:ascii="Palatino Linotype" w:hAnsi="Palatino Linotype"/>
        </w:rPr>
        <w:t>.</w:t>
      </w:r>
    </w:p>
    <w:p w:rsidR="001B1D32" w:rsidRDefault="001B1D32">
      <w:pPr>
        <w:tabs>
          <w:tab w:val="left" w:pos="8080"/>
        </w:tabs>
        <w:spacing w:line="360" w:lineRule="auto"/>
        <w:ind w:right="49"/>
        <w:jc w:val="both"/>
        <w:rPr>
          <w:rFonts w:ascii="Palatino Linotype" w:hAnsi="Palatino Linotype"/>
        </w:rPr>
      </w:pPr>
    </w:p>
    <w:p w:rsidR="001B1D32" w:rsidRDefault="00FF18EF">
      <w:pPr>
        <w:tabs>
          <w:tab w:val="left" w:pos="8080"/>
        </w:tabs>
        <w:spacing w:line="360" w:lineRule="auto"/>
        <w:ind w:right="49"/>
        <w:jc w:val="both"/>
        <w:rPr>
          <w:rFonts w:ascii="Palatino Linotype" w:hAnsi="Palatino Linotype"/>
        </w:rPr>
      </w:pPr>
      <w:r>
        <w:rPr>
          <w:rFonts w:ascii="Palatino Linotype" w:hAnsi="Palatino Linotype"/>
        </w:rPr>
        <w:t xml:space="preserve">No obstante a lo anterior, </w:t>
      </w:r>
      <w:r>
        <w:rPr>
          <w:rFonts w:ascii="Palatino Linotype" w:hAnsi="Palatino Linotype"/>
          <w:b/>
        </w:rPr>
        <w:t>EL SUJETO OBLIGADO</w:t>
      </w:r>
      <w:r>
        <w:rPr>
          <w:rFonts w:ascii="Palatino Linotype" w:hAnsi="Palatino Linotype"/>
        </w:rPr>
        <w:t>, mediante respuesta, menciono que no existe normatividad donde el receso escolar no aplique a los servidores públicos docentes que se encuentran laborando en la Dirección General de Educación Media Superior, lo cual se contrapone a lo señalado por la legislación citada con anterioridad, tal y como se advierte a continuación:</w:t>
      </w:r>
    </w:p>
    <w:p w:rsidR="001B1D32" w:rsidRDefault="00FF18EF">
      <w:pPr>
        <w:tabs>
          <w:tab w:val="left" w:pos="8080"/>
        </w:tabs>
        <w:spacing w:line="360" w:lineRule="auto"/>
        <w:ind w:right="49"/>
        <w:jc w:val="both"/>
        <w:rPr>
          <w:rFonts w:ascii="Palatino Linotype" w:hAnsi="Palatino Linotype" w:cs="Arial"/>
        </w:rPr>
      </w:pPr>
      <w:r>
        <w:rPr>
          <w:noProof/>
          <w:lang w:eastAsia="es-MX"/>
        </w:rPr>
        <w:drawing>
          <wp:inline distT="0" distB="0" distL="0" distR="0">
            <wp:extent cx="5708650" cy="914400"/>
            <wp:effectExtent l="0" t="0" r="0" b="0"/>
            <wp:docPr id="2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5"/>
                    <pic:cNvPicPr>
                      <a:picLocks noChangeAspect="1" noChangeArrowheads="1"/>
                    </pic:cNvPicPr>
                  </pic:nvPicPr>
                  <pic:blipFill>
                    <a:blip r:embed="rId22"/>
                    <a:srcRect l="25209" t="36786" r="26165" b="53740"/>
                    <a:stretch>
                      <a:fillRect/>
                    </a:stretch>
                  </pic:blipFill>
                  <pic:spPr bwMode="auto">
                    <a:xfrm>
                      <a:off x="0" y="0"/>
                      <a:ext cx="5708650" cy="914400"/>
                    </a:xfrm>
                    <a:prstGeom prst="rect">
                      <a:avLst/>
                    </a:prstGeom>
                  </pic:spPr>
                </pic:pic>
              </a:graphicData>
            </a:graphic>
          </wp:inline>
        </w:drawing>
      </w:r>
    </w:p>
    <w:p w:rsidR="001B1D32" w:rsidRDefault="00FF18EF">
      <w:pPr>
        <w:tabs>
          <w:tab w:val="left" w:pos="8080"/>
        </w:tabs>
        <w:spacing w:line="360" w:lineRule="auto"/>
        <w:ind w:right="49"/>
        <w:jc w:val="both"/>
        <w:rPr>
          <w:rFonts w:ascii="Palatino Linotype" w:hAnsi="Palatino Linotype" w:cs="Arial"/>
        </w:rPr>
      </w:pPr>
      <w:r>
        <w:rPr>
          <w:rFonts w:ascii="Palatino Linotype" w:hAnsi="Palatino Linotype" w:cs="Arial"/>
        </w:rPr>
        <w:t xml:space="preserve">En este mismo orden de ideas, la respuesta proporcionada por </w:t>
      </w:r>
      <w:r>
        <w:rPr>
          <w:rFonts w:ascii="Palatino Linotype" w:hAnsi="Palatino Linotype" w:cs="Arial"/>
          <w:b/>
        </w:rPr>
        <w:t>EL SUJETO OBLIGADO</w:t>
      </w:r>
      <w:r>
        <w:rPr>
          <w:rFonts w:ascii="Palatino Linotype" w:hAnsi="Palatino Linotype" w:cs="Arial"/>
        </w:rPr>
        <w:t xml:space="preserve">, causa incertidumbre al </w:t>
      </w:r>
      <w:r>
        <w:rPr>
          <w:rFonts w:ascii="Palatino Linotype" w:hAnsi="Palatino Linotype" w:cs="Arial"/>
          <w:b/>
        </w:rPr>
        <w:t>RECURRENTE</w:t>
      </w:r>
      <w:r>
        <w:rPr>
          <w:rFonts w:ascii="Palatino Linotype" w:hAnsi="Palatino Linotype" w:cs="Arial"/>
        </w:rPr>
        <w:t>, por tanto, no satisfizo el derecho de acceso a la información pública del particular, así mismo carece de fundamentación y motivación.</w:t>
      </w:r>
    </w:p>
    <w:p w:rsidR="001B1D32" w:rsidRDefault="001B1D32">
      <w:pPr>
        <w:spacing w:line="360" w:lineRule="auto"/>
        <w:jc w:val="both"/>
        <w:rPr>
          <w:rFonts w:ascii="Palatino Linotype" w:hAnsi="Palatino Linotype" w:cs="Arial"/>
        </w:rPr>
      </w:pPr>
    </w:p>
    <w:p w:rsidR="001B1D32" w:rsidRDefault="00FF18EF">
      <w:pPr>
        <w:spacing w:line="360" w:lineRule="auto"/>
        <w:jc w:val="both"/>
        <w:rPr>
          <w:rFonts w:ascii="Palatino Linotype" w:hAnsi="Palatino Linotype" w:cs="Arial"/>
        </w:rPr>
      </w:pPr>
      <w:r>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1B1D32" w:rsidRDefault="001B1D32">
      <w:pPr>
        <w:spacing w:line="360" w:lineRule="auto"/>
        <w:jc w:val="both"/>
        <w:rPr>
          <w:rFonts w:ascii="Palatino Linotype" w:hAnsi="Palatino Linotype" w:cs="Arial"/>
        </w:rPr>
      </w:pPr>
    </w:p>
    <w:p w:rsidR="001B1D32" w:rsidRDefault="00FF18EF">
      <w:pPr>
        <w:spacing w:line="360" w:lineRule="auto"/>
        <w:contextualSpacing/>
        <w:jc w:val="both"/>
        <w:rPr>
          <w:rFonts w:ascii="Palatino Linotype" w:hAnsi="Palatino Linotype" w:cs="Arial"/>
        </w:rPr>
      </w:pPr>
      <w:r>
        <w:rPr>
          <w:rFonts w:ascii="Palatino Linotype" w:hAnsi="Palatino Linotype" w:cs="Arial"/>
        </w:rPr>
        <w:lastRenderedPageBreak/>
        <w:t>Al respecto, el máximo tribunal del país ha establecido jurisprudencia respecto a qué debe entenderse por fundamentación y motivación, en los siguientes términos:</w:t>
      </w:r>
    </w:p>
    <w:p w:rsidR="001B1D32" w:rsidRDefault="001B1D32">
      <w:pPr>
        <w:contextualSpacing/>
        <w:jc w:val="both"/>
        <w:rPr>
          <w:rFonts w:ascii="Palatino Linotype" w:hAnsi="Palatino Linotype" w:cs="Arial"/>
        </w:rPr>
      </w:pPr>
    </w:p>
    <w:p w:rsidR="001B1D32" w:rsidRDefault="00FF18EF">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B1D32" w:rsidRDefault="001B1D32">
      <w:pPr>
        <w:ind w:left="851" w:right="899"/>
        <w:contextualSpacing/>
        <w:jc w:val="both"/>
        <w:rPr>
          <w:rFonts w:ascii="Palatino Linotype" w:hAnsi="Palatino Linotype" w:cs="Arial"/>
          <w:i/>
          <w:sz w:val="22"/>
        </w:rPr>
      </w:pPr>
    </w:p>
    <w:p w:rsidR="001B1D32" w:rsidRDefault="00FF18EF">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B1D32" w:rsidRDefault="001B1D32">
      <w:pPr>
        <w:spacing w:line="360" w:lineRule="auto"/>
        <w:jc w:val="both"/>
        <w:rPr>
          <w:rFonts w:ascii="Palatino Linotype" w:hAnsi="Palatino Linotype" w:cs="Arial"/>
        </w:rPr>
      </w:pPr>
    </w:p>
    <w:p w:rsidR="001B1D32" w:rsidRDefault="00FF18EF">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B1D32" w:rsidRDefault="001B1D32">
      <w:pPr>
        <w:jc w:val="both"/>
        <w:rPr>
          <w:rFonts w:ascii="Palatino Linotype" w:hAnsi="Palatino Linotype" w:cs="Arial"/>
        </w:rPr>
      </w:pPr>
    </w:p>
    <w:p w:rsidR="001B1D32" w:rsidRDefault="00FF18EF">
      <w:pPr>
        <w:ind w:left="851" w:right="901"/>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xml:space="preserve">, ni es válido exigirle una amplitud o </w:t>
      </w:r>
      <w:r>
        <w:rPr>
          <w:rFonts w:ascii="Palatino Linotype" w:hAnsi="Palatino Linotype" w:cs="Arial"/>
          <w:b/>
          <w:i/>
          <w:sz w:val="22"/>
        </w:rPr>
        <w:lastRenderedPageBreak/>
        <w:t>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1B1D32" w:rsidRDefault="001B1D32">
      <w:pPr>
        <w:ind w:left="851" w:right="899"/>
        <w:contextualSpacing/>
        <w:jc w:val="both"/>
        <w:rPr>
          <w:rFonts w:ascii="Palatino Linotype" w:hAnsi="Palatino Linotype" w:cs="Arial"/>
          <w:i/>
          <w:sz w:val="22"/>
        </w:rPr>
      </w:pPr>
    </w:p>
    <w:p w:rsidR="001B1D32" w:rsidRDefault="00FF18EF">
      <w:pPr>
        <w:spacing w:line="360" w:lineRule="auto"/>
        <w:jc w:val="both"/>
        <w:rPr>
          <w:rFonts w:ascii="Palatino Linotype" w:hAnsi="Palatino Linotype" w:cs="Arial"/>
        </w:rPr>
      </w:pPr>
      <w:r>
        <w:rPr>
          <w:rFonts w:ascii="Palatino Linotype" w:hAnsi="Palatino Linotype" w:cs="Arial"/>
        </w:rPr>
        <w:t xml:space="preserve">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en consecuencia, </w:t>
      </w:r>
      <w:r>
        <w:rPr>
          <w:rFonts w:ascii="Palatino Linotype" w:hAnsi="Palatino Linotype" w:cs="Arial"/>
          <w:b/>
        </w:rPr>
        <w:t>EL SUJETO OBLIGADO</w:t>
      </w:r>
      <w:r>
        <w:rPr>
          <w:rFonts w:ascii="Palatino Linotype" w:hAnsi="Palatino Linotype" w:cs="Arial"/>
        </w:rPr>
        <w:t xml:space="preserve">, deberá hacer entrega del documento o documentos </w:t>
      </w:r>
      <w:r>
        <w:rPr>
          <w:rFonts w:ascii="Palatino Linotype" w:hAnsi="Palatino Linotype"/>
        </w:rPr>
        <w:t>donde conste el receso escolar aplicable a los servidores públicos docentes que se encuentran laborando en la Dirección General de Educación Media Superior, con la salvedad de que, para el caso de que no tengan derecho al mismo, deberá de hacerlo del conocimiento al particular de manera fundamentada y motivada.</w:t>
      </w:r>
    </w:p>
    <w:p w:rsidR="001B1D32" w:rsidRDefault="00FF18EF">
      <w:pPr>
        <w:spacing w:beforeAutospacing="1" w:afterAutospacing="1" w:line="360" w:lineRule="auto"/>
        <w:jc w:val="both"/>
        <w:rPr>
          <w:rFonts w:ascii="Palatino Linotype" w:hAnsi="Palatino Linotype" w:cs="Arial"/>
        </w:rPr>
      </w:pPr>
      <w:r>
        <w:rPr>
          <w:rFonts w:ascii="Palatino Linotype" w:hAnsi="Palatino Linotype" w:cs="Arial"/>
        </w:rPr>
        <w:t>Por otra parte, es de subrayar que el derecho de acceso a la información pública, consiste en que la información solicitada conste en un soporte documental en cualquiera de sus formas; lo anterior, tiene sustento en los artículos 3, fracciones XI y XXII; 4; 11 y 12 de la Ley de Transparencia y Acceso a la Información Pública del Estado de México y Municipios:</w:t>
      </w: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 xml:space="preserve">“Artículo 3. Para los efectos </w:t>
      </w:r>
      <w:r>
        <w:rPr>
          <w:rFonts w:ascii="Palatino Linotype" w:hAnsi="Palatino Linotype" w:cs="Arial"/>
          <w:b/>
          <w:i/>
          <w:sz w:val="22"/>
          <w:szCs w:val="22"/>
        </w:rPr>
        <w:t>de</w:t>
      </w:r>
      <w:r>
        <w:rPr>
          <w:rFonts w:ascii="Palatino Linotype" w:hAnsi="Palatino Linotype" w:cs="Arial"/>
          <w:b/>
          <w:bCs/>
          <w:i/>
          <w:sz w:val="22"/>
        </w:rPr>
        <w:t xml:space="preserve"> la presente Ley se entenderá por: </w:t>
      </w:r>
      <w:r>
        <w:rPr>
          <w:rFonts w:ascii="Palatino Linotype" w:hAnsi="Palatino Linotype" w:cs="Arial"/>
          <w:bCs/>
          <w:i/>
          <w:sz w:val="22"/>
        </w:rPr>
        <w:t>…</w:t>
      </w:r>
    </w:p>
    <w:p w:rsidR="001B1D32" w:rsidRDefault="00FF18EF">
      <w:pPr>
        <w:ind w:left="851" w:right="902"/>
        <w:jc w:val="both"/>
        <w:rPr>
          <w:rFonts w:ascii="Palatino Linotype" w:hAnsi="Palatino Linotype" w:cs="Arial"/>
          <w:bCs/>
          <w:i/>
          <w:sz w:val="22"/>
        </w:rPr>
      </w:pPr>
      <w:r>
        <w:rPr>
          <w:rFonts w:ascii="Palatino Linotype" w:hAnsi="Palatino Linotype" w:cs="Arial"/>
          <w:bCs/>
          <w:i/>
          <w:sz w:val="22"/>
        </w:rPr>
        <w:t>…</w:t>
      </w: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XI. Documento:</w:t>
      </w:r>
      <w:r>
        <w:rPr>
          <w:rFonts w:ascii="Palatino Linotype" w:hAnsi="Palatino Linotype" w:cs="Arial"/>
          <w:bCs/>
          <w:i/>
          <w:sz w:val="22"/>
        </w:rPr>
        <w:t xml:space="preserve"> Los expedientes, reportes, estudios, actas, resoluciones, oficios, correspondencia, acuerdos, directivas, directrices, circulares, contratos, convenios, </w:t>
      </w:r>
      <w:r>
        <w:rPr>
          <w:rFonts w:ascii="Palatino Linotype" w:hAnsi="Palatino Linotype" w:cs="Arial"/>
          <w:bCs/>
          <w:i/>
          <w:sz w:val="22"/>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1B1D32" w:rsidRDefault="00FF18EF">
      <w:pPr>
        <w:ind w:left="851" w:right="902"/>
        <w:jc w:val="both"/>
        <w:rPr>
          <w:rFonts w:ascii="Palatino Linotype" w:hAnsi="Palatino Linotype" w:cs="Arial"/>
          <w:bCs/>
          <w:i/>
          <w:sz w:val="22"/>
        </w:rPr>
      </w:pPr>
      <w:r>
        <w:rPr>
          <w:rFonts w:ascii="Palatino Linotype" w:hAnsi="Palatino Linotype" w:cs="Arial"/>
          <w:bCs/>
          <w:i/>
          <w:sz w:val="22"/>
        </w:rPr>
        <w:t>…</w:t>
      </w: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XXII.</w:t>
      </w:r>
      <w:r>
        <w:rPr>
          <w:rFonts w:ascii="Palatino Linotype" w:hAnsi="Palatino Linotype" w:cs="Arial"/>
          <w:bCs/>
          <w:i/>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1B1D32" w:rsidRDefault="001B1D32">
      <w:pPr>
        <w:ind w:left="851" w:right="902"/>
        <w:jc w:val="both"/>
        <w:rPr>
          <w:rFonts w:ascii="Palatino Linotype" w:hAnsi="Palatino Linotype" w:cs="Arial"/>
          <w:b/>
          <w:bCs/>
          <w:i/>
          <w:sz w:val="22"/>
        </w:rPr>
      </w:pP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Artículo 4.</w:t>
      </w:r>
      <w:r>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B1D32" w:rsidRDefault="00FF18EF">
      <w:pPr>
        <w:ind w:left="851" w:right="902"/>
        <w:jc w:val="both"/>
        <w:rPr>
          <w:rFonts w:ascii="Palatino Linotype" w:hAnsi="Palatino Linotype" w:cs="Arial"/>
          <w:bCs/>
          <w:i/>
          <w:sz w:val="22"/>
        </w:rPr>
      </w:pPr>
      <w:r>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B1D32" w:rsidRDefault="00FF18EF">
      <w:pPr>
        <w:ind w:left="851" w:right="902"/>
        <w:jc w:val="both"/>
        <w:rPr>
          <w:rFonts w:ascii="Palatino Linotype" w:hAnsi="Palatino Linotype" w:cs="Arial"/>
          <w:bCs/>
          <w:i/>
          <w:sz w:val="22"/>
        </w:rPr>
      </w:pPr>
      <w:r>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1B1D32" w:rsidRDefault="001B1D32">
      <w:pPr>
        <w:ind w:left="851" w:right="902"/>
        <w:jc w:val="both"/>
        <w:rPr>
          <w:rFonts w:ascii="Palatino Linotype" w:hAnsi="Palatino Linotype" w:cs="Arial"/>
          <w:b/>
          <w:bCs/>
          <w:i/>
          <w:sz w:val="22"/>
        </w:rPr>
      </w:pP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Artículo 11.-</w:t>
      </w:r>
      <w:r>
        <w:rPr>
          <w:rFonts w:ascii="Palatino Linotype" w:hAnsi="Palatino Linotype" w:cs="Arial"/>
          <w:bCs/>
          <w:i/>
          <w:sz w:val="22"/>
        </w:rPr>
        <w:t xml:space="preserve"> Los Sujetos Obligados sólo proporcionarán la información que generen en el ejercicio de sus atribuciones.</w:t>
      </w:r>
    </w:p>
    <w:p w:rsidR="001B1D32" w:rsidRDefault="001B1D32">
      <w:pPr>
        <w:ind w:left="851" w:right="902"/>
        <w:jc w:val="both"/>
        <w:rPr>
          <w:rFonts w:ascii="Palatino Linotype" w:hAnsi="Palatino Linotype" w:cs="Arial"/>
          <w:b/>
          <w:bCs/>
          <w:i/>
          <w:sz w:val="22"/>
        </w:rPr>
      </w:pPr>
    </w:p>
    <w:p w:rsidR="001B1D32" w:rsidRDefault="00FF18EF">
      <w:pPr>
        <w:ind w:left="851" w:right="902"/>
        <w:jc w:val="both"/>
        <w:rPr>
          <w:rFonts w:ascii="Palatino Linotype" w:hAnsi="Palatino Linotype" w:cs="Arial"/>
          <w:bCs/>
          <w:i/>
          <w:sz w:val="22"/>
        </w:rPr>
      </w:pPr>
      <w:r>
        <w:rPr>
          <w:rFonts w:ascii="Palatino Linotype" w:hAnsi="Palatino Linotype" w:cs="Arial"/>
          <w:b/>
          <w:bCs/>
          <w:i/>
          <w:sz w:val="22"/>
        </w:rPr>
        <w:t>Artículo 12.</w:t>
      </w:r>
      <w:r>
        <w:rPr>
          <w:rFonts w:ascii="Palatino Linotype" w:hAnsi="Palatino Linotype" w:cs="Arial"/>
          <w:bCs/>
          <w:i/>
          <w:sz w:val="22"/>
        </w:rPr>
        <w:t xml:space="preserve"> Quienes generen, recopilen, administren, manejen, procesen, archiven o conserven información pública serán responsables de la misma en los términos de las disposiciones jurídicas aplicables. </w:t>
      </w:r>
    </w:p>
    <w:p w:rsidR="001B1D32" w:rsidRDefault="00FF18EF">
      <w:pPr>
        <w:ind w:left="851" w:right="902"/>
        <w:jc w:val="both"/>
        <w:rPr>
          <w:rFonts w:ascii="Palatino Linotype" w:hAnsi="Palatino Linotype" w:cs="Arial"/>
          <w:bCs/>
          <w:i/>
          <w:sz w:val="22"/>
        </w:rPr>
      </w:pPr>
      <w:r>
        <w:rPr>
          <w:rFonts w:ascii="Palatino Linotype" w:hAnsi="Palatino Linotype" w:cs="Arial"/>
          <w:bCs/>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B1D32" w:rsidRDefault="00FF18EF">
      <w:pPr>
        <w:ind w:left="851" w:right="902"/>
        <w:jc w:val="both"/>
        <w:rPr>
          <w:rFonts w:ascii="Palatino Linotype" w:hAnsi="Palatino Linotype" w:cs="Arial"/>
          <w:bCs/>
          <w:sz w:val="22"/>
        </w:rPr>
      </w:pPr>
      <w:r>
        <w:rPr>
          <w:rFonts w:ascii="Palatino Linotype" w:hAnsi="Palatino Linotype" w:cs="Arial"/>
          <w:bCs/>
          <w:sz w:val="22"/>
        </w:rPr>
        <w:t>(Énfasis añadido)</w:t>
      </w:r>
    </w:p>
    <w:p w:rsidR="001B1D32" w:rsidRDefault="001B1D32">
      <w:pPr>
        <w:widowControl w:val="0"/>
        <w:spacing w:line="360" w:lineRule="auto"/>
        <w:contextualSpacing/>
        <w:jc w:val="both"/>
        <w:rPr>
          <w:rFonts w:ascii="Palatino Linotype" w:hAnsi="Palatino Linotype" w:cs="Arial"/>
        </w:rPr>
      </w:pPr>
    </w:p>
    <w:p w:rsidR="001B1D32" w:rsidRDefault="00FF18EF">
      <w:pPr>
        <w:widowControl w:val="0"/>
        <w:spacing w:line="360" w:lineRule="auto"/>
        <w:contextualSpacing/>
        <w:jc w:val="both"/>
        <w:rPr>
          <w:rFonts w:ascii="Palatino Linotype" w:hAnsi="Palatino Linotype" w:cs="Arial"/>
        </w:rPr>
      </w:pPr>
      <w:r>
        <w:rPr>
          <w:rFonts w:ascii="Palatino Linotype" w:hAnsi="Palatino Linotype" w:cs="Arial"/>
        </w:rPr>
        <w:lastRenderedPageBreak/>
        <w:t xml:space="preserve">De una interpretación sistemática de los artículos anteriores, se puede advertir que </w:t>
      </w:r>
      <w:r>
        <w:rPr>
          <w:rFonts w:ascii="Palatino Linotype" w:hAnsi="Palatino Linotype" w:cs="Arial"/>
          <w:b/>
        </w:rPr>
        <w:t>el ejercicio del derecho de acceso a la información pública se centra en la potestad de los particulares para conocer el contenido de los documentos que obren en los archivos de los Sujetos Obligados</w:t>
      </w:r>
      <w:r>
        <w:rPr>
          <w:rFonts w:ascii="Palatino Linotype" w:hAnsi="Palatino Linotype" w:cs="Arial"/>
        </w:rPr>
        <w:t xml:space="preserve">, ya sea porque los generen, administren o simplemente los posean en el ejercicio de sus atribuciones. </w:t>
      </w:r>
    </w:p>
    <w:p w:rsidR="001B1D32" w:rsidRDefault="001B1D32">
      <w:pPr>
        <w:widowControl w:val="0"/>
        <w:spacing w:line="360" w:lineRule="auto"/>
        <w:contextualSpacing/>
        <w:jc w:val="both"/>
        <w:rPr>
          <w:rFonts w:ascii="Palatino Linotype" w:hAnsi="Palatino Linotype" w:cs="Arial"/>
        </w:rPr>
      </w:pPr>
    </w:p>
    <w:p w:rsidR="001B1D32" w:rsidRDefault="00FF18EF">
      <w:pPr>
        <w:widowControl w:val="0"/>
        <w:spacing w:line="360" w:lineRule="auto"/>
        <w:contextualSpacing/>
        <w:jc w:val="both"/>
        <w:rPr>
          <w:rFonts w:ascii="Palatino Linotype" w:hAnsi="Palatino Linotype" w:cs="Arial"/>
        </w:rPr>
      </w:pPr>
      <w:r>
        <w:rPr>
          <w:rFonts w:ascii="Palatino Linotype" w:hAnsi="Palatino Linotype" w:cs="Arial"/>
        </w:rPr>
        <w:t xml:space="preserve">Para ello, </w:t>
      </w:r>
      <w:r>
        <w:rPr>
          <w:rFonts w:ascii="Palatino Linotype" w:hAnsi="Palatino Linotype" w:cs="Arial"/>
          <w:b/>
        </w:rPr>
        <w:t>la Ley de la materia otorga la calidad de documento a los expedientes, reportes, estudios, actas, resoluciones, oficios, correspondencia, acuerdos, directivas, directrices, circulares, contratos, convenios, instructivos, notas, memorandos</w:t>
      </w:r>
      <w:r>
        <w:rPr>
          <w:rFonts w:ascii="Palatino Linotype" w:hAnsi="Palatino Linotype" w:cs="Arial"/>
        </w:rPr>
        <w:t>,</w:t>
      </w:r>
      <w:r>
        <w:t xml:space="preserve"> </w:t>
      </w:r>
      <w:r>
        <w:rPr>
          <w:rFonts w:ascii="Palatino Linotype" w:hAnsi="Palatino Linotype" w:cs="Arial"/>
        </w:rPr>
        <w:t xml:space="preserve">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1B1D32" w:rsidRDefault="001B1D32">
      <w:pPr>
        <w:widowControl w:val="0"/>
        <w:spacing w:line="360" w:lineRule="auto"/>
        <w:contextualSpacing/>
        <w:jc w:val="both"/>
        <w:rPr>
          <w:rFonts w:ascii="Palatino Linotype" w:hAnsi="Palatino Linotype" w:cs="Arial"/>
        </w:rPr>
      </w:pPr>
    </w:p>
    <w:p w:rsidR="001B1D32" w:rsidRDefault="00FF18EF">
      <w:pPr>
        <w:widowControl w:val="0"/>
        <w:spacing w:line="360" w:lineRule="auto"/>
        <w:contextualSpacing/>
        <w:jc w:val="both"/>
        <w:rPr>
          <w:rFonts w:ascii="Palatino Linotype" w:hAnsi="Palatino Linotype" w:cs="Arial"/>
        </w:rPr>
      </w:pPr>
      <w:r>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w:t>
      </w:r>
    </w:p>
    <w:p w:rsidR="001B1D32" w:rsidRDefault="001B1D32">
      <w:pPr>
        <w:widowControl w:val="0"/>
        <w:spacing w:line="360" w:lineRule="auto"/>
        <w:contextualSpacing/>
        <w:jc w:val="both"/>
        <w:rPr>
          <w:rFonts w:ascii="Palatino Linotype" w:hAnsi="Palatino Linotype" w:cs="Arial"/>
        </w:rPr>
      </w:pPr>
    </w:p>
    <w:p w:rsidR="001B1D32" w:rsidRDefault="00FF18EF">
      <w:pPr>
        <w:widowControl w:val="0"/>
        <w:spacing w:line="360" w:lineRule="auto"/>
        <w:contextualSpacing/>
        <w:jc w:val="both"/>
        <w:rPr>
          <w:rFonts w:ascii="Palatino Linotype" w:hAnsi="Palatino Linotype" w:cs="Arial"/>
        </w:rPr>
      </w:pPr>
      <w:r>
        <w:rPr>
          <w:rFonts w:ascii="Palatino Linotype" w:hAnsi="Palatino Linotype" w:cs="Arial"/>
        </w:rPr>
        <w:t xml:space="preserve">En síntesis, el derecho de acceso a la información pública se satisface en aquellos casos en que se entregue el soporte documental en que conste la información pública, toda </w:t>
      </w:r>
      <w:r>
        <w:rPr>
          <w:rFonts w:ascii="Palatino Linotype" w:hAnsi="Palatino Linotype" w:cs="Arial"/>
        </w:rPr>
        <w:lastRenderedPageBreak/>
        <w:t xml:space="preserve">vez que los Sujetos Obligados no tienen el deber de generar, poseer o administrar la información pública con el grado de detalle que se señala en la solicitud de información pública; esto es, que no tienen el deber de generar un documento </w:t>
      </w:r>
      <w:r>
        <w:rPr>
          <w:rFonts w:ascii="Palatino Linotype" w:hAnsi="Palatino Linotype" w:cs="Arial"/>
          <w:i/>
        </w:rPr>
        <w:t>ad hoc</w:t>
      </w:r>
      <w:r>
        <w:rPr>
          <w:rFonts w:ascii="Palatino Linotype" w:hAnsi="Palatino Linotype" w:cs="Arial"/>
        </w:rPr>
        <w:t>, para satisfacer el derecho de acceso a la información pública.</w:t>
      </w:r>
    </w:p>
    <w:p w:rsidR="001B1D32" w:rsidRDefault="001B1D32">
      <w:pPr>
        <w:widowControl w:val="0"/>
        <w:spacing w:line="360" w:lineRule="auto"/>
        <w:contextualSpacing/>
        <w:jc w:val="both"/>
        <w:rPr>
          <w:rFonts w:ascii="Palatino Linotype" w:hAnsi="Palatino Linotype" w:cs="Arial"/>
        </w:rPr>
      </w:pPr>
    </w:p>
    <w:p w:rsidR="001B1D32" w:rsidRDefault="00FF18EF">
      <w:pPr>
        <w:widowControl w:val="0"/>
        <w:tabs>
          <w:tab w:val="left" w:pos="1701"/>
          <w:tab w:val="left" w:pos="1843"/>
        </w:tabs>
        <w:spacing w:line="360" w:lineRule="auto"/>
        <w:jc w:val="both"/>
        <w:rPr>
          <w:rFonts w:ascii="Palatino Linotype" w:eastAsiaTheme="minorEastAsia" w:hAnsi="Palatino Linotype" w:cs="Arial"/>
        </w:rPr>
      </w:pPr>
      <w:r>
        <w:rPr>
          <w:rFonts w:ascii="Palatino Linotype" w:eastAsiaTheme="minorEastAsia" w:hAnsi="Palatino Linotype" w:cs="Arial"/>
        </w:rPr>
        <w:t>Como apoyo a lo anterior, es aplicable el criterio número 03/17 emitido por el Instituto Nacional de Transparencia, Acceso a la Información y Protección de Datos Personales (INAI), cuyo contenido se inserta a continuación:</w:t>
      </w:r>
    </w:p>
    <w:p w:rsidR="001B1D32" w:rsidRDefault="001B1D32">
      <w:pPr>
        <w:widowControl w:val="0"/>
        <w:tabs>
          <w:tab w:val="left" w:pos="1701"/>
          <w:tab w:val="left" w:pos="1843"/>
        </w:tabs>
        <w:spacing w:line="360" w:lineRule="auto"/>
        <w:jc w:val="both"/>
        <w:rPr>
          <w:rFonts w:ascii="Palatino Linotype" w:eastAsiaTheme="minorEastAsia" w:hAnsi="Palatino Linotype" w:cs="Arial"/>
        </w:rPr>
      </w:pPr>
    </w:p>
    <w:p w:rsidR="001B1D32" w:rsidRDefault="00FF18EF">
      <w:pPr>
        <w:widowControl w:val="0"/>
        <w:tabs>
          <w:tab w:val="left" w:pos="1701"/>
          <w:tab w:val="left" w:pos="1843"/>
        </w:tabs>
        <w:ind w:left="709" w:right="899"/>
        <w:jc w:val="both"/>
        <w:rPr>
          <w:rFonts w:ascii="Palatino Linotype" w:eastAsiaTheme="minorEastAsia" w:hAnsi="Palatino Linotype" w:cs="Arial"/>
          <w:i/>
          <w:iCs/>
          <w:sz w:val="22"/>
          <w:szCs w:val="22"/>
        </w:rPr>
      </w:pPr>
      <w:r>
        <w:rPr>
          <w:rFonts w:ascii="Palatino Linotype" w:eastAsiaTheme="minorEastAsia" w:hAnsi="Palatino Linotype" w:cs="Arial"/>
          <w:b/>
          <w:bCs/>
          <w:i/>
          <w:iCs/>
          <w:sz w:val="22"/>
          <w:szCs w:val="22"/>
        </w:rPr>
        <w:t>“No existe obligación de elaborar documentos ad hoc para atender las solicitudes de acceso a la información. </w:t>
      </w:r>
      <w:r>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1B1D32" w:rsidRDefault="001B1D32">
      <w:pPr>
        <w:widowControl w:val="0"/>
        <w:tabs>
          <w:tab w:val="left" w:pos="1701"/>
          <w:tab w:val="left" w:pos="1843"/>
        </w:tabs>
        <w:ind w:left="709" w:right="899"/>
        <w:jc w:val="both"/>
        <w:rPr>
          <w:rFonts w:ascii="Palatino Linotype" w:eastAsiaTheme="minorEastAsia" w:hAnsi="Palatino Linotype" w:cs="Arial"/>
          <w:b/>
          <w:i/>
          <w:sz w:val="22"/>
          <w:szCs w:val="22"/>
        </w:rPr>
      </w:pPr>
    </w:p>
    <w:p w:rsidR="001B1D32" w:rsidRDefault="00FF18EF">
      <w:pPr>
        <w:widowControl w:val="0"/>
        <w:tabs>
          <w:tab w:val="left" w:pos="1701"/>
          <w:tab w:val="left" w:pos="1843"/>
        </w:tabs>
        <w:ind w:left="709" w:right="899"/>
        <w:jc w:val="both"/>
        <w:rPr>
          <w:rFonts w:ascii="Palatino Linotype" w:eastAsiaTheme="minorEastAsia" w:hAnsi="Palatino Linotype" w:cs="Arial"/>
          <w:b/>
          <w:i/>
          <w:sz w:val="22"/>
          <w:szCs w:val="22"/>
        </w:rPr>
      </w:pPr>
      <w:r>
        <w:rPr>
          <w:rFonts w:ascii="Palatino Linotype" w:eastAsiaTheme="minorEastAsia" w:hAnsi="Palatino Linotype" w:cs="Arial"/>
          <w:b/>
          <w:i/>
          <w:sz w:val="22"/>
          <w:szCs w:val="22"/>
        </w:rPr>
        <w:t xml:space="preserve">Resoluciones: </w:t>
      </w:r>
    </w:p>
    <w:p w:rsidR="001B1D32" w:rsidRDefault="00FF18EF">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rsidR="001B1D32" w:rsidRDefault="00FF18EF">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1B1D32" w:rsidRDefault="00FF18EF">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1B1D32" w:rsidRDefault="001B1D32">
      <w:pPr>
        <w:ind w:right="816"/>
        <w:jc w:val="both"/>
        <w:rPr>
          <w:rFonts w:ascii="Palatino Linotype" w:hAnsi="Palatino Linotype" w:cs="Arial"/>
          <w:bCs/>
          <w:i/>
          <w:sz w:val="22"/>
          <w:lang w:eastAsia="en-US"/>
        </w:rPr>
      </w:pPr>
    </w:p>
    <w:p w:rsidR="001B1D32" w:rsidRDefault="00FF18EF">
      <w:pPr>
        <w:spacing w:line="360" w:lineRule="auto"/>
        <w:jc w:val="both"/>
        <w:rPr>
          <w:rFonts w:ascii="Palatino Linotype" w:hAnsi="Palatino Linotype" w:cs="Arial"/>
        </w:rPr>
      </w:pPr>
      <w:r>
        <w:rPr>
          <w:rFonts w:ascii="Palatino Linotype" w:hAnsi="Palatino Linotype" w:cs="Arial"/>
          <w:lang w:eastAsia="es-MX"/>
        </w:rPr>
        <w:lastRenderedPageBreak/>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parcialmente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modificar </w:t>
      </w:r>
      <w:r>
        <w:rPr>
          <w:rFonts w:ascii="Palatino Linotype" w:eastAsia="Calibri" w:hAnsi="Palatino Linotype" w:cs="Arial"/>
        </w:rPr>
        <w:t xml:space="preserve">la respuesta otorgada por el </w:t>
      </w:r>
      <w:r>
        <w:rPr>
          <w:rFonts w:ascii="Palatino Linotype" w:eastAsia="Calibri" w:hAnsi="Palatino Linotype" w:cs="Arial"/>
          <w:b/>
        </w:rPr>
        <w:t>SUJETO OBLIGADO</w:t>
      </w:r>
      <w:r>
        <w:rPr>
          <w:rFonts w:ascii="Palatino Linotype" w:eastAsia="Calibri" w:hAnsi="Palatino Linotype" w:cs="Arial"/>
        </w:rPr>
        <w:t xml:space="preserve"> y ordenar haga entrega del documento o documentos donde conste el receso escolar aplicable</w:t>
      </w:r>
      <w:r>
        <w:rPr>
          <w:rFonts w:ascii="Palatino Linotype" w:hAnsi="Palatino Linotype"/>
        </w:rPr>
        <w:t xml:space="preserve"> a los servidores públicos docentes que se encuentran laborando en la Dirección General de Educación Media Superior, con la salvedad de que, para el caso de que no tengan derecho al mismo, deberá de hacerlo del conocimiento al particular de manera fundamentada y motivada</w:t>
      </w:r>
      <w:r>
        <w:rPr>
          <w:rFonts w:ascii="Palatino Linotype" w:eastAsia="Calibri" w:hAnsi="Palatino Linotype" w:cs="Arial"/>
        </w:rPr>
        <w:t>, vía SAIMEX.</w:t>
      </w:r>
    </w:p>
    <w:p w:rsidR="001B1D32" w:rsidRDefault="00FF18EF">
      <w:pPr>
        <w:widowControl w:val="0"/>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1B1D32" w:rsidRPr="009D3697" w:rsidRDefault="00FF18EF">
      <w:pPr>
        <w:spacing w:before="240" w:after="240" w:line="360" w:lineRule="auto"/>
        <w:jc w:val="center"/>
        <w:rPr>
          <w:rFonts w:ascii="Palatino Linotype" w:hAnsi="Palatino Linotype"/>
          <w:b/>
          <w:sz w:val="28"/>
          <w:lang w:val="pt-BR"/>
        </w:rPr>
      </w:pPr>
      <w:r w:rsidRPr="009D3697">
        <w:rPr>
          <w:rFonts w:ascii="Palatino Linotype" w:hAnsi="Palatino Linotype"/>
          <w:b/>
          <w:sz w:val="28"/>
          <w:lang w:val="pt-BR"/>
        </w:rPr>
        <w:t>R E S U E L V E</w:t>
      </w:r>
    </w:p>
    <w:p w:rsidR="001B1D32" w:rsidRDefault="00FF18EF">
      <w:pPr>
        <w:spacing w:beforeAutospacing="1" w:afterAutospacing="1" w:line="360" w:lineRule="auto"/>
        <w:jc w:val="both"/>
        <w:rPr>
          <w:rFonts w:ascii="Palatino Linotype" w:eastAsia="Calibri" w:hAnsi="Palatino Linotype" w:cs="Arial"/>
        </w:rPr>
      </w:pPr>
      <w:r w:rsidRPr="009D3697">
        <w:rPr>
          <w:rFonts w:ascii="Palatino Linotype" w:eastAsia="Calibri" w:hAnsi="Palatino Linotype" w:cs="Arial"/>
          <w:b/>
          <w:sz w:val="28"/>
          <w:lang w:val="pt-BR"/>
        </w:rPr>
        <w:t>PRIMERO</w:t>
      </w:r>
      <w:r w:rsidRPr="009D3697">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 xml:space="preserve">parcialmente 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1B1D32" w:rsidRDefault="00FF18EF">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MODIFICA </w:t>
      </w:r>
      <w:r>
        <w:rPr>
          <w:rFonts w:ascii="Palatino Linotype" w:eastAsia="Calibri" w:hAnsi="Palatino Linotype" w:cs="Arial"/>
        </w:rPr>
        <w:t xml:space="preserve">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00927/INFOEM/IP/RR/2020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lo siguiente:</w:t>
      </w:r>
    </w:p>
    <w:p w:rsidR="001B1D32" w:rsidRDefault="00FF18EF">
      <w:pPr>
        <w:ind w:left="709" w:right="902"/>
        <w:jc w:val="both"/>
        <w:rPr>
          <w:rFonts w:ascii="Palatino Linotype" w:hAnsi="Palatino Linotype"/>
          <w:i/>
          <w:iCs/>
          <w:color w:val="222222"/>
          <w:sz w:val="22"/>
          <w:szCs w:val="22"/>
          <w:lang w:eastAsia="es-MX"/>
        </w:rPr>
      </w:pPr>
      <w:r>
        <w:rPr>
          <w:rFonts w:ascii="Palatino Linotype" w:eastAsia="Calibri" w:hAnsi="Palatino Linotype" w:cs="Arial"/>
          <w:i/>
          <w:sz w:val="22"/>
          <w:szCs w:val="22"/>
        </w:rPr>
        <w:lastRenderedPageBreak/>
        <w:t>”</w:t>
      </w:r>
      <w:r>
        <w:rPr>
          <w:rFonts w:ascii="Palatino Linotype" w:hAnsi="Palatino Linotype"/>
          <w:i/>
          <w:iCs/>
          <w:color w:val="222222"/>
          <w:sz w:val="22"/>
          <w:szCs w:val="22"/>
          <w:lang w:eastAsia="es-MX"/>
        </w:rPr>
        <w:t>El documento o documentos donde conste el receso escolar aplicable a los servidores públicos docentes adscritos a la Dirección General de Educación Media Superior, del ciclo escolar 2019-2020.</w:t>
      </w:r>
    </w:p>
    <w:p w:rsidR="001B1D32" w:rsidRDefault="001B1D32">
      <w:pPr>
        <w:ind w:left="709" w:right="902"/>
        <w:jc w:val="both"/>
        <w:rPr>
          <w:rFonts w:ascii="Palatino Linotype" w:hAnsi="Palatino Linotype"/>
          <w:i/>
          <w:iCs/>
          <w:color w:val="222222"/>
          <w:sz w:val="22"/>
          <w:szCs w:val="22"/>
          <w:lang w:eastAsia="es-MX"/>
        </w:rPr>
      </w:pPr>
    </w:p>
    <w:p w:rsidR="001B1D32" w:rsidRDefault="00FF18EF">
      <w:pPr>
        <w:ind w:left="709" w:right="902"/>
        <w:jc w:val="both"/>
        <w:rPr>
          <w:rFonts w:ascii="Palatino Linotype" w:hAnsi="Palatino Linotype"/>
          <w:i/>
          <w:iCs/>
          <w:color w:val="222222"/>
          <w:sz w:val="22"/>
          <w:szCs w:val="22"/>
          <w:lang w:eastAsia="es-MX"/>
        </w:rPr>
      </w:pPr>
      <w:r>
        <w:rPr>
          <w:rFonts w:ascii="Palatino Linotype" w:hAnsi="Palatino Linotype"/>
          <w:bCs/>
          <w:i/>
          <w:sz w:val="22"/>
          <w:szCs w:val="22"/>
        </w:rPr>
        <w:t xml:space="preserve">Para el caso de que </w:t>
      </w:r>
      <w:r>
        <w:rPr>
          <w:rFonts w:ascii="Palatino Linotype" w:hAnsi="Palatino Linotype"/>
          <w:b/>
          <w:bCs/>
          <w:i/>
          <w:sz w:val="22"/>
          <w:szCs w:val="22"/>
        </w:rPr>
        <w:t>EL SUJETO OBLIGADO</w:t>
      </w:r>
      <w:r>
        <w:rPr>
          <w:rFonts w:ascii="Palatino Linotype" w:hAnsi="Palatino Linotype"/>
          <w:bCs/>
          <w:i/>
          <w:sz w:val="22"/>
          <w:szCs w:val="22"/>
        </w:rPr>
        <w:t xml:space="preserve"> no</w:t>
      </w:r>
      <w:r>
        <w:rPr>
          <w:rFonts w:ascii="Palatino Linotype" w:hAnsi="Palatino Linotype"/>
          <w:i/>
          <w:iCs/>
          <w:color w:val="222222"/>
          <w:sz w:val="22"/>
          <w:szCs w:val="22"/>
          <w:lang w:eastAsia="es-MX"/>
        </w:rPr>
        <w:t xml:space="preserve"> haya generado la información que se ordena, en razón de que los servidores públicos docentes no tengan derecho a gozar del receso escolar, deberá de hacerlo del conocimiento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de manera fundamentada y motivada.”</w:t>
      </w:r>
    </w:p>
    <w:p w:rsidR="001B1D32" w:rsidRDefault="001B1D32">
      <w:pPr>
        <w:ind w:right="899"/>
        <w:jc w:val="both"/>
        <w:rPr>
          <w:rFonts w:ascii="Palatino Linotype" w:eastAsia="Arial Unicode MS" w:hAnsi="Palatino Linotype" w:cs="Arial"/>
          <w:i/>
          <w:sz w:val="22"/>
          <w:szCs w:val="22"/>
        </w:rPr>
      </w:pPr>
    </w:p>
    <w:p w:rsidR="001B1D32" w:rsidRDefault="00FF18EF">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B1D32" w:rsidRDefault="00FF18EF">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1B1D32" w:rsidRDefault="00FF18EF">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1B1D32" w:rsidRDefault="00FF18EF">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w:t>
      </w:r>
      <w:r>
        <w:rPr>
          <w:rFonts w:ascii="Palatino Linotype" w:eastAsia="Calibri" w:hAnsi="Palatino Linotype" w:cs="Arial"/>
        </w:rPr>
        <w:lastRenderedPageBreak/>
        <w:t>Pública del Estado de México y Municipios, podrá impugnar la presente resolución vía Juicio de Amparo en los términos de las leyes aplicables.</w:t>
      </w:r>
    </w:p>
    <w:p w:rsidR="001B1D32" w:rsidRDefault="00FF18EF" w:rsidP="0078355B">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TERCERA SESIÓN ORDINARIA CELEBRADA EL DÍA DOCE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9214" w:type="dxa"/>
        <w:jc w:val="center"/>
        <w:tblLook w:val="04A0" w:firstRow="1" w:lastRow="0" w:firstColumn="1" w:lastColumn="0" w:noHBand="0" w:noVBand="1"/>
      </w:tblPr>
      <w:tblGrid>
        <w:gridCol w:w="4757"/>
        <w:gridCol w:w="4457"/>
      </w:tblGrid>
      <w:tr w:rsidR="001B1D32">
        <w:trPr>
          <w:jc w:val="center"/>
        </w:trPr>
        <w:tc>
          <w:tcPr>
            <w:tcW w:w="9213" w:type="dxa"/>
            <w:gridSpan w:val="2"/>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1B1D32" w:rsidRDefault="00FF18EF">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B1D32">
        <w:trPr>
          <w:jc w:val="center"/>
        </w:trPr>
        <w:tc>
          <w:tcPr>
            <w:tcW w:w="4756" w:type="dxa"/>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B1D32">
        <w:trPr>
          <w:jc w:val="center"/>
        </w:trPr>
        <w:tc>
          <w:tcPr>
            <w:tcW w:w="4756" w:type="dxa"/>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B1D32">
        <w:trPr>
          <w:jc w:val="center"/>
        </w:trPr>
        <w:tc>
          <w:tcPr>
            <w:tcW w:w="9213" w:type="dxa"/>
            <w:gridSpan w:val="2"/>
            <w:shd w:val="clear" w:color="auto" w:fill="auto"/>
          </w:tcPr>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78355B" w:rsidRDefault="0078355B">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1B1D32">
            <w:pPr>
              <w:jc w:val="center"/>
              <w:rPr>
                <w:rFonts w:ascii="Palatino Linotype" w:hAnsi="Palatino Linotype" w:cs="Arial"/>
                <w:b/>
                <w:color w:val="000000" w:themeColor="text1"/>
                <w:lang w:val="es-ES_tradnl"/>
              </w:rPr>
            </w:pPr>
          </w:p>
          <w:p w:rsidR="001B1D32" w:rsidRDefault="00FF18E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1B1D32" w:rsidRDefault="00FF18EF">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1B1D32" w:rsidRDefault="001B1D32">
      <w:pPr>
        <w:jc w:val="both"/>
        <w:rPr>
          <w:rFonts w:ascii="Palatino Linotype" w:hAnsi="Palatino Linotype" w:cs="Arial"/>
          <w:sz w:val="22"/>
          <w:szCs w:val="22"/>
          <w:lang w:val="es-ES"/>
        </w:rPr>
      </w:pPr>
    </w:p>
    <w:p w:rsidR="001B1D32" w:rsidRDefault="001B1D32">
      <w:pPr>
        <w:jc w:val="both"/>
        <w:rPr>
          <w:rFonts w:ascii="Palatino Linotype" w:hAnsi="Palatino Linotype" w:cs="Arial"/>
          <w:sz w:val="22"/>
          <w:szCs w:val="22"/>
          <w:lang w:val="es-ES"/>
        </w:rPr>
      </w:pPr>
    </w:p>
    <w:p w:rsidR="001B1D32" w:rsidRDefault="00FF18EF">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00927/INFOEM/IP/RR/2020. </w:t>
      </w:r>
    </w:p>
    <w:p w:rsidR="001B1D32" w:rsidRDefault="00FF18EF">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1B1D32">
      <w:headerReference w:type="default" r:id="rId23"/>
      <w:footerReference w:type="default" r:id="rId24"/>
      <w:headerReference w:type="first" r:id="rId25"/>
      <w:footerReference w:type="first" r:id="rId2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9E" w:rsidRDefault="00942F9E">
      <w:r>
        <w:separator/>
      </w:r>
    </w:p>
  </w:endnote>
  <w:endnote w:type="continuationSeparator" w:id="0">
    <w:p w:rsidR="00942F9E" w:rsidRDefault="0094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Default="00FF18E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96EE1">
      <w:rPr>
        <w:rFonts w:ascii="Palatino Linotype" w:hAnsi="Palatino Linotype" w:cs="Arial"/>
        <w:bCs/>
        <w:noProof/>
        <w:sz w:val="22"/>
        <w:szCs w:val="22"/>
      </w:rPr>
      <w:t>33</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96EE1">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Default="00FF18E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96EE1">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96EE1">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9E" w:rsidRDefault="00942F9E">
      <w:pPr>
        <w:rPr>
          <w:sz w:val="12"/>
        </w:rPr>
      </w:pPr>
      <w:r>
        <w:separator/>
      </w:r>
    </w:p>
  </w:footnote>
  <w:footnote w:type="continuationSeparator" w:id="0">
    <w:p w:rsidR="00942F9E" w:rsidRDefault="00942F9E">
      <w:pPr>
        <w:rPr>
          <w:sz w:val="12"/>
        </w:rPr>
      </w:pPr>
      <w:r>
        <w:continuationSeparator/>
      </w:r>
    </w:p>
  </w:footnote>
  <w:footnote w:id="1">
    <w:p w:rsidR="001B1D32" w:rsidRDefault="00FF18EF">
      <w:pPr>
        <w:pStyle w:val="Textonotapie"/>
        <w:rPr>
          <w:rFonts w:ascii="Palatino Linotype" w:hAnsi="Palatino Linotype"/>
          <w:spacing w:val="-20"/>
          <w:sz w:val="19"/>
          <w:szCs w:val="19"/>
        </w:rPr>
      </w:pPr>
      <w:r>
        <w:rPr>
          <w:rStyle w:val="FootnoteCharacters"/>
        </w:rPr>
        <w:footnoteRef/>
      </w:r>
      <w:r>
        <w:rPr>
          <w:rFonts w:ascii="Palatino Linotype" w:hAnsi="Palatino Linotype"/>
          <w:sz w:val="19"/>
          <w:szCs w:val="19"/>
        </w:rPr>
        <w:t xml:space="preserve"> Visible en la página electrónica </w:t>
      </w:r>
      <w:hyperlink r:id="rId1">
        <w:r>
          <w:rPr>
            <w:rFonts w:ascii="Palatino Linotype" w:eastAsia="Times New Roman" w:hAnsi="Palatino Linotype" w:cs="Times New Roman"/>
            <w:color w:val="0000FF"/>
            <w:spacing w:val="-20"/>
            <w:sz w:val="19"/>
            <w:szCs w:val="19"/>
            <w:u w:val="single"/>
            <w:lang w:eastAsia="es-ES"/>
          </w:rPr>
          <w:t>http://normateca.edugem.gob.mx/normateca/wp-content/uploads/2016/07/REGL_015.pdf</w:t>
        </w:r>
      </w:hyperlink>
    </w:p>
  </w:footnote>
  <w:footnote w:id="2">
    <w:p w:rsidR="001B1D32" w:rsidRDefault="00FF18EF">
      <w:pPr>
        <w:pStyle w:val="Textonotapie"/>
        <w:rPr>
          <w:spacing w:val="-20"/>
        </w:rPr>
      </w:pPr>
      <w:r>
        <w:rPr>
          <w:rStyle w:val="FootnoteCharacters"/>
        </w:rPr>
        <w:footnoteRef/>
      </w:r>
      <w:r>
        <w:t xml:space="preserve"> </w:t>
      </w:r>
      <w:r>
        <w:rPr>
          <w:rFonts w:ascii="Palatino Linotype" w:hAnsi="Palatino Linotype"/>
          <w:sz w:val="19"/>
          <w:szCs w:val="19"/>
        </w:rPr>
        <w:t>Visible en la página electrónica</w:t>
      </w:r>
      <w:r>
        <w:t xml:space="preserve"> </w:t>
      </w:r>
      <w:r>
        <w:rPr>
          <w:rFonts w:ascii="Palatino Linotype" w:hAnsi="Palatino Linotype"/>
          <w:spacing w:val="-20"/>
          <w:sz w:val="19"/>
          <w:szCs w:val="19"/>
        </w:rPr>
        <w:t>https://legislacion.edomex.gob.mx/sites/legislacion.edomex.gob.mx/files/files/pdf/gct/2019/dic261.pdf</w:t>
      </w:r>
    </w:p>
  </w:footnote>
  <w:footnote w:id="3">
    <w:p w:rsidR="001B1D32" w:rsidRDefault="00FF18EF">
      <w:pPr>
        <w:pStyle w:val="Textonotapie"/>
        <w:rPr>
          <w:rFonts w:ascii="Palatino Linotype" w:hAnsi="Palatino Linotype"/>
          <w:sz w:val="19"/>
          <w:szCs w:val="19"/>
        </w:rPr>
      </w:pPr>
      <w:r>
        <w:rPr>
          <w:rStyle w:val="FootnoteCharacters"/>
        </w:rPr>
        <w:footnoteRef/>
      </w:r>
      <w:r>
        <w:rPr>
          <w:rFonts w:ascii="Palatino Linotype" w:hAnsi="Palatino Linotype"/>
          <w:sz w:val="19"/>
          <w:szCs w:val="19"/>
        </w:rPr>
        <w:t xml:space="preserve"> De conformidad con el artículo 3, fracción II, de la Reglamento de Condiciones Generales del Trabajo de los Servidores Públicos Docentes del Subsistema Educativo Estatal</w:t>
      </w:r>
    </w:p>
  </w:footnote>
  <w:footnote w:id="4">
    <w:p w:rsidR="001B1D32" w:rsidRDefault="00FF18EF">
      <w:pPr>
        <w:pStyle w:val="Textonotapie"/>
        <w:rPr>
          <w:rFonts w:ascii="Palatino Linotype" w:hAnsi="Palatino Linotype"/>
          <w:sz w:val="19"/>
          <w:szCs w:val="19"/>
        </w:rPr>
      </w:pPr>
      <w:r>
        <w:rPr>
          <w:rStyle w:val="FootnoteCharacters"/>
        </w:rPr>
        <w:footnoteRef/>
      </w:r>
      <w:r>
        <w:rPr>
          <w:rFonts w:ascii="Palatino Linotype" w:hAnsi="Palatino Linotype"/>
          <w:sz w:val="19"/>
          <w:szCs w:val="19"/>
        </w:rPr>
        <w:t xml:space="preserve"> Visible en la página electrónica https://www.ipomex.org.mx/recursos/ipo/files_ipo3/2019/42929/11/6ed4ae2e62d2a57533d7d22e14b2fc88.pdf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Default="00FF18E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69" behindDoc="1" locked="0" layoutInCell="1" allowOverlap="1">
              <wp:simplePos x="0" y="0"/>
              <wp:positionH relativeFrom="column">
                <wp:align>center</wp:align>
              </wp:positionH>
              <wp:positionV relativeFrom="margin">
                <wp:align>center</wp:align>
              </wp:positionV>
              <wp:extent cx="6858635" cy="9144635"/>
              <wp:effectExtent l="0" t="0" r="0" b="0"/>
              <wp:wrapNone/>
              <wp:docPr id="28"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9.1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1B1D32">
      <w:tc>
        <w:tcPr>
          <w:tcW w:w="3260" w:type="dxa"/>
          <w:vMerge w:val="restart"/>
        </w:tcPr>
        <w:p w:rsidR="001B1D32" w:rsidRDefault="00FF18E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1B1D32" w:rsidRDefault="00FF18EF">
          <w:pPr>
            <w:jc w:val="both"/>
            <w:rPr>
              <w:rFonts w:ascii="Palatino Linotype" w:hAnsi="Palatino Linotype"/>
              <w:b/>
              <w:sz w:val="22"/>
              <w:szCs w:val="22"/>
              <w:lang w:val="es-ES_tradnl"/>
            </w:rPr>
          </w:pPr>
          <w:r>
            <w:rPr>
              <w:rFonts w:ascii="Palatino Linotype" w:hAnsi="Palatino Linotype"/>
              <w:b/>
              <w:sz w:val="22"/>
              <w:szCs w:val="22"/>
              <w:lang w:val="es-ES_tradnl"/>
            </w:rPr>
            <w:t>00927/INFOEM/IP/RR/2020</w:t>
          </w:r>
        </w:p>
      </w:tc>
    </w:tr>
    <w:tr w:rsidR="001B1D32">
      <w:tc>
        <w:tcPr>
          <w:tcW w:w="3260" w:type="dxa"/>
          <w:vMerge/>
        </w:tcPr>
        <w:p w:rsidR="001B1D32" w:rsidRDefault="001B1D32">
          <w:pPr>
            <w:rPr>
              <w:rFonts w:ascii="Palatino Linotype" w:hAnsi="Palatino Linotype"/>
              <w:b/>
              <w:sz w:val="22"/>
              <w:szCs w:val="22"/>
              <w:lang w:val="es-ES_tradnl"/>
            </w:rPr>
          </w:pPr>
        </w:p>
      </w:tc>
      <w:tc>
        <w:tcPr>
          <w:tcW w:w="2551"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1B1D32" w:rsidRDefault="00FF18EF">
          <w:pPr>
            <w:jc w:val="both"/>
            <w:rPr>
              <w:rFonts w:ascii="Palatino Linotype" w:hAnsi="Palatino Linotype"/>
              <w:b/>
              <w:sz w:val="22"/>
              <w:szCs w:val="22"/>
            </w:rPr>
          </w:pPr>
          <w:r>
            <w:rPr>
              <w:rFonts w:ascii="Palatino Linotype" w:hAnsi="Palatino Linotype"/>
              <w:b/>
              <w:sz w:val="22"/>
              <w:szCs w:val="22"/>
            </w:rPr>
            <w:t>Secretaría de Educación</w:t>
          </w:r>
        </w:p>
      </w:tc>
    </w:tr>
    <w:tr w:rsidR="001B1D32">
      <w:trPr>
        <w:trHeight w:val="228"/>
      </w:trPr>
      <w:tc>
        <w:tcPr>
          <w:tcW w:w="3260" w:type="dxa"/>
          <w:vMerge/>
        </w:tcPr>
        <w:p w:rsidR="001B1D32" w:rsidRDefault="001B1D32">
          <w:pPr>
            <w:rPr>
              <w:rFonts w:ascii="Palatino Linotype" w:hAnsi="Palatino Linotype"/>
              <w:b/>
              <w:sz w:val="22"/>
              <w:szCs w:val="22"/>
              <w:lang w:val="es-ES_tradnl"/>
            </w:rPr>
          </w:pPr>
        </w:p>
      </w:tc>
      <w:tc>
        <w:tcPr>
          <w:tcW w:w="2551"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1B1D32" w:rsidRDefault="00FF18E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B1D32" w:rsidRDefault="001B1D3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Default="00FF18EF">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30"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9.3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1B1D32">
      <w:tc>
        <w:tcPr>
          <w:tcW w:w="4252" w:type="dxa"/>
          <w:vMerge w:val="restart"/>
          <w:shd w:val="clear" w:color="auto" w:fill="auto"/>
        </w:tcPr>
        <w:p w:rsidR="001B1D32" w:rsidRDefault="00FF18E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1B1D32" w:rsidRDefault="00FF18EF">
          <w:pPr>
            <w:jc w:val="both"/>
            <w:rPr>
              <w:rFonts w:ascii="Palatino Linotype" w:hAnsi="Palatino Linotype"/>
              <w:b/>
              <w:sz w:val="22"/>
              <w:szCs w:val="22"/>
              <w:lang w:val="es-ES_tradnl"/>
            </w:rPr>
          </w:pPr>
          <w:r>
            <w:rPr>
              <w:rFonts w:ascii="Palatino Linotype" w:hAnsi="Palatino Linotype"/>
              <w:b/>
              <w:bCs/>
              <w:sz w:val="22"/>
              <w:szCs w:val="22"/>
            </w:rPr>
            <w:t>00927/INFOEM/IP/RR/2020</w:t>
          </w:r>
        </w:p>
      </w:tc>
    </w:tr>
    <w:tr w:rsidR="001B1D32">
      <w:tc>
        <w:tcPr>
          <w:tcW w:w="4252" w:type="dxa"/>
          <w:vMerge/>
          <w:shd w:val="clear" w:color="auto" w:fill="auto"/>
        </w:tcPr>
        <w:p w:rsidR="001B1D32" w:rsidRDefault="001B1D32">
          <w:pPr>
            <w:rPr>
              <w:rFonts w:ascii="Palatino Linotype" w:hAnsi="Palatino Linotype"/>
              <w:b/>
              <w:sz w:val="22"/>
              <w:szCs w:val="22"/>
              <w:lang w:val="es-ES_tradnl"/>
            </w:rPr>
          </w:pPr>
        </w:p>
      </w:tc>
      <w:tc>
        <w:tcPr>
          <w:tcW w:w="2552"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1B1D32" w:rsidRDefault="00096EE1">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FF18EF">
            <w:t xml:space="preserve"> </w:t>
          </w:r>
          <w:r>
            <w:rPr>
              <w:rFonts w:ascii="Palatino Linotype" w:hAnsi="Palatino Linotype"/>
              <w:b/>
              <w:sz w:val="22"/>
              <w:szCs w:val="22"/>
              <w:lang w:val="es-ES_tradnl"/>
            </w:rPr>
            <w:t>XXXXXX XXXXXX</w:t>
          </w:r>
        </w:p>
      </w:tc>
    </w:tr>
    <w:tr w:rsidR="001B1D32">
      <w:trPr>
        <w:trHeight w:val="228"/>
      </w:trPr>
      <w:tc>
        <w:tcPr>
          <w:tcW w:w="4252" w:type="dxa"/>
          <w:vMerge/>
          <w:shd w:val="clear" w:color="auto" w:fill="auto"/>
        </w:tcPr>
        <w:p w:rsidR="001B1D32" w:rsidRDefault="001B1D32">
          <w:pPr>
            <w:rPr>
              <w:rFonts w:ascii="Palatino Linotype" w:hAnsi="Palatino Linotype"/>
              <w:b/>
              <w:sz w:val="22"/>
              <w:szCs w:val="22"/>
              <w:lang w:val="es-ES_tradnl"/>
            </w:rPr>
          </w:pPr>
        </w:p>
      </w:tc>
      <w:tc>
        <w:tcPr>
          <w:tcW w:w="2552"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1B1D32" w:rsidRDefault="00FF18EF">
          <w:pPr>
            <w:jc w:val="both"/>
            <w:rPr>
              <w:rFonts w:ascii="Palatino Linotype" w:hAnsi="Palatino Linotype"/>
              <w:b/>
              <w:sz w:val="22"/>
              <w:szCs w:val="22"/>
            </w:rPr>
          </w:pPr>
          <w:r>
            <w:rPr>
              <w:rFonts w:ascii="Palatino Linotype" w:hAnsi="Palatino Linotype"/>
              <w:b/>
              <w:sz w:val="22"/>
              <w:szCs w:val="22"/>
            </w:rPr>
            <w:t>Secretaría de Educación</w:t>
          </w:r>
        </w:p>
      </w:tc>
    </w:tr>
    <w:tr w:rsidR="001B1D32">
      <w:tc>
        <w:tcPr>
          <w:tcW w:w="4252" w:type="dxa"/>
          <w:vMerge/>
          <w:shd w:val="clear" w:color="auto" w:fill="auto"/>
        </w:tcPr>
        <w:p w:rsidR="001B1D32" w:rsidRDefault="001B1D32">
          <w:pPr>
            <w:rPr>
              <w:rFonts w:ascii="Palatino Linotype" w:hAnsi="Palatino Linotype"/>
              <w:b/>
              <w:sz w:val="22"/>
              <w:szCs w:val="22"/>
              <w:lang w:val="es-ES_tradnl"/>
            </w:rPr>
          </w:pPr>
        </w:p>
      </w:tc>
      <w:tc>
        <w:tcPr>
          <w:tcW w:w="2552" w:type="dxa"/>
          <w:shd w:val="clear" w:color="auto" w:fill="auto"/>
        </w:tcPr>
        <w:p w:rsidR="001B1D32" w:rsidRDefault="00FF18E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1B1D32" w:rsidRDefault="00FF18E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B1D32" w:rsidRDefault="001B1D3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F0C97"/>
    <w:multiLevelType w:val="multilevel"/>
    <w:tmpl w:val="4F165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6E5B0E"/>
    <w:multiLevelType w:val="multilevel"/>
    <w:tmpl w:val="CBC49B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694716B"/>
    <w:multiLevelType w:val="multilevel"/>
    <w:tmpl w:val="F12E24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2221E44"/>
    <w:multiLevelType w:val="multilevel"/>
    <w:tmpl w:val="05E0B008"/>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A353C5"/>
    <w:multiLevelType w:val="multilevel"/>
    <w:tmpl w:val="45FC474C"/>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szCs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5" w15:restartNumberingAfterBreak="0">
    <w:nsid w:val="547B2D04"/>
    <w:multiLevelType w:val="multilevel"/>
    <w:tmpl w:val="09904BAA"/>
    <w:lvl w:ilvl="0">
      <w:start w:val="10"/>
      <w:numFmt w:val="upperRoman"/>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235014"/>
    <w:multiLevelType w:val="multilevel"/>
    <w:tmpl w:val="9F92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6"/>
  </w:num>
  <w:num w:numId="4">
    <w:abstractNumId w:val="0"/>
  </w:num>
  <w:num w:numId="5">
    <w:abstractNumId w:val="1"/>
  </w:num>
  <w:num w:numId="6">
    <w:abstractNumId w:val="2"/>
  </w:num>
  <w:num w:numId="7">
    <w:abstractNumId w:val="3"/>
  </w:num>
  <w:num w:numId="8">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2"/>
    <w:rsid w:val="00096EE1"/>
    <w:rsid w:val="001B1D32"/>
    <w:rsid w:val="0078355B"/>
    <w:rsid w:val="00942F9E"/>
    <w:rsid w:val="009D3697"/>
    <w:rsid w:val="00C61E3D"/>
    <w:rsid w:val="00D06840"/>
    <w:rsid w:val="00FF18EF"/>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8DF59-D34C-404E-BF0E-590A307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84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egislacion.edomex.gob.mx/ve_periodico_oficial" TargetMode="External"/><Relationship Id="rId14" Type="http://schemas.openxmlformats.org/officeDocument/2006/relationships/hyperlink" Target="https://legislacion.edomex.gob.mx/ve_periodico_oficial" TargetMode="External"/><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normateca.edugem.gob.mx/normateca/wp-content/uploads/2016/07/REGL_015.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9.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21.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27065-70DF-40A6-90CC-65519452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6696</Words>
  <Characters>36833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2020-08-26T20:54:00Z</dcterms:created>
  <dcterms:modified xsi:type="dcterms:W3CDTF">2020-08-26T20:54:00Z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