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AB48CB" w:rsidRDefault="007E2E80" w:rsidP="0014447C">
      <w:pPr>
        <w:pStyle w:val="Sinespaciado"/>
        <w:spacing w:line="360" w:lineRule="auto"/>
        <w:jc w:val="both"/>
        <w:rPr>
          <w:rFonts w:ascii="Palatino Linotype" w:hAnsi="Palatino Linotype"/>
          <w:sz w:val="24"/>
          <w:szCs w:val="24"/>
          <w:lang w:eastAsia="es-MX"/>
        </w:rPr>
      </w:pPr>
      <w:r w:rsidRPr="00AB48CB">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B62696">
        <w:rPr>
          <w:rFonts w:ascii="Palatino Linotype" w:hAnsi="Palatino Linotype"/>
          <w:sz w:val="24"/>
          <w:szCs w:val="24"/>
          <w:lang w:eastAsia="es-MX"/>
        </w:rPr>
        <w:t>a cuatro de noviembre</w:t>
      </w:r>
      <w:r w:rsidR="001566D6">
        <w:rPr>
          <w:rFonts w:ascii="Palatino Linotype" w:hAnsi="Palatino Linotype"/>
          <w:sz w:val="24"/>
          <w:szCs w:val="24"/>
          <w:lang w:eastAsia="es-MX"/>
        </w:rPr>
        <w:t xml:space="preserve"> de dos mil veinte</w:t>
      </w:r>
      <w:r w:rsidRPr="00AB48CB">
        <w:rPr>
          <w:rFonts w:ascii="Palatino Linotype" w:hAnsi="Palatino Linotype"/>
          <w:sz w:val="24"/>
          <w:szCs w:val="24"/>
          <w:lang w:eastAsia="es-MX"/>
        </w:rPr>
        <w:t>.</w:t>
      </w:r>
    </w:p>
    <w:p w:rsidR="007E2E80" w:rsidRPr="00AB48CB" w:rsidRDefault="007E2E80"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b/>
          <w:sz w:val="24"/>
          <w:szCs w:val="24"/>
        </w:rPr>
        <w:t>VISTO</w:t>
      </w:r>
      <w:r w:rsidRPr="00AB48CB">
        <w:rPr>
          <w:rFonts w:ascii="Palatino Linotype" w:hAnsi="Palatino Linotype"/>
          <w:sz w:val="24"/>
          <w:szCs w:val="24"/>
        </w:rPr>
        <w:t xml:space="preserve"> el expediente electrónico formado con motivo del recurso de revisión número </w:t>
      </w:r>
      <w:r w:rsidR="00B62696">
        <w:rPr>
          <w:rFonts w:ascii="Palatino Linotype" w:hAnsi="Palatino Linotype"/>
          <w:b/>
          <w:bCs/>
          <w:sz w:val="24"/>
          <w:szCs w:val="24"/>
          <w:lang w:eastAsia="es-MX"/>
        </w:rPr>
        <w:t>03405</w:t>
      </w:r>
      <w:r w:rsidR="001566D6">
        <w:rPr>
          <w:rFonts w:ascii="Palatino Linotype" w:hAnsi="Palatino Linotype"/>
          <w:b/>
          <w:bCs/>
          <w:sz w:val="24"/>
          <w:szCs w:val="24"/>
          <w:lang w:eastAsia="es-MX"/>
        </w:rPr>
        <w:t>/INFOEM/IP/RR/2020</w:t>
      </w:r>
      <w:r w:rsidR="003C3124" w:rsidRPr="00AB48CB">
        <w:rPr>
          <w:rFonts w:ascii="Palatino Linotype" w:hAnsi="Palatino Linotype"/>
          <w:sz w:val="24"/>
          <w:szCs w:val="24"/>
        </w:rPr>
        <w:t>, interpuest</w:t>
      </w:r>
      <w:r w:rsidR="001566D6">
        <w:rPr>
          <w:rFonts w:ascii="Palatino Linotype" w:hAnsi="Palatino Linotype"/>
          <w:sz w:val="24"/>
          <w:szCs w:val="24"/>
        </w:rPr>
        <w:t>o por</w:t>
      </w:r>
      <w:r w:rsidR="00EE581A">
        <w:rPr>
          <w:rFonts w:ascii="Palatino Linotype" w:hAnsi="Palatino Linotype"/>
          <w:sz w:val="24"/>
          <w:szCs w:val="24"/>
        </w:rPr>
        <w:t xml:space="preserve"> el</w:t>
      </w:r>
      <w:r w:rsidR="00D01B24" w:rsidRPr="00AB48CB">
        <w:rPr>
          <w:rFonts w:ascii="Palatino Linotype" w:hAnsi="Palatino Linotype"/>
          <w:sz w:val="24"/>
          <w:szCs w:val="24"/>
        </w:rPr>
        <w:t xml:space="preserve"> </w:t>
      </w:r>
      <w:r w:rsidR="00D01B24" w:rsidRPr="00AB48CB">
        <w:rPr>
          <w:rFonts w:ascii="Palatino Linotype" w:hAnsi="Palatino Linotype"/>
          <w:b/>
          <w:sz w:val="24"/>
          <w:szCs w:val="24"/>
        </w:rPr>
        <w:t>C</w:t>
      </w:r>
      <w:r w:rsidR="00B62696">
        <w:rPr>
          <w:rFonts w:ascii="Palatino Linotype" w:hAnsi="Palatino Linotype"/>
          <w:b/>
          <w:sz w:val="24"/>
          <w:szCs w:val="24"/>
        </w:rPr>
        <w:t xml:space="preserve">. </w:t>
      </w:r>
      <w:proofErr w:type="spellStart"/>
      <w:r w:rsidR="00590838">
        <w:rPr>
          <w:rFonts w:ascii="Palatino Linotype" w:hAnsi="Palatino Linotype"/>
          <w:b/>
          <w:sz w:val="24"/>
          <w:szCs w:val="24"/>
        </w:rPr>
        <w:t>xxxxxxxxxxxxxxxxxxxxxxx</w:t>
      </w:r>
      <w:proofErr w:type="spellEnd"/>
      <w:r w:rsidR="00FC7D8B" w:rsidRPr="00AB48CB">
        <w:rPr>
          <w:rFonts w:ascii="Palatino Linotype" w:hAnsi="Palatino Linotype"/>
          <w:sz w:val="24"/>
          <w:szCs w:val="24"/>
        </w:rPr>
        <w:t xml:space="preserve"> </w:t>
      </w:r>
      <w:r w:rsidRPr="00AB48CB">
        <w:rPr>
          <w:rFonts w:ascii="Palatino Linotype" w:hAnsi="Palatino Linotype"/>
          <w:sz w:val="24"/>
          <w:szCs w:val="24"/>
        </w:rPr>
        <w:t xml:space="preserve">en lo sucesivo </w:t>
      </w:r>
      <w:r w:rsidR="001566D6">
        <w:rPr>
          <w:rFonts w:ascii="Palatino Linotype" w:hAnsi="Palatino Linotype"/>
          <w:sz w:val="24"/>
          <w:szCs w:val="24"/>
        </w:rPr>
        <w:t>el</w:t>
      </w:r>
      <w:r w:rsidRPr="00AB48CB">
        <w:rPr>
          <w:rFonts w:ascii="Palatino Linotype" w:hAnsi="Palatino Linotype"/>
          <w:sz w:val="24"/>
          <w:szCs w:val="24"/>
        </w:rPr>
        <w:t xml:space="preserve"> </w:t>
      </w:r>
      <w:r w:rsidRPr="00AB48CB">
        <w:rPr>
          <w:rFonts w:ascii="Palatino Linotype" w:hAnsi="Palatino Linotype"/>
          <w:b/>
          <w:sz w:val="24"/>
          <w:szCs w:val="24"/>
        </w:rPr>
        <w:t>Recurrente</w:t>
      </w:r>
      <w:r w:rsidRPr="00AB48CB">
        <w:rPr>
          <w:rFonts w:ascii="Palatino Linotype" w:hAnsi="Palatino Linotype"/>
          <w:sz w:val="24"/>
          <w:szCs w:val="24"/>
        </w:rPr>
        <w:t xml:space="preserve">, en contra de la </w:t>
      </w:r>
      <w:r w:rsidR="00993FA0">
        <w:rPr>
          <w:rFonts w:ascii="Palatino Linotype" w:hAnsi="Palatino Linotype"/>
          <w:sz w:val="24"/>
          <w:szCs w:val="24"/>
        </w:rPr>
        <w:t xml:space="preserve">falta de </w:t>
      </w:r>
      <w:r w:rsidRPr="00AB48CB">
        <w:rPr>
          <w:rFonts w:ascii="Palatino Linotype" w:hAnsi="Palatino Linotype"/>
          <w:sz w:val="24"/>
          <w:szCs w:val="24"/>
        </w:rPr>
        <w:t>respuesta de</w:t>
      </w:r>
      <w:r w:rsidR="001656BE" w:rsidRPr="00AB48CB">
        <w:rPr>
          <w:rFonts w:ascii="Palatino Linotype" w:hAnsi="Palatino Linotype"/>
          <w:sz w:val="24"/>
          <w:szCs w:val="24"/>
        </w:rPr>
        <w:t>l</w:t>
      </w:r>
      <w:r w:rsidR="003C3124" w:rsidRPr="00AB48CB">
        <w:rPr>
          <w:rFonts w:ascii="Palatino Linotype" w:hAnsi="Palatino Linotype"/>
          <w:sz w:val="24"/>
          <w:szCs w:val="24"/>
        </w:rPr>
        <w:t xml:space="preserve"> </w:t>
      </w:r>
      <w:r w:rsidR="00B62696">
        <w:rPr>
          <w:rFonts w:ascii="Palatino Linotype" w:hAnsi="Palatino Linotype"/>
          <w:b/>
          <w:sz w:val="24"/>
          <w:szCs w:val="24"/>
        </w:rPr>
        <w:t xml:space="preserve">Ayuntamiento de </w:t>
      </w:r>
      <w:proofErr w:type="spellStart"/>
      <w:r w:rsidR="00B62696">
        <w:rPr>
          <w:rFonts w:ascii="Palatino Linotype" w:hAnsi="Palatino Linotype"/>
          <w:b/>
          <w:sz w:val="24"/>
          <w:szCs w:val="24"/>
        </w:rPr>
        <w:t>Calimaya</w:t>
      </w:r>
      <w:proofErr w:type="spellEnd"/>
      <w:r w:rsidRPr="00AB48CB">
        <w:rPr>
          <w:rFonts w:ascii="Palatino Linotype" w:hAnsi="Palatino Linotype"/>
          <w:sz w:val="24"/>
          <w:szCs w:val="24"/>
        </w:rPr>
        <w:t>, en lo subsecuente</w:t>
      </w:r>
      <w:r w:rsidR="00DD2D53" w:rsidRPr="00AB48CB">
        <w:rPr>
          <w:rFonts w:ascii="Palatino Linotype" w:hAnsi="Palatino Linotype"/>
          <w:b/>
          <w:sz w:val="24"/>
          <w:szCs w:val="24"/>
        </w:rPr>
        <w:t xml:space="preserve"> e</w:t>
      </w:r>
      <w:r w:rsidRPr="00AB48CB">
        <w:rPr>
          <w:rFonts w:ascii="Palatino Linotype" w:hAnsi="Palatino Linotype"/>
          <w:b/>
          <w:sz w:val="24"/>
          <w:szCs w:val="24"/>
        </w:rPr>
        <w:t xml:space="preserve">l Sujeto Obligado, </w:t>
      </w:r>
      <w:r w:rsidRPr="00AB48CB">
        <w:rPr>
          <w:rFonts w:ascii="Palatino Linotype" w:hAnsi="Palatino Linotype"/>
          <w:sz w:val="24"/>
          <w:szCs w:val="24"/>
        </w:rPr>
        <w:t>se procede a dictar la presente resolución.</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A N T E C E D E N T E S   D E L   A S U N T O</w:t>
      </w:r>
    </w:p>
    <w:p w:rsidR="00DD5971" w:rsidRPr="00AB48CB" w:rsidRDefault="00DD5971" w:rsidP="0014447C">
      <w:pPr>
        <w:pStyle w:val="Sinespaciado"/>
        <w:spacing w:line="360" w:lineRule="auto"/>
        <w:jc w:val="both"/>
        <w:rPr>
          <w:rFonts w:ascii="Palatino Linotype" w:hAnsi="Palatino Linotype"/>
          <w:b/>
          <w:sz w:val="24"/>
          <w:szCs w:val="24"/>
        </w:rPr>
      </w:pPr>
    </w:p>
    <w:p w:rsidR="007E2E80" w:rsidRPr="00AB48CB" w:rsidRDefault="007E2E80" w:rsidP="0014447C">
      <w:pPr>
        <w:pStyle w:val="Sinespaciado"/>
        <w:spacing w:line="360" w:lineRule="auto"/>
        <w:jc w:val="both"/>
        <w:rPr>
          <w:rFonts w:ascii="Palatino Linotype" w:hAnsi="Palatino Linotype"/>
          <w:sz w:val="26"/>
          <w:szCs w:val="26"/>
        </w:rPr>
      </w:pPr>
      <w:r w:rsidRPr="00AB48CB">
        <w:rPr>
          <w:rFonts w:ascii="Palatino Linotype" w:hAnsi="Palatino Linotype"/>
          <w:b/>
          <w:sz w:val="26"/>
          <w:szCs w:val="26"/>
        </w:rPr>
        <w:t>PRIMERO.</w:t>
      </w:r>
      <w:r w:rsidRPr="00AB48CB">
        <w:rPr>
          <w:rFonts w:ascii="Palatino Linotype" w:hAnsi="Palatino Linotype"/>
          <w:sz w:val="26"/>
          <w:szCs w:val="26"/>
        </w:rPr>
        <w:t xml:space="preserve"> </w:t>
      </w:r>
      <w:r w:rsidRPr="00AB48CB">
        <w:rPr>
          <w:rFonts w:ascii="Palatino Linotype" w:hAnsi="Palatino Linotype"/>
          <w:b/>
          <w:sz w:val="26"/>
          <w:szCs w:val="26"/>
        </w:rPr>
        <w:t>De la Solicitud de Información.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Con</w:t>
      </w:r>
      <w:r w:rsidR="008C0E72" w:rsidRPr="00AB48CB">
        <w:rPr>
          <w:rFonts w:ascii="Palatino Linotype" w:hAnsi="Palatino Linotype"/>
          <w:sz w:val="24"/>
          <w:szCs w:val="24"/>
        </w:rPr>
        <w:t xml:space="preserve"> fecha </w:t>
      </w:r>
      <w:r w:rsidR="00B62696">
        <w:rPr>
          <w:rFonts w:ascii="Palatino Linotype" w:hAnsi="Palatino Linotype"/>
          <w:sz w:val="24"/>
          <w:szCs w:val="24"/>
        </w:rPr>
        <w:t>tres de agosto de dos mil veinte</w:t>
      </w:r>
      <w:r w:rsidR="001566D6">
        <w:rPr>
          <w:rFonts w:ascii="Palatino Linotype" w:hAnsi="Palatino Linotype"/>
          <w:sz w:val="24"/>
          <w:szCs w:val="24"/>
        </w:rPr>
        <w:t>, el</w:t>
      </w:r>
      <w:r w:rsidR="00DD2D53" w:rsidRPr="00AB48CB">
        <w:rPr>
          <w:rFonts w:ascii="Palatino Linotype" w:hAnsi="Palatino Linotype"/>
          <w:sz w:val="24"/>
          <w:szCs w:val="24"/>
        </w:rPr>
        <w:t xml:space="preserve"> </w:t>
      </w:r>
      <w:r w:rsidRPr="00AB48CB">
        <w:rPr>
          <w:rFonts w:ascii="Palatino Linotype" w:hAnsi="Palatino Linotype"/>
          <w:sz w:val="24"/>
          <w:szCs w:val="24"/>
        </w:rPr>
        <w:t xml:space="preserve">Recurrente, presentó a través del Sistema </w:t>
      </w:r>
      <w:proofErr w:type="gramStart"/>
      <w:r w:rsidRPr="00AB48CB">
        <w:rPr>
          <w:rFonts w:ascii="Palatino Linotype" w:hAnsi="Palatino Linotype"/>
          <w:sz w:val="24"/>
          <w:szCs w:val="24"/>
        </w:rPr>
        <w:t>de</w:t>
      </w:r>
      <w:proofErr w:type="gramEnd"/>
      <w:r w:rsidRPr="00AB48CB">
        <w:rPr>
          <w:rFonts w:ascii="Palatino Linotype" w:hAnsi="Palatino Linotype"/>
          <w:sz w:val="24"/>
          <w:szCs w:val="24"/>
        </w:rPr>
        <w:t xml:space="preserve"> Acceso a la Información Mexiquense (</w:t>
      </w:r>
      <w:r w:rsidRPr="00AB48CB">
        <w:rPr>
          <w:rFonts w:ascii="Palatino Linotype" w:hAnsi="Palatino Linotype"/>
          <w:b/>
          <w:sz w:val="24"/>
          <w:szCs w:val="24"/>
        </w:rPr>
        <w:t>SAIMEX)</w:t>
      </w:r>
      <w:r w:rsidRPr="00AB48CB">
        <w:rPr>
          <w:rFonts w:ascii="Palatino Linotype" w:hAnsi="Palatino Linotype"/>
          <w:sz w:val="24"/>
          <w:szCs w:val="24"/>
        </w:rPr>
        <w:t xml:space="preserve"> ante </w:t>
      </w:r>
      <w:r w:rsidR="00DD2D53" w:rsidRPr="00AB48CB">
        <w:rPr>
          <w:rFonts w:ascii="Palatino Linotype" w:hAnsi="Palatino Linotype"/>
          <w:sz w:val="24"/>
          <w:szCs w:val="24"/>
        </w:rPr>
        <w:t>e</w:t>
      </w:r>
      <w:r w:rsidRPr="00AB48CB">
        <w:rPr>
          <w:rFonts w:ascii="Palatino Linotype" w:hAnsi="Palatino Linotype"/>
          <w:sz w:val="24"/>
          <w:szCs w:val="24"/>
        </w:rPr>
        <w:t>l Sujeto Obligado, solicitud de acceso a la información pública, registrada bajo el número de expediente</w:t>
      </w:r>
      <w:r w:rsidR="007C34AF">
        <w:rPr>
          <w:rFonts w:ascii="Palatino Linotype" w:hAnsi="Palatino Linotype"/>
          <w:b/>
          <w:sz w:val="24"/>
          <w:szCs w:val="24"/>
        </w:rPr>
        <w:t xml:space="preserve"> </w:t>
      </w:r>
      <w:r w:rsidR="00B62696" w:rsidRPr="00B62696">
        <w:rPr>
          <w:rFonts w:ascii="Palatino Linotype" w:hAnsi="Palatino Linotype"/>
          <w:b/>
          <w:bCs/>
          <w:sz w:val="24"/>
          <w:szCs w:val="24"/>
        </w:rPr>
        <w:t>00071/CALIMAYA/IP/2020</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p>
    <w:p w:rsidR="00C35F18" w:rsidRPr="00AB48CB" w:rsidRDefault="00C35F18" w:rsidP="0014447C">
      <w:pPr>
        <w:pStyle w:val="Sinespaciado"/>
        <w:spacing w:line="360" w:lineRule="auto"/>
        <w:jc w:val="both"/>
        <w:rPr>
          <w:rFonts w:ascii="Palatino Linotype" w:hAnsi="Palatino Linotype"/>
          <w:sz w:val="24"/>
          <w:szCs w:val="24"/>
        </w:rPr>
      </w:pPr>
    </w:p>
    <w:p w:rsidR="007E2E80" w:rsidRPr="007C34AF" w:rsidRDefault="007E2E80" w:rsidP="0014447C">
      <w:pPr>
        <w:pStyle w:val="Sinespaciado"/>
        <w:ind w:left="567" w:right="567"/>
        <w:jc w:val="both"/>
        <w:rPr>
          <w:rFonts w:ascii="Palatino Linotype" w:eastAsia="Times New Roman" w:hAnsi="Palatino Linotype" w:cs="Times New Roman"/>
          <w:i/>
          <w:lang w:val="es-ES_tradnl" w:eastAsia="es-ES"/>
        </w:rPr>
      </w:pPr>
      <w:r w:rsidRPr="007C34AF">
        <w:rPr>
          <w:rFonts w:ascii="Palatino Linotype" w:eastAsia="Times New Roman" w:hAnsi="Palatino Linotype" w:cs="Times New Roman"/>
          <w:i/>
          <w:lang w:val="es-ES_tradnl" w:eastAsia="es-ES"/>
        </w:rPr>
        <w:t>“</w:t>
      </w:r>
      <w:r w:rsidR="00B62696" w:rsidRPr="00B62696">
        <w:rPr>
          <w:rFonts w:ascii="Palatino Linotype" w:eastAsia="Times New Roman" w:hAnsi="Palatino Linotype" w:cs="Times New Roman"/>
          <w:i/>
          <w:lang w:eastAsia="es-ES"/>
        </w:rPr>
        <w:t xml:space="preserve">Mediante esta herramienta de información ciudadana me gustaría solicitar la información de la última pavimentación de la carretera que conecta al municipio con </w:t>
      </w:r>
      <w:proofErr w:type="spellStart"/>
      <w:r w:rsidR="00B62696" w:rsidRPr="00B62696">
        <w:rPr>
          <w:rFonts w:ascii="Palatino Linotype" w:eastAsia="Times New Roman" w:hAnsi="Palatino Linotype" w:cs="Times New Roman"/>
          <w:i/>
          <w:lang w:eastAsia="es-ES"/>
        </w:rPr>
        <w:t>metepec</w:t>
      </w:r>
      <w:proofErr w:type="spellEnd"/>
      <w:r w:rsidR="00B62696" w:rsidRPr="00B62696">
        <w:rPr>
          <w:rFonts w:ascii="Palatino Linotype" w:eastAsia="Times New Roman" w:hAnsi="Palatino Linotype" w:cs="Times New Roman"/>
          <w:i/>
          <w:lang w:eastAsia="es-ES"/>
        </w:rPr>
        <w:t xml:space="preserve"> gracias.</w:t>
      </w:r>
      <w:r w:rsidRPr="007C34AF">
        <w:rPr>
          <w:rFonts w:ascii="Palatino Linotype" w:eastAsia="Times New Roman" w:hAnsi="Palatino Linotype" w:cs="Times New Roman"/>
          <w:i/>
          <w:lang w:val="es-ES_tradnl" w:eastAsia="es-ES"/>
        </w:rPr>
        <w:t>” [Sic]</w:t>
      </w:r>
    </w:p>
    <w:p w:rsidR="00C35F18" w:rsidRPr="00AB48CB"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B48CB">
        <w:rPr>
          <w:rFonts w:ascii="Palatino Linotype" w:eastAsia="Times New Roman" w:hAnsi="Palatino Linotype" w:cs="Times New Roman"/>
          <w:sz w:val="24"/>
          <w:szCs w:val="24"/>
          <w:lang w:val="es-ES_tradnl" w:eastAsia="es-ES"/>
        </w:rPr>
        <w:t xml:space="preserve">Modalidad de entrega: </w:t>
      </w:r>
      <w:r w:rsidRPr="00AB48CB">
        <w:rPr>
          <w:rFonts w:ascii="Palatino Linotype" w:eastAsia="Times New Roman" w:hAnsi="Palatino Linotype" w:cs="Times New Roman"/>
          <w:b/>
          <w:sz w:val="24"/>
          <w:szCs w:val="24"/>
          <w:lang w:val="es-ES_tradnl" w:eastAsia="es-ES"/>
        </w:rPr>
        <w:t>A través del SAIMEX.</w:t>
      </w: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lastRenderedPageBreak/>
        <w:t xml:space="preserve">SEGUNDO. </w:t>
      </w:r>
      <w:r w:rsidR="00DA21DB" w:rsidRPr="00AB48CB">
        <w:rPr>
          <w:rFonts w:ascii="Palatino Linotype" w:hAnsi="Palatino Linotype"/>
          <w:b/>
          <w:sz w:val="26"/>
          <w:szCs w:val="26"/>
        </w:rPr>
        <w:t xml:space="preserve">De la </w:t>
      </w:r>
      <w:r w:rsidRPr="00AB48CB">
        <w:rPr>
          <w:rFonts w:ascii="Palatino Linotype" w:hAnsi="Palatino Linotype"/>
          <w:b/>
          <w:sz w:val="26"/>
          <w:szCs w:val="26"/>
        </w:rPr>
        <w:t>respuesta del Sujeto Obligado.</w:t>
      </w:r>
    </w:p>
    <w:p w:rsidR="005C5FB7" w:rsidRDefault="007C34AF" w:rsidP="008642B9">
      <w:pPr>
        <w:pStyle w:val="Sinespaciado"/>
        <w:spacing w:line="360" w:lineRule="auto"/>
        <w:jc w:val="both"/>
        <w:rPr>
          <w:rFonts w:ascii="Palatino Linotype" w:hAnsi="Palatino Linotype"/>
          <w:sz w:val="24"/>
          <w:szCs w:val="24"/>
        </w:rPr>
      </w:pPr>
      <w:r w:rsidRPr="007C34AF">
        <w:rPr>
          <w:rFonts w:ascii="Palatino Linotype" w:hAnsi="Palatino Linotype"/>
          <w:sz w:val="24"/>
          <w:szCs w:val="24"/>
        </w:rPr>
        <w:t xml:space="preserve">Del expediente electrónico que obra en </w:t>
      </w:r>
      <w:r w:rsidRPr="007C34AF">
        <w:rPr>
          <w:rFonts w:ascii="Palatino Linotype" w:hAnsi="Palatino Linotype"/>
          <w:b/>
          <w:sz w:val="24"/>
          <w:szCs w:val="24"/>
        </w:rPr>
        <w:t xml:space="preserve">SAIMEX, </w:t>
      </w:r>
      <w:r w:rsidRPr="007C34AF">
        <w:rPr>
          <w:rFonts w:ascii="Palatino Linotype" w:hAnsi="Palatino Linotype"/>
          <w:sz w:val="24"/>
          <w:szCs w:val="24"/>
        </w:rPr>
        <w:t xml:space="preserve">se observa que el </w:t>
      </w:r>
      <w:r w:rsidR="00993FA0">
        <w:rPr>
          <w:rFonts w:ascii="Palatino Linotype" w:hAnsi="Palatino Linotype"/>
          <w:sz w:val="24"/>
          <w:szCs w:val="24"/>
        </w:rPr>
        <w:t>Sujeto Obligado fue omiso</w:t>
      </w:r>
      <w:r w:rsidRPr="007C34AF">
        <w:rPr>
          <w:rFonts w:ascii="Palatino Linotype" w:hAnsi="Palatino Linotype"/>
          <w:sz w:val="24"/>
          <w:szCs w:val="24"/>
        </w:rPr>
        <w:t xml:space="preserve"> en dar respuesta a la solicitud de información</w:t>
      </w:r>
      <w:r w:rsidR="00D868FE">
        <w:rPr>
          <w:rFonts w:ascii="Palatino Linotype" w:hAnsi="Palatino Linotype"/>
          <w:sz w:val="24"/>
          <w:szCs w:val="24"/>
        </w:rPr>
        <w:t>.</w:t>
      </w:r>
      <w:r w:rsidR="001566D6">
        <w:rPr>
          <w:rFonts w:ascii="Palatino Linotype" w:hAnsi="Palatino Linotype"/>
          <w:sz w:val="24"/>
          <w:szCs w:val="24"/>
        </w:rPr>
        <w:t xml:space="preserve"> </w:t>
      </w:r>
    </w:p>
    <w:p w:rsidR="00D868FE" w:rsidRPr="00AB48CB" w:rsidRDefault="00D868FE" w:rsidP="008642B9">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TERCERO. Del recurso de revisión.</w:t>
      </w:r>
    </w:p>
    <w:p w:rsidR="007E2E80" w:rsidRPr="00AB48CB" w:rsidRDefault="00993FA0" w:rsidP="0014447C">
      <w:pPr>
        <w:pStyle w:val="Sinespaciado"/>
        <w:spacing w:line="360" w:lineRule="auto"/>
        <w:jc w:val="both"/>
        <w:rPr>
          <w:rFonts w:ascii="Palatino Linotype" w:hAnsi="Palatino Linotype"/>
          <w:sz w:val="24"/>
          <w:szCs w:val="24"/>
        </w:rPr>
      </w:pPr>
      <w:r w:rsidRPr="00993FA0">
        <w:rPr>
          <w:rFonts w:ascii="Palatino Linotype" w:hAnsi="Palatino Linotype"/>
          <w:sz w:val="24"/>
          <w:szCs w:val="24"/>
        </w:rPr>
        <w:t xml:space="preserve">En fecha </w:t>
      </w:r>
      <w:r w:rsidR="00B62696">
        <w:rPr>
          <w:rFonts w:ascii="Palatino Linotype" w:hAnsi="Palatino Linotype"/>
          <w:sz w:val="24"/>
          <w:szCs w:val="24"/>
        </w:rPr>
        <w:t>veinticinco de agosto</w:t>
      </w:r>
      <w:r w:rsidR="00A75E80">
        <w:rPr>
          <w:rFonts w:ascii="Palatino Linotype" w:hAnsi="Palatino Linotype"/>
          <w:sz w:val="24"/>
          <w:szCs w:val="24"/>
        </w:rPr>
        <w:t xml:space="preserve"> de dos mil veinte, el</w:t>
      </w:r>
      <w:r w:rsidRPr="00993FA0">
        <w:rPr>
          <w:rFonts w:ascii="Palatino Linotype" w:hAnsi="Palatino Linotype"/>
          <w:sz w:val="24"/>
          <w:szCs w:val="24"/>
        </w:rPr>
        <w:t xml:space="preserve"> Recurrente interpuso el recurso de revisión, el cual fue registrado</w:t>
      </w:r>
      <w:r w:rsidRPr="00993FA0">
        <w:rPr>
          <w:rFonts w:ascii="Palatino Linotype" w:hAnsi="Palatino Linotype"/>
          <w:b/>
          <w:sz w:val="24"/>
          <w:szCs w:val="24"/>
        </w:rPr>
        <w:t xml:space="preserve"> </w:t>
      </w:r>
      <w:r w:rsidRPr="00993FA0">
        <w:rPr>
          <w:rFonts w:ascii="Palatino Linotype" w:hAnsi="Palatino Linotype"/>
          <w:sz w:val="24"/>
          <w:szCs w:val="24"/>
        </w:rPr>
        <w:t xml:space="preserve">en el </w:t>
      </w:r>
      <w:r w:rsidRPr="00993FA0">
        <w:rPr>
          <w:rFonts w:ascii="Palatino Linotype" w:hAnsi="Palatino Linotype"/>
          <w:b/>
          <w:sz w:val="24"/>
          <w:szCs w:val="24"/>
        </w:rPr>
        <w:t>SAIMEX</w:t>
      </w:r>
      <w:r w:rsidRPr="00993FA0">
        <w:rPr>
          <w:rFonts w:ascii="Palatino Linotype" w:hAnsi="Palatino Linotype"/>
          <w:sz w:val="24"/>
          <w:szCs w:val="24"/>
        </w:rPr>
        <w:t xml:space="preserve"> con el expediente número</w:t>
      </w:r>
      <w:r w:rsidRPr="00993FA0">
        <w:rPr>
          <w:rFonts w:ascii="Palatino Linotype" w:hAnsi="Palatino Linotype"/>
          <w:b/>
          <w:sz w:val="24"/>
          <w:szCs w:val="24"/>
        </w:rPr>
        <w:t xml:space="preserve"> </w:t>
      </w:r>
      <w:r w:rsidR="00B62696">
        <w:rPr>
          <w:rFonts w:ascii="Palatino Linotype" w:hAnsi="Palatino Linotype"/>
          <w:b/>
          <w:sz w:val="24"/>
          <w:szCs w:val="24"/>
        </w:rPr>
        <w:t>03405</w:t>
      </w:r>
      <w:r w:rsidR="00A75E80">
        <w:rPr>
          <w:rFonts w:ascii="Palatino Linotype" w:hAnsi="Palatino Linotype"/>
          <w:b/>
          <w:sz w:val="24"/>
          <w:szCs w:val="24"/>
        </w:rPr>
        <w:t>/INFOEM/IP/RR/2020</w:t>
      </w:r>
      <w:r w:rsidRPr="00993FA0">
        <w:rPr>
          <w:rFonts w:ascii="Palatino Linotype" w:hAnsi="Palatino Linotype"/>
          <w:sz w:val="24"/>
          <w:szCs w:val="24"/>
        </w:rPr>
        <w:t>, manifestando lo siguiente:</w:t>
      </w:r>
    </w:p>
    <w:p w:rsidR="007E2E80" w:rsidRPr="00AB48CB" w:rsidRDefault="007E2E80" w:rsidP="0014447C">
      <w:pPr>
        <w:spacing w:before="240"/>
        <w:jc w:val="both"/>
        <w:rPr>
          <w:rFonts w:ascii="Palatino Linotype" w:hAnsi="Palatino Linotype" w:cs="Arial"/>
          <w:b/>
          <w:sz w:val="24"/>
          <w:szCs w:val="24"/>
        </w:rPr>
      </w:pPr>
      <w:r w:rsidRPr="00AB48CB">
        <w:rPr>
          <w:rFonts w:ascii="Palatino Linotype" w:hAnsi="Palatino Linotype" w:cs="Arial"/>
          <w:b/>
          <w:sz w:val="24"/>
          <w:szCs w:val="24"/>
        </w:rPr>
        <w:t>Acto Impugnado:</w:t>
      </w:r>
    </w:p>
    <w:p w:rsidR="007E2E80" w:rsidRPr="00993FA0" w:rsidRDefault="007E2E80" w:rsidP="0014447C">
      <w:pPr>
        <w:spacing w:line="240" w:lineRule="auto"/>
        <w:ind w:left="851" w:right="850"/>
        <w:jc w:val="both"/>
        <w:rPr>
          <w:rFonts w:ascii="Palatino Linotype" w:hAnsi="Palatino Linotype" w:cs="Arial"/>
          <w:i/>
        </w:rPr>
      </w:pPr>
      <w:r w:rsidRPr="00993FA0">
        <w:rPr>
          <w:rFonts w:ascii="Palatino Linotype" w:hAnsi="Palatino Linotype" w:cs="Arial"/>
          <w:i/>
        </w:rPr>
        <w:t>“</w:t>
      </w:r>
      <w:r w:rsidR="00B62696" w:rsidRPr="00B62696">
        <w:rPr>
          <w:rFonts w:ascii="Palatino Linotype" w:hAnsi="Palatino Linotype" w:cs="Arial"/>
          <w:i/>
        </w:rPr>
        <w:t>Se me ha negado el acceso a la información ya que el Sujeto Obligado no ha contestado mi solicitud de información</w:t>
      </w:r>
      <w:r w:rsidR="006A3A54" w:rsidRPr="00993FA0">
        <w:rPr>
          <w:rFonts w:ascii="Palatino Linotype" w:hAnsi="Palatino Linotype" w:cs="Arial"/>
          <w:i/>
        </w:rPr>
        <w:t>"(Sic)</w:t>
      </w:r>
    </w:p>
    <w:p w:rsidR="007E2E80" w:rsidRPr="00AB48CB" w:rsidRDefault="007E2E80" w:rsidP="0014447C">
      <w:pPr>
        <w:spacing w:before="240"/>
        <w:jc w:val="both"/>
        <w:rPr>
          <w:rFonts w:ascii="Palatino Linotype" w:hAnsi="Palatino Linotype" w:cs="Arial"/>
          <w:sz w:val="24"/>
          <w:szCs w:val="24"/>
        </w:rPr>
      </w:pPr>
      <w:r w:rsidRPr="00AB48CB">
        <w:rPr>
          <w:rFonts w:ascii="Palatino Linotype" w:hAnsi="Palatino Linotype" w:cs="Arial"/>
          <w:b/>
          <w:sz w:val="24"/>
          <w:szCs w:val="24"/>
        </w:rPr>
        <w:t>Razones o Motivos de Inconformidad</w:t>
      </w:r>
      <w:r w:rsidRPr="00AB48CB">
        <w:rPr>
          <w:rFonts w:ascii="Palatino Linotype" w:hAnsi="Palatino Linotype" w:cs="Arial"/>
          <w:sz w:val="24"/>
          <w:szCs w:val="24"/>
        </w:rPr>
        <w:t xml:space="preserve">: </w:t>
      </w:r>
    </w:p>
    <w:p w:rsidR="007E2E80" w:rsidRPr="00993FA0" w:rsidRDefault="007E2E80" w:rsidP="0014447C">
      <w:pPr>
        <w:spacing w:line="240" w:lineRule="auto"/>
        <w:ind w:left="851" w:right="850"/>
        <w:jc w:val="both"/>
        <w:rPr>
          <w:rFonts w:ascii="Palatino Linotype" w:hAnsi="Palatino Linotype" w:cs="Arial"/>
          <w:i/>
        </w:rPr>
      </w:pPr>
      <w:r w:rsidRPr="00993FA0">
        <w:rPr>
          <w:rFonts w:ascii="Palatino Linotype" w:hAnsi="Palatino Linotype" w:cs="Arial"/>
          <w:i/>
        </w:rPr>
        <w:t>“</w:t>
      </w:r>
      <w:r w:rsidR="00B62696" w:rsidRPr="00B62696">
        <w:rPr>
          <w:rFonts w:ascii="Palatino Linotype" w:hAnsi="Palatino Linotype" w:cs="Arial"/>
          <w:i/>
        </w:rPr>
        <w:t xml:space="preserve">El sujeto obligado del municipio de </w:t>
      </w:r>
      <w:proofErr w:type="spellStart"/>
      <w:r w:rsidR="00B62696" w:rsidRPr="00B62696">
        <w:rPr>
          <w:rFonts w:ascii="Palatino Linotype" w:hAnsi="Palatino Linotype" w:cs="Arial"/>
          <w:i/>
        </w:rPr>
        <w:t>calimaya</w:t>
      </w:r>
      <w:proofErr w:type="spellEnd"/>
      <w:r w:rsidR="00B62696" w:rsidRPr="00B62696">
        <w:rPr>
          <w:rFonts w:ascii="Palatino Linotype" w:hAnsi="Palatino Linotype" w:cs="Arial"/>
          <w:i/>
        </w:rPr>
        <w:t xml:space="preserve"> no ha dado una contestación a mi solicitud de información.</w:t>
      </w:r>
      <w:r w:rsidR="00993FA0" w:rsidRPr="00993FA0">
        <w:rPr>
          <w:rFonts w:ascii="Palatino Linotype" w:hAnsi="Palatino Linotype" w:cs="Arial"/>
          <w:i/>
        </w:rPr>
        <w:t>”</w:t>
      </w:r>
      <w:r w:rsidR="006A3A54" w:rsidRPr="00993FA0">
        <w:rPr>
          <w:rFonts w:ascii="Palatino Linotype" w:hAnsi="Palatino Linotype" w:cs="Arial"/>
          <w:i/>
        </w:rPr>
        <w:t xml:space="preserve"> (Sic)</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4657BE">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CUARTO. Del turno </w:t>
      </w:r>
      <w:r w:rsidR="000E7C0A" w:rsidRPr="00AB48CB">
        <w:rPr>
          <w:rFonts w:ascii="Palatino Linotype" w:hAnsi="Palatino Linotype"/>
          <w:b/>
          <w:sz w:val="26"/>
          <w:szCs w:val="26"/>
        </w:rPr>
        <w:t xml:space="preserve">y admisión </w:t>
      </w:r>
      <w:r w:rsidRPr="00AB48CB">
        <w:rPr>
          <w:rFonts w:ascii="Palatino Linotype" w:hAnsi="Palatino Linotype"/>
          <w:b/>
          <w:sz w:val="26"/>
          <w:szCs w:val="26"/>
        </w:rPr>
        <w:t>del recurso de revisión.</w:t>
      </w:r>
    </w:p>
    <w:p w:rsidR="007E2E80" w:rsidRPr="00AB48CB" w:rsidRDefault="007E2E80" w:rsidP="004657BE">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Medio de impugnación que le fue turnado a la Comisionada Zulema Martínez Sánchez, por medio del sistema electrónico en términos del </w:t>
      </w:r>
      <w:r w:rsidR="00BE6D77" w:rsidRPr="00AB48CB">
        <w:rPr>
          <w:rFonts w:ascii="Palatino Linotype" w:hAnsi="Palatino Linotype"/>
          <w:sz w:val="24"/>
          <w:szCs w:val="24"/>
        </w:rPr>
        <w:t>numeral</w:t>
      </w:r>
      <w:r w:rsidRPr="00AB48CB">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62696">
        <w:rPr>
          <w:rFonts w:ascii="Palatino Linotype" w:hAnsi="Palatino Linotype"/>
          <w:sz w:val="24"/>
          <w:szCs w:val="24"/>
        </w:rPr>
        <w:t>treinta y uno de agosto</w:t>
      </w:r>
      <w:r w:rsidR="00A75E80">
        <w:rPr>
          <w:rFonts w:ascii="Palatino Linotype" w:hAnsi="Palatino Linotype"/>
          <w:sz w:val="24"/>
          <w:szCs w:val="24"/>
        </w:rPr>
        <w:t xml:space="preserve"> de dos mil veinte</w:t>
      </w:r>
      <w:r w:rsidRPr="00AB48CB">
        <w:rPr>
          <w:rFonts w:ascii="Palatino Linotype" w:hAnsi="Palatino Linotype"/>
          <w:sz w:val="24"/>
          <w:szCs w:val="24"/>
        </w:rPr>
        <w:t>, determinándose en él, un plazo de siete días para que las partes manifestaran lo que a su derecho corresponda en términos del numeral ya citado.</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lastRenderedPageBreak/>
        <w:t>QUINTO. De la etapa de instrucción.</w:t>
      </w:r>
    </w:p>
    <w:p w:rsidR="00095218"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abierta la etapa de instrucción, en el sumario se observa que </w:t>
      </w:r>
      <w:r w:rsidR="00A75E80">
        <w:rPr>
          <w:rFonts w:ascii="Palatino Linotype" w:hAnsi="Palatino Linotype"/>
          <w:sz w:val="24"/>
          <w:szCs w:val="24"/>
        </w:rPr>
        <w:t>el</w:t>
      </w:r>
      <w:r w:rsidR="000E7C0A" w:rsidRPr="00AB48CB">
        <w:rPr>
          <w:rFonts w:ascii="Palatino Linotype" w:hAnsi="Palatino Linotype"/>
          <w:sz w:val="24"/>
          <w:szCs w:val="24"/>
        </w:rPr>
        <w:t xml:space="preserve"> Recurrente</w:t>
      </w:r>
      <w:r w:rsidR="004807F7" w:rsidRPr="00AB48CB">
        <w:rPr>
          <w:rFonts w:ascii="Palatino Linotype" w:hAnsi="Palatino Linotype"/>
          <w:sz w:val="24"/>
          <w:szCs w:val="24"/>
        </w:rPr>
        <w:t xml:space="preserve"> no realizó manifestaciones ni vertió alegatos</w:t>
      </w:r>
      <w:r w:rsidR="00AD3C94" w:rsidRPr="00AB48CB">
        <w:rPr>
          <w:rFonts w:ascii="Palatino Linotype" w:hAnsi="Palatino Linotype"/>
          <w:sz w:val="24"/>
          <w:szCs w:val="24"/>
        </w:rPr>
        <w:t xml:space="preserve">. Por su parte el Sujeto Obligado, en fecha </w:t>
      </w:r>
      <w:r w:rsidR="001B450D" w:rsidRPr="00AB48CB">
        <w:rPr>
          <w:rFonts w:ascii="Palatino Linotype" w:hAnsi="Palatino Linotype"/>
          <w:sz w:val="24"/>
          <w:szCs w:val="24"/>
        </w:rPr>
        <w:t xml:space="preserve"> </w:t>
      </w:r>
      <w:r w:rsidR="00876974">
        <w:rPr>
          <w:rFonts w:ascii="Palatino Linotype" w:hAnsi="Palatino Linotype"/>
          <w:sz w:val="24"/>
          <w:szCs w:val="24"/>
        </w:rPr>
        <w:t>dos de octubre de</w:t>
      </w:r>
      <w:r w:rsidR="00A75E80">
        <w:rPr>
          <w:rFonts w:ascii="Palatino Linotype" w:hAnsi="Palatino Linotype"/>
          <w:sz w:val="24"/>
          <w:szCs w:val="24"/>
        </w:rPr>
        <w:t xml:space="preserve"> dos mil veinte</w:t>
      </w:r>
      <w:r w:rsidR="004657BE" w:rsidRPr="00AB48CB">
        <w:rPr>
          <w:rFonts w:ascii="Palatino Linotype" w:hAnsi="Palatino Linotype"/>
          <w:sz w:val="24"/>
          <w:szCs w:val="24"/>
        </w:rPr>
        <w:t xml:space="preserve"> </w:t>
      </w:r>
      <w:r w:rsidR="007218F2" w:rsidRPr="00AB48CB">
        <w:rPr>
          <w:rFonts w:ascii="Palatino Linotype" w:hAnsi="Palatino Linotype"/>
          <w:sz w:val="24"/>
          <w:szCs w:val="24"/>
        </w:rPr>
        <w:t>remitió su Informe Justificado, consistente de</w:t>
      </w:r>
      <w:r w:rsidR="00876974">
        <w:rPr>
          <w:rFonts w:ascii="Palatino Linotype" w:hAnsi="Palatino Linotype"/>
          <w:sz w:val="24"/>
          <w:szCs w:val="24"/>
        </w:rPr>
        <w:t>l documento electrónico denominado</w:t>
      </w:r>
      <w:r w:rsidR="00A75E80">
        <w:rPr>
          <w:rFonts w:ascii="Palatino Linotype" w:hAnsi="Palatino Linotype"/>
          <w:sz w:val="24"/>
          <w:szCs w:val="24"/>
        </w:rPr>
        <w:t xml:space="preserve"> </w:t>
      </w:r>
      <w:r w:rsidR="004B4239">
        <w:rPr>
          <w:rFonts w:ascii="Palatino Linotype" w:hAnsi="Palatino Linotype"/>
          <w:sz w:val="24"/>
          <w:szCs w:val="24"/>
        </w:rPr>
        <w:t>l</w:t>
      </w:r>
      <w:r w:rsidR="00A75E80">
        <w:rPr>
          <w:rFonts w:ascii="Palatino Linotype" w:hAnsi="Palatino Linotype"/>
          <w:sz w:val="24"/>
          <w:szCs w:val="24"/>
        </w:rPr>
        <w:t>os</w:t>
      </w:r>
      <w:r w:rsidR="004B4239">
        <w:rPr>
          <w:rFonts w:ascii="Palatino Linotype" w:hAnsi="Palatino Linotype"/>
          <w:sz w:val="24"/>
          <w:szCs w:val="24"/>
        </w:rPr>
        <w:t xml:space="preserve"> archivo</w:t>
      </w:r>
      <w:r w:rsidR="00A75E80">
        <w:rPr>
          <w:rFonts w:ascii="Palatino Linotype" w:hAnsi="Palatino Linotype"/>
          <w:sz w:val="24"/>
          <w:szCs w:val="24"/>
        </w:rPr>
        <w:t>s</w:t>
      </w:r>
      <w:r w:rsidR="004B4239">
        <w:rPr>
          <w:rFonts w:ascii="Palatino Linotype" w:hAnsi="Palatino Linotype"/>
          <w:sz w:val="24"/>
          <w:szCs w:val="24"/>
        </w:rPr>
        <w:t xml:space="preserve"> denominado</w:t>
      </w:r>
      <w:r w:rsidR="00A75E80">
        <w:rPr>
          <w:rFonts w:ascii="Palatino Linotype" w:hAnsi="Palatino Linotype"/>
          <w:sz w:val="24"/>
          <w:szCs w:val="24"/>
        </w:rPr>
        <w:t>s</w:t>
      </w:r>
      <w:r w:rsidR="004B4239">
        <w:rPr>
          <w:rFonts w:ascii="Palatino Linotype" w:hAnsi="Palatino Linotype"/>
          <w:sz w:val="24"/>
          <w:szCs w:val="24"/>
        </w:rPr>
        <w:t xml:space="preserve"> </w:t>
      </w:r>
      <w:r w:rsidR="00A75E80">
        <w:rPr>
          <w:rFonts w:ascii="Palatino Linotype" w:hAnsi="Palatino Linotype"/>
          <w:b/>
          <w:sz w:val="24"/>
          <w:szCs w:val="24"/>
        </w:rPr>
        <w:t>“</w:t>
      </w:r>
      <w:r w:rsidR="00876974" w:rsidRPr="00876974">
        <w:rPr>
          <w:rFonts w:ascii="Palatino Linotype" w:hAnsi="Palatino Linotype"/>
          <w:b/>
          <w:sz w:val="24"/>
          <w:szCs w:val="24"/>
        </w:rPr>
        <w:t>OFICIO CONTESTACION 00071.pdf</w:t>
      </w:r>
      <w:r w:rsidR="00A75E80" w:rsidRPr="00FF41DD">
        <w:rPr>
          <w:rFonts w:ascii="Palatino Linotype" w:hAnsi="Palatino Linotype"/>
          <w:b/>
          <w:sz w:val="24"/>
          <w:szCs w:val="24"/>
        </w:rPr>
        <w:t>”</w:t>
      </w:r>
      <w:r w:rsidR="00A75E80">
        <w:rPr>
          <w:rFonts w:ascii="Palatino Linotype" w:hAnsi="Palatino Linotype"/>
          <w:sz w:val="24"/>
          <w:szCs w:val="24"/>
        </w:rPr>
        <w:t xml:space="preserve">, </w:t>
      </w:r>
      <w:r w:rsidR="00876974">
        <w:rPr>
          <w:rFonts w:ascii="Palatino Linotype" w:hAnsi="Palatino Linotype"/>
          <w:sz w:val="24"/>
          <w:szCs w:val="24"/>
        </w:rPr>
        <w:t>el cual fue puesto</w:t>
      </w:r>
      <w:r w:rsidR="00A75E80">
        <w:rPr>
          <w:rFonts w:ascii="Palatino Linotype" w:hAnsi="Palatino Linotype"/>
          <w:sz w:val="24"/>
          <w:szCs w:val="24"/>
        </w:rPr>
        <w:t xml:space="preserve"> a la vista del</w:t>
      </w:r>
      <w:r w:rsidR="004B4239">
        <w:rPr>
          <w:rFonts w:ascii="Palatino Linotype" w:hAnsi="Palatino Linotype"/>
          <w:sz w:val="24"/>
          <w:szCs w:val="24"/>
        </w:rPr>
        <w:t xml:space="preserve"> Recurrente </w:t>
      </w:r>
      <w:r w:rsidR="00D760EF" w:rsidRPr="00AB48CB">
        <w:rPr>
          <w:rFonts w:ascii="Palatino Linotype" w:hAnsi="Palatino Linotype"/>
          <w:sz w:val="24"/>
          <w:szCs w:val="24"/>
        </w:rPr>
        <w:t xml:space="preserve">mediante acuerdo de </w:t>
      </w:r>
      <w:r w:rsidR="00A2676F" w:rsidRPr="00AB48CB">
        <w:rPr>
          <w:rFonts w:ascii="Palatino Linotype" w:hAnsi="Palatino Linotype"/>
          <w:sz w:val="24"/>
          <w:szCs w:val="24"/>
        </w:rPr>
        <w:t xml:space="preserve">fecha </w:t>
      </w:r>
      <w:r w:rsidR="00876974">
        <w:rPr>
          <w:rFonts w:ascii="Palatino Linotype" w:hAnsi="Palatino Linotype"/>
          <w:sz w:val="24"/>
          <w:szCs w:val="24"/>
        </w:rPr>
        <w:t>veinte de octubre</w:t>
      </w:r>
      <w:r w:rsidR="00A75E80">
        <w:rPr>
          <w:rFonts w:ascii="Palatino Linotype" w:hAnsi="Palatino Linotype"/>
          <w:sz w:val="24"/>
          <w:szCs w:val="24"/>
        </w:rPr>
        <w:t xml:space="preserve"> del año en curso,</w:t>
      </w:r>
      <w:r w:rsidR="004657BE" w:rsidRPr="00AB48CB">
        <w:rPr>
          <w:rFonts w:ascii="Palatino Linotype" w:hAnsi="Palatino Linotype"/>
          <w:sz w:val="24"/>
          <w:szCs w:val="24"/>
        </w:rPr>
        <w:t xml:space="preserve"> en términos de </w:t>
      </w:r>
      <w:r w:rsidR="00095218" w:rsidRPr="00AB48CB">
        <w:rPr>
          <w:rFonts w:ascii="Palatino Linotype" w:hAnsi="Palatino Linotype"/>
          <w:sz w:val="24"/>
          <w:szCs w:val="24"/>
        </w:rPr>
        <w:t>la fracción III del artículo 185 de la Ley de Transparencia y Acceso a la Información Pública del Estado de México y Municipios</w:t>
      </w:r>
      <w:r w:rsidR="00705D1C" w:rsidRPr="00AB48CB">
        <w:rPr>
          <w:rFonts w:ascii="Palatino Linotype" w:hAnsi="Palatino Linotype"/>
          <w:sz w:val="24"/>
          <w:szCs w:val="24"/>
        </w:rPr>
        <w:t>, otorgando a</w:t>
      </w:r>
      <w:r w:rsidR="00C0088B" w:rsidRPr="00AB48CB">
        <w:rPr>
          <w:rFonts w:ascii="Palatino Linotype" w:hAnsi="Palatino Linotype"/>
          <w:sz w:val="24"/>
          <w:szCs w:val="24"/>
        </w:rPr>
        <w:t>l</w:t>
      </w:r>
      <w:r w:rsidR="00705D1C" w:rsidRPr="00AB48CB">
        <w:rPr>
          <w:rFonts w:ascii="Palatino Linotype" w:hAnsi="Palatino Linotype"/>
          <w:sz w:val="24"/>
          <w:szCs w:val="24"/>
        </w:rPr>
        <w:t xml:space="preserve"> </w:t>
      </w:r>
      <w:r w:rsidR="004B4239">
        <w:rPr>
          <w:rFonts w:ascii="Palatino Linotype" w:hAnsi="Palatino Linotype"/>
          <w:sz w:val="24"/>
          <w:szCs w:val="24"/>
        </w:rPr>
        <w:t>particular</w:t>
      </w:r>
      <w:r w:rsidR="00705D1C" w:rsidRPr="00AB48CB">
        <w:rPr>
          <w:rFonts w:ascii="Palatino Linotype" w:hAnsi="Palatino Linotype"/>
          <w:sz w:val="24"/>
          <w:szCs w:val="24"/>
        </w:rPr>
        <w:t xml:space="preserve"> un término de tres días para manifestar</w:t>
      </w:r>
      <w:r w:rsidR="00A75E80">
        <w:rPr>
          <w:rFonts w:ascii="Palatino Linotype" w:hAnsi="Palatino Linotype"/>
          <w:sz w:val="24"/>
          <w:szCs w:val="24"/>
        </w:rPr>
        <w:t xml:space="preserve"> </w:t>
      </w:r>
      <w:r w:rsidR="00705D1C" w:rsidRPr="00AB48CB">
        <w:rPr>
          <w:rFonts w:ascii="Palatino Linotype" w:hAnsi="Palatino Linotype"/>
          <w:sz w:val="24"/>
          <w:szCs w:val="24"/>
        </w:rPr>
        <w:t>lo que a su derecho conviniera, sin que se pronunciara al respecto. Se hará referencia a</w:t>
      </w:r>
      <w:r w:rsidR="00A75E80">
        <w:rPr>
          <w:rFonts w:ascii="Palatino Linotype" w:hAnsi="Palatino Linotype"/>
          <w:sz w:val="24"/>
          <w:szCs w:val="24"/>
        </w:rPr>
        <w:t xml:space="preserve"> </w:t>
      </w:r>
      <w:r w:rsidR="004B4239">
        <w:rPr>
          <w:rFonts w:ascii="Palatino Linotype" w:hAnsi="Palatino Linotype"/>
          <w:sz w:val="24"/>
          <w:szCs w:val="24"/>
        </w:rPr>
        <w:t>l</w:t>
      </w:r>
      <w:r w:rsidR="00A75E80">
        <w:rPr>
          <w:rFonts w:ascii="Palatino Linotype" w:hAnsi="Palatino Linotype"/>
          <w:sz w:val="24"/>
          <w:szCs w:val="24"/>
        </w:rPr>
        <w:t>os</w:t>
      </w:r>
      <w:r w:rsidR="00BE317F" w:rsidRPr="00AB48CB">
        <w:rPr>
          <w:rFonts w:ascii="Palatino Linotype" w:hAnsi="Palatino Linotype"/>
          <w:sz w:val="24"/>
          <w:szCs w:val="24"/>
        </w:rPr>
        <w:t xml:space="preserve"> </w:t>
      </w:r>
      <w:r w:rsidR="00705D1C" w:rsidRPr="00AB48CB">
        <w:rPr>
          <w:rFonts w:ascii="Palatino Linotype" w:hAnsi="Palatino Linotype"/>
          <w:sz w:val="24"/>
          <w:szCs w:val="24"/>
        </w:rPr>
        <w:t>documento</w:t>
      </w:r>
      <w:r w:rsidR="00A75E80">
        <w:rPr>
          <w:rFonts w:ascii="Palatino Linotype" w:hAnsi="Palatino Linotype"/>
          <w:sz w:val="24"/>
          <w:szCs w:val="24"/>
        </w:rPr>
        <w:t>s</w:t>
      </w:r>
      <w:r w:rsidR="00705D1C" w:rsidRPr="00AB48CB">
        <w:rPr>
          <w:rFonts w:ascii="Palatino Linotype" w:hAnsi="Palatino Linotype"/>
          <w:sz w:val="24"/>
          <w:szCs w:val="24"/>
        </w:rPr>
        <w:t xml:space="preserve"> </w:t>
      </w:r>
      <w:r w:rsidR="00C0088B" w:rsidRPr="00AB48CB">
        <w:rPr>
          <w:rFonts w:ascii="Palatino Linotype" w:hAnsi="Palatino Linotype"/>
          <w:sz w:val="24"/>
          <w:szCs w:val="24"/>
        </w:rPr>
        <w:t>referido</w:t>
      </w:r>
      <w:r w:rsidR="00A75E80">
        <w:rPr>
          <w:rFonts w:ascii="Palatino Linotype" w:hAnsi="Palatino Linotype"/>
          <w:sz w:val="24"/>
          <w:szCs w:val="24"/>
        </w:rPr>
        <w:t>s</w:t>
      </w:r>
      <w:r w:rsidR="00C0088B" w:rsidRPr="00AB48CB">
        <w:rPr>
          <w:rFonts w:ascii="Palatino Linotype" w:hAnsi="Palatino Linotype"/>
          <w:sz w:val="24"/>
          <w:szCs w:val="24"/>
        </w:rPr>
        <w:t xml:space="preserve"> </w:t>
      </w:r>
      <w:r w:rsidR="00705D1C" w:rsidRPr="00AB48CB">
        <w:rPr>
          <w:rFonts w:ascii="Palatino Linotype" w:hAnsi="Palatino Linotype"/>
          <w:sz w:val="24"/>
          <w:szCs w:val="24"/>
        </w:rPr>
        <w:t>durante el estudio correspondiente.</w:t>
      </w:r>
    </w:p>
    <w:p w:rsidR="008C0F70" w:rsidRPr="00AB48CB" w:rsidRDefault="008C0F70" w:rsidP="0014447C">
      <w:pPr>
        <w:pStyle w:val="Sinespaciado"/>
        <w:spacing w:line="360" w:lineRule="auto"/>
        <w:jc w:val="both"/>
        <w:rPr>
          <w:rFonts w:ascii="Palatino Linotype" w:hAnsi="Palatino Linotype"/>
          <w:sz w:val="24"/>
          <w:szCs w:val="24"/>
        </w:rPr>
      </w:pPr>
    </w:p>
    <w:p w:rsidR="00423C27" w:rsidRPr="00AB48CB" w:rsidRDefault="00423C27"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SEXTO. Del cierre de instrucción.</w:t>
      </w:r>
      <w:r w:rsidRPr="00AB48CB">
        <w:rPr>
          <w:rFonts w:ascii="Palatino Linotype" w:hAnsi="Palatino Linotype"/>
          <w:b/>
          <w:sz w:val="26"/>
          <w:szCs w:val="26"/>
        </w:rPr>
        <w:tab/>
      </w:r>
    </w:p>
    <w:p w:rsidR="00423C27" w:rsidRPr="00AB48CB" w:rsidRDefault="00423C27"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transcurrido el término legal, se decretó el cierre de instrucción en fecha </w:t>
      </w:r>
      <w:r w:rsidR="004B4239" w:rsidRPr="00876974">
        <w:rPr>
          <w:rFonts w:ascii="Palatino Linotype" w:hAnsi="Palatino Linotype"/>
          <w:sz w:val="24"/>
          <w:szCs w:val="24"/>
        </w:rPr>
        <w:t>veintiséis</w:t>
      </w:r>
      <w:r w:rsidR="00BE317F" w:rsidRPr="00876974">
        <w:rPr>
          <w:rFonts w:ascii="Palatino Linotype" w:hAnsi="Palatino Linotype"/>
          <w:sz w:val="24"/>
          <w:szCs w:val="24"/>
        </w:rPr>
        <w:t xml:space="preserve"> de</w:t>
      </w:r>
      <w:r w:rsidR="00876974" w:rsidRPr="00876974">
        <w:rPr>
          <w:rFonts w:ascii="Palatino Linotype" w:hAnsi="Palatino Linotype"/>
          <w:sz w:val="24"/>
          <w:szCs w:val="24"/>
        </w:rPr>
        <w:t xml:space="preserve"> octubre de dos mil veinte</w:t>
      </w:r>
      <w:r w:rsidRPr="00876974">
        <w:rPr>
          <w:rFonts w:ascii="Palatino Linotype" w:hAnsi="Palatino Linotype"/>
          <w:sz w:val="24"/>
          <w:szCs w:val="24"/>
        </w:rPr>
        <w:t>, en términos</w:t>
      </w:r>
      <w:r w:rsidRPr="00AB48CB">
        <w:rPr>
          <w:rFonts w:ascii="Palatino Linotype" w:hAnsi="Palatino Linotype"/>
          <w:sz w:val="24"/>
          <w:szCs w:val="24"/>
        </w:rPr>
        <w:t xml:space="preserve"> del artículo 185 Fracción VI de la Ley de Transparencia y Acceso a la Información Pública del Estado de México y Municipios, iniciando el término legal para dictar resolución definitiva del asunto.</w:t>
      </w:r>
    </w:p>
    <w:p w:rsidR="008D109D" w:rsidRDefault="008D109D" w:rsidP="0014447C">
      <w:pPr>
        <w:pStyle w:val="Sinespaciado"/>
        <w:spacing w:line="360" w:lineRule="auto"/>
        <w:jc w:val="both"/>
        <w:rPr>
          <w:rFonts w:ascii="Palatino Linotype" w:hAnsi="Palatino Linotype"/>
          <w:sz w:val="24"/>
          <w:szCs w:val="24"/>
        </w:rPr>
      </w:pPr>
    </w:p>
    <w:p w:rsidR="008D109D" w:rsidRPr="00A31C90" w:rsidRDefault="008D109D" w:rsidP="008D109D">
      <w:pPr>
        <w:pStyle w:val="Sinespaciado"/>
        <w:spacing w:line="360" w:lineRule="auto"/>
        <w:jc w:val="both"/>
        <w:rPr>
          <w:rFonts w:ascii="Palatino Linotype" w:hAnsi="Palatino Linotype" w:cs="Arial"/>
          <w:b/>
          <w:sz w:val="26"/>
          <w:szCs w:val="26"/>
        </w:rPr>
      </w:pPr>
      <w:r w:rsidRPr="00A31C90">
        <w:rPr>
          <w:rFonts w:ascii="Palatino Linotype" w:hAnsi="Palatino Linotype" w:cs="Arial"/>
          <w:b/>
          <w:sz w:val="26"/>
          <w:szCs w:val="26"/>
        </w:rPr>
        <w:t>SÉPTIMO. De la ampliación del término para resolver.</w:t>
      </w:r>
    </w:p>
    <w:p w:rsidR="008D109D" w:rsidRPr="00A31C90" w:rsidRDefault="008D109D" w:rsidP="004A2003">
      <w:pPr>
        <w:pStyle w:val="Sinespaciado"/>
        <w:spacing w:line="360" w:lineRule="auto"/>
        <w:jc w:val="both"/>
        <w:rPr>
          <w:rFonts w:ascii="Palatino Linotype" w:hAnsi="Palatino Linotype"/>
          <w:sz w:val="24"/>
          <w:szCs w:val="24"/>
        </w:rPr>
      </w:pPr>
      <w:r w:rsidRPr="00A31C90">
        <w:rPr>
          <w:rFonts w:ascii="Palatino Linotype" w:hAnsi="Palatino Linotype" w:cs="Arial"/>
          <w:sz w:val="24"/>
          <w:szCs w:val="24"/>
        </w:rPr>
        <w:t xml:space="preserve">En fecha </w:t>
      </w:r>
      <w:r w:rsidR="00876974">
        <w:rPr>
          <w:rFonts w:ascii="Palatino Linotype" w:hAnsi="Palatino Linotype" w:cs="Arial"/>
          <w:sz w:val="24"/>
          <w:szCs w:val="24"/>
        </w:rPr>
        <w:t>veinte de octubre</w:t>
      </w:r>
      <w:r w:rsidR="006746FA">
        <w:rPr>
          <w:rFonts w:ascii="Palatino Linotype" w:hAnsi="Palatino Linotype" w:cs="Arial"/>
          <w:sz w:val="24"/>
          <w:szCs w:val="24"/>
        </w:rPr>
        <w:t xml:space="preserve"> de dos mil veinte</w:t>
      </w:r>
      <w:r w:rsidRPr="00A31C90">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w:t>
      </w:r>
      <w:r w:rsidR="004A2003">
        <w:rPr>
          <w:rFonts w:ascii="Palatino Linotype" w:hAnsi="Palatino Linotype" w:cs="Arial"/>
          <w:sz w:val="24"/>
          <w:szCs w:val="24"/>
        </w:rPr>
        <w:t xml:space="preserve">iles, </w:t>
      </w:r>
      <w:r w:rsidR="004A2003" w:rsidRPr="004A2003">
        <w:rPr>
          <w:rFonts w:ascii="Palatino Linotype" w:hAnsi="Palatino Linotype" w:cs="Arial"/>
          <w:sz w:val="24"/>
          <w:szCs w:val="24"/>
        </w:rPr>
        <w:t xml:space="preserve">lo anterior, dada la cantidad de recursos de </w:t>
      </w:r>
      <w:r w:rsidR="004A2003" w:rsidRPr="004A2003">
        <w:rPr>
          <w:rFonts w:ascii="Palatino Linotype" w:hAnsi="Palatino Linotype" w:cs="Arial"/>
          <w:sz w:val="24"/>
          <w:szCs w:val="24"/>
        </w:rPr>
        <w:lastRenderedPageBreak/>
        <w:t>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w:t>
      </w:r>
      <w:r w:rsidR="004A2003">
        <w:rPr>
          <w:rFonts w:ascii="Palatino Linotype" w:hAnsi="Palatino Linotype" w:cs="Arial"/>
          <w:sz w:val="24"/>
          <w:szCs w:val="24"/>
        </w:rPr>
        <w:t xml:space="preserve">s que conlleva. </w:t>
      </w:r>
      <w:r w:rsidR="004A2003" w:rsidRPr="004A2003">
        <w:rPr>
          <w:rFonts w:ascii="Palatino Linotype" w:hAnsi="Palatino Linotype" w:cs="Arial"/>
          <w:sz w:val="24"/>
          <w:szCs w:val="24"/>
        </w:rPr>
        <w:t>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423C27" w:rsidRPr="006F6B73" w:rsidRDefault="00423C27" w:rsidP="0014447C">
      <w:pPr>
        <w:pStyle w:val="Sinespaciado"/>
        <w:spacing w:line="360" w:lineRule="auto"/>
        <w:jc w:val="both"/>
        <w:rPr>
          <w:rFonts w:ascii="Palatino Linotype" w:hAnsi="Palatino Linotype"/>
          <w:sz w:val="18"/>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C O N S I D E R A N D O</w:t>
      </w:r>
    </w:p>
    <w:p w:rsidR="0014447C" w:rsidRPr="008E21A7" w:rsidRDefault="0014447C" w:rsidP="0014447C">
      <w:pPr>
        <w:pStyle w:val="Sinespaciado"/>
        <w:spacing w:line="360" w:lineRule="auto"/>
        <w:jc w:val="both"/>
        <w:rPr>
          <w:rFonts w:ascii="Palatino Linotype" w:hAnsi="Palatino Linotype"/>
          <w:sz w:val="24"/>
          <w:szCs w:val="24"/>
        </w:rPr>
      </w:pPr>
    </w:p>
    <w:p w:rsidR="008E21A7" w:rsidRPr="008E21A7" w:rsidRDefault="008E21A7" w:rsidP="008E21A7">
      <w:pPr>
        <w:spacing w:after="0" w:line="360" w:lineRule="auto"/>
        <w:jc w:val="both"/>
        <w:rPr>
          <w:rFonts w:ascii="Palatino Linotype" w:eastAsia="Times New Roman" w:hAnsi="Palatino Linotype" w:cs="Times New Roman"/>
          <w:b/>
          <w:sz w:val="26"/>
          <w:szCs w:val="26"/>
          <w:lang w:eastAsia="es-ES"/>
        </w:rPr>
      </w:pPr>
      <w:r w:rsidRPr="008E21A7">
        <w:rPr>
          <w:rFonts w:ascii="Palatino Linotype" w:eastAsia="Times New Roman" w:hAnsi="Palatino Linotype" w:cs="Times New Roman"/>
          <w:b/>
          <w:sz w:val="26"/>
          <w:szCs w:val="26"/>
          <w:lang w:eastAsia="es-ES"/>
        </w:rPr>
        <w:t>PRIMERO. De la competencia.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Este Instituto de Transparencia, Acceso a la Información Pública y Protección de Datos Personales del Estado de México, es competente para conocer y resolver el presente </w:t>
      </w:r>
      <w:r w:rsidRPr="008E21A7">
        <w:rPr>
          <w:rFonts w:ascii="Palatino Linotype" w:eastAsia="Times New Roman" w:hAnsi="Palatino Linotype" w:cs="Times New Roman"/>
          <w:sz w:val="24"/>
          <w:szCs w:val="24"/>
          <w:lang w:eastAsia="es-ES"/>
        </w:rPr>
        <w:lastRenderedPageBreak/>
        <w:t>recurso de revisión interpuesto por la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8E21A7" w:rsidRPr="008E21A7" w:rsidRDefault="008E21A7" w:rsidP="008E21A7">
      <w:pPr>
        <w:spacing w:after="0" w:line="360" w:lineRule="auto"/>
        <w:jc w:val="both"/>
        <w:rPr>
          <w:rFonts w:ascii="Palatino Linotype" w:eastAsia="Times New Roman" w:hAnsi="Palatino Linotype" w:cs="Times New Roman"/>
          <w:sz w:val="20"/>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b/>
          <w:sz w:val="26"/>
          <w:szCs w:val="26"/>
          <w:lang w:eastAsia="es-ES"/>
        </w:rPr>
      </w:pPr>
      <w:r w:rsidRPr="008E21A7">
        <w:rPr>
          <w:rFonts w:ascii="Palatino Linotype" w:eastAsia="Times New Roman" w:hAnsi="Palatino Linotype" w:cs="Times New Roman"/>
          <w:b/>
          <w:sz w:val="26"/>
          <w:szCs w:val="26"/>
          <w:lang w:eastAsia="es-ES"/>
        </w:rPr>
        <w:t xml:space="preserve">SEGUNDO. Sobre los alcances del recurso de revisión.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b/>
          <w:sz w:val="26"/>
          <w:szCs w:val="26"/>
          <w:lang w:eastAsia="es-ES"/>
        </w:rPr>
      </w:pPr>
      <w:r w:rsidRPr="008E21A7">
        <w:rPr>
          <w:rFonts w:ascii="Palatino Linotype" w:eastAsia="Times New Roman" w:hAnsi="Palatino Linotype" w:cs="Times New Roman"/>
          <w:b/>
          <w:sz w:val="26"/>
          <w:szCs w:val="26"/>
          <w:lang w:eastAsia="es-ES"/>
        </w:rPr>
        <w:t>TERCERO. De las causas de improcedencia.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8E21A7">
        <w:rPr>
          <w:rFonts w:ascii="Palatino Linotype" w:eastAsia="Times New Roman" w:hAnsi="Palatino Linotype" w:cs="Times New Roman"/>
          <w:sz w:val="24"/>
          <w:szCs w:val="24"/>
          <w:lang w:eastAsia="es-ES"/>
        </w:rPr>
        <w:lastRenderedPageBreak/>
        <w:t>en el artículo 9 de Ley de Transparencia y Acceso a la Información Pública del Estado de México y Municipios, en correlación con la seguridad jurídica que debe generar lo actuado ante este Organismo garante.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E21A7">
        <w:rPr>
          <w:rFonts w:ascii="Palatino Linotype" w:eastAsia="Times New Roman" w:hAnsi="Palatino Linotype" w:cs="Arial"/>
          <w:sz w:val="24"/>
          <w:szCs w:val="24"/>
          <w:vertAlign w:val="superscript"/>
          <w:lang w:eastAsia="es-ES"/>
        </w:rPr>
        <w:footnoteReference w:id="1"/>
      </w:r>
      <w:r w:rsidRPr="008E21A7">
        <w:rPr>
          <w:rFonts w:ascii="Palatino Linotype" w:eastAsia="Times New Roman" w:hAnsi="Palatino Linotype" w:cs="Times New Roman"/>
          <w:sz w:val="24"/>
          <w:szCs w:val="24"/>
          <w:lang w:eastAsia="es-ES"/>
        </w:rPr>
        <w:t xml:space="preserve">, la cual permite dilucidar alguna causal que impida el estudio y resolución, cuando una vez admitido </w:t>
      </w:r>
      <w:r w:rsidRPr="008E21A7">
        <w:rPr>
          <w:rFonts w:ascii="Palatino Linotype" w:eastAsia="Times New Roman" w:hAnsi="Palatino Linotype" w:cs="Times New Roman"/>
          <w:sz w:val="24"/>
          <w:szCs w:val="24"/>
          <w:lang w:eastAsia="es-ES"/>
        </w:rPr>
        <w:lastRenderedPageBreak/>
        <w:t>el recurso de revisión se advierta una causa de improcedencia que permita sobreseerlo, sin estudiar el fondo del asunto.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6"/>
          <w:szCs w:val="26"/>
          <w:lang w:eastAsia="es-ES"/>
        </w:rPr>
      </w:pPr>
      <w:r w:rsidRPr="008E21A7">
        <w:rPr>
          <w:rFonts w:ascii="Palatino Linotype" w:eastAsia="Times New Roman" w:hAnsi="Palatino Linotype" w:cs="Times New Roman"/>
          <w:b/>
          <w:sz w:val="26"/>
          <w:szCs w:val="26"/>
          <w:lang w:eastAsia="es-ES"/>
        </w:rPr>
        <w:t>CUARTO. Estudio y resolución del asunto.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8E21A7">
        <w:rPr>
          <w:rFonts w:ascii="Palatino Linotype" w:eastAsia="Calibri" w:hAnsi="Palatino Linotype" w:cs="Times New Roman"/>
          <w:sz w:val="24"/>
          <w:szCs w:val="24"/>
          <w:lang w:eastAsia="es-ES"/>
        </w:rPr>
        <w:t xml:space="preserve"> en las fracciones I y VII del artículo 179 de la </w:t>
      </w:r>
      <w:r w:rsidRPr="008E21A7">
        <w:rPr>
          <w:rFonts w:ascii="Palatino Linotype" w:eastAsia="Calibri" w:hAnsi="Palatino Linotype" w:cs="Times New Roman"/>
          <w:b/>
          <w:sz w:val="24"/>
          <w:szCs w:val="24"/>
          <w:lang w:eastAsia="es-ES"/>
        </w:rPr>
        <w:t>Ley de Transparencia y Acceso a la Información Pública del Estado de México y Municipios</w:t>
      </w:r>
      <w:r w:rsidRPr="008E21A7">
        <w:rPr>
          <w:rFonts w:ascii="Palatino Linotype" w:eastAsia="Calibri" w:hAnsi="Palatino Linotype" w:cs="Times New Roman"/>
          <w:sz w:val="24"/>
          <w:szCs w:val="24"/>
          <w:lang w:eastAsia="es-ES"/>
        </w:rPr>
        <w:t>,</w:t>
      </w:r>
      <w:r w:rsidRPr="008E21A7">
        <w:rPr>
          <w:rFonts w:ascii="Palatino Linotype" w:eastAsia="Calibri" w:hAnsi="Palatino Linotype" w:cs="Times New Roman"/>
          <w:b/>
          <w:sz w:val="24"/>
          <w:szCs w:val="24"/>
          <w:lang w:eastAsia="es-ES"/>
        </w:rPr>
        <w:t xml:space="preserve"> </w:t>
      </w:r>
      <w:r w:rsidRPr="008E21A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Así las cosas, ante la omisión del Sujeto Obligado para dar respuesta al Recurrente, se advierte lo que en la doctrina se le conoce como </w:t>
      </w:r>
      <w:r w:rsidRPr="008E21A7">
        <w:rPr>
          <w:rFonts w:ascii="Palatino Linotype" w:eastAsia="Times New Roman" w:hAnsi="Palatino Linotype" w:cs="Times New Roman"/>
          <w:b/>
          <w:sz w:val="24"/>
          <w:szCs w:val="24"/>
          <w:u w:val="single"/>
          <w:lang w:eastAsia="es-ES"/>
        </w:rPr>
        <w:t>negativa ficta</w:t>
      </w:r>
      <w:r w:rsidRPr="008E21A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En este sentido la negativa ficta constituye una presunción legal, en el entendido de que donde no hubo respuesta por parte del Sujeto Obligado</w:t>
      </w:r>
      <w:r w:rsidRPr="008E21A7">
        <w:rPr>
          <w:rFonts w:ascii="Palatino Linotype" w:eastAsia="Times New Roman" w:hAnsi="Palatino Linotype" w:cs="Times New Roman"/>
          <w:b/>
          <w:sz w:val="24"/>
          <w:szCs w:val="24"/>
          <w:lang w:eastAsia="es-ES"/>
        </w:rPr>
        <w:t xml:space="preserve"> </w:t>
      </w:r>
      <w:r w:rsidRPr="008E21A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E21A7">
        <w:rPr>
          <w:rFonts w:ascii="Palatino Linotype" w:eastAsia="Times New Roman" w:hAnsi="Palatino Linotype" w:cs="Times New Roman"/>
          <w:i/>
          <w:sz w:val="24"/>
          <w:szCs w:val="24"/>
          <w:lang w:eastAsia="es-ES"/>
        </w:rPr>
        <w:t>Estado de Derecho</w:t>
      </w:r>
      <w:r w:rsidRPr="008E21A7">
        <w:rPr>
          <w:rFonts w:ascii="Palatino Linotype" w:eastAsia="Times New Roman" w:hAnsi="Palatino Linotype" w:cs="Times New Roman"/>
          <w:sz w:val="24"/>
          <w:szCs w:val="24"/>
          <w:lang w:eastAsia="es-ES"/>
        </w:rPr>
        <w:t xml:space="preserve"> en el que, el particular, tiene siempre una vía de defensa.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4.</w:t>
      </w:r>
      <w:r w:rsidRPr="008E21A7">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8E21A7">
        <w:rPr>
          <w:rFonts w:ascii="Palatino Linotype" w:eastAsia="Times New Roman" w:hAnsi="Palatino Linotype" w:cs="Times New Roman"/>
          <w:i/>
          <w:sz w:val="24"/>
          <w:szCs w:val="24"/>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12.</w:t>
      </w:r>
      <w:r w:rsidRPr="008E21A7">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b/>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b/>
          <w:i/>
          <w:sz w:val="24"/>
          <w:szCs w:val="24"/>
          <w:lang w:eastAsia="es-ES"/>
        </w:rPr>
      </w:pPr>
      <w:r w:rsidRPr="008E21A7">
        <w:rPr>
          <w:rFonts w:ascii="Palatino Linotype" w:eastAsia="Times New Roman" w:hAnsi="Palatino Linotype" w:cs="Times New Roman"/>
          <w:b/>
          <w:i/>
          <w:sz w:val="24"/>
          <w:szCs w:val="24"/>
          <w:lang w:eastAsia="es-ES"/>
        </w:rPr>
        <w:t xml:space="preserve">Artículo 24.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Los sujetos obligados solo proporcionarán la información pública que generen, administren o posean en el ejercicio de sus atribuciones.”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160.</w:t>
      </w:r>
      <w:r w:rsidRPr="008E21A7">
        <w:rPr>
          <w:rFonts w:ascii="Palatino Linotype" w:eastAsia="Times New Roman" w:hAnsi="Palatino Linotype" w:cs="Times New Roman"/>
          <w:i/>
          <w:sz w:val="24"/>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En caso que la información solicitada consista en bases de datos se deberá privilegiar la entrega de la misma en formatos abiertos.</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E21A7">
        <w:rPr>
          <w:rFonts w:ascii="Palatino Linotype" w:eastAsia="Times New Roman" w:hAnsi="Palatino Linotype" w:cs="Times New Roman"/>
          <w:bCs/>
          <w:sz w:val="24"/>
          <w:szCs w:val="24"/>
          <w:lang w:eastAsia="es-ES"/>
        </w:rPr>
        <w:t>de la Ley local en la materia, que se reproduce de la siguiente forma</w:t>
      </w:r>
      <w:r w:rsidRPr="008E21A7">
        <w:rPr>
          <w:rFonts w:ascii="Palatino Linotype" w:eastAsia="Times New Roman" w:hAnsi="Palatino Linotype" w:cs="Times New Roman"/>
          <w:sz w:val="24"/>
          <w:szCs w:val="24"/>
          <w:lang w:eastAsia="es-ES"/>
        </w:rPr>
        <w:t>:</w:t>
      </w:r>
    </w:p>
    <w:p w:rsidR="008E21A7" w:rsidRPr="008E21A7" w:rsidRDefault="008E21A7" w:rsidP="008E21A7">
      <w:pPr>
        <w:spacing w:after="0" w:line="360" w:lineRule="auto"/>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Arial"/>
          <w:i/>
          <w:sz w:val="24"/>
          <w:szCs w:val="24"/>
          <w:lang w:eastAsia="es-ES"/>
        </w:rPr>
      </w:pPr>
      <w:r w:rsidRPr="008E21A7">
        <w:rPr>
          <w:rFonts w:ascii="Palatino Linotype" w:eastAsia="Times New Roman" w:hAnsi="Palatino Linotype" w:cs="Arial"/>
          <w:b/>
          <w:i/>
          <w:sz w:val="24"/>
          <w:szCs w:val="24"/>
          <w:lang w:eastAsia="es-ES"/>
        </w:rPr>
        <w:t>Artículo 166.</w:t>
      </w:r>
      <w:r w:rsidRPr="008E21A7">
        <w:rPr>
          <w:rFonts w:ascii="Palatino Linotype" w:eastAsia="Times New Roman" w:hAnsi="Palatino Linotype" w:cs="Arial"/>
          <w:i/>
          <w:sz w:val="24"/>
          <w:szCs w:val="24"/>
          <w:lang w:eastAsia="es-ES"/>
        </w:rPr>
        <w:t xml:space="preserve"> </w:t>
      </w:r>
      <w:r w:rsidRPr="008E21A7">
        <w:rPr>
          <w:rFonts w:ascii="Palatino Linotype" w:eastAsia="Times New Roman" w:hAnsi="Palatino Linotype" w:cs="Arial"/>
          <w:b/>
          <w:i/>
          <w:sz w:val="24"/>
          <w:szCs w:val="24"/>
          <w:lang w:eastAsia="es-ES"/>
        </w:rPr>
        <w:t>La obligación de acceso a la información pública se tendrá por cumplida cuando el solicitante tenga a su disposición la información requerida, o cuando realice la consulta de la misma en el lugar en el que ésta se localice.</w:t>
      </w:r>
    </w:p>
    <w:p w:rsidR="008E21A7" w:rsidRPr="008E21A7" w:rsidRDefault="008E21A7" w:rsidP="008E21A7">
      <w:pPr>
        <w:spacing w:after="0" w:line="360" w:lineRule="auto"/>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w:t>
      </w:r>
      <w:r w:rsidRPr="008E21A7">
        <w:rPr>
          <w:rFonts w:ascii="Palatino Linotype" w:eastAsia="Times New Roman" w:hAnsi="Palatino Linotype" w:cs="Times New Roman"/>
          <w:b/>
          <w:bCs/>
          <w:i/>
          <w:sz w:val="24"/>
          <w:szCs w:val="24"/>
          <w:lang w:eastAsia="es-ES"/>
        </w:rPr>
        <w:t>rtículo 24.</w:t>
      </w:r>
      <w:r w:rsidRPr="008E21A7">
        <w:rPr>
          <w:rFonts w:ascii="Palatino Linotype" w:eastAsia="Times New Roman" w:hAnsi="Palatino Linotype" w:cs="Times New Roman"/>
          <w:bCs/>
          <w:i/>
          <w:sz w:val="24"/>
          <w:szCs w:val="24"/>
          <w:lang w:eastAsia="es-ES"/>
        </w:rPr>
        <w:t xml:space="preserve"> </w:t>
      </w:r>
      <w:r w:rsidRPr="008E21A7">
        <w:rPr>
          <w:rFonts w:ascii="Palatino Linotype" w:eastAsia="Times New Roman" w:hAnsi="Palatino Linotype" w:cs="Times New Roman"/>
          <w:i/>
          <w:sz w:val="24"/>
          <w:szCs w:val="24"/>
          <w:lang w:eastAsia="es-ES"/>
        </w:rPr>
        <w:t>Para el cumplimiento de los objetivos de esta Ley, los sujetos obligados deberán cumplir con las siguientes obligaciones, según corresponda, de acuerdo a su naturaleza:</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Cs/>
          <w:i/>
          <w:sz w:val="24"/>
          <w:szCs w:val="24"/>
          <w:lang w:eastAsia="es-ES"/>
        </w:rPr>
        <w:t>(..</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bCs/>
          <w:i/>
          <w:sz w:val="24"/>
          <w:szCs w:val="24"/>
          <w:lang w:eastAsia="es-ES"/>
        </w:rPr>
      </w:pPr>
      <w:r w:rsidRPr="008E21A7">
        <w:rPr>
          <w:rFonts w:ascii="Palatino Linotype" w:eastAsia="Times New Roman" w:hAnsi="Palatino Linotype" w:cs="Times New Roman"/>
          <w:bCs/>
          <w:i/>
          <w:sz w:val="24"/>
          <w:szCs w:val="24"/>
          <w:lang w:eastAsia="es-ES"/>
        </w:rPr>
        <w:t>XI. Dar acceso a la información pública que le sea requerida, en los términos de la Ley General, esta Ley y demás disposiciones jurídicas aplicables;</w:t>
      </w:r>
    </w:p>
    <w:p w:rsidR="008E21A7" w:rsidRPr="008E21A7" w:rsidRDefault="008E21A7" w:rsidP="008E21A7">
      <w:pPr>
        <w:spacing w:after="0" w:line="240" w:lineRule="auto"/>
        <w:ind w:left="567" w:right="567"/>
        <w:jc w:val="both"/>
        <w:rPr>
          <w:rFonts w:ascii="Palatino Linotype" w:eastAsia="Times New Roman" w:hAnsi="Palatino Linotype" w:cs="Times New Roman"/>
          <w:bCs/>
          <w:i/>
          <w:sz w:val="24"/>
          <w:szCs w:val="24"/>
          <w:lang w:eastAsia="es-ES"/>
        </w:rPr>
      </w:pPr>
      <w:r w:rsidRPr="008E21A7">
        <w:rPr>
          <w:rFonts w:ascii="Palatino Linotype" w:eastAsia="Times New Roman" w:hAnsi="Palatino Linotype" w:cs="Times New Roman"/>
          <w:bCs/>
          <w:i/>
          <w:sz w:val="24"/>
          <w:szCs w:val="24"/>
          <w:lang w:eastAsia="es-ES"/>
        </w:rPr>
        <w:t>(...)</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lastRenderedPageBreak/>
        <w:t>Del análisis efectuado, se advierte que el Recurso de Revisión de que se trata es procedente; toda vez, que se actualizan las hipótesis previstas en las fracciones VII y XI del artículo 179 de la Ley de la materia, que a la letra dice: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bCs/>
          <w:i/>
          <w:sz w:val="24"/>
          <w:szCs w:val="24"/>
          <w:lang w:eastAsia="es-ES"/>
        </w:rPr>
      </w:pPr>
      <w:r w:rsidRPr="008E21A7">
        <w:rPr>
          <w:rFonts w:ascii="Palatino Linotype" w:eastAsia="Times New Roman" w:hAnsi="Palatino Linotype" w:cs="Times New Roman"/>
          <w:b/>
          <w:bCs/>
          <w:i/>
          <w:sz w:val="24"/>
          <w:szCs w:val="24"/>
          <w:lang w:eastAsia="es-ES"/>
        </w:rPr>
        <w:t>Artículo 179.</w:t>
      </w:r>
      <w:r w:rsidRPr="008E21A7">
        <w:rPr>
          <w:rFonts w:ascii="Palatino Linotype" w:eastAsia="Times New Roman" w:hAnsi="Palatino Linotype" w:cs="Times New Roman"/>
          <w:bCs/>
          <w:i/>
          <w:sz w:val="24"/>
          <w:szCs w:val="24"/>
          <w:lang w:eastAsia="es-ES"/>
        </w:rPr>
        <w:t xml:space="preserve"> El recurso de revisión es un medio de protección que la Ley otorga a los particulares, para hacer valer su derecho de acceso a la información pública, y procederá en contra de las siguientes causas:</w:t>
      </w:r>
    </w:p>
    <w:p w:rsidR="008E21A7" w:rsidRPr="008E21A7" w:rsidRDefault="008E21A7" w:rsidP="008E21A7">
      <w:pPr>
        <w:spacing w:after="0" w:line="240" w:lineRule="auto"/>
        <w:ind w:left="567" w:right="567"/>
        <w:jc w:val="both"/>
        <w:rPr>
          <w:rFonts w:ascii="Palatino Linotype" w:eastAsia="Times New Roman" w:hAnsi="Palatino Linotype" w:cs="Times New Roman"/>
          <w:bCs/>
          <w:i/>
          <w:sz w:val="24"/>
          <w:szCs w:val="24"/>
          <w:lang w:eastAsia="es-ES"/>
        </w:rPr>
      </w:pPr>
      <w:r w:rsidRPr="008E21A7">
        <w:rPr>
          <w:rFonts w:ascii="Palatino Linotype" w:eastAsia="Times New Roman" w:hAnsi="Palatino Linotype" w:cs="Times New Roman"/>
          <w:b/>
          <w:bCs/>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b/>
          <w:bCs/>
          <w:i/>
          <w:sz w:val="24"/>
          <w:szCs w:val="24"/>
          <w:lang w:eastAsia="es-ES"/>
        </w:rPr>
      </w:pPr>
      <w:r w:rsidRPr="008E21A7">
        <w:rPr>
          <w:rFonts w:ascii="Palatino Linotype" w:eastAsia="Times New Roman" w:hAnsi="Palatino Linotype" w:cs="Times New Roman"/>
          <w:b/>
          <w:bCs/>
          <w:i/>
          <w:sz w:val="24"/>
          <w:szCs w:val="24"/>
          <w:lang w:eastAsia="es-ES"/>
        </w:rPr>
        <w:t>VII. La falta de respuesta a una solicitud de acceso a la información;</w:t>
      </w:r>
    </w:p>
    <w:p w:rsidR="008E21A7" w:rsidRPr="008E21A7" w:rsidRDefault="008E21A7" w:rsidP="008E21A7">
      <w:pPr>
        <w:spacing w:after="0" w:line="240" w:lineRule="auto"/>
        <w:ind w:left="567" w:right="567"/>
        <w:jc w:val="both"/>
        <w:rPr>
          <w:rFonts w:ascii="Palatino Linotype" w:eastAsia="Times New Roman" w:hAnsi="Palatino Linotype" w:cs="Times New Roman"/>
          <w:b/>
          <w:bCs/>
          <w:i/>
          <w:sz w:val="24"/>
          <w:szCs w:val="24"/>
          <w:lang w:eastAsia="es-ES"/>
        </w:rPr>
      </w:pPr>
      <w:r w:rsidRPr="008E21A7">
        <w:rPr>
          <w:rFonts w:ascii="Palatino Linotype" w:eastAsia="Times New Roman" w:hAnsi="Palatino Linotype" w:cs="Times New Roman"/>
          <w:b/>
          <w:bCs/>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b/>
          <w:bCs/>
          <w:i/>
          <w:sz w:val="24"/>
          <w:szCs w:val="24"/>
          <w:lang w:eastAsia="es-ES"/>
        </w:rPr>
      </w:pPr>
      <w:r w:rsidRPr="008E21A7">
        <w:rPr>
          <w:rFonts w:ascii="Palatino Linotype" w:eastAsia="Times New Roman" w:hAnsi="Palatino Linotype" w:cs="Times New Roman"/>
          <w:b/>
          <w:bCs/>
          <w:i/>
          <w:sz w:val="24"/>
          <w:szCs w:val="24"/>
          <w:lang w:eastAsia="es-ES"/>
        </w:rPr>
        <w:t>XI. La falta de trámite a una solicitud;</w:t>
      </w:r>
      <w:r w:rsidRPr="008E21A7">
        <w:rPr>
          <w:rFonts w:ascii="Palatino Linotype" w:eastAsia="Times New Roman" w:hAnsi="Palatino Linotype" w:cs="Times New Roman"/>
          <w:b/>
          <w:bCs/>
          <w:i/>
          <w:sz w:val="24"/>
          <w:szCs w:val="24"/>
          <w:lang w:eastAsia="es-ES"/>
        </w:rPr>
        <w:cr/>
        <w:t>(…</w:t>
      </w:r>
      <w:r w:rsidRPr="008E21A7">
        <w:rPr>
          <w:rFonts w:ascii="Palatino Linotype" w:eastAsia="Times New Roman" w:hAnsi="Palatino Linotype" w:cs="Times New Roman"/>
          <w:bCs/>
          <w:i/>
          <w:sz w:val="24"/>
          <w:szCs w:val="24"/>
          <w:lang w:eastAsia="es-ES"/>
        </w:rPr>
        <w:t>)</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b/>
          <w:sz w:val="24"/>
          <w:szCs w:val="24"/>
          <w:lang w:eastAsia="es-ES"/>
        </w:rPr>
      </w:pPr>
      <w:r w:rsidRPr="008E21A7">
        <w:rPr>
          <w:rFonts w:ascii="Palatino Linotype" w:eastAsia="Times New Roman" w:hAnsi="Palatino Linotype" w:cs="Times New Roman"/>
          <w:sz w:val="24"/>
          <w:szCs w:val="24"/>
          <w:lang w:eastAsia="es-ES"/>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8E21A7">
        <w:rPr>
          <w:rFonts w:ascii="Palatino Linotype" w:eastAsia="Times New Roman" w:hAnsi="Palatino Linotype" w:cs="Times New Roman"/>
          <w:b/>
          <w:sz w:val="24"/>
          <w:szCs w:val="24"/>
          <w:lang w:eastAsia="es-ES"/>
        </w:rPr>
        <w:t xml:space="preserve"> </w:t>
      </w:r>
    </w:p>
    <w:p w:rsidR="008E21A7" w:rsidRPr="008E21A7" w:rsidRDefault="008E21A7" w:rsidP="008E21A7">
      <w:pPr>
        <w:spacing w:after="0" w:line="360" w:lineRule="auto"/>
        <w:jc w:val="both"/>
        <w:rPr>
          <w:rFonts w:ascii="Palatino Linotype" w:eastAsia="Times New Roman" w:hAnsi="Palatino Linotype" w:cs="Times New Roman"/>
          <w:b/>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Una vez determinada la vía sobre la que versará el presente asunto y previa revisión del expediente electrónico formado en el</w:t>
      </w:r>
      <w:r w:rsidRPr="008E21A7">
        <w:rPr>
          <w:rFonts w:ascii="Palatino Linotype" w:eastAsia="Times New Roman" w:hAnsi="Palatino Linotype" w:cs="Times New Roman"/>
          <w:b/>
          <w:sz w:val="24"/>
          <w:szCs w:val="24"/>
          <w:lang w:eastAsia="es-ES"/>
        </w:rPr>
        <w:t xml:space="preserve"> SAIMEX,</w:t>
      </w:r>
      <w:r w:rsidRPr="008E21A7">
        <w:rPr>
          <w:rFonts w:ascii="Palatino Linotype" w:eastAsia="Times New Roman" w:hAnsi="Palatino Linotype" w:cs="Times New Roman"/>
          <w:sz w:val="24"/>
          <w:szCs w:val="24"/>
          <w:lang w:eastAsia="es-ES"/>
        </w:rPr>
        <w:t xml:space="preserve"> por motivo de la solicitud de información y del recurso a que da origen, se observa que el Sujeto Obligado</w:t>
      </w:r>
      <w:r w:rsidRPr="008E21A7">
        <w:rPr>
          <w:rFonts w:ascii="Palatino Linotype" w:eastAsia="Times New Roman" w:hAnsi="Palatino Linotype" w:cs="Times New Roman"/>
          <w:b/>
          <w:sz w:val="24"/>
          <w:szCs w:val="24"/>
          <w:lang w:eastAsia="es-ES"/>
        </w:rPr>
        <w:t>,</w:t>
      </w:r>
      <w:r w:rsidRPr="008E21A7">
        <w:rPr>
          <w:rFonts w:ascii="Palatino Linotype" w:eastAsia="Times New Roman" w:hAnsi="Palatino Linotype" w:cs="Times New Roman"/>
          <w:sz w:val="24"/>
          <w:szCs w:val="24"/>
          <w:lang w:eastAsia="es-ES"/>
        </w:rPr>
        <w:t xml:space="preserve"> no dio respuesta a la solicitud de información planteada por el particular, lo que se traduce como la configuración de la negativa ficta.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sz w:val="24"/>
          <w:szCs w:val="24"/>
          <w:lang w:eastAsia="es-ES"/>
        </w:rPr>
        <w:lastRenderedPageBreak/>
        <w:t xml:space="preserve">Así, se debe recordar que el Recurrente </w:t>
      </w:r>
      <w:r>
        <w:rPr>
          <w:rFonts w:ascii="Palatino Linotype" w:eastAsia="Times New Roman" w:hAnsi="Palatino Linotype" w:cs="Calibri"/>
          <w:sz w:val="24"/>
          <w:szCs w:val="24"/>
          <w:lang w:eastAsia="es-ES"/>
        </w:rPr>
        <w:t xml:space="preserve">requirió que se le informara respecto de la última pavimentación de la carretera que conecta el municipio de </w:t>
      </w:r>
      <w:proofErr w:type="spellStart"/>
      <w:r>
        <w:rPr>
          <w:rFonts w:ascii="Palatino Linotype" w:eastAsia="Times New Roman" w:hAnsi="Palatino Linotype" w:cs="Calibri"/>
          <w:sz w:val="24"/>
          <w:szCs w:val="24"/>
          <w:lang w:eastAsia="es-ES"/>
        </w:rPr>
        <w:t>Calimaya</w:t>
      </w:r>
      <w:proofErr w:type="spellEnd"/>
      <w:r>
        <w:rPr>
          <w:rFonts w:ascii="Palatino Linotype" w:eastAsia="Times New Roman" w:hAnsi="Palatino Linotype" w:cs="Calibri"/>
          <w:sz w:val="24"/>
          <w:szCs w:val="24"/>
          <w:lang w:eastAsia="es-ES"/>
        </w:rPr>
        <w:t xml:space="preserve"> con el de Metepec.</w:t>
      </w:r>
    </w:p>
    <w:p w:rsidR="008E21A7" w:rsidRPr="008E21A7" w:rsidRDefault="008E21A7" w:rsidP="008E21A7">
      <w:pPr>
        <w:spacing w:after="0" w:line="360" w:lineRule="auto"/>
        <w:ind w:left="567"/>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Al respecto, se destaca que el Sujeto Obligado no dio respuesta a la solicitud de acceso a la información, motivo por el cual el hoy Recurrente interpuso el medio de defensa de análisis.</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En ese orden de ideas, se tiene que el Recurrente no realizó manifestaciones, vertió alegatos o presentó pruebas que a su derecho convinieran </w:t>
      </w:r>
      <w:r>
        <w:rPr>
          <w:rFonts w:ascii="Palatino Linotype" w:eastAsia="Times New Roman" w:hAnsi="Palatino Linotype" w:cs="Times New Roman"/>
          <w:sz w:val="24"/>
          <w:szCs w:val="24"/>
          <w:lang w:eastAsia="es-ES"/>
        </w:rPr>
        <w:t xml:space="preserve">durante la etapa de instrucción. Por su parte, </w:t>
      </w:r>
      <w:r w:rsidRPr="008E21A7">
        <w:rPr>
          <w:rFonts w:ascii="Palatino Linotype" w:eastAsia="Times New Roman" w:hAnsi="Palatino Linotype" w:cs="Times New Roman"/>
          <w:sz w:val="24"/>
          <w:szCs w:val="24"/>
          <w:lang w:eastAsia="es-ES"/>
        </w:rPr>
        <w:t xml:space="preserve">el Sujeto Obligado </w:t>
      </w:r>
      <w:r>
        <w:rPr>
          <w:rFonts w:ascii="Palatino Linotype" w:eastAsia="Times New Roman" w:hAnsi="Palatino Linotype" w:cs="Times New Roman"/>
          <w:sz w:val="24"/>
          <w:szCs w:val="24"/>
          <w:lang w:eastAsia="es-ES"/>
        </w:rPr>
        <w:t xml:space="preserve">rindió su </w:t>
      </w:r>
      <w:r w:rsidRPr="008E21A7">
        <w:rPr>
          <w:rFonts w:ascii="Palatino Linotype" w:eastAsia="Times New Roman" w:hAnsi="Palatino Linotype" w:cs="Times New Roman"/>
          <w:sz w:val="24"/>
          <w:szCs w:val="24"/>
          <w:lang w:eastAsia="es-ES"/>
        </w:rPr>
        <w:t>Informe Justificado</w:t>
      </w:r>
      <w:r>
        <w:rPr>
          <w:rFonts w:ascii="Palatino Linotype" w:eastAsia="Times New Roman" w:hAnsi="Palatino Linotype" w:cs="Times New Roman"/>
          <w:sz w:val="24"/>
          <w:szCs w:val="24"/>
          <w:lang w:eastAsia="es-ES"/>
        </w:rPr>
        <w:t xml:space="preserve"> mediante el oficio </w:t>
      </w:r>
      <w:r w:rsidR="00FA5B5A">
        <w:rPr>
          <w:rFonts w:ascii="Palatino Linotype" w:eastAsia="Times New Roman" w:hAnsi="Palatino Linotype" w:cs="Times New Roman"/>
          <w:sz w:val="24"/>
          <w:szCs w:val="24"/>
          <w:lang w:eastAsia="es-ES"/>
        </w:rPr>
        <w:t xml:space="preserve">de contestación número PMC/UIPPE/00189/2020 suscrito por la Unidad de Transparencia y Acceso a la Información Pública de </w:t>
      </w:r>
      <w:proofErr w:type="spellStart"/>
      <w:r w:rsidR="00FA5B5A">
        <w:rPr>
          <w:rFonts w:ascii="Palatino Linotype" w:eastAsia="Times New Roman" w:hAnsi="Palatino Linotype" w:cs="Times New Roman"/>
          <w:sz w:val="24"/>
          <w:szCs w:val="24"/>
          <w:lang w:eastAsia="es-ES"/>
        </w:rPr>
        <w:t>Calimaya</w:t>
      </w:r>
      <w:proofErr w:type="spellEnd"/>
      <w:r w:rsidR="00FA5B5A">
        <w:rPr>
          <w:rFonts w:ascii="Palatino Linotype" w:eastAsia="Times New Roman" w:hAnsi="Palatino Linotype" w:cs="Times New Roman"/>
          <w:sz w:val="24"/>
          <w:szCs w:val="24"/>
          <w:lang w:eastAsia="es-ES"/>
        </w:rPr>
        <w:t>, en el que se informó al solicitante de la respuesta emitida por la Dirección de Obras Públicas que respondió lo siguiente:</w:t>
      </w:r>
    </w:p>
    <w:p w:rsidR="008E21A7" w:rsidRDefault="00FA5B5A" w:rsidP="008E21A7">
      <w:pPr>
        <w:spacing w:after="0" w:line="360" w:lineRule="auto"/>
        <w:jc w:val="both"/>
        <w:rPr>
          <w:rFonts w:ascii="Palatino Linotype" w:eastAsia="Times New Roman" w:hAnsi="Palatino Linotype" w:cs="Calibri"/>
          <w:sz w:val="24"/>
          <w:szCs w:val="24"/>
          <w:lang w:eastAsia="es-ES"/>
        </w:rPr>
      </w:pPr>
      <w:bookmarkStart w:id="0" w:name="_GoBack"/>
      <w:r>
        <w:rPr>
          <w:noProof/>
          <w:lang w:eastAsia="es-MX"/>
        </w:rPr>
        <w:drawing>
          <wp:inline distT="0" distB="0" distL="0" distR="0" wp14:anchorId="4E38FFEE" wp14:editId="628E8F5C">
            <wp:extent cx="5721951" cy="1403497"/>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74" t="43986" r="18044" b="26140"/>
                    <a:stretch/>
                  </pic:blipFill>
                  <pic:spPr bwMode="auto">
                    <a:xfrm>
                      <a:off x="0" y="0"/>
                      <a:ext cx="5812391" cy="1425681"/>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FA5B5A" w:rsidRDefault="00FA5B5A" w:rsidP="008E21A7">
      <w:pPr>
        <w:spacing w:after="0" w:line="360" w:lineRule="auto"/>
        <w:jc w:val="both"/>
        <w:rPr>
          <w:rFonts w:ascii="Palatino Linotype" w:eastAsia="Times New Roman" w:hAnsi="Palatino Linotype" w:cs="Calibri"/>
          <w:sz w:val="24"/>
          <w:szCs w:val="24"/>
          <w:lang w:eastAsia="es-ES"/>
        </w:rPr>
      </w:pPr>
    </w:p>
    <w:p w:rsidR="00FA5B5A" w:rsidRDefault="00FA5B5A" w:rsidP="008E21A7">
      <w:pPr>
        <w:spacing w:after="0" w:line="360" w:lineRule="auto"/>
        <w:jc w:val="both"/>
        <w:rPr>
          <w:rFonts w:ascii="Palatino Linotype" w:eastAsia="Times New Roman" w:hAnsi="Palatino Linotype" w:cs="Calibri"/>
          <w:sz w:val="24"/>
          <w:szCs w:val="24"/>
          <w:lang w:eastAsia="es-ES"/>
        </w:rPr>
      </w:pPr>
      <w:r>
        <w:rPr>
          <w:rFonts w:ascii="Palatino Linotype" w:eastAsia="Times New Roman" w:hAnsi="Palatino Linotype" w:cs="Calibri"/>
          <w:sz w:val="24"/>
          <w:szCs w:val="24"/>
          <w:lang w:eastAsia="es-ES"/>
        </w:rPr>
        <w:t xml:space="preserve">Así, dado que lo manifestado por el Sujeto Obligado en Informe Justificado no atendió el fondo de la solicitud de información, puesto que sólo requirió una aclaración por </w:t>
      </w:r>
      <w:r>
        <w:rPr>
          <w:rFonts w:ascii="Palatino Linotype" w:eastAsia="Times New Roman" w:hAnsi="Palatino Linotype" w:cs="Calibri"/>
          <w:sz w:val="24"/>
          <w:szCs w:val="24"/>
          <w:lang w:eastAsia="es-ES"/>
        </w:rPr>
        <w:lastRenderedPageBreak/>
        <w:t>parte del solicitante, no es posible estimar que se haya colmado el derecho de acceso a la información del Recurrente</w:t>
      </w:r>
      <w:r w:rsidR="00DF2C5A">
        <w:rPr>
          <w:rFonts w:ascii="Palatino Linotype" w:eastAsia="Times New Roman" w:hAnsi="Palatino Linotype" w:cs="Calibri"/>
          <w:sz w:val="24"/>
          <w:szCs w:val="24"/>
          <w:lang w:eastAsia="es-ES"/>
        </w:rPr>
        <w:t>.</w:t>
      </w:r>
    </w:p>
    <w:p w:rsidR="00FA5B5A" w:rsidRPr="008E21A7" w:rsidRDefault="00FA5B5A"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 xml:space="preserve">Bajo ese contexto, este Instituto analizó la totalidad de constancias que integran el expediente electrónico del </w:t>
      </w:r>
      <w:r w:rsidRPr="008E21A7">
        <w:rPr>
          <w:rFonts w:ascii="Palatino Linotype" w:eastAsia="Times New Roman" w:hAnsi="Palatino Linotype" w:cs="Arial"/>
          <w:b/>
          <w:sz w:val="24"/>
          <w:szCs w:val="24"/>
          <w:lang w:eastAsia="es-ES"/>
        </w:rPr>
        <w:t>SAIMEX</w:t>
      </w:r>
      <w:r w:rsidRPr="008E21A7">
        <w:rPr>
          <w:rFonts w:ascii="Palatino Linotype" w:eastAsia="Times New Roman" w:hAnsi="Palatino Linotype" w:cs="Arial"/>
          <w:sz w:val="24"/>
          <w:szCs w:val="24"/>
          <w:lang w:eastAsia="es-ES"/>
        </w:rPr>
        <w:t xml:space="preserve"> y observó que las razones o motivos de inconformidad hechos valer por el Recurrente devienen </w:t>
      </w:r>
      <w:r w:rsidRPr="008E21A7">
        <w:rPr>
          <w:rFonts w:ascii="Palatino Linotype" w:eastAsia="Times New Roman" w:hAnsi="Palatino Linotype" w:cs="Arial"/>
          <w:b/>
          <w:sz w:val="24"/>
          <w:szCs w:val="24"/>
          <w:lang w:eastAsia="es-ES"/>
        </w:rPr>
        <w:t>fundados</w:t>
      </w:r>
      <w:r w:rsidRPr="008E21A7">
        <w:rPr>
          <w:rFonts w:ascii="Palatino Linotype" w:eastAsia="Times New Roman" w:hAnsi="Palatino Linotype" w:cs="Arial"/>
          <w:sz w:val="24"/>
          <w:szCs w:val="24"/>
          <w:lang w:eastAsia="es-ES"/>
        </w:rPr>
        <w:t>, en atención a las siguientes consideraciones de hecho y de Derecho:</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En este sentido, es pertinente enfatizar lo que, respecto al derecho de acceso a la información pública, refiere el artículo 6° de la Constitución Política de los Estados Unidos Mexicanos, que en su parte conducente señala:</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6o.</w:t>
      </w:r>
      <w:r w:rsidRPr="008E21A7">
        <w:rPr>
          <w:rFonts w:ascii="Palatino Linotype" w:eastAsia="Times New Roman" w:hAnsi="Palatino Linotype" w:cs="Times New Roman"/>
          <w:i/>
          <w:sz w:val="24"/>
          <w:szCs w:val="24"/>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E21A7">
        <w:rPr>
          <w:rFonts w:ascii="Palatino Linotype" w:eastAsia="Times New Roman" w:hAnsi="Palatino Linotype" w:cs="Times New Roman"/>
          <w:b/>
          <w:i/>
          <w:sz w:val="24"/>
          <w:szCs w:val="24"/>
          <w:lang w:eastAsia="es-ES"/>
        </w:rPr>
        <w:t>El derecho a la información será garantizado por el Estado.</w:t>
      </w:r>
      <w:r w:rsidRPr="008E21A7">
        <w:rPr>
          <w:rFonts w:ascii="Palatino Linotype" w:eastAsia="Times New Roman" w:hAnsi="Palatino Linotype" w:cs="Times New Roman"/>
          <w:i/>
          <w:sz w:val="24"/>
          <w:szCs w:val="24"/>
          <w:lang w:eastAsia="es-ES"/>
        </w:rPr>
        <w:t xml:space="preserve">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Toda persona tiene derecho al libre acceso a información plural y oportuna, así como a buscar, recibir y difundir información e ideas de toda índole por cualquier medio de expresión.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Para efectos de lo dispuesto en el presente artículo se observará lo siguiente:</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A. Para el ejercicio del derecho de acceso a la información, la Federación, los Estados y el Distrito Federal, en el ámbito de sus respectivas competencias, se regirán por los siguientes principios y bases: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I. Toda la información en posesión de</w:t>
      </w:r>
      <w:r w:rsidRPr="008E21A7">
        <w:rPr>
          <w:rFonts w:ascii="Palatino Linotype" w:eastAsia="Times New Roman" w:hAnsi="Palatino Linotype" w:cs="Times New Roman"/>
          <w:i/>
          <w:sz w:val="24"/>
          <w:szCs w:val="24"/>
          <w:lang w:eastAsia="es-ES"/>
        </w:rPr>
        <w:t xml:space="preserve"> </w:t>
      </w:r>
      <w:r w:rsidRPr="008E21A7">
        <w:rPr>
          <w:rFonts w:ascii="Palatino Linotype" w:eastAsia="Times New Roman" w:hAnsi="Palatino Linotype" w:cs="Times New Roman"/>
          <w:b/>
          <w:i/>
          <w:sz w:val="24"/>
          <w:szCs w:val="24"/>
          <w:lang w:eastAsia="es-ES"/>
        </w:rPr>
        <w:t>cualquier autoridad</w:t>
      </w:r>
      <w:r w:rsidRPr="008E21A7">
        <w:rPr>
          <w:rFonts w:ascii="Palatino Linotype" w:eastAsia="Times New Roman" w:hAnsi="Palatino Linotype" w:cs="Times New Roman"/>
          <w:i/>
          <w:sz w:val="24"/>
          <w:szCs w:val="24"/>
          <w:lang w:eastAsia="es-ES"/>
        </w:rPr>
        <w:t xml:space="preserve">, entidad, órgano y organismo de los Poderes Ejecutivo, Legislativo y Judicial, órganos autónomos, </w:t>
      </w:r>
      <w:r w:rsidRPr="008E21A7">
        <w:rPr>
          <w:rFonts w:ascii="Palatino Linotype" w:eastAsia="Times New Roman" w:hAnsi="Palatino Linotype" w:cs="Times New Roman"/>
          <w:i/>
          <w:sz w:val="24"/>
          <w:szCs w:val="24"/>
          <w:lang w:eastAsia="es-ES"/>
        </w:rPr>
        <w:lastRenderedPageBreak/>
        <w:t xml:space="preserve">partidos políticos, fideicomisos y fondos públicos, así como de cualquier persona física, moral o sindicato que reciba y ejerza recursos públicos o realice actos de autoridad </w:t>
      </w:r>
      <w:r w:rsidRPr="008E21A7">
        <w:rPr>
          <w:rFonts w:ascii="Palatino Linotype" w:eastAsia="Times New Roman" w:hAnsi="Palatino Linotype" w:cs="Times New Roman"/>
          <w:b/>
          <w:i/>
          <w:sz w:val="24"/>
          <w:szCs w:val="24"/>
          <w:lang w:eastAsia="es-ES"/>
        </w:rPr>
        <w:t>en el ámbito federal, estatal y municipal, es pública</w:t>
      </w:r>
      <w:r w:rsidRPr="008E21A7">
        <w:rPr>
          <w:rFonts w:ascii="Palatino Linotype" w:eastAsia="Times New Roman" w:hAnsi="Palatino Linotype" w:cs="Times New Roman"/>
          <w:i/>
          <w:sz w:val="24"/>
          <w:szCs w:val="24"/>
          <w:lang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8E21A7">
        <w:rPr>
          <w:rFonts w:ascii="Palatino Linotype" w:eastAsia="Times New Roman" w:hAnsi="Palatino Linotype" w:cs="Times New Roman"/>
          <w:b/>
          <w:i/>
          <w:sz w:val="24"/>
          <w:szCs w:val="24"/>
          <w:lang w:eastAsia="es-ES"/>
        </w:rPr>
        <w:t>Los sujetos obligados deberán documentar todo acto que derive del ejercicio de sus facultades, competencias o funciones</w:t>
      </w:r>
      <w:r w:rsidRPr="008E21A7">
        <w:rPr>
          <w:rFonts w:ascii="Palatino Linotype" w:eastAsia="Times New Roman" w:hAnsi="Palatino Linotype" w:cs="Times New Roman"/>
          <w:i/>
          <w:sz w:val="24"/>
          <w:szCs w:val="24"/>
          <w:lang w:eastAsia="es-ES"/>
        </w:rPr>
        <w:t>, la ley determinará los supuestos específicos bajo los cuales procederá la declaración de inexistencia de la información.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II. La información que se refiere a la vida privada y los datos personales será protegida en los términos y con las excepciones que fijen las leyes.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III. Toda persona, sin necesidad de acreditar interés alguno o justificar su utilización, tendrá acceso gratuito a la información pública, a sus datos personales o a la rectificación de éstos.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IV. Se establecerán mecanismos de acceso a la información y procedimientos de revisión expeditos que se sustanciarán ante los organismos autónomos especializados e imparciales que establece esta Constitución.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V. Los sujetos obligados deberán preservar sus documentos en archivos administrativos actualizados y publicarán, a través de los medios electrónicos disponibles</w:t>
      </w:r>
      <w:r w:rsidRPr="008E21A7">
        <w:rPr>
          <w:rFonts w:ascii="Palatino Linotype" w:eastAsia="Times New Roman" w:hAnsi="Palatino Linotype" w:cs="Times New Roman"/>
          <w:i/>
          <w:sz w:val="24"/>
          <w:szCs w:val="24"/>
          <w:lang w:eastAsia="es-ES"/>
        </w:rPr>
        <w:t xml:space="preserve">, </w:t>
      </w:r>
      <w:r w:rsidRPr="008E21A7">
        <w:rPr>
          <w:rFonts w:ascii="Palatino Linotype" w:eastAsia="Times New Roman" w:hAnsi="Palatino Linotype" w:cs="Times New Roman"/>
          <w:b/>
          <w:i/>
          <w:sz w:val="24"/>
          <w:szCs w:val="24"/>
          <w:lang w:eastAsia="es-ES"/>
        </w:rPr>
        <w:t xml:space="preserve">la información completa y actualizada sobre el ejercicio de los recursos públicos </w:t>
      </w:r>
      <w:r w:rsidRPr="008E21A7">
        <w:rPr>
          <w:rFonts w:ascii="Palatino Linotype" w:eastAsia="Times New Roman" w:hAnsi="Palatino Linotype" w:cs="Times New Roman"/>
          <w:i/>
          <w:sz w:val="24"/>
          <w:szCs w:val="24"/>
          <w:lang w:eastAsia="es-ES"/>
        </w:rPr>
        <w:t>y los indicadores que permitan rendir cuenta del cumplimiento de sus objetivos y de los resultados obtenidos.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VI. Las leyes determinarán la manera en que los sujetos obligados deberán hacer pública la información relativa a los recursos públicos que entreguen a personas físicas o morales.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VII. La inobservancia a las disposiciones en materia de acceso a la información pública será sancionada en los términos que dispongan las leyes.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La ley establecerá aquella información que se considere reservada o confidencial.</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lastRenderedPageBreak/>
        <w:t xml:space="preserve">(…)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Por su parte, la Constitución Política del Estado Libre y Soberano de México, en su artículo 5°, dispone en su parte conducente, lo siguiente:</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5.</w:t>
      </w:r>
      <w:r w:rsidRPr="008E21A7">
        <w:rPr>
          <w:rFonts w:ascii="Palatino Linotype" w:eastAsia="Times New Roman" w:hAnsi="Palatino Linotype" w:cs="Times New Roman"/>
          <w:i/>
          <w:sz w:val="24"/>
          <w:szCs w:val="24"/>
          <w:lang w:eastAsia="es-ES"/>
        </w:rPr>
        <w:t xml:space="preserve">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El derecho a la información será garantizado por el Estado</w:t>
      </w:r>
      <w:r w:rsidRPr="008E21A7">
        <w:rPr>
          <w:rFonts w:ascii="Palatino Linotype" w:eastAsia="Times New Roman" w:hAnsi="Palatino Linotype" w:cs="Times New Roman"/>
          <w:i/>
          <w:sz w:val="24"/>
          <w:szCs w:val="24"/>
          <w:lang w:eastAsia="es-ES"/>
        </w:rPr>
        <w:t xml:space="preserve">. La ley establecerá las previsiones que permitan asegurar la protección, el respeto y la difusión de este derecho.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Este derecho se regirá por los principios y bases siguientes: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I. Toda la información en posesión de</w:t>
      </w:r>
      <w:r w:rsidRPr="008E21A7">
        <w:rPr>
          <w:rFonts w:ascii="Palatino Linotype" w:eastAsia="Times New Roman" w:hAnsi="Palatino Linotype" w:cs="Times New Roman"/>
          <w:i/>
          <w:sz w:val="24"/>
          <w:szCs w:val="24"/>
          <w:lang w:eastAsia="es-ES"/>
        </w:rPr>
        <w:t xml:space="preserve"> cualquier autoridad, entidad, órgano y organismos de los Poderes Ejecutivo, Legislativo y Judicial, órganos autónomos, partidos políticos, fideicomisos y fondos públicos estatales y municipales, así como del gobierno y de </w:t>
      </w:r>
      <w:r w:rsidRPr="008E21A7">
        <w:rPr>
          <w:rFonts w:ascii="Palatino Linotype" w:eastAsia="Times New Roman" w:hAnsi="Palatino Linotype" w:cs="Times New Roman"/>
          <w:b/>
          <w:i/>
          <w:sz w:val="24"/>
          <w:szCs w:val="24"/>
          <w:u w:val="single"/>
          <w:lang w:eastAsia="es-ES"/>
        </w:rPr>
        <w:t>la administración pública municipal y sus organismos descentralizados</w:t>
      </w:r>
      <w:r w:rsidRPr="008E21A7">
        <w:rPr>
          <w:rFonts w:ascii="Palatino Linotype" w:eastAsia="Times New Roman" w:hAnsi="Palatino Linotype" w:cs="Times New Roman"/>
          <w:i/>
          <w:sz w:val="24"/>
          <w:szCs w:val="24"/>
          <w:lang w:eastAsia="es-E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lastRenderedPageBreak/>
        <w:t>II.</w:t>
      </w:r>
      <w:r w:rsidRPr="008E21A7">
        <w:rPr>
          <w:rFonts w:ascii="Palatino Linotype" w:eastAsia="Times New Roman" w:hAnsi="Palatino Linotype" w:cs="Times New Roman"/>
          <w:i/>
          <w:sz w:val="24"/>
          <w:szCs w:val="24"/>
          <w:lang w:eastAsia="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III.</w:t>
      </w:r>
      <w:r w:rsidRPr="008E21A7">
        <w:rPr>
          <w:rFonts w:ascii="Palatino Linotype" w:eastAsia="Times New Roman" w:hAnsi="Palatino Linotype" w:cs="Times New Roman"/>
          <w:i/>
          <w:sz w:val="24"/>
          <w:szCs w:val="24"/>
          <w:lang w:eastAsia="es-ES"/>
        </w:rPr>
        <w:t xml:space="preserve"> </w:t>
      </w:r>
      <w:r w:rsidRPr="008E21A7">
        <w:rPr>
          <w:rFonts w:ascii="Palatino Linotype" w:eastAsia="Times New Roman" w:hAnsi="Palatino Linotype" w:cs="Times New Roman"/>
          <w:b/>
          <w:i/>
          <w:sz w:val="24"/>
          <w:szCs w:val="24"/>
          <w:lang w:eastAsia="es-ES"/>
        </w:rPr>
        <w:t>Toda persona, sin necesidad de acreditar interés alguno o justificar su utilización, tendrá acceso gratuito a la información pública, a sus datos personales o a la rectificación de éstos</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IV. Se establecerán mecanismos de acceso a la información y procedimientos de revisión expeditos que se sustanciarán ante el organismo autónomo especializado e imparcial que establece esta Constitución.</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E21A7" w:rsidRPr="008E21A7" w:rsidRDefault="008E21A7" w:rsidP="008E21A7">
      <w:pPr>
        <w:spacing w:after="0" w:line="240" w:lineRule="auto"/>
        <w:ind w:left="567" w:right="567"/>
        <w:jc w:val="both"/>
        <w:rPr>
          <w:rFonts w:ascii="Times New Roman" w:eastAsia="Times New Roman" w:hAnsi="Times New Roman" w:cs="Times New Roman"/>
          <w:sz w:val="24"/>
          <w:szCs w:val="24"/>
          <w:lang w:eastAsia="es-ES"/>
        </w:rPr>
      </w:pPr>
      <w:r w:rsidRPr="008E21A7">
        <w:rPr>
          <w:rFonts w:ascii="Palatino Linotype" w:eastAsia="Times New Roman" w:hAnsi="Palatino Linotype" w:cs="Times New Roman"/>
          <w:i/>
          <w:sz w:val="24"/>
          <w:szCs w:val="24"/>
          <w:lang w:eastAsia="es-ES"/>
        </w:rPr>
        <w:t>VII. La ley reglamentaria, determinará la manera en que los sujetos obligados deberán hacer pública la información relativa a los recursos públicos que entreguen a personas físicas o jurídicas colectivas</w:t>
      </w:r>
      <w:r w:rsidRPr="008E21A7">
        <w:rPr>
          <w:rFonts w:ascii="Times New Roman" w:eastAsia="Times New Roman" w:hAnsi="Times New Roman" w:cs="Times New Roman"/>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En ese orden de ideas, la Ley de Transparencia y Acceso a la Información Pública del Estado de México y Municipios, prevé en su artículo 23, fracción IV, lo siguiente: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23.</w:t>
      </w:r>
      <w:r w:rsidRPr="008E21A7">
        <w:rPr>
          <w:rFonts w:ascii="Palatino Linotype" w:eastAsia="Times New Roman" w:hAnsi="Palatino Linotype" w:cs="Times New Roman"/>
          <w:i/>
          <w:sz w:val="24"/>
          <w:szCs w:val="24"/>
          <w:lang w:eastAsia="es-ES"/>
        </w:rPr>
        <w:t xml:space="preserve"> </w:t>
      </w:r>
      <w:r w:rsidRPr="008E21A7">
        <w:rPr>
          <w:rFonts w:ascii="Palatino Linotype" w:eastAsia="Times New Roman" w:hAnsi="Palatino Linotype" w:cs="Times New Roman"/>
          <w:b/>
          <w:i/>
          <w:sz w:val="24"/>
          <w:szCs w:val="24"/>
          <w:lang w:eastAsia="es-ES"/>
        </w:rPr>
        <w:t>Son sujetos obligados a transparentar y permitir el acceso a su información y proteger los datos personales que obren en su poder</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 xml:space="preserve">IV. </w:t>
      </w:r>
      <w:r w:rsidRPr="008E21A7">
        <w:rPr>
          <w:rFonts w:ascii="Palatino Linotype" w:eastAsia="Times New Roman" w:hAnsi="Palatino Linotype" w:cs="Times New Roman"/>
          <w:b/>
          <w:i/>
          <w:sz w:val="24"/>
          <w:szCs w:val="24"/>
          <w:u w:val="single"/>
          <w:lang w:eastAsia="es-ES"/>
        </w:rPr>
        <w:t>Los ayuntamientos y las dependencias, organismos, órganos y entidades de la administración municipal</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Times New Roman" w:eastAsia="Times New Roman" w:hAnsi="Times New Roman" w:cs="Times New Roman"/>
          <w:sz w:val="24"/>
          <w:szCs w:val="24"/>
          <w:lang w:eastAsia="es-ES"/>
        </w:rPr>
      </w:pPr>
      <w:r w:rsidRPr="008E21A7">
        <w:rPr>
          <w:rFonts w:ascii="Palatino Linotype" w:eastAsia="Times New Roman" w:hAnsi="Palatino Linotype" w:cs="Times New Roman"/>
          <w:b/>
          <w:i/>
          <w:sz w:val="24"/>
          <w:szCs w:val="24"/>
          <w:lang w:eastAsia="es-ES"/>
        </w:rPr>
        <w:t>Los servidores públicos deberán transparentar sus acciones, así como garantizar y respetar el derecho de acceso a la información pública</w:t>
      </w:r>
      <w:r w:rsidRPr="008E21A7">
        <w:rPr>
          <w:rFonts w:ascii="Palatino Linotype" w:eastAsia="Times New Roman" w:hAnsi="Palatino Linotype" w:cs="Times New Roman"/>
          <w:i/>
          <w:sz w:val="24"/>
          <w:szCs w:val="24"/>
          <w:lang w:eastAsia="es-ES"/>
        </w:rPr>
        <w:t>.</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Arial Unicode MS" w:hAnsi="Palatino Linotype" w:cs="Times New Roman"/>
          <w:sz w:val="24"/>
          <w:szCs w:val="24"/>
          <w:lang w:eastAsia="es-ES"/>
        </w:rPr>
      </w:pPr>
      <w:r w:rsidRPr="008E21A7">
        <w:rPr>
          <w:rFonts w:ascii="Palatino Linotype" w:eastAsia="Calibri" w:hAnsi="Palatino Linotype" w:cs="Times New Roman"/>
          <w:sz w:val="24"/>
          <w:szCs w:val="24"/>
          <w:lang w:eastAsia="es-ES"/>
        </w:rPr>
        <w:t xml:space="preserve">En esa tesitura, </w:t>
      </w:r>
      <w:r w:rsidRPr="008E21A7">
        <w:rPr>
          <w:rFonts w:ascii="Palatino Linotype" w:eastAsia="Arial Unicode MS" w:hAnsi="Palatino Linotype" w:cs="Times New Roman"/>
          <w:sz w:val="24"/>
          <w:szCs w:val="24"/>
          <w:lang w:eastAsia="es-E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E21A7" w:rsidRPr="008E21A7" w:rsidRDefault="008E21A7" w:rsidP="008E21A7">
      <w:pPr>
        <w:spacing w:after="0" w:line="360" w:lineRule="auto"/>
        <w:jc w:val="both"/>
        <w:rPr>
          <w:rFonts w:ascii="Palatino Linotype" w:eastAsia="Arial Unicode MS" w:hAnsi="Palatino Linotype" w:cs="Times New Roman"/>
          <w:sz w:val="24"/>
          <w:szCs w:val="24"/>
          <w:lang w:eastAsia="es-ES"/>
        </w:rPr>
      </w:pP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r w:rsidRPr="008E21A7">
        <w:rPr>
          <w:rFonts w:ascii="Palatino Linotype" w:eastAsia="Arial Unicode MS" w:hAnsi="Palatino Linotype" w:cs="Arial"/>
          <w:sz w:val="24"/>
          <w:szCs w:val="24"/>
          <w:lang w:eastAsia="es-E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r w:rsidRPr="008E21A7">
        <w:rPr>
          <w:rFonts w:ascii="Palatino Linotype" w:eastAsia="Arial Unicode MS" w:hAnsi="Palatino Linotype" w:cs="Arial"/>
          <w:sz w:val="24"/>
          <w:szCs w:val="24"/>
          <w:lang w:eastAsia="es-ES"/>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r w:rsidRPr="008E21A7">
        <w:rPr>
          <w:rFonts w:ascii="Palatino Linotype" w:eastAsia="Arial Unicode MS" w:hAnsi="Palatino Linotype" w:cs="Arial"/>
          <w:sz w:val="24"/>
          <w:szCs w:val="24"/>
          <w:lang w:eastAsia="es-E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E21A7" w:rsidRPr="008E21A7" w:rsidRDefault="008E21A7" w:rsidP="008E21A7">
      <w:pPr>
        <w:spacing w:after="0" w:line="360" w:lineRule="auto"/>
        <w:jc w:val="both"/>
        <w:rPr>
          <w:rFonts w:ascii="Palatino Linotype" w:eastAsia="Arial Unicode MS"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8E21A7">
        <w:rPr>
          <w:rFonts w:ascii="Palatino Linotype" w:eastAsia="Times New Roman" w:hAnsi="Palatino Linotype" w:cs="Arial"/>
          <w:sz w:val="24"/>
          <w:szCs w:val="24"/>
          <w:lang w:eastAsia="es-ES"/>
        </w:rPr>
        <w:lastRenderedPageBreak/>
        <w:t>fundadas y motivadas, las cuales deberán ser aprobadas por el Comité de Transparencia. Situación que en la especie no aconteció. Sirve de sustento a lo anterior el precepto legal en cita: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b/>
          <w:i/>
          <w:sz w:val="24"/>
          <w:szCs w:val="24"/>
          <w:lang w:eastAsia="es-ES"/>
        </w:rPr>
        <w:t>Artículo 163. La Unidad de Transparencia deberá notificar la respuesta a la solicitud al interesado en el menor tiempo posible, que no podrá exceder de quince días hábiles</w:t>
      </w:r>
      <w:r w:rsidRPr="008E21A7">
        <w:rPr>
          <w:rFonts w:ascii="Palatino Linotype" w:eastAsia="Times New Roman" w:hAnsi="Palatino Linotype" w:cs="Times New Roman"/>
          <w:i/>
          <w:sz w:val="24"/>
          <w:szCs w:val="24"/>
          <w:lang w:eastAsia="es-ES"/>
        </w:rPr>
        <w:t xml:space="preserve">, contados a partir del día siguiente a la presentación de aquélla. </w:t>
      </w: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i/>
          <w:sz w:val="24"/>
          <w:szCs w:val="24"/>
          <w:lang w:eastAsia="es-ES"/>
        </w:rPr>
      </w:pPr>
      <w:r w:rsidRPr="008E21A7">
        <w:rPr>
          <w:rFonts w:ascii="Palatino Linotype" w:eastAsia="Times New Roman" w:hAnsi="Palatino Linotype" w:cs="Times New Roman"/>
          <w:i/>
          <w:sz w:val="24"/>
          <w:szCs w:val="24"/>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8E21A7">
        <w:rPr>
          <w:rFonts w:ascii="Palatino Linotype" w:eastAsia="Times New Roman" w:hAnsi="Palatino Linotype" w:cs="Times New Roman"/>
          <w:sz w:val="24"/>
          <w:szCs w:val="24"/>
          <w:lang w:eastAsia="es-ES"/>
        </w:rPr>
        <w:lastRenderedPageBreak/>
        <w:t>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E21A7">
        <w:rPr>
          <w:rFonts w:ascii="Palatino Linotype" w:eastAsia="Calibri" w:hAnsi="Palatino Linotype" w:cs="Times New Roman"/>
          <w:sz w:val="24"/>
          <w:szCs w:val="24"/>
          <w:vertAlign w:val="superscript"/>
          <w:lang w:eastAsia="es-ES"/>
        </w:rPr>
        <w:footnoteReference w:id="2"/>
      </w:r>
      <w:r w:rsidRPr="008E21A7">
        <w:rPr>
          <w:rFonts w:ascii="Palatino Linotype" w:eastAsia="Calibri" w:hAnsi="Palatino Linotype" w:cs="Times New Roman"/>
          <w:sz w:val="24"/>
          <w:szCs w:val="24"/>
          <w:lang w:eastAsia="es-ES"/>
        </w:rPr>
        <w:t>, el requerimiento de información deberá manifestarse al respecto.</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Así, dado que la Unidad de Transparencia es la encargada de turnar la solicitud a las dependencias o unidades administrativas que consideren competentes para conocer de la solicitud planteada, resulta conveniente verificar si el Sujeto Obligado cuenta con el área que pudiese contener en sus archivos los requerimientos del Recurrente.</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 xml:space="preserve">En ese tenor, </w:t>
      </w:r>
      <w:r w:rsidR="00C17EE7">
        <w:rPr>
          <w:rFonts w:ascii="Palatino Linotype" w:eastAsia="Calibri" w:hAnsi="Palatino Linotype" w:cs="Times New Roman"/>
          <w:sz w:val="24"/>
          <w:szCs w:val="24"/>
          <w:lang w:eastAsia="es-ES"/>
        </w:rPr>
        <w:t>la Ley Orgánica Municipal del Estado de México, en sus artículos 87 fracción III y 96 Bis, establece lo siguiente:</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b/>
          <w:bCs/>
          <w:i/>
          <w:sz w:val="24"/>
          <w:szCs w:val="24"/>
          <w:lang w:eastAsia="es-ES"/>
        </w:rPr>
        <w:t xml:space="preserve">Artículo 87.- </w:t>
      </w:r>
      <w:r w:rsidRPr="00C17EE7">
        <w:rPr>
          <w:rFonts w:ascii="Palatino Linotype" w:eastAsia="Calibri" w:hAnsi="Palatino Linotype" w:cs="Times New Roman"/>
          <w:i/>
          <w:sz w:val="24"/>
          <w:szCs w:val="24"/>
          <w:lang w:eastAsia="es-ES"/>
        </w:rPr>
        <w:t>Para el despacho, estudio y planeación de los diversos asuntos de la administración municipal, el ayuntamiento contará por lo menos con las siguientes Dependencias:</w:t>
      </w:r>
    </w:p>
    <w:p w:rsid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Pr>
          <w:rFonts w:ascii="Palatino Linotype" w:eastAsia="Calibri" w:hAnsi="Palatino Linotype" w:cs="Times New Roman"/>
          <w:b/>
          <w:bCs/>
          <w:i/>
          <w:sz w:val="24"/>
          <w:szCs w:val="24"/>
          <w:lang w:eastAsia="es-ES"/>
        </w:rPr>
        <w:t>(…</w:t>
      </w:r>
      <w:r>
        <w:rPr>
          <w:rFonts w:ascii="Palatino Linotype" w:eastAsia="Calibri" w:hAnsi="Palatino Linotype" w:cs="Times New Roman"/>
          <w:i/>
          <w:sz w:val="24"/>
          <w:szCs w:val="24"/>
          <w:lang w:eastAsia="es-ES"/>
        </w:rPr>
        <w:t>)</w:t>
      </w:r>
    </w:p>
    <w:p w:rsid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lastRenderedPageBreak/>
        <w:t>III. La Dirección de Obras Públicas o equivalente.</w:t>
      </w:r>
    </w:p>
    <w:p w:rsid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Pr>
          <w:rFonts w:ascii="Palatino Linotype" w:eastAsia="Calibri" w:hAnsi="Palatino Linotype" w:cs="Times New Roman"/>
          <w:i/>
          <w:sz w:val="24"/>
          <w:szCs w:val="24"/>
          <w:lang w:eastAsia="es-ES"/>
        </w:rPr>
        <w:t>(…)</w:t>
      </w:r>
    </w:p>
    <w:p w:rsid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b/>
          <w:bCs/>
          <w:i/>
          <w:sz w:val="24"/>
          <w:szCs w:val="24"/>
          <w:lang w:eastAsia="es-ES"/>
        </w:rPr>
        <w:t xml:space="preserve">Artículo 96. Bis.- </w:t>
      </w:r>
      <w:r w:rsidRPr="00C17EE7">
        <w:rPr>
          <w:rFonts w:ascii="Palatino Linotype" w:eastAsia="Calibri" w:hAnsi="Palatino Linotype" w:cs="Times New Roman"/>
          <w:i/>
          <w:sz w:val="24"/>
          <w:szCs w:val="24"/>
          <w:lang w:eastAsia="es-ES"/>
        </w:rPr>
        <w:t xml:space="preserve">El Director de Obras Públicas o el Titular de la Unidad Administrativa equivalente, tiene las siguientes atribuciones: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I. </w:t>
      </w:r>
      <w:r w:rsidRPr="00C17EE7">
        <w:rPr>
          <w:rFonts w:ascii="Palatino Linotype" w:eastAsia="Calibri" w:hAnsi="Palatino Linotype" w:cs="Times New Roman"/>
          <w:b/>
          <w:i/>
          <w:sz w:val="24"/>
          <w:szCs w:val="24"/>
          <w:u w:val="single"/>
          <w:lang w:eastAsia="es-ES"/>
        </w:rPr>
        <w:t>Realizar la programación y ejecución de las obras públicas y servicios relacionados, que por orden expresa del Ayuntamiento requieran prioridad</w:t>
      </w:r>
      <w:r w:rsidRPr="00C17EE7">
        <w:rPr>
          <w:rFonts w:ascii="Palatino Linotype" w:eastAsia="Calibri" w:hAnsi="Palatino Linotype" w:cs="Times New Roman"/>
          <w:i/>
          <w:sz w:val="24"/>
          <w:szCs w:val="24"/>
          <w:lang w:eastAsia="es-ES"/>
        </w:rPr>
        <w:t xml:space="preserve">;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II. Planear y coordinar los proyectos de obras públicas y servicios relacionados con las mismas que autorice el Ayuntamiento, una vez que se cumplan los requisitos de licitación y otros que determine la ley de la materia;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III. </w:t>
      </w:r>
      <w:r w:rsidRPr="00C17EE7">
        <w:rPr>
          <w:rFonts w:ascii="Palatino Linotype" w:eastAsia="Calibri" w:hAnsi="Palatino Linotype" w:cs="Times New Roman"/>
          <w:b/>
          <w:i/>
          <w:sz w:val="24"/>
          <w:szCs w:val="24"/>
          <w:u w:val="single"/>
          <w:lang w:eastAsia="es-ES"/>
        </w:rPr>
        <w:t>Proyectar las obras públicas y servicios relacionados, que realice el Municipio, incluyendo la conservación y mantenimiento de</w:t>
      </w:r>
      <w:r w:rsidRPr="00C17EE7">
        <w:rPr>
          <w:rFonts w:ascii="Palatino Linotype" w:eastAsia="Calibri" w:hAnsi="Palatino Linotype" w:cs="Times New Roman"/>
          <w:i/>
          <w:sz w:val="24"/>
          <w:szCs w:val="24"/>
          <w:lang w:eastAsia="es-ES"/>
        </w:rPr>
        <w:t xml:space="preserve"> edificios, monumentos, </w:t>
      </w:r>
      <w:r w:rsidRPr="00C17EE7">
        <w:rPr>
          <w:rFonts w:ascii="Palatino Linotype" w:eastAsia="Calibri" w:hAnsi="Palatino Linotype" w:cs="Times New Roman"/>
          <w:b/>
          <w:i/>
          <w:sz w:val="24"/>
          <w:szCs w:val="24"/>
          <w:u w:val="single"/>
          <w:lang w:eastAsia="es-ES"/>
        </w:rPr>
        <w:t>calles</w:t>
      </w:r>
      <w:r w:rsidRPr="00C17EE7">
        <w:rPr>
          <w:rFonts w:ascii="Palatino Linotype" w:eastAsia="Calibri" w:hAnsi="Palatino Linotype" w:cs="Times New Roman"/>
          <w:i/>
          <w:sz w:val="24"/>
          <w:szCs w:val="24"/>
          <w:lang w:eastAsia="es-ES"/>
        </w:rPr>
        <w:t xml:space="preserve">, parques y jardines;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IV. </w:t>
      </w:r>
      <w:r w:rsidRPr="00C17EE7">
        <w:rPr>
          <w:rFonts w:ascii="Palatino Linotype" w:eastAsia="Calibri" w:hAnsi="Palatino Linotype" w:cs="Times New Roman"/>
          <w:b/>
          <w:i/>
          <w:sz w:val="24"/>
          <w:szCs w:val="24"/>
          <w:u w:val="single"/>
          <w:lang w:eastAsia="es-ES"/>
        </w:rPr>
        <w:t>Construir y ejecutar todas aquellas obras públicas y servicios relacionados, que aumenten y mantengan la infraestructura municipal</w:t>
      </w:r>
      <w:r w:rsidRPr="00C17EE7">
        <w:rPr>
          <w:rFonts w:ascii="Palatino Linotype" w:eastAsia="Calibri" w:hAnsi="Palatino Linotype" w:cs="Times New Roman"/>
          <w:i/>
          <w:sz w:val="24"/>
          <w:szCs w:val="24"/>
          <w:lang w:eastAsia="es-ES"/>
        </w:rPr>
        <w:t xml:space="preserve"> y que estén consideradas en el programa respectivo;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V. Determinar y cuantificar los materiales y trabajos necesarios para programas de construcción y mantenimiento de obras públicas y servicios relacionados;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VI. Vigilar que se cumplan y lleven a cabo los programas de construcción y mantenimiento de obras públicas y servicios relacionados;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VII. Cuidar que las obras públicas y servicios relacionados cumplan con los requisitos de seguridad y observen las normas de construcción y términos establecidos;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VIII. Vigilar la construcción en las obras por contrato y por administración que hayan sido adjudicadas a los contratistas;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 </w:t>
      </w:r>
      <w:r w:rsidRPr="00450AC4">
        <w:rPr>
          <w:rFonts w:ascii="Palatino Linotype" w:eastAsia="Calibri" w:hAnsi="Palatino Linotype" w:cs="Times New Roman"/>
          <w:b/>
          <w:i/>
          <w:sz w:val="24"/>
          <w:szCs w:val="24"/>
          <w:u w:val="single"/>
          <w:lang w:eastAsia="es-ES"/>
        </w:rPr>
        <w:t>Verificar que las obras públicas y los servicios relacionados con la misma, hayan sido programadas, presupuestadas, ejecutadas, adquiridas y contratadas en estricto apego a las disposiciones legales aplicables</w:t>
      </w:r>
      <w:r w:rsidRPr="00C17EE7">
        <w:rPr>
          <w:rFonts w:ascii="Palatino Linotype" w:eastAsia="Calibri" w:hAnsi="Palatino Linotype" w:cs="Times New Roman"/>
          <w:i/>
          <w:sz w:val="24"/>
          <w:szCs w:val="24"/>
          <w:lang w:eastAsia="es-ES"/>
        </w:rPr>
        <w:t xml:space="preserve">;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lastRenderedPageBreak/>
        <w:t xml:space="preserve">XI. Integrar y verificar que se elaboren de manera correcta y completa las bitácoras y/o expedientes abiertos con motivo de la obra pública y servicios relacionados con la misma, conforme a lo establecido en las disposiciones legales aplicables; </w:t>
      </w:r>
    </w:p>
    <w:p w:rsid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XII. Promover la construcción de urbanización, infraestructura y equipamiento urbano;</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XIII. Formular y conducir la política municipal en materia de obras públicas e infraestructura para el desarrollo;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XIV. Cumplir y hacer cumplir la legislación y normatividad en materia de obra pública;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XV. Proyectar, formular y proponer al Presidente Municipal, el Programa General de Obras Públicas, para la construcción y mejoramiento de las mismas, de acuerdo a la normatividad</w:t>
      </w:r>
      <w:r>
        <w:rPr>
          <w:rFonts w:ascii="Palatino Linotype" w:eastAsia="Calibri" w:hAnsi="Palatino Linotype" w:cs="Times New Roman"/>
          <w:i/>
          <w:sz w:val="24"/>
          <w:szCs w:val="24"/>
          <w:lang w:eastAsia="es-ES"/>
        </w:rPr>
        <w:t xml:space="preserve"> </w:t>
      </w:r>
      <w:r w:rsidRPr="00C17EE7">
        <w:rPr>
          <w:rFonts w:ascii="Palatino Linotype" w:eastAsia="Calibri" w:hAnsi="Palatino Linotype" w:cs="Times New Roman"/>
          <w:i/>
          <w:sz w:val="24"/>
          <w:szCs w:val="24"/>
          <w:lang w:eastAsia="es-ES"/>
        </w:rPr>
        <w:t xml:space="preserve">aplicable y en congruencia con el Plan de Desarrollo Municipal y con la política, objetivos y prioridades del Municipio y vigilar su ejecución;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XVI. Dictar las normas generales y ejecutar las obras de reparación, adaptación y demolición de inmuebles propiedad del municipio que le sean asignadas;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XVIII. Vigilar que la ejecución de la obra pública adjudicada y los servicios relacionados con ésta, se sujeten a las condiciones contratadas;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XIX. Establecer los lineamientos para la realización de estudios y proyectos de construcción de obras públicas;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XX. Autorizar para su pago, previa validación del avance y calidad de las obras, los presupuestos y estimaciones que presenten los contratistas de obras públicas municipales;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XXI. Formular el inventario de la maquinaria y equipo de construcción a su cuidado o de su propiedad, manteniéndolo en óptimas condiciones de uso;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XXII. </w:t>
      </w:r>
      <w:r w:rsidRPr="00450AC4">
        <w:rPr>
          <w:rFonts w:ascii="Palatino Linotype" w:eastAsia="Calibri" w:hAnsi="Palatino Linotype" w:cs="Times New Roman"/>
          <w:b/>
          <w:i/>
          <w:sz w:val="24"/>
          <w:szCs w:val="24"/>
          <w:u w:val="single"/>
          <w:lang w:eastAsia="es-ES"/>
        </w:rPr>
        <w:t>Coordinar y supervisar que todo el proceso de las obras públicas que se realicen en el municipio se realice conforme a la legislación y normatividad en materia de obra pública</w:t>
      </w:r>
      <w:r w:rsidRPr="00C17EE7">
        <w:rPr>
          <w:rFonts w:ascii="Palatino Linotype" w:eastAsia="Calibri" w:hAnsi="Palatino Linotype" w:cs="Times New Roman"/>
          <w:i/>
          <w:sz w:val="24"/>
          <w:szCs w:val="24"/>
          <w:lang w:eastAsia="es-ES"/>
        </w:rPr>
        <w:t xml:space="preserve">;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XXIII. Controlar y vigilar el inventario de materiales para construcción;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 xml:space="preserve">XXIV. Integrar y autorizar con su firma, la documentación que en materia de obra pública, deba presentarse al Órgano Superior de Fiscalización del Estado de México;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lastRenderedPageBreak/>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rsidR="00C17EE7" w:rsidRPr="00C17EE7" w:rsidRDefault="00C17EE7" w:rsidP="00C17EE7">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XXVI. Las demás que les señalen las disposiciones aplicables.</w:t>
      </w:r>
    </w:p>
    <w:p w:rsidR="008E21A7" w:rsidRDefault="008E21A7" w:rsidP="008E21A7">
      <w:pPr>
        <w:spacing w:after="0" w:line="360" w:lineRule="auto"/>
        <w:jc w:val="both"/>
        <w:rPr>
          <w:rFonts w:ascii="Palatino Linotype" w:eastAsia="Calibri" w:hAnsi="Palatino Linotype" w:cs="Times New Roman"/>
          <w:sz w:val="24"/>
          <w:szCs w:val="24"/>
          <w:lang w:eastAsia="es-ES"/>
        </w:rPr>
      </w:pPr>
    </w:p>
    <w:p w:rsidR="00450AC4" w:rsidRDefault="00450AC4" w:rsidP="009A670F">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esa tesitura, el Bando </w:t>
      </w:r>
      <w:r w:rsidR="00C01348">
        <w:rPr>
          <w:rFonts w:ascii="Palatino Linotype" w:eastAsia="Calibri" w:hAnsi="Palatino Linotype" w:cs="Times New Roman"/>
          <w:sz w:val="24"/>
          <w:szCs w:val="24"/>
          <w:lang w:eastAsia="es-ES"/>
        </w:rPr>
        <w:t xml:space="preserve">Municipal 2020 de </w:t>
      </w:r>
      <w:proofErr w:type="spellStart"/>
      <w:r w:rsidR="00C01348">
        <w:rPr>
          <w:rFonts w:ascii="Palatino Linotype" w:eastAsia="Calibri" w:hAnsi="Palatino Linotype" w:cs="Times New Roman"/>
          <w:sz w:val="24"/>
          <w:szCs w:val="24"/>
          <w:lang w:eastAsia="es-ES"/>
        </w:rPr>
        <w:t>Calimaya</w:t>
      </w:r>
      <w:proofErr w:type="spellEnd"/>
      <w:r w:rsidR="009A670F">
        <w:rPr>
          <w:rFonts w:ascii="Palatino Linotype" w:eastAsia="Calibri" w:hAnsi="Palatino Linotype" w:cs="Times New Roman"/>
          <w:sz w:val="24"/>
          <w:szCs w:val="24"/>
          <w:lang w:eastAsia="es-ES"/>
        </w:rPr>
        <w:t>, en su artículo 102, estipula lo siguiente:</w:t>
      </w:r>
    </w:p>
    <w:p w:rsidR="009A670F" w:rsidRDefault="009A670F" w:rsidP="009A670F">
      <w:pPr>
        <w:spacing w:after="0" w:line="360" w:lineRule="auto"/>
        <w:jc w:val="both"/>
        <w:rPr>
          <w:rFonts w:ascii="Palatino Linotype" w:eastAsia="Calibri" w:hAnsi="Palatino Linotype" w:cs="Times New Roman"/>
          <w:sz w:val="24"/>
          <w:szCs w:val="24"/>
          <w:lang w:eastAsia="es-ES"/>
        </w:rPr>
      </w:pP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b/>
          <w:i/>
          <w:sz w:val="24"/>
          <w:szCs w:val="24"/>
          <w:lang w:eastAsia="es-ES"/>
        </w:rPr>
        <w:t>Artículo 102.-</w:t>
      </w:r>
      <w:r w:rsidRPr="009A670F">
        <w:rPr>
          <w:rFonts w:ascii="Palatino Linotype" w:eastAsia="Calibri" w:hAnsi="Palatino Linotype" w:cs="Times New Roman"/>
          <w:i/>
          <w:sz w:val="24"/>
          <w:szCs w:val="24"/>
          <w:lang w:eastAsia="es-ES"/>
        </w:rPr>
        <w:t xml:space="preserve"> La Dirección de Obras Públicas es la encargada de planear, programar, mantener y ejecutar la obra pública de infraestructura, equipamiento urbano y rural que satisfagan los requerimientos de la sociedad, con recursos propios así como, las participaciones de programas estatales y federales, incluyendo la participación ciudadana, acciones que conlleven a un desarrollo integral de municipio para mejorar la calidad de vida de la ciudadanía; con un aprovechamiento óptimo en el manejo de los recurso asignados, cumpliendo con los principios de eficiencia, eficacia y transparencia dentro del marco legal existente.</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Son atribuciones de la Dirección de Obras Públicas las establecidas en la Ley Orgánica Municipal del Estado de México en su artículo 96 Bis.</w:t>
      </w:r>
    </w:p>
    <w:p w:rsidR="009A670F" w:rsidRDefault="009A670F" w:rsidP="009A670F">
      <w:pPr>
        <w:spacing w:after="0" w:line="360" w:lineRule="auto"/>
        <w:jc w:val="both"/>
        <w:rPr>
          <w:rFonts w:ascii="Palatino Linotype" w:eastAsia="Calibri" w:hAnsi="Palatino Linotype" w:cs="Times New Roman"/>
          <w:sz w:val="24"/>
          <w:szCs w:val="24"/>
          <w:lang w:eastAsia="es-ES"/>
        </w:rPr>
      </w:pPr>
    </w:p>
    <w:p w:rsidR="009A670F" w:rsidRDefault="009A670F" w:rsidP="009A670F">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Por último, el Reglamento Interno Administración 2019-2021 de la Dirección de Obras Públicas del Sujeto Obligado establece lo siguiente en su artículo 7:</w:t>
      </w:r>
    </w:p>
    <w:p w:rsidR="009A670F" w:rsidRDefault="009A670F" w:rsidP="009A670F">
      <w:pPr>
        <w:spacing w:after="0" w:line="360" w:lineRule="auto"/>
        <w:jc w:val="both"/>
        <w:rPr>
          <w:rFonts w:ascii="Palatino Linotype" w:eastAsia="Calibri" w:hAnsi="Palatino Linotype" w:cs="Times New Roman"/>
          <w:sz w:val="24"/>
          <w:szCs w:val="24"/>
          <w:lang w:eastAsia="es-ES"/>
        </w:rPr>
      </w:pP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b/>
          <w:i/>
          <w:sz w:val="24"/>
          <w:szCs w:val="24"/>
          <w:lang w:eastAsia="es-ES"/>
        </w:rPr>
        <w:t>Artículo 7-</w:t>
      </w:r>
      <w:r w:rsidRPr="009A670F">
        <w:rPr>
          <w:rFonts w:ascii="Palatino Linotype" w:eastAsia="Calibri" w:hAnsi="Palatino Linotype" w:cs="Times New Roman"/>
          <w:i/>
          <w:sz w:val="24"/>
          <w:szCs w:val="24"/>
          <w:lang w:eastAsia="es-ES"/>
        </w:rPr>
        <w:t xml:space="preserve"> Corresponde a la Dirección de Obras Públicas, el despacho de los asuntos siguientes:</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I. Realizar la programación y ejecución de la obra pública y servicios relacionados con la misma, que por orden expresa del Ayuntamiento requieran prioridad.</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II. Ejecutar los planes y programas de obra pública del Municipio y realizar las obras que el Ayuntamiento determine de otras Dependencias en el ámbito de su competencia.</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lastRenderedPageBreak/>
        <w:t>III. Hacer propuestas y emitir opiniones respecto al Programa Anual de Obra del Ayuntamiento y los Programas de Obra Pública.</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IV. Determinar y cuantificar los materiales y trabajos necesarios para programas de construcción y mantenimiento de obras públicas y servicios relacionados con la misma</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 xml:space="preserve">V. </w:t>
      </w:r>
      <w:r w:rsidRPr="009A670F">
        <w:rPr>
          <w:rFonts w:ascii="Palatino Linotype" w:eastAsia="Calibri" w:hAnsi="Palatino Linotype" w:cs="Times New Roman"/>
          <w:b/>
          <w:i/>
          <w:sz w:val="24"/>
          <w:szCs w:val="24"/>
          <w:u w:val="single"/>
          <w:lang w:eastAsia="es-ES"/>
        </w:rPr>
        <w:t>Planear y ejecutar la obra pública que realice el Ayuntamiento</w:t>
      </w:r>
      <w:r w:rsidRPr="009A670F">
        <w:rPr>
          <w:rFonts w:ascii="Palatino Linotype" w:eastAsia="Calibri" w:hAnsi="Palatino Linotype" w:cs="Times New Roman"/>
          <w:i/>
          <w:sz w:val="24"/>
          <w:szCs w:val="24"/>
          <w:lang w:eastAsia="es-ES"/>
        </w:rPr>
        <w:t>.</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 xml:space="preserve">VI. </w:t>
      </w:r>
      <w:r w:rsidRPr="009A670F">
        <w:rPr>
          <w:rFonts w:ascii="Palatino Linotype" w:eastAsia="Calibri" w:hAnsi="Palatino Linotype" w:cs="Times New Roman"/>
          <w:b/>
          <w:i/>
          <w:sz w:val="24"/>
          <w:szCs w:val="24"/>
          <w:u w:val="single"/>
          <w:lang w:eastAsia="es-ES"/>
        </w:rPr>
        <w:t>Verificar que la obra pública y servicios relacionados con la misma, hayan sido programadas, presupuestadas, ejecutadas, adquiridas y contratadas en estricto apego a las disposiciones legales aplicables</w:t>
      </w:r>
      <w:r w:rsidRPr="009A670F">
        <w:rPr>
          <w:rFonts w:ascii="Palatino Linotype" w:eastAsia="Calibri" w:hAnsi="Palatino Linotype" w:cs="Times New Roman"/>
          <w:i/>
          <w:sz w:val="24"/>
          <w:szCs w:val="24"/>
          <w:lang w:eastAsia="es-ES"/>
        </w:rPr>
        <w:t>.</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VII. Asesorar y en su caso trabajar en forma coordinada con las Dependencias, Entidades y otras instancias del Ayuntamiento que realicen Obra Pública.</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VIII. Coordinarse con las autoridades competentes Federales, Estatales u otros Municipios, en caso de que se realice Obra Pública en el Municipio con la participación de dichas instancias del Gobierno.</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IX. Realizar los trámites correspondientes para contratar la Obra Pública Municipal, de acuerdo con los requisitos que para efectos de dichos actos señale la Normatividad respectiva, vigilando su correcta ejecución.</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X. Ejecutar Obra por Administración Directa cuando se cuente con los recursos económicos, recursos humanos y recursos materiales, equipo y maquinaria para su correcta ejecución.</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XI. Coordinar y supervisar a los contratistas que realicen obra pública en el Municipio.</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XII. Integrar y verificar que se elaboren de manera correcta y completa las bitácoras y/o expedientes abiertos con motivo de la obra pública y servicios relacionados con la misma, conforme a lo establecido en las disposiciones legales aplicables.</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XIII. Dictaminar para su aprobación, sobre la recepción de la obra pública que entregan los contratistas.</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XIV. Establecer y presidir las comisiones internas que sean necesarias para el buen funcionamiento de la Dirección, así como designar a los integrantes de las mismas.</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XV. Formular el inventario de la maquinaria y equipo de construcción a su cuidado o de su propiedad, manteniéndolo en óptimas condiciones de uso.</w:t>
      </w:r>
    </w:p>
    <w:p w:rsidR="009A670F" w:rsidRPr="009A670F" w:rsidRDefault="009A670F" w:rsidP="009A670F">
      <w:pPr>
        <w:spacing w:after="0" w:line="240" w:lineRule="auto"/>
        <w:ind w:left="567" w:right="567"/>
        <w:jc w:val="both"/>
        <w:rPr>
          <w:rFonts w:ascii="Palatino Linotype" w:eastAsia="Calibri" w:hAnsi="Palatino Linotype" w:cs="Times New Roman"/>
          <w:i/>
          <w:sz w:val="24"/>
          <w:szCs w:val="24"/>
          <w:lang w:eastAsia="es-ES"/>
        </w:rPr>
      </w:pPr>
      <w:r w:rsidRPr="009A670F">
        <w:rPr>
          <w:rFonts w:ascii="Palatino Linotype" w:eastAsia="Calibri" w:hAnsi="Palatino Linotype" w:cs="Times New Roman"/>
          <w:i/>
          <w:sz w:val="24"/>
          <w:szCs w:val="24"/>
          <w:lang w:eastAsia="es-ES"/>
        </w:rPr>
        <w:t>XVI. Integrar en la Dirección la Declaratoria de Alerta de Violencia de Género Contra las Mujeres, así como las medidas de seguridad, prevención y justicia de acuerdo a la normatividad vigente.</w:t>
      </w:r>
    </w:p>
    <w:p w:rsidR="009A670F" w:rsidRDefault="009A670F" w:rsidP="009777C4">
      <w:pPr>
        <w:spacing w:after="0" w:line="240" w:lineRule="auto"/>
        <w:ind w:left="567" w:right="567"/>
        <w:jc w:val="both"/>
        <w:rPr>
          <w:rFonts w:ascii="Palatino Linotype" w:eastAsia="Calibri" w:hAnsi="Palatino Linotype" w:cs="Times New Roman"/>
          <w:sz w:val="24"/>
          <w:szCs w:val="24"/>
          <w:lang w:eastAsia="es-ES"/>
        </w:rPr>
      </w:pPr>
      <w:r w:rsidRPr="009A670F">
        <w:rPr>
          <w:rFonts w:ascii="Palatino Linotype" w:eastAsia="Calibri" w:hAnsi="Palatino Linotype" w:cs="Times New Roman"/>
          <w:i/>
          <w:sz w:val="24"/>
          <w:szCs w:val="24"/>
          <w:lang w:eastAsia="es-ES"/>
        </w:rPr>
        <w:t>XVII. Los demás que le señalen las dispo</w:t>
      </w:r>
      <w:r w:rsidR="009777C4">
        <w:rPr>
          <w:rFonts w:ascii="Palatino Linotype" w:eastAsia="Calibri" w:hAnsi="Palatino Linotype" w:cs="Times New Roman"/>
          <w:i/>
          <w:sz w:val="24"/>
          <w:szCs w:val="24"/>
          <w:lang w:eastAsia="es-ES"/>
        </w:rPr>
        <w:t xml:space="preserve">siciones jurídicas aplicables. </w:t>
      </w:r>
    </w:p>
    <w:p w:rsidR="009A670F" w:rsidRDefault="009A670F" w:rsidP="009A670F">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 xml:space="preserve">De tal forma que, de manera enunciativa </w:t>
      </w:r>
      <w:proofErr w:type="gramStart"/>
      <w:r w:rsidRPr="008E21A7">
        <w:rPr>
          <w:rFonts w:ascii="Palatino Linotype" w:eastAsia="Calibri" w:hAnsi="Palatino Linotype" w:cs="Times New Roman"/>
          <w:sz w:val="24"/>
          <w:szCs w:val="24"/>
          <w:lang w:eastAsia="es-ES"/>
        </w:rPr>
        <w:t>mas</w:t>
      </w:r>
      <w:proofErr w:type="gramEnd"/>
      <w:r w:rsidRPr="008E21A7">
        <w:rPr>
          <w:rFonts w:ascii="Palatino Linotype" w:eastAsia="Calibri" w:hAnsi="Palatino Linotype" w:cs="Times New Roman"/>
          <w:sz w:val="24"/>
          <w:szCs w:val="24"/>
          <w:lang w:eastAsia="es-ES"/>
        </w:rPr>
        <w:t xml:space="preserve"> no limitativa, existen </w:t>
      </w:r>
      <w:r w:rsidR="009777C4">
        <w:rPr>
          <w:rFonts w:ascii="Palatino Linotype" w:eastAsia="Calibri" w:hAnsi="Palatino Linotype" w:cs="Times New Roman"/>
          <w:sz w:val="24"/>
          <w:szCs w:val="24"/>
          <w:lang w:eastAsia="es-ES"/>
        </w:rPr>
        <w:t>un área</w:t>
      </w:r>
      <w:r w:rsidRPr="008E21A7">
        <w:rPr>
          <w:rFonts w:ascii="Palatino Linotype" w:eastAsia="Calibri" w:hAnsi="Palatino Linotype" w:cs="Times New Roman"/>
          <w:sz w:val="24"/>
          <w:szCs w:val="24"/>
          <w:lang w:eastAsia="es-ES"/>
        </w:rPr>
        <w:t xml:space="preserve"> que pueden contar con información relativa a la realización de obras dentro del municipio, </w:t>
      </w:r>
      <w:r w:rsidR="009777C4">
        <w:rPr>
          <w:rFonts w:ascii="Palatino Linotype" w:eastAsia="Calibri" w:hAnsi="Palatino Linotype" w:cs="Times New Roman"/>
          <w:sz w:val="24"/>
          <w:szCs w:val="24"/>
          <w:lang w:eastAsia="es-ES"/>
        </w:rPr>
        <w:t>como lo es la Dirección de Obras Públicas.</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 xml:space="preserve">Asimismo, no debe pasar desapercibido que los procedimientos de licitación y sus contratos correspondientes </w:t>
      </w:r>
      <w:r w:rsidR="009777C4">
        <w:rPr>
          <w:rFonts w:ascii="Palatino Linotype" w:eastAsia="Calibri" w:hAnsi="Palatino Linotype" w:cs="Times New Roman"/>
          <w:sz w:val="24"/>
          <w:szCs w:val="24"/>
          <w:lang w:eastAsia="es-ES"/>
        </w:rPr>
        <w:t xml:space="preserve">a proyectos y obras, </w:t>
      </w:r>
      <w:r w:rsidRPr="008E21A7">
        <w:rPr>
          <w:rFonts w:ascii="Palatino Linotype" w:eastAsia="Calibri" w:hAnsi="Palatino Linotype" w:cs="Times New Roman"/>
          <w:sz w:val="24"/>
          <w:szCs w:val="24"/>
          <w:lang w:eastAsia="es-ES"/>
        </w:rPr>
        <w:t>forman parte de las obligaciones de transparencia comunes a todos los sujetos obligados, como se estipula en el artículo 92 fracción XXIX de la Ley de Transparencia y Acceso a la Información Pública del Estado de México y Municipios, que a la letra dispone lo siguiente:</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Artículo 92. </w:t>
      </w:r>
      <w:r w:rsidRPr="008E21A7">
        <w:rPr>
          <w:rFonts w:ascii="Palatino Linotype" w:eastAsia="Calibri" w:hAnsi="Palatino Linotype" w:cs="Times New Roman"/>
          <w:i/>
          <w:sz w:val="24"/>
          <w:szCs w:val="24"/>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E21A7" w:rsidRP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i/>
          <w:sz w:val="24"/>
          <w:szCs w:val="24"/>
          <w:lang w:eastAsia="es-ES"/>
        </w:rPr>
        <w:t>(…)</w:t>
      </w:r>
    </w:p>
    <w:p w:rsidR="008E21A7" w:rsidRP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XXIX. </w:t>
      </w:r>
      <w:r w:rsidRPr="008E21A7">
        <w:rPr>
          <w:rFonts w:ascii="Palatino Linotype" w:eastAsia="Calibri" w:hAnsi="Palatino Linotype" w:cs="Times New Roman"/>
          <w:i/>
          <w:sz w:val="24"/>
          <w:szCs w:val="24"/>
          <w:lang w:eastAsia="es-E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8E21A7" w:rsidRP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p>
    <w:p w:rsidR="008E21A7" w:rsidRPr="008E21A7" w:rsidRDefault="008E21A7" w:rsidP="008E21A7">
      <w:pPr>
        <w:spacing w:after="0" w:line="240" w:lineRule="auto"/>
        <w:ind w:left="851"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a) </w:t>
      </w:r>
      <w:r w:rsidRPr="008E21A7">
        <w:rPr>
          <w:rFonts w:ascii="Palatino Linotype" w:eastAsia="Calibri" w:hAnsi="Palatino Linotype" w:cs="Times New Roman"/>
          <w:i/>
          <w:sz w:val="24"/>
          <w:szCs w:val="24"/>
          <w:lang w:eastAsia="es-ES"/>
        </w:rPr>
        <w:t xml:space="preserve">De licitaciones públicas o procedimientos de invitación restringida: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 </w:t>
      </w:r>
      <w:r w:rsidRPr="008E21A7">
        <w:rPr>
          <w:rFonts w:ascii="Palatino Linotype" w:eastAsia="Calibri" w:hAnsi="Palatino Linotype" w:cs="Times New Roman"/>
          <w:i/>
          <w:sz w:val="24"/>
          <w:szCs w:val="24"/>
          <w:lang w:eastAsia="es-ES"/>
        </w:rPr>
        <w:t xml:space="preserve">La convocatoria o invitación emitida, así como los fundamentos legales aplicados para llevarla a cabo;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2) </w:t>
      </w:r>
      <w:r w:rsidRPr="008E21A7">
        <w:rPr>
          <w:rFonts w:ascii="Palatino Linotype" w:eastAsia="Calibri" w:hAnsi="Palatino Linotype" w:cs="Times New Roman"/>
          <w:i/>
          <w:sz w:val="24"/>
          <w:szCs w:val="24"/>
          <w:lang w:eastAsia="es-ES"/>
        </w:rPr>
        <w:t xml:space="preserve">Los nombres de los participantes o invitados;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3) </w:t>
      </w:r>
      <w:r w:rsidRPr="008E21A7">
        <w:rPr>
          <w:rFonts w:ascii="Palatino Linotype" w:eastAsia="Calibri" w:hAnsi="Palatino Linotype" w:cs="Times New Roman"/>
          <w:i/>
          <w:sz w:val="24"/>
          <w:szCs w:val="24"/>
          <w:lang w:eastAsia="es-ES"/>
        </w:rPr>
        <w:t xml:space="preserve">El nombre del ganador y las razones que lo justifican;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4) </w:t>
      </w:r>
      <w:r w:rsidRPr="008E21A7">
        <w:rPr>
          <w:rFonts w:ascii="Palatino Linotype" w:eastAsia="Calibri" w:hAnsi="Palatino Linotype" w:cs="Times New Roman"/>
          <w:i/>
          <w:sz w:val="24"/>
          <w:szCs w:val="24"/>
          <w:lang w:eastAsia="es-ES"/>
        </w:rPr>
        <w:t xml:space="preserve">El área solicitante y la responsable de su ejecución;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5) </w:t>
      </w:r>
      <w:r w:rsidRPr="008E21A7">
        <w:rPr>
          <w:rFonts w:ascii="Palatino Linotype" w:eastAsia="Calibri" w:hAnsi="Palatino Linotype" w:cs="Times New Roman"/>
          <w:i/>
          <w:sz w:val="24"/>
          <w:szCs w:val="24"/>
          <w:lang w:eastAsia="es-ES"/>
        </w:rPr>
        <w:t xml:space="preserve">Las convocatorias e invitaciones emitidas;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6) </w:t>
      </w:r>
      <w:r w:rsidRPr="008E21A7">
        <w:rPr>
          <w:rFonts w:ascii="Palatino Linotype" w:eastAsia="Calibri" w:hAnsi="Palatino Linotype" w:cs="Times New Roman"/>
          <w:i/>
          <w:sz w:val="24"/>
          <w:szCs w:val="24"/>
          <w:lang w:eastAsia="es-ES"/>
        </w:rPr>
        <w:t xml:space="preserve">Los dictámenes y fallo de adjudicación;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lastRenderedPageBreak/>
        <w:t xml:space="preserve">7) </w:t>
      </w:r>
      <w:r w:rsidRPr="008E21A7">
        <w:rPr>
          <w:rFonts w:ascii="Palatino Linotype" w:eastAsia="Calibri" w:hAnsi="Palatino Linotype" w:cs="Times New Roman"/>
          <w:i/>
          <w:sz w:val="24"/>
          <w:szCs w:val="24"/>
          <w:lang w:eastAsia="es-ES"/>
        </w:rPr>
        <w:t xml:space="preserve">El contrato y, en su caso, sus anexos;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8) </w:t>
      </w:r>
      <w:r w:rsidRPr="009777C4">
        <w:rPr>
          <w:rFonts w:ascii="Palatino Linotype" w:eastAsia="Calibri" w:hAnsi="Palatino Linotype" w:cs="Times New Roman"/>
          <w:b/>
          <w:i/>
          <w:sz w:val="24"/>
          <w:szCs w:val="24"/>
          <w:u w:val="single"/>
          <w:lang w:eastAsia="es-ES"/>
        </w:rPr>
        <w:t>Los mecanismos de vigilancia y supervisión, incluyendo en su caso, los estudios de impacto urbano y ambiental</w:t>
      </w:r>
      <w:r w:rsidRPr="008E21A7">
        <w:rPr>
          <w:rFonts w:ascii="Palatino Linotype" w:eastAsia="Calibri" w:hAnsi="Palatino Linotype" w:cs="Times New Roman"/>
          <w:i/>
          <w:sz w:val="24"/>
          <w:szCs w:val="24"/>
          <w:lang w:eastAsia="es-ES"/>
        </w:rPr>
        <w:t xml:space="preserve">, según corresponda;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9) </w:t>
      </w:r>
      <w:r w:rsidRPr="008E21A7">
        <w:rPr>
          <w:rFonts w:ascii="Palatino Linotype" w:eastAsia="Calibri" w:hAnsi="Palatino Linotype" w:cs="Times New Roman"/>
          <w:i/>
          <w:sz w:val="24"/>
          <w:szCs w:val="24"/>
          <w:lang w:eastAsia="es-ES"/>
        </w:rPr>
        <w:t xml:space="preserve">La partida presupuestal, de conformidad con el clasificador por objeto del gasto, en el caso de ser aplicable;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10) </w:t>
      </w:r>
      <w:r w:rsidRPr="008E21A7">
        <w:rPr>
          <w:rFonts w:ascii="Palatino Linotype" w:eastAsia="Calibri" w:hAnsi="Palatino Linotype" w:cs="Times New Roman"/>
          <w:i/>
          <w:sz w:val="24"/>
          <w:szCs w:val="24"/>
          <w:lang w:eastAsia="es-ES"/>
        </w:rPr>
        <w:t xml:space="preserve">Origen de los recursos especificando si son federales, estatales o municipales, así como el tipo de fondo de participación o aportación respectiva;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11) </w:t>
      </w:r>
      <w:r w:rsidRPr="008E21A7">
        <w:rPr>
          <w:rFonts w:ascii="Palatino Linotype" w:eastAsia="Calibri" w:hAnsi="Palatino Linotype" w:cs="Times New Roman"/>
          <w:i/>
          <w:sz w:val="24"/>
          <w:szCs w:val="24"/>
          <w:lang w:eastAsia="es-ES"/>
        </w:rPr>
        <w:t xml:space="preserve">Los convenios modificatorios que, en su caso, sean firmados, precisando el objeto y la fecha de celebración;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12) </w:t>
      </w:r>
      <w:r w:rsidRPr="009777C4">
        <w:rPr>
          <w:rFonts w:ascii="Palatino Linotype" w:eastAsia="Calibri" w:hAnsi="Palatino Linotype" w:cs="Times New Roman"/>
          <w:b/>
          <w:i/>
          <w:sz w:val="24"/>
          <w:szCs w:val="24"/>
          <w:u w:val="single"/>
          <w:lang w:eastAsia="es-ES"/>
        </w:rPr>
        <w:t>Los informes de avance físico y financiero sobre las obras</w:t>
      </w:r>
      <w:r w:rsidRPr="008E21A7">
        <w:rPr>
          <w:rFonts w:ascii="Palatino Linotype" w:eastAsia="Calibri" w:hAnsi="Palatino Linotype" w:cs="Times New Roman"/>
          <w:i/>
          <w:sz w:val="24"/>
          <w:szCs w:val="24"/>
          <w:lang w:eastAsia="es-ES"/>
        </w:rPr>
        <w:t xml:space="preserve"> o servicios contratados;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13) </w:t>
      </w:r>
      <w:r w:rsidRPr="008E21A7">
        <w:rPr>
          <w:rFonts w:ascii="Palatino Linotype" w:eastAsia="Calibri" w:hAnsi="Palatino Linotype" w:cs="Times New Roman"/>
          <w:i/>
          <w:sz w:val="24"/>
          <w:szCs w:val="24"/>
          <w:lang w:eastAsia="es-ES"/>
        </w:rPr>
        <w:t xml:space="preserve">El convenio de terminación; y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14) </w:t>
      </w:r>
      <w:r w:rsidRPr="008E21A7">
        <w:rPr>
          <w:rFonts w:ascii="Palatino Linotype" w:eastAsia="Calibri" w:hAnsi="Palatino Linotype" w:cs="Times New Roman"/>
          <w:i/>
          <w:sz w:val="24"/>
          <w:szCs w:val="24"/>
          <w:lang w:eastAsia="es-ES"/>
        </w:rPr>
        <w:t xml:space="preserve">El finiquito. </w:t>
      </w:r>
    </w:p>
    <w:p w:rsidR="008E21A7" w:rsidRP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p>
    <w:p w:rsidR="008E21A7" w:rsidRPr="008E21A7" w:rsidRDefault="008E21A7" w:rsidP="008E21A7">
      <w:pPr>
        <w:spacing w:after="0" w:line="240" w:lineRule="auto"/>
        <w:ind w:left="851"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b) </w:t>
      </w:r>
      <w:r w:rsidRPr="008E21A7">
        <w:rPr>
          <w:rFonts w:ascii="Palatino Linotype" w:eastAsia="Calibri" w:hAnsi="Palatino Linotype" w:cs="Times New Roman"/>
          <w:i/>
          <w:sz w:val="24"/>
          <w:szCs w:val="24"/>
          <w:lang w:eastAsia="es-ES"/>
        </w:rPr>
        <w:t xml:space="preserve">De las adjudicaciones directas: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 </w:t>
      </w:r>
      <w:r w:rsidRPr="008E21A7">
        <w:rPr>
          <w:rFonts w:ascii="Palatino Linotype" w:eastAsia="Calibri" w:hAnsi="Palatino Linotype" w:cs="Times New Roman"/>
          <w:i/>
          <w:sz w:val="24"/>
          <w:szCs w:val="24"/>
          <w:lang w:eastAsia="es-ES"/>
        </w:rPr>
        <w:t xml:space="preserve">La propuesta enviada por el participante;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2) </w:t>
      </w:r>
      <w:r w:rsidRPr="008E21A7">
        <w:rPr>
          <w:rFonts w:ascii="Palatino Linotype" w:eastAsia="Calibri" w:hAnsi="Palatino Linotype" w:cs="Times New Roman"/>
          <w:i/>
          <w:sz w:val="24"/>
          <w:szCs w:val="24"/>
          <w:lang w:eastAsia="es-ES"/>
        </w:rPr>
        <w:t xml:space="preserve">Los motivos y fundamentos legales aplicados para llevarla a cabo;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3) </w:t>
      </w:r>
      <w:r w:rsidRPr="008E21A7">
        <w:rPr>
          <w:rFonts w:ascii="Palatino Linotype" w:eastAsia="Calibri" w:hAnsi="Palatino Linotype" w:cs="Times New Roman"/>
          <w:i/>
          <w:sz w:val="24"/>
          <w:szCs w:val="24"/>
          <w:lang w:eastAsia="es-ES"/>
        </w:rPr>
        <w:t xml:space="preserve">La autorización del ejercicio de la opción;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4) </w:t>
      </w:r>
      <w:r w:rsidRPr="008E21A7">
        <w:rPr>
          <w:rFonts w:ascii="Palatino Linotype" w:eastAsia="Calibri" w:hAnsi="Palatino Linotype" w:cs="Times New Roman"/>
          <w:i/>
          <w:sz w:val="24"/>
          <w:szCs w:val="24"/>
          <w:lang w:eastAsia="es-ES"/>
        </w:rPr>
        <w:t xml:space="preserve">En su caso, las cotizaciones consideradas, especificando los nombres de los proveedores y sus montos;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5) </w:t>
      </w:r>
      <w:r w:rsidRPr="008E21A7">
        <w:rPr>
          <w:rFonts w:ascii="Palatino Linotype" w:eastAsia="Calibri" w:hAnsi="Palatino Linotype" w:cs="Times New Roman"/>
          <w:i/>
          <w:sz w:val="24"/>
          <w:szCs w:val="24"/>
          <w:lang w:eastAsia="es-ES"/>
        </w:rPr>
        <w:t xml:space="preserve">El nombre de la persona física o jurídica colectiva adjudicada;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6) </w:t>
      </w:r>
      <w:r w:rsidRPr="008E21A7">
        <w:rPr>
          <w:rFonts w:ascii="Palatino Linotype" w:eastAsia="Calibri" w:hAnsi="Palatino Linotype" w:cs="Times New Roman"/>
          <w:i/>
          <w:sz w:val="24"/>
          <w:szCs w:val="24"/>
          <w:lang w:eastAsia="es-ES"/>
        </w:rPr>
        <w:t xml:space="preserve">La unidad administrativa solicitante y la responsable de su ejecución;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7) </w:t>
      </w:r>
      <w:r w:rsidRPr="008E21A7">
        <w:rPr>
          <w:rFonts w:ascii="Palatino Linotype" w:eastAsia="Calibri" w:hAnsi="Palatino Linotype" w:cs="Times New Roman"/>
          <w:i/>
          <w:sz w:val="24"/>
          <w:szCs w:val="24"/>
          <w:lang w:eastAsia="es-ES"/>
        </w:rPr>
        <w:t xml:space="preserve">El número, fecha, el monto del contrato y el plazo de entrega o de ejecución de los servicios u obra;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8) </w:t>
      </w:r>
      <w:r w:rsidRPr="009777C4">
        <w:rPr>
          <w:rFonts w:ascii="Palatino Linotype" w:eastAsia="Calibri" w:hAnsi="Palatino Linotype" w:cs="Times New Roman"/>
          <w:b/>
          <w:i/>
          <w:sz w:val="24"/>
          <w:szCs w:val="24"/>
          <w:u w:val="single"/>
          <w:lang w:eastAsia="es-ES"/>
        </w:rPr>
        <w:t>Los mecanismos de vigilancia y supervisión, incluyendo, en su caso, los estudios de impacto urbano y ambiental</w:t>
      </w:r>
      <w:r w:rsidRPr="008E21A7">
        <w:rPr>
          <w:rFonts w:ascii="Palatino Linotype" w:eastAsia="Calibri" w:hAnsi="Palatino Linotype" w:cs="Times New Roman"/>
          <w:i/>
          <w:sz w:val="24"/>
          <w:szCs w:val="24"/>
          <w:lang w:eastAsia="es-ES"/>
        </w:rPr>
        <w:t xml:space="preserve">, según corresponda;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9) </w:t>
      </w:r>
      <w:r w:rsidRPr="009777C4">
        <w:rPr>
          <w:rFonts w:ascii="Palatino Linotype" w:eastAsia="Calibri" w:hAnsi="Palatino Linotype" w:cs="Times New Roman"/>
          <w:b/>
          <w:i/>
          <w:sz w:val="24"/>
          <w:szCs w:val="24"/>
          <w:u w:val="single"/>
          <w:lang w:eastAsia="es-ES"/>
        </w:rPr>
        <w:t>Los informes de avance sobre las obras</w:t>
      </w:r>
      <w:r w:rsidRPr="008E21A7">
        <w:rPr>
          <w:rFonts w:ascii="Palatino Linotype" w:eastAsia="Calibri" w:hAnsi="Palatino Linotype" w:cs="Times New Roman"/>
          <w:i/>
          <w:sz w:val="24"/>
          <w:szCs w:val="24"/>
          <w:lang w:eastAsia="es-ES"/>
        </w:rPr>
        <w:t xml:space="preserve"> o servicios contratados;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10) </w:t>
      </w:r>
      <w:r w:rsidRPr="008E21A7">
        <w:rPr>
          <w:rFonts w:ascii="Palatino Linotype" w:eastAsia="Calibri" w:hAnsi="Palatino Linotype" w:cs="Times New Roman"/>
          <w:i/>
          <w:sz w:val="24"/>
          <w:szCs w:val="24"/>
          <w:lang w:eastAsia="es-ES"/>
        </w:rPr>
        <w:t xml:space="preserve">El convenio de terminación; y </w:t>
      </w:r>
    </w:p>
    <w:p w:rsidR="008E21A7" w:rsidRPr="008E21A7" w:rsidRDefault="008E21A7" w:rsidP="008E21A7">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11) </w:t>
      </w:r>
      <w:r w:rsidRPr="008E21A7">
        <w:rPr>
          <w:rFonts w:ascii="Palatino Linotype" w:eastAsia="Calibri" w:hAnsi="Palatino Linotype" w:cs="Times New Roman"/>
          <w:i/>
          <w:sz w:val="24"/>
          <w:szCs w:val="24"/>
          <w:lang w:eastAsia="es-ES"/>
        </w:rPr>
        <w:t xml:space="preserve">El finiquito. </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 xml:space="preserve">Consecuentemente, se tiene que el Sujeto Obligado cuenta con dependencias o unidades administrativas que pueden contar entre sus archivos con la información solicitada; además de que la documentación solicitada por el Recurrente se considera </w:t>
      </w:r>
      <w:r w:rsidRPr="008E21A7">
        <w:rPr>
          <w:rFonts w:ascii="Palatino Linotype" w:eastAsia="Calibri" w:hAnsi="Palatino Linotype" w:cs="Times New Roman"/>
          <w:sz w:val="24"/>
          <w:szCs w:val="24"/>
          <w:lang w:eastAsia="es-ES"/>
        </w:rPr>
        <w:lastRenderedPageBreak/>
        <w:t>dentro de las obligaciones comunes de transparencia, las cuales deben estar a disposición del público mediante la Plataforma IPOMEX, por lo que dable qu</w:t>
      </w:r>
      <w:r w:rsidR="009777C4">
        <w:rPr>
          <w:rFonts w:ascii="Palatino Linotype" w:eastAsia="Calibri" w:hAnsi="Palatino Linotype" w:cs="Times New Roman"/>
          <w:sz w:val="24"/>
          <w:szCs w:val="24"/>
          <w:lang w:eastAsia="es-ES"/>
        </w:rPr>
        <w:t>e el Sujeto Obligado atienda la solicitud</w:t>
      </w:r>
      <w:r w:rsidRPr="008E21A7">
        <w:rPr>
          <w:rFonts w:ascii="Palatino Linotype" w:eastAsia="Calibri" w:hAnsi="Palatino Linotype" w:cs="Times New Roman"/>
          <w:sz w:val="24"/>
          <w:szCs w:val="24"/>
          <w:lang w:eastAsia="es-ES"/>
        </w:rPr>
        <w:t xml:space="preserve"> del Recurrente en aras de satisfacer plenamente su derecho de acceso a la información pública.</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 xml:space="preserve">Asimismo, no pasa desapercibido a este Órgano Garante que el Recurrente no especificó la temporalidad de la información; sin embargo, </w:t>
      </w:r>
      <w:r w:rsidR="009777C4">
        <w:rPr>
          <w:rFonts w:ascii="Palatino Linotype" w:eastAsia="Calibri" w:hAnsi="Palatino Linotype" w:cs="Times New Roman"/>
          <w:sz w:val="24"/>
          <w:szCs w:val="24"/>
          <w:lang w:eastAsia="es-ES"/>
        </w:rPr>
        <w:t xml:space="preserve">específico que requiere la información de última pavimentación de la carretera que conecta los municipios de </w:t>
      </w:r>
      <w:proofErr w:type="spellStart"/>
      <w:r w:rsidR="009777C4">
        <w:rPr>
          <w:rFonts w:ascii="Palatino Linotype" w:eastAsia="Calibri" w:hAnsi="Palatino Linotype" w:cs="Times New Roman"/>
          <w:sz w:val="24"/>
          <w:szCs w:val="24"/>
          <w:lang w:eastAsia="es-ES"/>
        </w:rPr>
        <w:t>Calimaya</w:t>
      </w:r>
      <w:proofErr w:type="spellEnd"/>
      <w:r w:rsidR="009777C4">
        <w:rPr>
          <w:rFonts w:ascii="Palatino Linotype" w:eastAsia="Calibri" w:hAnsi="Palatino Linotype" w:cs="Times New Roman"/>
          <w:sz w:val="24"/>
          <w:szCs w:val="24"/>
          <w:lang w:eastAsia="es-ES"/>
        </w:rPr>
        <w:t xml:space="preserve"> y Metepec, por lo que es procedente que se haga entrega de los documentos en donde conste la información relativa a la pavimentación de dicha carretera más actualizada a la fecha de ingreso de la solicitud, es decir al día tres de agosto de dos mil veinte.</w:t>
      </w:r>
    </w:p>
    <w:p w:rsidR="008E21A7" w:rsidRPr="008E21A7" w:rsidRDefault="008E21A7" w:rsidP="008E21A7">
      <w:pPr>
        <w:spacing w:after="0" w:line="360" w:lineRule="auto"/>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val="es-ES_tradnl" w:eastAsia="es-ES"/>
        </w:rPr>
      </w:pPr>
      <w:r w:rsidRPr="008E21A7">
        <w:rPr>
          <w:rFonts w:ascii="Palatino Linotype" w:eastAsia="Calibri" w:hAnsi="Palatino Linotype" w:cs="Times New Roman"/>
          <w:sz w:val="24"/>
          <w:szCs w:val="24"/>
          <w:lang w:eastAsia="es-ES"/>
        </w:rPr>
        <w:t>Ahora bien, en atención al sentido en que se resuelve el presente medio de impugnación, esta Ponencia Resolutora no omite señalar que, s</w:t>
      </w:r>
      <w:r w:rsidRPr="008E21A7">
        <w:rPr>
          <w:rFonts w:ascii="Palatino Linotype" w:eastAsia="Times New Roman" w:hAnsi="Palatino Linotype" w:cs="Arial"/>
          <w:sz w:val="24"/>
          <w:szCs w:val="24"/>
          <w:lang w:eastAsia="es-ES"/>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8E21A7">
        <w:rPr>
          <w:rFonts w:ascii="Palatino Linotype" w:eastAsia="Times New Roman" w:hAnsi="Palatino Linotype" w:cs="Arial"/>
          <w:sz w:val="24"/>
          <w:szCs w:val="24"/>
          <w:lang w:val="es-ES_tradnl" w:eastAsia="es-ES"/>
        </w:rPr>
        <w:t>en materia de Clasificación y Desclasificación de la Información, así como para la elaboración de Versiones Públicas.</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color w:val="000000"/>
          <w:sz w:val="24"/>
          <w:szCs w:val="24"/>
          <w:lang w:eastAsia="es-ES"/>
        </w:rPr>
        <w:t xml:space="preserve">En ese sentido, es de precisar que </w:t>
      </w:r>
      <w:r w:rsidRPr="008E21A7">
        <w:rPr>
          <w:rFonts w:ascii="Palatino Linotype" w:eastAsia="Calibri" w:hAnsi="Palatino Linotype" w:cs="Bookman Old Style,Bold"/>
          <w:bCs/>
          <w:color w:val="0D0D0D"/>
          <w:sz w:val="24"/>
          <w:szCs w:val="24"/>
          <w:lang w:eastAsia="es-ES"/>
        </w:rPr>
        <w:t xml:space="preserve">la clasificación de la información no se da por el simple mandato de la Ley, sino que </w:t>
      </w:r>
      <w:r w:rsidRPr="008E21A7">
        <w:rPr>
          <w:rFonts w:ascii="Palatino Linotype" w:eastAsia="Times New Roman" w:hAnsi="Palatino Linotype" w:cs="Times New Roman"/>
          <w:sz w:val="24"/>
          <w:szCs w:val="24"/>
          <w:lang w:eastAsia="es-ES"/>
        </w:rPr>
        <w:t>es necesario que el Sujeto Obligado</w:t>
      </w:r>
      <w:r w:rsidRPr="008E21A7">
        <w:rPr>
          <w:rFonts w:ascii="Palatino Linotype" w:eastAsia="Times New Roman" w:hAnsi="Palatino Linotype" w:cs="Times New Roman"/>
          <w:b/>
          <w:sz w:val="24"/>
          <w:szCs w:val="24"/>
          <w:lang w:eastAsia="es-ES"/>
        </w:rPr>
        <w:t xml:space="preserve"> </w:t>
      </w:r>
      <w:r w:rsidRPr="008E21A7">
        <w:rPr>
          <w:rFonts w:ascii="Palatino Linotype" w:eastAsia="Times New Roman" w:hAnsi="Palatino Linotype" w:cs="Times New Roman"/>
          <w:sz w:val="24"/>
          <w:szCs w:val="24"/>
          <w:lang w:eastAsia="es-ES"/>
        </w:rPr>
        <w:t xml:space="preserve">cuando </w:t>
      </w:r>
      <w:r w:rsidRPr="008E21A7">
        <w:rPr>
          <w:rFonts w:ascii="Palatino Linotype" w:eastAsia="Times New Roman" w:hAnsi="Palatino Linotype" w:cs="Times New Roman"/>
          <w:sz w:val="24"/>
          <w:szCs w:val="24"/>
          <w:lang w:eastAsia="es-ES"/>
        </w:rPr>
        <w:lastRenderedPageBreak/>
        <w:t xml:space="preserve">clasifique algún documento o información, ya sea todo o en parte, debe atender lo dispuesto por </w:t>
      </w:r>
      <w:r w:rsidRPr="008E21A7">
        <w:rPr>
          <w:rFonts w:ascii="Palatino Linotype" w:eastAsia="Times New Roman" w:hAnsi="Palatino Linotype" w:cs="Arial"/>
          <w:sz w:val="24"/>
          <w:szCs w:val="24"/>
          <w:lang w:eastAsia="es-E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val="es-ES" w:eastAsia="es-ES"/>
        </w:rPr>
        <w:t xml:space="preserve">Así las cosas, dentro de los datos personales que pudieran contenerse se destacan los datos personales sensibles, los cuales son aquellos </w:t>
      </w:r>
      <w:r w:rsidRPr="008E21A7">
        <w:rPr>
          <w:rFonts w:ascii="Palatino Linotype" w:eastAsia="Times New Roman" w:hAnsi="Palatino Linotype" w:cs="Arial"/>
          <w:sz w:val="24"/>
          <w:szCs w:val="24"/>
          <w:lang w:eastAsia="es-ES"/>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8E21A7">
        <w:rPr>
          <w:rFonts w:ascii="Palatino Linotype" w:eastAsia="Times New Roman" w:hAnsi="Palatino Linotype" w:cs="Arial"/>
          <w:sz w:val="24"/>
          <w:szCs w:val="24"/>
          <w:lang w:eastAsia="es-ES"/>
        </w:rPr>
        <w:lastRenderedPageBreak/>
        <w:t>de las disposiciones legales aplicables estarán especialmente protegidos con medidas de seguridad de alto nivel.</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val="es-ES_tradnl" w:eastAsia="es-ES"/>
        </w:rPr>
      </w:pPr>
      <w:r w:rsidRPr="008E21A7">
        <w:rPr>
          <w:rFonts w:ascii="Palatino Linotype" w:eastAsia="Times New Roman" w:hAnsi="Palatino Linotype" w:cs="Arial"/>
          <w:sz w:val="24"/>
          <w:szCs w:val="24"/>
          <w:lang w:eastAsia="es-ES"/>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8E21A7">
        <w:rPr>
          <w:rFonts w:ascii="Palatino Linotype" w:eastAsia="Times New Roman" w:hAnsi="Palatino Linotype" w:cs="Arial"/>
          <w:sz w:val="24"/>
          <w:szCs w:val="24"/>
          <w:lang w:val="es-ES_tradnl" w:eastAsia="es-ES"/>
        </w:rPr>
        <w:t>en materia de Clasificación y Desclasificación de la Información, así como para la elaboración de Versiones Públicas.</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 xml:space="preserve">Lo anterior, sin perder de vista que la Constitución Política de los Estados Unidos Mexicanos le otorga a </w:t>
      </w:r>
      <w:r w:rsidRPr="008E21A7">
        <w:rPr>
          <w:rFonts w:ascii="Palatino Linotype" w:eastAsia="Times New Roman" w:hAnsi="Palatino Linotype" w:cs="Arial"/>
          <w:b/>
          <w:sz w:val="24"/>
          <w:szCs w:val="24"/>
          <w:lang w:eastAsia="es-ES"/>
        </w:rPr>
        <w:t>todos los documentos</w:t>
      </w:r>
      <w:r w:rsidRPr="008E21A7">
        <w:rPr>
          <w:rFonts w:ascii="Palatino Linotype" w:eastAsia="Times New Roman" w:hAnsi="Palatino Linotype" w:cs="Arial"/>
          <w:sz w:val="24"/>
          <w:szCs w:val="24"/>
          <w:lang w:eastAsia="es-ES"/>
        </w:rPr>
        <w:t xml:space="preserve"> en posesión de las autoridades </w:t>
      </w:r>
      <w:r w:rsidRPr="008E21A7">
        <w:rPr>
          <w:rFonts w:ascii="Palatino Linotype" w:eastAsia="Times New Roman" w:hAnsi="Palatino Linotype" w:cs="Arial"/>
          <w:b/>
          <w:sz w:val="24"/>
          <w:szCs w:val="24"/>
          <w:lang w:eastAsia="es-ES"/>
        </w:rPr>
        <w:t>la calidad de públicos</w:t>
      </w:r>
      <w:r w:rsidRPr="008E21A7">
        <w:rPr>
          <w:rFonts w:ascii="Palatino Linotype" w:eastAsia="Times New Roman" w:hAnsi="Palatino Linotype" w:cs="Arial"/>
          <w:sz w:val="24"/>
          <w:szCs w:val="24"/>
          <w:lang w:eastAsia="es-E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Siendo pertinente aclarar que, la información que se clasifica bajo la premisa de reservada, </w:t>
      </w:r>
      <w:r w:rsidRPr="008E21A7">
        <w:rPr>
          <w:rFonts w:ascii="Palatino Linotype" w:eastAsia="Times New Roman" w:hAnsi="Palatino Linotype" w:cs="Times New Roman"/>
          <w:b/>
          <w:sz w:val="24"/>
          <w:szCs w:val="24"/>
          <w:lang w:eastAsia="es-ES"/>
        </w:rPr>
        <w:t>no pierde el carácter de pública</w:t>
      </w:r>
      <w:r w:rsidRPr="008E21A7">
        <w:rPr>
          <w:rFonts w:ascii="Palatino Linotype" w:eastAsia="Times New Roman" w:hAnsi="Palatino Linotype" w:cs="Times New Roman"/>
          <w:sz w:val="24"/>
          <w:szCs w:val="24"/>
          <w:lang w:eastAsia="es-ES"/>
        </w:rPr>
        <w:t xml:space="preserve">, sino que </w:t>
      </w:r>
      <w:r w:rsidRPr="008E21A7">
        <w:rPr>
          <w:rFonts w:ascii="Palatino Linotype" w:eastAsia="Times New Roman" w:hAnsi="Palatino Linotype" w:cs="Times New Roman"/>
          <w:b/>
          <w:sz w:val="24"/>
          <w:szCs w:val="24"/>
          <w:lang w:eastAsia="es-ES"/>
        </w:rPr>
        <w:t>se reserva temporalmente</w:t>
      </w:r>
      <w:r w:rsidRPr="008E21A7">
        <w:rPr>
          <w:rFonts w:ascii="Palatino Linotype" w:eastAsia="Times New Roman" w:hAnsi="Palatino Linotype" w:cs="Times New Roman"/>
          <w:sz w:val="24"/>
          <w:szCs w:val="24"/>
          <w:lang w:eastAsia="es-ES"/>
        </w:rPr>
        <w:t xml:space="preserve"> </w:t>
      </w:r>
      <w:r w:rsidRPr="008E21A7">
        <w:rPr>
          <w:rFonts w:ascii="Palatino Linotype" w:eastAsia="Times New Roman" w:hAnsi="Palatino Linotype" w:cs="Times New Roman"/>
          <w:b/>
          <w:sz w:val="24"/>
          <w:szCs w:val="24"/>
          <w:lang w:eastAsia="es-ES"/>
        </w:rPr>
        <w:t xml:space="preserve">del </w:t>
      </w:r>
      <w:r w:rsidRPr="008E21A7">
        <w:rPr>
          <w:rFonts w:ascii="Palatino Linotype" w:eastAsia="Times New Roman" w:hAnsi="Palatino Linotype" w:cs="Times New Roman"/>
          <w:b/>
          <w:sz w:val="24"/>
          <w:szCs w:val="24"/>
          <w:lang w:eastAsia="es-ES"/>
        </w:rPr>
        <w:lastRenderedPageBreak/>
        <w:t>conocimiento público</w:t>
      </w:r>
      <w:r w:rsidRPr="008E21A7">
        <w:rPr>
          <w:rFonts w:ascii="Palatino Linotype" w:eastAsia="Times New Roman" w:hAnsi="Palatino Linotype" w:cs="Times New Roman"/>
          <w:sz w:val="24"/>
          <w:szCs w:val="24"/>
          <w:lang w:eastAsia="es-ES"/>
        </w:rPr>
        <w:t xml:space="preserve">, es decir, que, </w:t>
      </w:r>
      <w:r w:rsidRPr="008E21A7">
        <w:rPr>
          <w:rFonts w:ascii="Palatino Linotype" w:eastAsia="Times New Roman" w:hAnsi="Palatino Linotype" w:cs="Times New Roman"/>
          <w:b/>
          <w:sz w:val="24"/>
          <w:szCs w:val="24"/>
          <w:lang w:eastAsia="es-ES"/>
        </w:rPr>
        <w:t>por un tiempo determinado</w:t>
      </w:r>
      <w:r w:rsidRPr="008E21A7">
        <w:rPr>
          <w:rFonts w:ascii="Palatino Linotype" w:eastAsia="Times New Roman" w:hAnsi="Palatino Linotype" w:cs="Times New Roman"/>
          <w:sz w:val="24"/>
          <w:szCs w:val="24"/>
          <w:lang w:eastAsia="es-ES"/>
        </w:rPr>
        <w:t>, se conservará y custodiará la información de manera especial, y una vez transcurrido el plazo de reserva, el documento podrá divulgarse.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Arial"/>
          <w:bCs/>
          <w:color w:val="000000"/>
          <w:sz w:val="24"/>
          <w:szCs w:val="24"/>
          <w:lang w:eastAsia="es-ES"/>
        </w:rPr>
      </w:pPr>
      <w:r w:rsidRPr="008E21A7">
        <w:rPr>
          <w:rFonts w:ascii="Palatino Linotype" w:eastAsia="Calibri" w:hAnsi="Palatino Linotype" w:cs="Arial"/>
          <w:sz w:val="24"/>
          <w:szCs w:val="24"/>
          <w:lang w:eastAsia="es-E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E21A7">
        <w:rPr>
          <w:rFonts w:ascii="Palatino Linotype" w:eastAsia="Arial Unicode MS" w:hAnsi="Palatino Linotype" w:cs="Arial"/>
          <w:color w:val="000000"/>
          <w:sz w:val="24"/>
          <w:szCs w:val="24"/>
          <w:lang w:eastAsia="es-ES"/>
        </w:rPr>
        <w:t>,</w:t>
      </w:r>
      <w:r w:rsidRPr="008E21A7">
        <w:rPr>
          <w:rFonts w:ascii="Palatino Linotype" w:eastAsia="Calibri" w:hAnsi="Palatino Linotype" w:cs="Arial"/>
          <w:bCs/>
          <w:color w:val="000000"/>
          <w:sz w:val="24"/>
          <w:szCs w:val="24"/>
          <w:lang w:eastAsia="es-ES"/>
        </w:rPr>
        <w:t xml:space="preserve"> que literalmente señala:</w:t>
      </w:r>
    </w:p>
    <w:p w:rsidR="008E21A7" w:rsidRPr="008E21A7" w:rsidRDefault="008E21A7" w:rsidP="008E21A7">
      <w:pPr>
        <w:spacing w:after="0" w:line="360" w:lineRule="auto"/>
        <w:ind w:left="567" w:right="567"/>
        <w:jc w:val="both"/>
        <w:rPr>
          <w:rFonts w:ascii="Palatino Linotype" w:eastAsia="Calibri" w:hAnsi="Palatino Linotype" w:cs="Times New Roman"/>
          <w:sz w:val="24"/>
          <w:szCs w:val="24"/>
          <w:lang w:eastAsia="es-ES"/>
        </w:rPr>
      </w:pPr>
    </w:p>
    <w:p w:rsidR="008E21A7" w:rsidRPr="008E21A7" w:rsidRDefault="008E21A7" w:rsidP="008E21A7">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i/>
          <w:sz w:val="24"/>
          <w:szCs w:val="24"/>
          <w:lang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E21A7">
        <w:rPr>
          <w:rFonts w:ascii="Palatino Linotype" w:eastAsia="Calibri" w:hAnsi="Palatino Linotype" w:cs="Times New Roman"/>
          <w:i/>
          <w:sz w:val="24"/>
          <w:szCs w:val="24"/>
          <w:lang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E21A7">
        <w:rPr>
          <w:rFonts w:ascii="Palatino Linotype" w:eastAsia="Calibri" w:hAnsi="Palatino Linotype" w:cs="Times New Roman"/>
          <w:i/>
          <w:sz w:val="24"/>
          <w:szCs w:val="24"/>
          <w:lang w:eastAsia="es-ES"/>
        </w:rPr>
        <w:t>officio</w:t>
      </w:r>
      <w:proofErr w:type="spellEnd"/>
      <w:r w:rsidRPr="008E21A7">
        <w:rPr>
          <w:rFonts w:ascii="Palatino Linotype" w:eastAsia="Calibri" w:hAnsi="Palatino Linotype" w:cs="Times New Roman"/>
          <w:i/>
          <w:sz w:val="24"/>
          <w:szCs w:val="24"/>
          <w:lang w:eastAsia="es-ES"/>
        </w:rPr>
        <w:t>, con el propósito de obtener una versión que sea pública para la parte interesada.</w:t>
      </w:r>
    </w:p>
    <w:p w:rsidR="008E21A7" w:rsidRPr="008E21A7" w:rsidRDefault="008E21A7" w:rsidP="008E21A7">
      <w:pPr>
        <w:spacing w:after="0" w:line="360" w:lineRule="auto"/>
        <w:ind w:left="567" w:right="567"/>
        <w:jc w:val="both"/>
        <w:rPr>
          <w:rFonts w:ascii="Palatino Linotype" w:eastAsia="Calibri"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bCs/>
          <w:sz w:val="24"/>
          <w:szCs w:val="24"/>
          <w:lang w:eastAsia="es-ES"/>
        </w:rPr>
      </w:pPr>
      <w:r w:rsidRPr="008E21A7">
        <w:rPr>
          <w:rFonts w:ascii="Palatino Linotype" w:eastAsia="Times New Roman" w:hAnsi="Palatino Linotype" w:cs="Times New Roman"/>
          <w:bCs/>
          <w:sz w:val="24"/>
          <w:szCs w:val="24"/>
          <w:lang w:eastAsia="es-E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rsidR="008E21A7" w:rsidRPr="008E21A7" w:rsidRDefault="008E21A7" w:rsidP="008E21A7">
      <w:pPr>
        <w:spacing w:after="0" w:line="360" w:lineRule="auto"/>
        <w:jc w:val="both"/>
        <w:rPr>
          <w:rFonts w:ascii="Palatino Linotype" w:eastAsia="Times New Roman" w:hAnsi="Palatino Linotype" w:cs="Times New Roman"/>
          <w:bCs/>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En tal virtud, conforme al artículo 49, fracción VIII de la </w:t>
      </w:r>
      <w:r w:rsidRPr="008E21A7">
        <w:rPr>
          <w:rFonts w:ascii="Palatino Linotype" w:eastAsia="Times New Roman" w:hAnsi="Palatino Linotype" w:cs="Arial"/>
          <w:sz w:val="24"/>
          <w:szCs w:val="24"/>
          <w:lang w:eastAsia="es-ES"/>
        </w:rPr>
        <w:t>Ley de Transparencia y Acceso a la Información Pública del Estado de México y Municipios</w:t>
      </w:r>
      <w:r w:rsidRPr="008E21A7">
        <w:rPr>
          <w:rFonts w:ascii="Palatino Linotype" w:eastAsia="Times New Roman" w:hAnsi="Palatino Linotype" w:cs="Times New Roman"/>
          <w:sz w:val="24"/>
          <w:szCs w:val="24"/>
          <w:lang w:eastAsia="es-E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E21A7" w:rsidRPr="008E21A7" w:rsidRDefault="008E21A7" w:rsidP="008E21A7">
      <w:pPr>
        <w:spacing w:after="0" w:line="360" w:lineRule="auto"/>
        <w:rPr>
          <w:rFonts w:ascii="Palatino Linotype" w:eastAsia="Times New Roman" w:hAnsi="Palatino Linotype" w:cs="Times New Roman"/>
          <w:sz w:val="24"/>
          <w:szCs w:val="24"/>
          <w:lang w:eastAsia="es-ES"/>
        </w:rPr>
      </w:pPr>
    </w:p>
    <w:p w:rsidR="008E21A7" w:rsidRPr="008E21A7" w:rsidRDefault="008E21A7" w:rsidP="008E21A7">
      <w:pPr>
        <w:numPr>
          <w:ilvl w:val="0"/>
          <w:numId w:val="20"/>
        </w:numPr>
        <w:spacing w:after="0" w:line="360" w:lineRule="auto"/>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Se reciba una solicitud de acceso a la información;</w:t>
      </w:r>
    </w:p>
    <w:p w:rsidR="008E21A7" w:rsidRPr="008E21A7" w:rsidRDefault="008E21A7" w:rsidP="008E21A7">
      <w:pPr>
        <w:numPr>
          <w:ilvl w:val="0"/>
          <w:numId w:val="20"/>
        </w:numPr>
        <w:spacing w:after="0" w:line="360" w:lineRule="auto"/>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Se determine mediante resolución de autoridad competente; y/o</w:t>
      </w:r>
    </w:p>
    <w:p w:rsidR="008E21A7" w:rsidRPr="008E21A7" w:rsidRDefault="008E21A7" w:rsidP="008E21A7">
      <w:pPr>
        <w:numPr>
          <w:ilvl w:val="0"/>
          <w:numId w:val="20"/>
        </w:numPr>
        <w:spacing w:after="0" w:line="360" w:lineRule="auto"/>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Se generen versiones públicas para dar cumplimiento a las obligaciones de transparencia previstas en la Ley.</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Situación que se robustece con el artículo 141 de la misma Ley, que señala que las causales de reserva previstas, se deberán fundar y motivar, a través de la aplicación de la prueba de daño.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numPr>
          <w:ilvl w:val="0"/>
          <w:numId w:val="21"/>
        </w:num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lastRenderedPageBreak/>
        <w:t xml:space="preserve">La divulgación de la información representa un </w:t>
      </w:r>
      <w:r w:rsidRPr="008E21A7">
        <w:rPr>
          <w:rFonts w:ascii="Palatino Linotype" w:eastAsia="Times New Roman" w:hAnsi="Palatino Linotype" w:cs="Times New Roman"/>
          <w:b/>
          <w:sz w:val="24"/>
          <w:szCs w:val="24"/>
          <w:lang w:eastAsia="es-ES"/>
        </w:rPr>
        <w:t>riesgo real, demostrable e identificable del perjuicio significativo al interés público o a la seguridad pública</w:t>
      </w:r>
      <w:r w:rsidRPr="008E21A7">
        <w:rPr>
          <w:rFonts w:ascii="Palatino Linotype" w:eastAsia="Times New Roman" w:hAnsi="Palatino Linotype" w:cs="Times New Roman"/>
          <w:sz w:val="24"/>
          <w:szCs w:val="24"/>
          <w:lang w:eastAsia="es-ES"/>
        </w:rPr>
        <w:t>;</w:t>
      </w:r>
    </w:p>
    <w:p w:rsidR="008E21A7" w:rsidRPr="008E21A7" w:rsidRDefault="008E21A7" w:rsidP="008E21A7">
      <w:pPr>
        <w:numPr>
          <w:ilvl w:val="0"/>
          <w:numId w:val="21"/>
        </w:num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El riesgo de perjuicio que supondría la divulgación supera el interés público general de que se difunda; y,</w:t>
      </w:r>
    </w:p>
    <w:p w:rsidR="008E21A7" w:rsidRPr="008E21A7" w:rsidRDefault="008E21A7" w:rsidP="008E21A7">
      <w:pPr>
        <w:numPr>
          <w:ilvl w:val="0"/>
          <w:numId w:val="21"/>
        </w:num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 xml:space="preserve">La limitación se adecua al principio de proporcionalidad y representa el medio menos restrictivo disponible para evitar el perjuicio. </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Times New Roman"/>
          <w:bCs/>
          <w:sz w:val="24"/>
          <w:szCs w:val="24"/>
          <w:lang w:eastAsia="es-ES"/>
        </w:rPr>
        <w:t xml:space="preserve">Atento a lo anterior, </w:t>
      </w:r>
      <w:r w:rsidRPr="008E21A7">
        <w:rPr>
          <w:rFonts w:ascii="Palatino Linotype" w:eastAsia="Times New Roman" w:hAnsi="Palatino Linotype" w:cs="Arial"/>
          <w:sz w:val="24"/>
          <w:szCs w:val="24"/>
          <w:lang w:eastAsia="es-MX"/>
        </w:rPr>
        <w:t xml:space="preserve">es necesario hacer hincapié que para el caso de que existan </w:t>
      </w:r>
      <w:r w:rsidRPr="008E21A7">
        <w:rPr>
          <w:rFonts w:ascii="Palatino Linotype" w:eastAsia="Times New Roman" w:hAnsi="Palatino Linotype" w:cs="Times New Roman"/>
          <w:sz w:val="24"/>
          <w:szCs w:val="24"/>
          <w:lang w:eastAsia="es-ES"/>
        </w:rPr>
        <w:t xml:space="preserve">causas presentes que impiden la publicidad de la información durante cierto periodo de tiempo, </w:t>
      </w:r>
      <w:r w:rsidRPr="008E21A7">
        <w:rPr>
          <w:rFonts w:ascii="Palatino Linotype" w:eastAsia="Times New Roman" w:hAnsi="Palatino Linotype" w:cs="Arial"/>
          <w:sz w:val="24"/>
          <w:szCs w:val="24"/>
          <w:lang w:eastAsia="es-MX"/>
        </w:rPr>
        <w:t xml:space="preserve">debe clasificar la información </w:t>
      </w:r>
      <w:r w:rsidRPr="008E21A7">
        <w:rPr>
          <w:rFonts w:ascii="Palatino Linotype" w:eastAsia="Times New Roman" w:hAnsi="Palatino Linotype" w:cs="Arial"/>
          <w:sz w:val="24"/>
          <w:szCs w:val="24"/>
          <w:lang w:eastAsia="es-E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8E21A7" w:rsidRPr="008E21A7" w:rsidRDefault="008E21A7" w:rsidP="008E21A7">
      <w:pPr>
        <w:spacing w:after="0" w:line="360" w:lineRule="auto"/>
        <w:jc w:val="both"/>
        <w:rPr>
          <w:rFonts w:ascii="Palatino Linotype" w:eastAsia="Calibri"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Arial"/>
          <w:sz w:val="24"/>
          <w:szCs w:val="24"/>
          <w:lang w:eastAsia="es-ES"/>
        </w:rPr>
        <w:t>Por lo tanto,</w:t>
      </w:r>
      <w:r w:rsidRPr="008E21A7">
        <w:rPr>
          <w:rFonts w:ascii="Palatino Linotype" w:eastAsia="Times New Roman" w:hAnsi="Palatino Linotype" w:cs="Times New Roman"/>
          <w:sz w:val="24"/>
          <w:szCs w:val="24"/>
          <w:lang w:eastAsia="es-ES"/>
        </w:rPr>
        <w:t xml:space="preserve"> es importante referir que el Sujeto Obligado deberá seguir el procedimiento legal establecido para su </w:t>
      </w:r>
      <w:r w:rsidRPr="008E21A7">
        <w:rPr>
          <w:rFonts w:ascii="Palatino Linotype" w:eastAsia="Times New Roman" w:hAnsi="Palatino Linotype" w:cs="Times New Roman"/>
          <w:sz w:val="24"/>
          <w:szCs w:val="24"/>
          <w:lang w:eastAsia="es-MX"/>
        </w:rPr>
        <w:t>clasificación</w:t>
      </w:r>
      <w:r w:rsidRPr="008E21A7">
        <w:rPr>
          <w:rFonts w:ascii="Palatino Linotype" w:eastAsia="Times New Roman" w:hAnsi="Palatino Linotype" w:cs="Times New Roman"/>
          <w:sz w:val="24"/>
          <w:szCs w:val="24"/>
          <w:lang w:eastAsia="es-ES"/>
        </w:rPr>
        <w:t>, esto es, que su Comité de</w:t>
      </w:r>
      <w:r w:rsidRPr="008E21A7">
        <w:rPr>
          <w:rFonts w:ascii="Palatino Linotype" w:eastAsia="Times New Roman" w:hAnsi="Palatino Linotype" w:cs="Arial"/>
          <w:sz w:val="24"/>
          <w:szCs w:val="24"/>
          <w:lang w:eastAsia="es-ES"/>
        </w:rPr>
        <w:t xml:space="preserve"> Transparencia emita </w:t>
      </w:r>
      <w:r w:rsidRPr="008E21A7">
        <w:rPr>
          <w:rFonts w:ascii="Palatino Linotype" w:eastAsia="Times New Roman" w:hAnsi="Palatino Linotype" w:cs="Arial"/>
          <w:sz w:val="24"/>
          <w:szCs w:val="24"/>
          <w:lang w:val="es-ES_tradnl" w:eastAsia="es-ES"/>
        </w:rPr>
        <w:t>un</w:t>
      </w:r>
      <w:r w:rsidRPr="008E21A7">
        <w:rPr>
          <w:rFonts w:ascii="Palatino Linotype" w:eastAsia="Times New Roman" w:hAnsi="Palatino Linotype" w:cs="Arial"/>
          <w:sz w:val="24"/>
          <w:szCs w:val="24"/>
          <w:lang w:eastAsia="es-ES"/>
        </w:rPr>
        <w:t xml:space="preserve"> Acuerdo de Clasificación que cumpla con las formalidades </w:t>
      </w:r>
      <w:r w:rsidRPr="008E21A7">
        <w:rPr>
          <w:rFonts w:ascii="Palatino Linotype" w:eastAsia="Times New Roman" w:hAnsi="Palatino Linotype" w:cs="Arial"/>
          <w:sz w:val="24"/>
          <w:szCs w:val="24"/>
          <w:lang w:eastAsia="es-ES"/>
        </w:rPr>
        <w:lastRenderedPageBreak/>
        <w:t>antes citadas</w:t>
      </w:r>
      <w:r w:rsidRPr="008E21A7">
        <w:rPr>
          <w:rFonts w:ascii="Palatino Linotype" w:eastAsia="Times New Roman" w:hAnsi="Palatino Linotype" w:cs="Arial"/>
          <w:b/>
          <w:sz w:val="24"/>
          <w:szCs w:val="24"/>
          <w:lang w:eastAsia="es-ES"/>
        </w:rPr>
        <w:t xml:space="preserve"> </w:t>
      </w:r>
      <w:r w:rsidRPr="008E21A7">
        <w:rPr>
          <w:rFonts w:ascii="Palatino Linotype" w:eastAsia="Times New Roman" w:hAnsi="Palatino Linotype" w:cs="Arial"/>
          <w:sz w:val="24"/>
          <w:szCs w:val="24"/>
          <w:lang w:eastAsia="es-ES"/>
        </w:rPr>
        <w:t xml:space="preserve">que la sustente, en el </w:t>
      </w:r>
      <w:r w:rsidRPr="008E21A7">
        <w:rPr>
          <w:rFonts w:ascii="Palatino Linotype" w:eastAsia="Times New Roman" w:hAnsi="Palatino Linotype" w:cs="Arial"/>
          <w:sz w:val="24"/>
          <w:szCs w:val="24"/>
          <w:lang w:eastAsia="es-MX"/>
        </w:rPr>
        <w:t>que</w:t>
      </w:r>
      <w:r w:rsidRPr="008E21A7">
        <w:rPr>
          <w:rFonts w:ascii="Palatino Linotype" w:eastAsia="Times New Roman" w:hAnsi="Palatino Linotype" w:cs="Arial"/>
          <w:sz w:val="24"/>
          <w:szCs w:val="24"/>
          <w:lang w:eastAsia="es-E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Calibri" w:hAnsi="Palatino Linotype" w:cs="Bookman Old Style"/>
          <w:sz w:val="24"/>
          <w:szCs w:val="24"/>
          <w:lang w:eastAsia="es-ES"/>
        </w:rPr>
      </w:pPr>
      <w:r w:rsidRPr="008E21A7">
        <w:rPr>
          <w:rFonts w:ascii="Palatino Linotype" w:eastAsia="Times New Roman" w:hAnsi="Palatino Linotype" w:cs="Arial"/>
          <w:sz w:val="24"/>
          <w:szCs w:val="24"/>
          <w:lang w:eastAsia="es-ES"/>
        </w:rPr>
        <w:t>Por otra parte, esta Ponencia Resolutora estima prudente señalar al Sujeto Obligado que, en caso de que la información solicitada, debiera obrar en sus archivos y no cuente con ella</w:t>
      </w:r>
      <w:r w:rsidRPr="008E21A7">
        <w:rPr>
          <w:rFonts w:ascii="Palatino Linotype" w:eastAsia="Times New Roman" w:hAnsi="Palatino Linotype" w:cs="Arial"/>
          <w:sz w:val="24"/>
          <w:szCs w:val="24"/>
          <w:lang w:val="es-ES" w:eastAsia="es-ES"/>
        </w:rPr>
        <w:t xml:space="preserve">, </w:t>
      </w:r>
      <w:r w:rsidRPr="008E21A7">
        <w:rPr>
          <w:rFonts w:ascii="Palatino Linotype" w:eastAsia="Calibri" w:hAnsi="Palatino Linotype" w:cs="Bookman Old Style"/>
          <w:sz w:val="24"/>
          <w:szCs w:val="24"/>
          <w:lang w:eastAsia="es-ES"/>
        </w:rPr>
        <w:t>deberá entregar el Acuerdo del Comité de Transparencia, en donde conste la declaratoria de inexistencia de la misma.</w:t>
      </w:r>
    </w:p>
    <w:p w:rsidR="008E21A7" w:rsidRPr="008E21A7" w:rsidRDefault="008E21A7" w:rsidP="008E21A7">
      <w:pPr>
        <w:spacing w:after="0" w:line="360" w:lineRule="auto"/>
        <w:jc w:val="both"/>
        <w:rPr>
          <w:rFonts w:ascii="Palatino Linotype" w:eastAsia="Calibri" w:hAnsi="Palatino Linotype" w:cs="Bookman Old Style"/>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r w:rsidRPr="008E21A7">
        <w:rPr>
          <w:rFonts w:ascii="Palatino Linotype" w:eastAsia="Times New Roman" w:hAnsi="Palatino Linotype" w:cs="Times New Roman"/>
          <w:sz w:val="24"/>
          <w:szCs w:val="24"/>
          <w:lang w:eastAsia="es-E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val="es-ES" w:eastAsia="es-MX"/>
        </w:rPr>
      </w:pPr>
      <w:r w:rsidRPr="008E21A7">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MX"/>
        </w:rPr>
      </w:pPr>
    </w:p>
    <w:p w:rsidR="008E21A7" w:rsidRPr="008E21A7" w:rsidRDefault="008E21A7" w:rsidP="008E21A7">
      <w:pPr>
        <w:spacing w:after="0" w:line="360" w:lineRule="auto"/>
        <w:jc w:val="both"/>
        <w:rPr>
          <w:rFonts w:ascii="Palatino Linotype" w:eastAsia="Times New Roman" w:hAnsi="Palatino Linotype" w:cs="Times New Roman"/>
          <w:sz w:val="24"/>
          <w:szCs w:val="24"/>
          <w:lang w:val="es-ES" w:eastAsia="es-MX"/>
        </w:rPr>
      </w:pPr>
      <w:r w:rsidRPr="008E21A7">
        <w:rPr>
          <w:rFonts w:ascii="Palatino Linotype" w:eastAsia="Times New Roman" w:hAnsi="Palatino Linotype" w:cs="Times New Roman"/>
          <w:sz w:val="24"/>
          <w:szCs w:val="24"/>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8E21A7" w:rsidRPr="008E21A7" w:rsidRDefault="008E21A7" w:rsidP="008E21A7">
      <w:pPr>
        <w:spacing w:after="0" w:line="360" w:lineRule="auto"/>
        <w:jc w:val="both"/>
        <w:rPr>
          <w:rFonts w:ascii="Palatino Linotype" w:eastAsia="Times New Roman" w:hAnsi="Palatino Linotype" w:cs="Times New Roman"/>
          <w:sz w:val="24"/>
          <w:szCs w:val="24"/>
          <w:lang w:val="es-ES" w:eastAsia="es-ES"/>
        </w:rPr>
      </w:pPr>
    </w:p>
    <w:p w:rsidR="008E21A7" w:rsidRPr="008E21A7" w:rsidRDefault="008E21A7" w:rsidP="008E21A7">
      <w:pPr>
        <w:spacing w:after="0" w:line="240" w:lineRule="auto"/>
        <w:ind w:left="567" w:right="567"/>
        <w:jc w:val="both"/>
        <w:rPr>
          <w:rFonts w:ascii="Palatino Linotype" w:eastAsia="Times New Roman" w:hAnsi="Palatino Linotype" w:cs="Times New Roman"/>
          <w:bCs/>
          <w:i/>
          <w:iCs/>
          <w:sz w:val="24"/>
          <w:szCs w:val="24"/>
          <w:lang w:val="es-ES" w:eastAsia="es-ES"/>
        </w:rPr>
      </w:pPr>
      <w:r w:rsidRPr="008E21A7">
        <w:rPr>
          <w:rFonts w:ascii="Palatino Linotype" w:eastAsia="Times New Roman" w:hAnsi="Palatino Linotype" w:cs="Times New Roman"/>
          <w:b/>
          <w:bCs/>
          <w:i/>
          <w:iCs/>
          <w:sz w:val="24"/>
          <w:szCs w:val="24"/>
          <w:lang w:val="es-ES" w:eastAsia="es-ES"/>
        </w:rPr>
        <w:t xml:space="preserve">INEXISTENCIA DE LA INFORMACIÓN. SUPUESTOS PARA EMITIR LA RESOLUCIÓN DE LA. </w:t>
      </w:r>
      <w:r w:rsidRPr="008E21A7">
        <w:rPr>
          <w:rFonts w:ascii="Palatino Linotype" w:eastAsia="Times New Roman" w:hAnsi="Palatino Linotype" w:cs="Times New Roman"/>
          <w:bCs/>
          <w:i/>
          <w:iCs/>
          <w:sz w:val="24"/>
          <w:szCs w:val="24"/>
          <w:lang w:val="es-ES" w:eastAsia="es-E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val="es-ES_tradnl" w:eastAsia="es-ES"/>
        </w:rPr>
      </w:pPr>
      <w:r w:rsidRPr="008E21A7">
        <w:rPr>
          <w:rFonts w:ascii="Palatino Linotype" w:eastAsia="Times New Roman" w:hAnsi="Palatino Linotype" w:cs="Arial"/>
          <w:sz w:val="24"/>
          <w:szCs w:val="24"/>
          <w:lang w:val="es-ES_tradnl" w:eastAsia="es-ES"/>
        </w:rPr>
        <w:t xml:space="preserve">En mérito de todo lo expuesto, ante lo </w:t>
      </w:r>
      <w:r w:rsidRPr="008E21A7">
        <w:rPr>
          <w:rFonts w:ascii="Palatino Linotype" w:eastAsia="Times New Roman" w:hAnsi="Palatino Linotype" w:cs="Arial"/>
          <w:b/>
          <w:sz w:val="24"/>
          <w:szCs w:val="24"/>
          <w:lang w:val="es-ES_tradnl" w:eastAsia="es-ES"/>
        </w:rPr>
        <w:t>fundado</w:t>
      </w:r>
      <w:r w:rsidRPr="008E21A7">
        <w:rPr>
          <w:rFonts w:ascii="Palatino Linotype" w:eastAsia="Times New Roman" w:hAnsi="Palatino Linotype" w:cs="Arial"/>
          <w:sz w:val="24"/>
          <w:szCs w:val="24"/>
          <w:lang w:val="es-ES_tradnl" w:eastAsia="es-E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8E21A7" w:rsidRPr="008E21A7" w:rsidRDefault="008E21A7" w:rsidP="008E21A7">
      <w:pPr>
        <w:spacing w:after="0" w:line="360" w:lineRule="auto"/>
        <w:jc w:val="both"/>
        <w:rPr>
          <w:rFonts w:ascii="Palatino Linotype" w:eastAsia="Times New Roman" w:hAnsi="Palatino Linotype" w:cs="Arial"/>
          <w:sz w:val="24"/>
          <w:szCs w:val="24"/>
          <w:lang w:val="es-ES_tradnl" w:eastAsia="es-ES"/>
        </w:rPr>
      </w:pP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r w:rsidRPr="008E21A7">
        <w:rPr>
          <w:rFonts w:ascii="Palatino Linotype" w:eastAsia="Times New Roman" w:hAnsi="Palatino Linotype" w:cs="Times New Roman"/>
          <w:sz w:val="24"/>
          <w:szCs w:val="24"/>
          <w:lang w:eastAsia="es-ES"/>
        </w:rPr>
        <w:t>Antes de concluir, es de señalar que</w:t>
      </w:r>
      <w:r w:rsidRPr="008E21A7">
        <w:rPr>
          <w:rFonts w:ascii="Palatino Linotype" w:eastAsia="Times New Roman" w:hAnsi="Palatino Linotype" w:cs="Arial"/>
          <w:sz w:val="24"/>
          <w:szCs w:val="24"/>
          <w:lang w:eastAsia="es-ES"/>
        </w:rPr>
        <w:t>, como ya se mencionó el Sujeto Obligado</w:t>
      </w:r>
      <w:r w:rsidRPr="008E21A7">
        <w:rPr>
          <w:rFonts w:ascii="Palatino Linotype" w:eastAsia="Calibri" w:hAnsi="Palatino Linotype" w:cs="Arial"/>
          <w:sz w:val="24"/>
          <w:szCs w:val="24"/>
          <w:lang w:eastAsia="es-ES"/>
        </w:rPr>
        <w:t>, omitió proporcionar la respuesta a su solicitud de acceso a la información pública, en el término contemplado en el ya citado artículo 163 de la Ley de la materia razón por la que</w:t>
      </w:r>
      <w:r w:rsidRPr="008E21A7">
        <w:rPr>
          <w:rFonts w:ascii="Palatino Linotype" w:eastAsia="Times New Roman" w:hAnsi="Palatino Linotype" w:cs="Arial"/>
          <w:sz w:val="24"/>
          <w:szCs w:val="24"/>
          <w:lang w:eastAsia="es-ES"/>
        </w:rPr>
        <w:t xml:space="preserve"> </w:t>
      </w:r>
      <w:r w:rsidRPr="008E21A7">
        <w:rPr>
          <w:rFonts w:ascii="Palatino Linotype" w:eastAsia="Times New Roman" w:hAnsi="Palatino Linotype" w:cs="Arial"/>
          <w:b/>
          <w:sz w:val="24"/>
          <w:szCs w:val="24"/>
          <w:lang w:eastAsia="es-ES"/>
        </w:rPr>
        <w:t>se ordena dar vista al Titular de la Contraloría Interna y Órgano de Control y Vigilancia de este Instituto</w:t>
      </w:r>
      <w:r w:rsidRPr="008E21A7">
        <w:rPr>
          <w:rFonts w:ascii="Palatino Linotype" w:eastAsia="Times New Roman" w:hAnsi="Palatino Linotype" w:cs="Arial"/>
          <w:sz w:val="24"/>
          <w:szCs w:val="24"/>
          <w:lang w:eastAsia="es-E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21A7" w:rsidRPr="008E21A7" w:rsidRDefault="008E21A7" w:rsidP="008E21A7">
      <w:pPr>
        <w:spacing w:after="0" w:line="360" w:lineRule="auto"/>
        <w:jc w:val="both"/>
        <w:rPr>
          <w:rFonts w:ascii="Palatino Linotype" w:eastAsia="Times New Roman" w:hAnsi="Palatino Linotype" w:cs="Arial"/>
          <w:sz w:val="24"/>
          <w:szCs w:val="24"/>
          <w:lang w:eastAsia="es-ES"/>
        </w:rPr>
      </w:pPr>
    </w:p>
    <w:p w:rsidR="008E21A7" w:rsidRPr="008E21A7" w:rsidRDefault="008E21A7" w:rsidP="008E21A7">
      <w:pPr>
        <w:spacing w:after="0" w:line="360" w:lineRule="auto"/>
        <w:jc w:val="both"/>
        <w:rPr>
          <w:rFonts w:ascii="Palatino Linotype" w:eastAsia="Calibri" w:hAnsi="Palatino Linotype" w:cs="Arial"/>
          <w:sz w:val="24"/>
          <w:szCs w:val="24"/>
          <w:lang w:eastAsia="es-ES"/>
        </w:rPr>
      </w:pPr>
      <w:r w:rsidRPr="008E21A7">
        <w:rPr>
          <w:rFonts w:ascii="Palatino Linotype" w:eastAsia="Calibri" w:hAnsi="Palatino Linotype" w:cs="Arial"/>
          <w:sz w:val="24"/>
          <w:szCs w:val="24"/>
          <w:lang w:eastAsia="es-ES"/>
        </w:rPr>
        <w:t xml:space="preserve">Así, con </w:t>
      </w:r>
      <w:r w:rsidRPr="008E21A7">
        <w:rPr>
          <w:rFonts w:ascii="Palatino Linotype" w:eastAsia="Times New Roman" w:hAnsi="Palatino Linotype" w:cs="Arial"/>
          <w:sz w:val="24"/>
          <w:szCs w:val="24"/>
          <w:lang w:eastAsia="es-ES"/>
        </w:rPr>
        <w:t>fundamento</w:t>
      </w:r>
      <w:r w:rsidRPr="008E21A7">
        <w:rPr>
          <w:rFonts w:ascii="Palatino Linotype" w:eastAsia="Calibri" w:hAnsi="Palatino Linotype" w:cs="Arial"/>
          <w:sz w:val="24"/>
          <w:szCs w:val="24"/>
          <w:lang w:eastAsia="es-ES"/>
        </w:rPr>
        <w:t xml:space="preserve"> en lo prescrito en los artículos 5, </w:t>
      </w:r>
      <w:r w:rsidRPr="008E21A7">
        <w:rPr>
          <w:rFonts w:ascii="Palatino Linotype" w:eastAsia="Times New Roman" w:hAnsi="Palatino Linotype" w:cs="Times New Roman"/>
          <w:sz w:val="24"/>
          <w:szCs w:val="24"/>
          <w:lang w:eastAsia="es-ES"/>
        </w:rPr>
        <w:t>vigésimo segundo, vigésimo tercero y vigésimo cuarto</w:t>
      </w:r>
      <w:r w:rsidRPr="008E21A7">
        <w:rPr>
          <w:rFonts w:ascii="Palatino Linotype" w:eastAsia="Times New Roman" w:hAnsi="Palatino Linotype" w:cs="Arial"/>
          <w:sz w:val="24"/>
          <w:szCs w:val="24"/>
          <w:lang w:eastAsia="es-ES"/>
        </w:rPr>
        <w:t>,</w:t>
      </w:r>
      <w:r w:rsidRPr="008E21A7">
        <w:rPr>
          <w:rFonts w:ascii="Palatino Linotype" w:eastAsia="Times New Roman" w:hAnsi="Palatino Linotype" w:cs="Times New Roman"/>
          <w:sz w:val="24"/>
          <w:szCs w:val="24"/>
          <w:lang w:eastAsia="es-ES"/>
        </w:rPr>
        <w:t xml:space="preserve"> </w:t>
      </w:r>
      <w:r w:rsidRPr="008E21A7">
        <w:rPr>
          <w:rFonts w:ascii="Palatino Linotype" w:eastAsia="Times New Roman" w:hAnsi="Palatino Linotype" w:cs="Arial"/>
          <w:sz w:val="24"/>
          <w:szCs w:val="24"/>
          <w:lang w:eastAsia="es-ES"/>
        </w:rPr>
        <w:t>fracciones</w:t>
      </w:r>
      <w:r w:rsidRPr="008E21A7">
        <w:rPr>
          <w:rFonts w:ascii="Palatino Linotype" w:eastAsia="Times New Roman" w:hAnsi="Palatino Linotype" w:cs="Times New Roman"/>
          <w:sz w:val="24"/>
          <w:szCs w:val="24"/>
          <w:lang w:eastAsia="es-ES"/>
        </w:rPr>
        <w:t xml:space="preserve"> IV y V</w:t>
      </w:r>
      <w:r w:rsidRPr="008E21A7">
        <w:rPr>
          <w:rFonts w:ascii="Palatino Linotype" w:eastAsia="Calibri" w:hAnsi="Palatino Linotype" w:cs="Arial"/>
          <w:sz w:val="24"/>
          <w:szCs w:val="24"/>
          <w:lang w:eastAsia="es-ES"/>
        </w:rPr>
        <w:t xml:space="preserve"> de la Constitución Política del Estado Libre y Soberano de México y los artículos </w:t>
      </w:r>
      <w:r w:rsidRPr="008E21A7">
        <w:rPr>
          <w:rFonts w:ascii="Palatino Linotype" w:eastAsia="Times New Roman" w:hAnsi="Palatino Linotype" w:cs="Times New Roman"/>
          <w:sz w:val="24"/>
          <w:szCs w:val="24"/>
          <w:lang w:eastAsia="es-ES"/>
        </w:rPr>
        <w:t xml:space="preserve">2, </w:t>
      </w:r>
      <w:r w:rsidRPr="008E21A7">
        <w:rPr>
          <w:rFonts w:ascii="Palatino Linotype" w:eastAsia="Times New Roman" w:hAnsi="Palatino Linotype" w:cs="Arial"/>
          <w:sz w:val="24"/>
          <w:szCs w:val="24"/>
          <w:lang w:eastAsia="es-ES"/>
        </w:rPr>
        <w:t>fracción</w:t>
      </w:r>
      <w:r w:rsidRPr="008E21A7">
        <w:rPr>
          <w:rFonts w:ascii="Palatino Linotype" w:eastAsia="Times New Roman" w:hAnsi="Palatino Linotype" w:cs="Times New Roman"/>
          <w:sz w:val="24"/>
          <w:szCs w:val="24"/>
          <w:lang w:eastAsia="es-ES"/>
        </w:rPr>
        <w:t xml:space="preserve"> II, 9, </w:t>
      </w:r>
      <w:r w:rsidRPr="008E21A7">
        <w:rPr>
          <w:rFonts w:ascii="Palatino Linotype" w:eastAsia="Times New Roman" w:hAnsi="Palatino Linotype" w:cs="Arial"/>
          <w:sz w:val="24"/>
          <w:szCs w:val="24"/>
          <w:lang w:val="es-ES_tradnl" w:eastAsia="es-ES"/>
        </w:rPr>
        <w:t>29</w:t>
      </w:r>
      <w:r w:rsidRPr="008E21A7">
        <w:rPr>
          <w:rFonts w:ascii="Palatino Linotype" w:eastAsia="Times New Roman" w:hAnsi="Palatino Linotype" w:cs="Times New Roman"/>
          <w:sz w:val="24"/>
          <w:szCs w:val="24"/>
          <w:lang w:eastAsia="es-ES"/>
        </w:rPr>
        <w:t>, 36, fracciones I y II, 176, 178, 179, 181, 185, fracción I, 186 y 188</w:t>
      </w:r>
      <w:r w:rsidRPr="008E21A7">
        <w:rPr>
          <w:rFonts w:ascii="Palatino Linotype" w:eastAsia="Calibri" w:hAnsi="Palatino Linotype" w:cs="Arial"/>
          <w:sz w:val="24"/>
          <w:szCs w:val="24"/>
          <w:lang w:eastAsia="es-ES"/>
        </w:rPr>
        <w:t xml:space="preserve"> de la Ley de Transparencia y Acceso a la Información Pública del Estado de México y </w:t>
      </w:r>
      <w:r w:rsidRPr="008E21A7">
        <w:rPr>
          <w:rFonts w:ascii="Palatino Linotype" w:eastAsia="Times New Roman" w:hAnsi="Palatino Linotype" w:cs="Arial"/>
          <w:sz w:val="24"/>
          <w:szCs w:val="24"/>
          <w:lang w:eastAsia="es-ES"/>
        </w:rPr>
        <w:t>Municipios</w:t>
      </w:r>
      <w:r w:rsidRPr="008E21A7">
        <w:rPr>
          <w:rFonts w:ascii="Palatino Linotype" w:eastAsia="Calibri" w:hAnsi="Palatino Linotype" w:cs="Arial"/>
          <w:sz w:val="24"/>
          <w:szCs w:val="24"/>
          <w:lang w:eastAsia="es-ES"/>
        </w:rPr>
        <w:t xml:space="preserve">, </w:t>
      </w:r>
      <w:r w:rsidRPr="008E21A7">
        <w:rPr>
          <w:rFonts w:ascii="Palatino Linotype" w:eastAsia="Times New Roman" w:hAnsi="Palatino Linotype" w:cs="Times New Roman"/>
          <w:sz w:val="24"/>
          <w:szCs w:val="24"/>
          <w:lang w:eastAsia="es-ES"/>
        </w:rPr>
        <w:t>este</w:t>
      </w:r>
      <w:r w:rsidRPr="008E21A7">
        <w:rPr>
          <w:rFonts w:ascii="Palatino Linotype" w:eastAsia="Calibri" w:hAnsi="Palatino Linotype" w:cs="Arial"/>
          <w:sz w:val="24"/>
          <w:szCs w:val="24"/>
          <w:lang w:eastAsia="es-ES"/>
        </w:rPr>
        <w:t xml:space="preserve"> Pleno:</w:t>
      </w:r>
    </w:p>
    <w:p w:rsidR="008E21A7" w:rsidRPr="008E21A7" w:rsidRDefault="008E21A7" w:rsidP="008E21A7">
      <w:pPr>
        <w:spacing w:after="0" w:line="360" w:lineRule="auto"/>
        <w:jc w:val="both"/>
        <w:rPr>
          <w:rFonts w:ascii="Palatino Linotype" w:eastAsia="Calibri" w:hAnsi="Palatino Linotype" w:cs="Calibri"/>
          <w:sz w:val="24"/>
          <w:szCs w:val="24"/>
          <w:lang w:eastAsia="es-ES"/>
        </w:rPr>
      </w:pPr>
    </w:p>
    <w:p w:rsidR="008E21A7" w:rsidRPr="008E21A7" w:rsidRDefault="008E21A7" w:rsidP="008E21A7">
      <w:pPr>
        <w:spacing w:after="0" w:line="360" w:lineRule="auto"/>
        <w:jc w:val="center"/>
        <w:rPr>
          <w:rFonts w:ascii="Palatino Linotype" w:eastAsia="Times New Roman" w:hAnsi="Palatino Linotype" w:cs="Calibri"/>
          <w:b/>
          <w:sz w:val="26"/>
          <w:szCs w:val="26"/>
          <w:lang w:val="pt-BR" w:eastAsia="es-ES"/>
        </w:rPr>
      </w:pPr>
      <w:r w:rsidRPr="008E21A7">
        <w:rPr>
          <w:rFonts w:ascii="Palatino Linotype" w:eastAsia="Times New Roman" w:hAnsi="Palatino Linotype" w:cs="Calibri"/>
          <w:b/>
          <w:sz w:val="26"/>
          <w:szCs w:val="26"/>
          <w:lang w:val="pt-BR" w:eastAsia="es-ES"/>
        </w:rPr>
        <w:t>R E S U E L V E</w:t>
      </w:r>
    </w:p>
    <w:p w:rsidR="008E21A7" w:rsidRPr="008E21A7" w:rsidRDefault="008E21A7" w:rsidP="008E21A7">
      <w:pPr>
        <w:spacing w:after="0" w:line="360" w:lineRule="auto"/>
        <w:jc w:val="both"/>
        <w:rPr>
          <w:rFonts w:ascii="Palatino Linotype" w:eastAsia="Times New Roman" w:hAnsi="Palatino Linotype" w:cs="Calibri"/>
          <w:sz w:val="24"/>
          <w:szCs w:val="24"/>
          <w:lang w:val="pt-BR"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b/>
          <w:sz w:val="24"/>
          <w:szCs w:val="24"/>
          <w:lang w:val="es-ES_tradnl" w:eastAsia="es-ES"/>
        </w:rPr>
        <w:t>PRIMERO.</w:t>
      </w:r>
      <w:r w:rsidRPr="008E21A7">
        <w:rPr>
          <w:rFonts w:ascii="Palatino Linotype" w:eastAsia="Times New Roman" w:hAnsi="Palatino Linotype" w:cs="Calibri"/>
          <w:sz w:val="24"/>
          <w:szCs w:val="24"/>
          <w:lang w:eastAsia="es-ES"/>
        </w:rPr>
        <w:t xml:space="preserve"> Resultan fundadas las razones o motivos de inconformidad hechos valer por el Recurrente</w:t>
      </w:r>
      <w:r w:rsidRPr="008E21A7">
        <w:rPr>
          <w:rFonts w:ascii="Palatino Linotype" w:eastAsia="Times New Roman" w:hAnsi="Palatino Linotype" w:cs="Calibri"/>
          <w:b/>
          <w:sz w:val="24"/>
          <w:szCs w:val="24"/>
          <w:lang w:eastAsia="es-ES"/>
        </w:rPr>
        <w:t>,</w:t>
      </w:r>
      <w:r w:rsidRPr="008E21A7">
        <w:rPr>
          <w:rFonts w:ascii="Palatino Linotype" w:eastAsia="Times New Roman" w:hAnsi="Palatino Linotype" w:cs="Calibri"/>
          <w:sz w:val="24"/>
          <w:szCs w:val="24"/>
          <w:lang w:eastAsia="es-ES"/>
        </w:rPr>
        <w:t xml:space="preserve"> en términos del </w:t>
      </w:r>
      <w:r w:rsidRPr="008E21A7">
        <w:rPr>
          <w:rFonts w:ascii="Palatino Linotype" w:eastAsia="Times New Roman" w:hAnsi="Palatino Linotype" w:cs="Calibri"/>
          <w:b/>
          <w:sz w:val="24"/>
          <w:szCs w:val="24"/>
          <w:lang w:eastAsia="es-ES"/>
        </w:rPr>
        <w:t xml:space="preserve">Considerando CUARTO </w:t>
      </w:r>
      <w:r w:rsidRPr="008E21A7">
        <w:rPr>
          <w:rFonts w:ascii="Palatino Linotype" w:eastAsia="Times New Roman" w:hAnsi="Palatino Linotype" w:cs="Calibri"/>
          <w:sz w:val="24"/>
          <w:szCs w:val="24"/>
          <w:lang w:eastAsia="es-ES"/>
        </w:rPr>
        <w:t>de la presente resolución.</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b/>
          <w:sz w:val="24"/>
          <w:szCs w:val="24"/>
          <w:lang w:eastAsia="es-ES"/>
        </w:rPr>
        <w:t xml:space="preserve">SEGUNDO. </w:t>
      </w:r>
      <w:r w:rsidRPr="008E21A7">
        <w:rPr>
          <w:rFonts w:ascii="Palatino Linotype" w:eastAsia="Times New Roman" w:hAnsi="Palatino Linotype" w:cs="Times New Roman"/>
          <w:color w:val="222222"/>
          <w:sz w:val="24"/>
          <w:szCs w:val="24"/>
          <w:lang w:eastAsia="es-MX"/>
        </w:rPr>
        <w:t>Se</w:t>
      </w:r>
      <w:r w:rsidRPr="008E21A7">
        <w:rPr>
          <w:rFonts w:ascii="Palatino Linotype" w:eastAsia="Times New Roman" w:hAnsi="Palatino Linotype" w:cs="Times New Roman"/>
          <w:b/>
          <w:bCs/>
          <w:color w:val="222222"/>
          <w:sz w:val="24"/>
          <w:szCs w:val="24"/>
          <w:lang w:eastAsia="es-MX"/>
        </w:rPr>
        <w:t xml:space="preserve"> ORDENA </w:t>
      </w:r>
      <w:r w:rsidRPr="008E21A7">
        <w:rPr>
          <w:rFonts w:ascii="Palatino Linotype" w:eastAsia="Times New Roman" w:hAnsi="Palatino Linotype" w:cs="Times New Roman"/>
          <w:color w:val="222222"/>
          <w:sz w:val="24"/>
          <w:szCs w:val="24"/>
          <w:lang w:eastAsia="es-MX"/>
        </w:rPr>
        <w:t>al Sujeto Obligado que</w:t>
      </w:r>
      <w:r w:rsidRPr="008E21A7">
        <w:rPr>
          <w:rFonts w:ascii="Palatino Linotype" w:eastAsia="Times New Roman" w:hAnsi="Palatino Linotype" w:cs="Times New Roman"/>
          <w:b/>
          <w:bCs/>
          <w:color w:val="222222"/>
          <w:sz w:val="24"/>
          <w:szCs w:val="24"/>
          <w:lang w:eastAsia="es-MX"/>
        </w:rPr>
        <w:t xml:space="preserve"> </w:t>
      </w:r>
      <w:r w:rsidR="009777C4">
        <w:rPr>
          <w:rFonts w:ascii="Palatino Linotype" w:eastAsia="Times New Roman" w:hAnsi="Palatino Linotype" w:cs="Times New Roman"/>
          <w:bCs/>
          <w:color w:val="222222"/>
          <w:sz w:val="24"/>
          <w:szCs w:val="24"/>
          <w:lang w:eastAsia="es-MX"/>
        </w:rPr>
        <w:t>atienda la solicitud</w:t>
      </w:r>
      <w:r w:rsidRPr="008E21A7">
        <w:rPr>
          <w:rFonts w:ascii="Palatino Linotype" w:eastAsia="Times New Roman" w:hAnsi="Palatino Linotype" w:cs="Times New Roman"/>
          <w:bCs/>
          <w:color w:val="222222"/>
          <w:sz w:val="24"/>
          <w:szCs w:val="24"/>
          <w:lang w:eastAsia="es-MX"/>
        </w:rPr>
        <w:t xml:space="preserve"> de información </w:t>
      </w:r>
      <w:r w:rsidR="009777C4" w:rsidRPr="009777C4">
        <w:rPr>
          <w:rFonts w:ascii="Palatino Linotype" w:eastAsia="Times New Roman" w:hAnsi="Palatino Linotype" w:cs="Times New Roman"/>
          <w:b/>
          <w:bCs/>
          <w:color w:val="000000"/>
          <w:sz w:val="24"/>
          <w:szCs w:val="24"/>
          <w:lang w:eastAsia="es-ES"/>
        </w:rPr>
        <w:t>00071/CALIMAYA/IP/2020</w:t>
      </w:r>
      <w:r w:rsidRPr="008E21A7">
        <w:rPr>
          <w:rFonts w:ascii="Palatino Linotype" w:eastAsia="Times New Roman" w:hAnsi="Palatino Linotype" w:cs="Times New Roman"/>
          <w:b/>
          <w:bCs/>
          <w:color w:val="222222"/>
          <w:sz w:val="24"/>
          <w:szCs w:val="24"/>
          <w:lang w:eastAsia="es-MX"/>
        </w:rPr>
        <w:t xml:space="preserve"> </w:t>
      </w:r>
      <w:r w:rsidRPr="008E21A7">
        <w:rPr>
          <w:rFonts w:ascii="Palatino Linotype" w:eastAsia="Times New Roman" w:hAnsi="Palatino Linotype" w:cs="Times New Roman"/>
          <w:color w:val="222222"/>
          <w:sz w:val="24"/>
          <w:szCs w:val="24"/>
          <w:lang w:eastAsia="es-MX"/>
        </w:rPr>
        <w:t xml:space="preserve">en términos del </w:t>
      </w:r>
      <w:r w:rsidRPr="008E21A7">
        <w:rPr>
          <w:rFonts w:ascii="Palatino Linotype" w:eastAsia="Times New Roman" w:hAnsi="Palatino Linotype" w:cs="Times New Roman"/>
          <w:b/>
          <w:color w:val="222222"/>
          <w:sz w:val="24"/>
          <w:szCs w:val="24"/>
          <w:lang w:eastAsia="es-MX"/>
        </w:rPr>
        <w:t xml:space="preserve">Considerando </w:t>
      </w:r>
      <w:r w:rsidRPr="008E21A7">
        <w:rPr>
          <w:rFonts w:ascii="Palatino Linotype" w:eastAsia="Times New Roman" w:hAnsi="Palatino Linotype" w:cs="Times New Roman"/>
          <w:b/>
          <w:bCs/>
          <w:color w:val="222222"/>
          <w:sz w:val="24"/>
          <w:szCs w:val="24"/>
          <w:lang w:eastAsia="es-MX"/>
        </w:rPr>
        <w:t xml:space="preserve">CUARTO </w:t>
      </w:r>
      <w:r w:rsidRPr="008E21A7">
        <w:rPr>
          <w:rFonts w:ascii="Palatino Linotype" w:eastAsia="Times New Roman" w:hAnsi="Palatino Linotype" w:cs="Times New Roman"/>
          <w:color w:val="222222"/>
          <w:sz w:val="24"/>
          <w:szCs w:val="24"/>
          <w:lang w:eastAsia="es-MX"/>
        </w:rPr>
        <w:t>de esta resolución; vía Sistema de Acceso a la Información Mexiquense (</w:t>
      </w:r>
      <w:r w:rsidRPr="008E21A7">
        <w:rPr>
          <w:rFonts w:ascii="Palatino Linotype" w:eastAsia="Times New Roman" w:hAnsi="Palatino Linotype" w:cs="Times New Roman"/>
          <w:bCs/>
          <w:color w:val="222222"/>
          <w:sz w:val="24"/>
          <w:szCs w:val="24"/>
          <w:lang w:eastAsia="es-MX"/>
        </w:rPr>
        <w:t xml:space="preserve">SAIMEX). </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b/>
          <w:sz w:val="24"/>
          <w:szCs w:val="24"/>
          <w:lang w:eastAsia="es-ES"/>
        </w:rPr>
        <w:t>TERCERO. Remítase</w:t>
      </w:r>
      <w:r w:rsidRPr="008E21A7">
        <w:rPr>
          <w:rFonts w:ascii="Palatino Linotype" w:eastAsia="Times New Roman" w:hAnsi="Palatino Linotype" w:cs="Calibri"/>
          <w:i/>
          <w:sz w:val="24"/>
          <w:szCs w:val="24"/>
          <w:lang w:eastAsia="es-ES"/>
        </w:rPr>
        <w:t xml:space="preserve"> </w:t>
      </w:r>
      <w:r w:rsidRPr="008E21A7">
        <w:rPr>
          <w:rFonts w:ascii="Palatino Linotype" w:eastAsia="Times New Roman" w:hAnsi="Palatino Linotype" w:cs="Calibri"/>
          <w:sz w:val="24"/>
          <w:szCs w:val="24"/>
          <w:lang w:eastAsia="es-ES"/>
        </w:rPr>
        <w:t>la presente resolución al Titular de la Unidad de Transparencia del</w:t>
      </w:r>
      <w:r w:rsidRPr="008E21A7">
        <w:rPr>
          <w:rFonts w:ascii="Palatino Linotype" w:eastAsia="Times New Roman" w:hAnsi="Palatino Linotype" w:cs="Calibri"/>
          <w:b/>
          <w:sz w:val="24"/>
          <w:szCs w:val="24"/>
          <w:lang w:eastAsia="es-ES"/>
        </w:rPr>
        <w:t xml:space="preserve"> </w:t>
      </w:r>
      <w:r w:rsidRPr="008E21A7">
        <w:rPr>
          <w:rFonts w:ascii="Palatino Linotype" w:eastAsia="Times New Roman" w:hAnsi="Palatino Linotype" w:cs="Calibri"/>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r w:rsidRPr="008E21A7">
        <w:rPr>
          <w:rFonts w:ascii="Palatino Linotype" w:eastAsia="Times New Roman" w:hAnsi="Palatino Linotype" w:cs="Calibri"/>
          <w:b/>
          <w:sz w:val="24"/>
          <w:szCs w:val="24"/>
          <w:lang w:eastAsia="es-ES"/>
        </w:rPr>
        <w:t xml:space="preserve">CUARTO. Notifíquese </w:t>
      </w:r>
      <w:r w:rsidRPr="008E21A7">
        <w:rPr>
          <w:rFonts w:ascii="Palatino Linotype" w:eastAsia="Times New Roman" w:hAnsi="Palatino Linotype" w:cs="Calibri"/>
          <w:sz w:val="24"/>
          <w:szCs w:val="24"/>
          <w:lang w:eastAsia="es-ES"/>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MS Mincho" w:hAnsi="Palatino Linotype" w:cs="Calibri"/>
          <w:sz w:val="24"/>
          <w:szCs w:val="24"/>
          <w:lang w:eastAsia="es-ES"/>
        </w:rPr>
      </w:pPr>
      <w:r w:rsidRPr="008E21A7">
        <w:rPr>
          <w:rFonts w:ascii="Palatino Linotype" w:eastAsia="Times New Roman" w:hAnsi="Palatino Linotype" w:cs="Calibri"/>
          <w:b/>
          <w:sz w:val="24"/>
          <w:szCs w:val="24"/>
          <w:lang w:val="es-ES" w:eastAsia="es-ES"/>
        </w:rPr>
        <w:t>QUINTO. Gírese</w:t>
      </w:r>
      <w:r w:rsidRPr="008E21A7">
        <w:rPr>
          <w:rFonts w:ascii="Palatino Linotype" w:eastAsia="MS Mincho" w:hAnsi="Palatino Linotype" w:cs="Calibri"/>
          <w:sz w:val="24"/>
          <w:szCs w:val="24"/>
          <w:lang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E21A7">
        <w:rPr>
          <w:rFonts w:ascii="Palatino Linotype" w:eastAsia="MS Mincho" w:hAnsi="Palatino Linotype" w:cs="Calibri"/>
          <w:b/>
          <w:sz w:val="24"/>
          <w:szCs w:val="24"/>
          <w:lang w:eastAsia="es-ES"/>
        </w:rPr>
        <w:t>Considerando</w:t>
      </w:r>
      <w:r w:rsidRPr="008E21A7">
        <w:rPr>
          <w:rFonts w:ascii="Palatino Linotype" w:eastAsia="MS Mincho" w:hAnsi="Palatino Linotype" w:cs="Calibri"/>
          <w:sz w:val="24"/>
          <w:szCs w:val="24"/>
          <w:lang w:eastAsia="es-ES"/>
        </w:rPr>
        <w:t xml:space="preserve"> </w:t>
      </w:r>
      <w:r w:rsidRPr="008E21A7">
        <w:rPr>
          <w:rFonts w:ascii="Palatino Linotype" w:eastAsia="MS Mincho" w:hAnsi="Palatino Linotype" w:cs="Calibri"/>
          <w:b/>
          <w:sz w:val="24"/>
          <w:szCs w:val="24"/>
          <w:lang w:eastAsia="es-ES"/>
        </w:rPr>
        <w:t>CUARTO</w:t>
      </w:r>
      <w:r w:rsidRPr="008E21A7">
        <w:rPr>
          <w:rFonts w:ascii="Palatino Linotype" w:eastAsia="MS Mincho" w:hAnsi="Palatino Linotype" w:cs="Calibri"/>
          <w:sz w:val="24"/>
          <w:szCs w:val="24"/>
          <w:lang w:eastAsia="es-ES"/>
        </w:rPr>
        <w:t xml:space="preserve"> de la presente resolución. </w:t>
      </w:r>
    </w:p>
    <w:p w:rsidR="008E21A7" w:rsidRPr="008E21A7" w:rsidRDefault="008E21A7" w:rsidP="008E21A7">
      <w:pPr>
        <w:spacing w:after="0" w:line="360" w:lineRule="auto"/>
        <w:jc w:val="both"/>
        <w:rPr>
          <w:rFonts w:ascii="Palatino Linotype" w:eastAsia="Times New Roman" w:hAnsi="Palatino Linotype" w:cs="Calibri"/>
          <w:sz w:val="24"/>
          <w:szCs w:val="24"/>
          <w:lang w:eastAsia="es-ES"/>
        </w:rPr>
      </w:pPr>
    </w:p>
    <w:p w:rsidR="008E21A7" w:rsidRPr="008E21A7" w:rsidRDefault="008E21A7" w:rsidP="008E21A7">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E21A7">
        <w:rPr>
          <w:rFonts w:ascii="Palatino Linotype" w:eastAsia="Times New Roman" w:hAnsi="Palatino Linotype" w:cs="Calibri"/>
          <w:b/>
          <w:sz w:val="24"/>
          <w:szCs w:val="24"/>
          <w:lang w:eastAsia="es-ES"/>
        </w:rPr>
        <w:t>SEXTO.</w:t>
      </w:r>
      <w:r w:rsidRPr="008E21A7">
        <w:rPr>
          <w:rFonts w:ascii="Palatino Linotype" w:eastAsia="Times New Roman" w:hAnsi="Palatino Linotype" w:cs="Calibri"/>
          <w:sz w:val="24"/>
          <w:szCs w:val="24"/>
          <w:lang w:eastAsia="es-ES"/>
        </w:rPr>
        <w:t xml:space="preserve"> </w:t>
      </w:r>
      <w:r w:rsidRPr="008E21A7">
        <w:rPr>
          <w:rFonts w:ascii="Palatino Linotype" w:eastAsia="Times New Roman" w:hAnsi="Palatino Linotype" w:cs="Calibri"/>
          <w:color w:val="222222"/>
          <w:sz w:val="24"/>
          <w:szCs w:val="24"/>
          <w:lang w:eastAsia="es-ES_tradnl"/>
        </w:rPr>
        <w:t xml:space="preserve">Se hace del conocimiento del Recurrente que, de conformidad con lo establecido en el artículo 179, párrafo segundo, de la Ley de Transparencia y Acceso a la Información Pública del Estado de México y Municipios, tiene derecho a interponer </w:t>
      </w:r>
      <w:r w:rsidRPr="008E21A7">
        <w:rPr>
          <w:rFonts w:ascii="Palatino Linotype" w:eastAsia="Times New Roman" w:hAnsi="Palatino Linotype" w:cs="Calibri"/>
          <w:color w:val="222222"/>
          <w:sz w:val="24"/>
          <w:szCs w:val="24"/>
          <w:lang w:eastAsia="es-ES_tradnl"/>
        </w:rPr>
        <w:lastRenderedPageBreak/>
        <w:t>nuevamente Recurso de Revisión ante este Instituto, por la respuesta que proporcione el Sujeto Obligado, en cumplimiento a esta Resolución.</w:t>
      </w:r>
    </w:p>
    <w:p w:rsidR="008E21A7" w:rsidRPr="008E21A7" w:rsidRDefault="008E21A7" w:rsidP="008E21A7">
      <w:pPr>
        <w:spacing w:after="0" w:line="360" w:lineRule="auto"/>
        <w:jc w:val="both"/>
        <w:rPr>
          <w:rFonts w:ascii="Palatino Linotype" w:eastAsia="Times New Roman" w:hAnsi="Palatino Linotype" w:cs="Times New Roman"/>
          <w:sz w:val="24"/>
          <w:szCs w:val="24"/>
          <w:lang w:eastAsia="es-ES"/>
        </w:rPr>
      </w:pPr>
    </w:p>
    <w:p w:rsidR="006D254A" w:rsidRPr="00AB48CB" w:rsidRDefault="007E2E80" w:rsidP="00B34950">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LO RESUELVE, PO</w:t>
      </w:r>
      <w:r w:rsidR="00617369">
        <w:rPr>
          <w:rFonts w:ascii="Palatino Linotype" w:hAnsi="Palatino Linotype"/>
          <w:sz w:val="24"/>
          <w:szCs w:val="24"/>
        </w:rPr>
        <w:t>R MAYORÍA</w:t>
      </w:r>
      <w:r w:rsidRPr="00AB48CB">
        <w:rPr>
          <w:rFonts w:ascii="Palatino Linotype" w:hAnsi="Palatino Linotype"/>
          <w:sz w:val="24"/>
          <w:szCs w:val="24"/>
        </w:rPr>
        <w:t xml:space="preserve"> DE VOTOS EL PLENO DEL</w:t>
      </w:r>
      <w:r w:rsidRPr="00AB48CB">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AB48CB">
        <w:rPr>
          <w:rFonts w:ascii="Palatino Linotype" w:hAnsi="Palatino Linotype"/>
          <w:sz w:val="24"/>
          <w:szCs w:val="24"/>
        </w:rPr>
        <w:t>, CONFORMADO POR LOS COMISIONADOS ZULEMA MARTÍNEZ SÁNCHEZ, EVA ABAID YAPUR</w:t>
      </w:r>
      <w:r w:rsidR="004A2003">
        <w:rPr>
          <w:rFonts w:ascii="Palatino Linotype" w:hAnsi="Palatino Linotype"/>
          <w:sz w:val="24"/>
          <w:szCs w:val="24"/>
        </w:rPr>
        <w:t xml:space="preserve"> CON VOTO PARTICULAR</w:t>
      </w:r>
      <w:r w:rsidR="004A51FF" w:rsidRPr="00AB48CB">
        <w:rPr>
          <w:rFonts w:ascii="Palatino Linotype" w:hAnsi="Palatino Linotype"/>
          <w:sz w:val="24"/>
          <w:szCs w:val="24"/>
        </w:rPr>
        <w:t>,</w:t>
      </w:r>
      <w:r w:rsidR="00CF27C6" w:rsidRPr="00AB48CB">
        <w:rPr>
          <w:rFonts w:ascii="Palatino Linotype" w:hAnsi="Palatino Linotype"/>
          <w:sz w:val="24"/>
          <w:szCs w:val="24"/>
        </w:rPr>
        <w:t xml:space="preserve"> </w:t>
      </w:r>
      <w:r w:rsidRPr="00AB48CB">
        <w:rPr>
          <w:rFonts w:ascii="Palatino Linotype" w:hAnsi="Palatino Linotype"/>
          <w:sz w:val="24"/>
          <w:szCs w:val="24"/>
        </w:rPr>
        <w:t xml:space="preserve">JOSÉ GUADALUPE LUNA </w:t>
      </w:r>
      <w:r w:rsidR="00D57072" w:rsidRPr="00AB48CB">
        <w:rPr>
          <w:rFonts w:ascii="Palatino Linotype" w:hAnsi="Palatino Linotype"/>
          <w:sz w:val="24"/>
          <w:szCs w:val="24"/>
        </w:rPr>
        <w:t>HERNÁNDEZ</w:t>
      </w:r>
      <w:r w:rsidR="004A2003">
        <w:rPr>
          <w:rFonts w:ascii="Palatino Linotype" w:hAnsi="Palatino Linotype"/>
          <w:sz w:val="24"/>
          <w:szCs w:val="24"/>
        </w:rPr>
        <w:t xml:space="preserve"> CON VOTO PARTICULAR </w:t>
      </w:r>
      <w:r w:rsidR="002B6F8C" w:rsidRPr="00AB48CB">
        <w:rPr>
          <w:rFonts w:ascii="Palatino Linotype" w:hAnsi="Palatino Linotype"/>
          <w:sz w:val="24"/>
          <w:szCs w:val="24"/>
        </w:rPr>
        <w:t xml:space="preserve">, JAVIER </w:t>
      </w:r>
      <w:r w:rsidRPr="00AB48CB">
        <w:rPr>
          <w:rFonts w:ascii="Palatino Linotype" w:hAnsi="Palatino Linotype"/>
          <w:sz w:val="24"/>
          <w:szCs w:val="24"/>
        </w:rPr>
        <w:t>MARTÍNEZ CRUZ</w:t>
      </w:r>
      <w:r w:rsidR="004A2003">
        <w:rPr>
          <w:rFonts w:ascii="Palatino Linotype" w:hAnsi="Palatino Linotype"/>
          <w:sz w:val="24"/>
          <w:szCs w:val="24"/>
        </w:rPr>
        <w:t xml:space="preserve"> EMITIENDO VO EN CONTRA CON VOTO DISIDENTE</w:t>
      </w:r>
      <w:r w:rsidR="002B6F8C" w:rsidRPr="00AB48CB">
        <w:rPr>
          <w:rFonts w:ascii="Palatino Linotype" w:hAnsi="Palatino Linotype"/>
          <w:sz w:val="24"/>
          <w:szCs w:val="24"/>
        </w:rPr>
        <w:t xml:space="preserve"> Y LUIS GUSTAVO PARRA NORIEGA</w:t>
      </w:r>
      <w:r w:rsidR="004A2003">
        <w:rPr>
          <w:rFonts w:ascii="Palatino Linotype" w:hAnsi="Palatino Linotype"/>
          <w:sz w:val="24"/>
          <w:szCs w:val="24"/>
        </w:rPr>
        <w:t xml:space="preserve"> CON VOTO PARTICULAR</w:t>
      </w:r>
      <w:r w:rsidRPr="00AB48CB">
        <w:rPr>
          <w:rFonts w:ascii="Palatino Linotype" w:hAnsi="Palatino Linotype"/>
          <w:sz w:val="24"/>
          <w:szCs w:val="24"/>
        </w:rPr>
        <w:t xml:space="preserve">, EN LA </w:t>
      </w:r>
      <w:r w:rsidR="00267824">
        <w:rPr>
          <w:rFonts w:ascii="Palatino Linotype" w:hAnsi="Palatino Linotype"/>
          <w:sz w:val="24"/>
          <w:szCs w:val="24"/>
        </w:rPr>
        <w:t>VIGÉSIMA CUARTA</w:t>
      </w:r>
      <w:r w:rsidR="00B34950" w:rsidRPr="00AB48CB">
        <w:rPr>
          <w:rFonts w:ascii="Palatino Linotype" w:hAnsi="Palatino Linotype"/>
          <w:sz w:val="24"/>
          <w:szCs w:val="24"/>
        </w:rPr>
        <w:t xml:space="preserve"> </w:t>
      </w:r>
      <w:r w:rsidRPr="00AB48CB">
        <w:rPr>
          <w:rFonts w:ascii="Palatino Linotype" w:hAnsi="Palatino Linotype"/>
          <w:sz w:val="24"/>
          <w:szCs w:val="24"/>
        </w:rPr>
        <w:t xml:space="preserve">SESIÓN ORDINARIA CELEBRADA EL </w:t>
      </w:r>
      <w:r w:rsidR="00267824">
        <w:rPr>
          <w:rFonts w:ascii="Palatino Linotype" w:hAnsi="Palatino Linotype"/>
          <w:sz w:val="24"/>
          <w:szCs w:val="24"/>
        </w:rPr>
        <w:t>CUATRO DE NOVIEMBRE</w:t>
      </w:r>
      <w:r w:rsidR="00D81846">
        <w:rPr>
          <w:rFonts w:ascii="Palatino Linotype" w:hAnsi="Palatino Linotype"/>
          <w:sz w:val="24"/>
          <w:szCs w:val="24"/>
        </w:rPr>
        <w:t xml:space="preserve"> DE DOS MIL VEINTE</w:t>
      </w:r>
      <w:r w:rsidRPr="00AB48CB">
        <w:rPr>
          <w:rFonts w:ascii="Palatino Linotype" w:hAnsi="Palatino Linotype"/>
          <w:sz w:val="24"/>
          <w:szCs w:val="24"/>
        </w:rPr>
        <w:t xml:space="preserve">, ANTE </w:t>
      </w:r>
      <w:r w:rsidR="00F2343A" w:rsidRPr="00AB48CB">
        <w:rPr>
          <w:rFonts w:ascii="Palatino Linotype" w:hAnsi="Palatino Linotype"/>
          <w:sz w:val="24"/>
          <w:szCs w:val="24"/>
        </w:rPr>
        <w:t>EL SECRETARIO TÉCNICO</w:t>
      </w:r>
      <w:r w:rsidRPr="00AB48CB">
        <w:rPr>
          <w:rFonts w:ascii="Palatino Linotype" w:hAnsi="Palatino Linotype"/>
          <w:sz w:val="24"/>
          <w:szCs w:val="24"/>
        </w:rPr>
        <w:t xml:space="preserve"> DEL PLENO, </w:t>
      </w:r>
      <w:r w:rsidR="00F2343A" w:rsidRPr="00AB48CB">
        <w:rPr>
          <w:rFonts w:ascii="Palatino Linotype" w:hAnsi="Palatino Linotype"/>
          <w:sz w:val="24"/>
          <w:szCs w:val="24"/>
        </w:rPr>
        <w:t>ALEXIS TAPIA RAMÍREZ</w:t>
      </w:r>
      <w:r w:rsidR="00DD5DC9" w:rsidRPr="00AB48CB">
        <w:rPr>
          <w:rFonts w:ascii="Palatino Linotype" w:hAnsi="Palatino Linotype"/>
          <w:sz w:val="24"/>
          <w:szCs w:val="24"/>
        </w:rPr>
        <w:t>.-----------</w:t>
      </w:r>
      <w:r w:rsidR="00CF27C6" w:rsidRPr="00AB48CB">
        <w:rPr>
          <w:rFonts w:ascii="Palatino Linotype" w:hAnsi="Palatino Linotype"/>
          <w:sz w:val="24"/>
          <w:szCs w:val="24"/>
        </w:rPr>
        <w:t>-----------------------------------------------------------------------------------------------------------------------------------------------------------------------------------------------------------------------------------------------------------------------------------------</w:t>
      </w:r>
      <w:r w:rsidR="00B34950" w:rsidRPr="00AB48CB">
        <w:rPr>
          <w:rFonts w:ascii="Palatino Linotype" w:hAnsi="Palatino Linotype"/>
          <w:sz w:val="24"/>
          <w:szCs w:val="24"/>
        </w:rPr>
        <w:t>----------------------------------------------------------------------------------------------------------------------------------------------------------------------------------------------------------------------------------------------------------------------------------------------------------------------------------------------------------------------------------------------------------------</w:t>
      </w:r>
      <w:r w:rsidR="004A51FF" w:rsidRPr="00AB48CB">
        <w:rPr>
          <w:rFonts w:ascii="Palatino Linotype" w:hAnsi="Palatino Linotype"/>
          <w:sz w:val="24"/>
          <w:szCs w:val="24"/>
        </w:rPr>
        <w:t>--</w:t>
      </w:r>
      <w:r w:rsidR="00F1770B" w:rsidRPr="00AB48CB">
        <w:rPr>
          <w:rFonts w:ascii="Palatino Linotype" w:hAnsi="Palatino Linotype"/>
          <w:sz w:val="24"/>
          <w:szCs w:val="24"/>
        </w:rPr>
        <w:t>----</w:t>
      </w:r>
      <w:r w:rsidR="00B03578" w:rsidRPr="00AB48CB">
        <w:rPr>
          <w:rFonts w:ascii="Palatino Linotype" w:hAnsi="Palatino Linotype"/>
          <w:sz w:val="24"/>
          <w:szCs w:val="24"/>
        </w:rPr>
        <w:t>---------------------------------------------------------------------------------</w:t>
      </w:r>
      <w:r w:rsidR="004A2003">
        <w:rPr>
          <w:rFonts w:ascii="Palatino Linotype" w:hAnsi="Palatino Linotype"/>
          <w:sz w:val="24"/>
          <w:szCs w:val="24"/>
        </w:rPr>
        <w:t>--------------------------------------------------------------------------------------------------------------------------------------------------------------------------------------------------------------------------------------------------------------------------------------------------------------------------------------------------------------------------------------------------------------------------------------------------------------------------------------------------------</w:t>
      </w:r>
      <w:r w:rsidR="00617369">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152" w:rsidRPr="00AB48CB" w:rsidTr="00A75E80">
        <w:tc>
          <w:tcPr>
            <w:tcW w:w="9062" w:type="dxa"/>
            <w:gridSpan w:val="2"/>
          </w:tcPr>
          <w:p w:rsidR="00AA6152" w:rsidRPr="00A874FC" w:rsidRDefault="00AA6152" w:rsidP="00A75E80">
            <w:pPr>
              <w:pStyle w:val="Sinespaciado"/>
              <w:jc w:val="center"/>
              <w:rPr>
                <w:rFonts w:ascii="Palatino Linotype" w:hAnsi="Palatino Linotype"/>
                <w:b/>
                <w:sz w:val="18"/>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Zulema Martínez Sánchez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Comisionada Presidenta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4531" w:type="dxa"/>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Eva Abaid Yapur</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c>
          <w:tcPr>
            <w:tcW w:w="4531" w:type="dxa"/>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José Guadalupe Luna Hernández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4531" w:type="dxa"/>
          </w:tcPr>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Javier Martínez Cruz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sz w:val="24"/>
                <w:szCs w:val="24"/>
              </w:rPr>
              <w:t>(Rúbrica)</w:t>
            </w:r>
          </w:p>
        </w:tc>
        <w:tc>
          <w:tcPr>
            <w:tcW w:w="4531" w:type="dxa"/>
          </w:tcPr>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Luis Gustavo Parra Noriega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9062" w:type="dxa"/>
            <w:gridSpan w:val="2"/>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Alexis Tapia Ramírez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Secretario Técnico del Pleno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bl>
    <w:p w:rsidR="00AA6152" w:rsidRDefault="00AA6152" w:rsidP="0014447C">
      <w:pPr>
        <w:pStyle w:val="Sinespaciado"/>
        <w:jc w:val="both"/>
        <w:rPr>
          <w:rFonts w:ascii="Palatino Linotype" w:hAnsi="Palatino Linotype"/>
          <w:sz w:val="18"/>
          <w:szCs w:val="18"/>
        </w:rPr>
      </w:pPr>
    </w:p>
    <w:p w:rsidR="00D81846" w:rsidRPr="00A874FC" w:rsidRDefault="00D81846" w:rsidP="0014447C">
      <w:pPr>
        <w:pStyle w:val="Sinespaciado"/>
        <w:jc w:val="both"/>
        <w:rPr>
          <w:rFonts w:ascii="Palatino Linotype" w:hAnsi="Palatino Linotype"/>
          <w:sz w:val="18"/>
          <w:szCs w:val="18"/>
        </w:rPr>
      </w:pPr>
    </w:p>
    <w:p w:rsidR="00AA4F9A" w:rsidRPr="00A874FC" w:rsidRDefault="007E2E80" w:rsidP="0014447C">
      <w:pPr>
        <w:pStyle w:val="Sinespaciado"/>
        <w:jc w:val="both"/>
        <w:rPr>
          <w:rFonts w:ascii="Palatino Linotype" w:hAnsi="Palatino Linotype"/>
          <w:bCs/>
          <w:sz w:val="18"/>
          <w:szCs w:val="18"/>
          <w:lang w:eastAsia="es-MX"/>
        </w:rPr>
      </w:pPr>
      <w:r w:rsidRPr="00A874FC">
        <w:rPr>
          <w:rFonts w:ascii="Palatino Linotype" w:hAnsi="Palatino Linotype"/>
          <w:sz w:val="18"/>
          <w:szCs w:val="18"/>
        </w:rPr>
        <w:t xml:space="preserve">Esta hoja corresponde a la resolución de fecha </w:t>
      </w:r>
      <w:r w:rsidR="009777C4">
        <w:rPr>
          <w:rFonts w:ascii="Palatino Linotype" w:hAnsi="Palatino Linotype"/>
          <w:sz w:val="18"/>
          <w:szCs w:val="18"/>
        </w:rPr>
        <w:t>cuatro de noviembre</w:t>
      </w:r>
      <w:r w:rsidR="00D81846">
        <w:rPr>
          <w:rFonts w:ascii="Palatino Linotype" w:hAnsi="Palatino Linotype"/>
          <w:sz w:val="18"/>
          <w:szCs w:val="18"/>
        </w:rPr>
        <w:t xml:space="preserve"> de dos mil veinte</w:t>
      </w:r>
      <w:r w:rsidRPr="00A874FC">
        <w:rPr>
          <w:rFonts w:ascii="Palatino Linotype" w:hAnsi="Palatino Linotype"/>
          <w:sz w:val="18"/>
          <w:szCs w:val="18"/>
        </w:rPr>
        <w:t xml:space="preserve">, emitida en el recurso de revisión </w:t>
      </w:r>
      <w:r w:rsidR="009777C4">
        <w:rPr>
          <w:rFonts w:ascii="Palatino Linotype" w:hAnsi="Palatino Linotype"/>
          <w:bCs/>
          <w:sz w:val="18"/>
          <w:szCs w:val="18"/>
          <w:lang w:eastAsia="es-MX"/>
        </w:rPr>
        <w:t>03405</w:t>
      </w:r>
      <w:r w:rsidR="00D81846">
        <w:rPr>
          <w:rFonts w:ascii="Palatino Linotype" w:hAnsi="Palatino Linotype"/>
          <w:bCs/>
          <w:sz w:val="18"/>
          <w:szCs w:val="18"/>
          <w:lang w:eastAsia="es-MX"/>
        </w:rPr>
        <w:t>/INFOEM/IP/RR/2020</w:t>
      </w:r>
      <w:r w:rsidRPr="00A874FC">
        <w:rPr>
          <w:rFonts w:ascii="Palatino Linotype" w:hAnsi="Palatino Linotype"/>
          <w:bCs/>
          <w:sz w:val="18"/>
          <w:szCs w:val="18"/>
          <w:lang w:eastAsia="es-MX"/>
        </w:rPr>
        <w:t>.</w:t>
      </w:r>
    </w:p>
    <w:p w:rsidR="007E2E80" w:rsidRPr="00A874FC" w:rsidRDefault="00D81846" w:rsidP="0014447C">
      <w:pPr>
        <w:pStyle w:val="Sinespaciado"/>
        <w:jc w:val="both"/>
        <w:rPr>
          <w:rFonts w:ascii="Palatino Linotype" w:hAnsi="Palatino Linotype"/>
          <w:bCs/>
          <w:sz w:val="18"/>
          <w:szCs w:val="18"/>
          <w:lang w:eastAsia="es-MX"/>
        </w:rPr>
      </w:pPr>
      <w:r>
        <w:rPr>
          <w:rFonts w:ascii="Palatino Linotype" w:hAnsi="Palatino Linotype"/>
          <w:bCs/>
          <w:sz w:val="18"/>
          <w:szCs w:val="18"/>
          <w:lang w:eastAsia="es-MX"/>
        </w:rPr>
        <w:t>ZMS/</w:t>
      </w:r>
      <w:r w:rsidR="00AA4F9A" w:rsidRPr="00A874FC">
        <w:rPr>
          <w:rFonts w:ascii="Palatino Linotype" w:hAnsi="Palatino Linotype"/>
          <w:bCs/>
          <w:sz w:val="18"/>
          <w:szCs w:val="18"/>
          <w:lang w:eastAsia="es-MX"/>
        </w:rPr>
        <w:t>OSAM/</w:t>
      </w:r>
      <w:proofErr w:type="spellStart"/>
      <w:r w:rsidR="00AA4F9A" w:rsidRPr="00A874FC">
        <w:rPr>
          <w:rFonts w:ascii="Palatino Linotype" w:hAnsi="Palatino Linotype"/>
          <w:bCs/>
          <w:sz w:val="18"/>
          <w:szCs w:val="18"/>
          <w:lang w:eastAsia="es-MX"/>
        </w:rPr>
        <w:t>fzh</w:t>
      </w:r>
      <w:proofErr w:type="spellEnd"/>
    </w:p>
    <w:sectPr w:rsidR="007E2E80" w:rsidRPr="00A874FC"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ED" w:rsidRDefault="004F27ED" w:rsidP="007E2E80">
      <w:pPr>
        <w:spacing w:after="0" w:line="240" w:lineRule="auto"/>
      </w:pPr>
      <w:r>
        <w:separator/>
      </w:r>
    </w:p>
  </w:endnote>
  <w:endnote w:type="continuationSeparator" w:id="0">
    <w:p w:rsidR="004F27ED" w:rsidRDefault="004F27E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A7" w:rsidRPr="000B69FA" w:rsidRDefault="008E21A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0838">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0838">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A7" w:rsidRPr="000B69FA" w:rsidRDefault="008E21A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08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0838">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ED" w:rsidRDefault="004F27ED" w:rsidP="007E2E80">
      <w:pPr>
        <w:spacing w:after="0" w:line="240" w:lineRule="auto"/>
      </w:pPr>
      <w:r>
        <w:separator/>
      </w:r>
    </w:p>
  </w:footnote>
  <w:footnote w:type="continuationSeparator" w:id="0">
    <w:p w:rsidR="004F27ED" w:rsidRDefault="004F27ED" w:rsidP="007E2E80">
      <w:pPr>
        <w:spacing w:after="0" w:line="240" w:lineRule="auto"/>
      </w:pPr>
      <w:r>
        <w:continuationSeparator/>
      </w:r>
    </w:p>
  </w:footnote>
  <w:footnote w:id="1">
    <w:p w:rsidR="008E21A7" w:rsidRPr="00615B4B" w:rsidRDefault="008E21A7" w:rsidP="008E21A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E21A7" w:rsidRPr="00615B4B" w:rsidRDefault="008E21A7" w:rsidP="008E21A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E21A7" w:rsidRDefault="008E21A7" w:rsidP="008E21A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2E" w:rsidRDefault="004F27E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A7" w:rsidRDefault="004F27E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44.15pt;width:609.4pt;height:793.75pt;z-index:-251656192;mso-position-horizontal-relative:margin;mso-position-vertical-relative:margin" o:allowincell="f">
          <v:imagedata r:id="rId1" o:title="logo infoem (1)"/>
          <w10:wrap anchorx="margin" anchory="margin"/>
        </v:shape>
      </w:pict>
    </w:r>
  </w:p>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E21A7" w:rsidTr="001656BE">
      <w:trPr>
        <w:trHeight w:val="227"/>
      </w:trPr>
      <w:tc>
        <w:tcPr>
          <w:tcW w:w="6233" w:type="dxa"/>
          <w:hideMark/>
        </w:tcPr>
        <w:p w:rsidR="008E21A7" w:rsidRDefault="008E21A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8E21A7" w:rsidRDefault="008E21A7"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03405/INFOEM/IP/RR/2020</w:t>
          </w:r>
        </w:p>
      </w:tc>
    </w:tr>
    <w:tr w:rsidR="008E21A7" w:rsidTr="001656BE">
      <w:trPr>
        <w:trHeight w:val="242"/>
      </w:trPr>
      <w:tc>
        <w:tcPr>
          <w:tcW w:w="6233" w:type="dxa"/>
          <w:hideMark/>
        </w:tcPr>
        <w:p w:rsidR="008E21A7" w:rsidRDefault="008E21A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8E21A7" w:rsidRDefault="008E21A7" w:rsidP="00E2137C">
          <w:pPr>
            <w:spacing w:after="120" w:line="256" w:lineRule="auto"/>
            <w:ind w:left="367"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Calimaya</w:t>
          </w:r>
          <w:proofErr w:type="spellEnd"/>
        </w:p>
      </w:tc>
    </w:tr>
    <w:tr w:rsidR="008E21A7" w:rsidTr="001656BE">
      <w:trPr>
        <w:trHeight w:val="342"/>
      </w:trPr>
      <w:tc>
        <w:tcPr>
          <w:tcW w:w="6233" w:type="dxa"/>
          <w:hideMark/>
        </w:tcPr>
        <w:p w:rsidR="008E21A7" w:rsidRDefault="008E21A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8E21A7" w:rsidRDefault="008E21A7"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21A7" w:rsidRDefault="008E21A7">
    <w:pPr>
      <w:pStyle w:val="Encabezado"/>
    </w:pPr>
  </w:p>
  <w:p w:rsidR="008E21A7" w:rsidRDefault="008E21A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529"/>
      <w:gridCol w:w="3690"/>
    </w:tblGrid>
    <w:tr w:rsidR="008E21A7" w:rsidTr="006446F7">
      <w:trPr>
        <w:trHeight w:val="227"/>
      </w:trPr>
      <w:tc>
        <w:tcPr>
          <w:tcW w:w="5529" w:type="dxa"/>
          <w:hideMark/>
        </w:tcPr>
        <w:p w:rsidR="008E21A7" w:rsidRDefault="008E21A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8E21A7" w:rsidRPr="00B4142F" w:rsidRDefault="008E21A7" w:rsidP="001656BE">
          <w:pPr>
            <w:spacing w:after="120" w:line="256" w:lineRule="auto"/>
            <w:ind w:left="76" w:right="214"/>
            <w:jc w:val="right"/>
            <w:rPr>
              <w:rFonts w:ascii="Palatino Linotype" w:hAnsi="Palatino Linotype" w:cs="Arial"/>
              <w:szCs w:val="20"/>
            </w:rPr>
          </w:pPr>
          <w:r>
            <w:rPr>
              <w:rFonts w:ascii="Palatino Linotype" w:hAnsi="Palatino Linotype" w:cs="Arial"/>
              <w:bCs/>
              <w:sz w:val="24"/>
              <w:lang w:eastAsia="es-MX"/>
            </w:rPr>
            <w:t>03405/INFOEM/IP/RR/2020</w:t>
          </w:r>
        </w:p>
      </w:tc>
    </w:tr>
    <w:tr w:rsidR="008E21A7" w:rsidTr="006446F7">
      <w:trPr>
        <w:trHeight w:val="196"/>
      </w:trPr>
      <w:tc>
        <w:tcPr>
          <w:tcW w:w="5529" w:type="dxa"/>
          <w:hideMark/>
        </w:tcPr>
        <w:p w:rsidR="008E21A7" w:rsidRDefault="008E21A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rsidR="008E21A7" w:rsidRPr="00F06FED" w:rsidRDefault="00590838" w:rsidP="001656BE">
          <w:pPr>
            <w:spacing w:after="120" w:line="256" w:lineRule="auto"/>
            <w:ind w:left="76" w:right="214"/>
            <w:jc w:val="right"/>
            <w:rPr>
              <w:rFonts w:ascii="Palatino Linotype" w:hAnsi="Palatino Linotype" w:cs="Arial"/>
            </w:rPr>
          </w:pPr>
          <w:proofErr w:type="spellStart"/>
          <w:r>
            <w:rPr>
              <w:rFonts w:ascii="Palatino Linotype" w:hAnsi="Palatino Linotype" w:cs="Arial"/>
            </w:rPr>
            <w:t>xxxxxxxxxxxxxxxxxxxxxxx</w:t>
          </w:r>
          <w:proofErr w:type="spellEnd"/>
        </w:p>
      </w:tc>
    </w:tr>
    <w:tr w:rsidR="008E21A7" w:rsidTr="006446F7">
      <w:trPr>
        <w:trHeight w:val="242"/>
      </w:trPr>
      <w:tc>
        <w:tcPr>
          <w:tcW w:w="5529" w:type="dxa"/>
          <w:hideMark/>
        </w:tcPr>
        <w:p w:rsidR="008E21A7" w:rsidRDefault="008E21A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rsidR="008E21A7" w:rsidRDefault="008E21A7"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Calimaya</w:t>
          </w:r>
          <w:proofErr w:type="spellEnd"/>
        </w:p>
      </w:tc>
    </w:tr>
    <w:tr w:rsidR="008E21A7" w:rsidTr="006446F7">
      <w:trPr>
        <w:trHeight w:val="342"/>
      </w:trPr>
      <w:tc>
        <w:tcPr>
          <w:tcW w:w="5529" w:type="dxa"/>
          <w:hideMark/>
        </w:tcPr>
        <w:p w:rsidR="008E21A7" w:rsidRDefault="008E21A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8E21A7" w:rsidRDefault="008E21A7"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Zulema Martínez Sánchez</w:t>
          </w:r>
        </w:p>
      </w:tc>
    </w:tr>
  </w:tbl>
  <w:p w:rsidR="008E21A7" w:rsidRDefault="004F27E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38.2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E56C92"/>
    <w:multiLevelType w:val="hybridMultilevel"/>
    <w:tmpl w:val="F34A228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2CB72DE5"/>
    <w:multiLevelType w:val="hybridMultilevel"/>
    <w:tmpl w:val="D8582B2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4CE647EA"/>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1EA3397"/>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3D96909"/>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597E31"/>
    <w:multiLevelType w:val="hybridMultilevel"/>
    <w:tmpl w:val="C696D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9D127D2"/>
    <w:multiLevelType w:val="hybridMultilevel"/>
    <w:tmpl w:val="D6C62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1"/>
  </w:num>
  <w:num w:numId="5">
    <w:abstractNumId w:val="3"/>
  </w:num>
  <w:num w:numId="6">
    <w:abstractNumId w:val="2"/>
  </w:num>
  <w:num w:numId="7">
    <w:abstractNumId w:val="9"/>
  </w:num>
  <w:num w:numId="8">
    <w:abstractNumId w:val="8"/>
  </w:num>
  <w:num w:numId="9">
    <w:abstractNumId w:val="18"/>
  </w:num>
  <w:num w:numId="10">
    <w:abstractNumId w:val="4"/>
  </w:num>
  <w:num w:numId="11">
    <w:abstractNumId w:val="19"/>
  </w:num>
  <w:num w:numId="12">
    <w:abstractNumId w:val="13"/>
  </w:num>
  <w:num w:numId="13">
    <w:abstractNumId w:val="11"/>
  </w:num>
  <w:num w:numId="14">
    <w:abstractNumId w:val="20"/>
  </w:num>
  <w:num w:numId="15">
    <w:abstractNumId w:val="12"/>
  </w:num>
  <w:num w:numId="16">
    <w:abstractNumId w:val="14"/>
  </w:num>
  <w:num w:numId="17">
    <w:abstractNumId w:val="15"/>
  </w:num>
  <w:num w:numId="18">
    <w:abstractNumId w:val="17"/>
  </w:num>
  <w:num w:numId="19">
    <w:abstractNumId w:val="7"/>
  </w:num>
  <w:num w:numId="20">
    <w:abstractNumId w:val="16"/>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6A2"/>
    <w:rsid w:val="00014D80"/>
    <w:rsid w:val="00015A5D"/>
    <w:rsid w:val="00022E72"/>
    <w:rsid w:val="000276E0"/>
    <w:rsid w:val="00032DBD"/>
    <w:rsid w:val="00033949"/>
    <w:rsid w:val="00033A37"/>
    <w:rsid w:val="00043018"/>
    <w:rsid w:val="0004317B"/>
    <w:rsid w:val="00046ABC"/>
    <w:rsid w:val="00050A9C"/>
    <w:rsid w:val="00051311"/>
    <w:rsid w:val="00053C9B"/>
    <w:rsid w:val="00057570"/>
    <w:rsid w:val="0007328F"/>
    <w:rsid w:val="000738E9"/>
    <w:rsid w:val="00077BBB"/>
    <w:rsid w:val="0008795C"/>
    <w:rsid w:val="00090700"/>
    <w:rsid w:val="00095218"/>
    <w:rsid w:val="000A27C1"/>
    <w:rsid w:val="000A373D"/>
    <w:rsid w:val="000A57AA"/>
    <w:rsid w:val="000B3DDC"/>
    <w:rsid w:val="000D03B5"/>
    <w:rsid w:val="000D47AB"/>
    <w:rsid w:val="000D6982"/>
    <w:rsid w:val="000D756B"/>
    <w:rsid w:val="000E3A8E"/>
    <w:rsid w:val="000E7C0A"/>
    <w:rsid w:val="000F3722"/>
    <w:rsid w:val="00114C3C"/>
    <w:rsid w:val="00122D4B"/>
    <w:rsid w:val="0012508A"/>
    <w:rsid w:val="00130B73"/>
    <w:rsid w:val="00132E9F"/>
    <w:rsid w:val="00135494"/>
    <w:rsid w:val="00140AE4"/>
    <w:rsid w:val="0014191F"/>
    <w:rsid w:val="00143AC6"/>
    <w:rsid w:val="0014447C"/>
    <w:rsid w:val="001510E8"/>
    <w:rsid w:val="001552E9"/>
    <w:rsid w:val="001566D6"/>
    <w:rsid w:val="00157F4B"/>
    <w:rsid w:val="00162176"/>
    <w:rsid w:val="001656BE"/>
    <w:rsid w:val="00165929"/>
    <w:rsid w:val="00166046"/>
    <w:rsid w:val="00166FB7"/>
    <w:rsid w:val="0017350F"/>
    <w:rsid w:val="00180F6B"/>
    <w:rsid w:val="001A17B9"/>
    <w:rsid w:val="001A4700"/>
    <w:rsid w:val="001B450D"/>
    <w:rsid w:val="001B6BB0"/>
    <w:rsid w:val="001C0CE9"/>
    <w:rsid w:val="001D3126"/>
    <w:rsid w:val="001D3EF0"/>
    <w:rsid w:val="001D61D0"/>
    <w:rsid w:val="001E07AC"/>
    <w:rsid w:val="001E60B7"/>
    <w:rsid w:val="001F021C"/>
    <w:rsid w:val="001F272D"/>
    <w:rsid w:val="00203FA5"/>
    <w:rsid w:val="00207DA3"/>
    <w:rsid w:val="002108D8"/>
    <w:rsid w:val="00211473"/>
    <w:rsid w:val="00212498"/>
    <w:rsid w:val="002252AD"/>
    <w:rsid w:val="002450D9"/>
    <w:rsid w:val="00245E83"/>
    <w:rsid w:val="00255A8B"/>
    <w:rsid w:val="002572CF"/>
    <w:rsid w:val="0026191D"/>
    <w:rsid w:val="00267824"/>
    <w:rsid w:val="00271762"/>
    <w:rsid w:val="002737A6"/>
    <w:rsid w:val="0027756D"/>
    <w:rsid w:val="0028585E"/>
    <w:rsid w:val="00287072"/>
    <w:rsid w:val="00290397"/>
    <w:rsid w:val="002A0024"/>
    <w:rsid w:val="002A1927"/>
    <w:rsid w:val="002A1AF0"/>
    <w:rsid w:val="002B6F8C"/>
    <w:rsid w:val="002C2318"/>
    <w:rsid w:val="002D42FA"/>
    <w:rsid w:val="002D4991"/>
    <w:rsid w:val="002D6110"/>
    <w:rsid w:val="002E22D8"/>
    <w:rsid w:val="002E2D4C"/>
    <w:rsid w:val="002E6036"/>
    <w:rsid w:val="002F044A"/>
    <w:rsid w:val="002F160B"/>
    <w:rsid w:val="002F17FB"/>
    <w:rsid w:val="002F4E8C"/>
    <w:rsid w:val="003005A8"/>
    <w:rsid w:val="00301A01"/>
    <w:rsid w:val="003021C1"/>
    <w:rsid w:val="00304C91"/>
    <w:rsid w:val="003100B0"/>
    <w:rsid w:val="00310760"/>
    <w:rsid w:val="00311191"/>
    <w:rsid w:val="00312E7E"/>
    <w:rsid w:val="00313966"/>
    <w:rsid w:val="00317B1B"/>
    <w:rsid w:val="003613F7"/>
    <w:rsid w:val="00363308"/>
    <w:rsid w:val="003642DE"/>
    <w:rsid w:val="00374450"/>
    <w:rsid w:val="00375FF5"/>
    <w:rsid w:val="003765DC"/>
    <w:rsid w:val="00376F34"/>
    <w:rsid w:val="0038385D"/>
    <w:rsid w:val="003908F4"/>
    <w:rsid w:val="003919AC"/>
    <w:rsid w:val="003956AE"/>
    <w:rsid w:val="003A13D2"/>
    <w:rsid w:val="003A1A2E"/>
    <w:rsid w:val="003A3096"/>
    <w:rsid w:val="003C084F"/>
    <w:rsid w:val="003C3124"/>
    <w:rsid w:val="003C74AF"/>
    <w:rsid w:val="003D2672"/>
    <w:rsid w:val="003D3420"/>
    <w:rsid w:val="003D34C1"/>
    <w:rsid w:val="003E08B9"/>
    <w:rsid w:val="00404F9D"/>
    <w:rsid w:val="00406B61"/>
    <w:rsid w:val="004100C9"/>
    <w:rsid w:val="004132B8"/>
    <w:rsid w:val="00417EBD"/>
    <w:rsid w:val="00423C27"/>
    <w:rsid w:val="00425199"/>
    <w:rsid w:val="004431CC"/>
    <w:rsid w:val="00443826"/>
    <w:rsid w:val="0045067D"/>
    <w:rsid w:val="00450AC4"/>
    <w:rsid w:val="0045270C"/>
    <w:rsid w:val="00457258"/>
    <w:rsid w:val="004572BE"/>
    <w:rsid w:val="004617C7"/>
    <w:rsid w:val="004657BE"/>
    <w:rsid w:val="004807F7"/>
    <w:rsid w:val="004830B5"/>
    <w:rsid w:val="00484E47"/>
    <w:rsid w:val="00487579"/>
    <w:rsid w:val="00487B8B"/>
    <w:rsid w:val="004A1D6F"/>
    <w:rsid w:val="004A2003"/>
    <w:rsid w:val="004A51FF"/>
    <w:rsid w:val="004B4239"/>
    <w:rsid w:val="004B7585"/>
    <w:rsid w:val="004C7E18"/>
    <w:rsid w:val="004E06E6"/>
    <w:rsid w:val="004E583F"/>
    <w:rsid w:val="004E6168"/>
    <w:rsid w:val="004E6B8A"/>
    <w:rsid w:val="004F27ED"/>
    <w:rsid w:val="004F483E"/>
    <w:rsid w:val="005023F4"/>
    <w:rsid w:val="005033CC"/>
    <w:rsid w:val="005171ED"/>
    <w:rsid w:val="00524986"/>
    <w:rsid w:val="005328FB"/>
    <w:rsid w:val="00537419"/>
    <w:rsid w:val="005421C7"/>
    <w:rsid w:val="005448FA"/>
    <w:rsid w:val="00557781"/>
    <w:rsid w:val="00566699"/>
    <w:rsid w:val="005733EB"/>
    <w:rsid w:val="0057534D"/>
    <w:rsid w:val="00590126"/>
    <w:rsid w:val="00590838"/>
    <w:rsid w:val="00594BF3"/>
    <w:rsid w:val="005972E7"/>
    <w:rsid w:val="005B2A31"/>
    <w:rsid w:val="005C057C"/>
    <w:rsid w:val="005C5FB7"/>
    <w:rsid w:val="005C76D5"/>
    <w:rsid w:val="005D02A8"/>
    <w:rsid w:val="005D0405"/>
    <w:rsid w:val="005D4D1D"/>
    <w:rsid w:val="005D5EEB"/>
    <w:rsid w:val="005E6622"/>
    <w:rsid w:val="005F56E0"/>
    <w:rsid w:val="00600D67"/>
    <w:rsid w:val="0060633A"/>
    <w:rsid w:val="00617369"/>
    <w:rsid w:val="00620FA6"/>
    <w:rsid w:val="00627821"/>
    <w:rsid w:val="00627F9C"/>
    <w:rsid w:val="00631F1B"/>
    <w:rsid w:val="00633C3F"/>
    <w:rsid w:val="00640D07"/>
    <w:rsid w:val="00642541"/>
    <w:rsid w:val="006446F7"/>
    <w:rsid w:val="00654395"/>
    <w:rsid w:val="00661204"/>
    <w:rsid w:val="0066610F"/>
    <w:rsid w:val="00673D7C"/>
    <w:rsid w:val="006746FA"/>
    <w:rsid w:val="006749FD"/>
    <w:rsid w:val="00676C32"/>
    <w:rsid w:val="00681882"/>
    <w:rsid w:val="00684510"/>
    <w:rsid w:val="00686046"/>
    <w:rsid w:val="006973ED"/>
    <w:rsid w:val="006A0ADE"/>
    <w:rsid w:val="006A29C5"/>
    <w:rsid w:val="006A3A54"/>
    <w:rsid w:val="006A561E"/>
    <w:rsid w:val="006B2332"/>
    <w:rsid w:val="006C6176"/>
    <w:rsid w:val="006D1136"/>
    <w:rsid w:val="006D22A4"/>
    <w:rsid w:val="006D254A"/>
    <w:rsid w:val="006D377A"/>
    <w:rsid w:val="006D4AD4"/>
    <w:rsid w:val="006D68F8"/>
    <w:rsid w:val="006E0601"/>
    <w:rsid w:val="006E6394"/>
    <w:rsid w:val="006E6C81"/>
    <w:rsid w:val="006F18FD"/>
    <w:rsid w:val="006F4A35"/>
    <w:rsid w:val="006F5AEB"/>
    <w:rsid w:val="006F6B73"/>
    <w:rsid w:val="00702DB6"/>
    <w:rsid w:val="00705D1C"/>
    <w:rsid w:val="00710F2D"/>
    <w:rsid w:val="0071210D"/>
    <w:rsid w:val="00713290"/>
    <w:rsid w:val="00721696"/>
    <w:rsid w:val="007218F2"/>
    <w:rsid w:val="007229A8"/>
    <w:rsid w:val="0072710C"/>
    <w:rsid w:val="00730DE0"/>
    <w:rsid w:val="00735032"/>
    <w:rsid w:val="00735400"/>
    <w:rsid w:val="00735D3A"/>
    <w:rsid w:val="00740669"/>
    <w:rsid w:val="0074093D"/>
    <w:rsid w:val="00743FC5"/>
    <w:rsid w:val="00747A96"/>
    <w:rsid w:val="00754E02"/>
    <w:rsid w:val="00763D73"/>
    <w:rsid w:val="007676AF"/>
    <w:rsid w:val="00776087"/>
    <w:rsid w:val="00785145"/>
    <w:rsid w:val="00786497"/>
    <w:rsid w:val="00797BE3"/>
    <w:rsid w:val="007A0571"/>
    <w:rsid w:val="007A223B"/>
    <w:rsid w:val="007A261C"/>
    <w:rsid w:val="007A4E13"/>
    <w:rsid w:val="007B0292"/>
    <w:rsid w:val="007B0E30"/>
    <w:rsid w:val="007B1796"/>
    <w:rsid w:val="007C34AF"/>
    <w:rsid w:val="007D0CFF"/>
    <w:rsid w:val="007D7245"/>
    <w:rsid w:val="007E1C3D"/>
    <w:rsid w:val="007E2E80"/>
    <w:rsid w:val="007F05CE"/>
    <w:rsid w:val="007F282E"/>
    <w:rsid w:val="007F7846"/>
    <w:rsid w:val="008041A7"/>
    <w:rsid w:val="00821898"/>
    <w:rsid w:val="00823454"/>
    <w:rsid w:val="00824894"/>
    <w:rsid w:val="00840273"/>
    <w:rsid w:val="0084238F"/>
    <w:rsid w:val="008435E1"/>
    <w:rsid w:val="008455DC"/>
    <w:rsid w:val="00853CC3"/>
    <w:rsid w:val="008642B9"/>
    <w:rsid w:val="008725EE"/>
    <w:rsid w:val="00874670"/>
    <w:rsid w:val="00876974"/>
    <w:rsid w:val="00892543"/>
    <w:rsid w:val="008A005F"/>
    <w:rsid w:val="008A5E0C"/>
    <w:rsid w:val="008B4F5C"/>
    <w:rsid w:val="008B7A4A"/>
    <w:rsid w:val="008C0E72"/>
    <w:rsid w:val="008C0F70"/>
    <w:rsid w:val="008C651F"/>
    <w:rsid w:val="008C7CEB"/>
    <w:rsid w:val="008D109D"/>
    <w:rsid w:val="008D17A8"/>
    <w:rsid w:val="008D4521"/>
    <w:rsid w:val="008E21A7"/>
    <w:rsid w:val="008E572E"/>
    <w:rsid w:val="00903599"/>
    <w:rsid w:val="00905CE1"/>
    <w:rsid w:val="009272C6"/>
    <w:rsid w:val="00930F68"/>
    <w:rsid w:val="009339EC"/>
    <w:rsid w:val="00934882"/>
    <w:rsid w:val="0093743A"/>
    <w:rsid w:val="00942349"/>
    <w:rsid w:val="00943B37"/>
    <w:rsid w:val="00950474"/>
    <w:rsid w:val="00954DC1"/>
    <w:rsid w:val="009555F1"/>
    <w:rsid w:val="0096284F"/>
    <w:rsid w:val="00967270"/>
    <w:rsid w:val="0097416D"/>
    <w:rsid w:val="009777C4"/>
    <w:rsid w:val="00982488"/>
    <w:rsid w:val="00984CA8"/>
    <w:rsid w:val="009859B8"/>
    <w:rsid w:val="00985CC2"/>
    <w:rsid w:val="00993FA0"/>
    <w:rsid w:val="00994FE7"/>
    <w:rsid w:val="009957BE"/>
    <w:rsid w:val="00997095"/>
    <w:rsid w:val="009A670F"/>
    <w:rsid w:val="009B205B"/>
    <w:rsid w:val="009B3592"/>
    <w:rsid w:val="009B70C3"/>
    <w:rsid w:val="009C1EA2"/>
    <w:rsid w:val="009C3FC7"/>
    <w:rsid w:val="009D56AA"/>
    <w:rsid w:val="009D77C7"/>
    <w:rsid w:val="009E0089"/>
    <w:rsid w:val="009E066B"/>
    <w:rsid w:val="009E396D"/>
    <w:rsid w:val="009F5386"/>
    <w:rsid w:val="009F7B22"/>
    <w:rsid w:val="00A06551"/>
    <w:rsid w:val="00A10000"/>
    <w:rsid w:val="00A10775"/>
    <w:rsid w:val="00A112EB"/>
    <w:rsid w:val="00A160FE"/>
    <w:rsid w:val="00A2199B"/>
    <w:rsid w:val="00A22469"/>
    <w:rsid w:val="00A2676F"/>
    <w:rsid w:val="00A27233"/>
    <w:rsid w:val="00A3134D"/>
    <w:rsid w:val="00A31C90"/>
    <w:rsid w:val="00A33B3A"/>
    <w:rsid w:val="00A35B31"/>
    <w:rsid w:val="00A36FEE"/>
    <w:rsid w:val="00A45BB8"/>
    <w:rsid w:val="00A4748C"/>
    <w:rsid w:val="00A50485"/>
    <w:rsid w:val="00A5122E"/>
    <w:rsid w:val="00A62727"/>
    <w:rsid w:val="00A65C29"/>
    <w:rsid w:val="00A666CE"/>
    <w:rsid w:val="00A75E80"/>
    <w:rsid w:val="00A77B38"/>
    <w:rsid w:val="00A80B22"/>
    <w:rsid w:val="00A82126"/>
    <w:rsid w:val="00A838EB"/>
    <w:rsid w:val="00A874FC"/>
    <w:rsid w:val="00A9172E"/>
    <w:rsid w:val="00A92FA7"/>
    <w:rsid w:val="00A94BF6"/>
    <w:rsid w:val="00AA4F9A"/>
    <w:rsid w:val="00AA5A0A"/>
    <w:rsid w:val="00AA6152"/>
    <w:rsid w:val="00AB1AF3"/>
    <w:rsid w:val="00AB48CB"/>
    <w:rsid w:val="00AC643F"/>
    <w:rsid w:val="00AD0168"/>
    <w:rsid w:val="00AD3C94"/>
    <w:rsid w:val="00AE5515"/>
    <w:rsid w:val="00AE5F74"/>
    <w:rsid w:val="00AE658B"/>
    <w:rsid w:val="00B03578"/>
    <w:rsid w:val="00B070F5"/>
    <w:rsid w:val="00B12CBA"/>
    <w:rsid w:val="00B14167"/>
    <w:rsid w:val="00B16CAC"/>
    <w:rsid w:val="00B23BA2"/>
    <w:rsid w:val="00B31ACE"/>
    <w:rsid w:val="00B34950"/>
    <w:rsid w:val="00B4717D"/>
    <w:rsid w:val="00B549E1"/>
    <w:rsid w:val="00B62696"/>
    <w:rsid w:val="00B64670"/>
    <w:rsid w:val="00B744C3"/>
    <w:rsid w:val="00B75842"/>
    <w:rsid w:val="00B828DD"/>
    <w:rsid w:val="00B9263B"/>
    <w:rsid w:val="00B93C5C"/>
    <w:rsid w:val="00BA461B"/>
    <w:rsid w:val="00BA69A0"/>
    <w:rsid w:val="00BB1D96"/>
    <w:rsid w:val="00BB2359"/>
    <w:rsid w:val="00BB582F"/>
    <w:rsid w:val="00BC64D4"/>
    <w:rsid w:val="00BD0519"/>
    <w:rsid w:val="00BD20DA"/>
    <w:rsid w:val="00BE100C"/>
    <w:rsid w:val="00BE317F"/>
    <w:rsid w:val="00BE6D77"/>
    <w:rsid w:val="00BF0AEC"/>
    <w:rsid w:val="00BF123B"/>
    <w:rsid w:val="00BF123D"/>
    <w:rsid w:val="00BF3765"/>
    <w:rsid w:val="00BF5EE2"/>
    <w:rsid w:val="00BF69B1"/>
    <w:rsid w:val="00C0088B"/>
    <w:rsid w:val="00C01348"/>
    <w:rsid w:val="00C1028A"/>
    <w:rsid w:val="00C115F4"/>
    <w:rsid w:val="00C16538"/>
    <w:rsid w:val="00C17EE7"/>
    <w:rsid w:val="00C2107B"/>
    <w:rsid w:val="00C25822"/>
    <w:rsid w:val="00C25B89"/>
    <w:rsid w:val="00C34B47"/>
    <w:rsid w:val="00C35F18"/>
    <w:rsid w:val="00C40345"/>
    <w:rsid w:val="00C43D13"/>
    <w:rsid w:val="00C50184"/>
    <w:rsid w:val="00C65C39"/>
    <w:rsid w:val="00C67A59"/>
    <w:rsid w:val="00C827A3"/>
    <w:rsid w:val="00C8573E"/>
    <w:rsid w:val="00C90CE9"/>
    <w:rsid w:val="00C921D5"/>
    <w:rsid w:val="00CA067E"/>
    <w:rsid w:val="00CA2ED9"/>
    <w:rsid w:val="00CA3DD3"/>
    <w:rsid w:val="00CA5EC1"/>
    <w:rsid w:val="00CA6018"/>
    <w:rsid w:val="00CB1CAE"/>
    <w:rsid w:val="00CC162E"/>
    <w:rsid w:val="00CC2745"/>
    <w:rsid w:val="00CC6662"/>
    <w:rsid w:val="00CD1860"/>
    <w:rsid w:val="00CD5D9E"/>
    <w:rsid w:val="00CE7E69"/>
    <w:rsid w:val="00CF27C6"/>
    <w:rsid w:val="00CF7E3D"/>
    <w:rsid w:val="00D01B24"/>
    <w:rsid w:val="00D020E2"/>
    <w:rsid w:val="00D04234"/>
    <w:rsid w:val="00D0540D"/>
    <w:rsid w:val="00D05798"/>
    <w:rsid w:val="00D13B83"/>
    <w:rsid w:val="00D14D51"/>
    <w:rsid w:val="00D14E3B"/>
    <w:rsid w:val="00D23F11"/>
    <w:rsid w:val="00D32341"/>
    <w:rsid w:val="00D32449"/>
    <w:rsid w:val="00D32E6F"/>
    <w:rsid w:val="00D44927"/>
    <w:rsid w:val="00D5229D"/>
    <w:rsid w:val="00D5329C"/>
    <w:rsid w:val="00D53383"/>
    <w:rsid w:val="00D54889"/>
    <w:rsid w:val="00D57072"/>
    <w:rsid w:val="00D57A8D"/>
    <w:rsid w:val="00D61288"/>
    <w:rsid w:val="00D633B6"/>
    <w:rsid w:val="00D64F6D"/>
    <w:rsid w:val="00D70758"/>
    <w:rsid w:val="00D72377"/>
    <w:rsid w:val="00D760EF"/>
    <w:rsid w:val="00D77F62"/>
    <w:rsid w:val="00D81846"/>
    <w:rsid w:val="00D82C3F"/>
    <w:rsid w:val="00D868FE"/>
    <w:rsid w:val="00D95CBD"/>
    <w:rsid w:val="00DA0E70"/>
    <w:rsid w:val="00DA21DB"/>
    <w:rsid w:val="00DA5A00"/>
    <w:rsid w:val="00DA5CD5"/>
    <w:rsid w:val="00DA6917"/>
    <w:rsid w:val="00DB1D96"/>
    <w:rsid w:val="00DB5FF7"/>
    <w:rsid w:val="00DB6A80"/>
    <w:rsid w:val="00DC0CB0"/>
    <w:rsid w:val="00DC4E35"/>
    <w:rsid w:val="00DC6B4B"/>
    <w:rsid w:val="00DD13E2"/>
    <w:rsid w:val="00DD2781"/>
    <w:rsid w:val="00DD28A8"/>
    <w:rsid w:val="00DD2D53"/>
    <w:rsid w:val="00DD5971"/>
    <w:rsid w:val="00DD5DC9"/>
    <w:rsid w:val="00DE0587"/>
    <w:rsid w:val="00DE16E2"/>
    <w:rsid w:val="00DF0AF9"/>
    <w:rsid w:val="00DF1527"/>
    <w:rsid w:val="00DF2C5A"/>
    <w:rsid w:val="00DF2F2C"/>
    <w:rsid w:val="00DF3485"/>
    <w:rsid w:val="00DF51C8"/>
    <w:rsid w:val="00E014FE"/>
    <w:rsid w:val="00E13C68"/>
    <w:rsid w:val="00E2137C"/>
    <w:rsid w:val="00E23E06"/>
    <w:rsid w:val="00E25492"/>
    <w:rsid w:val="00E37AA1"/>
    <w:rsid w:val="00E40F9A"/>
    <w:rsid w:val="00E426C9"/>
    <w:rsid w:val="00E50EFF"/>
    <w:rsid w:val="00E50F4B"/>
    <w:rsid w:val="00E53096"/>
    <w:rsid w:val="00E551B1"/>
    <w:rsid w:val="00E56111"/>
    <w:rsid w:val="00E60476"/>
    <w:rsid w:val="00E61468"/>
    <w:rsid w:val="00E65AE8"/>
    <w:rsid w:val="00E70CAE"/>
    <w:rsid w:val="00E83DA0"/>
    <w:rsid w:val="00E93579"/>
    <w:rsid w:val="00EA0886"/>
    <w:rsid w:val="00EA2AAB"/>
    <w:rsid w:val="00EB19F5"/>
    <w:rsid w:val="00EB1BD5"/>
    <w:rsid w:val="00EB2068"/>
    <w:rsid w:val="00EC1776"/>
    <w:rsid w:val="00ED212E"/>
    <w:rsid w:val="00ED4829"/>
    <w:rsid w:val="00ED60C2"/>
    <w:rsid w:val="00ED78F3"/>
    <w:rsid w:val="00ED7C46"/>
    <w:rsid w:val="00EE5083"/>
    <w:rsid w:val="00EE581A"/>
    <w:rsid w:val="00EF4D17"/>
    <w:rsid w:val="00EF6B28"/>
    <w:rsid w:val="00F07AB8"/>
    <w:rsid w:val="00F07DC2"/>
    <w:rsid w:val="00F155F5"/>
    <w:rsid w:val="00F172D6"/>
    <w:rsid w:val="00F1770B"/>
    <w:rsid w:val="00F2178A"/>
    <w:rsid w:val="00F2343A"/>
    <w:rsid w:val="00F34223"/>
    <w:rsid w:val="00F3507E"/>
    <w:rsid w:val="00F44637"/>
    <w:rsid w:val="00F45389"/>
    <w:rsid w:val="00F4708B"/>
    <w:rsid w:val="00F53B53"/>
    <w:rsid w:val="00F567AA"/>
    <w:rsid w:val="00F64C33"/>
    <w:rsid w:val="00F66A72"/>
    <w:rsid w:val="00F72DAA"/>
    <w:rsid w:val="00F77264"/>
    <w:rsid w:val="00F7788E"/>
    <w:rsid w:val="00F80BFD"/>
    <w:rsid w:val="00F83F9F"/>
    <w:rsid w:val="00F8521C"/>
    <w:rsid w:val="00F86466"/>
    <w:rsid w:val="00F92D09"/>
    <w:rsid w:val="00FA47E2"/>
    <w:rsid w:val="00FA54AD"/>
    <w:rsid w:val="00FA5B5A"/>
    <w:rsid w:val="00FB2F77"/>
    <w:rsid w:val="00FB55E9"/>
    <w:rsid w:val="00FC464C"/>
    <w:rsid w:val="00FC7D8B"/>
    <w:rsid w:val="00FD3A3C"/>
    <w:rsid w:val="00FF0836"/>
    <w:rsid w:val="00FF4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A77B38"/>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72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192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B156-A95A-47F9-93A8-9ADA0BF1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9849</Words>
  <Characters>54171</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2019-01-14T20:50:00Z</cp:lastPrinted>
  <dcterms:created xsi:type="dcterms:W3CDTF">2020-10-22T01:35:00Z</dcterms:created>
  <dcterms:modified xsi:type="dcterms:W3CDTF">2020-12-16T21:44:00Z</dcterms:modified>
</cp:coreProperties>
</file>