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EFC83"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veintiocho de octubre de dos mil veinte.</w:t>
      </w:r>
    </w:p>
    <w:p w14:paraId="7C79CF4E" w14:textId="77777777" w:rsidR="00A33379" w:rsidRPr="002E6C55" w:rsidRDefault="00A33379" w:rsidP="00A33379">
      <w:pPr>
        <w:spacing w:before="100" w:beforeAutospacing="1" w:after="100" w:afterAutospacing="1" w:line="360" w:lineRule="auto"/>
        <w:jc w:val="both"/>
        <w:rPr>
          <w:rFonts w:ascii="Palatino Linotype" w:hAnsi="Palatino Linotype"/>
          <w:b/>
        </w:rPr>
      </w:pPr>
      <w:r w:rsidRPr="002E6C55">
        <w:rPr>
          <w:rFonts w:ascii="Palatino Linotype" w:hAnsi="Palatino Linotype"/>
        </w:rPr>
        <w:t xml:space="preserve">VISTO el expediente formado con motivo del recurso de revisión </w:t>
      </w:r>
      <w:r w:rsidRPr="002E6C55">
        <w:rPr>
          <w:rFonts w:ascii="Palatino Linotype" w:hAnsi="Palatino Linotype"/>
          <w:b/>
        </w:rPr>
        <w:t>04097/INFOEM/IP/RR/2020</w:t>
      </w:r>
      <w:r w:rsidRPr="002E6C55">
        <w:rPr>
          <w:rFonts w:ascii="Palatino Linotype" w:hAnsi="Palatino Linotype"/>
        </w:rPr>
        <w:t>, interpuesto por una persona de manera anónima a quien en lo sucesivo se le denominar</w:t>
      </w:r>
      <w:r w:rsidR="002F1D53" w:rsidRPr="002E6C55">
        <w:rPr>
          <w:rFonts w:ascii="Palatino Linotype" w:hAnsi="Palatino Linotype"/>
        </w:rPr>
        <w:t>á</w:t>
      </w:r>
      <w:r w:rsidRPr="002E6C55">
        <w:rPr>
          <w:rFonts w:ascii="Palatino Linotype" w:hAnsi="Palatino Linotype"/>
        </w:rPr>
        <w:t xml:space="preserve"> </w:t>
      </w:r>
      <w:r w:rsidRPr="002E6C55">
        <w:rPr>
          <w:rFonts w:ascii="Palatino Linotype" w:hAnsi="Palatino Linotype"/>
          <w:b/>
        </w:rPr>
        <w:t>EL RECURRENTE,</w:t>
      </w:r>
      <w:r w:rsidRPr="002E6C55">
        <w:rPr>
          <w:rFonts w:ascii="Palatino Linotype" w:hAnsi="Palatino Linotype"/>
        </w:rPr>
        <w:t xml:space="preserve"> en contra de la respuesta del </w:t>
      </w:r>
      <w:r w:rsidRPr="002E6C55">
        <w:rPr>
          <w:rFonts w:ascii="Palatino Linotype" w:hAnsi="Palatino Linotype"/>
          <w:b/>
        </w:rPr>
        <w:t xml:space="preserve">Ayuntamiento de Acambay de Ruíz Castañeda, </w:t>
      </w:r>
      <w:r w:rsidRPr="002E6C55">
        <w:rPr>
          <w:rFonts w:ascii="Palatino Linotype" w:hAnsi="Palatino Linotype"/>
        </w:rPr>
        <w:t xml:space="preserve">en lo sucesivo </w:t>
      </w:r>
      <w:r w:rsidRPr="002E6C55">
        <w:rPr>
          <w:rFonts w:ascii="Palatino Linotype" w:hAnsi="Palatino Linotype"/>
          <w:b/>
        </w:rPr>
        <w:t>EL SUJETO OBLIGADO</w:t>
      </w:r>
      <w:r w:rsidRPr="002E6C55">
        <w:rPr>
          <w:rFonts w:ascii="Palatino Linotype" w:hAnsi="Palatino Linotype"/>
        </w:rPr>
        <w:t xml:space="preserve">, se procede a dictar la presente resolución con base en lo siguiente: </w:t>
      </w:r>
    </w:p>
    <w:p w14:paraId="6812D97F" w14:textId="77777777" w:rsidR="00A33379" w:rsidRPr="002E6C55" w:rsidRDefault="00A33379" w:rsidP="00A33379">
      <w:pPr>
        <w:jc w:val="center"/>
        <w:rPr>
          <w:rFonts w:ascii="Palatino Linotype" w:hAnsi="Palatino Linotype" w:cs="Arial"/>
          <w:b/>
          <w:bCs/>
          <w:spacing w:val="60"/>
          <w:sz w:val="28"/>
          <w:lang w:val="es-ES_tradnl"/>
        </w:rPr>
      </w:pPr>
      <w:r w:rsidRPr="002E6C55">
        <w:rPr>
          <w:rFonts w:ascii="Palatino Linotype" w:hAnsi="Palatino Linotype" w:cs="Arial"/>
          <w:b/>
          <w:bCs/>
          <w:spacing w:val="60"/>
          <w:sz w:val="28"/>
          <w:lang w:val="es-ES_tradnl"/>
        </w:rPr>
        <w:t>RESULTANDO</w:t>
      </w:r>
    </w:p>
    <w:p w14:paraId="362EC836" w14:textId="77777777" w:rsidR="00A33379" w:rsidRPr="002E6C55" w:rsidRDefault="00A33379" w:rsidP="00A33379">
      <w:pPr>
        <w:pStyle w:val="Prrafodelista"/>
        <w:spacing w:before="100" w:beforeAutospacing="1" w:after="100" w:afterAutospacing="1" w:line="360" w:lineRule="auto"/>
        <w:ind w:left="0"/>
        <w:jc w:val="both"/>
        <w:rPr>
          <w:rFonts w:ascii="Palatino Linotype" w:hAnsi="Palatino Linotype" w:cs="Arial"/>
        </w:rPr>
      </w:pPr>
      <w:r w:rsidRPr="002E6C55">
        <w:rPr>
          <w:rFonts w:ascii="Palatino Linotype" w:hAnsi="Palatino Linotype" w:cs="Arial"/>
          <w:b/>
          <w:sz w:val="28"/>
          <w:szCs w:val="28"/>
        </w:rPr>
        <w:t xml:space="preserve">I. </w:t>
      </w:r>
      <w:r w:rsidRPr="002E6C55">
        <w:rPr>
          <w:rFonts w:ascii="Palatino Linotype" w:hAnsi="Palatino Linotype"/>
        </w:rPr>
        <w:t xml:space="preserve">En fecha siete de septiembre de dos mil veinte, </w:t>
      </w:r>
      <w:r w:rsidRPr="002E6C55">
        <w:rPr>
          <w:rFonts w:ascii="Palatino Linotype" w:hAnsi="Palatino Linotype"/>
          <w:b/>
        </w:rPr>
        <w:t>EL RECURRENTE</w:t>
      </w:r>
      <w:r w:rsidRPr="002E6C55">
        <w:rPr>
          <w:rFonts w:ascii="Palatino Linotype" w:hAnsi="Palatino Linotype"/>
        </w:rPr>
        <w:t xml:space="preserve"> presentó a través del Sistema de </w:t>
      </w:r>
      <w:r w:rsidRPr="002E6C55">
        <w:rPr>
          <w:rFonts w:ascii="Palatino Linotype" w:hAnsi="Palatino Linotype" w:cs="Arial"/>
        </w:rPr>
        <w:t>Acceso</w:t>
      </w:r>
      <w:r w:rsidRPr="002E6C55">
        <w:rPr>
          <w:rFonts w:ascii="Palatino Linotype" w:hAnsi="Palatino Linotype"/>
        </w:rPr>
        <w:t xml:space="preserve"> a la Información Mexiquense, en lo subsecuente </w:t>
      </w:r>
      <w:r w:rsidRPr="002E6C55">
        <w:rPr>
          <w:rFonts w:ascii="Palatino Linotype" w:hAnsi="Palatino Linotype"/>
          <w:b/>
        </w:rPr>
        <w:t>EL SAIMEX</w:t>
      </w:r>
      <w:r w:rsidRPr="002E6C55">
        <w:rPr>
          <w:rFonts w:ascii="Palatino Linotype" w:hAnsi="Palatino Linotype"/>
        </w:rPr>
        <w:t xml:space="preserve">, ante </w:t>
      </w:r>
      <w:r w:rsidRPr="002E6C55">
        <w:rPr>
          <w:rFonts w:ascii="Palatino Linotype" w:hAnsi="Palatino Linotype"/>
          <w:b/>
        </w:rPr>
        <w:t>EL SUJETO OBLIGADO</w:t>
      </w:r>
      <w:r w:rsidRPr="002E6C55">
        <w:rPr>
          <w:rFonts w:ascii="Palatino Linotype" w:hAnsi="Palatino Linotype"/>
        </w:rPr>
        <w:t xml:space="preserve">, la solicitud de acceso a la información pública, a la que se le asignó el número de expediente </w:t>
      </w:r>
      <w:r w:rsidRPr="002E6C55">
        <w:rPr>
          <w:rFonts w:ascii="Palatino Linotype" w:hAnsi="Palatino Linotype"/>
          <w:b/>
          <w:bCs/>
        </w:rPr>
        <w:t>00111/ACAMBAY/IP/2020</w:t>
      </w:r>
      <w:r w:rsidRPr="002E6C55">
        <w:rPr>
          <w:rFonts w:ascii="Palatino Linotype" w:hAnsi="Palatino Linotype"/>
        </w:rPr>
        <w:t>, mediante la cual requirió:</w:t>
      </w:r>
    </w:p>
    <w:p w14:paraId="3BC388BF" w14:textId="77777777" w:rsidR="00A33379" w:rsidRPr="002E6C55" w:rsidRDefault="00A33379" w:rsidP="00A33379">
      <w:pPr>
        <w:ind w:left="851" w:right="902"/>
        <w:jc w:val="both"/>
        <w:rPr>
          <w:rFonts w:ascii="Palatino Linotype" w:hAnsi="Palatino Linotype"/>
          <w:i/>
          <w:color w:val="000000"/>
          <w:sz w:val="22"/>
          <w:szCs w:val="22"/>
        </w:rPr>
      </w:pPr>
      <w:r w:rsidRPr="002E6C55">
        <w:rPr>
          <w:rFonts w:ascii="Palatino Linotype" w:hAnsi="Palatino Linotype"/>
          <w:i/>
          <w:color w:val="000000"/>
          <w:sz w:val="22"/>
          <w:szCs w:val="22"/>
        </w:rPr>
        <w:t>“Solicito en que casos no se requiere licencia de construcción o licencia para levantar bardas perimetrales respecto de un inmueble de uso habitacional, en zona urbana, para ello señale además el fundamento jurídico y administrativo para tales efectos. De no contar con la información solicito me comprueben la búsqueda exhaustiva y en todo caso la declaratoria de inexistencia pasada ante el comité correspondiente adjuntandome el acta. Cuantos sellos de suspensión de obra se colocaron en la administración pasada y cuantos de esos sellos de suspensión de obra le dio seguimiento la actual administración. ¿La actual administración retoma o le da continuidad a los expedientes que fueron generados por la anterior administración respecto a las obras suspendidas en proceso de construcción, ampliación etc.? para ello señale el fundamento jurídico y administrativo para tal efecto. En caso de que no sea el caso señale el fundament.” (Sic)</w:t>
      </w:r>
    </w:p>
    <w:p w14:paraId="5761EC04"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b/>
        </w:rPr>
        <w:lastRenderedPageBreak/>
        <w:t>MODALIDAD DE ENTREGA:</w:t>
      </w:r>
      <w:r w:rsidRPr="002E6C55">
        <w:rPr>
          <w:rFonts w:ascii="Palatino Linotype" w:hAnsi="Palatino Linotype" w:cs="Arial"/>
        </w:rPr>
        <w:t xml:space="preserve"> Vía </w:t>
      </w:r>
      <w:r w:rsidRPr="002E6C55">
        <w:rPr>
          <w:rFonts w:ascii="Palatino Linotype" w:hAnsi="Palatino Linotype" w:cs="Arial"/>
          <w:b/>
        </w:rPr>
        <w:t>SAIMEX</w:t>
      </w:r>
      <w:r w:rsidRPr="002E6C55">
        <w:rPr>
          <w:rFonts w:ascii="Palatino Linotype" w:hAnsi="Palatino Linotype" w:cs="Arial"/>
        </w:rPr>
        <w:t>.</w:t>
      </w:r>
    </w:p>
    <w:p w14:paraId="62A82D1E" w14:textId="77777777" w:rsidR="00A33379" w:rsidRPr="002E6C55" w:rsidRDefault="00A33379" w:rsidP="00A33379">
      <w:pPr>
        <w:pStyle w:val="Prrafodelista"/>
        <w:spacing w:before="240" w:after="240" w:line="360" w:lineRule="auto"/>
        <w:ind w:left="0"/>
        <w:jc w:val="both"/>
        <w:rPr>
          <w:rFonts w:ascii="Palatino Linotype" w:hAnsi="Palatino Linotype" w:cs="Arial"/>
          <w:lang w:val="es-ES_tradnl"/>
        </w:rPr>
      </w:pPr>
      <w:r w:rsidRPr="002E6C55">
        <w:rPr>
          <w:rFonts w:ascii="Palatino Linotype" w:hAnsi="Palatino Linotype" w:cs="Arial"/>
          <w:b/>
          <w:sz w:val="28"/>
          <w:szCs w:val="28"/>
        </w:rPr>
        <w:t>II.</w:t>
      </w:r>
      <w:r w:rsidRPr="002E6C55">
        <w:rPr>
          <w:rFonts w:ascii="Palatino Linotype" w:hAnsi="Palatino Linotype" w:cs="Arial"/>
        </w:rPr>
        <w:t xml:space="preserve"> De las </w:t>
      </w:r>
      <w:r w:rsidRPr="002E6C55">
        <w:rPr>
          <w:rFonts w:ascii="Palatino Linotype" w:hAnsi="Palatino Linotype" w:cs="Arial"/>
          <w:lang w:val="es-ES_tradnl"/>
        </w:rPr>
        <w:t xml:space="preserve">constancias que obran en </w:t>
      </w:r>
      <w:r w:rsidRPr="002E6C55">
        <w:rPr>
          <w:rFonts w:ascii="Palatino Linotype" w:hAnsi="Palatino Linotype" w:cs="Arial"/>
          <w:b/>
          <w:lang w:val="es-ES_tradnl"/>
        </w:rPr>
        <w:t>EL</w:t>
      </w:r>
      <w:r w:rsidRPr="002E6C55">
        <w:rPr>
          <w:rFonts w:ascii="Palatino Linotype" w:hAnsi="Palatino Linotype" w:cs="Arial"/>
          <w:lang w:val="es-ES_tradnl"/>
        </w:rPr>
        <w:t xml:space="preserve"> </w:t>
      </w:r>
      <w:r w:rsidRPr="002E6C55">
        <w:rPr>
          <w:rFonts w:ascii="Palatino Linotype" w:hAnsi="Palatino Linotype" w:cs="Arial"/>
          <w:b/>
          <w:lang w:val="es-ES_tradnl"/>
        </w:rPr>
        <w:t>SAIMEX</w:t>
      </w:r>
      <w:r w:rsidRPr="002E6C55">
        <w:rPr>
          <w:rFonts w:ascii="Palatino Linotype" w:hAnsi="Palatino Linotype" w:cs="Arial"/>
          <w:lang w:val="es-ES_tradnl"/>
        </w:rPr>
        <w:t>, se desprende que el veinticinco de septiembre de dos mil veinte,</w:t>
      </w:r>
      <w:r w:rsidRPr="002E6C55">
        <w:rPr>
          <w:rFonts w:ascii="Palatino Linotype" w:hAnsi="Palatino Linotype" w:cs="Arial"/>
          <w:b/>
          <w:lang w:val="es-ES_tradnl"/>
        </w:rPr>
        <w:t xml:space="preserve"> EL SUJETO OBLIGADO</w:t>
      </w:r>
      <w:r w:rsidRPr="002E6C55">
        <w:rPr>
          <w:rFonts w:ascii="Palatino Linotype" w:hAnsi="Palatino Linotype" w:cs="Arial"/>
          <w:lang w:val="es-ES_tradnl"/>
        </w:rPr>
        <w:t xml:space="preserve"> dio respuesta a la solicitud de acceso a la información en los términos siguientes:</w:t>
      </w:r>
    </w:p>
    <w:p w14:paraId="68D7C5AB" w14:textId="77777777" w:rsidR="00A33379" w:rsidRPr="002E6C55" w:rsidRDefault="00A33379" w:rsidP="00A33379">
      <w:pPr>
        <w:ind w:left="851" w:right="902"/>
        <w:jc w:val="both"/>
        <w:rPr>
          <w:rFonts w:ascii="Palatino Linotype" w:hAnsi="Palatino Linotype"/>
          <w:i/>
          <w:color w:val="000000"/>
          <w:sz w:val="22"/>
          <w:szCs w:val="22"/>
        </w:rPr>
      </w:pPr>
      <w:r w:rsidRPr="002E6C55">
        <w:rPr>
          <w:rFonts w:ascii="Palatino Linotype" w:hAnsi="Palatino Linotype"/>
          <w:i/>
          <w:color w:val="000000"/>
          <w:sz w:val="22"/>
          <w:szCs w:val="22"/>
        </w:rPr>
        <w:t>“En atención a su solicitud de información No. 00111/ACAMBAY/IP/2020, recibida por esta dependencia vía Sistema Electrónico Denominado Sistema de Acceso a la Información Mexiquense (SAIMEX) de fecha 07 de septiembre de 2020,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Dirección de Desarrollo Urbano y Dirección de Obras Públicas de Acambay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 (Sic)</w:t>
      </w:r>
    </w:p>
    <w:p w14:paraId="38C70EEF" w14:textId="77777777" w:rsidR="00A33379" w:rsidRPr="002E6C55" w:rsidRDefault="00A33379" w:rsidP="00A33379">
      <w:pPr>
        <w:pStyle w:val="Prrafodelista"/>
        <w:spacing w:before="100" w:beforeAutospacing="1" w:after="100" w:afterAutospacing="1" w:line="360" w:lineRule="auto"/>
        <w:ind w:left="0"/>
        <w:jc w:val="both"/>
        <w:rPr>
          <w:rFonts w:ascii="Palatino Linotype" w:hAnsi="Palatino Linotype" w:cs="Arial"/>
        </w:rPr>
      </w:pPr>
      <w:r w:rsidRPr="002E6C55">
        <w:rPr>
          <w:rFonts w:ascii="Palatino Linotype" w:hAnsi="Palatino Linotype" w:cs="Arial"/>
        </w:rPr>
        <w:t>Adjuntando a dicha respuesta dos archivos electrónicos cuyo contenido se describe enseguida:</w:t>
      </w:r>
    </w:p>
    <w:p w14:paraId="4794AA2F" w14:textId="77777777" w:rsidR="00A33379" w:rsidRPr="002E6C55" w:rsidRDefault="002E6C55" w:rsidP="00A33379">
      <w:pPr>
        <w:pStyle w:val="Prrafodelista"/>
        <w:numPr>
          <w:ilvl w:val="0"/>
          <w:numId w:val="3"/>
        </w:numPr>
        <w:spacing w:before="100" w:beforeAutospacing="1" w:after="100" w:afterAutospacing="1" w:line="360" w:lineRule="auto"/>
        <w:jc w:val="both"/>
        <w:rPr>
          <w:rFonts w:ascii="Palatino Linotype" w:hAnsi="Palatino Linotype" w:cs="Arial"/>
          <w:b/>
        </w:rPr>
      </w:pPr>
      <w:hyperlink r:id="rId8" w:tgtFrame="_blank" w:history="1">
        <w:r w:rsidR="00A33379" w:rsidRPr="002E6C55">
          <w:rPr>
            <w:rFonts w:ascii="Palatino Linotype" w:hAnsi="Palatino Linotype"/>
            <w:b/>
          </w:rPr>
          <w:t>RESPUESTA DESARROLLO URBANO 000111.pdf</w:t>
        </w:r>
      </w:hyperlink>
      <w:r w:rsidR="003C6402" w:rsidRPr="002E6C55">
        <w:rPr>
          <w:rFonts w:ascii="Palatino Linotype" w:hAnsi="Palatino Linotype" w:cs="Arial"/>
          <w:b/>
        </w:rPr>
        <w:t xml:space="preserve">: </w:t>
      </w:r>
      <w:r w:rsidR="003C6402" w:rsidRPr="002E6C55">
        <w:rPr>
          <w:rFonts w:ascii="Palatino Linotype" w:hAnsi="Palatino Linotype" w:cs="Arial"/>
        </w:rPr>
        <w:t>contiene el oficio DDU/142/2020, signado por el Director de Desarrollo Urbano mediante el cual informó que no se requiere Licencia de Construcción para la construcción de una barda perimetral en un inmueble de uso habitacional, ello de conformidad con el artículo 18.24, fracción II del Libro Octavo del Código Administrativo del Estado de México.</w:t>
      </w:r>
    </w:p>
    <w:p w14:paraId="2D51B23B" w14:textId="77777777" w:rsidR="00A33379" w:rsidRPr="002E6C55" w:rsidRDefault="002E6C55" w:rsidP="00A33379">
      <w:pPr>
        <w:pStyle w:val="Prrafodelista"/>
        <w:numPr>
          <w:ilvl w:val="0"/>
          <w:numId w:val="3"/>
        </w:numPr>
        <w:spacing w:before="100" w:beforeAutospacing="1" w:after="100" w:afterAutospacing="1" w:line="360" w:lineRule="auto"/>
        <w:jc w:val="both"/>
        <w:rPr>
          <w:rFonts w:ascii="Palatino Linotype" w:hAnsi="Palatino Linotype" w:cs="Arial"/>
        </w:rPr>
      </w:pPr>
      <w:hyperlink r:id="rId9" w:tgtFrame="_blank" w:history="1">
        <w:r w:rsidR="00A33379" w:rsidRPr="002E6C55">
          <w:rPr>
            <w:rFonts w:ascii="Palatino Linotype" w:hAnsi="Palatino Linotype"/>
            <w:b/>
          </w:rPr>
          <w:t>RESPUESTA DE OBRAS PUBLICAS 000111.pdf</w:t>
        </w:r>
      </w:hyperlink>
      <w:r w:rsidR="003C6402" w:rsidRPr="002E6C55">
        <w:rPr>
          <w:rFonts w:ascii="Palatino Linotype" w:hAnsi="Palatino Linotype" w:cs="Arial"/>
          <w:b/>
        </w:rPr>
        <w:t xml:space="preserve">: </w:t>
      </w:r>
      <w:r w:rsidR="003C6402" w:rsidRPr="002E6C55">
        <w:rPr>
          <w:rFonts w:ascii="Palatino Linotype" w:hAnsi="Palatino Linotype" w:cs="Arial"/>
        </w:rPr>
        <w:t>contiene el oficio DOP/723/2020, signado por el Director de Obras Públicas y mediante el cual indicó que no se requiere licencia para levantar bardas perimetrales, agregando que respecto al resto de la información solicitada, el área competente es la Dirección de Desarrollo Urbano.</w:t>
      </w:r>
    </w:p>
    <w:p w14:paraId="322F3D27" w14:textId="77777777" w:rsidR="00A33379" w:rsidRPr="002E6C55" w:rsidRDefault="00A33379" w:rsidP="00A33379">
      <w:pPr>
        <w:pStyle w:val="Prrafodelista"/>
        <w:spacing w:line="360" w:lineRule="auto"/>
        <w:ind w:left="0"/>
        <w:jc w:val="both"/>
        <w:rPr>
          <w:rFonts w:ascii="Palatino Linotype" w:hAnsi="Palatino Linotype"/>
          <w:b/>
        </w:rPr>
      </w:pPr>
      <w:r w:rsidRPr="002E6C55">
        <w:rPr>
          <w:rFonts w:ascii="Palatino Linotype" w:hAnsi="Palatino Linotype"/>
          <w:b/>
          <w:sz w:val="28"/>
          <w:szCs w:val="28"/>
        </w:rPr>
        <w:t>III.</w:t>
      </w:r>
      <w:r w:rsidRPr="002E6C55">
        <w:rPr>
          <w:rFonts w:ascii="Palatino Linotype" w:hAnsi="Palatino Linotype"/>
        </w:rPr>
        <w:t xml:space="preserve"> Inconforme con la </w:t>
      </w:r>
      <w:r w:rsidRPr="002E6C55">
        <w:rPr>
          <w:rFonts w:ascii="Palatino Linotype" w:hAnsi="Palatino Linotype" w:cs="Arial"/>
        </w:rPr>
        <w:t>respuesta, el veinti</w:t>
      </w:r>
      <w:r w:rsidR="001B0B0C" w:rsidRPr="002E6C55">
        <w:rPr>
          <w:rFonts w:ascii="Palatino Linotype" w:hAnsi="Palatino Linotype" w:cs="Arial"/>
        </w:rPr>
        <w:t xml:space="preserve">ocho </w:t>
      </w:r>
      <w:r w:rsidRPr="002E6C55">
        <w:rPr>
          <w:rFonts w:ascii="Palatino Linotype" w:hAnsi="Palatino Linotype" w:cs="Arial"/>
        </w:rPr>
        <w:t xml:space="preserve">de septiembre del dos mil veinte, </w:t>
      </w:r>
      <w:r w:rsidR="001B0B0C" w:rsidRPr="002E6C55">
        <w:rPr>
          <w:rFonts w:ascii="Palatino Linotype" w:hAnsi="Palatino Linotype"/>
          <w:b/>
        </w:rPr>
        <w:t>EL</w:t>
      </w:r>
      <w:r w:rsidRPr="002E6C55">
        <w:rPr>
          <w:rFonts w:ascii="Palatino Linotype" w:hAnsi="Palatino Linotype"/>
          <w:b/>
        </w:rPr>
        <w:t xml:space="preserve"> RECURRENTE</w:t>
      </w:r>
      <w:r w:rsidRPr="002E6C55">
        <w:rPr>
          <w:rFonts w:ascii="Palatino Linotype" w:hAnsi="Palatino Linotype"/>
        </w:rPr>
        <w:t xml:space="preserve"> interpuso el recurso de revisión objeto del presente estudio, </w:t>
      </w:r>
      <w:r w:rsidRPr="002E6C55">
        <w:rPr>
          <w:rFonts w:ascii="Palatino Linotype" w:hAnsi="Palatino Linotype" w:cs="Arial"/>
        </w:rPr>
        <w:t>al que se</w:t>
      </w:r>
      <w:r w:rsidRPr="002E6C55">
        <w:rPr>
          <w:rFonts w:ascii="Palatino Linotype" w:hAnsi="Palatino Linotype"/>
        </w:rPr>
        <w:t xml:space="preserve"> le asignó el número de expediente al rubro indicado</w:t>
      </w:r>
      <w:r w:rsidRPr="002E6C55">
        <w:rPr>
          <w:rFonts w:ascii="Palatino Linotype" w:hAnsi="Palatino Linotype" w:cs="Arial"/>
        </w:rPr>
        <w:t>, en el que señaló como acto impugnado lo siguiente:</w:t>
      </w:r>
    </w:p>
    <w:p w14:paraId="5949D217" w14:textId="77777777" w:rsidR="00A33379" w:rsidRPr="002E6C55" w:rsidRDefault="00A33379" w:rsidP="00A33379">
      <w:pPr>
        <w:pStyle w:val="Prrafodelista"/>
        <w:ind w:left="851" w:right="899"/>
        <w:jc w:val="both"/>
        <w:rPr>
          <w:rFonts w:ascii="Palatino Linotype" w:hAnsi="Palatino Linotype" w:cs="Arial"/>
          <w:i/>
          <w:sz w:val="22"/>
          <w:szCs w:val="22"/>
          <w:lang w:val="es-ES_tradnl"/>
        </w:rPr>
      </w:pPr>
      <w:r w:rsidRPr="002E6C55">
        <w:rPr>
          <w:rFonts w:ascii="Palatino Linotype" w:hAnsi="Palatino Linotype" w:cs="Arial"/>
          <w:i/>
          <w:sz w:val="22"/>
          <w:szCs w:val="22"/>
          <w:lang w:val="es-ES_tradnl"/>
        </w:rPr>
        <w:t>“</w:t>
      </w:r>
      <w:r w:rsidR="001B0B0C" w:rsidRPr="002E6C55">
        <w:rPr>
          <w:rFonts w:ascii="Palatino Linotype" w:hAnsi="Palatino Linotype" w:cs="Arial"/>
          <w:i/>
          <w:sz w:val="22"/>
          <w:szCs w:val="22"/>
          <w:lang w:val="es-ES_tradnl"/>
        </w:rPr>
        <w:t>La respuesta por parte de los sujetos obligados, (ni entre áreas se pueden organizar); la respuesta no otorga todos los puntos de la solicitud requerida</w:t>
      </w:r>
      <w:r w:rsidRPr="002E6C55">
        <w:rPr>
          <w:rFonts w:ascii="Palatino Linotype" w:hAnsi="Palatino Linotype" w:cs="Arial"/>
          <w:i/>
          <w:sz w:val="22"/>
          <w:szCs w:val="22"/>
          <w:lang w:val="es-ES_tradnl"/>
        </w:rPr>
        <w:t>.” (Sic)</w:t>
      </w:r>
    </w:p>
    <w:p w14:paraId="000D9CCB"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 xml:space="preserve">Asimismo, como razones o motivos de inconformidad: </w:t>
      </w:r>
    </w:p>
    <w:p w14:paraId="2544C275" w14:textId="77777777" w:rsidR="00A33379" w:rsidRPr="002E6C55" w:rsidRDefault="00A33379" w:rsidP="00A33379">
      <w:pPr>
        <w:ind w:left="851" w:right="901"/>
        <w:jc w:val="both"/>
        <w:rPr>
          <w:rFonts w:ascii="Palatino Linotype" w:hAnsi="Palatino Linotype" w:cs="Arial"/>
          <w:i/>
          <w:sz w:val="22"/>
          <w:szCs w:val="22"/>
          <w:lang w:val="es-ES_tradnl"/>
        </w:rPr>
      </w:pPr>
      <w:r w:rsidRPr="002E6C55">
        <w:rPr>
          <w:rFonts w:ascii="Palatino Linotype" w:hAnsi="Palatino Linotype" w:cs="Arial"/>
          <w:i/>
          <w:sz w:val="22"/>
          <w:szCs w:val="22"/>
          <w:lang w:val="es-ES_tradnl"/>
        </w:rPr>
        <w:t>“</w:t>
      </w:r>
      <w:r w:rsidR="001B0B0C" w:rsidRPr="002E6C55">
        <w:rPr>
          <w:rFonts w:ascii="Palatino Linotype" w:hAnsi="Palatino Linotype" w:cs="Arial"/>
          <w:i/>
          <w:sz w:val="22"/>
          <w:szCs w:val="22"/>
          <w:lang w:val="es-ES_tradnl"/>
        </w:rPr>
        <w:t>Se viola mi derecho humano al acceso a la información pública que obra en sus archivos.</w:t>
      </w:r>
      <w:r w:rsidRPr="002E6C55">
        <w:rPr>
          <w:rFonts w:ascii="Palatino Linotype" w:hAnsi="Palatino Linotype" w:cs="Arial"/>
          <w:i/>
          <w:sz w:val="22"/>
          <w:szCs w:val="22"/>
          <w:lang w:val="es-ES_tradnl"/>
        </w:rPr>
        <w:t>” (Sic)</w:t>
      </w:r>
    </w:p>
    <w:p w14:paraId="59E4CA83" w14:textId="77777777" w:rsidR="00A33379" w:rsidRPr="002E6C55" w:rsidRDefault="00A33379" w:rsidP="00A33379">
      <w:pPr>
        <w:pStyle w:val="Prrafodelista"/>
        <w:spacing w:before="100" w:beforeAutospacing="1" w:after="100" w:afterAutospacing="1" w:line="360" w:lineRule="auto"/>
        <w:ind w:left="0"/>
        <w:jc w:val="both"/>
        <w:rPr>
          <w:rFonts w:ascii="Palatino Linotype" w:hAnsi="Palatino Linotype" w:cs="Arial"/>
          <w:lang w:val="es-ES_tradnl"/>
        </w:rPr>
      </w:pPr>
      <w:r w:rsidRPr="002E6C55">
        <w:rPr>
          <w:rFonts w:ascii="Palatino Linotype" w:hAnsi="Palatino Linotype" w:cs="Arial"/>
          <w:b/>
          <w:sz w:val="28"/>
        </w:rPr>
        <w:t xml:space="preserve">IV. </w:t>
      </w:r>
      <w:r w:rsidRPr="002E6C55">
        <w:rPr>
          <w:rFonts w:ascii="Palatino Linotype" w:hAnsi="Palatino Linotype" w:cs="Arial"/>
        </w:rPr>
        <w:t>El veinti</w:t>
      </w:r>
      <w:r w:rsidR="001B0B0C" w:rsidRPr="002E6C55">
        <w:rPr>
          <w:rFonts w:ascii="Palatino Linotype" w:hAnsi="Palatino Linotype" w:cs="Arial"/>
        </w:rPr>
        <w:t>ocho</w:t>
      </w:r>
      <w:r w:rsidRPr="002E6C55">
        <w:rPr>
          <w:rFonts w:ascii="Palatino Linotype" w:hAnsi="Palatino Linotype" w:cs="Arial"/>
        </w:rPr>
        <w:t xml:space="preserve"> de septiembre de dos mil veinte, el </w:t>
      </w:r>
      <w:r w:rsidRPr="002E6C55">
        <w:rPr>
          <w:rFonts w:ascii="Palatino Linotype" w:hAnsi="Palatino Linotype" w:cs="Arial"/>
          <w:lang w:val="es-ES_tradnl"/>
        </w:rPr>
        <w:t>recurso de que</w:t>
      </w:r>
      <w:r w:rsidRPr="002E6C55">
        <w:rPr>
          <w:rFonts w:ascii="Palatino Linotype" w:hAnsi="Palatino Linotype" w:cs="Arial"/>
        </w:rPr>
        <w:t xml:space="preserve"> se trata</w:t>
      </w:r>
      <w:r w:rsidRPr="002E6C55">
        <w:rPr>
          <w:rFonts w:ascii="Palatino Linotype" w:hAnsi="Palatino Linotype" w:cs="Arial"/>
          <w:lang w:val="es-ES_tradnl"/>
        </w:rPr>
        <w:t xml:space="preserve"> se envió electrónicamente al Instituto de </w:t>
      </w:r>
      <w:r w:rsidRPr="002E6C55">
        <w:rPr>
          <w:rFonts w:ascii="Palatino Linotype" w:eastAsia="Arial Unicode MS" w:hAnsi="Palatino Linotype" w:cs="Arial"/>
        </w:rPr>
        <w:t>Transparencia</w:t>
      </w:r>
      <w:r w:rsidRPr="002E6C55">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E6C55">
        <w:rPr>
          <w:rFonts w:ascii="Palatino Linotype" w:hAnsi="Palatino Linotype"/>
        </w:rPr>
        <w:t>Ley de Transparencia y Acceso a la Información Pública del Estado de México y Municipios</w:t>
      </w:r>
      <w:r w:rsidRPr="002E6C55">
        <w:rPr>
          <w:rFonts w:ascii="Palatino Linotype" w:hAnsi="Palatino Linotype" w:cs="Arial"/>
          <w:lang w:val="es-ES_tradnl"/>
        </w:rPr>
        <w:t xml:space="preserve">, se turno </w:t>
      </w:r>
      <w:r w:rsidRPr="002E6C55">
        <w:rPr>
          <w:rFonts w:ascii="Palatino Linotype" w:hAnsi="Palatino Linotype" w:cs="Arial"/>
          <w:bCs/>
        </w:rPr>
        <w:t>a la</w:t>
      </w:r>
      <w:r w:rsidRPr="002E6C55">
        <w:rPr>
          <w:rFonts w:ascii="Palatino Linotype" w:hAnsi="Palatino Linotype"/>
        </w:rPr>
        <w:t xml:space="preserve"> </w:t>
      </w:r>
      <w:r w:rsidRPr="002E6C55">
        <w:rPr>
          <w:rFonts w:ascii="Palatino Linotype" w:hAnsi="Palatino Linotype" w:cs="Arial"/>
          <w:lang w:val="es-ES_tradnl"/>
        </w:rPr>
        <w:t xml:space="preserve">Comisionada </w:t>
      </w:r>
      <w:r w:rsidRPr="002E6C55">
        <w:rPr>
          <w:rFonts w:ascii="Palatino Linotype" w:hAnsi="Palatino Linotype" w:cs="Arial"/>
          <w:b/>
          <w:lang w:val="es-ES_tradnl"/>
        </w:rPr>
        <w:t>EVA ABAID YAPUR;</w:t>
      </w:r>
      <w:r w:rsidRPr="002E6C55">
        <w:rPr>
          <w:rFonts w:ascii="Palatino Linotype" w:hAnsi="Palatino Linotype" w:cs="Arial"/>
          <w:lang w:val="es-ES_tradnl"/>
        </w:rPr>
        <w:t xml:space="preserve"> a efecto de que decretara su admisión o desechamiento.</w:t>
      </w:r>
    </w:p>
    <w:p w14:paraId="3939DA0F" w14:textId="77777777" w:rsidR="00A33379" w:rsidRPr="002E6C55" w:rsidRDefault="00A33379" w:rsidP="00A33379">
      <w:pPr>
        <w:pStyle w:val="Piedepgina"/>
        <w:spacing w:before="100" w:beforeAutospacing="1" w:after="100" w:afterAutospacing="1" w:line="360" w:lineRule="auto"/>
        <w:jc w:val="both"/>
        <w:rPr>
          <w:rFonts w:ascii="Palatino Linotype" w:hAnsi="Palatino Linotype" w:cs="Arial"/>
        </w:rPr>
      </w:pPr>
      <w:r w:rsidRPr="002E6C55">
        <w:rPr>
          <w:rFonts w:ascii="Palatino Linotype" w:hAnsi="Palatino Linotype" w:cs="Arial"/>
          <w:b/>
          <w:sz w:val="28"/>
          <w:szCs w:val="28"/>
        </w:rPr>
        <w:t xml:space="preserve">V. </w:t>
      </w:r>
      <w:r w:rsidRPr="002E6C55">
        <w:rPr>
          <w:rFonts w:ascii="Palatino Linotype" w:hAnsi="Palatino Linotype" w:cs="Arial"/>
        </w:rPr>
        <w:t xml:space="preserve">El </w:t>
      </w:r>
      <w:r w:rsidR="001B0B0C" w:rsidRPr="002E6C55">
        <w:rPr>
          <w:rFonts w:ascii="Palatino Linotype" w:hAnsi="Palatino Linotype" w:cs="Arial"/>
        </w:rPr>
        <w:t xml:space="preserve">dos </w:t>
      </w:r>
      <w:r w:rsidRPr="002E6C55">
        <w:rPr>
          <w:rFonts w:ascii="Palatino Linotype" w:hAnsi="Palatino Linotype" w:cs="Arial"/>
        </w:rPr>
        <w:t xml:space="preserve">de octubre de dos mil veinte, atento a lo dispuesto en el artículo 185, fracciones I, II y IV de la </w:t>
      </w:r>
      <w:r w:rsidRPr="002E6C55">
        <w:rPr>
          <w:rFonts w:ascii="Palatino Linotype" w:hAnsi="Palatino Linotype"/>
        </w:rPr>
        <w:t xml:space="preserve">Ley de Transparencia y Acceso a la Información Pública del </w:t>
      </w:r>
      <w:r w:rsidRPr="002E6C55">
        <w:rPr>
          <w:rFonts w:ascii="Palatino Linotype" w:hAnsi="Palatino Linotype"/>
        </w:rPr>
        <w:lastRenderedPageBreak/>
        <w:t>Estado de México y Municipios, se a</w:t>
      </w:r>
      <w:r w:rsidRPr="002E6C55">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1B0B0C" w:rsidRPr="002E6C55">
        <w:rPr>
          <w:rFonts w:ascii="Palatino Linotype" w:hAnsi="Palatino Linotype" w:cs="Arial"/>
          <w:b/>
        </w:rPr>
        <w:t>EL</w:t>
      </w:r>
      <w:r w:rsidRPr="002E6C55">
        <w:rPr>
          <w:rFonts w:ascii="Palatino Linotype" w:hAnsi="Palatino Linotype" w:cs="Arial"/>
          <w:b/>
        </w:rPr>
        <w:t xml:space="preserve"> RECURRENTE</w:t>
      </w:r>
      <w:r w:rsidRPr="002E6C55">
        <w:rPr>
          <w:rFonts w:ascii="Palatino Linotype" w:hAnsi="Palatino Linotype" w:cs="Arial"/>
        </w:rPr>
        <w:t xml:space="preserve"> realizara manifestaciones y alegatos, así como ofreciera las pruebas que a su derecho conviniera y, en el caso del</w:t>
      </w:r>
      <w:r w:rsidRPr="002E6C55">
        <w:rPr>
          <w:rFonts w:ascii="Palatino Linotype" w:hAnsi="Palatino Linotype" w:cs="Arial"/>
          <w:b/>
        </w:rPr>
        <w:t xml:space="preserve"> SUJETO OBLIGADO</w:t>
      </w:r>
      <w:r w:rsidRPr="002E6C55">
        <w:rPr>
          <w:rFonts w:ascii="Palatino Linotype" w:hAnsi="Palatino Linotype" w:cs="Arial"/>
        </w:rPr>
        <w:t xml:space="preserve"> exhibiera el Informe Justificado correspondiente.</w:t>
      </w:r>
    </w:p>
    <w:p w14:paraId="7B6F3C73" w14:textId="77777777" w:rsidR="00A33379" w:rsidRPr="002E6C55" w:rsidRDefault="00A33379" w:rsidP="00A33379">
      <w:pPr>
        <w:spacing w:line="360" w:lineRule="auto"/>
        <w:jc w:val="both"/>
        <w:rPr>
          <w:rFonts w:ascii="Palatino Linotype" w:hAnsi="Palatino Linotype" w:cs="Arial"/>
        </w:rPr>
      </w:pPr>
      <w:r w:rsidRPr="002E6C55">
        <w:rPr>
          <w:rFonts w:ascii="Palatino Linotype" w:hAnsi="Palatino Linotype" w:cs="Arial"/>
          <w:b/>
          <w:sz w:val="28"/>
        </w:rPr>
        <w:t xml:space="preserve">VI. </w:t>
      </w:r>
      <w:r w:rsidRPr="002E6C55">
        <w:rPr>
          <w:rFonts w:ascii="Palatino Linotype" w:hAnsi="Palatino Linotype" w:cs="Arial"/>
        </w:rPr>
        <w:t xml:space="preserve">De las constancias que obran en el </w:t>
      </w:r>
      <w:r w:rsidRPr="002E6C55">
        <w:rPr>
          <w:rFonts w:ascii="Palatino Linotype" w:hAnsi="Palatino Linotype" w:cs="Arial"/>
          <w:b/>
        </w:rPr>
        <w:t>SAIMEX</w:t>
      </w:r>
      <w:r w:rsidRPr="002E6C55">
        <w:rPr>
          <w:rFonts w:ascii="Palatino Linotype" w:hAnsi="Palatino Linotype" w:cs="Arial"/>
        </w:rPr>
        <w:t>, se advierte que</w:t>
      </w:r>
      <w:r w:rsidR="001B0B0C" w:rsidRPr="002E6C55">
        <w:rPr>
          <w:rFonts w:ascii="Palatino Linotype" w:hAnsi="Palatino Linotype" w:cs="Arial"/>
          <w:b/>
        </w:rPr>
        <w:t xml:space="preserve"> EL</w:t>
      </w:r>
      <w:r w:rsidRPr="002E6C55">
        <w:rPr>
          <w:rFonts w:ascii="Palatino Linotype" w:hAnsi="Palatino Linotype" w:cs="Arial"/>
          <w:b/>
        </w:rPr>
        <w:t xml:space="preserve"> RECURRENTE </w:t>
      </w:r>
      <w:r w:rsidRPr="002E6C55">
        <w:rPr>
          <w:rFonts w:ascii="Palatino Linotype" w:hAnsi="Palatino Linotype" w:cs="Arial"/>
        </w:rPr>
        <w:t xml:space="preserve">no presentó manifestaciones y alegatos, ni ofreció los medios de prueba que a su derecho conviniera. Por su parte, </w:t>
      </w:r>
      <w:r w:rsidRPr="002E6C55">
        <w:rPr>
          <w:rFonts w:ascii="Palatino Linotype" w:hAnsi="Palatino Linotype" w:cs="Arial"/>
          <w:b/>
        </w:rPr>
        <w:t>EL SUJETO OBLIGADO</w:t>
      </w:r>
      <w:r w:rsidRPr="002E6C55">
        <w:rPr>
          <w:rFonts w:ascii="Palatino Linotype" w:hAnsi="Palatino Linotype" w:cs="Arial"/>
        </w:rPr>
        <w:t xml:space="preserve"> el </w:t>
      </w:r>
      <w:r w:rsidR="001B0B0C" w:rsidRPr="002E6C55">
        <w:rPr>
          <w:rFonts w:ascii="Palatino Linotype" w:hAnsi="Palatino Linotype" w:cs="Arial"/>
        </w:rPr>
        <w:t xml:space="preserve">dos de octubre </w:t>
      </w:r>
      <w:r w:rsidRPr="002E6C55">
        <w:rPr>
          <w:rFonts w:ascii="Palatino Linotype" w:hAnsi="Palatino Linotype" w:cs="Arial"/>
        </w:rPr>
        <w:t>de dos mil veinte presentó el Informe Justificado dentro del término concedido para tal efecto; mismo que al precisar la información requerida, en términos de lo que dispone el artículo 185, fracción III de la Ley de Transparencia y Acceso a la Información Pública del Estado de México y Municipios, fue puesto a la vista del particular por el término de tres días, a efecto de que manifestara lo que a su derecho conviniera; sirviendo de sustento a lo anterior la imagen que a continuación se inserta:</w:t>
      </w:r>
    </w:p>
    <w:p w14:paraId="756F0129" w14:textId="77777777" w:rsidR="00A33379" w:rsidRPr="002E6C55" w:rsidRDefault="001B0B0C" w:rsidP="00A33379">
      <w:pPr>
        <w:spacing w:line="360" w:lineRule="auto"/>
        <w:jc w:val="center"/>
        <w:rPr>
          <w:rFonts w:ascii="Palatino Linotype" w:hAnsi="Palatino Linotype" w:cs="Arial"/>
        </w:rPr>
      </w:pPr>
      <w:r w:rsidRPr="002E6C55">
        <w:rPr>
          <w:noProof/>
          <w:lang w:eastAsia="es-MX"/>
        </w:rPr>
        <w:drawing>
          <wp:inline distT="0" distB="0" distL="0" distR="0" wp14:anchorId="43299315" wp14:editId="2CFC6FD6">
            <wp:extent cx="5304302" cy="13167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725" t="42684" r="18527" b="25637"/>
                    <a:stretch/>
                  </pic:blipFill>
                  <pic:spPr bwMode="auto">
                    <a:xfrm>
                      <a:off x="0" y="0"/>
                      <a:ext cx="5315468" cy="13195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8C65A0" w14:textId="77777777" w:rsidR="00A33379" w:rsidRPr="002E6C55" w:rsidRDefault="00A33379" w:rsidP="00A33379">
      <w:pPr>
        <w:pStyle w:val="Prrafodelista"/>
        <w:spacing w:before="100" w:beforeAutospacing="1" w:after="100" w:afterAutospacing="1" w:line="360" w:lineRule="auto"/>
        <w:ind w:left="0"/>
        <w:jc w:val="both"/>
        <w:rPr>
          <w:rFonts w:ascii="Palatino Linotype" w:hAnsi="Palatino Linotype" w:cs="Arial"/>
        </w:rPr>
      </w:pPr>
      <w:r w:rsidRPr="002E6C55">
        <w:rPr>
          <w:rFonts w:ascii="Palatino Linotype" w:eastAsia="Arial Unicode MS" w:hAnsi="Palatino Linotype" w:cs="Arial"/>
          <w:b/>
          <w:sz w:val="28"/>
          <w:szCs w:val="28"/>
        </w:rPr>
        <w:t xml:space="preserve">VII. </w:t>
      </w:r>
      <w:r w:rsidRPr="002E6C55">
        <w:rPr>
          <w:rFonts w:ascii="Palatino Linotype" w:hAnsi="Palatino Linotype" w:cs="Arial"/>
        </w:rPr>
        <w:t>Transcurrido el plazo señalado en el párrafo anterior y, una vez analizado el estado procesal que guarda el expediente, el veint</w:t>
      </w:r>
      <w:r w:rsidR="001B0B0C" w:rsidRPr="002E6C55">
        <w:rPr>
          <w:rFonts w:ascii="Palatino Linotype" w:hAnsi="Palatino Linotype" w:cs="Arial"/>
        </w:rPr>
        <w:t xml:space="preserve">e </w:t>
      </w:r>
      <w:r w:rsidRPr="002E6C55">
        <w:rPr>
          <w:rFonts w:ascii="Palatino Linotype" w:hAnsi="Palatino Linotype" w:cs="Arial"/>
        </w:rPr>
        <w:t xml:space="preserve">de octubre de dos mil veinte, la Comisionada Ponente acordó el cierre de instrucción, así como la remisión del mismo </w:t>
      </w:r>
      <w:r w:rsidRPr="002E6C55">
        <w:rPr>
          <w:rFonts w:ascii="Palatino Linotype" w:hAnsi="Palatino Linotype" w:cs="Arial"/>
        </w:rPr>
        <w:lastRenderedPageBreak/>
        <w:t>a efecto de ser resuelto, de conformidad con lo establecido en el artículo 185, fracciones VI y VIII de la Ley de Transparencia y Acceso a la Información Pública del Estado de México y Municipios, y</w:t>
      </w:r>
    </w:p>
    <w:p w14:paraId="2B237BF9" w14:textId="77777777" w:rsidR="00A33379" w:rsidRPr="002E6C55" w:rsidRDefault="00A33379" w:rsidP="00A33379">
      <w:pPr>
        <w:jc w:val="center"/>
        <w:rPr>
          <w:rFonts w:ascii="Palatino Linotype" w:hAnsi="Palatino Linotype" w:cs="Arial"/>
          <w:b/>
          <w:bCs/>
          <w:spacing w:val="60"/>
          <w:sz w:val="28"/>
          <w:lang w:val="es-ES_tradnl"/>
        </w:rPr>
      </w:pPr>
      <w:r w:rsidRPr="002E6C55">
        <w:rPr>
          <w:rFonts w:ascii="Palatino Linotype" w:hAnsi="Palatino Linotype" w:cs="Arial"/>
          <w:b/>
          <w:bCs/>
          <w:spacing w:val="60"/>
          <w:sz w:val="28"/>
          <w:lang w:val="es-ES_tradnl"/>
        </w:rPr>
        <w:t>CONSIDERANDO</w:t>
      </w:r>
    </w:p>
    <w:p w14:paraId="0B57D8ED" w14:textId="77777777" w:rsidR="00A33379" w:rsidRPr="002E6C55" w:rsidRDefault="00A33379" w:rsidP="00A33379">
      <w:pPr>
        <w:spacing w:before="100" w:beforeAutospacing="1" w:after="100" w:afterAutospacing="1" w:line="360" w:lineRule="auto"/>
        <w:ind w:right="50"/>
        <w:jc w:val="both"/>
        <w:rPr>
          <w:rFonts w:ascii="Palatino Linotype" w:hAnsi="Palatino Linotype" w:cs="Arial"/>
          <w:b/>
        </w:rPr>
      </w:pPr>
      <w:r w:rsidRPr="002E6C55">
        <w:rPr>
          <w:rFonts w:ascii="Palatino Linotype" w:hAnsi="Palatino Linotype"/>
          <w:b/>
          <w:sz w:val="28"/>
          <w:szCs w:val="28"/>
        </w:rPr>
        <w:t>PRIMERO</w:t>
      </w:r>
      <w:r w:rsidRPr="002E6C55">
        <w:rPr>
          <w:rFonts w:ascii="Palatino Linotype" w:hAnsi="Palatino Linotype"/>
          <w:b/>
        </w:rPr>
        <w:t>.</w:t>
      </w:r>
      <w:r w:rsidRPr="002E6C55">
        <w:rPr>
          <w:rFonts w:ascii="Palatino Linotype" w:hAnsi="Palatino Linotype"/>
        </w:rPr>
        <w:t xml:space="preserve"> </w:t>
      </w:r>
      <w:r w:rsidRPr="002E6C55">
        <w:rPr>
          <w:rFonts w:ascii="Palatino Linotype" w:hAnsi="Palatino Linotype"/>
          <w:b/>
        </w:rPr>
        <w:t>Competencia</w:t>
      </w:r>
      <w:r w:rsidRPr="002E6C55">
        <w:rPr>
          <w:rFonts w:ascii="Palatino Linotype" w:hAnsi="Palatino Linotype"/>
        </w:rPr>
        <w:t>.</w:t>
      </w:r>
      <w:r w:rsidRPr="002E6C55">
        <w:rPr>
          <w:rFonts w:ascii="Palatino Linotype" w:hAnsi="Palatino Linotype"/>
          <w:b/>
        </w:rPr>
        <w:t xml:space="preserve"> </w:t>
      </w:r>
      <w:r w:rsidRPr="002E6C55">
        <w:rPr>
          <w:rFonts w:ascii="Palatino Linotype" w:hAnsi="Palatino Linotype"/>
        </w:rPr>
        <w:t xml:space="preserve">Este Instituto de </w:t>
      </w:r>
      <w:r w:rsidRPr="002E6C55">
        <w:rPr>
          <w:rFonts w:ascii="Palatino Linotype" w:hAnsi="Palatino Linotype" w:cs="Arial"/>
        </w:rPr>
        <w:t>Transparencia</w:t>
      </w:r>
      <w:r w:rsidRPr="002E6C55">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E6C55">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4429AAEE" w14:textId="77777777" w:rsidR="00A33379" w:rsidRPr="002E6C55" w:rsidRDefault="00A33379" w:rsidP="00A33379">
      <w:pPr>
        <w:spacing w:before="100" w:beforeAutospacing="1" w:after="100" w:afterAutospacing="1" w:line="360" w:lineRule="auto"/>
        <w:jc w:val="both"/>
        <w:rPr>
          <w:rFonts w:ascii="Palatino Linotype" w:hAnsi="Palatino Linotype" w:cs="Arial"/>
          <w:b/>
          <w:bCs/>
        </w:rPr>
      </w:pPr>
      <w:r w:rsidRPr="002E6C55">
        <w:rPr>
          <w:rFonts w:ascii="Palatino Linotype" w:hAnsi="Palatino Linotype" w:cs="Arial"/>
          <w:b/>
          <w:sz w:val="28"/>
        </w:rPr>
        <w:t>SEGUNDO</w:t>
      </w:r>
      <w:r w:rsidRPr="002E6C55">
        <w:rPr>
          <w:rFonts w:ascii="Palatino Linotype" w:hAnsi="Palatino Linotype" w:cs="Arial"/>
          <w:b/>
        </w:rPr>
        <w:t xml:space="preserve">. Interés. </w:t>
      </w:r>
      <w:r w:rsidRPr="002E6C55">
        <w:rPr>
          <w:rFonts w:ascii="Palatino Linotype" w:hAnsi="Palatino Linotype" w:cs="Arial"/>
          <w:bCs/>
        </w:rPr>
        <w:t xml:space="preserve">El recurso de revisión fue interpuesto por parte legítima, en atención a que se presentó por </w:t>
      </w:r>
      <w:r w:rsidR="001B0B0C" w:rsidRPr="002E6C55">
        <w:rPr>
          <w:rFonts w:ascii="Palatino Linotype" w:hAnsi="Palatino Linotype" w:cs="Arial"/>
          <w:b/>
          <w:bCs/>
        </w:rPr>
        <w:t>EL</w:t>
      </w:r>
      <w:r w:rsidRPr="002E6C55">
        <w:rPr>
          <w:rFonts w:ascii="Palatino Linotype" w:hAnsi="Palatino Linotype" w:cs="Arial"/>
          <w:b/>
          <w:bCs/>
        </w:rPr>
        <w:t xml:space="preserve"> RECURRENTE,</w:t>
      </w:r>
      <w:r w:rsidRPr="002E6C55">
        <w:rPr>
          <w:rFonts w:ascii="Palatino Linotype" w:hAnsi="Palatino Linotype" w:cs="Arial"/>
          <w:bCs/>
        </w:rPr>
        <w:t xml:space="preserve"> quien es la misma persona que formuló la solicitud de acceso a la información pública al </w:t>
      </w:r>
      <w:r w:rsidRPr="002E6C55">
        <w:rPr>
          <w:rFonts w:ascii="Palatino Linotype" w:hAnsi="Palatino Linotype" w:cs="Arial"/>
          <w:b/>
          <w:bCs/>
        </w:rPr>
        <w:t>SUJETO OBLIGADO.</w:t>
      </w:r>
    </w:p>
    <w:p w14:paraId="0D8F3419" w14:textId="77777777" w:rsidR="00A33379" w:rsidRPr="002E6C55" w:rsidRDefault="00A33379" w:rsidP="00A3337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2E6C55">
        <w:rPr>
          <w:rFonts w:ascii="Palatino Linotype" w:hAnsi="Palatino Linotype" w:cs="Arial"/>
          <w:b/>
          <w:sz w:val="28"/>
          <w:szCs w:val="28"/>
        </w:rPr>
        <w:t xml:space="preserve">TERCERO. </w:t>
      </w:r>
      <w:r w:rsidRPr="002E6C55">
        <w:rPr>
          <w:rFonts w:ascii="Palatino Linotype" w:hAnsi="Palatino Linotype" w:cs="Arial"/>
          <w:b/>
        </w:rPr>
        <w:t>Oportunidad</w:t>
      </w:r>
      <w:r w:rsidRPr="002E6C55">
        <w:rPr>
          <w:rFonts w:ascii="Palatino Linotype" w:hAnsi="Palatino Linotype" w:cs="Arial"/>
          <w:b/>
          <w:i/>
        </w:rPr>
        <w:t>.</w:t>
      </w:r>
      <w:r w:rsidRPr="002E6C55">
        <w:rPr>
          <w:rFonts w:ascii="Palatino Linotype" w:hAnsi="Palatino Linotype" w:cs="Arial"/>
          <w:b/>
        </w:rPr>
        <w:t xml:space="preserve"> </w:t>
      </w:r>
      <w:r w:rsidRPr="002E6C55">
        <w:rPr>
          <w:rFonts w:ascii="Palatino Linotype" w:hAnsi="Palatino Linotype" w:cs="Arial"/>
        </w:rPr>
        <w:t xml:space="preserve">El recurso de revisión fue interpuesto dentro del plazo de quince días hábiles contados a partir del día siguiente al en que </w:t>
      </w:r>
      <w:r w:rsidR="001B0B0C" w:rsidRPr="002E6C55">
        <w:rPr>
          <w:rFonts w:ascii="Palatino Linotype" w:hAnsi="Palatino Linotype" w:cs="Arial"/>
          <w:b/>
        </w:rPr>
        <w:t>EL</w:t>
      </w:r>
      <w:r w:rsidRPr="002E6C55">
        <w:rPr>
          <w:rFonts w:ascii="Palatino Linotype" w:hAnsi="Palatino Linotype" w:cs="Arial"/>
          <w:b/>
        </w:rPr>
        <w:t xml:space="preserve"> RECURRENTE </w:t>
      </w:r>
      <w:r w:rsidRPr="002E6C55">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14:paraId="49CE4912" w14:textId="77777777" w:rsidR="00A33379" w:rsidRPr="002E6C55" w:rsidRDefault="00A33379" w:rsidP="00A33379">
      <w:pPr>
        <w:ind w:left="851" w:right="899"/>
        <w:jc w:val="both"/>
        <w:rPr>
          <w:rFonts w:ascii="Palatino Linotype" w:hAnsi="Palatino Linotype" w:cs="Arial"/>
          <w:i/>
        </w:rPr>
      </w:pPr>
      <w:r w:rsidRPr="002E6C55">
        <w:rPr>
          <w:rFonts w:ascii="Palatino Linotype" w:hAnsi="Palatino Linotype" w:cs="Arial"/>
          <w:b/>
          <w:i/>
        </w:rPr>
        <w:t>“Artículo 178.</w:t>
      </w:r>
      <w:r w:rsidRPr="002E6C55">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D614E7" w14:textId="77777777" w:rsidR="00A33379" w:rsidRPr="002E6C55" w:rsidRDefault="00A33379" w:rsidP="00A33379">
      <w:pPr>
        <w:ind w:left="851" w:right="899"/>
        <w:jc w:val="both"/>
        <w:rPr>
          <w:rFonts w:ascii="Palatino Linotype" w:hAnsi="Palatino Linotype" w:cs="Arial"/>
          <w:i/>
        </w:rPr>
      </w:pPr>
      <w:r w:rsidRPr="002E6C55">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4ECA1D4" w14:textId="77777777" w:rsidR="00A33379" w:rsidRPr="002E6C55" w:rsidRDefault="00A33379" w:rsidP="00A33379">
      <w:pPr>
        <w:ind w:left="851" w:right="899"/>
        <w:jc w:val="both"/>
        <w:rPr>
          <w:rFonts w:ascii="Palatino Linotype" w:hAnsi="Palatino Linotype" w:cs="Arial"/>
          <w:i/>
        </w:rPr>
      </w:pPr>
      <w:r w:rsidRPr="002E6C55">
        <w:rPr>
          <w:rFonts w:ascii="Palatino Linotype" w:hAnsi="Palatino Linotype" w:cs="Arial"/>
          <w:i/>
        </w:rPr>
        <w:t>En el caso de que se interponga ante la Unidad de Transparencia, ésta deberá remitir el recurso de revisión al Instituto a más tardar al día siguiente de haberlo recibido.</w:t>
      </w:r>
      <w:r w:rsidRPr="002E6C55">
        <w:rPr>
          <w:rFonts w:ascii="Palatino Linotype" w:hAnsi="Palatino Linotype" w:cs="Arial"/>
          <w:b/>
          <w:i/>
        </w:rPr>
        <w:t>”</w:t>
      </w:r>
    </w:p>
    <w:p w14:paraId="35093FE5" w14:textId="77777777" w:rsidR="00A33379" w:rsidRPr="002E6C55" w:rsidRDefault="00A33379" w:rsidP="00A33379">
      <w:pPr>
        <w:spacing w:before="100" w:beforeAutospacing="1" w:after="100" w:afterAutospacing="1" w:line="360" w:lineRule="auto"/>
        <w:jc w:val="both"/>
        <w:rPr>
          <w:rFonts w:ascii="Palatino Linotype" w:hAnsi="Palatino Linotype" w:cs="Arial"/>
          <w:lang w:val="es-ES_tradnl"/>
        </w:rPr>
      </w:pPr>
      <w:r w:rsidRPr="002E6C55">
        <w:rPr>
          <w:rFonts w:ascii="Palatino Linotype" w:hAnsi="Palatino Linotype" w:cs="Arial"/>
        </w:rPr>
        <w:t xml:space="preserve">En efecto, atendiendo a que </w:t>
      </w:r>
      <w:r w:rsidRPr="002E6C55">
        <w:rPr>
          <w:rFonts w:ascii="Palatino Linotype" w:hAnsi="Palatino Linotype" w:cs="Arial"/>
          <w:b/>
        </w:rPr>
        <w:t>EL SUJETO OBLIGADO</w:t>
      </w:r>
      <w:r w:rsidRPr="002E6C55">
        <w:rPr>
          <w:rFonts w:ascii="Palatino Linotype" w:hAnsi="Palatino Linotype" w:cs="Arial"/>
        </w:rPr>
        <w:t xml:space="preserve"> notificó la respuesta a la solicitud de información pública el día </w:t>
      </w:r>
      <w:r w:rsidR="001B0B0C" w:rsidRPr="002E6C55">
        <w:rPr>
          <w:rFonts w:ascii="Palatino Linotype" w:hAnsi="Palatino Linotype" w:cs="Arial"/>
          <w:b/>
        </w:rPr>
        <w:t>veinticinco</w:t>
      </w:r>
      <w:r w:rsidRPr="002E6C55">
        <w:rPr>
          <w:rFonts w:ascii="Palatino Linotype" w:hAnsi="Palatino Linotype" w:cs="Arial"/>
          <w:b/>
        </w:rPr>
        <w:t xml:space="preserve"> de septiembre de dos mil veinte</w:t>
      </w:r>
      <w:r w:rsidRPr="002E6C55">
        <w:rPr>
          <w:rFonts w:ascii="Palatino Linotype" w:hAnsi="Palatino Linotype" w:cs="Arial"/>
        </w:rPr>
        <w:t xml:space="preserve">, el plazo de quince días hábiles que el artículo 178 de la ley de la materia otorga a la hoy </w:t>
      </w:r>
      <w:r w:rsidRPr="002E6C55">
        <w:rPr>
          <w:rFonts w:ascii="Palatino Linotype" w:hAnsi="Palatino Linotype" w:cs="Arial"/>
          <w:b/>
        </w:rPr>
        <w:t>RECURRENTE</w:t>
      </w:r>
      <w:r w:rsidRPr="002E6C55">
        <w:rPr>
          <w:rFonts w:ascii="Palatino Linotype" w:hAnsi="Palatino Linotype" w:cs="Arial"/>
        </w:rPr>
        <w:t xml:space="preserve"> para presentar el recurso de revisión, transcurrió del </w:t>
      </w:r>
      <w:r w:rsidRPr="002E6C55">
        <w:rPr>
          <w:rFonts w:ascii="Palatino Linotype" w:hAnsi="Palatino Linotype" w:cs="Arial"/>
          <w:b/>
        </w:rPr>
        <w:t>veinti</w:t>
      </w:r>
      <w:r w:rsidR="001B0B0C" w:rsidRPr="002E6C55">
        <w:rPr>
          <w:rFonts w:ascii="Palatino Linotype" w:hAnsi="Palatino Linotype" w:cs="Arial"/>
          <w:b/>
        </w:rPr>
        <w:t xml:space="preserve">ocho de </w:t>
      </w:r>
      <w:r w:rsidRPr="002E6C55">
        <w:rPr>
          <w:rFonts w:ascii="Palatino Linotype" w:hAnsi="Palatino Linotype" w:cs="Arial"/>
          <w:b/>
        </w:rPr>
        <w:t xml:space="preserve">septiembre al </w:t>
      </w:r>
      <w:r w:rsidR="001B0B0C" w:rsidRPr="002E6C55">
        <w:rPr>
          <w:rFonts w:ascii="Palatino Linotype" w:hAnsi="Palatino Linotype" w:cs="Arial"/>
          <w:b/>
        </w:rPr>
        <w:t>dieciséis de o</w:t>
      </w:r>
      <w:r w:rsidRPr="002E6C55">
        <w:rPr>
          <w:rFonts w:ascii="Palatino Linotype" w:hAnsi="Palatino Linotype" w:cs="Arial"/>
          <w:b/>
        </w:rPr>
        <w:t xml:space="preserve">ctubre de dos mil veinte, </w:t>
      </w:r>
      <w:r w:rsidRPr="002E6C55">
        <w:rPr>
          <w:rFonts w:ascii="Palatino Linotype" w:hAnsi="Palatino Linotype" w:cs="Arial"/>
          <w:lang w:val="es-ES_tradnl"/>
        </w:rPr>
        <w:t>sin contemplar en el cómputo los días</w:t>
      </w:r>
      <w:r w:rsidR="001B0B0C" w:rsidRPr="002E6C55">
        <w:rPr>
          <w:rFonts w:ascii="Palatino Linotype" w:hAnsi="Palatino Linotype" w:cs="Arial"/>
          <w:lang w:val="es-ES_tradnl"/>
        </w:rPr>
        <w:t xml:space="preserve"> veintiséis y veintisiete de septiembre,</w:t>
      </w:r>
      <w:r w:rsidRPr="002E6C55">
        <w:rPr>
          <w:rFonts w:ascii="Palatino Linotype" w:hAnsi="Palatino Linotype" w:cs="Arial"/>
          <w:lang w:val="es-ES_tradnl"/>
        </w:rPr>
        <w:t xml:space="preserve"> </w:t>
      </w:r>
      <w:r w:rsidR="00343A68" w:rsidRPr="002E6C55">
        <w:rPr>
          <w:rFonts w:ascii="Palatino Linotype" w:hAnsi="Palatino Linotype" w:cs="Arial"/>
          <w:lang w:val="es-ES_tradnl"/>
        </w:rPr>
        <w:t xml:space="preserve">tres, cuatro, diez y once </w:t>
      </w:r>
      <w:r w:rsidRPr="002E6C55">
        <w:rPr>
          <w:rFonts w:ascii="Palatino Linotype" w:hAnsi="Palatino Linotype" w:cs="Arial"/>
          <w:lang w:val="es-ES_tradnl"/>
        </w:rPr>
        <w:t>de octubre del presente año, por corresponder a sábados y domingos</w:t>
      </w:r>
      <w:r w:rsidRPr="002E6C55">
        <w:rPr>
          <w:rFonts w:ascii="Palatino Linotype" w:hAnsi="Palatino Linotype" w:cs="Arial"/>
        </w:rPr>
        <w:t xml:space="preserve">, considerados como días inhábiles, en términos del artículo 3, fracción X de la </w:t>
      </w:r>
      <w:r w:rsidRPr="002E6C55">
        <w:rPr>
          <w:rFonts w:ascii="Palatino Linotype" w:hAnsi="Palatino Linotype"/>
        </w:rPr>
        <w:t>Ley de Transparencia y Acceso a la Información Pública del Estado de México y Municipios.</w:t>
      </w:r>
    </w:p>
    <w:p w14:paraId="3EE51406" w14:textId="77777777" w:rsidR="00A33379" w:rsidRPr="002E6C55" w:rsidRDefault="00A33379" w:rsidP="00A33379">
      <w:pPr>
        <w:pStyle w:val="Prrafodelista"/>
        <w:widowControl w:val="0"/>
        <w:autoSpaceDE w:val="0"/>
        <w:autoSpaceDN w:val="0"/>
        <w:adjustRightInd w:val="0"/>
        <w:spacing w:before="120" w:after="120" w:line="360" w:lineRule="auto"/>
        <w:ind w:left="0"/>
        <w:jc w:val="both"/>
        <w:rPr>
          <w:rFonts w:ascii="Palatino Linotype" w:hAnsi="Palatino Linotype"/>
        </w:rPr>
      </w:pPr>
      <w:r w:rsidRPr="002E6C55">
        <w:rPr>
          <w:rFonts w:ascii="Palatino Linotype" w:hAnsi="Palatino Linotype"/>
        </w:rPr>
        <w:t xml:space="preserve">En ese tenor, si el recurso de revisión que nos ocupa, se interpuso el </w:t>
      </w:r>
      <w:r w:rsidRPr="002E6C55">
        <w:rPr>
          <w:rFonts w:ascii="Palatino Linotype" w:hAnsi="Palatino Linotype"/>
          <w:b/>
        </w:rPr>
        <w:t>veinti</w:t>
      </w:r>
      <w:r w:rsidR="00343A68" w:rsidRPr="002E6C55">
        <w:rPr>
          <w:rFonts w:ascii="Palatino Linotype" w:hAnsi="Palatino Linotype"/>
          <w:b/>
        </w:rPr>
        <w:t xml:space="preserve">ocho </w:t>
      </w:r>
      <w:r w:rsidRPr="002E6C55">
        <w:rPr>
          <w:rFonts w:ascii="Palatino Linotype" w:hAnsi="Palatino Linotype"/>
          <w:b/>
        </w:rPr>
        <w:t>de septiembre de dos mil veinte</w:t>
      </w:r>
      <w:r w:rsidRPr="002E6C55">
        <w:rPr>
          <w:rFonts w:ascii="Palatino Linotype" w:hAnsi="Palatino Linotype"/>
        </w:rPr>
        <w:t xml:space="preserve">, éste se encuentra dentro de los márgenes temporales </w:t>
      </w:r>
      <w:r w:rsidRPr="002E6C55">
        <w:rPr>
          <w:rFonts w:ascii="Palatino Linotype" w:hAnsi="Palatino Linotype"/>
        </w:rPr>
        <w:lastRenderedPageBreak/>
        <w:t>previstos en el citado precepto legal y, por tanto, su interposición considera oportuna.</w:t>
      </w:r>
    </w:p>
    <w:p w14:paraId="753E103B" w14:textId="77777777" w:rsidR="00343A68" w:rsidRPr="002E6C55" w:rsidRDefault="00A33379" w:rsidP="00343A6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2E6C55">
        <w:rPr>
          <w:rFonts w:ascii="Palatino Linotype" w:hAnsi="Palatino Linotype" w:cs="Arial"/>
          <w:b/>
          <w:sz w:val="28"/>
          <w:szCs w:val="28"/>
        </w:rPr>
        <w:t>CUARTO</w:t>
      </w:r>
      <w:r w:rsidRPr="002E6C55">
        <w:rPr>
          <w:rFonts w:ascii="Palatino Linotype" w:hAnsi="Palatino Linotype" w:cs="Arial"/>
          <w:b/>
        </w:rPr>
        <w:t xml:space="preserve">. </w:t>
      </w:r>
      <w:r w:rsidRPr="002E6C55">
        <w:rPr>
          <w:rFonts w:ascii="Palatino Linotype" w:hAnsi="Palatino Linotype" w:cs="Arial"/>
          <w:b/>
          <w:szCs w:val="28"/>
        </w:rPr>
        <w:t xml:space="preserve">Procedibilidad. </w:t>
      </w:r>
      <w:r w:rsidR="00343A68" w:rsidRPr="002E6C55">
        <w:rPr>
          <w:rFonts w:ascii="Palatino Linotype" w:hAnsi="Palatino Linotype" w:cs="Arial"/>
          <w:lang w:val="es-ES"/>
        </w:rPr>
        <w:t xml:space="preserve">Se considera importante abordar el análisis de los requisitos de procedibilidad del Recurso de Revisión; así, tenemos que el artículo 180 de la </w:t>
      </w:r>
      <w:r w:rsidR="00343A68" w:rsidRPr="002E6C55">
        <w:rPr>
          <w:rFonts w:ascii="Palatino Linotype" w:hAnsi="Palatino Linotype" w:cs="Arial"/>
          <w:lang w:val="es-ES" w:eastAsia="es-MX"/>
        </w:rPr>
        <w:t xml:space="preserve">Ley de Transparencia y Acceso a la Información Pública del Estado de México y Municipios, </w:t>
      </w:r>
      <w:r w:rsidR="00343A68" w:rsidRPr="002E6C55">
        <w:rPr>
          <w:rFonts w:ascii="Palatino Linotype" w:hAnsi="Palatino Linotype" w:cs="Arial"/>
          <w:lang w:val="es-ES"/>
        </w:rPr>
        <w:t>establece lo siguiente:</w:t>
      </w:r>
    </w:p>
    <w:p w14:paraId="69019068"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“Artículo 180. </w:t>
      </w:r>
      <w:r w:rsidRPr="002E6C55">
        <w:rPr>
          <w:rFonts w:ascii="Palatino Linotype" w:hAnsi="Palatino Linotype"/>
          <w:i/>
          <w:sz w:val="22"/>
          <w:szCs w:val="22"/>
          <w:lang w:val="es-ES"/>
        </w:rPr>
        <w:t xml:space="preserve">El </w:t>
      </w:r>
      <w:r w:rsidRPr="002E6C55">
        <w:rPr>
          <w:rFonts w:ascii="Palatino Linotype" w:hAnsi="Palatino Linotype" w:cs="Arial"/>
          <w:i/>
          <w:sz w:val="22"/>
          <w:szCs w:val="22"/>
          <w:lang w:val="es-ES"/>
        </w:rPr>
        <w:t>recurso</w:t>
      </w:r>
      <w:r w:rsidRPr="002E6C55">
        <w:rPr>
          <w:rFonts w:ascii="Palatino Linotype" w:hAnsi="Palatino Linotype"/>
          <w:i/>
          <w:sz w:val="22"/>
          <w:szCs w:val="22"/>
          <w:lang w:val="es-ES"/>
        </w:rPr>
        <w:t xml:space="preserve"> </w:t>
      </w:r>
      <w:r w:rsidRPr="002E6C55">
        <w:rPr>
          <w:rFonts w:ascii="Palatino Linotype" w:hAnsi="Palatino Linotype" w:cs="Arial"/>
          <w:i/>
          <w:color w:val="222222"/>
          <w:sz w:val="22"/>
          <w:szCs w:val="22"/>
          <w:lang w:val="es-ES"/>
        </w:rPr>
        <w:t>de</w:t>
      </w:r>
      <w:r w:rsidRPr="002E6C55">
        <w:rPr>
          <w:rFonts w:ascii="Palatino Linotype" w:hAnsi="Palatino Linotype"/>
          <w:i/>
          <w:sz w:val="22"/>
          <w:szCs w:val="22"/>
          <w:lang w:val="es-ES"/>
        </w:rPr>
        <w:t xml:space="preserve"> revisión contendrá:</w:t>
      </w:r>
      <w:r w:rsidRPr="002E6C55">
        <w:rPr>
          <w:rFonts w:ascii="Palatino Linotype" w:hAnsi="Palatino Linotype"/>
          <w:b/>
          <w:i/>
          <w:sz w:val="22"/>
          <w:szCs w:val="22"/>
          <w:lang w:val="es-ES"/>
        </w:rPr>
        <w:t xml:space="preserve"> </w:t>
      </w:r>
    </w:p>
    <w:p w14:paraId="7C0DD20D"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I. </w:t>
      </w:r>
      <w:r w:rsidRPr="002E6C55">
        <w:rPr>
          <w:rFonts w:ascii="Palatino Linotype" w:hAnsi="Palatino Linotype"/>
          <w:i/>
          <w:sz w:val="22"/>
          <w:szCs w:val="22"/>
          <w:lang w:val="es-ES"/>
        </w:rPr>
        <w:t xml:space="preserve">El sujeto obligado ante </w:t>
      </w:r>
      <w:r w:rsidRPr="002E6C55">
        <w:rPr>
          <w:rFonts w:ascii="Palatino Linotype" w:hAnsi="Palatino Linotype" w:cs="Arial"/>
          <w:i/>
          <w:sz w:val="22"/>
          <w:szCs w:val="22"/>
          <w:lang w:val="es-ES"/>
        </w:rPr>
        <w:t>la</w:t>
      </w:r>
      <w:r w:rsidRPr="002E6C55">
        <w:rPr>
          <w:rFonts w:ascii="Palatino Linotype" w:hAnsi="Palatino Linotype"/>
          <w:i/>
          <w:sz w:val="22"/>
          <w:szCs w:val="22"/>
          <w:lang w:val="es-ES"/>
        </w:rPr>
        <w:t xml:space="preserve"> cual </w:t>
      </w:r>
      <w:r w:rsidRPr="002E6C55">
        <w:rPr>
          <w:rFonts w:ascii="Palatino Linotype" w:hAnsi="Palatino Linotype" w:cs="Arial"/>
          <w:i/>
          <w:color w:val="222222"/>
          <w:sz w:val="22"/>
          <w:szCs w:val="22"/>
          <w:lang w:val="es-ES"/>
        </w:rPr>
        <w:t>se</w:t>
      </w:r>
      <w:r w:rsidRPr="002E6C55">
        <w:rPr>
          <w:rFonts w:ascii="Palatino Linotype" w:hAnsi="Palatino Linotype"/>
          <w:i/>
          <w:sz w:val="22"/>
          <w:szCs w:val="22"/>
          <w:lang w:val="es-ES"/>
        </w:rPr>
        <w:t xml:space="preserve"> presentó la solicitud;</w:t>
      </w:r>
      <w:r w:rsidRPr="002E6C55">
        <w:rPr>
          <w:rFonts w:ascii="Palatino Linotype" w:hAnsi="Palatino Linotype"/>
          <w:b/>
          <w:i/>
          <w:sz w:val="22"/>
          <w:szCs w:val="22"/>
          <w:lang w:val="es-ES"/>
        </w:rPr>
        <w:t xml:space="preserve"> </w:t>
      </w:r>
    </w:p>
    <w:p w14:paraId="3940289F"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II. </w:t>
      </w:r>
      <w:r w:rsidRPr="002E6C55">
        <w:rPr>
          <w:rFonts w:ascii="Palatino Linotype" w:hAnsi="Palatino Linotype"/>
          <w:b/>
          <w:i/>
          <w:sz w:val="22"/>
          <w:szCs w:val="22"/>
          <w:u w:val="single"/>
          <w:lang w:val="es-ES"/>
        </w:rPr>
        <w:t xml:space="preserve">El nombre del solicitante </w:t>
      </w:r>
      <w:r w:rsidRPr="002E6C55">
        <w:rPr>
          <w:rFonts w:ascii="Palatino Linotype" w:hAnsi="Palatino Linotype" w:cs="Arial"/>
          <w:b/>
          <w:i/>
          <w:color w:val="222222"/>
          <w:sz w:val="22"/>
          <w:szCs w:val="22"/>
          <w:u w:val="single"/>
          <w:lang w:val="es-ES"/>
        </w:rPr>
        <w:t>que</w:t>
      </w:r>
      <w:r w:rsidRPr="002E6C55">
        <w:rPr>
          <w:rFonts w:ascii="Palatino Linotype" w:hAnsi="Palatino Linotype"/>
          <w:b/>
          <w:i/>
          <w:sz w:val="22"/>
          <w:szCs w:val="22"/>
          <w:u w:val="single"/>
          <w:lang w:val="es-ES"/>
        </w:rPr>
        <w:t xml:space="preserve"> recurre </w:t>
      </w:r>
      <w:r w:rsidRPr="002E6C55">
        <w:rPr>
          <w:rFonts w:ascii="Palatino Linotype" w:hAnsi="Palatino Linotype"/>
          <w:i/>
          <w:sz w:val="22"/>
          <w:szCs w:val="22"/>
          <w:lang w:val="es-ES"/>
        </w:rPr>
        <w:t>o de su representante y, en su caso, del tercero interesado, así como la dirección o medio que señale para recibir notificaciones;</w:t>
      </w:r>
      <w:r w:rsidRPr="002E6C55">
        <w:rPr>
          <w:rFonts w:ascii="Palatino Linotype" w:hAnsi="Palatino Linotype"/>
          <w:b/>
          <w:i/>
          <w:sz w:val="22"/>
          <w:szCs w:val="22"/>
          <w:lang w:val="es-ES"/>
        </w:rPr>
        <w:t xml:space="preserve"> </w:t>
      </w:r>
    </w:p>
    <w:p w14:paraId="6D6324D0"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III. </w:t>
      </w:r>
      <w:r w:rsidRPr="002E6C55">
        <w:rPr>
          <w:rFonts w:ascii="Palatino Linotype" w:hAnsi="Palatino Linotype"/>
          <w:i/>
          <w:sz w:val="22"/>
          <w:szCs w:val="22"/>
          <w:lang w:val="es-ES"/>
        </w:rPr>
        <w:t xml:space="preserve">El número de folio de </w:t>
      </w:r>
      <w:r w:rsidRPr="002E6C55">
        <w:rPr>
          <w:rFonts w:ascii="Palatino Linotype" w:hAnsi="Palatino Linotype" w:cs="Arial"/>
          <w:i/>
          <w:color w:val="222222"/>
          <w:sz w:val="22"/>
          <w:szCs w:val="22"/>
          <w:lang w:val="es-ES"/>
        </w:rPr>
        <w:t>respuesta</w:t>
      </w:r>
      <w:r w:rsidRPr="002E6C55">
        <w:rPr>
          <w:rFonts w:ascii="Palatino Linotype" w:hAnsi="Palatino Linotype"/>
          <w:i/>
          <w:sz w:val="22"/>
          <w:szCs w:val="22"/>
          <w:lang w:val="es-ES"/>
        </w:rPr>
        <w:t xml:space="preserve"> de la solicitud de acceso; </w:t>
      </w:r>
    </w:p>
    <w:p w14:paraId="0F884397"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IV. </w:t>
      </w:r>
      <w:r w:rsidRPr="002E6C55">
        <w:rPr>
          <w:rFonts w:ascii="Palatino Linotype" w:hAnsi="Palatino Linotype"/>
          <w:i/>
          <w:sz w:val="22"/>
          <w:szCs w:val="22"/>
          <w:lang w:val="es-ES"/>
        </w:rPr>
        <w:t xml:space="preserve">La fecha en que fue </w:t>
      </w:r>
      <w:r w:rsidRPr="002E6C55">
        <w:rPr>
          <w:rFonts w:ascii="Palatino Linotype" w:hAnsi="Palatino Linotype" w:cs="Arial"/>
          <w:i/>
          <w:color w:val="222222"/>
          <w:sz w:val="22"/>
          <w:szCs w:val="22"/>
          <w:lang w:val="es-ES"/>
        </w:rPr>
        <w:t>notificada</w:t>
      </w:r>
      <w:r w:rsidRPr="002E6C5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E6C55">
        <w:rPr>
          <w:rFonts w:ascii="Palatino Linotype" w:hAnsi="Palatino Linotype"/>
          <w:b/>
          <w:i/>
          <w:sz w:val="22"/>
          <w:szCs w:val="22"/>
          <w:lang w:val="es-ES"/>
        </w:rPr>
        <w:t xml:space="preserve"> </w:t>
      </w:r>
    </w:p>
    <w:p w14:paraId="7995AD6D"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V. </w:t>
      </w:r>
      <w:r w:rsidRPr="002E6C55">
        <w:rPr>
          <w:rFonts w:ascii="Palatino Linotype" w:hAnsi="Palatino Linotype"/>
          <w:i/>
          <w:sz w:val="22"/>
          <w:szCs w:val="22"/>
          <w:lang w:val="es-ES"/>
        </w:rPr>
        <w:t xml:space="preserve">El acto que se </w:t>
      </w:r>
      <w:r w:rsidRPr="002E6C55">
        <w:rPr>
          <w:rFonts w:ascii="Palatino Linotype" w:hAnsi="Palatino Linotype" w:cs="Arial"/>
          <w:i/>
          <w:color w:val="222222"/>
          <w:sz w:val="22"/>
          <w:szCs w:val="22"/>
          <w:lang w:val="es-ES"/>
        </w:rPr>
        <w:t>recurre</w:t>
      </w:r>
      <w:r w:rsidRPr="002E6C55">
        <w:rPr>
          <w:rFonts w:ascii="Palatino Linotype" w:hAnsi="Palatino Linotype"/>
          <w:i/>
          <w:sz w:val="22"/>
          <w:szCs w:val="22"/>
          <w:lang w:val="es-ES"/>
        </w:rPr>
        <w:t>;</w:t>
      </w:r>
      <w:r w:rsidRPr="002E6C55">
        <w:rPr>
          <w:rFonts w:ascii="Palatino Linotype" w:hAnsi="Palatino Linotype"/>
          <w:b/>
          <w:i/>
          <w:sz w:val="22"/>
          <w:szCs w:val="22"/>
          <w:lang w:val="es-ES"/>
        </w:rPr>
        <w:t xml:space="preserve"> </w:t>
      </w:r>
    </w:p>
    <w:p w14:paraId="7E2B29ED"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VI. </w:t>
      </w:r>
      <w:r w:rsidRPr="002E6C55">
        <w:rPr>
          <w:rFonts w:ascii="Palatino Linotype" w:hAnsi="Palatino Linotype"/>
          <w:i/>
          <w:sz w:val="22"/>
          <w:szCs w:val="22"/>
          <w:lang w:val="es-ES"/>
        </w:rPr>
        <w:t xml:space="preserve">Las razones o </w:t>
      </w:r>
      <w:r w:rsidRPr="002E6C55">
        <w:rPr>
          <w:rFonts w:ascii="Palatino Linotype" w:hAnsi="Palatino Linotype" w:cs="Arial"/>
          <w:i/>
          <w:color w:val="222222"/>
          <w:sz w:val="22"/>
          <w:szCs w:val="22"/>
          <w:lang w:val="es-ES"/>
        </w:rPr>
        <w:t>motivos</w:t>
      </w:r>
      <w:r w:rsidRPr="002E6C55">
        <w:rPr>
          <w:rFonts w:ascii="Palatino Linotype" w:hAnsi="Palatino Linotype"/>
          <w:i/>
          <w:sz w:val="22"/>
          <w:szCs w:val="22"/>
          <w:lang w:val="es-ES"/>
        </w:rPr>
        <w:t xml:space="preserve"> de inconformidad;</w:t>
      </w:r>
      <w:r w:rsidRPr="002E6C55">
        <w:rPr>
          <w:rFonts w:ascii="Palatino Linotype" w:hAnsi="Palatino Linotype"/>
          <w:b/>
          <w:i/>
          <w:sz w:val="22"/>
          <w:szCs w:val="22"/>
          <w:lang w:val="es-ES"/>
        </w:rPr>
        <w:t xml:space="preserve"> </w:t>
      </w:r>
    </w:p>
    <w:p w14:paraId="58F468B3"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 xml:space="preserve">VII. </w:t>
      </w:r>
      <w:r w:rsidRPr="002E6C55">
        <w:rPr>
          <w:rFonts w:ascii="Palatino Linotype" w:hAnsi="Palatino Linotype"/>
          <w:i/>
          <w:sz w:val="22"/>
          <w:szCs w:val="22"/>
          <w:lang w:val="es-ES"/>
        </w:rPr>
        <w:t>La copia de la respuesta que se impugna y, en su caso, de la notificación correspondiente, en el caso de respuesta de la solicitud; y</w:t>
      </w:r>
      <w:r w:rsidRPr="002E6C55">
        <w:rPr>
          <w:rFonts w:ascii="Palatino Linotype" w:hAnsi="Palatino Linotype"/>
          <w:b/>
          <w:i/>
          <w:sz w:val="22"/>
          <w:szCs w:val="22"/>
          <w:lang w:val="es-ES"/>
        </w:rPr>
        <w:t xml:space="preserve"> </w:t>
      </w:r>
    </w:p>
    <w:p w14:paraId="336181C1"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b/>
          <w:i/>
          <w:sz w:val="22"/>
          <w:szCs w:val="22"/>
          <w:lang w:val="es-ES"/>
        </w:rPr>
        <w:t xml:space="preserve">VIII. </w:t>
      </w:r>
      <w:r w:rsidRPr="002E6C55">
        <w:rPr>
          <w:rFonts w:ascii="Palatino Linotype" w:hAnsi="Palatino Linotype"/>
          <w:i/>
          <w:sz w:val="22"/>
          <w:szCs w:val="22"/>
          <w:lang w:val="es-ES"/>
        </w:rPr>
        <w:t>Firma del recurrente, en su caso, cuando se presente por escrito, requisito sin el cual se dará trámite al recurso.</w:t>
      </w:r>
    </w:p>
    <w:p w14:paraId="3EBBA414"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t xml:space="preserve">Adicionalmente, se podrán anexar las pruebas y demás elementos que considere procedentes someter a juicio del Instituto. </w:t>
      </w:r>
    </w:p>
    <w:p w14:paraId="3F925A5F"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t xml:space="preserve">En ningún caso será necesario que el particular ratifique el recurso de revisión interpuesto. </w:t>
      </w:r>
    </w:p>
    <w:p w14:paraId="6CA1D6CF"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u w:val="single"/>
          <w:lang w:val="es-ES"/>
        </w:rPr>
        <w:t xml:space="preserve">En caso de </w:t>
      </w:r>
      <w:r w:rsidRPr="002E6C55">
        <w:rPr>
          <w:rFonts w:ascii="Palatino Linotype" w:hAnsi="Palatino Linotype" w:cs="Arial"/>
          <w:b/>
          <w:i/>
          <w:color w:val="222222"/>
          <w:sz w:val="22"/>
          <w:szCs w:val="22"/>
          <w:u w:val="single"/>
          <w:lang w:val="es-ES"/>
        </w:rPr>
        <w:t>que</w:t>
      </w:r>
      <w:r w:rsidRPr="002E6C5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2E6C55">
        <w:rPr>
          <w:rFonts w:ascii="Palatino Linotype" w:hAnsi="Palatino Linotype"/>
          <w:i/>
          <w:sz w:val="22"/>
          <w:szCs w:val="22"/>
          <w:lang w:val="es-ES"/>
        </w:rPr>
        <w:t>, IV, VII y VIII.</w:t>
      </w:r>
      <w:r w:rsidRPr="002E6C55">
        <w:rPr>
          <w:rFonts w:ascii="Palatino Linotype" w:hAnsi="Palatino Linotype"/>
          <w:b/>
          <w:i/>
          <w:sz w:val="22"/>
          <w:szCs w:val="22"/>
          <w:lang w:val="es-ES"/>
        </w:rPr>
        <w:t>”</w:t>
      </w:r>
    </w:p>
    <w:p w14:paraId="17BABD69"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2E6C55">
        <w:rPr>
          <w:rFonts w:ascii="Palatino Linotype" w:hAnsi="Palatino Linotype"/>
          <w:b/>
          <w:lang w:val="es-ES"/>
        </w:rPr>
        <w:t>SAIMEX</w:t>
      </w:r>
      <w:r w:rsidRPr="002E6C55">
        <w:rPr>
          <w:rFonts w:ascii="Palatino Linotype" w:hAnsi="Palatino Linotype"/>
          <w:lang w:val="es-ES"/>
        </w:rPr>
        <w:t xml:space="preserve"> se desprende que la parte solicitante y ahora </w:t>
      </w:r>
      <w:r w:rsidRPr="002E6C55">
        <w:rPr>
          <w:rFonts w:ascii="Palatino Linotype" w:hAnsi="Palatino Linotype"/>
          <w:b/>
          <w:lang w:val="es-ES"/>
        </w:rPr>
        <w:t>RECURRENTE</w:t>
      </w:r>
      <w:r w:rsidRPr="002E6C55">
        <w:rPr>
          <w:rFonts w:ascii="Palatino Linotype" w:hAnsi="Palatino Linotype"/>
          <w:lang w:val="es-ES"/>
        </w:rPr>
        <w:t xml:space="preserve">, en ejercicio de su derecho de acceso a la información pública, no </w:t>
      </w:r>
      <w:r w:rsidRPr="002E6C55">
        <w:rPr>
          <w:rFonts w:ascii="Palatino Linotype" w:hAnsi="Palatino Linotype"/>
          <w:lang w:val="es-ES"/>
        </w:rPr>
        <w:lastRenderedPageBreak/>
        <w:t>proporcionó su nombre completo para que sea identificada, ni se tiene la certeza sobre su identidad, lo que en estricto sentido provoca que no se colmen los requisitos establecidos en el citado artículo 180 de la Ley de Transparencia.</w:t>
      </w:r>
    </w:p>
    <w:p w14:paraId="72012282" w14:textId="77777777" w:rsidR="00343A68" w:rsidRPr="002E6C55" w:rsidRDefault="00343A68" w:rsidP="00343A68">
      <w:pPr>
        <w:autoSpaceDE w:val="0"/>
        <w:autoSpaceDN w:val="0"/>
        <w:adjustRightInd w:val="0"/>
        <w:spacing w:before="240" w:after="240" w:line="360" w:lineRule="auto"/>
        <w:ind w:right="-91"/>
        <w:jc w:val="both"/>
        <w:rPr>
          <w:rFonts w:ascii="Palatino Linotype" w:hAnsi="Palatino Linotype" w:cs="Arial"/>
          <w:color w:val="000000"/>
          <w:lang w:val="es-ES"/>
        </w:rPr>
      </w:pPr>
      <w:r w:rsidRPr="002E6C55">
        <w:rPr>
          <w:rFonts w:ascii="Palatino Linotype" w:hAnsi="Palatino Linotype"/>
          <w:lang w:val="es-ES"/>
        </w:rPr>
        <w:t xml:space="preserve">Empero, debe destacarse que el artículo 15 de </w:t>
      </w:r>
      <w:r w:rsidRPr="002E6C55">
        <w:rPr>
          <w:rFonts w:ascii="Palatino Linotype" w:hAnsi="Palatino Linotype" w:cs="Arial"/>
          <w:lang w:val="es-ES"/>
        </w:rPr>
        <w:t xml:space="preserve">Ley de Transparencia y Acceso a la Información Pública del Estado de México y Municipios </w:t>
      </w:r>
      <w:r w:rsidRPr="002E6C55">
        <w:rPr>
          <w:rFonts w:ascii="Palatino Linotype" w:hAnsi="Palatino Linotype" w:cs="Arial"/>
          <w:iCs/>
          <w:lang w:val="es-ES"/>
        </w:rPr>
        <w:t xml:space="preserve">prevé que </w:t>
      </w:r>
      <w:r w:rsidRPr="002E6C55">
        <w:rPr>
          <w:rFonts w:ascii="Palatino Linotype" w:hAnsi="Palatino Linotype"/>
          <w:lang w:val="es-ES"/>
        </w:rPr>
        <w:t xml:space="preserve">toda persona tendrá acceso a la información </w:t>
      </w:r>
      <w:r w:rsidRPr="002E6C5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2E6C55">
        <w:rPr>
          <w:rFonts w:ascii="Palatino Linotype" w:hAnsi="Palatino Linotype" w:cs="Arial"/>
          <w:i/>
          <w:color w:val="000000"/>
          <w:lang w:val="es-ES"/>
        </w:rPr>
        <w:t>sine qua non</w:t>
      </w:r>
      <w:r w:rsidRPr="002E6C5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095CC5D"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DCDDE6D" w14:textId="77777777" w:rsidR="00343A68" w:rsidRPr="002E6C55" w:rsidRDefault="00343A68" w:rsidP="00343A68">
      <w:pPr>
        <w:ind w:left="851" w:right="992"/>
        <w:jc w:val="center"/>
        <w:rPr>
          <w:rFonts w:ascii="Palatino Linotype" w:hAnsi="Palatino Linotype" w:cs="Arial"/>
          <w:b/>
          <w:i/>
          <w:sz w:val="22"/>
          <w:szCs w:val="22"/>
          <w:lang w:val="es-ES"/>
        </w:rPr>
      </w:pPr>
      <w:r w:rsidRPr="002E6C55">
        <w:rPr>
          <w:rFonts w:ascii="Palatino Linotype" w:hAnsi="Palatino Linotype" w:cs="Arial"/>
          <w:b/>
          <w:i/>
          <w:sz w:val="22"/>
          <w:szCs w:val="22"/>
          <w:lang w:val="es-ES"/>
        </w:rPr>
        <w:t>Constitución Política de los Estados Unidos Mexicanos</w:t>
      </w:r>
    </w:p>
    <w:p w14:paraId="5DDB0936"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b/>
          <w:i/>
          <w:sz w:val="22"/>
          <w:szCs w:val="22"/>
          <w:lang w:val="es-ES"/>
        </w:rPr>
        <w:t>“Artículo 6o.</w:t>
      </w:r>
      <w:r w:rsidRPr="002E6C5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E6C55">
        <w:rPr>
          <w:rFonts w:ascii="Palatino Linotype" w:hAnsi="Palatino Linotype" w:cs="Arial"/>
          <w:b/>
          <w:i/>
          <w:sz w:val="22"/>
          <w:szCs w:val="22"/>
          <w:lang w:val="es-ES"/>
        </w:rPr>
        <w:t>El derecho a la información será garantizado por el Estado.</w:t>
      </w:r>
      <w:r w:rsidRPr="002E6C55">
        <w:rPr>
          <w:rFonts w:ascii="Palatino Linotype" w:hAnsi="Palatino Linotype" w:cs="Arial"/>
          <w:i/>
          <w:sz w:val="22"/>
          <w:szCs w:val="22"/>
          <w:lang w:val="es-ES"/>
        </w:rPr>
        <w:t xml:space="preserve"> </w:t>
      </w:r>
    </w:p>
    <w:p w14:paraId="36FD4225"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14:paraId="2CDF6401"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t>Para efectos de lo dispuesto en el presente artículo se observará lo siguiente:</w:t>
      </w:r>
    </w:p>
    <w:p w14:paraId="110C36AF"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1C9A9385" w14:textId="77777777" w:rsidR="00343A68" w:rsidRPr="002E6C55" w:rsidRDefault="00343A68" w:rsidP="00343A68">
      <w:pPr>
        <w:ind w:left="851" w:right="992"/>
        <w:jc w:val="both"/>
        <w:rPr>
          <w:rFonts w:ascii="Palatino Linotype" w:hAnsi="Palatino Linotype" w:cs="Arial"/>
          <w:i/>
          <w:sz w:val="22"/>
          <w:szCs w:val="22"/>
          <w:u w:val="single"/>
          <w:lang w:val="es-ES"/>
        </w:rPr>
      </w:pPr>
      <w:r w:rsidRPr="002E6C5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1A14C7"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09C10BB" w14:textId="77777777" w:rsidR="00343A68" w:rsidRPr="002E6C55" w:rsidRDefault="00343A68" w:rsidP="00343A68">
      <w:pPr>
        <w:ind w:left="851" w:right="992"/>
        <w:jc w:val="both"/>
        <w:rPr>
          <w:rFonts w:ascii="Palatino Linotype" w:hAnsi="Palatino Linotype" w:cs="Arial"/>
          <w:i/>
          <w:sz w:val="22"/>
          <w:szCs w:val="22"/>
          <w:u w:val="single"/>
          <w:lang w:val="es-ES"/>
        </w:rPr>
      </w:pPr>
      <w:r w:rsidRPr="002E6C5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4E3A81EA"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596DFC0" w14:textId="77777777" w:rsidR="00343A68" w:rsidRPr="002E6C55" w:rsidRDefault="00343A68" w:rsidP="00343A68">
      <w:pPr>
        <w:ind w:left="851" w:right="992"/>
        <w:jc w:val="both"/>
        <w:rPr>
          <w:rFonts w:ascii="Palatino Linotype" w:hAnsi="Palatino Linotype" w:cs="Arial"/>
          <w:i/>
          <w:sz w:val="22"/>
          <w:szCs w:val="22"/>
          <w:u w:val="single"/>
          <w:lang w:val="es-ES"/>
        </w:rPr>
      </w:pPr>
      <w:r w:rsidRPr="002E6C5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812983F" w14:textId="77777777" w:rsidR="00343A68" w:rsidRPr="002E6C55" w:rsidRDefault="00343A68" w:rsidP="00343A68">
      <w:pPr>
        <w:ind w:left="851" w:right="992"/>
        <w:jc w:val="both"/>
        <w:rPr>
          <w:rFonts w:ascii="Palatino Linotype" w:hAnsi="Palatino Linotype" w:cs="Arial"/>
          <w:i/>
          <w:sz w:val="22"/>
          <w:szCs w:val="22"/>
          <w:u w:val="single"/>
          <w:lang w:val="es-ES"/>
        </w:rPr>
      </w:pPr>
      <w:r w:rsidRPr="002E6C5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C679E5F"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2E339B86"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w:t>
      </w:r>
      <w:r w:rsidRPr="002E6C55">
        <w:rPr>
          <w:rFonts w:ascii="Palatino Linotype" w:hAnsi="Palatino Linotype" w:cs="Arial"/>
          <w:i/>
          <w:sz w:val="22"/>
          <w:szCs w:val="22"/>
          <w:lang w:val="es-ES"/>
        </w:rPr>
        <w:lastRenderedPageBreak/>
        <w:t>determinar su organización interna, responsable de garantizar el cumplimiento del derecho de acceso a la información pública y a la protección de datos personales en posesión de los sujetos obligados en los términos que establezca la ley.</w:t>
      </w:r>
    </w:p>
    <w:p w14:paraId="0CE224A5"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i/>
          <w:sz w:val="22"/>
          <w:szCs w:val="22"/>
          <w:lang w:val="es-ES"/>
        </w:rPr>
        <w:t>…</w:t>
      </w:r>
    </w:p>
    <w:p w14:paraId="5AA493EC" w14:textId="77777777" w:rsidR="00343A68" w:rsidRPr="002E6C55" w:rsidRDefault="00343A68" w:rsidP="00343A68">
      <w:pPr>
        <w:ind w:left="851" w:right="992"/>
        <w:jc w:val="both"/>
        <w:rPr>
          <w:rFonts w:ascii="Palatino Linotype" w:hAnsi="Palatino Linotype" w:cs="Arial"/>
          <w:i/>
          <w:color w:val="000000"/>
          <w:sz w:val="22"/>
          <w:szCs w:val="22"/>
          <w:lang w:val="es-ES"/>
        </w:rPr>
      </w:pPr>
      <w:r w:rsidRPr="002E6C55">
        <w:rPr>
          <w:rFonts w:ascii="Palatino Linotype" w:hAnsi="Palatino Linotype" w:cs="Arial"/>
          <w:i/>
          <w:sz w:val="22"/>
          <w:szCs w:val="22"/>
          <w:u w:val="single"/>
          <w:lang w:val="es-ES"/>
        </w:rPr>
        <w:t>La ley establecerá aquella información que se considere reservada o confidencial.</w:t>
      </w:r>
      <w:r w:rsidRPr="002E6C55">
        <w:rPr>
          <w:rFonts w:ascii="Palatino Linotype" w:hAnsi="Palatino Linotype" w:cs="Arial"/>
          <w:b/>
          <w:i/>
          <w:sz w:val="22"/>
          <w:szCs w:val="22"/>
          <w:lang w:val="es-ES"/>
        </w:rPr>
        <w:t>”</w:t>
      </w:r>
      <w:r w:rsidRPr="002E6C55">
        <w:rPr>
          <w:rFonts w:ascii="Palatino Linotype" w:hAnsi="Palatino Linotype" w:cs="Arial"/>
          <w:i/>
          <w:color w:val="000000"/>
          <w:sz w:val="22"/>
          <w:szCs w:val="22"/>
          <w:lang w:val="es-ES"/>
        </w:rPr>
        <w:t xml:space="preserve"> </w:t>
      </w:r>
    </w:p>
    <w:p w14:paraId="76CBB799" w14:textId="77777777" w:rsidR="00343A68" w:rsidRPr="002E6C55" w:rsidRDefault="00343A68" w:rsidP="00343A68">
      <w:pPr>
        <w:ind w:left="851" w:right="992"/>
        <w:jc w:val="center"/>
        <w:rPr>
          <w:rFonts w:ascii="Palatino Linotype" w:hAnsi="Palatino Linotype" w:cs="Arial"/>
          <w:b/>
          <w:i/>
          <w:sz w:val="22"/>
          <w:szCs w:val="22"/>
          <w:lang w:val="es-ES"/>
        </w:rPr>
      </w:pPr>
      <w:r w:rsidRPr="002E6C55">
        <w:rPr>
          <w:rFonts w:ascii="Palatino Linotype" w:hAnsi="Palatino Linotype" w:cs="Arial"/>
          <w:b/>
          <w:i/>
          <w:sz w:val="22"/>
          <w:szCs w:val="22"/>
          <w:lang w:val="es-ES"/>
        </w:rPr>
        <w:t>Constitución Política del Estado Libre y Soberano de México</w:t>
      </w:r>
    </w:p>
    <w:p w14:paraId="004F53E2" w14:textId="77777777" w:rsidR="00343A68" w:rsidRPr="002E6C55" w:rsidRDefault="00343A68" w:rsidP="00343A68">
      <w:pPr>
        <w:ind w:left="851" w:right="992"/>
        <w:jc w:val="both"/>
        <w:rPr>
          <w:rFonts w:ascii="Palatino Linotype" w:hAnsi="Palatino Linotype" w:cs="Arial"/>
          <w:b/>
          <w:i/>
          <w:sz w:val="22"/>
          <w:szCs w:val="22"/>
          <w:lang w:val="es-ES"/>
        </w:rPr>
      </w:pPr>
      <w:r w:rsidRPr="002E6C55">
        <w:rPr>
          <w:rFonts w:ascii="Palatino Linotype" w:hAnsi="Palatino Linotype" w:cs="Arial"/>
          <w:b/>
          <w:i/>
          <w:sz w:val="22"/>
          <w:szCs w:val="22"/>
          <w:lang w:val="es-ES"/>
        </w:rPr>
        <w:t xml:space="preserve">“Artículo 5. … </w:t>
      </w:r>
    </w:p>
    <w:p w14:paraId="7E51BCC5"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b/>
          <w:i/>
          <w:sz w:val="22"/>
          <w:szCs w:val="22"/>
          <w:lang w:val="es-ES"/>
        </w:rPr>
        <w:t>El derecho a la información será garantizado por el Estado</w:t>
      </w:r>
      <w:r w:rsidRPr="002E6C55">
        <w:rPr>
          <w:rFonts w:ascii="Palatino Linotype" w:hAnsi="Palatino Linotype"/>
          <w:i/>
          <w:sz w:val="22"/>
          <w:szCs w:val="22"/>
          <w:lang w:val="es-ES"/>
        </w:rPr>
        <w:t xml:space="preserve">. La ley establecerá las previsiones que permitan asegurar la protección, el respeto y la difusión de este derecho. </w:t>
      </w:r>
    </w:p>
    <w:p w14:paraId="20C3D033"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316F558"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t>Este derecho se regirá por los principios y bases siguientes:</w:t>
      </w:r>
    </w:p>
    <w:p w14:paraId="72CEE903"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E6C5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CE1333"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AC34FCA" w14:textId="77777777" w:rsidR="00343A68" w:rsidRPr="002E6C55" w:rsidRDefault="00343A68" w:rsidP="00343A68">
      <w:pPr>
        <w:ind w:left="851" w:right="992"/>
        <w:jc w:val="both"/>
        <w:rPr>
          <w:rFonts w:ascii="Palatino Linotype" w:hAnsi="Palatino Linotype"/>
          <w:b/>
          <w:i/>
          <w:sz w:val="22"/>
          <w:szCs w:val="22"/>
          <w:lang w:val="es-ES"/>
        </w:rPr>
      </w:pPr>
      <w:r w:rsidRPr="002E6C5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21D8BE11"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1300692C"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1CF6C0B" w14:textId="77777777" w:rsidR="00343A68" w:rsidRPr="002E6C55" w:rsidRDefault="00343A68" w:rsidP="00343A68">
      <w:pPr>
        <w:ind w:left="851" w:right="992"/>
        <w:jc w:val="both"/>
        <w:rPr>
          <w:rFonts w:ascii="Palatino Linotype" w:hAnsi="Palatino Linotype"/>
          <w:i/>
          <w:sz w:val="22"/>
          <w:szCs w:val="22"/>
          <w:lang w:val="es-ES"/>
        </w:rPr>
      </w:pPr>
      <w:r w:rsidRPr="002E6C5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D70982B"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2E6C55">
        <w:rPr>
          <w:rFonts w:ascii="Palatino Linotype" w:hAnsi="Palatino Linotype"/>
          <w:b/>
          <w:i/>
          <w:sz w:val="22"/>
          <w:szCs w:val="22"/>
          <w:lang w:val="es-ES"/>
        </w:rPr>
        <w:t>”</w:t>
      </w:r>
    </w:p>
    <w:p w14:paraId="438A8FF9" w14:textId="77777777" w:rsidR="00343A68" w:rsidRPr="002E6C55" w:rsidRDefault="00343A68" w:rsidP="00343A68">
      <w:pPr>
        <w:ind w:left="851" w:right="992"/>
        <w:jc w:val="both"/>
        <w:rPr>
          <w:rFonts w:ascii="Palatino Linotype" w:hAnsi="Palatino Linotype"/>
          <w:sz w:val="22"/>
          <w:szCs w:val="22"/>
          <w:lang w:val="es-ES"/>
        </w:rPr>
      </w:pPr>
      <w:r w:rsidRPr="002E6C55">
        <w:rPr>
          <w:rFonts w:ascii="Palatino Linotype" w:hAnsi="Palatino Linotype"/>
          <w:sz w:val="22"/>
          <w:szCs w:val="22"/>
          <w:lang w:val="es-ES"/>
        </w:rPr>
        <w:t>(Énfasis añadido)</w:t>
      </w:r>
    </w:p>
    <w:p w14:paraId="35C221F1"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t>Por otra parte, del contenido del artículo 1 de la Constitución Política de los Estados Unidos Mexicanos, se destaca lo siguiente:</w:t>
      </w:r>
    </w:p>
    <w:p w14:paraId="739CF643"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b/>
          <w:i/>
          <w:sz w:val="22"/>
          <w:szCs w:val="22"/>
          <w:lang w:val="es-ES"/>
        </w:rPr>
        <w:t>“Artículo 1o</w:t>
      </w:r>
      <w:r w:rsidRPr="002E6C5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7A04EC4" w14:textId="77777777" w:rsidR="00343A68" w:rsidRPr="002E6C55" w:rsidRDefault="00343A68" w:rsidP="00343A68">
      <w:pPr>
        <w:ind w:left="851" w:right="992"/>
        <w:jc w:val="both"/>
        <w:rPr>
          <w:rFonts w:ascii="Palatino Linotype" w:hAnsi="Palatino Linotype" w:cs="Arial"/>
          <w:b/>
          <w:i/>
          <w:sz w:val="22"/>
          <w:szCs w:val="22"/>
          <w:lang w:val="es-ES"/>
        </w:rPr>
      </w:pPr>
      <w:r w:rsidRPr="002E6C55">
        <w:rPr>
          <w:rFonts w:ascii="Palatino Linotype" w:hAnsi="Palatino Linotype" w:cs="Arial"/>
          <w:b/>
          <w:i/>
          <w:sz w:val="22"/>
          <w:szCs w:val="22"/>
          <w:u w:val="single"/>
          <w:lang w:val="es-ES"/>
        </w:rPr>
        <w:t>Las normas relativas a los derechos humanos se interpretarán</w:t>
      </w:r>
      <w:r w:rsidRPr="002E6C55">
        <w:rPr>
          <w:rFonts w:ascii="Palatino Linotype" w:hAnsi="Palatino Linotype" w:cs="Arial"/>
          <w:i/>
          <w:sz w:val="22"/>
          <w:szCs w:val="22"/>
          <w:lang w:val="es-ES"/>
        </w:rPr>
        <w:t xml:space="preserve"> de conformidad con esta Constitución y con los tratados internacionales de la </w:t>
      </w:r>
      <w:r w:rsidRPr="002E6C55">
        <w:rPr>
          <w:rFonts w:ascii="Palatino Linotype" w:hAnsi="Palatino Linotype" w:cs="Arial"/>
          <w:b/>
          <w:i/>
          <w:sz w:val="22"/>
          <w:szCs w:val="22"/>
          <w:lang w:val="es-ES"/>
        </w:rPr>
        <w:t xml:space="preserve">materia </w:t>
      </w:r>
      <w:r w:rsidRPr="002E6C55">
        <w:rPr>
          <w:rFonts w:ascii="Palatino Linotype" w:hAnsi="Palatino Linotype" w:cs="Arial"/>
          <w:b/>
          <w:i/>
          <w:sz w:val="22"/>
          <w:szCs w:val="22"/>
          <w:u w:val="single"/>
          <w:lang w:val="es-ES"/>
        </w:rPr>
        <w:t>favoreciendo en todo tiempo a las personas la protección más amplia</w:t>
      </w:r>
      <w:r w:rsidRPr="002E6C55">
        <w:rPr>
          <w:rFonts w:ascii="Palatino Linotype" w:hAnsi="Palatino Linotype" w:cs="Arial"/>
          <w:b/>
          <w:i/>
          <w:sz w:val="22"/>
          <w:szCs w:val="22"/>
          <w:lang w:val="es-ES"/>
        </w:rPr>
        <w:t>.</w:t>
      </w:r>
    </w:p>
    <w:p w14:paraId="0BFA9ABC"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E6C5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2E6C55">
        <w:rPr>
          <w:rFonts w:ascii="Palatino Linotype" w:hAnsi="Palatino Linotype" w:cs="Arial"/>
          <w:b/>
          <w:i/>
          <w:sz w:val="22"/>
          <w:szCs w:val="22"/>
          <w:lang w:val="es-ES"/>
        </w:rPr>
        <w:t>”</w:t>
      </w:r>
    </w:p>
    <w:p w14:paraId="280ED67F" w14:textId="77777777" w:rsidR="00343A68" w:rsidRPr="002E6C55" w:rsidRDefault="00343A68" w:rsidP="00343A68">
      <w:pPr>
        <w:ind w:left="851" w:right="992"/>
        <w:jc w:val="both"/>
        <w:rPr>
          <w:rFonts w:ascii="Palatino Linotype" w:hAnsi="Palatino Linotype"/>
          <w:sz w:val="22"/>
          <w:szCs w:val="22"/>
          <w:lang w:val="es-ES"/>
        </w:rPr>
      </w:pPr>
      <w:r w:rsidRPr="002E6C55">
        <w:rPr>
          <w:rFonts w:ascii="Palatino Linotype" w:hAnsi="Palatino Linotype"/>
          <w:sz w:val="22"/>
          <w:szCs w:val="22"/>
          <w:lang w:val="es-ES"/>
        </w:rPr>
        <w:t>(Énfasis añadido)</w:t>
      </w:r>
    </w:p>
    <w:p w14:paraId="5C478274"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647E72"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3053C13E" w14:textId="77777777" w:rsidR="00343A68" w:rsidRPr="002E6C55" w:rsidRDefault="00343A68" w:rsidP="00343A68">
      <w:pPr>
        <w:ind w:left="851" w:right="992"/>
        <w:jc w:val="both"/>
        <w:rPr>
          <w:rFonts w:ascii="Palatino Linotype" w:hAnsi="Palatino Linotype" w:cs="Arial"/>
          <w:i/>
          <w:sz w:val="22"/>
          <w:szCs w:val="22"/>
          <w:lang w:val="es-ES"/>
        </w:rPr>
      </w:pPr>
      <w:r w:rsidRPr="002E6C5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2E6C5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8293B99"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2E6C55">
        <w:rPr>
          <w:rFonts w:ascii="Palatino Linotype" w:hAnsi="Palatino Linotype"/>
          <w:b/>
          <w:lang w:val="es-ES"/>
        </w:rPr>
        <w:t>RECURRENTE,</w:t>
      </w:r>
      <w:r w:rsidRPr="002E6C55">
        <w:rPr>
          <w:rFonts w:ascii="Palatino Linotype" w:hAnsi="Palatino Linotype"/>
          <w:lang w:val="es-ES"/>
        </w:rPr>
        <w:t xml:space="preserve"> a través de dicho dato personal, en ciertos extremos se equipara a </w:t>
      </w:r>
      <w:r w:rsidRPr="002E6C55">
        <w:rPr>
          <w:rFonts w:ascii="Palatino Linotype" w:hAnsi="Palatino Linotype"/>
          <w:lang w:val="es-ES"/>
        </w:rPr>
        <w:lastRenderedPageBreak/>
        <w:t>una exigencia acerca de su interés o justificación de su utilización, lo que materialmente haría nugatorio un derecho fundamental.</w:t>
      </w:r>
    </w:p>
    <w:p w14:paraId="00E0086B"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DAFAE50"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t>En consecuencia, dado lo expuesto y fundado con anterioridad, se estima que el requisito relativo al nombre del</w:t>
      </w:r>
      <w:r w:rsidRPr="002E6C55">
        <w:rPr>
          <w:rFonts w:ascii="Palatino Linotype" w:hAnsi="Palatino Linotype"/>
          <w:b/>
          <w:lang w:val="es-ES"/>
        </w:rPr>
        <w:t xml:space="preserve"> RECURRENTE</w:t>
      </w:r>
      <w:r w:rsidRPr="002E6C5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E6C55">
        <w:rPr>
          <w:rFonts w:ascii="Palatino Linotype" w:hAnsi="Palatino Linotype"/>
          <w:b/>
          <w:lang w:val="es-ES"/>
        </w:rPr>
        <w:t>EL RECURRENTE</w:t>
      </w:r>
      <w:r w:rsidRPr="002E6C55">
        <w:rPr>
          <w:rFonts w:ascii="Palatino Linotype" w:hAnsi="Palatino Linotype"/>
          <w:lang w:val="es-ES"/>
        </w:rPr>
        <w:t>, es la misma persona que realizó la solicitud de acceso a la información pública que ahora se impugna.</w:t>
      </w:r>
    </w:p>
    <w:p w14:paraId="47BF0ACE" w14:textId="77777777" w:rsidR="00343A68" w:rsidRPr="002E6C55" w:rsidRDefault="00343A68" w:rsidP="00343A68">
      <w:pPr>
        <w:spacing w:before="240" w:after="240" w:line="360" w:lineRule="auto"/>
        <w:jc w:val="both"/>
        <w:rPr>
          <w:rFonts w:ascii="Palatino Linotype" w:hAnsi="Palatino Linotype"/>
          <w:lang w:val="es-ES"/>
        </w:rPr>
      </w:pPr>
      <w:r w:rsidRPr="002E6C55">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2E6C55">
        <w:rPr>
          <w:rFonts w:ascii="Palatino Linotype" w:hAnsi="Palatino Linotype"/>
          <w:b/>
          <w:lang w:val="es-ES"/>
        </w:rPr>
        <w:t>RECURRENTE</w:t>
      </w:r>
      <w:r w:rsidRPr="002E6C55">
        <w:rPr>
          <w:rFonts w:ascii="Palatino Linotype" w:hAnsi="Palatino Linotype"/>
          <w:lang w:val="es-ES"/>
        </w:rPr>
        <w:t xml:space="preserve">; por lo que, en el presente caso, al haber sido presentado el recurso de revisión vía </w:t>
      </w:r>
      <w:r w:rsidRPr="002E6C55">
        <w:rPr>
          <w:rFonts w:ascii="Palatino Linotype" w:hAnsi="Palatino Linotype"/>
          <w:b/>
          <w:lang w:val="es-ES"/>
        </w:rPr>
        <w:t>SAIMEX</w:t>
      </w:r>
      <w:r w:rsidRPr="002E6C55">
        <w:rPr>
          <w:rFonts w:ascii="Palatino Linotype" w:hAnsi="Palatino Linotype"/>
          <w:lang w:val="es-ES"/>
        </w:rPr>
        <w:t>, dicho requisito resulta innecesario.</w:t>
      </w:r>
    </w:p>
    <w:p w14:paraId="070E5AB7" w14:textId="77777777" w:rsidR="00A33379" w:rsidRPr="002E6C55" w:rsidRDefault="00A33379" w:rsidP="00A33379">
      <w:pPr>
        <w:tabs>
          <w:tab w:val="left" w:pos="2422"/>
        </w:tabs>
        <w:autoSpaceDE w:val="0"/>
        <w:autoSpaceDN w:val="0"/>
        <w:adjustRightInd w:val="0"/>
        <w:spacing w:before="100" w:beforeAutospacing="1" w:after="100" w:afterAutospacing="1" w:line="360" w:lineRule="auto"/>
        <w:ind w:right="49"/>
        <w:jc w:val="both"/>
        <w:rPr>
          <w:rFonts w:ascii="Palatino Linotype" w:eastAsia="Arial Unicode MS" w:hAnsi="Palatino Linotype" w:cs="Arial"/>
        </w:rPr>
      </w:pPr>
      <w:r w:rsidRPr="002E6C55">
        <w:rPr>
          <w:rFonts w:ascii="Palatino Linotype" w:hAnsi="Palatino Linotype"/>
          <w:b/>
          <w:sz w:val="28"/>
          <w:szCs w:val="20"/>
          <w:lang w:val="es-ES_tradnl"/>
        </w:rPr>
        <w:t xml:space="preserve">QUINTO. </w:t>
      </w:r>
      <w:r w:rsidRPr="002E6C55">
        <w:rPr>
          <w:rFonts w:ascii="Palatino Linotype" w:eastAsiaTheme="minorEastAsia" w:hAnsi="Palatino Linotype" w:cs="Arial"/>
          <w:b/>
          <w:lang w:val="es-ES_tradnl"/>
        </w:rPr>
        <w:t>Análisis de causal de sobreseimiento.</w:t>
      </w:r>
      <w:r w:rsidRPr="002E6C55">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4CBAE06B"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w:t>
      </w:r>
      <w:r w:rsidRPr="002E6C55">
        <w:rPr>
          <w:rFonts w:ascii="Palatino Linotype" w:hAnsi="Palatino Linotype" w:cs="Arial"/>
          <w:b/>
          <w:i/>
          <w:sz w:val="22"/>
          <w:szCs w:val="22"/>
        </w:rPr>
        <w:t xml:space="preserve">Artículo 192. </w:t>
      </w:r>
      <w:r w:rsidRPr="002E6C55">
        <w:rPr>
          <w:rFonts w:ascii="Palatino Linotype" w:hAnsi="Palatino Linotype" w:cs="Arial"/>
          <w:i/>
          <w:sz w:val="22"/>
          <w:szCs w:val="22"/>
        </w:rPr>
        <w:t>El recurso será sobreseído, en todo o en parte, cuando una vez admitido, se actualicen alguno de los siguientes supuestos:</w:t>
      </w:r>
    </w:p>
    <w:p w14:paraId="38403CB7" w14:textId="77777777" w:rsidR="00A33379" w:rsidRPr="002E6C55" w:rsidRDefault="00A33379" w:rsidP="00A33379">
      <w:pPr>
        <w:ind w:left="851" w:right="901"/>
        <w:jc w:val="both"/>
        <w:rPr>
          <w:rFonts w:ascii="Palatino Linotype" w:hAnsi="Palatino Linotype" w:cs="Arial"/>
          <w:i/>
          <w:sz w:val="22"/>
          <w:szCs w:val="22"/>
        </w:rPr>
      </w:pPr>
      <w:r w:rsidRPr="002E6C55">
        <w:rPr>
          <w:rFonts w:ascii="Palatino Linotype" w:hAnsi="Palatino Linotype" w:cs="Arial"/>
          <w:i/>
          <w:sz w:val="22"/>
          <w:szCs w:val="22"/>
        </w:rPr>
        <w:t>(…)</w:t>
      </w:r>
    </w:p>
    <w:p w14:paraId="13661C23" w14:textId="77777777" w:rsidR="00A33379" w:rsidRPr="002E6C55" w:rsidRDefault="00A33379" w:rsidP="00A33379">
      <w:pPr>
        <w:tabs>
          <w:tab w:val="left" w:pos="851"/>
        </w:tabs>
        <w:ind w:left="851" w:right="901"/>
        <w:jc w:val="both"/>
        <w:rPr>
          <w:rFonts w:ascii="Palatino Linotype" w:hAnsi="Palatino Linotype" w:cs="Arial"/>
          <w:b/>
          <w:i/>
          <w:sz w:val="22"/>
          <w:szCs w:val="22"/>
        </w:rPr>
      </w:pPr>
      <w:r w:rsidRPr="002E6C55">
        <w:rPr>
          <w:rFonts w:ascii="Palatino Linotype" w:hAnsi="Palatino Linotype" w:cs="Arial"/>
          <w:b/>
          <w:i/>
          <w:sz w:val="22"/>
          <w:szCs w:val="22"/>
        </w:rPr>
        <w:t>III. El sujeto obligado responsable del acto lo modifique o revoque de tal manera que el recurso de revisión quede sin materia;</w:t>
      </w:r>
    </w:p>
    <w:p w14:paraId="4F523485" w14:textId="77777777" w:rsidR="006E376D" w:rsidRPr="002E6C55" w:rsidRDefault="006E376D" w:rsidP="00A33379">
      <w:pPr>
        <w:tabs>
          <w:tab w:val="left" w:pos="851"/>
        </w:tabs>
        <w:ind w:left="851" w:right="901"/>
        <w:jc w:val="both"/>
        <w:rPr>
          <w:rFonts w:ascii="Palatino Linotype" w:hAnsi="Palatino Linotype" w:cs="Arial"/>
          <w:b/>
          <w:i/>
          <w:sz w:val="22"/>
          <w:szCs w:val="22"/>
        </w:rPr>
      </w:pPr>
      <w:r w:rsidRPr="002E6C55">
        <w:rPr>
          <w:rFonts w:ascii="Palatino Linotype" w:hAnsi="Palatino Linotype" w:cs="Arial"/>
          <w:b/>
          <w:i/>
          <w:sz w:val="22"/>
          <w:szCs w:val="22"/>
        </w:rPr>
        <w:t>…</w:t>
      </w:r>
    </w:p>
    <w:p w14:paraId="1FB5A8F0" w14:textId="77777777" w:rsidR="006E376D" w:rsidRPr="002E6C55" w:rsidRDefault="006E376D" w:rsidP="00A33379">
      <w:pPr>
        <w:tabs>
          <w:tab w:val="left" w:pos="851"/>
        </w:tabs>
        <w:ind w:left="851" w:right="901"/>
        <w:jc w:val="both"/>
        <w:rPr>
          <w:rFonts w:ascii="Palatino Linotype" w:hAnsi="Palatino Linotype" w:cs="Arial"/>
          <w:b/>
          <w:i/>
          <w:sz w:val="22"/>
          <w:szCs w:val="22"/>
        </w:rPr>
      </w:pPr>
      <w:r w:rsidRPr="002E6C55">
        <w:rPr>
          <w:rFonts w:ascii="Palatino Linotype" w:hAnsi="Palatino Linotype" w:cs="Arial"/>
          <w:b/>
          <w:i/>
          <w:sz w:val="22"/>
          <w:szCs w:val="22"/>
        </w:rPr>
        <w:t>V. Cuando por cualquier motivo quede sin materia el recurso.</w:t>
      </w:r>
    </w:p>
    <w:p w14:paraId="171EB1C4"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(Énfasis añadido)” </w:t>
      </w:r>
    </w:p>
    <w:p w14:paraId="0F9676FC"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 xml:space="preserve">Luego, conforme a la transcripción que antecede, resulta conveniente desglosar los elementos de la </w:t>
      </w:r>
      <w:r w:rsidR="006E376D" w:rsidRPr="002E6C55">
        <w:rPr>
          <w:rFonts w:ascii="Palatino Linotype" w:hAnsi="Palatino Linotype" w:cs="Arial"/>
        </w:rPr>
        <w:t xml:space="preserve">primer </w:t>
      </w:r>
      <w:r w:rsidRPr="002E6C55">
        <w:rPr>
          <w:rFonts w:ascii="Palatino Linotype" w:hAnsi="Palatino Linotype" w:cs="Arial"/>
        </w:rPr>
        <w:t xml:space="preserve">disposición enunciada, de manera tal que el sobreseimiento del recurso de revisión se determina cuando </w:t>
      </w:r>
      <w:r w:rsidRPr="002E6C55">
        <w:rPr>
          <w:rFonts w:ascii="Palatino Linotype" w:hAnsi="Palatino Linotype" w:cs="Arial"/>
          <w:b/>
        </w:rPr>
        <w:t>EL SUJETO OBLIGADO</w:t>
      </w:r>
      <w:r w:rsidRPr="002E6C55">
        <w:rPr>
          <w:rFonts w:ascii="Palatino Linotype" w:hAnsi="Palatino Linotype" w:cs="Arial"/>
        </w:rPr>
        <w:t xml:space="preserve"> modifique o revoque el acto impugnado, quedando éste sin efecto o materia.</w:t>
      </w:r>
    </w:p>
    <w:p w14:paraId="1A5F5FAA" w14:textId="77777777" w:rsidR="00A33379" w:rsidRPr="002E6C55" w:rsidRDefault="00A33379" w:rsidP="00A33379">
      <w:pPr>
        <w:spacing w:line="360" w:lineRule="auto"/>
        <w:jc w:val="both"/>
        <w:rPr>
          <w:rFonts w:ascii="Palatino Linotype" w:hAnsi="Palatino Linotype" w:cs="Arial"/>
        </w:rPr>
      </w:pPr>
      <w:r w:rsidRPr="002E6C55">
        <w:rPr>
          <w:rFonts w:ascii="Palatino Linotype" w:hAnsi="Palatino Linotype" w:cs="Arial"/>
        </w:rPr>
        <w:t xml:space="preserve">1.- El sujeto obligado responsable, </w:t>
      </w:r>
    </w:p>
    <w:p w14:paraId="57E5C67C" w14:textId="77777777" w:rsidR="00A33379" w:rsidRPr="002E6C55" w:rsidRDefault="00A33379" w:rsidP="00A33379">
      <w:pPr>
        <w:spacing w:line="360" w:lineRule="auto"/>
        <w:jc w:val="both"/>
        <w:rPr>
          <w:rFonts w:ascii="Palatino Linotype" w:hAnsi="Palatino Linotype" w:cs="Arial"/>
        </w:rPr>
      </w:pPr>
      <w:r w:rsidRPr="002E6C55">
        <w:rPr>
          <w:rFonts w:ascii="Palatino Linotype" w:hAnsi="Palatino Linotype" w:cs="Arial"/>
        </w:rPr>
        <w:t xml:space="preserve">2.- Acto, </w:t>
      </w:r>
    </w:p>
    <w:p w14:paraId="24FC7910" w14:textId="77777777" w:rsidR="00A33379" w:rsidRPr="002E6C55" w:rsidRDefault="00A33379" w:rsidP="00A33379">
      <w:pPr>
        <w:spacing w:line="360" w:lineRule="auto"/>
        <w:jc w:val="both"/>
        <w:rPr>
          <w:rFonts w:ascii="Palatino Linotype" w:hAnsi="Palatino Linotype" w:cs="Arial"/>
        </w:rPr>
      </w:pPr>
      <w:r w:rsidRPr="002E6C55">
        <w:rPr>
          <w:rFonts w:ascii="Palatino Linotype" w:hAnsi="Palatino Linotype" w:cs="Arial"/>
        </w:rPr>
        <w:t>3.- Que se modifique o revoque, y</w:t>
      </w:r>
    </w:p>
    <w:p w14:paraId="04BD1184" w14:textId="77777777" w:rsidR="00A33379" w:rsidRPr="002E6C55" w:rsidRDefault="00A33379" w:rsidP="00A33379">
      <w:pPr>
        <w:spacing w:line="360" w:lineRule="auto"/>
        <w:jc w:val="both"/>
        <w:rPr>
          <w:rFonts w:ascii="Palatino Linotype" w:hAnsi="Palatino Linotype" w:cs="Arial"/>
        </w:rPr>
      </w:pPr>
      <w:r w:rsidRPr="002E6C55">
        <w:rPr>
          <w:rFonts w:ascii="Palatino Linotype" w:hAnsi="Palatino Linotype" w:cs="Arial"/>
        </w:rPr>
        <w:lastRenderedPageBreak/>
        <w:t>4.- De tal manera que el medio de impugnación quede sin efecto o materia.</w:t>
      </w:r>
    </w:p>
    <w:p w14:paraId="645598FE" w14:textId="77777777" w:rsidR="00A33379" w:rsidRPr="002E6C55" w:rsidRDefault="00A33379" w:rsidP="00A33379">
      <w:pPr>
        <w:spacing w:before="100" w:beforeAutospacing="1" w:after="100" w:afterAutospacing="1" w:line="360" w:lineRule="auto"/>
        <w:jc w:val="both"/>
        <w:rPr>
          <w:rFonts w:ascii="Palatino Linotype" w:hAnsi="Palatino Linotype"/>
          <w:b/>
          <w:sz w:val="28"/>
          <w:szCs w:val="20"/>
          <w:lang w:val="es-ES_tradnl"/>
        </w:rPr>
      </w:pPr>
      <w:r w:rsidRPr="002E6C55">
        <w:rPr>
          <w:rFonts w:ascii="Palatino Linotype" w:hAnsi="Palatino Linotype" w:cs="Arial"/>
        </w:rPr>
        <w:t xml:space="preserve">El primer elemento normativo, se actualiza ya que </w:t>
      </w:r>
      <w:r w:rsidRPr="002E6C55">
        <w:rPr>
          <w:rFonts w:ascii="Palatino Linotype" w:hAnsi="Palatino Linotype" w:cs="Arial"/>
          <w:b/>
        </w:rPr>
        <w:t>EL SUJETO OBLIGADO</w:t>
      </w:r>
      <w:r w:rsidRPr="002E6C55">
        <w:rPr>
          <w:rFonts w:ascii="Palatino Linotype" w:hAnsi="Palatino Linotype" w:cs="Arial"/>
        </w:rPr>
        <w:t xml:space="preserve"> responsable, es </w:t>
      </w:r>
      <w:r w:rsidR="00343A68" w:rsidRPr="002E6C55">
        <w:rPr>
          <w:rFonts w:ascii="Palatino Linotype" w:hAnsi="Palatino Linotype" w:cs="Arial"/>
        </w:rPr>
        <w:t>el Ayuntamiento de Acambay de Ruíz Castañeda</w:t>
      </w:r>
      <w:r w:rsidRPr="002E6C55">
        <w:rPr>
          <w:rFonts w:ascii="Palatino Linotype" w:hAnsi="Palatino Linotype" w:cs="Arial"/>
        </w:rPr>
        <w:t xml:space="preserve">. </w:t>
      </w:r>
    </w:p>
    <w:p w14:paraId="42DB3046"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 xml:space="preserve">El segundo elemento normativo, es la existencia de un acto, en el caso en concreto que nos ocupa se actualiza con la existencia de la respuesta del </w:t>
      </w:r>
      <w:r w:rsidRPr="002E6C55">
        <w:rPr>
          <w:rFonts w:ascii="Palatino Linotype" w:hAnsi="Palatino Linotype" w:cs="Arial"/>
          <w:b/>
        </w:rPr>
        <w:t>SUJETO OBLIGADO</w:t>
      </w:r>
      <w:r w:rsidRPr="002E6C55">
        <w:rPr>
          <w:rFonts w:ascii="Palatino Linotype" w:hAnsi="Palatino Linotype" w:cs="Arial"/>
        </w:rPr>
        <w:t>.</w:t>
      </w:r>
    </w:p>
    <w:p w14:paraId="6DD7CBC3"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 xml:space="preserve">Cabe destacar que, de la respuesta otorgada por </w:t>
      </w:r>
      <w:r w:rsidRPr="002E6C55">
        <w:rPr>
          <w:rFonts w:ascii="Palatino Linotype" w:hAnsi="Palatino Linotype" w:cs="Arial"/>
          <w:b/>
        </w:rPr>
        <w:t>EL SUJETO OBLIGADO</w:t>
      </w:r>
      <w:r w:rsidRPr="002E6C55">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2E6C55">
        <w:rPr>
          <w:rFonts w:ascii="Palatino Linotype" w:hAnsi="Palatino Linotype" w:cs="Arial"/>
          <w:b/>
        </w:rPr>
        <w:t>SUJETO OBLIGADO</w:t>
      </w:r>
      <w:r w:rsidRPr="002E6C55">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0AB0EBFB"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4059C4A4"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b/>
          <w:i/>
          <w:sz w:val="22"/>
          <w:szCs w:val="22"/>
        </w:rPr>
        <w:t>“Artículo 53</w:t>
      </w:r>
      <w:r w:rsidRPr="002E6C55">
        <w:rPr>
          <w:rFonts w:ascii="Palatino Linotype" w:hAnsi="Palatino Linotype" w:cs="Arial"/>
          <w:i/>
          <w:sz w:val="22"/>
          <w:szCs w:val="22"/>
        </w:rPr>
        <w:t xml:space="preserve">. Las Unidades de Transparencia tendrán las siguientes funciones: </w:t>
      </w:r>
    </w:p>
    <w:p w14:paraId="4ED993DB"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C0A0EF4"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II. Recibir, tramitar y dar respuesta a las solicitudes de acceso a la información; </w:t>
      </w:r>
    </w:p>
    <w:p w14:paraId="78EC6AAC"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20C545FE"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IV. Realizar, con efectividad, los trámites internos necesarios para la atención de las solicitudes de acceso a la información; </w:t>
      </w:r>
    </w:p>
    <w:p w14:paraId="4B1ADE57"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V. Entregar, en su caso, a los particulares la información solicitada; </w:t>
      </w:r>
    </w:p>
    <w:p w14:paraId="60D08ADE"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VI. Efectuar las notificaciones a los solicitantes; </w:t>
      </w:r>
    </w:p>
    <w:p w14:paraId="3B6C49A1"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44517D4E"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0540EEAF"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7115EC8"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X. Presentar ante el Comité, el proyecto de clasificación de información; </w:t>
      </w:r>
    </w:p>
    <w:p w14:paraId="606DE2C4"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XI. Promover e implementar políticas de transparencia proactiva procurando su accesibilidad; </w:t>
      </w:r>
    </w:p>
    <w:p w14:paraId="72A1574F"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XII. Fomentar la transparencia y accesibilidad al interior del sujeto obligado; </w:t>
      </w:r>
    </w:p>
    <w:p w14:paraId="329F774C"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2AB0735B" w14:textId="77777777" w:rsidR="00A33379" w:rsidRPr="002E6C55" w:rsidRDefault="00A33379" w:rsidP="00A33379">
      <w:pPr>
        <w:tabs>
          <w:tab w:val="left" w:pos="851"/>
        </w:tabs>
        <w:ind w:left="851" w:right="901"/>
        <w:jc w:val="both"/>
        <w:rPr>
          <w:rFonts w:ascii="Palatino Linotype" w:hAnsi="Palatino Linotype" w:cs="Arial"/>
          <w:i/>
          <w:sz w:val="22"/>
          <w:szCs w:val="22"/>
        </w:rPr>
      </w:pPr>
      <w:r w:rsidRPr="002E6C5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2E6C55">
        <w:rPr>
          <w:rFonts w:ascii="Palatino Linotype" w:hAnsi="Palatino Linotype" w:cs="Arial"/>
          <w:b/>
          <w:i/>
          <w:sz w:val="22"/>
          <w:szCs w:val="22"/>
        </w:rPr>
        <w:t>”</w:t>
      </w:r>
    </w:p>
    <w:p w14:paraId="4E462E3E"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 xml:space="preserve">Es decir, la impugnación del </w:t>
      </w:r>
      <w:r w:rsidRPr="002E6C55">
        <w:rPr>
          <w:rFonts w:ascii="Palatino Linotype" w:hAnsi="Palatino Linotype" w:cs="Arial"/>
          <w:b/>
        </w:rPr>
        <w:t>RECURRENTE</w:t>
      </w:r>
      <w:r w:rsidRPr="002E6C55">
        <w:rPr>
          <w:rFonts w:ascii="Palatino Linotype" w:hAnsi="Palatino Linotype" w:cs="Arial"/>
        </w:rPr>
        <w:t xml:space="preserve"> debe ser sobre la emisión de un “Acto” contenido en la misma Ley o la omisión de éste, lo que en el presente caso se actualiza con la respuesta dada por </w:t>
      </w:r>
      <w:r w:rsidRPr="002E6C55">
        <w:rPr>
          <w:rFonts w:ascii="Palatino Linotype" w:hAnsi="Palatino Linotype" w:cs="Arial"/>
          <w:b/>
        </w:rPr>
        <w:t>EL SUJETO OBLIGADO</w:t>
      </w:r>
      <w:r w:rsidRPr="002E6C55">
        <w:rPr>
          <w:rFonts w:ascii="Palatino Linotype" w:hAnsi="Palatino Linotype" w:cs="Arial"/>
        </w:rPr>
        <w:t>.</w:t>
      </w:r>
    </w:p>
    <w:p w14:paraId="7568E599"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2E6C55">
        <w:rPr>
          <w:rFonts w:ascii="Palatino Linotype" w:hAnsi="Palatino Linotype" w:cs="Arial"/>
          <w:b/>
        </w:rPr>
        <w:t>la modifique o revoque</w:t>
      </w:r>
      <w:r w:rsidRPr="002E6C55">
        <w:rPr>
          <w:rFonts w:ascii="Palatino Linotype" w:hAnsi="Palatino Linotype" w:cs="Arial"/>
        </w:rPr>
        <w:t xml:space="preserve">; en cuanto hace a la </w:t>
      </w:r>
      <w:r w:rsidRPr="002E6C55">
        <w:rPr>
          <w:rFonts w:ascii="Palatino Linotype" w:hAnsi="Palatino Linotype" w:cs="Arial"/>
          <w:b/>
        </w:rPr>
        <w:t>modificación</w:t>
      </w:r>
      <w:r w:rsidRPr="002E6C55">
        <w:rPr>
          <w:rFonts w:ascii="Palatino Linotype" w:hAnsi="Palatino Linotype" w:cs="Arial"/>
        </w:rPr>
        <w:t xml:space="preserve">, ocurre cuando quien emitió su respuesta (acto o resolución), con posterioridad cambia la información proporcionada en un principio, cuyos resultados no dejan sin efectos la respuesta dada, sino que tiene por objeto </w:t>
      </w:r>
      <w:r w:rsidRPr="002E6C55">
        <w:rPr>
          <w:rFonts w:ascii="Palatino Linotype" w:hAnsi="Palatino Linotype" w:cs="Arial"/>
          <w:b/>
        </w:rPr>
        <w:t>añadir</w:t>
      </w:r>
      <w:r w:rsidRPr="002E6C55">
        <w:rPr>
          <w:rFonts w:ascii="Palatino Linotype" w:hAnsi="Palatino Linotype" w:cs="Arial"/>
        </w:rPr>
        <w:t xml:space="preserve">, </w:t>
      </w:r>
      <w:r w:rsidRPr="002E6C55">
        <w:rPr>
          <w:rFonts w:ascii="Palatino Linotype" w:hAnsi="Palatino Linotype" w:cs="Arial"/>
          <w:b/>
        </w:rPr>
        <w:t>suprimir</w:t>
      </w:r>
      <w:r w:rsidRPr="002E6C55">
        <w:rPr>
          <w:rFonts w:ascii="Palatino Linotype" w:hAnsi="Palatino Linotype" w:cs="Arial"/>
        </w:rPr>
        <w:t xml:space="preserve">, o </w:t>
      </w:r>
      <w:r w:rsidRPr="002E6C55">
        <w:rPr>
          <w:rFonts w:ascii="Palatino Linotype" w:hAnsi="Palatino Linotype" w:cs="Arial"/>
          <w:b/>
        </w:rPr>
        <w:t>sustituir</w:t>
      </w:r>
      <w:r w:rsidRPr="002E6C55">
        <w:rPr>
          <w:rFonts w:ascii="Palatino Linotype" w:hAnsi="Palatino Linotype" w:cs="Arial"/>
        </w:rPr>
        <w:t xml:space="preserve"> datos, lo cual puede ser de forma parcial.</w:t>
      </w:r>
    </w:p>
    <w:p w14:paraId="543D200F"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Por cuanto hace a la revocación, a diferencia de la modificación, ocurre cuando la dependencia o entidad responsable (</w:t>
      </w:r>
      <w:r w:rsidRPr="002E6C55">
        <w:rPr>
          <w:rFonts w:ascii="Palatino Linotype" w:hAnsi="Palatino Linotype" w:cs="Arial"/>
          <w:b/>
        </w:rPr>
        <w:t>SUJETO OBLIGADO</w:t>
      </w:r>
      <w:r w:rsidRPr="002E6C55">
        <w:rPr>
          <w:rFonts w:ascii="Palatino Linotype" w:hAnsi="Palatino Linotype" w:cs="Arial"/>
        </w:rPr>
        <w:t>), del acto o resolución impugnada, suprime, elimina o cancela la totalidad de su respuesta y emite otra en su lugar dejando sin efecto lo que en un principio respondió.</w:t>
      </w:r>
    </w:p>
    <w:p w14:paraId="4803B47E"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En ese tenor, un acto impugnado queda sin efectos, cuando aun existiendo jurídicamente (esto es, que no se ha modificado, ni revocado) ya no genera ninguna consecuencia legal.</w:t>
      </w:r>
    </w:p>
    <w:p w14:paraId="513025D5"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 xml:space="preserve">En tanto que, un acto impugnado queda sin materia, cuando ha sido satisfecha la pretensión de lo pedido o exigido por la parte </w:t>
      </w:r>
      <w:r w:rsidRPr="002E6C55">
        <w:rPr>
          <w:rFonts w:ascii="Palatino Linotype" w:hAnsi="Palatino Linotype" w:cs="Arial"/>
          <w:b/>
          <w:color w:val="000000"/>
        </w:rPr>
        <w:t>RECURRENTE</w:t>
      </w:r>
      <w:r w:rsidRPr="002E6C55">
        <w:rPr>
          <w:rFonts w:ascii="Palatino Linotype" w:hAnsi="Palatino Linotype" w:cs="Arial"/>
          <w:b/>
        </w:rPr>
        <w:t xml:space="preserve"> </w:t>
      </w:r>
      <w:r w:rsidRPr="002E6C55">
        <w:rPr>
          <w:rFonts w:ascii="Palatino Linotype" w:hAnsi="Palatino Linotype" w:cs="Arial"/>
        </w:rPr>
        <w:t xml:space="preserve">de manera que </w:t>
      </w:r>
      <w:r w:rsidRPr="002E6C55">
        <w:rPr>
          <w:rFonts w:ascii="Palatino Linotype" w:hAnsi="Palatino Linotype" w:cs="Arial"/>
          <w:b/>
        </w:rPr>
        <w:t xml:space="preserve">EL SUJETO OBLIGADO </w:t>
      </w:r>
      <w:r w:rsidRPr="002E6C55">
        <w:rPr>
          <w:rFonts w:ascii="Palatino Linotype" w:hAnsi="Palatino Linotype" w:cs="Arial"/>
        </w:rPr>
        <w:t xml:space="preserve">entrega una respuesta que </w:t>
      </w:r>
      <w:r w:rsidRPr="002E6C55">
        <w:rPr>
          <w:rFonts w:ascii="Palatino Linotype" w:hAnsi="Palatino Linotype" w:cs="Arial"/>
          <w:b/>
        </w:rPr>
        <w:t>aunque sea posterior</w:t>
      </w:r>
      <w:r w:rsidRPr="002E6C55">
        <w:rPr>
          <w:rFonts w:ascii="Palatino Linotype" w:hAnsi="Palatino Linotype" w:cs="Arial"/>
        </w:rPr>
        <w:t xml:space="preserve"> a los términos previstos en la ley, mediante ésta concede la información solicitada.  </w:t>
      </w:r>
    </w:p>
    <w:p w14:paraId="3F2830F9"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2E6C55">
        <w:rPr>
          <w:rFonts w:ascii="Palatino Linotype" w:hAnsi="Palatino Linotype" w:cs="Arial"/>
          <w:b/>
        </w:rPr>
        <w:t>EL SUJETO OBLIGADO</w:t>
      </w:r>
      <w:r w:rsidRPr="002E6C55">
        <w:rPr>
          <w:rFonts w:ascii="Palatino Linotype" w:hAnsi="Palatino Linotype" w:cs="Arial"/>
        </w:rPr>
        <w:t xml:space="preserve"> mediante un acto posterior a su respuesta, </w:t>
      </w:r>
      <w:r w:rsidRPr="002E6C55">
        <w:rPr>
          <w:rFonts w:ascii="Palatino Linotype" w:hAnsi="Palatino Linotype" w:cs="Arial"/>
        </w:rPr>
        <w:lastRenderedPageBreak/>
        <w:t xml:space="preserve">como lo fue con el Informe Justificado, remitió información con lo cual, dejó sin materia el presente recurso. </w:t>
      </w:r>
    </w:p>
    <w:p w14:paraId="03EB9D13" w14:textId="77777777" w:rsidR="00343A68" w:rsidRPr="002E6C55" w:rsidRDefault="00A33379" w:rsidP="00A33379">
      <w:p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2E6C55">
        <w:rPr>
          <w:rFonts w:ascii="Palatino Linotype" w:hAnsi="Palatino Linotype" w:cs="Arial"/>
        </w:rPr>
        <w:t xml:space="preserve">Atento a ello, </w:t>
      </w:r>
      <w:r w:rsidRPr="002E6C55">
        <w:rPr>
          <w:rFonts w:ascii="Palatino Linotype" w:hAnsi="Palatino Linotype" w:cs="Arial"/>
          <w:color w:val="000000" w:themeColor="text1"/>
        </w:rPr>
        <w:t xml:space="preserve">es conveniente recordar que el particular </w:t>
      </w:r>
      <w:r w:rsidRPr="002E6C55">
        <w:rPr>
          <w:rFonts w:ascii="Palatino Linotype" w:hAnsi="Palatino Linotype"/>
        </w:rPr>
        <w:t xml:space="preserve">mediante el ejercicio derecho de acceso de la información requirió al </w:t>
      </w:r>
      <w:r w:rsidRPr="002E6C55">
        <w:rPr>
          <w:rFonts w:ascii="Palatino Linotype" w:hAnsi="Palatino Linotype"/>
          <w:b/>
        </w:rPr>
        <w:t xml:space="preserve">SUJETO OBLIGADO </w:t>
      </w:r>
      <w:r w:rsidR="00343A68" w:rsidRPr="002E6C55">
        <w:rPr>
          <w:rFonts w:ascii="Palatino Linotype" w:hAnsi="Palatino Linotype" w:cs="Arial"/>
          <w:color w:val="000000" w:themeColor="text1"/>
        </w:rPr>
        <w:t>lo siguiente:</w:t>
      </w:r>
    </w:p>
    <w:p w14:paraId="00F58280" w14:textId="77777777" w:rsidR="00343A68" w:rsidRPr="002E6C55" w:rsidRDefault="00343A68" w:rsidP="00343A68">
      <w:pPr>
        <w:pStyle w:val="Prrafodelista"/>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2E6C55">
        <w:rPr>
          <w:rFonts w:ascii="Palatino Linotype" w:hAnsi="Palatino Linotype" w:cs="Arial"/>
          <w:color w:val="000000" w:themeColor="text1"/>
        </w:rPr>
        <w:t>Conocer en qué casos no se requiere licencia de construcción o licencia para levantar bardas perimetrales respecto de un inmueble de uso habitacional, en zona urbana, para ello señale además el fundamento jurídico y administrativo.</w:t>
      </w:r>
    </w:p>
    <w:p w14:paraId="659C1C80" w14:textId="77777777" w:rsidR="00343A68" w:rsidRPr="002E6C55" w:rsidRDefault="00343A68" w:rsidP="000A6FA2">
      <w:pPr>
        <w:pStyle w:val="Prrafodelista"/>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2E6C55">
        <w:rPr>
          <w:rFonts w:ascii="Palatino Linotype" w:hAnsi="Palatino Linotype" w:cs="Arial"/>
          <w:color w:val="000000" w:themeColor="text1"/>
        </w:rPr>
        <w:t>Cuantos sellos de suspensión de obra se colocaron en la administración pasada y cuantos de esos sellos de suspensión de obra le dio seguimiento la actual administración.</w:t>
      </w:r>
    </w:p>
    <w:p w14:paraId="30FE3697" w14:textId="77777777" w:rsidR="00343A68" w:rsidRPr="002E6C55" w:rsidRDefault="00343A68" w:rsidP="00893C3E">
      <w:pPr>
        <w:pStyle w:val="Prrafodelista"/>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2E6C55">
        <w:rPr>
          <w:rFonts w:ascii="Palatino Linotype" w:hAnsi="Palatino Linotype" w:cs="Arial"/>
          <w:color w:val="000000" w:themeColor="text1"/>
        </w:rPr>
        <w:t xml:space="preserve">¿La actual administración retoma o le da continuidad a los expedientes que fueron generados por la anterior administración respecto a las obras suspendidas en proceso de construcción, ampliación etc.? para ello señale el fundamento jurídico y administrativo para tal efecto. </w:t>
      </w:r>
    </w:p>
    <w:p w14:paraId="238106DD" w14:textId="77777777" w:rsidR="002B4C0F" w:rsidRPr="002E6C55" w:rsidRDefault="00A33379" w:rsidP="00A3337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lang w:val="es-ES_tradnl"/>
        </w:rPr>
      </w:pPr>
      <w:r w:rsidRPr="002E6C55">
        <w:rPr>
          <w:rFonts w:ascii="Palatino Linotype" w:hAnsi="Palatino Linotype" w:cs="Arial"/>
        </w:rPr>
        <w:t>Al respecto,</w:t>
      </w:r>
      <w:r w:rsidRPr="002E6C55">
        <w:rPr>
          <w:rFonts w:ascii="Palatino Linotype" w:hAnsi="Palatino Linotype" w:cs="Arial"/>
          <w:b/>
        </w:rPr>
        <w:t xml:space="preserve"> EL SUJETO OBLIGADO, </w:t>
      </w:r>
      <w:r w:rsidRPr="002E6C55">
        <w:rPr>
          <w:rFonts w:ascii="Palatino Linotype" w:hAnsi="Palatino Linotype" w:cs="Arial"/>
        </w:rPr>
        <w:t xml:space="preserve">a través de su respuesta </w:t>
      </w:r>
      <w:r w:rsidRPr="002E6C55">
        <w:rPr>
          <w:rFonts w:ascii="Palatino Linotype" w:hAnsi="Palatino Linotype"/>
          <w:lang w:val="es-ES_tradnl"/>
        </w:rPr>
        <w:t xml:space="preserve">informó que </w:t>
      </w:r>
      <w:r w:rsidR="002B4C0F" w:rsidRPr="002E6C55">
        <w:rPr>
          <w:rFonts w:ascii="Palatino Linotype" w:hAnsi="Palatino Linotype"/>
          <w:lang w:val="es-ES_tradnl"/>
        </w:rPr>
        <w:t>había turnado la solicitud de información a las áreas administrativas de Desarrollo Urbano y a la de Obras Públicas; donde el Director de Desarrollo Urbano le informó que no se requiere Licencia de Construcción alguna para la construcción de una barda perimetral en un inmueble de uso habitacional.</w:t>
      </w:r>
    </w:p>
    <w:p w14:paraId="27F1151E" w14:textId="77777777" w:rsidR="008A7E07" w:rsidRPr="002E6C55" w:rsidRDefault="00A33379" w:rsidP="00A3337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E6C55">
        <w:rPr>
          <w:rFonts w:ascii="Palatino Linotype" w:hAnsi="Palatino Linotype" w:cs="Arial"/>
        </w:rPr>
        <w:t xml:space="preserve">Inconforme con dicha respuesta, </w:t>
      </w:r>
      <w:r w:rsidR="002B4C0F" w:rsidRPr="002E6C55">
        <w:rPr>
          <w:rFonts w:ascii="Palatino Linotype" w:hAnsi="Palatino Linotype" w:cs="Arial"/>
        </w:rPr>
        <w:t xml:space="preserve">el </w:t>
      </w:r>
      <w:r w:rsidRPr="002E6C55">
        <w:rPr>
          <w:rFonts w:ascii="Palatino Linotype" w:hAnsi="Palatino Linotype" w:cs="Arial"/>
        </w:rPr>
        <w:t xml:space="preserve">hoy </w:t>
      </w:r>
      <w:r w:rsidRPr="002E6C55">
        <w:rPr>
          <w:rFonts w:ascii="Palatino Linotype" w:hAnsi="Palatino Linotype" w:cs="Arial"/>
          <w:b/>
        </w:rPr>
        <w:t>RECURRENTE</w:t>
      </w:r>
      <w:r w:rsidRPr="002E6C55">
        <w:rPr>
          <w:rFonts w:ascii="Palatino Linotype" w:hAnsi="Palatino Linotype" w:cs="Arial"/>
        </w:rPr>
        <w:t xml:space="preserve"> interpuso el medio de defensa en análisis, en el cual argumentó que</w:t>
      </w:r>
      <w:r w:rsidR="008A7E07" w:rsidRPr="002E6C55">
        <w:rPr>
          <w:rFonts w:ascii="Palatino Linotype" w:hAnsi="Palatino Linotype" w:cs="Arial"/>
        </w:rPr>
        <w:t xml:space="preserve"> </w:t>
      </w:r>
      <w:r w:rsidR="008A7E07" w:rsidRPr="002E6C55">
        <w:rPr>
          <w:rFonts w:ascii="Palatino Linotype" w:hAnsi="Palatino Linotype" w:cs="Arial"/>
          <w:b/>
        </w:rPr>
        <w:t xml:space="preserve">EL SUJETO OBLIGADO </w:t>
      </w:r>
      <w:r w:rsidR="008A7E07" w:rsidRPr="002E6C55">
        <w:rPr>
          <w:rFonts w:ascii="Palatino Linotype" w:hAnsi="Palatino Linotype" w:cs="Arial"/>
        </w:rPr>
        <w:t xml:space="preserve">no se </w:t>
      </w:r>
      <w:r w:rsidR="008A7E07" w:rsidRPr="002E6C55">
        <w:rPr>
          <w:rFonts w:ascii="Palatino Linotype" w:hAnsi="Palatino Linotype" w:cs="Arial"/>
        </w:rPr>
        <w:lastRenderedPageBreak/>
        <w:t>pronunció respecto de todos los puntos solicitados.</w:t>
      </w:r>
    </w:p>
    <w:p w14:paraId="66C3E8A7" w14:textId="77777777" w:rsidR="008F7F80" w:rsidRPr="002E6C55" w:rsidRDefault="00A33379" w:rsidP="00A3337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E6C55">
        <w:rPr>
          <w:rFonts w:ascii="Palatino Linotype" w:hAnsi="Palatino Linotype" w:cs="Arial"/>
        </w:rPr>
        <w:t xml:space="preserve">En ese tenor, </w:t>
      </w:r>
      <w:r w:rsidRPr="002E6C55">
        <w:rPr>
          <w:rFonts w:ascii="Palatino Linotype" w:hAnsi="Palatino Linotype" w:cs="Arial"/>
          <w:b/>
        </w:rPr>
        <w:t>EL SUJETO OBLIGADO</w:t>
      </w:r>
      <w:r w:rsidRPr="002E6C55">
        <w:rPr>
          <w:rFonts w:ascii="Palatino Linotype" w:hAnsi="Palatino Linotype" w:cs="Arial"/>
        </w:rPr>
        <w:t xml:space="preserve"> mediante Informe Justificado refirió que </w:t>
      </w:r>
      <w:r w:rsidR="008F7F80" w:rsidRPr="002E6C55">
        <w:rPr>
          <w:rFonts w:ascii="Palatino Linotype" w:hAnsi="Palatino Linotype" w:cs="Arial"/>
        </w:rPr>
        <w:t>el Director de Desarrollo Urbano dio respuesta a cada uno de sus requerimientos tal y como se aprecia enseguida:</w:t>
      </w:r>
    </w:p>
    <w:p w14:paraId="04C136D2" w14:textId="77777777" w:rsidR="008F7F80" w:rsidRPr="002E6C55" w:rsidRDefault="008F7F80" w:rsidP="008F7F8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2E6C55">
        <w:rPr>
          <w:noProof/>
          <w:lang w:eastAsia="es-MX"/>
        </w:rPr>
        <w:drawing>
          <wp:inline distT="0" distB="0" distL="0" distR="0" wp14:anchorId="6B5B2B19" wp14:editId="23914D6D">
            <wp:extent cx="4054819" cy="2375065"/>
            <wp:effectExtent l="0" t="0" r="317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18" t="21517" r="18489" b="15565"/>
                    <a:stretch/>
                  </pic:blipFill>
                  <pic:spPr bwMode="auto">
                    <a:xfrm>
                      <a:off x="0" y="0"/>
                      <a:ext cx="4067581" cy="23825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60DC34" w14:textId="77777777" w:rsidR="008F7F80" w:rsidRPr="002E6C55" w:rsidRDefault="008F7F80" w:rsidP="008F7F8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2E6C55">
        <w:rPr>
          <w:noProof/>
          <w:lang w:eastAsia="es-MX"/>
        </w:rPr>
        <w:drawing>
          <wp:inline distT="0" distB="0" distL="0" distR="0" wp14:anchorId="18542571" wp14:editId="6F2D2788">
            <wp:extent cx="3817917" cy="14936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01" t="19876" r="18795" b="37813"/>
                    <a:stretch/>
                  </pic:blipFill>
                  <pic:spPr bwMode="auto">
                    <a:xfrm>
                      <a:off x="0" y="0"/>
                      <a:ext cx="3839288" cy="15020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EC5610" w14:textId="77777777" w:rsidR="008F7F80" w:rsidRPr="002E6C55" w:rsidRDefault="008F7F80" w:rsidP="008F7F8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2E6C55">
        <w:rPr>
          <w:noProof/>
          <w:lang w:eastAsia="es-MX"/>
        </w:rPr>
        <w:lastRenderedPageBreak/>
        <w:drawing>
          <wp:inline distT="0" distB="0" distL="0" distR="0" wp14:anchorId="32527130" wp14:editId="1FCCFDC1">
            <wp:extent cx="3608016" cy="283820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51" t="17323" r="25873" b="16111"/>
                    <a:stretch/>
                  </pic:blipFill>
                  <pic:spPr bwMode="auto">
                    <a:xfrm>
                      <a:off x="0" y="0"/>
                      <a:ext cx="3619878" cy="28475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AE6CDE" w14:textId="77777777" w:rsidR="00A33379" w:rsidRPr="002E6C55" w:rsidRDefault="00A33379" w:rsidP="00A3337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E6C55">
        <w:rPr>
          <w:rFonts w:ascii="Palatino Linotype" w:hAnsi="Palatino Linotype" w:cs="Arial"/>
        </w:rPr>
        <w:t xml:space="preserve">Cabe destacar que </w:t>
      </w:r>
      <w:r w:rsidR="008F7F80" w:rsidRPr="002E6C55">
        <w:rPr>
          <w:rFonts w:ascii="Palatino Linotype" w:hAnsi="Palatino Linotype" w:cs="Arial"/>
          <w:b/>
        </w:rPr>
        <w:t>EL</w:t>
      </w:r>
      <w:r w:rsidRPr="002E6C55">
        <w:rPr>
          <w:rFonts w:ascii="Palatino Linotype" w:hAnsi="Palatino Linotype" w:cs="Arial"/>
          <w:b/>
        </w:rPr>
        <w:t xml:space="preserve"> RECURRENTE </w:t>
      </w:r>
      <w:r w:rsidRPr="002E6C55">
        <w:rPr>
          <w:rFonts w:ascii="Palatino Linotype" w:hAnsi="Palatino Linotype" w:cs="Arial"/>
        </w:rPr>
        <w:t>fue omis</w:t>
      </w:r>
      <w:r w:rsidR="008F7F80" w:rsidRPr="002E6C55">
        <w:rPr>
          <w:rFonts w:ascii="Palatino Linotype" w:hAnsi="Palatino Linotype" w:cs="Arial"/>
        </w:rPr>
        <w:t>o</w:t>
      </w:r>
      <w:r w:rsidRPr="002E6C55">
        <w:rPr>
          <w:rFonts w:ascii="Palatino Linotype" w:hAnsi="Palatino Linotype" w:cs="Arial"/>
        </w:rPr>
        <w:t xml:space="preserve"> en realizar manifestaciones respecto del Informe Justificado; así como, en ofrecer los alegatos o medios de prueba que a su derecho convinieran.</w:t>
      </w:r>
    </w:p>
    <w:p w14:paraId="2C935E4F" w14:textId="77777777" w:rsidR="00A33379" w:rsidRPr="002E6C55" w:rsidRDefault="00A33379" w:rsidP="00A33379">
      <w:pPr>
        <w:spacing w:before="100" w:beforeAutospacing="1" w:after="100" w:afterAutospacing="1" w:line="360" w:lineRule="auto"/>
        <w:jc w:val="both"/>
        <w:rPr>
          <w:rFonts w:ascii="Palatino Linotype" w:hAnsi="Palatino Linotype"/>
        </w:rPr>
      </w:pPr>
      <w:r w:rsidRPr="002E6C55">
        <w:rPr>
          <w:rFonts w:ascii="Palatino Linotype" w:eastAsia="Calibri" w:hAnsi="Palatino Linotype" w:cs="Arial"/>
        </w:rPr>
        <w:t xml:space="preserve">Primeramente, este Instituto precisa que, </w:t>
      </w:r>
      <w:r w:rsidRPr="002E6C55">
        <w:rPr>
          <w:rFonts w:ascii="Palatino Linotype" w:hAnsi="Palatino Linotype"/>
        </w:rPr>
        <w:t xml:space="preserve">se obvia el análisis de la competencia por parte del </w:t>
      </w:r>
      <w:r w:rsidRPr="002E6C55">
        <w:rPr>
          <w:rFonts w:ascii="Palatino Linotype" w:hAnsi="Palatino Linotype"/>
          <w:b/>
        </w:rPr>
        <w:t>SUJETO OBLIGADO</w:t>
      </w:r>
      <w:r w:rsidRPr="002E6C55">
        <w:rPr>
          <w:rFonts w:ascii="Palatino Linotype" w:hAnsi="Palatino Linotype"/>
        </w:rPr>
        <w:t xml:space="preserve">, para generar, administrar o poseer la información solicitada, dado que éste ha asumido la misma, en razón de que </w:t>
      </w:r>
      <w:r w:rsidR="007D00AB" w:rsidRPr="002E6C55">
        <w:rPr>
          <w:rFonts w:ascii="Palatino Linotype" w:hAnsi="Palatino Linotype"/>
        </w:rPr>
        <w:t xml:space="preserve">mediante su Informe Justificado el Servidor Público Habilitado del área administrativa competente se pronunció respecto de cada uno de los requerimientos del </w:t>
      </w:r>
      <w:r w:rsidR="007D00AB" w:rsidRPr="002E6C55">
        <w:rPr>
          <w:rFonts w:ascii="Palatino Linotype" w:hAnsi="Palatino Linotype"/>
          <w:b/>
        </w:rPr>
        <w:t>RECURRETE</w:t>
      </w:r>
      <w:r w:rsidRPr="002E6C55">
        <w:rPr>
          <w:rFonts w:ascii="Palatino Linotype" w:hAnsi="Palatino Linotype"/>
        </w:rPr>
        <w:t>; en donde como ya se vio se enc</w:t>
      </w:r>
      <w:r w:rsidR="007D00AB" w:rsidRPr="002E6C55">
        <w:rPr>
          <w:rFonts w:ascii="Palatino Linotype" w:hAnsi="Palatino Linotype"/>
        </w:rPr>
        <w:t>ontró respuesta a la solicitud de información que dio origen al recurso de revisión en estudio</w:t>
      </w:r>
      <w:r w:rsidRPr="002E6C55">
        <w:rPr>
          <w:rFonts w:ascii="Palatino Linotype" w:hAnsi="Palatino Linotype"/>
        </w:rPr>
        <w:t>.</w:t>
      </w:r>
    </w:p>
    <w:p w14:paraId="2C95D87D"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lang w:val="es-ES_tradnl"/>
        </w:rPr>
        <w:t xml:space="preserve">Por lo que, con las manifestaciones entregadas en Informe Justificado y que en el momento procesal oportuno se hicieran del conocimiento del solicitante, es que </w:t>
      </w:r>
      <w:r w:rsidRPr="002E6C55">
        <w:rPr>
          <w:rFonts w:ascii="Palatino Linotype" w:hAnsi="Palatino Linotype"/>
          <w:lang w:val="es-ES_tradnl"/>
        </w:rPr>
        <w:lastRenderedPageBreak/>
        <w:t xml:space="preserve">resulta </w:t>
      </w:r>
      <w:r w:rsidRPr="002E6C55">
        <w:rPr>
          <w:rFonts w:ascii="Palatino Linotype" w:eastAsiaTheme="minorEastAsia" w:hAnsi="Palatino Linotype" w:cs="Arial"/>
          <w:lang w:val="es-ES_tradnl"/>
        </w:rPr>
        <w:t xml:space="preserve">evidente que </w:t>
      </w:r>
      <w:r w:rsidRPr="002E6C55">
        <w:rPr>
          <w:rFonts w:ascii="Palatino Linotype" w:eastAsiaTheme="minorEastAsia" w:hAnsi="Palatino Linotype" w:cs="Arial"/>
          <w:b/>
          <w:lang w:val="es-ES_tradnl"/>
        </w:rPr>
        <w:t xml:space="preserve">EL SUJETO OBLIGADO </w:t>
      </w:r>
      <w:r w:rsidRPr="002E6C55">
        <w:rPr>
          <w:rFonts w:ascii="Palatino Linotype" w:eastAsiaTheme="minorEastAsia" w:hAnsi="Palatino Linotype" w:cs="Arial"/>
          <w:lang w:val="es-ES_tradnl"/>
        </w:rPr>
        <w:t>al ampliar su respuesta mediante el informe referido, ha dejado sin materia el presente asunto, al haber entregado a</w:t>
      </w:r>
      <w:r w:rsidR="007D00AB" w:rsidRPr="002E6C55">
        <w:rPr>
          <w:rFonts w:ascii="Palatino Linotype" w:eastAsiaTheme="minorEastAsia" w:hAnsi="Palatino Linotype" w:cs="Arial"/>
          <w:lang w:val="es-ES_tradnl"/>
        </w:rPr>
        <w:t xml:space="preserve">l </w:t>
      </w:r>
      <w:r w:rsidRPr="002E6C55">
        <w:rPr>
          <w:rFonts w:ascii="Palatino Linotype" w:eastAsiaTheme="minorEastAsia" w:hAnsi="Palatino Linotype" w:cs="Arial"/>
          <w:lang w:val="es-ES_tradnl"/>
        </w:rPr>
        <w:t xml:space="preserve">solicitante la información requerida; por todo lo expuesto, </w:t>
      </w:r>
      <w:r w:rsidRPr="002E6C55">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0B9EFA72" w14:textId="77777777" w:rsidR="006E376D" w:rsidRPr="002E6C55" w:rsidRDefault="006E376D" w:rsidP="006E376D">
      <w:pPr>
        <w:spacing w:before="100" w:beforeAutospacing="1" w:after="100" w:afterAutospacing="1" w:line="360" w:lineRule="auto"/>
        <w:jc w:val="both"/>
        <w:rPr>
          <w:rFonts w:ascii="Palatino Linotype" w:hAnsi="Palatino Linotype"/>
        </w:rPr>
      </w:pPr>
      <w:r w:rsidRPr="002E6C55">
        <w:rPr>
          <w:rFonts w:ascii="Palatino Linotype" w:hAnsi="Palatino Linotype"/>
        </w:rPr>
        <w:t xml:space="preserve">Finalmente, no pasa desapercibido para esta Ponencia Resolutora que en relación al cuestionamiento identificado con el numeral 4 </w:t>
      </w:r>
      <w:r w:rsidRPr="002E6C55">
        <w:rPr>
          <w:rFonts w:ascii="Palatino Linotype" w:hAnsi="Palatino Linotype"/>
          <w:b/>
        </w:rPr>
        <w:t xml:space="preserve">EL SUJETO OBLIGADO </w:t>
      </w:r>
      <w:r w:rsidRPr="002E6C55">
        <w:rPr>
          <w:rFonts w:ascii="Palatino Linotype" w:hAnsi="Palatino Linotype"/>
        </w:rPr>
        <w:t xml:space="preserve">refirió únicamente el artículo y las fracciones que lo facultan para aplicar y vigilar el cumplimiento de las disposiciones legales en materia territorial de asentamientos humanos y del desarrollo urbano y vivienda; es por lo que, en aras de garantizar los principios de máxima publicidad y eficacia, establecidos en el artículo 9 de la Ley de la materia, se tuvo a bien determinar el ordenamiento legal que establece dichas atribuciones, encontrando que se trata de la </w:t>
      </w:r>
      <w:r w:rsidRPr="002E6C55">
        <w:rPr>
          <w:rFonts w:ascii="Palatino Linotype" w:hAnsi="Palatino Linotype"/>
          <w:b/>
        </w:rPr>
        <w:t>Ley Orgánica Municipal del Estado de México</w:t>
      </w:r>
      <w:r w:rsidRPr="002E6C55">
        <w:rPr>
          <w:rStyle w:val="Refdenotaalpie"/>
          <w:rFonts w:ascii="Palatino Linotype" w:hAnsi="Palatino Linotype"/>
        </w:rPr>
        <w:footnoteReference w:id="1"/>
      </w:r>
      <w:r w:rsidRPr="002E6C55">
        <w:rPr>
          <w:rFonts w:ascii="Palatino Linotype" w:hAnsi="Palatino Linotype"/>
        </w:rPr>
        <w:t>; sirviendo de sustento lo siguiente:</w:t>
      </w:r>
    </w:p>
    <w:p w14:paraId="6CFAA261" w14:textId="77777777" w:rsidR="006E376D" w:rsidRPr="002E6C55" w:rsidRDefault="006E376D" w:rsidP="006E376D">
      <w:pPr>
        <w:spacing w:before="100" w:beforeAutospacing="1" w:after="100" w:afterAutospacing="1" w:line="360" w:lineRule="auto"/>
        <w:jc w:val="center"/>
        <w:rPr>
          <w:rFonts w:ascii="Palatino Linotype" w:hAnsi="Palatino Linotype"/>
        </w:rPr>
      </w:pPr>
      <w:r w:rsidRPr="002E6C55">
        <w:rPr>
          <w:noProof/>
          <w:lang w:eastAsia="es-MX"/>
        </w:rPr>
        <w:lastRenderedPageBreak/>
        <mc:AlternateContent>
          <mc:Choice Requires="wps">
            <w:drawing>
              <wp:anchor distT="0" distB="0" distL="114300" distR="114300" simplePos="0" relativeHeight="251660288" behindDoc="0" locked="0" layoutInCell="1" allowOverlap="1" wp14:anchorId="162F9B40" wp14:editId="3B639A53">
                <wp:simplePos x="0" y="0"/>
                <wp:positionH relativeFrom="column">
                  <wp:posOffset>216402</wp:posOffset>
                </wp:positionH>
                <wp:positionV relativeFrom="paragraph">
                  <wp:posOffset>1029316</wp:posOffset>
                </wp:positionV>
                <wp:extent cx="5329271" cy="334370"/>
                <wp:effectExtent l="19050" t="19050" r="24130" b="27940"/>
                <wp:wrapNone/>
                <wp:docPr id="8" name="Rectángulo 8"/>
                <wp:cNvGraphicFramePr/>
                <a:graphic xmlns:a="http://schemas.openxmlformats.org/drawingml/2006/main">
                  <a:graphicData uri="http://schemas.microsoft.com/office/word/2010/wordprocessingShape">
                    <wps:wsp>
                      <wps:cNvSpPr/>
                      <wps:spPr>
                        <a:xfrm>
                          <a:off x="0" y="0"/>
                          <a:ext cx="5329271" cy="33437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665AA" id="Rectángulo 8" o:spid="_x0000_s1026" style="position:absolute;margin-left:17.05pt;margin-top:81.05pt;width:419.65pt;height:26.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" filled="f" strokecolor="#1f4d78 [1604]" strokeweight="2.25pt"/>
            </w:pict>
          </mc:Fallback>
        </mc:AlternateContent>
      </w:r>
      <w:r w:rsidRPr="002E6C55">
        <w:rPr>
          <w:noProof/>
          <w:lang w:eastAsia="es-MX"/>
        </w:rPr>
        <mc:AlternateContent>
          <mc:Choice Requires="wps">
            <w:drawing>
              <wp:anchor distT="0" distB="0" distL="114300" distR="114300" simplePos="0" relativeHeight="251659264" behindDoc="0" locked="0" layoutInCell="1" allowOverlap="1" wp14:anchorId="77244534" wp14:editId="457FE10A">
                <wp:simplePos x="0" y="0"/>
                <wp:positionH relativeFrom="column">
                  <wp:posOffset>161811</wp:posOffset>
                </wp:positionH>
                <wp:positionV relativeFrom="paragraph">
                  <wp:posOffset>-1090</wp:posOffset>
                </wp:positionV>
                <wp:extent cx="5411338" cy="341194"/>
                <wp:effectExtent l="19050" t="19050" r="18415" b="20955"/>
                <wp:wrapNone/>
                <wp:docPr id="4" name="Rectángulo 4"/>
                <wp:cNvGraphicFramePr/>
                <a:graphic xmlns:a="http://schemas.openxmlformats.org/drawingml/2006/main">
                  <a:graphicData uri="http://schemas.microsoft.com/office/word/2010/wordprocessingShape">
                    <wps:wsp>
                      <wps:cNvSpPr/>
                      <wps:spPr>
                        <a:xfrm>
                          <a:off x="0" y="0"/>
                          <a:ext cx="5411338" cy="34119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11B64" id="Rectángulo 4" o:spid="_x0000_s1026" style="position:absolute;margin-left:12.75pt;margin-top:-.1pt;width:426.1pt;height:2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" filled="f" strokecolor="#1f4d78 [1604]" strokeweight="2.25pt"/>
            </w:pict>
          </mc:Fallback>
        </mc:AlternateContent>
      </w:r>
      <w:r w:rsidRPr="002E6C55">
        <w:rPr>
          <w:noProof/>
          <w:lang w:eastAsia="es-MX"/>
        </w:rPr>
        <w:drawing>
          <wp:inline distT="0" distB="0" distL="0" distR="0" wp14:anchorId="55E90DEE" wp14:editId="68C8405F">
            <wp:extent cx="5486957" cy="24224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00" t="18442" r="12572" b="22248"/>
                    <a:stretch/>
                  </pic:blipFill>
                  <pic:spPr bwMode="auto">
                    <a:xfrm>
                      <a:off x="0" y="0"/>
                      <a:ext cx="5493527" cy="24253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346191" w14:textId="77777777" w:rsidR="006E376D" w:rsidRPr="002E6C55" w:rsidRDefault="006E376D" w:rsidP="006E376D">
      <w:pPr>
        <w:spacing w:before="100" w:beforeAutospacing="1" w:after="100" w:afterAutospacing="1" w:line="360" w:lineRule="auto"/>
        <w:jc w:val="center"/>
        <w:rPr>
          <w:rFonts w:ascii="Palatino Linotype" w:hAnsi="Palatino Linotype"/>
        </w:rPr>
      </w:pPr>
      <w:r w:rsidRPr="002E6C55">
        <w:rPr>
          <w:noProof/>
          <w:lang w:eastAsia="es-MX"/>
        </w:rPr>
        <mc:AlternateContent>
          <mc:Choice Requires="wps">
            <w:drawing>
              <wp:anchor distT="0" distB="0" distL="114300" distR="114300" simplePos="0" relativeHeight="251661312" behindDoc="0" locked="0" layoutInCell="1" allowOverlap="1" wp14:anchorId="655A5F57" wp14:editId="57087CD9">
                <wp:simplePos x="0" y="0"/>
                <wp:positionH relativeFrom="column">
                  <wp:posOffset>339232</wp:posOffset>
                </wp:positionH>
                <wp:positionV relativeFrom="paragraph">
                  <wp:posOffset>1529383</wp:posOffset>
                </wp:positionV>
                <wp:extent cx="5233414" cy="313899"/>
                <wp:effectExtent l="19050" t="19050" r="24765" b="10160"/>
                <wp:wrapNone/>
                <wp:docPr id="10" name="Rectángulo 10"/>
                <wp:cNvGraphicFramePr/>
                <a:graphic xmlns:a="http://schemas.openxmlformats.org/drawingml/2006/main">
                  <a:graphicData uri="http://schemas.microsoft.com/office/word/2010/wordprocessingShape">
                    <wps:wsp>
                      <wps:cNvSpPr/>
                      <wps:spPr>
                        <a:xfrm>
                          <a:off x="0" y="0"/>
                          <a:ext cx="5233414" cy="31389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37B1D" id="Rectángulo 10" o:spid="_x0000_s1026" style="position:absolute;margin-left:26.7pt;margin-top:120.4pt;width:412.1pt;height:2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" filled="f" strokecolor="#1f4d78 [1604]" strokeweight="2.25pt"/>
            </w:pict>
          </mc:Fallback>
        </mc:AlternateContent>
      </w:r>
      <w:r w:rsidRPr="002E6C55">
        <w:rPr>
          <w:noProof/>
          <w:lang w:eastAsia="es-MX"/>
        </w:rPr>
        <w:drawing>
          <wp:inline distT="0" distB="0" distL="0" distR="0" wp14:anchorId="7BAA6E6A" wp14:editId="545AD3B0">
            <wp:extent cx="5260860" cy="191751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58" t="23471" r="13395" b="27487"/>
                    <a:stretch/>
                  </pic:blipFill>
                  <pic:spPr bwMode="auto">
                    <a:xfrm>
                      <a:off x="0" y="0"/>
                      <a:ext cx="5266969" cy="19197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8FDB1C" w14:textId="77777777" w:rsidR="00A33379" w:rsidRPr="002E6C55" w:rsidRDefault="006E376D" w:rsidP="00A33379">
      <w:pPr>
        <w:spacing w:before="100" w:beforeAutospacing="1" w:after="100" w:afterAutospacing="1" w:line="360" w:lineRule="auto"/>
        <w:jc w:val="both"/>
        <w:rPr>
          <w:rFonts w:ascii="Palatino Linotype" w:eastAsiaTheme="minorEastAsia" w:hAnsi="Palatino Linotype" w:cstheme="minorBidi"/>
          <w:lang w:val="es-ES_tradnl"/>
        </w:rPr>
      </w:pPr>
      <w:r w:rsidRPr="002E6C55">
        <w:rPr>
          <w:rFonts w:ascii="Palatino Linotype" w:eastAsiaTheme="minorEastAsia" w:hAnsi="Palatino Linotype" w:cstheme="minorBidi"/>
          <w:lang w:val="es-ES_tradnl"/>
        </w:rPr>
        <w:t xml:space="preserve">Ante todo lo expuesto y con la finalidad de no dilatar aún más el derecho de acceso a la información ejercido por el particular y al haber </w:t>
      </w:r>
      <w:r w:rsidR="00A33379" w:rsidRPr="002E6C55">
        <w:rPr>
          <w:rFonts w:ascii="Palatino Linotype" w:eastAsiaTheme="minorEastAsia" w:hAnsi="Palatino Linotype" w:cstheme="minorBidi"/>
          <w:lang w:val="es-ES_tradnl"/>
        </w:rPr>
        <w:t xml:space="preserve">existido un pronunciamiento por parte del </w:t>
      </w:r>
      <w:r w:rsidR="00A33379" w:rsidRPr="002E6C55">
        <w:rPr>
          <w:rFonts w:ascii="Palatino Linotype" w:eastAsiaTheme="minorEastAsia" w:hAnsi="Palatino Linotype" w:cstheme="minorBidi"/>
          <w:b/>
          <w:lang w:val="es-ES_tradnl"/>
        </w:rPr>
        <w:t>SUJETO OBLIGADO</w:t>
      </w:r>
      <w:r w:rsidR="00A33379" w:rsidRPr="002E6C55">
        <w:rPr>
          <w:rFonts w:ascii="Palatino Linotype" w:eastAsiaTheme="minorEastAsia" w:hAnsi="Palatino Linotype" w:cstheme="minorBidi"/>
          <w:lang w:val="es-ES_tradnl"/>
        </w:rPr>
        <w:t xml:space="preserve">, a fin de dar respuesta a la solicitud planteada, </w:t>
      </w:r>
      <w:r w:rsidRPr="002E6C55">
        <w:rPr>
          <w:rFonts w:ascii="Palatino Linotype" w:eastAsiaTheme="minorEastAsia" w:hAnsi="Palatino Linotype" w:cstheme="minorBidi"/>
          <w:lang w:val="es-ES_tradnl"/>
        </w:rPr>
        <w:t xml:space="preserve">resulta conveniente señalar que </w:t>
      </w:r>
      <w:r w:rsidR="00A33379" w:rsidRPr="002E6C55">
        <w:rPr>
          <w:rFonts w:ascii="Palatino Linotype" w:eastAsiaTheme="minorEastAsia" w:hAnsi="Palatino Linotype" w:cstheme="minorBidi"/>
          <w:lang w:val="es-ES_tradnl"/>
        </w:rPr>
        <w:t>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63D57612" w14:textId="77777777" w:rsidR="00A33379" w:rsidRPr="002E6C55" w:rsidRDefault="00A33379" w:rsidP="00A33379">
      <w:pPr>
        <w:spacing w:before="100" w:beforeAutospacing="1" w:after="100" w:afterAutospacing="1" w:line="360" w:lineRule="auto"/>
        <w:jc w:val="both"/>
        <w:rPr>
          <w:rFonts w:ascii="Palatino Linotype" w:eastAsiaTheme="minorEastAsia" w:hAnsi="Palatino Linotype" w:cs="Arial"/>
          <w:lang w:val="es-ES_tradnl"/>
        </w:rPr>
      </w:pPr>
      <w:r w:rsidRPr="002E6C55">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0F1F7386" w14:textId="77777777" w:rsidR="00A33379" w:rsidRPr="002E6C55" w:rsidRDefault="00A33379" w:rsidP="00A33379">
      <w:pPr>
        <w:ind w:left="851" w:right="1041"/>
        <w:jc w:val="both"/>
        <w:rPr>
          <w:rFonts w:ascii="Palatino Linotype" w:eastAsiaTheme="minorEastAsia" w:hAnsi="Palatino Linotype" w:cs="Arial"/>
          <w:b/>
          <w:i/>
          <w:sz w:val="22"/>
          <w:szCs w:val="20"/>
          <w:lang w:val="es-ES_tradnl"/>
        </w:rPr>
      </w:pPr>
      <w:r w:rsidRPr="002E6C5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2E6C55">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2E6C55">
        <w:rPr>
          <w:rFonts w:ascii="Palatino Linotype" w:eastAsiaTheme="minorEastAsia" w:hAnsi="Palatino Linotype" w:cs="Arial"/>
          <w:b/>
          <w:i/>
          <w:sz w:val="22"/>
          <w:szCs w:val="20"/>
          <w:lang w:val="es-ES_tradnl"/>
        </w:rPr>
        <w:t>”</w:t>
      </w:r>
      <w:r w:rsidRPr="002E6C55">
        <w:rPr>
          <w:rFonts w:ascii="Palatino Linotype" w:eastAsiaTheme="minorEastAsia" w:hAnsi="Palatino Linotype" w:cs="Arial"/>
          <w:i/>
          <w:sz w:val="22"/>
          <w:szCs w:val="20"/>
          <w:lang w:val="es-ES_tradnl"/>
        </w:rPr>
        <w:t xml:space="preserve"> (sic)</w:t>
      </w:r>
    </w:p>
    <w:p w14:paraId="449FA423" w14:textId="77777777" w:rsidR="00A33379" w:rsidRPr="002E6C55" w:rsidRDefault="00A33379" w:rsidP="00A33379">
      <w:pPr>
        <w:spacing w:before="100" w:beforeAutospacing="1" w:after="100" w:afterAutospacing="1" w:line="360" w:lineRule="auto"/>
        <w:jc w:val="both"/>
        <w:rPr>
          <w:rFonts w:ascii="Palatino Linotype" w:hAnsi="Palatino Linotype" w:cs="Arial"/>
        </w:rPr>
      </w:pPr>
      <w:r w:rsidRPr="002E6C55">
        <w:rPr>
          <w:rFonts w:ascii="Palatino Linotype" w:hAnsi="Palatino Linotype" w:cs="Arial"/>
        </w:rPr>
        <w:t>Es así que, el medio de impugnación que nos ocupa ha quedado sin materia, dado que la inconformidad de</w:t>
      </w:r>
      <w:r w:rsidR="007D00AB" w:rsidRPr="002E6C55">
        <w:rPr>
          <w:rFonts w:ascii="Palatino Linotype" w:hAnsi="Palatino Linotype" w:cs="Arial"/>
        </w:rPr>
        <w:t xml:space="preserve">l </w:t>
      </w:r>
      <w:r w:rsidRPr="002E6C55">
        <w:rPr>
          <w:rFonts w:ascii="Palatino Linotype" w:hAnsi="Palatino Linotype" w:cs="Arial"/>
        </w:rPr>
        <w:t xml:space="preserve">hoy </w:t>
      </w:r>
      <w:r w:rsidRPr="002E6C55">
        <w:rPr>
          <w:rFonts w:ascii="Palatino Linotype" w:hAnsi="Palatino Linotype" w:cs="Arial"/>
          <w:b/>
        </w:rPr>
        <w:t>RECURRENTE</w:t>
      </w:r>
      <w:r w:rsidRPr="002E6C55">
        <w:rPr>
          <w:rFonts w:ascii="Palatino Linotype" w:hAnsi="Palatino Linotype" w:cs="Arial"/>
        </w:rPr>
        <w:t xml:space="preserve"> fue atendida por </w:t>
      </w:r>
      <w:r w:rsidRPr="002E6C55">
        <w:rPr>
          <w:rFonts w:ascii="Palatino Linotype" w:hAnsi="Palatino Linotype" w:cs="Arial"/>
          <w:b/>
        </w:rPr>
        <w:t xml:space="preserve">EL SUJETO OBLIGADO; </w:t>
      </w:r>
      <w:r w:rsidRPr="002E6C55">
        <w:rPr>
          <w:rFonts w:ascii="Palatino Linotype" w:hAnsi="Palatino Linotype" w:cs="Arial"/>
        </w:rPr>
        <w:t>esto ya que se aquejó respecto de que</w:t>
      </w:r>
      <w:r w:rsidR="007D00AB" w:rsidRPr="002E6C55">
        <w:rPr>
          <w:rFonts w:ascii="Palatino Linotype" w:hAnsi="Palatino Linotype" w:cs="Arial"/>
        </w:rPr>
        <w:t xml:space="preserve"> las áreas competentes no hubieran emitido un pronunciamiento respecto de cada uno de sus cuestionamientos;</w:t>
      </w:r>
      <w:r w:rsidRPr="002E6C55">
        <w:rPr>
          <w:rFonts w:ascii="Palatino Linotype" w:hAnsi="Palatino Linotype" w:cs="Arial"/>
        </w:rPr>
        <w:t xml:space="preserve"> sin embargo, en atención a dicha inconformidad </w:t>
      </w:r>
      <w:r w:rsidRPr="002E6C55">
        <w:rPr>
          <w:rFonts w:ascii="Palatino Linotype" w:hAnsi="Palatino Linotype" w:cs="Arial"/>
          <w:b/>
        </w:rPr>
        <w:t xml:space="preserve">EL SUJETO OBLIGADO </w:t>
      </w:r>
      <w:r w:rsidRPr="002E6C55">
        <w:rPr>
          <w:rFonts w:ascii="Palatino Linotype" w:hAnsi="Palatino Linotype" w:cs="Arial"/>
        </w:rPr>
        <w:t xml:space="preserve">en Informe Justificado </w:t>
      </w:r>
      <w:r w:rsidR="007D00AB" w:rsidRPr="002E6C55">
        <w:rPr>
          <w:rFonts w:ascii="Palatino Linotype" w:hAnsi="Palatino Linotype" w:cs="Arial"/>
        </w:rPr>
        <w:t>remitió el pronunciamiento emitido por el Director de Desarrollo Urbano en el que dio contestación a cada uno de los requerimientos del solicitante</w:t>
      </w:r>
      <w:r w:rsidR="0031323E" w:rsidRPr="002E6C55">
        <w:rPr>
          <w:rFonts w:ascii="Palatino Linotype" w:hAnsi="Palatino Linotype" w:cs="Arial"/>
        </w:rPr>
        <w:t xml:space="preserve"> y </w:t>
      </w:r>
      <w:r w:rsidR="0031323E" w:rsidRPr="002E6C55">
        <w:rPr>
          <w:rFonts w:ascii="Palatino Linotype" w:hAnsi="Palatino Linotype" w:cs="Arial"/>
        </w:rPr>
        <w:lastRenderedPageBreak/>
        <w:t>finalmente este Instituto tuvo a bien indicar el ordenamiento legal en que se fundamentó la respuesta del requerimiento número 4</w:t>
      </w:r>
      <w:r w:rsidRPr="002E6C55">
        <w:rPr>
          <w:rFonts w:ascii="Palatino Linotype" w:hAnsi="Palatino Linotype" w:cs="Arial"/>
        </w:rPr>
        <w:t xml:space="preserve">; por lo que, consecuentemente el acto que dio origen al recurso de revisión ha sido contravenido dejándolo sin materia. </w:t>
      </w:r>
    </w:p>
    <w:p w14:paraId="3B689EFE" w14:textId="77777777" w:rsidR="00A33379" w:rsidRPr="002E6C55" w:rsidRDefault="00A33379" w:rsidP="00A3337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E6C55">
        <w:rPr>
          <w:rFonts w:ascii="Palatino Linotype" w:eastAsia="Calibri" w:hAnsi="Palatino Linotype" w:cs="Arial"/>
        </w:rPr>
        <w:t xml:space="preserve">Así, con </w:t>
      </w:r>
      <w:r w:rsidRPr="002E6C55">
        <w:rPr>
          <w:rFonts w:ascii="Palatino Linotype" w:hAnsi="Palatino Linotype" w:cs="Arial"/>
        </w:rPr>
        <w:t>fundamento</w:t>
      </w:r>
      <w:r w:rsidRPr="002E6C55">
        <w:rPr>
          <w:rFonts w:ascii="Palatino Linotype" w:eastAsia="Calibri" w:hAnsi="Palatino Linotype" w:cs="Arial"/>
        </w:rPr>
        <w:t xml:space="preserve"> en lo prescrito en los artículos 5, </w:t>
      </w:r>
      <w:r w:rsidRPr="002E6C55">
        <w:rPr>
          <w:rFonts w:ascii="Palatino Linotype" w:hAnsi="Palatino Linotype"/>
        </w:rPr>
        <w:t>párrafos vigésimo segundo, vigésimo tercero y vigésimo cuarto</w:t>
      </w:r>
      <w:r w:rsidRPr="002E6C55">
        <w:rPr>
          <w:rFonts w:ascii="Palatino Linotype" w:hAnsi="Palatino Linotype" w:cs="Arial"/>
        </w:rPr>
        <w:t>,</w:t>
      </w:r>
      <w:r w:rsidRPr="002E6C55">
        <w:rPr>
          <w:rFonts w:ascii="Palatino Linotype" w:hAnsi="Palatino Linotype"/>
        </w:rPr>
        <w:t xml:space="preserve"> fracciones IV y V,</w:t>
      </w:r>
      <w:r w:rsidRPr="002E6C55">
        <w:rPr>
          <w:rFonts w:ascii="Palatino Linotype" w:eastAsia="Calibri" w:hAnsi="Palatino Linotype" w:cs="Arial"/>
        </w:rPr>
        <w:t xml:space="preserve"> de la Constitución Política del Estado Libre y Soberano de </w:t>
      </w:r>
      <w:r w:rsidRPr="002E6C55">
        <w:rPr>
          <w:rFonts w:ascii="Palatino Linotype" w:hAnsi="Palatino Linotype" w:cs="Arial"/>
          <w:lang w:val="es-ES_tradnl"/>
        </w:rPr>
        <w:t>México</w:t>
      </w:r>
      <w:r w:rsidRPr="002E6C55">
        <w:rPr>
          <w:rFonts w:ascii="Palatino Linotype" w:eastAsia="Calibri" w:hAnsi="Palatino Linotype" w:cs="Arial"/>
        </w:rPr>
        <w:t xml:space="preserve"> y los artículos </w:t>
      </w:r>
      <w:r w:rsidRPr="002E6C55">
        <w:rPr>
          <w:rFonts w:ascii="Palatino Linotype" w:hAnsi="Palatino Linotype"/>
        </w:rPr>
        <w:t xml:space="preserve">2, </w:t>
      </w:r>
      <w:r w:rsidRPr="002E6C55">
        <w:rPr>
          <w:rFonts w:ascii="Palatino Linotype" w:hAnsi="Palatino Linotype" w:cs="Arial"/>
        </w:rPr>
        <w:t>fracción</w:t>
      </w:r>
      <w:r w:rsidRPr="002E6C55">
        <w:rPr>
          <w:rFonts w:ascii="Palatino Linotype" w:hAnsi="Palatino Linotype"/>
        </w:rPr>
        <w:t xml:space="preserve"> II, 9, </w:t>
      </w:r>
      <w:r w:rsidRPr="002E6C55">
        <w:rPr>
          <w:rFonts w:ascii="Palatino Linotype" w:hAnsi="Palatino Linotype" w:cs="Arial"/>
          <w:lang w:val="es-ES_tradnl"/>
        </w:rPr>
        <w:t>29</w:t>
      </w:r>
      <w:r w:rsidRPr="002E6C55">
        <w:rPr>
          <w:rFonts w:ascii="Palatino Linotype" w:hAnsi="Palatino Linotype"/>
        </w:rPr>
        <w:t>, 36, fracciones I y II, 176, 178, 179, 181, 185, fracción I, 186, 188 y 192, fracción I</w:t>
      </w:r>
      <w:r w:rsidRPr="002E6C55">
        <w:rPr>
          <w:rFonts w:ascii="Palatino Linotype" w:eastAsia="Calibri" w:hAnsi="Palatino Linotype" w:cs="Arial"/>
        </w:rPr>
        <w:t xml:space="preserve"> de la Ley de Transparencia y Acceso a la Información Pública del Estado de México y </w:t>
      </w:r>
      <w:r w:rsidRPr="002E6C55">
        <w:rPr>
          <w:rFonts w:ascii="Palatino Linotype" w:hAnsi="Palatino Linotype" w:cs="Arial"/>
        </w:rPr>
        <w:t>Municipios</w:t>
      </w:r>
      <w:r w:rsidRPr="002E6C55">
        <w:rPr>
          <w:rFonts w:ascii="Palatino Linotype" w:eastAsia="Calibri" w:hAnsi="Palatino Linotype" w:cs="Arial"/>
        </w:rPr>
        <w:t xml:space="preserve">, </w:t>
      </w:r>
      <w:r w:rsidRPr="002E6C55">
        <w:rPr>
          <w:rFonts w:ascii="Palatino Linotype" w:hAnsi="Palatino Linotype"/>
        </w:rPr>
        <w:t>este</w:t>
      </w:r>
      <w:r w:rsidRPr="002E6C55">
        <w:rPr>
          <w:rFonts w:ascii="Palatino Linotype" w:eastAsia="Calibri" w:hAnsi="Palatino Linotype" w:cs="Arial"/>
        </w:rPr>
        <w:t xml:space="preserve"> Pleno:</w:t>
      </w:r>
    </w:p>
    <w:p w14:paraId="37A84CAB" w14:textId="77777777" w:rsidR="00A33379" w:rsidRPr="002E6C55" w:rsidRDefault="00A33379" w:rsidP="00A33379">
      <w:pPr>
        <w:spacing w:before="240" w:after="240" w:line="360" w:lineRule="auto"/>
        <w:jc w:val="center"/>
        <w:rPr>
          <w:rFonts w:ascii="Palatino Linotype" w:hAnsi="Palatino Linotype"/>
          <w:b/>
          <w:sz w:val="28"/>
        </w:rPr>
      </w:pPr>
      <w:r w:rsidRPr="002E6C55">
        <w:rPr>
          <w:rFonts w:ascii="Palatino Linotype" w:hAnsi="Palatino Linotype"/>
          <w:b/>
          <w:sz w:val="28"/>
        </w:rPr>
        <w:t>R E S U E L V E</w:t>
      </w:r>
    </w:p>
    <w:p w14:paraId="4E920028" w14:textId="77777777" w:rsidR="00A33379" w:rsidRPr="002E6C55" w:rsidRDefault="00A33379" w:rsidP="00A33379">
      <w:pPr>
        <w:spacing w:line="360" w:lineRule="auto"/>
        <w:jc w:val="both"/>
        <w:rPr>
          <w:rFonts w:ascii="Palatino Linotype" w:hAnsi="Palatino Linotype" w:cs="Arial"/>
          <w:b/>
          <w:color w:val="000000" w:themeColor="text1"/>
          <w:sz w:val="14"/>
        </w:rPr>
      </w:pPr>
      <w:r w:rsidRPr="002E6C55">
        <w:rPr>
          <w:rFonts w:ascii="Palatino Linotype" w:hAnsi="Palatino Linotype" w:cs="Arial"/>
          <w:b/>
          <w:color w:val="000000" w:themeColor="text1"/>
          <w:sz w:val="28"/>
        </w:rPr>
        <w:t xml:space="preserve">PRIMERO. </w:t>
      </w:r>
      <w:r w:rsidRPr="002E6C55">
        <w:rPr>
          <w:rFonts w:ascii="Palatino Linotype" w:hAnsi="Palatino Linotype" w:cs="Arial"/>
        </w:rPr>
        <w:t xml:space="preserve">Se </w:t>
      </w:r>
      <w:r w:rsidRPr="002E6C55">
        <w:rPr>
          <w:rFonts w:ascii="Palatino Linotype" w:hAnsi="Palatino Linotype" w:cs="Arial"/>
          <w:b/>
        </w:rPr>
        <w:t>SOBRESEE</w:t>
      </w:r>
      <w:r w:rsidRPr="002E6C55">
        <w:rPr>
          <w:rFonts w:ascii="Palatino Linotype" w:hAnsi="Palatino Linotype" w:cs="Arial"/>
        </w:rPr>
        <w:t xml:space="preserve"> el recurso de revisión número 0</w:t>
      </w:r>
      <w:r w:rsidR="007D00AB" w:rsidRPr="002E6C55">
        <w:rPr>
          <w:rFonts w:ascii="Palatino Linotype" w:hAnsi="Palatino Linotype" w:cs="Arial"/>
        </w:rPr>
        <w:t>4097</w:t>
      </w:r>
      <w:r w:rsidRPr="002E6C55">
        <w:rPr>
          <w:rFonts w:ascii="Palatino Linotype" w:hAnsi="Palatino Linotype" w:cs="Arial"/>
        </w:rPr>
        <w:t xml:space="preserve">/INFOEM/IP/RR/2020, </w:t>
      </w:r>
      <w:r w:rsidRPr="002E6C55">
        <w:rPr>
          <w:rFonts w:ascii="Palatino Linotype" w:hAnsi="Palatino Linotype" w:cs="Arial"/>
          <w:b/>
        </w:rPr>
        <w:t>porque al modificar la respuesta el recurso de revisión quedó sin materia</w:t>
      </w:r>
      <w:r w:rsidRPr="002E6C55">
        <w:rPr>
          <w:rFonts w:ascii="Palatino Linotype" w:hAnsi="Palatino Linotype" w:cs="Arial"/>
        </w:rPr>
        <w:t xml:space="preserve"> en términos del Considerando </w:t>
      </w:r>
      <w:r w:rsidRPr="002E6C55">
        <w:rPr>
          <w:rFonts w:ascii="Palatino Linotype" w:hAnsi="Palatino Linotype" w:cs="Arial"/>
          <w:b/>
        </w:rPr>
        <w:t>QUINTO</w:t>
      </w:r>
      <w:r w:rsidRPr="002E6C55">
        <w:rPr>
          <w:rFonts w:ascii="Palatino Linotype" w:hAnsi="Palatino Linotype" w:cs="Arial"/>
        </w:rPr>
        <w:t xml:space="preserve"> de la presente resolución.</w:t>
      </w:r>
    </w:p>
    <w:p w14:paraId="521CD5AC" w14:textId="77777777" w:rsidR="00A33379" w:rsidRPr="002E6C55" w:rsidRDefault="00A33379" w:rsidP="00A33379">
      <w:pPr>
        <w:widowControl w:val="0"/>
        <w:tabs>
          <w:tab w:val="left" w:pos="1701"/>
        </w:tabs>
        <w:autoSpaceDE w:val="0"/>
        <w:autoSpaceDN w:val="0"/>
        <w:adjustRightInd w:val="0"/>
        <w:spacing w:before="120" w:after="120" w:line="360" w:lineRule="auto"/>
        <w:jc w:val="both"/>
        <w:rPr>
          <w:rFonts w:ascii="Palatino Linotype" w:hAnsi="Palatino Linotype"/>
          <w:b/>
        </w:rPr>
      </w:pPr>
      <w:r w:rsidRPr="002E6C55">
        <w:rPr>
          <w:rFonts w:ascii="Palatino Linotype" w:hAnsi="Palatino Linotype" w:cs="Arial"/>
          <w:b/>
          <w:color w:val="000000" w:themeColor="text1"/>
          <w:sz w:val="28"/>
        </w:rPr>
        <w:t>SEGUNDO</w:t>
      </w:r>
      <w:r w:rsidRPr="002E6C55">
        <w:rPr>
          <w:rFonts w:ascii="Palatino Linotype" w:hAnsi="Palatino Linotype" w:cs="Arial"/>
          <w:color w:val="000000" w:themeColor="text1"/>
          <w:sz w:val="28"/>
        </w:rPr>
        <w:t>.</w:t>
      </w:r>
      <w:r w:rsidRPr="002E6C55">
        <w:rPr>
          <w:rFonts w:ascii="Palatino Linotype" w:eastAsia="Calibri" w:hAnsi="Palatino Linotype" w:cs="Arial"/>
          <w:bCs/>
        </w:rPr>
        <w:t xml:space="preserve"> </w:t>
      </w:r>
      <w:r w:rsidRPr="002E6C55">
        <w:rPr>
          <w:rFonts w:ascii="Palatino Linotype" w:hAnsi="Palatino Linotype"/>
          <w:b/>
        </w:rPr>
        <w:t>Notifíquese</w:t>
      </w:r>
      <w:r w:rsidRPr="002E6C55">
        <w:rPr>
          <w:rFonts w:ascii="Palatino Linotype" w:hAnsi="Palatino Linotype"/>
        </w:rPr>
        <w:t xml:space="preserve"> la presente resolución al Titular de la Unidad de Transparencia del </w:t>
      </w:r>
      <w:r w:rsidRPr="002E6C55">
        <w:rPr>
          <w:rFonts w:ascii="Palatino Linotype" w:hAnsi="Palatino Linotype"/>
          <w:b/>
        </w:rPr>
        <w:t>SUJETO OBLIGADO</w:t>
      </w:r>
      <w:r w:rsidRPr="002E6C55">
        <w:rPr>
          <w:rFonts w:ascii="Palatino Linotype" w:hAnsi="Palatino Linotype"/>
        </w:rPr>
        <w:t xml:space="preserve"> para su conocimiento.</w:t>
      </w:r>
    </w:p>
    <w:p w14:paraId="373E0AD7" w14:textId="77777777" w:rsidR="00A33379" w:rsidRPr="002E6C55" w:rsidRDefault="00A33379" w:rsidP="00A33379">
      <w:pPr>
        <w:spacing w:before="240" w:after="240" w:line="360" w:lineRule="auto"/>
        <w:jc w:val="both"/>
        <w:rPr>
          <w:color w:val="222222"/>
          <w:lang w:eastAsia="es-MX"/>
        </w:rPr>
      </w:pPr>
      <w:r w:rsidRPr="002E6C55">
        <w:rPr>
          <w:rFonts w:ascii="Palatino Linotype" w:hAnsi="Palatino Linotype" w:cs="Arial"/>
          <w:b/>
          <w:color w:val="000000" w:themeColor="text1"/>
          <w:sz w:val="28"/>
          <w:szCs w:val="28"/>
        </w:rPr>
        <w:t xml:space="preserve">TERCERO. </w:t>
      </w:r>
      <w:r w:rsidRPr="002E6C55">
        <w:rPr>
          <w:rFonts w:ascii="Palatino Linotype" w:eastAsiaTheme="minorEastAsia" w:hAnsi="Palatino Linotype"/>
          <w:b/>
          <w:color w:val="222222"/>
          <w:szCs w:val="17"/>
          <w:lang w:eastAsia="es-ES_tradnl"/>
        </w:rPr>
        <w:t>Notifíquese</w:t>
      </w:r>
      <w:r w:rsidRPr="002E6C55">
        <w:rPr>
          <w:rFonts w:ascii="Palatino Linotype" w:eastAsiaTheme="minorEastAsia" w:hAnsi="Palatino Linotype"/>
          <w:color w:val="222222"/>
          <w:szCs w:val="17"/>
          <w:lang w:eastAsia="es-ES_tradnl"/>
        </w:rPr>
        <w:t xml:space="preserve"> a</w:t>
      </w:r>
      <w:r w:rsidR="007D00AB" w:rsidRPr="002E6C55">
        <w:rPr>
          <w:rFonts w:ascii="Palatino Linotype" w:eastAsiaTheme="minorEastAsia" w:hAnsi="Palatino Linotype"/>
          <w:color w:val="222222"/>
          <w:szCs w:val="17"/>
          <w:lang w:eastAsia="es-ES_tradnl"/>
        </w:rPr>
        <w:t xml:space="preserve">l </w:t>
      </w:r>
      <w:r w:rsidRPr="002E6C55">
        <w:rPr>
          <w:rFonts w:ascii="Palatino Linotype" w:eastAsiaTheme="minorEastAsia" w:hAnsi="Palatino Linotype"/>
          <w:b/>
          <w:color w:val="222222"/>
          <w:szCs w:val="17"/>
          <w:lang w:eastAsia="es-ES_tradnl"/>
        </w:rPr>
        <w:t>RECURRENTE</w:t>
      </w:r>
      <w:r w:rsidRPr="002E6C55">
        <w:rPr>
          <w:rFonts w:ascii="Palatino Linotype" w:eastAsiaTheme="minorEastAsia" w:hAnsi="Palatino Linotype"/>
          <w:color w:val="222222"/>
          <w:szCs w:val="17"/>
          <w:lang w:eastAsia="es-ES_tradnl"/>
        </w:rPr>
        <w:t xml:space="preserve"> la presente resolución.</w:t>
      </w:r>
    </w:p>
    <w:p w14:paraId="6232AE66" w14:textId="77777777" w:rsidR="00A33379" w:rsidRPr="002E6C55" w:rsidRDefault="00A33379" w:rsidP="00A3337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E6C55">
        <w:rPr>
          <w:rFonts w:ascii="Palatino Linotype" w:hAnsi="Palatino Linotype" w:cs="Arial"/>
          <w:b/>
          <w:color w:val="000000" w:themeColor="text1"/>
          <w:sz w:val="28"/>
          <w:szCs w:val="28"/>
        </w:rPr>
        <w:t xml:space="preserve">CUARTO. </w:t>
      </w:r>
      <w:r w:rsidRPr="002E6C55">
        <w:rPr>
          <w:rFonts w:ascii="Palatino Linotype" w:eastAsiaTheme="minorEastAsia" w:hAnsi="Palatino Linotype"/>
          <w:b/>
          <w:color w:val="222222"/>
          <w:szCs w:val="17"/>
          <w:lang w:eastAsia="es-ES_tradnl"/>
        </w:rPr>
        <w:t>Hágase del conocimiento</w:t>
      </w:r>
      <w:r w:rsidRPr="002E6C55">
        <w:rPr>
          <w:rFonts w:ascii="Palatino Linotype" w:eastAsiaTheme="minorEastAsia" w:hAnsi="Palatino Linotype"/>
          <w:color w:val="222222"/>
          <w:szCs w:val="17"/>
          <w:lang w:eastAsia="es-ES_tradnl"/>
        </w:rPr>
        <w:t xml:space="preserve"> a</w:t>
      </w:r>
      <w:r w:rsidR="007D00AB" w:rsidRPr="002E6C55">
        <w:rPr>
          <w:rFonts w:ascii="Palatino Linotype" w:eastAsiaTheme="minorEastAsia" w:hAnsi="Palatino Linotype"/>
          <w:color w:val="222222"/>
          <w:szCs w:val="17"/>
          <w:lang w:eastAsia="es-ES_tradnl"/>
        </w:rPr>
        <w:t xml:space="preserve">l </w:t>
      </w:r>
      <w:r w:rsidRPr="002E6C55">
        <w:rPr>
          <w:rFonts w:ascii="Palatino Linotype" w:eastAsiaTheme="minorEastAsia" w:hAnsi="Palatino Linotype"/>
          <w:b/>
          <w:color w:val="222222"/>
          <w:szCs w:val="17"/>
          <w:lang w:eastAsia="es-ES_tradnl"/>
        </w:rPr>
        <w:t>RECURRENTE</w:t>
      </w:r>
      <w:r w:rsidRPr="002E6C5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w:t>
      </w:r>
      <w:r w:rsidRPr="002E6C55">
        <w:rPr>
          <w:rFonts w:ascii="Palatino Linotype" w:eastAsiaTheme="minorEastAsia" w:hAnsi="Palatino Linotype"/>
          <w:color w:val="222222"/>
          <w:szCs w:val="17"/>
          <w:lang w:eastAsia="es-ES_tradnl"/>
        </w:rPr>
        <w:lastRenderedPageBreak/>
        <w:t>en los términos de las leyes aplicables.</w:t>
      </w:r>
    </w:p>
    <w:p w14:paraId="4D596628" w14:textId="77777777" w:rsidR="00A33379" w:rsidRPr="002E6C55" w:rsidRDefault="00A33379" w:rsidP="00A33379">
      <w:pPr>
        <w:spacing w:before="240" w:after="240" w:line="360" w:lineRule="auto"/>
        <w:ind w:right="49"/>
        <w:jc w:val="both"/>
        <w:rPr>
          <w:rFonts w:ascii="Palatino Linotype" w:hAnsi="Palatino Linotype" w:cs="Arial"/>
          <w:color w:val="000000" w:themeColor="text1"/>
        </w:rPr>
      </w:pPr>
      <w:r w:rsidRPr="002E6C55">
        <w:rPr>
          <w:rFonts w:ascii="Palatino Linotype" w:hAnsi="Palatino Linotype" w:cs="Arial"/>
          <w:color w:val="000000" w:themeColor="text1"/>
        </w:rPr>
        <w:t xml:space="preserve">ASÍ LO RESUELVE, POR </w:t>
      </w:r>
      <w:r w:rsidR="002E6C55">
        <w:rPr>
          <w:rFonts w:ascii="Palatino Linotype" w:hAnsi="Palatino Linotype" w:cs="Arial"/>
          <w:color w:val="000000" w:themeColor="text1"/>
        </w:rPr>
        <w:t xml:space="preserve">UNANIMIDAD </w:t>
      </w:r>
      <w:r w:rsidRPr="002E6C55">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2E6C55">
        <w:rPr>
          <w:rFonts w:ascii="Palatino Linotype" w:hAnsi="Palatino Linotype"/>
          <w:color w:val="000000" w:themeColor="text1"/>
          <w:lang w:val="es-ES_tradnl"/>
        </w:rPr>
        <w:t xml:space="preserve">JOSÉ GUADALUPE LUNA HERNÁNDEZ, </w:t>
      </w:r>
      <w:r w:rsidRPr="002E6C55">
        <w:rPr>
          <w:rFonts w:ascii="Palatino Linotype" w:hAnsi="Palatino Linotype" w:cs="Arial"/>
          <w:color w:val="000000" w:themeColor="text1"/>
        </w:rPr>
        <w:t>JAVIER MARTÍNEZ CRUZ</w:t>
      </w:r>
      <w:r w:rsidR="002E6C55">
        <w:rPr>
          <w:rFonts w:ascii="Palatino Linotype" w:hAnsi="Palatino Linotype" w:cs="Arial"/>
          <w:color w:val="000000" w:themeColor="text1"/>
        </w:rPr>
        <w:t xml:space="preserve"> Y</w:t>
      </w:r>
      <w:r w:rsidRPr="002E6C55">
        <w:rPr>
          <w:rFonts w:ascii="Palatino Linotype" w:hAnsi="Palatino Linotype" w:cs="Arial"/>
          <w:color w:val="000000" w:themeColor="text1"/>
        </w:rPr>
        <w:t xml:space="preserve"> LUIS GUSTAVO PARRA NORIEGA; EN LA VIGÉSIMA CUARTA SESIÓN ORDINARIA CELEBRADA EL VEINTI</w:t>
      </w:r>
      <w:bookmarkStart w:id="0" w:name="_GoBack"/>
      <w:bookmarkEnd w:id="0"/>
      <w:r w:rsidRPr="002E6C55">
        <w:rPr>
          <w:rFonts w:ascii="Palatino Linotype" w:hAnsi="Palatino Linotype" w:cs="Arial"/>
          <w:color w:val="000000" w:themeColor="text1"/>
        </w:rPr>
        <w:t>OCHO DE OCTUBRE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33379" w:rsidRPr="002E6C55" w14:paraId="12428362" w14:textId="77777777" w:rsidTr="006778A5">
        <w:trPr>
          <w:jc w:val="center"/>
        </w:trPr>
        <w:tc>
          <w:tcPr>
            <w:tcW w:w="10368" w:type="dxa"/>
            <w:gridSpan w:val="2"/>
          </w:tcPr>
          <w:p w14:paraId="79B0E3F8" w14:textId="77777777" w:rsidR="007D00AB" w:rsidRPr="002E6C55" w:rsidRDefault="007D00AB" w:rsidP="006778A5">
            <w:pPr>
              <w:jc w:val="center"/>
              <w:rPr>
                <w:rFonts w:ascii="Palatino Linotype" w:hAnsi="Palatino Linotype" w:cs="Arial"/>
                <w:b/>
                <w:lang w:val="es-ES_tradnl"/>
              </w:rPr>
            </w:pPr>
          </w:p>
          <w:p w14:paraId="1226A053" w14:textId="77777777" w:rsidR="00A33379" w:rsidRPr="002E6C55" w:rsidRDefault="00A33379" w:rsidP="006778A5">
            <w:pPr>
              <w:jc w:val="center"/>
              <w:rPr>
                <w:rFonts w:ascii="Palatino Linotype" w:hAnsi="Palatino Linotype" w:cs="Arial"/>
                <w:b/>
                <w:lang w:val="es-ES_tradnl"/>
              </w:rPr>
            </w:pPr>
            <w:r w:rsidRPr="002E6C55">
              <w:rPr>
                <w:rFonts w:ascii="Palatino Linotype" w:hAnsi="Palatino Linotype" w:cs="Arial"/>
                <w:b/>
                <w:lang w:val="es-ES_tradnl"/>
              </w:rPr>
              <w:t>Zulema Martínez Sánchez</w:t>
            </w:r>
          </w:p>
          <w:p w14:paraId="6EE1541C" w14:textId="77777777" w:rsidR="00A33379" w:rsidRPr="002E6C55" w:rsidRDefault="00A33379" w:rsidP="006778A5">
            <w:pPr>
              <w:jc w:val="center"/>
              <w:rPr>
                <w:rFonts w:ascii="Palatino Linotype" w:hAnsi="Palatino Linotype" w:cs="Arial"/>
                <w:b/>
                <w:lang w:val="es-ES_tradnl"/>
              </w:rPr>
            </w:pPr>
            <w:r w:rsidRPr="002E6C55">
              <w:rPr>
                <w:rFonts w:ascii="Palatino Linotype" w:hAnsi="Palatino Linotype" w:cs="Arial"/>
                <w:lang w:val="es-ES_tradnl"/>
              </w:rPr>
              <w:t>Comisionada Presidenta</w:t>
            </w:r>
          </w:p>
          <w:p w14:paraId="5564ACB5" w14:textId="77777777" w:rsidR="00A33379" w:rsidRPr="002E6C55" w:rsidRDefault="00A33379" w:rsidP="006778A5">
            <w:pPr>
              <w:jc w:val="center"/>
              <w:rPr>
                <w:rFonts w:ascii="Palatino Linotype" w:hAnsi="Palatino Linotype" w:cs="Arial"/>
                <w:b/>
                <w:lang w:val="es-ES_tradnl"/>
              </w:rPr>
            </w:pPr>
            <w:r w:rsidRPr="00F95DEF">
              <w:rPr>
                <w:rFonts w:ascii="Palatino Linotype" w:hAnsi="Palatino Linotype" w:cs="Arial"/>
                <w:b/>
                <w:color w:val="FFFFFF" w:themeColor="background1"/>
                <w:lang w:val="es-ES_tradnl"/>
              </w:rPr>
              <w:t xml:space="preserve">(RÚBRICA) </w:t>
            </w:r>
          </w:p>
        </w:tc>
      </w:tr>
      <w:tr w:rsidR="00A33379" w:rsidRPr="002E6C55" w14:paraId="72F204B9" w14:textId="77777777" w:rsidTr="006778A5">
        <w:trPr>
          <w:jc w:val="center"/>
        </w:trPr>
        <w:tc>
          <w:tcPr>
            <w:tcW w:w="5184" w:type="dxa"/>
          </w:tcPr>
          <w:p w14:paraId="1CB70219" w14:textId="77777777" w:rsidR="00A33379" w:rsidRPr="002E6C55" w:rsidRDefault="00A33379" w:rsidP="006778A5">
            <w:pPr>
              <w:jc w:val="center"/>
              <w:rPr>
                <w:rFonts w:ascii="Palatino Linotype" w:hAnsi="Palatino Linotype" w:cs="Arial"/>
                <w:b/>
                <w:lang w:val="es-ES_tradnl"/>
              </w:rPr>
            </w:pPr>
            <w:r w:rsidRPr="002E6C55">
              <w:rPr>
                <w:rFonts w:ascii="Palatino Linotype" w:hAnsi="Palatino Linotype" w:cs="Arial"/>
                <w:b/>
                <w:lang w:val="es-ES_tradnl"/>
              </w:rPr>
              <w:t>Eva Abaid Yapur</w:t>
            </w:r>
          </w:p>
          <w:p w14:paraId="33D8351A" w14:textId="77777777" w:rsidR="00A33379" w:rsidRPr="002E6C55" w:rsidRDefault="00A33379" w:rsidP="006778A5">
            <w:pPr>
              <w:jc w:val="center"/>
              <w:rPr>
                <w:rFonts w:ascii="Palatino Linotype" w:hAnsi="Palatino Linotype" w:cs="Arial"/>
                <w:lang w:val="es-ES_tradnl"/>
              </w:rPr>
            </w:pPr>
            <w:r w:rsidRPr="002E6C55">
              <w:rPr>
                <w:rFonts w:ascii="Palatino Linotype" w:hAnsi="Palatino Linotype" w:cs="Arial"/>
                <w:lang w:val="es-ES_tradnl"/>
              </w:rPr>
              <w:t>Comisionada</w:t>
            </w:r>
          </w:p>
          <w:p w14:paraId="0879ECE2" w14:textId="77777777" w:rsidR="00A33379" w:rsidRPr="002E6C55" w:rsidRDefault="00A33379" w:rsidP="006778A5">
            <w:pPr>
              <w:jc w:val="center"/>
              <w:rPr>
                <w:rFonts w:ascii="Palatino Linotype" w:hAnsi="Palatino Linotype" w:cs="Arial"/>
                <w:b/>
                <w:lang w:val="es-ES_tradnl"/>
              </w:rPr>
            </w:pPr>
            <w:r w:rsidRPr="00F95DEF">
              <w:rPr>
                <w:rFonts w:ascii="Palatino Linotype" w:hAnsi="Palatino Linotype" w:cs="Arial"/>
                <w:b/>
                <w:color w:val="FFFFFF" w:themeColor="background1"/>
                <w:lang w:val="es-ES_tradnl"/>
              </w:rPr>
              <w:t>(RÚBRICA)</w:t>
            </w:r>
          </w:p>
        </w:tc>
        <w:tc>
          <w:tcPr>
            <w:tcW w:w="5184" w:type="dxa"/>
          </w:tcPr>
          <w:p w14:paraId="488143B0" w14:textId="77777777" w:rsidR="00A33379" w:rsidRPr="002E6C55" w:rsidRDefault="00A33379" w:rsidP="006778A5">
            <w:pPr>
              <w:jc w:val="center"/>
              <w:rPr>
                <w:rFonts w:ascii="Palatino Linotype" w:hAnsi="Palatino Linotype" w:cs="Arial"/>
                <w:b/>
                <w:lang w:val="es-ES_tradnl"/>
              </w:rPr>
            </w:pPr>
            <w:r w:rsidRPr="002E6C55">
              <w:rPr>
                <w:rFonts w:ascii="Palatino Linotype" w:hAnsi="Palatino Linotype" w:cs="Arial"/>
                <w:b/>
                <w:lang w:val="es-ES_tradnl"/>
              </w:rPr>
              <w:t>José Guadalupe Luna Hernández</w:t>
            </w:r>
          </w:p>
          <w:p w14:paraId="220E8983" w14:textId="77777777" w:rsidR="00A33379" w:rsidRPr="002E6C55" w:rsidRDefault="00A33379" w:rsidP="006778A5">
            <w:pPr>
              <w:jc w:val="center"/>
              <w:rPr>
                <w:rFonts w:ascii="Palatino Linotype" w:hAnsi="Palatino Linotype" w:cs="Arial"/>
                <w:lang w:val="es-ES_tradnl"/>
              </w:rPr>
            </w:pPr>
            <w:r w:rsidRPr="002E6C55">
              <w:rPr>
                <w:rFonts w:ascii="Palatino Linotype" w:hAnsi="Palatino Linotype" w:cs="Arial"/>
                <w:lang w:val="es-ES_tradnl"/>
              </w:rPr>
              <w:t>Comisionado</w:t>
            </w:r>
          </w:p>
          <w:p w14:paraId="22BE2083" w14:textId="77777777" w:rsidR="00A33379" w:rsidRPr="002E6C55" w:rsidRDefault="00A33379" w:rsidP="006778A5">
            <w:pPr>
              <w:jc w:val="center"/>
              <w:rPr>
                <w:rFonts w:ascii="Palatino Linotype" w:hAnsi="Palatino Linotype" w:cs="Arial"/>
                <w:b/>
                <w:lang w:val="es-ES_tradnl"/>
              </w:rPr>
            </w:pPr>
            <w:r w:rsidRPr="00F95DEF">
              <w:rPr>
                <w:rFonts w:ascii="Palatino Linotype" w:hAnsi="Palatino Linotype" w:cs="Arial"/>
                <w:b/>
                <w:color w:val="FFFFFF" w:themeColor="background1"/>
                <w:lang w:val="es-ES_tradnl"/>
              </w:rPr>
              <w:t>(RÚBRICA)</w:t>
            </w:r>
          </w:p>
        </w:tc>
      </w:tr>
      <w:tr w:rsidR="00A33379" w:rsidRPr="002E6C55" w14:paraId="4070989F" w14:textId="77777777" w:rsidTr="006778A5">
        <w:trPr>
          <w:jc w:val="center"/>
        </w:trPr>
        <w:tc>
          <w:tcPr>
            <w:tcW w:w="5184" w:type="dxa"/>
          </w:tcPr>
          <w:p w14:paraId="49AC23D1" w14:textId="77777777" w:rsidR="00A33379" w:rsidRPr="002E6C55" w:rsidRDefault="00A33379" w:rsidP="006778A5">
            <w:pPr>
              <w:jc w:val="center"/>
              <w:rPr>
                <w:rFonts w:ascii="Palatino Linotype" w:hAnsi="Palatino Linotype" w:cs="Arial"/>
                <w:b/>
                <w:lang w:val="es-ES_tradnl"/>
              </w:rPr>
            </w:pPr>
          </w:p>
          <w:p w14:paraId="6BE6F771" w14:textId="77777777" w:rsidR="00A33379" w:rsidRPr="002E6C55" w:rsidRDefault="00A33379" w:rsidP="006778A5">
            <w:pPr>
              <w:jc w:val="center"/>
              <w:rPr>
                <w:rFonts w:ascii="Palatino Linotype" w:hAnsi="Palatino Linotype" w:cs="Arial"/>
                <w:b/>
                <w:lang w:val="es-ES_tradnl"/>
              </w:rPr>
            </w:pPr>
          </w:p>
          <w:p w14:paraId="16AFA72F" w14:textId="77777777" w:rsidR="00A33379" w:rsidRPr="002E6C55" w:rsidRDefault="00A33379" w:rsidP="006778A5">
            <w:pPr>
              <w:jc w:val="center"/>
              <w:rPr>
                <w:rFonts w:ascii="Palatino Linotype" w:hAnsi="Palatino Linotype" w:cs="Arial"/>
                <w:b/>
                <w:lang w:val="es-ES_tradnl"/>
              </w:rPr>
            </w:pPr>
            <w:r w:rsidRPr="002E6C55">
              <w:rPr>
                <w:rFonts w:ascii="Palatino Linotype" w:hAnsi="Palatino Linotype" w:cs="Arial"/>
                <w:b/>
                <w:lang w:val="es-ES_tradnl"/>
              </w:rPr>
              <w:t>Javier Martínez Cruz</w:t>
            </w:r>
          </w:p>
          <w:p w14:paraId="6BAD76BC" w14:textId="77777777" w:rsidR="00A33379" w:rsidRPr="002E6C55" w:rsidRDefault="00A33379" w:rsidP="006778A5">
            <w:pPr>
              <w:jc w:val="center"/>
              <w:rPr>
                <w:rFonts w:ascii="Palatino Linotype" w:hAnsi="Palatino Linotype" w:cs="Arial"/>
                <w:lang w:val="es-ES_tradnl"/>
              </w:rPr>
            </w:pPr>
            <w:r w:rsidRPr="002E6C55">
              <w:rPr>
                <w:rFonts w:ascii="Palatino Linotype" w:hAnsi="Palatino Linotype" w:cs="Arial"/>
                <w:lang w:val="es-ES_tradnl"/>
              </w:rPr>
              <w:t>Comisionado</w:t>
            </w:r>
          </w:p>
          <w:p w14:paraId="78B10121" w14:textId="77777777" w:rsidR="00A33379" w:rsidRPr="002E6C55" w:rsidRDefault="00A33379" w:rsidP="006778A5">
            <w:pPr>
              <w:jc w:val="center"/>
              <w:rPr>
                <w:rFonts w:ascii="Palatino Linotype" w:hAnsi="Palatino Linotype" w:cs="Arial"/>
                <w:b/>
                <w:lang w:val="es-ES_tradnl"/>
              </w:rPr>
            </w:pPr>
            <w:r w:rsidRPr="00F95DEF">
              <w:rPr>
                <w:rFonts w:ascii="Palatino Linotype" w:hAnsi="Palatino Linotype" w:cs="Arial"/>
                <w:b/>
                <w:color w:val="FFFFFF" w:themeColor="background1"/>
                <w:lang w:val="es-ES_tradnl"/>
              </w:rPr>
              <w:t>(RÚBRICA)</w:t>
            </w:r>
          </w:p>
        </w:tc>
        <w:tc>
          <w:tcPr>
            <w:tcW w:w="5184" w:type="dxa"/>
          </w:tcPr>
          <w:p w14:paraId="3985527D" w14:textId="77777777" w:rsidR="00A33379" w:rsidRPr="002E6C55" w:rsidRDefault="00A33379" w:rsidP="006778A5">
            <w:pPr>
              <w:jc w:val="center"/>
              <w:rPr>
                <w:rFonts w:ascii="Palatino Linotype" w:hAnsi="Palatino Linotype" w:cs="Arial"/>
                <w:b/>
                <w:lang w:val="es-ES_tradnl"/>
              </w:rPr>
            </w:pPr>
          </w:p>
          <w:p w14:paraId="4ABA56DB" w14:textId="77777777" w:rsidR="00A33379" w:rsidRPr="002E6C55" w:rsidRDefault="00A33379" w:rsidP="006778A5">
            <w:pPr>
              <w:jc w:val="center"/>
              <w:rPr>
                <w:rFonts w:ascii="Palatino Linotype" w:hAnsi="Palatino Linotype" w:cs="Arial"/>
                <w:b/>
                <w:lang w:val="es-ES_tradnl"/>
              </w:rPr>
            </w:pPr>
          </w:p>
          <w:p w14:paraId="69A2FA67" w14:textId="77777777" w:rsidR="00A33379" w:rsidRPr="002E6C55" w:rsidRDefault="00A33379" w:rsidP="006778A5">
            <w:pPr>
              <w:jc w:val="center"/>
              <w:rPr>
                <w:rFonts w:ascii="Palatino Linotype" w:hAnsi="Palatino Linotype" w:cs="Arial"/>
                <w:b/>
                <w:lang w:val="es-ES_tradnl"/>
              </w:rPr>
            </w:pPr>
            <w:r w:rsidRPr="002E6C55">
              <w:rPr>
                <w:rFonts w:ascii="Palatino Linotype" w:hAnsi="Palatino Linotype" w:cs="Arial"/>
                <w:b/>
                <w:lang w:val="es-ES_tradnl"/>
              </w:rPr>
              <w:t>Luis Gustavo Parra Noriega</w:t>
            </w:r>
          </w:p>
          <w:p w14:paraId="2C6D425F" w14:textId="77777777" w:rsidR="00A33379" w:rsidRPr="002E6C55" w:rsidRDefault="00A33379" w:rsidP="006778A5">
            <w:pPr>
              <w:jc w:val="center"/>
              <w:rPr>
                <w:rFonts w:ascii="Palatino Linotype" w:hAnsi="Palatino Linotype" w:cs="Arial"/>
                <w:lang w:val="es-ES_tradnl"/>
              </w:rPr>
            </w:pPr>
            <w:r w:rsidRPr="002E6C55">
              <w:rPr>
                <w:rFonts w:ascii="Palatino Linotype" w:hAnsi="Palatino Linotype" w:cs="Arial"/>
                <w:lang w:val="es-ES_tradnl"/>
              </w:rPr>
              <w:t>Comisionado</w:t>
            </w:r>
          </w:p>
          <w:p w14:paraId="76980123" w14:textId="77777777" w:rsidR="00A33379" w:rsidRPr="002E6C55" w:rsidRDefault="00A33379" w:rsidP="006778A5">
            <w:pPr>
              <w:jc w:val="center"/>
              <w:rPr>
                <w:rFonts w:ascii="Palatino Linotype" w:hAnsi="Palatino Linotype" w:cs="Arial"/>
                <w:b/>
                <w:lang w:val="es-ES_tradnl"/>
              </w:rPr>
            </w:pPr>
            <w:r w:rsidRPr="00F95DEF">
              <w:rPr>
                <w:rFonts w:ascii="Palatino Linotype" w:hAnsi="Palatino Linotype" w:cs="Arial"/>
                <w:b/>
                <w:color w:val="FFFFFF" w:themeColor="background1"/>
                <w:lang w:val="es-ES_tradnl"/>
              </w:rPr>
              <w:t>(RÚBRICA)</w:t>
            </w:r>
          </w:p>
        </w:tc>
      </w:tr>
      <w:tr w:rsidR="00A33379" w:rsidRPr="002E6C55" w14:paraId="71E4390C" w14:textId="77777777" w:rsidTr="006778A5">
        <w:trPr>
          <w:jc w:val="center"/>
        </w:trPr>
        <w:tc>
          <w:tcPr>
            <w:tcW w:w="10368" w:type="dxa"/>
            <w:gridSpan w:val="2"/>
          </w:tcPr>
          <w:p w14:paraId="3A9BDDCF" w14:textId="77777777" w:rsidR="00A33379" w:rsidRPr="002E6C55" w:rsidRDefault="00A33379" w:rsidP="006778A5">
            <w:pPr>
              <w:jc w:val="center"/>
              <w:rPr>
                <w:rFonts w:ascii="Palatino Linotype" w:hAnsi="Palatino Linotype" w:cs="Arial"/>
                <w:b/>
                <w:lang w:val="es-ES_tradnl"/>
              </w:rPr>
            </w:pPr>
          </w:p>
          <w:p w14:paraId="08992412" w14:textId="77777777" w:rsidR="00A33379" w:rsidRPr="002E6C55" w:rsidRDefault="00A33379" w:rsidP="006778A5">
            <w:pPr>
              <w:jc w:val="center"/>
              <w:rPr>
                <w:rFonts w:ascii="Palatino Linotype" w:hAnsi="Palatino Linotype" w:cs="Arial"/>
                <w:b/>
                <w:lang w:val="es-ES_tradnl"/>
              </w:rPr>
            </w:pPr>
            <w:r w:rsidRPr="002E6C55">
              <w:rPr>
                <w:rFonts w:ascii="Palatino Linotype" w:hAnsi="Palatino Linotype" w:cs="Arial"/>
                <w:b/>
                <w:lang w:val="es-ES_tradnl"/>
              </w:rPr>
              <w:t>Alexis Tapia Ramírez</w:t>
            </w:r>
          </w:p>
          <w:p w14:paraId="76098028" w14:textId="77777777" w:rsidR="00A33379" w:rsidRPr="002E6C55" w:rsidRDefault="00A33379" w:rsidP="006778A5">
            <w:pPr>
              <w:jc w:val="center"/>
              <w:rPr>
                <w:rFonts w:ascii="Palatino Linotype" w:hAnsi="Palatino Linotype" w:cs="Arial"/>
                <w:lang w:val="es-ES_tradnl"/>
              </w:rPr>
            </w:pPr>
            <w:r w:rsidRPr="002E6C55">
              <w:rPr>
                <w:rFonts w:ascii="Palatino Linotype" w:hAnsi="Palatino Linotype" w:cs="Arial"/>
                <w:lang w:val="es-ES_tradnl"/>
              </w:rPr>
              <w:t>Secretario Técnico del Pleno</w:t>
            </w:r>
          </w:p>
          <w:p w14:paraId="65867285" w14:textId="77777777" w:rsidR="00A33379" w:rsidRPr="002E6C55" w:rsidRDefault="00A33379" w:rsidP="006778A5">
            <w:pPr>
              <w:jc w:val="center"/>
              <w:rPr>
                <w:rFonts w:ascii="Palatino Linotype" w:hAnsi="Palatino Linotype" w:cs="Arial"/>
                <w:lang w:val="es-ES_tradnl"/>
              </w:rPr>
            </w:pPr>
            <w:r w:rsidRPr="00F95DEF">
              <w:rPr>
                <w:rFonts w:ascii="Palatino Linotype" w:hAnsi="Palatino Linotype" w:cs="Arial"/>
                <w:b/>
                <w:color w:val="FFFFFF" w:themeColor="background1"/>
                <w:lang w:val="es-ES_tradnl"/>
              </w:rPr>
              <w:t>(RÚBRICA)</w:t>
            </w:r>
          </w:p>
        </w:tc>
      </w:tr>
    </w:tbl>
    <w:p w14:paraId="5B6D6E4E" w14:textId="77777777" w:rsidR="00A33379" w:rsidRPr="002E6C55" w:rsidRDefault="00A33379" w:rsidP="00A33379">
      <w:pPr>
        <w:ind w:right="49"/>
        <w:jc w:val="both"/>
        <w:rPr>
          <w:rFonts w:ascii="Palatino Linotype" w:hAnsi="Palatino Linotype"/>
          <w:sz w:val="20"/>
          <w:szCs w:val="22"/>
          <w:lang w:val="es-ES_tradnl"/>
        </w:rPr>
      </w:pPr>
    </w:p>
    <w:p w14:paraId="102D8460" w14:textId="77777777" w:rsidR="00A33379" w:rsidRPr="002E6C55" w:rsidRDefault="00A33379" w:rsidP="00A33379">
      <w:pPr>
        <w:ind w:right="49"/>
        <w:jc w:val="both"/>
        <w:rPr>
          <w:rFonts w:ascii="Palatino Linotype" w:hAnsi="Palatino Linotype"/>
          <w:sz w:val="20"/>
          <w:szCs w:val="22"/>
          <w:lang w:val="es-ES_tradnl"/>
        </w:rPr>
      </w:pPr>
      <w:r w:rsidRPr="002E6C55">
        <w:rPr>
          <w:rFonts w:ascii="Palatino Linotype" w:hAnsi="Palatino Linotype"/>
          <w:sz w:val="20"/>
          <w:szCs w:val="22"/>
          <w:lang w:val="es-ES_tradnl"/>
        </w:rPr>
        <w:t>Esta hoja corresponde a la resolución del veintiocho de octubre de dos mil diecinueve, emitida en el recurso de revisión 0</w:t>
      </w:r>
      <w:r w:rsidR="007D00AB" w:rsidRPr="002E6C55">
        <w:rPr>
          <w:rFonts w:ascii="Palatino Linotype" w:hAnsi="Palatino Linotype"/>
          <w:sz w:val="20"/>
          <w:szCs w:val="22"/>
          <w:lang w:val="es-ES_tradnl"/>
        </w:rPr>
        <w:t>4097</w:t>
      </w:r>
      <w:r w:rsidRPr="002E6C55">
        <w:rPr>
          <w:rFonts w:ascii="Palatino Linotype" w:hAnsi="Palatino Linotype"/>
          <w:sz w:val="20"/>
          <w:szCs w:val="22"/>
          <w:lang w:val="es-ES_tradnl"/>
        </w:rPr>
        <w:t>/INFOEM/IP/RR/2020.</w:t>
      </w:r>
    </w:p>
    <w:p w14:paraId="3D3C08C7" w14:textId="77777777" w:rsidR="007A2EDE" w:rsidRDefault="00A33379" w:rsidP="007D00AB">
      <w:pPr>
        <w:ind w:right="49"/>
        <w:jc w:val="both"/>
      </w:pPr>
      <w:r w:rsidRPr="002E6C55">
        <w:rPr>
          <w:rFonts w:ascii="Palatino Linotype" w:hAnsi="Palatino Linotype"/>
          <w:sz w:val="20"/>
          <w:szCs w:val="20"/>
          <w:lang w:val="es-ES_tradnl"/>
        </w:rPr>
        <w:t>YSM/AMV</w:t>
      </w:r>
    </w:p>
    <w:sectPr w:rsidR="007A2EDE"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0ADCB" w14:textId="77777777" w:rsidR="00A0216B" w:rsidRDefault="00A0216B" w:rsidP="00A33379">
      <w:r>
        <w:separator/>
      </w:r>
    </w:p>
  </w:endnote>
  <w:endnote w:type="continuationSeparator" w:id="0">
    <w:p w14:paraId="38AA7EC9" w14:textId="77777777" w:rsidR="00A0216B" w:rsidRDefault="00A0216B" w:rsidP="00A33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AA69F" w14:textId="77777777" w:rsidR="00FA7086" w:rsidRPr="0010196A" w:rsidRDefault="002F0DE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95DEF">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95DEF">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9BA8" w14:textId="77777777" w:rsidR="00FA7086" w:rsidRPr="0010196A" w:rsidRDefault="002F0DE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95DE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95DEF">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DA156" w14:textId="77777777" w:rsidR="00A0216B" w:rsidRDefault="00A0216B" w:rsidP="00A33379">
      <w:r>
        <w:separator/>
      </w:r>
    </w:p>
  </w:footnote>
  <w:footnote w:type="continuationSeparator" w:id="0">
    <w:p w14:paraId="71354462" w14:textId="77777777" w:rsidR="00A0216B" w:rsidRDefault="00A0216B" w:rsidP="00A33379">
      <w:r>
        <w:continuationSeparator/>
      </w:r>
    </w:p>
  </w:footnote>
  <w:footnote w:id="1">
    <w:p w14:paraId="78A4B1BB" w14:textId="77777777" w:rsidR="006E376D" w:rsidRPr="00F577AC" w:rsidRDefault="006E376D" w:rsidP="006E376D">
      <w:pPr>
        <w:pStyle w:val="Textonotapie"/>
        <w:rPr>
          <w:rFonts w:ascii="Palatino Linotype" w:hAnsi="Palatino Linotype"/>
          <w:sz w:val="16"/>
          <w:szCs w:val="16"/>
        </w:rPr>
      </w:pPr>
      <w:r>
        <w:rPr>
          <w:rStyle w:val="Refdenotaalpie"/>
        </w:rPr>
        <w:footnoteRef/>
      </w:r>
      <w:r>
        <w:t xml:space="preserve"> </w:t>
      </w:r>
      <w:r w:rsidRPr="00F577AC">
        <w:rPr>
          <w:rFonts w:ascii="Palatino Linotype" w:hAnsi="Palatino Linotype"/>
          <w:sz w:val="16"/>
          <w:szCs w:val="16"/>
        </w:rPr>
        <w:t>Consultable en la liga electrónica siguiente: http://legislacion.edomex.gob.mx/sites/legislacion.edomex.gob.mx/files/files/pdf/ley/vig/leyvig022.pdf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1B1B1" w14:textId="77777777" w:rsidR="00FA7086" w:rsidRDefault="00A0216B">
    <w:pPr>
      <w:pStyle w:val="Encabezado"/>
    </w:pPr>
    <w:r>
      <w:rPr>
        <w:noProof/>
        <w:lang w:val="es-MX" w:eastAsia="es-MX"/>
      </w:rPr>
      <w:pict w14:anchorId="47775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53F66" w14:textId="77777777" w:rsidR="00FA7086" w:rsidRPr="0010196A" w:rsidRDefault="00A0216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99C5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A7086" w:rsidRPr="008F2CCC" w14:paraId="55F70FA7" w14:textId="77777777" w:rsidTr="00625FD4">
      <w:tc>
        <w:tcPr>
          <w:tcW w:w="3261" w:type="dxa"/>
          <w:vMerge w:val="restart"/>
        </w:tcPr>
        <w:p w14:paraId="354E055F" w14:textId="77777777" w:rsidR="00FA7086" w:rsidRPr="008F2CCC" w:rsidRDefault="002F0DE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D6AD749" wp14:editId="56D1C71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D30D4C6" w14:textId="77777777" w:rsidR="00FA7086" w:rsidRPr="00664658" w:rsidRDefault="002F0DE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55F5971" w14:textId="77777777" w:rsidR="00FA7086" w:rsidRPr="00664658" w:rsidRDefault="002F0DE8" w:rsidP="00A33379">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A33379">
            <w:rPr>
              <w:rFonts w:ascii="Palatino Linotype" w:hAnsi="Palatino Linotype"/>
              <w:b/>
              <w:sz w:val="22"/>
              <w:szCs w:val="22"/>
              <w:lang w:val="es-ES_tradnl"/>
            </w:rPr>
            <w:t>4097</w:t>
          </w:r>
          <w:r w:rsidRPr="00764773">
            <w:rPr>
              <w:rFonts w:ascii="Palatino Linotype" w:hAnsi="Palatino Linotype"/>
              <w:b/>
              <w:sz w:val="22"/>
              <w:szCs w:val="22"/>
              <w:lang w:val="es-ES_tradnl"/>
            </w:rPr>
            <w:t xml:space="preserve">/INFOEM/IP/RR/2020 </w:t>
          </w:r>
        </w:p>
      </w:tc>
    </w:tr>
    <w:tr w:rsidR="00FA7086" w:rsidRPr="008F2CCC" w14:paraId="5F3AB0BB" w14:textId="77777777" w:rsidTr="00625FD4">
      <w:tc>
        <w:tcPr>
          <w:tcW w:w="3261" w:type="dxa"/>
          <w:vMerge/>
        </w:tcPr>
        <w:p w14:paraId="02205E13" w14:textId="77777777" w:rsidR="00FA7086" w:rsidRPr="008F2CCC" w:rsidRDefault="00A0216B" w:rsidP="00D41D47">
          <w:pPr>
            <w:rPr>
              <w:rFonts w:ascii="Palatino Linotype" w:hAnsi="Palatino Linotype"/>
              <w:b/>
              <w:sz w:val="22"/>
              <w:szCs w:val="22"/>
              <w:lang w:val="es-ES_tradnl"/>
            </w:rPr>
          </w:pPr>
        </w:p>
      </w:tc>
      <w:tc>
        <w:tcPr>
          <w:tcW w:w="2551" w:type="dxa"/>
          <w:shd w:val="clear" w:color="auto" w:fill="auto"/>
        </w:tcPr>
        <w:p w14:paraId="2EC5C1AA" w14:textId="77777777" w:rsidR="00FA7086" w:rsidRPr="00664658" w:rsidRDefault="002F0DE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3A36A87" w14:textId="77777777" w:rsidR="00FA7086" w:rsidRPr="00D41D47" w:rsidRDefault="00A33379" w:rsidP="00957D35">
          <w:pPr>
            <w:jc w:val="both"/>
            <w:rPr>
              <w:rFonts w:ascii="Palatino Linotype" w:hAnsi="Palatino Linotype"/>
              <w:b/>
              <w:sz w:val="22"/>
              <w:szCs w:val="22"/>
              <w:lang w:val="es-ES_tradnl"/>
            </w:rPr>
          </w:pPr>
          <w:r w:rsidRPr="00A33379">
            <w:rPr>
              <w:rFonts w:ascii="Palatino Linotype" w:hAnsi="Palatino Linotype"/>
              <w:b/>
              <w:sz w:val="22"/>
              <w:szCs w:val="22"/>
              <w:lang w:val="es-ES_tradnl"/>
            </w:rPr>
            <w:t>Ayuntamiento de Acambay de Ruíz Castañeda</w:t>
          </w:r>
        </w:p>
      </w:tc>
    </w:tr>
    <w:tr w:rsidR="00FA7086" w:rsidRPr="008F2CCC" w14:paraId="5DE0A995" w14:textId="77777777" w:rsidTr="00625FD4">
      <w:trPr>
        <w:trHeight w:val="228"/>
      </w:trPr>
      <w:tc>
        <w:tcPr>
          <w:tcW w:w="3261" w:type="dxa"/>
          <w:vMerge/>
        </w:tcPr>
        <w:p w14:paraId="699AE127" w14:textId="77777777" w:rsidR="00FA7086" w:rsidRPr="008F2CCC" w:rsidRDefault="00A0216B" w:rsidP="00070856">
          <w:pPr>
            <w:rPr>
              <w:rFonts w:ascii="Palatino Linotype" w:hAnsi="Palatino Linotype"/>
              <w:b/>
              <w:sz w:val="22"/>
              <w:szCs w:val="22"/>
              <w:lang w:val="es-ES_tradnl"/>
            </w:rPr>
          </w:pPr>
        </w:p>
      </w:tc>
      <w:tc>
        <w:tcPr>
          <w:tcW w:w="2551" w:type="dxa"/>
          <w:shd w:val="clear" w:color="auto" w:fill="auto"/>
        </w:tcPr>
        <w:p w14:paraId="75BC9298" w14:textId="77777777" w:rsidR="00FA7086" w:rsidRPr="00664658" w:rsidRDefault="002F0DE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5E50D3F8" w14:textId="77777777" w:rsidR="00FA7086" w:rsidRPr="00664658" w:rsidRDefault="002F0DE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ED6A6D4" w14:textId="77777777" w:rsidR="00FA7086" w:rsidRPr="0010196A" w:rsidRDefault="00A0216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303F4" w14:textId="77777777" w:rsidR="00FA7086" w:rsidRPr="0010196A" w:rsidRDefault="00A0216B">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A7086" w:rsidRPr="008F2CCC" w14:paraId="27661290" w14:textId="77777777" w:rsidTr="00905693">
      <w:tc>
        <w:tcPr>
          <w:tcW w:w="4253" w:type="dxa"/>
          <w:vMerge w:val="restart"/>
          <w:shd w:val="clear" w:color="auto" w:fill="auto"/>
        </w:tcPr>
        <w:p w14:paraId="7C5B66CD" w14:textId="147F63DF" w:rsidR="00FA7086" w:rsidRPr="008F2CCC" w:rsidRDefault="00F95DEF"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29DC0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53.1pt;margin-top:-19.35pt;width:540pt;height:10in;z-index:-251657728;mso-position-horizontal-relative:margin;mso-position-vertical-relative:margin" o:allowincell="f">
                <v:imagedata r:id="rId1" o:title="RESOLUCIÓN"/>
                <w10:wrap anchorx="margin" anchory="margin"/>
              </v:shape>
            </w:pict>
          </w:r>
          <w:r w:rsidR="002F0DE8">
            <w:rPr>
              <w:rFonts w:ascii="Palatino Linotype" w:hAnsi="Palatino Linotype"/>
              <w:noProof/>
              <w:sz w:val="28"/>
              <w:szCs w:val="28"/>
              <w:lang w:eastAsia="es-MX"/>
            </w:rPr>
            <w:drawing>
              <wp:inline distT="0" distB="0" distL="0" distR="0" wp14:anchorId="48CF8057" wp14:editId="5B7B724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983CB65" w14:textId="77777777" w:rsidR="00FA7086" w:rsidRPr="008F2CCC" w:rsidRDefault="002F0DE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301EC486" w14:textId="77777777" w:rsidR="00FA7086" w:rsidRPr="008F2CCC" w:rsidRDefault="002F0DE8" w:rsidP="0066016F">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A33379">
            <w:rPr>
              <w:rFonts w:ascii="Palatino Linotype" w:hAnsi="Palatino Linotype"/>
              <w:b/>
              <w:sz w:val="22"/>
              <w:szCs w:val="22"/>
              <w:lang w:val="es-ES_tradnl"/>
            </w:rPr>
            <w:t>4097</w:t>
          </w:r>
          <w:r w:rsidRPr="00764773">
            <w:rPr>
              <w:rFonts w:ascii="Palatino Linotype" w:hAnsi="Palatino Linotype"/>
              <w:b/>
              <w:sz w:val="22"/>
              <w:szCs w:val="22"/>
              <w:lang w:val="es-ES_tradnl"/>
            </w:rPr>
            <w:t xml:space="preserve">/INFOEM/IP/RR/2020 </w:t>
          </w:r>
        </w:p>
      </w:tc>
    </w:tr>
    <w:tr w:rsidR="00FA7086" w:rsidRPr="008F2CCC" w14:paraId="69E6CEAE" w14:textId="77777777" w:rsidTr="00905693">
      <w:tc>
        <w:tcPr>
          <w:tcW w:w="4253" w:type="dxa"/>
          <w:vMerge/>
          <w:shd w:val="clear" w:color="auto" w:fill="auto"/>
        </w:tcPr>
        <w:p w14:paraId="11E2D58A" w14:textId="77777777" w:rsidR="00FA7086" w:rsidRPr="008F2CCC" w:rsidRDefault="00A0216B" w:rsidP="00A2780F">
          <w:pPr>
            <w:rPr>
              <w:rFonts w:ascii="Palatino Linotype" w:hAnsi="Palatino Linotype"/>
              <w:b/>
              <w:sz w:val="22"/>
              <w:szCs w:val="22"/>
              <w:lang w:val="es-ES_tradnl"/>
            </w:rPr>
          </w:pPr>
        </w:p>
      </w:tc>
      <w:tc>
        <w:tcPr>
          <w:tcW w:w="2552" w:type="dxa"/>
          <w:shd w:val="clear" w:color="auto" w:fill="auto"/>
        </w:tcPr>
        <w:p w14:paraId="4626BD97" w14:textId="77777777" w:rsidR="00FA7086" w:rsidRPr="008F2CCC" w:rsidRDefault="002F0DE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7441502" w14:textId="77777777" w:rsidR="00FA7086" w:rsidRPr="008F2CCC" w:rsidRDefault="00A0216B" w:rsidP="00495809">
          <w:pPr>
            <w:jc w:val="both"/>
            <w:rPr>
              <w:rFonts w:ascii="Palatino Linotype" w:hAnsi="Palatino Linotype"/>
              <w:b/>
              <w:sz w:val="22"/>
              <w:szCs w:val="22"/>
              <w:lang w:val="es-ES_tradnl"/>
            </w:rPr>
          </w:pPr>
        </w:p>
      </w:tc>
    </w:tr>
    <w:tr w:rsidR="00FA7086" w:rsidRPr="008F2CCC" w14:paraId="38587F22" w14:textId="77777777" w:rsidTr="00905693">
      <w:trPr>
        <w:trHeight w:val="228"/>
      </w:trPr>
      <w:tc>
        <w:tcPr>
          <w:tcW w:w="4253" w:type="dxa"/>
          <w:vMerge/>
          <w:shd w:val="clear" w:color="auto" w:fill="auto"/>
        </w:tcPr>
        <w:p w14:paraId="5693EB10" w14:textId="77777777" w:rsidR="00FA7086" w:rsidRPr="008F2CCC" w:rsidRDefault="00A0216B" w:rsidP="00E37C88">
          <w:pPr>
            <w:rPr>
              <w:rFonts w:ascii="Palatino Linotype" w:hAnsi="Palatino Linotype"/>
              <w:b/>
              <w:sz w:val="22"/>
              <w:szCs w:val="22"/>
              <w:lang w:val="es-ES_tradnl"/>
            </w:rPr>
          </w:pPr>
        </w:p>
      </w:tc>
      <w:tc>
        <w:tcPr>
          <w:tcW w:w="2552" w:type="dxa"/>
          <w:shd w:val="clear" w:color="auto" w:fill="auto"/>
        </w:tcPr>
        <w:p w14:paraId="03AD9657" w14:textId="77777777" w:rsidR="00FA7086" w:rsidRPr="008F2CCC" w:rsidRDefault="002F0DE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356D2CB2" w14:textId="77777777" w:rsidR="00FA7086" w:rsidRPr="00DC41C8" w:rsidRDefault="00A33379" w:rsidP="00840ECD">
          <w:pPr>
            <w:jc w:val="both"/>
            <w:rPr>
              <w:rFonts w:ascii="Palatino Linotype" w:hAnsi="Palatino Linotype"/>
              <w:b/>
              <w:sz w:val="22"/>
              <w:szCs w:val="22"/>
            </w:rPr>
          </w:pPr>
          <w:r w:rsidRPr="00A33379">
            <w:rPr>
              <w:rFonts w:ascii="Palatino Linotype" w:hAnsi="Palatino Linotype"/>
              <w:b/>
              <w:sz w:val="22"/>
              <w:szCs w:val="22"/>
              <w:lang w:val="es-ES_tradnl"/>
            </w:rPr>
            <w:t>Ayuntamiento de Acambay de Ruíz Castañeda</w:t>
          </w:r>
        </w:p>
      </w:tc>
    </w:tr>
    <w:tr w:rsidR="00FA7086" w:rsidRPr="008F2CCC" w14:paraId="3B72E57C" w14:textId="77777777" w:rsidTr="00905693">
      <w:tc>
        <w:tcPr>
          <w:tcW w:w="4253" w:type="dxa"/>
          <w:vMerge/>
          <w:shd w:val="clear" w:color="auto" w:fill="auto"/>
        </w:tcPr>
        <w:p w14:paraId="3612065B" w14:textId="77777777" w:rsidR="00FA7086" w:rsidRPr="008F2CCC" w:rsidRDefault="00A0216B" w:rsidP="00A2780F">
          <w:pPr>
            <w:rPr>
              <w:rFonts w:ascii="Palatino Linotype" w:hAnsi="Palatino Linotype"/>
              <w:b/>
              <w:sz w:val="22"/>
              <w:szCs w:val="22"/>
              <w:lang w:val="es-ES_tradnl"/>
            </w:rPr>
          </w:pPr>
        </w:p>
      </w:tc>
      <w:tc>
        <w:tcPr>
          <w:tcW w:w="2552" w:type="dxa"/>
          <w:shd w:val="clear" w:color="auto" w:fill="auto"/>
        </w:tcPr>
        <w:p w14:paraId="6C8AA414" w14:textId="77777777" w:rsidR="00FA7086" w:rsidRPr="008F2CCC" w:rsidRDefault="002F0DE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DC576FF" w14:textId="77777777" w:rsidR="00FA7086" w:rsidRPr="008F2CCC" w:rsidRDefault="002F0DE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1DA9F83" w14:textId="3421EC9F" w:rsidR="00FA7086" w:rsidRPr="0010196A" w:rsidRDefault="00A0216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2A7A17"/>
    <w:multiLevelType w:val="hybridMultilevel"/>
    <w:tmpl w:val="BFB889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511340"/>
    <w:multiLevelType w:val="hybridMultilevel"/>
    <w:tmpl w:val="6C789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137022"/>
    <w:multiLevelType w:val="hybridMultilevel"/>
    <w:tmpl w:val="25D01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B17E2D"/>
    <w:multiLevelType w:val="hybridMultilevel"/>
    <w:tmpl w:val="AA1228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379"/>
    <w:rsid w:val="001B0B0C"/>
    <w:rsid w:val="002651F2"/>
    <w:rsid w:val="002B4C0F"/>
    <w:rsid w:val="002E6C55"/>
    <w:rsid w:val="002F0DE8"/>
    <w:rsid w:val="002F1D53"/>
    <w:rsid w:val="0031323E"/>
    <w:rsid w:val="00343A68"/>
    <w:rsid w:val="003C6402"/>
    <w:rsid w:val="00435054"/>
    <w:rsid w:val="006E376D"/>
    <w:rsid w:val="00784178"/>
    <w:rsid w:val="007A2EDE"/>
    <w:rsid w:val="007D00AB"/>
    <w:rsid w:val="008A7E07"/>
    <w:rsid w:val="008F7F80"/>
    <w:rsid w:val="00A0216B"/>
    <w:rsid w:val="00A33379"/>
    <w:rsid w:val="00D6683D"/>
    <w:rsid w:val="00D7440E"/>
    <w:rsid w:val="00DF04EA"/>
    <w:rsid w:val="00F577AC"/>
    <w:rsid w:val="00F95DE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4383CC3"/>
  <w15:docId w15:val="{7000B03F-94F8-4559-A084-39A07E95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37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37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33379"/>
    <w:rPr>
      <w:rFonts w:eastAsiaTheme="minorEastAsia"/>
      <w:sz w:val="24"/>
      <w:szCs w:val="24"/>
      <w:lang w:val="es-ES_tradnl" w:eastAsia="es-ES"/>
    </w:rPr>
  </w:style>
  <w:style w:type="paragraph" w:styleId="Piedepgina">
    <w:name w:val="footer"/>
    <w:basedOn w:val="Normal"/>
    <w:link w:val="PiedepginaCar"/>
    <w:uiPriority w:val="99"/>
    <w:unhideWhenUsed/>
    <w:rsid w:val="00A3337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3337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3337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33379"/>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33379"/>
    <w:rPr>
      <w:color w:val="0563C1" w:themeColor="hyperlink"/>
      <w:u w:val="single"/>
    </w:rPr>
  </w:style>
  <w:style w:type="paragraph" w:styleId="Textonotapie">
    <w:name w:val="footnote text"/>
    <w:basedOn w:val="Normal"/>
    <w:link w:val="TextonotapieCar"/>
    <w:uiPriority w:val="99"/>
    <w:semiHidden/>
    <w:unhideWhenUsed/>
    <w:rsid w:val="00F577AC"/>
    <w:rPr>
      <w:sz w:val="20"/>
      <w:szCs w:val="20"/>
    </w:rPr>
  </w:style>
  <w:style w:type="character" w:customStyle="1" w:styleId="TextonotapieCar">
    <w:name w:val="Texto nota pie Car"/>
    <w:basedOn w:val="Fuentedeprrafopredeter"/>
    <w:link w:val="Textonotapie"/>
    <w:uiPriority w:val="99"/>
    <w:semiHidden/>
    <w:rsid w:val="00F577A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F577AC"/>
    <w:rPr>
      <w:vertAlign w:val="superscript"/>
    </w:rPr>
  </w:style>
  <w:style w:type="paragraph" w:styleId="Textodeglobo">
    <w:name w:val="Balloon Text"/>
    <w:basedOn w:val="Normal"/>
    <w:link w:val="TextodegloboCar"/>
    <w:uiPriority w:val="99"/>
    <w:semiHidden/>
    <w:unhideWhenUsed/>
    <w:rsid w:val="002E6C5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E6C55"/>
    <w:rPr>
      <w:rFonts w:ascii="Lucida Grande" w:eastAsia="Times New Roman"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13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87335.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987336.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0C781-08F2-4150-B126-3E365DF44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25</Pages>
  <Words>6356</Words>
  <Characters>34960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4</cp:revision>
  <dcterms:created xsi:type="dcterms:W3CDTF">2020-10-23T16:43:00Z</dcterms:created>
  <dcterms:modified xsi:type="dcterms:W3CDTF">2020-11-03T19:34:00Z</dcterms:modified>
</cp:coreProperties>
</file>