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F7" w:rsidRDefault="00C71A23">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rPr>
        <w:t xml:space="preserve"> 00942/INFOEM/IP/RR/2020</w:t>
      </w:r>
      <w:r>
        <w:rPr>
          <w:rFonts w:ascii="Palatino Linotype" w:hAnsi="Palatino Linotype"/>
        </w:rPr>
        <w:t xml:space="preserve">, promovido por el </w:t>
      </w:r>
      <w:r>
        <w:rPr>
          <w:rFonts w:ascii="Palatino Linotype" w:hAnsi="Palatino Linotype"/>
          <w:b/>
        </w:rPr>
        <w:t xml:space="preserve">C. </w:t>
      </w:r>
      <w:r w:rsidR="002F1DA1" w:rsidRPr="002F1DA1">
        <w:rPr>
          <w:rFonts w:ascii="Palatino Linotype" w:hAnsi="Palatino Linotype"/>
          <w:b/>
        </w:rPr>
        <w:t>Xxxxxxxx Xxxxxxxxx 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rPr>
        <w:t xml:space="preserve"> Ayuntamiento de Chalco</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5802F7" w:rsidRDefault="005802F7">
      <w:pPr>
        <w:spacing w:line="360" w:lineRule="auto"/>
        <w:jc w:val="both"/>
        <w:rPr>
          <w:rFonts w:ascii="Palatino Linotype" w:hAnsi="Palatino Linotype"/>
        </w:rPr>
      </w:pPr>
    </w:p>
    <w:p w:rsidR="005802F7" w:rsidRDefault="00C71A23">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5802F7" w:rsidRDefault="005802F7">
      <w:pPr>
        <w:spacing w:line="360" w:lineRule="auto"/>
        <w:jc w:val="center"/>
        <w:rPr>
          <w:rFonts w:ascii="Palatino Linotype" w:hAnsi="Palatino Linotype"/>
          <w:b/>
          <w:bCs/>
          <w:spacing w:val="60"/>
        </w:rPr>
      </w:pPr>
    </w:p>
    <w:p w:rsidR="005802F7" w:rsidRDefault="00C71A2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doce de diciembre de dos mil diecinueve,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Palatino Linotype" w:hAnsi="Palatino Linotype"/>
          <w:b/>
          <w:bCs/>
        </w:rPr>
        <w:t xml:space="preserve"> 00446/CHALCO/IP/2019</w:t>
      </w:r>
      <w:r>
        <w:rPr>
          <w:rFonts w:ascii="Palatino Linotype" w:hAnsi="Palatino Linotype"/>
        </w:rPr>
        <w:t>, mediante la cual requirió lo siguiente:</w:t>
      </w:r>
    </w:p>
    <w:p w:rsidR="005802F7" w:rsidRDefault="005802F7">
      <w:pPr>
        <w:pStyle w:val="Prrafodelista"/>
        <w:tabs>
          <w:tab w:val="left" w:pos="709"/>
        </w:tabs>
        <w:spacing w:line="360" w:lineRule="auto"/>
        <w:ind w:left="0"/>
        <w:jc w:val="both"/>
        <w:rPr>
          <w:rFonts w:ascii="Palatino Linotype" w:hAnsi="Palatino Linotype" w:cs="Arial"/>
        </w:rPr>
      </w:pPr>
    </w:p>
    <w:p w:rsidR="005802F7" w:rsidRDefault="00C71A23">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1.- Solicito la información a la sindico Municipal de Chalco, del Estado de México, cuanto es lo que ingreso en el año 2019 de los siguientes programas: 1)FASP, 2)FORTASEG, 3)PAD, 4)FORTAMUN, 5) FIS, 6)FEFOM. 2.- Me informe como fueron ingresados al Municipio, es decir las ministraciones mensuales, bimestrales o trimestrales. 3.- Me informe a detalle de que manera fueron gastados cada uno de los ingresos es decir que obras y acciones se realizaron con dicho recurso que a continuación de tallo: 1)FASP, 2)FORTASEG, 3)PAD, 4)FORTAMUN, 5)FIS, 6)FEFOM. 4.- Me informe los documentos en donde autorizaron su ejecución dichos recursos (actas de </w:t>
      </w:r>
      <w:r>
        <w:rPr>
          <w:rFonts w:ascii="Palatino Linotype" w:hAnsi="Palatino Linotype" w:cs="Arial"/>
          <w:i/>
          <w:sz w:val="22"/>
        </w:rPr>
        <w:lastRenderedPageBreak/>
        <w:t xml:space="preserve">cabildo, cesiones de consejos, etec) 5.- Cuantos son los ingresos totales del Municipio de Chalco, y de igual manera de como son ingresados los recursos.” </w:t>
      </w:r>
      <w:r>
        <w:rPr>
          <w:rFonts w:ascii="Palatino Linotype" w:hAnsi="Palatino Linotype"/>
          <w:sz w:val="22"/>
        </w:rPr>
        <w:t>(Sic</w:t>
      </w:r>
      <w:r>
        <w:rPr>
          <w:rFonts w:ascii="Palatino Linotype" w:hAnsi="Palatino Linotype"/>
        </w:rPr>
        <w:t>)</w:t>
      </w:r>
      <w:bookmarkStart w:id="0" w:name="_Ref531692384"/>
      <w:bookmarkStart w:id="1" w:name="_Ref516764469"/>
    </w:p>
    <w:p w:rsidR="005802F7" w:rsidRDefault="005802F7">
      <w:pPr>
        <w:spacing w:line="360" w:lineRule="auto"/>
        <w:ind w:left="709" w:right="709"/>
        <w:jc w:val="both"/>
        <w:rPr>
          <w:rFonts w:ascii="Palatino Linotype" w:hAnsi="Palatino Linotype"/>
        </w:rPr>
      </w:pPr>
    </w:p>
    <w:p w:rsidR="005802F7" w:rsidRDefault="00C71A23">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5802F7" w:rsidRDefault="005802F7">
      <w:pPr>
        <w:spacing w:line="360" w:lineRule="auto"/>
        <w:ind w:right="709"/>
        <w:jc w:val="both"/>
        <w:rPr>
          <w:rFonts w:ascii="Palatino Linotype" w:hAnsi="Palatino Linotype"/>
        </w:rPr>
      </w:pPr>
    </w:p>
    <w:p w:rsidR="005802F7" w:rsidRDefault="00C71A23">
      <w:pPr>
        <w:pStyle w:val="Prrafodelista"/>
        <w:numPr>
          <w:ilvl w:val="0"/>
          <w:numId w:val="10"/>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162 de Ley de la materia, el Titular de la Unidad de Transparencia turnó la solicitud de información a la Directora de Finanzas y Administración, servidora pública habilitada, a través del turno con número de folio </w:t>
      </w:r>
      <w:r>
        <w:rPr>
          <w:rFonts w:ascii="Palatino Linotype" w:hAnsi="Palatino Linotype" w:cs="Arial"/>
          <w:b/>
          <w:bCs/>
        </w:rPr>
        <w:t xml:space="preserve">00446/CHALCO/IP/2019/TSP/0001, </w:t>
      </w:r>
      <w:r>
        <w:rPr>
          <w:rFonts w:ascii="Palatino Linotype" w:hAnsi="Palatino Linotype" w:cs="Arial"/>
          <w:bCs/>
        </w:rPr>
        <w:t xml:space="preserve">mismo que fue atendido por la servidor público de referencia, </w:t>
      </w:r>
      <w:r>
        <w:rPr>
          <w:rFonts w:ascii="Palatino Linotype" w:hAnsi="Palatino Linotype" w:cs="Arial"/>
        </w:rPr>
        <w:t>tal como se aprecia en la siguiente imagen:</w:t>
      </w:r>
    </w:p>
    <w:p w:rsidR="005802F7" w:rsidRDefault="005802F7">
      <w:pPr>
        <w:pStyle w:val="Prrafodelista"/>
        <w:spacing w:line="360" w:lineRule="auto"/>
        <w:ind w:left="0"/>
        <w:jc w:val="both"/>
        <w:rPr>
          <w:rFonts w:ascii="Palatino Linotype" w:hAnsi="Palatino Linotype" w:cs="Arial"/>
        </w:rPr>
      </w:pPr>
    </w:p>
    <w:p w:rsidR="005802F7" w:rsidRDefault="00C71A23">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791835" cy="876300"/>
                    </a:xfrm>
                    <a:prstGeom prst="rect">
                      <a:avLst/>
                    </a:prstGeom>
                  </pic:spPr>
                </pic:pic>
              </a:graphicData>
            </a:graphic>
          </wp:inline>
        </w:drawing>
      </w:r>
    </w:p>
    <w:p w:rsidR="005802F7" w:rsidRDefault="005802F7">
      <w:pPr>
        <w:spacing w:line="360" w:lineRule="auto"/>
        <w:jc w:val="both"/>
        <w:rPr>
          <w:rFonts w:ascii="Palatino Linotype" w:hAnsi="Palatino Linotype" w:cs="Arial"/>
        </w:rPr>
      </w:pPr>
    </w:p>
    <w:p w:rsidR="005802F7" w:rsidRDefault="00C71A23">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veinte de enero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5802F7" w:rsidRDefault="005802F7">
      <w:pPr>
        <w:spacing w:line="360" w:lineRule="auto"/>
        <w:ind w:left="851" w:right="899"/>
        <w:jc w:val="both"/>
        <w:rPr>
          <w:rFonts w:ascii="Palatino Linotype" w:hAnsi="Palatino Linotype" w:cs="Arial"/>
          <w:i/>
        </w:rPr>
      </w:pPr>
    </w:p>
    <w:p w:rsidR="005802F7" w:rsidRDefault="00C71A23">
      <w:pPr>
        <w:ind w:left="709" w:right="757"/>
        <w:jc w:val="right"/>
        <w:rPr>
          <w:rFonts w:ascii="Palatino Linotype" w:hAnsi="Palatino Linotype" w:cs="Arial"/>
          <w:i/>
          <w:sz w:val="22"/>
        </w:rPr>
      </w:pPr>
      <w:r>
        <w:rPr>
          <w:rFonts w:ascii="Palatino Linotype" w:hAnsi="Palatino Linotype" w:cs="Arial"/>
          <w:i/>
          <w:sz w:val="22"/>
        </w:rPr>
        <w:t>“Chalco, México a 20 de Enero de 2020</w:t>
      </w:r>
    </w:p>
    <w:p w:rsidR="005802F7" w:rsidRDefault="00C71A23">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2F1DA1" w:rsidRPr="002F1DA1">
        <w:rPr>
          <w:rFonts w:ascii="Palatino Linotype" w:hAnsi="Palatino Linotype" w:cs="Arial"/>
          <w:i/>
          <w:sz w:val="22"/>
        </w:rPr>
        <w:t>Xxxxxxxx Xxxxxxxxx Xxxxx</w:t>
      </w:r>
    </w:p>
    <w:p w:rsidR="005802F7" w:rsidRDefault="00C71A23">
      <w:pPr>
        <w:ind w:left="709" w:right="757"/>
        <w:jc w:val="right"/>
        <w:rPr>
          <w:rFonts w:ascii="Palatino Linotype" w:hAnsi="Palatino Linotype" w:cs="Arial"/>
          <w:i/>
          <w:sz w:val="22"/>
        </w:rPr>
      </w:pPr>
      <w:r>
        <w:rPr>
          <w:rFonts w:ascii="Palatino Linotype" w:hAnsi="Palatino Linotype" w:cs="Arial"/>
          <w:i/>
          <w:sz w:val="22"/>
        </w:rPr>
        <w:t>Folio de la solicitud: 00446/CHALCO/IP/2019</w:t>
      </w:r>
    </w:p>
    <w:p w:rsidR="005802F7" w:rsidRDefault="005802F7">
      <w:pPr>
        <w:ind w:left="709" w:right="757"/>
        <w:jc w:val="right"/>
        <w:rPr>
          <w:rFonts w:ascii="Palatino Linotype" w:hAnsi="Palatino Linotype" w:cs="Arial"/>
          <w:i/>
          <w:sz w:val="22"/>
        </w:rPr>
      </w:pPr>
    </w:p>
    <w:p w:rsidR="005802F7" w:rsidRDefault="00C71A23">
      <w:pPr>
        <w:ind w:left="709" w:right="757"/>
        <w:jc w:val="both"/>
        <w:rPr>
          <w:rFonts w:ascii="Palatino Linotype" w:hAnsi="Palatino Linotype" w:cs="Arial"/>
          <w:i/>
          <w:sz w:val="22"/>
        </w:rPr>
      </w:pPr>
      <w:r>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802F7" w:rsidRDefault="005802F7">
      <w:pPr>
        <w:ind w:left="709" w:right="757"/>
        <w:jc w:val="both"/>
        <w:rPr>
          <w:rFonts w:ascii="Palatino Linotype" w:hAnsi="Palatino Linotype" w:cs="Arial"/>
          <w:i/>
          <w:sz w:val="22"/>
        </w:rPr>
      </w:pPr>
    </w:p>
    <w:p w:rsidR="005802F7" w:rsidRDefault="00C71A23">
      <w:pPr>
        <w:ind w:left="709" w:right="757"/>
        <w:jc w:val="both"/>
        <w:rPr>
          <w:rFonts w:ascii="Palatino Linotype" w:hAnsi="Palatino Linotype" w:cs="Arial"/>
          <w:i/>
          <w:sz w:val="22"/>
        </w:rPr>
      </w:pPr>
      <w:r>
        <w:rPr>
          <w:rFonts w:ascii="Palatino Linotype" w:hAnsi="Palatino Linotype" w:cs="Arial"/>
          <w:i/>
          <w:sz w:val="22"/>
        </w:rPr>
        <w:t>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Finanzas y Administración, en los siguientes términos: En respuesta al oficio número GCH/UTAI/003/2020, motivo de la solicitud de información pública número 00446/CHALCO/IP/2019, al respecto le envió información referente a los siguientes programas: 1. FEFOM 2019, 2. FASP 2019, 3. FORTASEG 2019, 4. PAD 2019. Sin más por el momento, quedo al pendiente de cualquier comentario al respecto.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rsidR="005802F7" w:rsidRDefault="005802F7">
      <w:pPr>
        <w:ind w:left="709" w:right="757"/>
        <w:jc w:val="both"/>
        <w:rPr>
          <w:rFonts w:ascii="Palatino Linotype" w:hAnsi="Palatino Linotype" w:cs="Arial"/>
          <w:i/>
          <w:sz w:val="22"/>
        </w:rPr>
      </w:pPr>
    </w:p>
    <w:p w:rsidR="005802F7" w:rsidRPr="00263A95" w:rsidRDefault="00C71A23">
      <w:pPr>
        <w:ind w:left="709" w:right="757"/>
        <w:jc w:val="both"/>
        <w:rPr>
          <w:rFonts w:ascii="Palatino Linotype" w:hAnsi="Palatino Linotype" w:cs="Arial"/>
          <w:i/>
          <w:sz w:val="22"/>
          <w:lang w:val="pt-BR"/>
        </w:rPr>
      </w:pPr>
      <w:r w:rsidRPr="00263A95">
        <w:rPr>
          <w:rFonts w:ascii="Palatino Linotype" w:hAnsi="Palatino Linotype" w:cs="Arial"/>
          <w:i/>
          <w:sz w:val="22"/>
          <w:lang w:val="pt-BR"/>
        </w:rPr>
        <w:t>ATENTAMENTE</w:t>
      </w:r>
    </w:p>
    <w:p w:rsidR="005802F7" w:rsidRPr="00263A95" w:rsidRDefault="00C71A23">
      <w:pPr>
        <w:ind w:left="709" w:right="757"/>
        <w:jc w:val="both"/>
        <w:rPr>
          <w:rFonts w:ascii="Palatino Linotype" w:hAnsi="Palatino Linotype" w:cs="Arial"/>
          <w:i/>
          <w:sz w:val="22"/>
          <w:lang w:val="pt-BR"/>
        </w:rPr>
      </w:pPr>
      <w:r w:rsidRPr="00263A95">
        <w:rPr>
          <w:rFonts w:ascii="Palatino Linotype" w:hAnsi="Palatino Linotype" w:cs="Arial"/>
          <w:i/>
          <w:sz w:val="22"/>
          <w:lang w:val="pt-BR"/>
        </w:rPr>
        <w:t>LIC. LIZBETH LUNA GALICIA” (Sic)</w:t>
      </w:r>
    </w:p>
    <w:p w:rsidR="005802F7" w:rsidRPr="00263A95" w:rsidRDefault="005802F7">
      <w:pPr>
        <w:spacing w:line="360" w:lineRule="auto"/>
        <w:ind w:left="851" w:right="899"/>
        <w:jc w:val="both"/>
        <w:rPr>
          <w:rFonts w:ascii="Palatino Linotype" w:hAnsi="Palatino Linotype" w:cs="Arial"/>
          <w:i/>
          <w:lang w:val="pt-BR"/>
        </w:rPr>
      </w:pPr>
    </w:p>
    <w:p w:rsidR="005802F7" w:rsidRDefault="00C71A23">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el archivo electrónico denominado </w:t>
      </w:r>
      <w:r>
        <w:rPr>
          <w:rFonts w:ascii="Palatino Linotype" w:hAnsi="Palatino Linotype"/>
          <w:b/>
        </w:rPr>
        <w:t xml:space="preserve">PROGRAMAS 2019 (solicitud 446-19).pdf, </w:t>
      </w:r>
      <w:r>
        <w:rPr>
          <w:rFonts w:ascii="Palatino Linotype" w:hAnsi="Palatino Linotype"/>
        </w:rPr>
        <w:t>el cual consiste en un informe respecto del ejercicio de los recursos de cuatro programas requeridos en la solicitud de mérito.</w:t>
      </w:r>
    </w:p>
    <w:p w:rsidR="005802F7" w:rsidRDefault="005802F7">
      <w:pPr>
        <w:pStyle w:val="Prrafodelista"/>
        <w:rPr>
          <w:rFonts w:ascii="Palatino Linotype" w:hAnsi="Palatino Linotype"/>
        </w:rPr>
      </w:pPr>
    </w:p>
    <w:p w:rsidR="005802F7" w:rsidRDefault="00C71A23">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diez de febrero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lastRenderedPageBreak/>
        <w:t xml:space="preserve">número </w:t>
      </w:r>
      <w:r>
        <w:rPr>
          <w:rFonts w:ascii="Palatino Linotype" w:hAnsi="Palatino Linotype" w:cs="Arial"/>
          <w:b/>
        </w:rPr>
        <w:t>00942/INFOEM/IP/RR/2020</w:t>
      </w:r>
      <w:r>
        <w:rPr>
          <w:rFonts w:ascii="Palatino Linotype" w:hAnsi="Palatino Linotype" w:cs="Arial"/>
        </w:rPr>
        <w:t>, en el que señaló como acto impugnado, lo siguiente:</w:t>
      </w:r>
    </w:p>
    <w:p w:rsidR="005802F7" w:rsidRDefault="005802F7">
      <w:pPr>
        <w:pStyle w:val="Prrafodelista"/>
        <w:tabs>
          <w:tab w:val="left" w:pos="709"/>
        </w:tabs>
        <w:spacing w:line="360" w:lineRule="auto"/>
        <w:ind w:left="0"/>
        <w:jc w:val="both"/>
        <w:rPr>
          <w:rFonts w:ascii="Palatino Linotype" w:hAnsi="Palatino Linotype" w:cs="Arial"/>
        </w:rPr>
      </w:pPr>
    </w:p>
    <w:p w:rsidR="005802F7" w:rsidRDefault="00C71A23">
      <w:pPr>
        <w:ind w:left="709" w:right="709"/>
        <w:jc w:val="both"/>
        <w:rPr>
          <w:rFonts w:ascii="Palatino Linotype" w:hAnsi="Palatino Linotype" w:cs="Arial"/>
          <w:lang w:eastAsia="es-MX"/>
        </w:rPr>
      </w:pPr>
      <w:r>
        <w:rPr>
          <w:rFonts w:ascii="Palatino Linotype" w:hAnsi="Palatino Linotype" w:cs="Arial"/>
          <w:i/>
          <w:sz w:val="22"/>
          <w:lang w:eastAsia="es-MX"/>
        </w:rPr>
        <w:t>“El sujeto Obligado viola mi derecho acceso a la información”</w:t>
      </w:r>
      <w:r>
        <w:rPr>
          <w:rFonts w:ascii="Palatino Linotype" w:hAnsi="Palatino Linotype" w:cs="Arial"/>
          <w:sz w:val="22"/>
          <w:lang w:eastAsia="es-MX"/>
        </w:rPr>
        <w:t xml:space="preserve"> (Sic)</w:t>
      </w:r>
    </w:p>
    <w:p w:rsidR="005802F7" w:rsidRDefault="005802F7">
      <w:pPr>
        <w:spacing w:line="360" w:lineRule="auto"/>
        <w:ind w:right="709"/>
        <w:jc w:val="both"/>
        <w:rPr>
          <w:rFonts w:ascii="Palatino Linotype" w:hAnsi="Palatino Linotype" w:cs="Arial"/>
        </w:rPr>
      </w:pPr>
    </w:p>
    <w:p w:rsidR="005802F7" w:rsidRDefault="00C71A23">
      <w:pPr>
        <w:spacing w:line="360" w:lineRule="auto"/>
        <w:ind w:right="709"/>
        <w:jc w:val="both"/>
        <w:rPr>
          <w:rFonts w:ascii="Palatino Linotype" w:hAnsi="Palatino Linotype" w:cs="Arial"/>
        </w:rPr>
      </w:pPr>
      <w:r>
        <w:rPr>
          <w:rFonts w:ascii="Palatino Linotype" w:hAnsi="Palatino Linotype" w:cs="Arial"/>
        </w:rPr>
        <w:t>Asimismo, como razones y motivos de inconformidad:</w:t>
      </w:r>
    </w:p>
    <w:p w:rsidR="005802F7" w:rsidRDefault="005802F7">
      <w:pPr>
        <w:spacing w:line="360" w:lineRule="auto"/>
        <w:ind w:right="709"/>
        <w:jc w:val="both"/>
        <w:rPr>
          <w:rFonts w:ascii="Palatino Linotype" w:hAnsi="Palatino Linotype" w:cs="Arial"/>
        </w:rPr>
      </w:pPr>
    </w:p>
    <w:p w:rsidR="005802F7" w:rsidRDefault="00C71A23">
      <w:pPr>
        <w:ind w:left="709" w:right="709"/>
        <w:jc w:val="both"/>
        <w:rPr>
          <w:rFonts w:ascii="Palatino Linotype" w:hAnsi="Palatino Linotype" w:cs="Arial"/>
          <w:lang w:eastAsia="es-MX"/>
        </w:rPr>
      </w:pPr>
      <w:r>
        <w:rPr>
          <w:rFonts w:ascii="Palatino Linotype" w:hAnsi="Palatino Linotype" w:cs="Arial"/>
          <w:i/>
          <w:sz w:val="22"/>
          <w:lang w:eastAsia="es-MX"/>
        </w:rPr>
        <w:t>“El sujeto Obligado viola mi derecho acceso a la información”</w:t>
      </w:r>
      <w:r>
        <w:rPr>
          <w:rFonts w:ascii="Palatino Linotype" w:hAnsi="Palatino Linotype" w:cs="Arial"/>
          <w:sz w:val="22"/>
          <w:lang w:eastAsia="es-MX"/>
        </w:rPr>
        <w:t xml:space="preserve"> (Sic)</w:t>
      </w:r>
    </w:p>
    <w:p w:rsidR="005802F7" w:rsidRDefault="005802F7">
      <w:pPr>
        <w:spacing w:line="360" w:lineRule="auto"/>
        <w:ind w:right="709"/>
        <w:jc w:val="both"/>
        <w:rPr>
          <w:rFonts w:ascii="Palatino Linotype" w:hAnsi="Palatino Linotype" w:cs="Arial"/>
          <w:lang w:eastAsia="es-MX"/>
        </w:rPr>
      </w:pPr>
    </w:p>
    <w:p w:rsidR="005802F7" w:rsidRDefault="00C71A23">
      <w:pPr>
        <w:widowControl w:val="0"/>
        <w:numPr>
          <w:ilvl w:val="0"/>
          <w:numId w:val="10"/>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diez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5802F7" w:rsidRDefault="005802F7">
      <w:pPr>
        <w:widowControl w:val="0"/>
        <w:tabs>
          <w:tab w:val="left" w:pos="0"/>
        </w:tabs>
        <w:spacing w:line="360" w:lineRule="auto"/>
        <w:jc w:val="both"/>
        <w:rPr>
          <w:rFonts w:ascii="Palatino Linotype" w:hAnsi="Palatino Linotype" w:cs="Arial"/>
          <w:lang w:val="es-ES_tradnl"/>
        </w:rPr>
      </w:pPr>
    </w:p>
    <w:p w:rsidR="005802F7" w:rsidRDefault="00C71A23">
      <w:pPr>
        <w:widowControl w:val="0"/>
        <w:numPr>
          <w:ilvl w:val="0"/>
          <w:numId w:val="10"/>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catorce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xml:space="preserve">, para que exhibiera el </w:t>
      </w:r>
      <w:r>
        <w:rPr>
          <w:rFonts w:ascii="Palatino Linotype" w:hAnsi="Palatino Linotype" w:cs="Arial"/>
        </w:rPr>
        <w:lastRenderedPageBreak/>
        <w:t>Informe Justificado correspondiente.</w:t>
      </w:r>
    </w:p>
    <w:p w:rsidR="005802F7" w:rsidRDefault="00C71A23">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veinticinco de febrero de dos mil veinte rindió su Informe Justificado mismo que fue puesto a disposición del particular el seis de agosto de dos mil veinte, en virtud de que presentó manifestaciones novedosas, que amplían el alcance del mismo en relación a la respuesta proporcionada, por lo que se consideró que actualizaba lo dispuesto por la fracción III del artículo 185 de la Ley de la materia, tal y como se advierte a continuación:</w:t>
      </w:r>
    </w:p>
    <w:p w:rsidR="005802F7" w:rsidRDefault="005802F7">
      <w:pPr>
        <w:spacing w:line="360" w:lineRule="auto"/>
        <w:jc w:val="both"/>
        <w:rPr>
          <w:rFonts w:ascii="Palatino Linotype" w:hAnsi="Palatino Linotype"/>
        </w:rPr>
      </w:pPr>
    </w:p>
    <w:p w:rsidR="005802F7" w:rsidRDefault="00C71A23">
      <w:pPr>
        <w:spacing w:line="360" w:lineRule="auto"/>
        <w:jc w:val="center"/>
        <w:rPr>
          <w:lang w:eastAsia="es-MX"/>
        </w:rPr>
      </w:pPr>
      <w:r>
        <w:rPr>
          <w:noProof/>
          <w:lang w:eastAsia="es-MX"/>
        </w:rPr>
        <w:drawing>
          <wp:inline distT="0" distB="0" distL="0" distR="0">
            <wp:extent cx="5791835" cy="3368675"/>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9"/>
                    <a:stretch>
                      <a:fillRect/>
                    </a:stretch>
                  </pic:blipFill>
                  <pic:spPr bwMode="auto">
                    <a:xfrm>
                      <a:off x="0" y="0"/>
                      <a:ext cx="5791835" cy="3368675"/>
                    </a:xfrm>
                    <a:prstGeom prst="rect">
                      <a:avLst/>
                    </a:prstGeom>
                  </pic:spPr>
                </pic:pic>
              </a:graphicData>
            </a:graphic>
          </wp:inline>
        </w:drawing>
      </w:r>
    </w:p>
    <w:p w:rsidR="005802F7" w:rsidRDefault="005802F7">
      <w:pPr>
        <w:spacing w:line="360" w:lineRule="auto"/>
        <w:jc w:val="both"/>
        <w:rPr>
          <w:rFonts w:ascii="Palatino Linotype" w:hAnsi="Palatino Linotype"/>
        </w:rPr>
      </w:pPr>
    </w:p>
    <w:p w:rsidR="005802F7" w:rsidRDefault="00C71A23">
      <w:pPr>
        <w:numPr>
          <w:ilvl w:val="0"/>
          <w:numId w:val="2"/>
        </w:numPr>
        <w:spacing w:line="360" w:lineRule="auto"/>
        <w:ind w:left="0" w:firstLine="0"/>
        <w:jc w:val="both"/>
        <w:rPr>
          <w:rFonts w:ascii="Palatino Linotype" w:hAnsi="Palatino Linotype"/>
        </w:rPr>
      </w:pPr>
      <w:r>
        <w:rPr>
          <w:rFonts w:ascii="Palatino Linotype" w:hAnsi="Palatino Linotype" w:cs="Arial"/>
        </w:rPr>
        <w:lastRenderedPageBreak/>
        <w:t xml:space="preserve">Una vez analizado el estado procesal que guardaba el expediente, en fecha doce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5802F7" w:rsidRDefault="005802F7">
      <w:pPr>
        <w:spacing w:line="360" w:lineRule="auto"/>
        <w:jc w:val="both"/>
        <w:rPr>
          <w:rFonts w:ascii="Palatino Linotype" w:hAnsi="Palatino Linotype"/>
        </w:rPr>
      </w:pPr>
      <w:bookmarkStart w:id="2" w:name="_Ref507070922"/>
      <w:bookmarkEnd w:id="2"/>
    </w:p>
    <w:p w:rsidR="005802F7" w:rsidRDefault="00C71A23">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5802F7" w:rsidRDefault="005802F7">
      <w:pPr>
        <w:pStyle w:val="Prrafodelista"/>
        <w:tabs>
          <w:tab w:val="left" w:pos="709"/>
        </w:tabs>
        <w:spacing w:line="360" w:lineRule="auto"/>
        <w:ind w:left="0"/>
        <w:jc w:val="center"/>
        <w:rPr>
          <w:rFonts w:ascii="Palatino Linotype" w:hAnsi="Palatino Linotype"/>
          <w:b/>
          <w:bCs/>
          <w:spacing w:val="60"/>
        </w:rPr>
      </w:pPr>
    </w:p>
    <w:p w:rsidR="005802F7" w:rsidRDefault="00C71A23">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5802F7" w:rsidRDefault="005802F7">
      <w:pPr>
        <w:pStyle w:val="Prrafodelista"/>
        <w:widowControl w:val="0"/>
        <w:tabs>
          <w:tab w:val="left" w:pos="1701"/>
          <w:tab w:val="left" w:pos="1843"/>
        </w:tabs>
        <w:spacing w:line="360" w:lineRule="auto"/>
        <w:ind w:left="0"/>
        <w:jc w:val="both"/>
        <w:rPr>
          <w:rFonts w:ascii="Palatino Linotype" w:hAnsi="Palatino Linotype" w:cs="Arial"/>
        </w:rPr>
      </w:pPr>
    </w:p>
    <w:p w:rsidR="005802F7" w:rsidRDefault="00C71A23">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xml:space="preserve"> 00446/CHALCO/IP/2019</w:t>
      </w:r>
      <w:r>
        <w:rPr>
          <w:rFonts w:ascii="Palatino Linotype" w:hAnsi="Palatino Linotype" w:cs="Arial"/>
          <w:lang w:val="es-ES_tradnl"/>
        </w:rPr>
        <w:t>.</w:t>
      </w:r>
    </w:p>
    <w:p w:rsidR="005802F7" w:rsidRDefault="005802F7">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5802F7" w:rsidRDefault="00C71A23">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ab/>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5802F7" w:rsidRDefault="005802F7">
      <w:pPr>
        <w:spacing w:line="360" w:lineRule="auto"/>
        <w:ind w:left="851" w:right="902"/>
        <w:jc w:val="both"/>
        <w:rPr>
          <w:rFonts w:ascii="Palatino Linotype" w:eastAsiaTheme="minorEastAsia" w:hAnsi="Palatino Linotype" w:cs="Arial"/>
          <w:lang w:val="es-ES_tradnl"/>
        </w:rPr>
      </w:pPr>
    </w:p>
    <w:p w:rsidR="005802F7" w:rsidRDefault="00C71A23">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802F7" w:rsidRDefault="005802F7">
      <w:pPr>
        <w:tabs>
          <w:tab w:val="left" w:pos="851"/>
        </w:tabs>
        <w:ind w:left="851" w:right="901"/>
        <w:jc w:val="both"/>
        <w:rPr>
          <w:rFonts w:ascii="Palatino Linotype" w:eastAsiaTheme="minorEastAsia" w:hAnsi="Palatino Linotype" w:cs="Arial"/>
          <w:i/>
          <w:sz w:val="22"/>
          <w:lang w:val="es-ES_tradnl"/>
        </w:rPr>
      </w:pPr>
    </w:p>
    <w:p w:rsidR="005802F7" w:rsidRDefault="00C71A23">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5802F7" w:rsidRDefault="005802F7">
      <w:pPr>
        <w:tabs>
          <w:tab w:val="left" w:pos="851"/>
        </w:tabs>
        <w:ind w:left="851" w:right="901"/>
        <w:jc w:val="both"/>
        <w:rPr>
          <w:rFonts w:ascii="Palatino Linotype" w:eastAsiaTheme="minorEastAsia" w:hAnsi="Palatino Linotype" w:cs="Arial"/>
          <w:i/>
          <w:sz w:val="22"/>
          <w:lang w:val="es-ES_tradnl"/>
        </w:rPr>
      </w:pPr>
    </w:p>
    <w:p w:rsidR="005802F7" w:rsidRDefault="00C71A23">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lang w:val="es-ES_tradnl"/>
        </w:rPr>
        <w:t>”</w:t>
      </w:r>
    </w:p>
    <w:p w:rsidR="005802F7" w:rsidRDefault="005802F7">
      <w:pPr>
        <w:spacing w:line="360" w:lineRule="auto"/>
        <w:ind w:left="851" w:right="902"/>
        <w:jc w:val="both"/>
        <w:rPr>
          <w:rFonts w:ascii="Palatino Linotype" w:eastAsiaTheme="minorEastAsia" w:hAnsi="Palatino Linotype" w:cs="Arial"/>
          <w:lang w:val="es-ES_tradnl"/>
        </w:rPr>
      </w:pPr>
    </w:p>
    <w:p w:rsidR="005802F7" w:rsidRDefault="00C71A23">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veinte de enero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veintiuno de enero al once de febrero de dos mil veinte</w:t>
      </w:r>
      <w:r>
        <w:rPr>
          <w:rFonts w:ascii="Palatino Linotype" w:hAnsi="Palatino Linotype" w:cs="Arial"/>
        </w:rPr>
        <w:t xml:space="preserve">, sin contemplar en el cómputo los días veinticinco y veintiséis de enero, así como el uno, dos , ocho y nueve de febrero de dos mil veinte, por corresponder a sábados y domingos, considerados como días inhábiles; en términos del artículo 3, fracción X de la </w:t>
      </w:r>
      <w:r>
        <w:rPr>
          <w:rFonts w:ascii="Palatino Linotype" w:hAnsi="Palatino Linotype"/>
        </w:rPr>
        <w:t xml:space="preserve">Ley de Transparencia y Acceso a la </w:t>
      </w:r>
      <w:r>
        <w:rPr>
          <w:rFonts w:ascii="Palatino Linotype" w:hAnsi="Palatino Linotype"/>
        </w:rPr>
        <w:lastRenderedPageBreak/>
        <w:t>Información Pública del Estado de México y Municipios</w:t>
      </w:r>
      <w:r>
        <w:rPr>
          <w:rFonts w:ascii="Palatino Linotype" w:hAnsi="Palatino Linotype" w:cs="Arial"/>
        </w:rPr>
        <w:t>; asimismo el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diez de febrero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5802F7" w:rsidRDefault="005802F7">
      <w:pPr>
        <w:spacing w:line="360" w:lineRule="auto"/>
        <w:jc w:val="both"/>
        <w:rPr>
          <w:rFonts w:ascii="Palatino Linotype" w:eastAsiaTheme="minorEastAsia" w:hAnsi="Palatino Linotype" w:cs="Arial"/>
          <w:lang w:val="es-ES_tradnl"/>
        </w:rPr>
      </w:pPr>
    </w:p>
    <w:p w:rsidR="005802F7" w:rsidRDefault="00C71A23">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lang w:eastAsia="es-MX"/>
        </w:rPr>
      </w:pPr>
      <w:r>
        <w:rPr>
          <w:rFonts w:ascii="Palatino Linotype" w:hAnsi="Palatino Linotype" w:cs="Arial"/>
          <w:b/>
        </w:rPr>
        <w:t xml:space="preserve">Procedibilidad. </w:t>
      </w:r>
      <w:r>
        <w:rPr>
          <w:rFonts w:ascii="Palatino Linotype" w:hAnsi="Palatino Linotype"/>
          <w:lang w:eastAsia="es-MX"/>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hAnsi="Palatino Linotype"/>
          <w:b/>
          <w:lang w:eastAsia="es-MX"/>
        </w:rPr>
        <w:t>EL SAIMEX</w:t>
      </w:r>
      <w:r>
        <w:rPr>
          <w:rFonts w:ascii="Palatino Linotype" w:hAnsi="Palatino Linotype"/>
          <w:lang w:eastAsia="es-MX"/>
        </w:rPr>
        <w:t>.</w:t>
      </w:r>
    </w:p>
    <w:p w:rsidR="005802F7" w:rsidRDefault="005802F7">
      <w:pPr>
        <w:pStyle w:val="Prrafodelista"/>
        <w:widowControl w:val="0"/>
        <w:tabs>
          <w:tab w:val="left" w:pos="1701"/>
          <w:tab w:val="left" w:pos="1843"/>
        </w:tabs>
        <w:spacing w:line="360" w:lineRule="auto"/>
        <w:ind w:left="0"/>
        <w:jc w:val="both"/>
        <w:rPr>
          <w:rFonts w:ascii="Palatino Linotype" w:hAnsi="Palatino Linotype" w:cs="Arial"/>
        </w:rPr>
      </w:pPr>
    </w:p>
    <w:p w:rsidR="005802F7" w:rsidRDefault="00C71A23">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rsidR="005802F7" w:rsidRDefault="005802F7">
      <w:pPr>
        <w:pStyle w:val="Prrafodelista"/>
        <w:widowControl w:val="0"/>
        <w:tabs>
          <w:tab w:val="left" w:pos="1276"/>
        </w:tabs>
        <w:spacing w:line="360" w:lineRule="auto"/>
        <w:ind w:left="0"/>
        <w:contextualSpacing/>
        <w:jc w:val="both"/>
        <w:rPr>
          <w:rFonts w:ascii="Palatino Linotype" w:hAnsi="Palatino Linotype" w:cs="Arial"/>
          <w:lang w:eastAsia="es-MX"/>
        </w:rPr>
      </w:pPr>
    </w:p>
    <w:p w:rsidR="005802F7" w:rsidRDefault="00C71A23">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pública, y </w:t>
      </w:r>
      <w:r>
        <w:rPr>
          <w:rFonts w:ascii="Palatino Linotype" w:hAnsi="Palatino Linotype" w:cs="Arial"/>
          <w:b/>
          <w:i/>
          <w:sz w:val="22"/>
        </w:rPr>
        <w:t>procederá en contra de las siguientes causas:</w:t>
      </w:r>
    </w:p>
    <w:p w:rsidR="005802F7" w:rsidRDefault="00C71A23">
      <w:pPr>
        <w:ind w:left="709" w:right="709"/>
        <w:jc w:val="both"/>
        <w:rPr>
          <w:rFonts w:ascii="Palatino Linotype" w:hAnsi="Palatino Linotype" w:cs="Arial"/>
          <w:b/>
          <w:i/>
          <w:sz w:val="22"/>
        </w:rPr>
      </w:pPr>
      <w:r>
        <w:rPr>
          <w:rFonts w:ascii="Palatino Linotype" w:hAnsi="Palatino Linotype" w:cs="Arial"/>
          <w:bCs/>
          <w:i/>
          <w:sz w:val="22"/>
        </w:rPr>
        <w:t>. . .</w:t>
      </w:r>
    </w:p>
    <w:p w:rsidR="005802F7" w:rsidRDefault="00C71A23">
      <w:pPr>
        <w:ind w:left="709" w:right="709"/>
        <w:jc w:val="both"/>
        <w:rPr>
          <w:rFonts w:ascii="Palatino Linotype" w:hAnsi="Palatino Linotype" w:cs="Arial"/>
          <w:b/>
          <w:bCs/>
          <w:i/>
          <w:sz w:val="22"/>
        </w:rPr>
      </w:pPr>
      <w:r>
        <w:rPr>
          <w:rFonts w:ascii="Palatino Linotype" w:hAnsi="Palatino Linotype" w:cs="Arial"/>
          <w:b/>
          <w:bCs/>
          <w:i/>
          <w:sz w:val="22"/>
        </w:rPr>
        <w:lastRenderedPageBreak/>
        <w:t>V. La entrega de información incompleta;”</w:t>
      </w:r>
    </w:p>
    <w:p w:rsidR="005802F7" w:rsidRDefault="005802F7">
      <w:pPr>
        <w:ind w:left="709" w:right="709"/>
        <w:jc w:val="both"/>
        <w:rPr>
          <w:rFonts w:ascii="Palatino Linotype" w:hAnsi="Palatino Linotype" w:cs="Arial"/>
          <w:b/>
          <w:bCs/>
          <w:i/>
          <w:sz w:val="22"/>
        </w:rPr>
      </w:pPr>
    </w:p>
    <w:p w:rsidR="005802F7" w:rsidRDefault="00C71A23">
      <w:pPr>
        <w:ind w:left="709" w:right="709"/>
        <w:jc w:val="both"/>
        <w:rPr>
          <w:rFonts w:ascii="Palatino Linotype" w:hAnsi="Palatino Linotype" w:cs="Arial"/>
          <w:b/>
          <w:bCs/>
          <w:i/>
          <w:sz w:val="22"/>
        </w:rPr>
      </w:pPr>
      <w:r>
        <w:rPr>
          <w:rFonts w:ascii="Palatino Linotype" w:hAnsi="Palatino Linotype" w:cs="Arial"/>
          <w:b/>
          <w:bCs/>
          <w:i/>
          <w:sz w:val="22"/>
        </w:rPr>
        <w:t>(Énfasis añadido)</w:t>
      </w:r>
    </w:p>
    <w:p w:rsidR="005802F7" w:rsidRDefault="00C71A23">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colma de forma total el requerimiento del particular a través de la respuesta proporcionada. </w:t>
      </w:r>
    </w:p>
    <w:p w:rsidR="005802F7" w:rsidRDefault="005802F7">
      <w:pPr>
        <w:pStyle w:val="Prrafodelista"/>
        <w:widowControl w:val="0"/>
        <w:spacing w:line="360" w:lineRule="auto"/>
        <w:ind w:left="0"/>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la información que a continuación se desagrega:</w:t>
      </w:r>
    </w:p>
    <w:p w:rsidR="005802F7" w:rsidRDefault="005802F7">
      <w:pPr>
        <w:widowControl w:val="0"/>
        <w:tabs>
          <w:tab w:val="left" w:pos="1701"/>
          <w:tab w:val="left" w:pos="1843"/>
        </w:tabs>
        <w:spacing w:line="360" w:lineRule="auto"/>
        <w:contextualSpacing/>
        <w:jc w:val="both"/>
        <w:rPr>
          <w:rFonts w:ascii="Palatino Linotype" w:hAnsi="Palatino Linotype"/>
        </w:rPr>
      </w:pPr>
    </w:p>
    <w:p w:rsidR="005802F7" w:rsidRDefault="00C71A23">
      <w:pPr>
        <w:widowControl w:val="0"/>
        <w:spacing w:line="360" w:lineRule="auto"/>
        <w:contextualSpacing/>
        <w:jc w:val="both"/>
        <w:rPr>
          <w:rFonts w:ascii="Palatino Linotype" w:hAnsi="Palatino Linotype"/>
          <w:i/>
          <w:sz w:val="22"/>
          <w:szCs w:val="22"/>
        </w:rPr>
      </w:pPr>
      <w:r>
        <w:rPr>
          <w:rFonts w:ascii="Palatino Linotype" w:hAnsi="Palatino Linotype"/>
        </w:rPr>
        <w:tab/>
      </w:r>
      <w:r>
        <w:rPr>
          <w:rFonts w:ascii="Palatino Linotype" w:hAnsi="Palatino Linotype"/>
          <w:i/>
          <w:sz w:val="22"/>
          <w:szCs w:val="22"/>
        </w:rPr>
        <w:t>De los recursos correspondientes al ejercicio 2019 de los programas:</w:t>
      </w:r>
    </w:p>
    <w:p w:rsidR="005802F7" w:rsidRDefault="005802F7">
      <w:pPr>
        <w:widowControl w:val="0"/>
        <w:spacing w:line="360" w:lineRule="auto"/>
        <w:contextualSpacing/>
        <w:jc w:val="both"/>
        <w:rPr>
          <w:rFonts w:ascii="Palatino Linotype" w:hAnsi="Palatino Linotype"/>
          <w:i/>
          <w:sz w:val="22"/>
          <w:szCs w:val="22"/>
        </w:rPr>
      </w:pP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Fondo de Aportaciones para la Seguridad Pública (FASP).</w:t>
      </w: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Programa de Fortalecimiento para la Seguridad (FORTASEG).</w:t>
      </w: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Programa de Acciones Para el Desarrollo (PAD).</w:t>
      </w: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Fondo de Aportaciones para el Fortalecimiento de los Municipios y las Demarcaciones Territoriales del Distrito Federal (FORTAMUN).</w:t>
      </w: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Fondo para la Infraestructura Social Municipal (FISM).</w:t>
      </w: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t>Fondo Estatal de Fortalecimiento Municipal (FEFOM).</w:t>
      </w:r>
    </w:p>
    <w:p w:rsidR="005802F7" w:rsidRDefault="005802F7">
      <w:pPr>
        <w:pStyle w:val="Prrafodelista"/>
        <w:widowControl w:val="0"/>
        <w:tabs>
          <w:tab w:val="left" w:pos="1701"/>
          <w:tab w:val="left" w:pos="1843"/>
        </w:tabs>
        <w:spacing w:line="360" w:lineRule="auto"/>
        <w:ind w:left="1134"/>
        <w:contextualSpacing/>
        <w:jc w:val="both"/>
        <w:rPr>
          <w:rFonts w:ascii="Palatino Linotype" w:hAnsi="Palatino Linotype"/>
          <w:i/>
          <w:sz w:val="22"/>
          <w:szCs w:val="22"/>
        </w:rPr>
      </w:pPr>
    </w:p>
    <w:p w:rsidR="005802F7" w:rsidRDefault="00C71A23">
      <w:pPr>
        <w:pStyle w:val="Prrafodelista"/>
        <w:widowControl w:val="0"/>
        <w:numPr>
          <w:ilvl w:val="1"/>
          <w:numId w:val="4"/>
        </w:numPr>
        <w:tabs>
          <w:tab w:val="left" w:pos="1701"/>
          <w:tab w:val="left" w:pos="1843"/>
        </w:tabs>
        <w:spacing w:line="360" w:lineRule="auto"/>
        <w:contextualSpacing/>
        <w:jc w:val="both"/>
        <w:rPr>
          <w:rFonts w:ascii="Palatino Linotype" w:hAnsi="Palatino Linotype"/>
          <w:i/>
          <w:sz w:val="22"/>
          <w:szCs w:val="22"/>
        </w:rPr>
      </w:pPr>
      <w:r>
        <w:rPr>
          <w:rFonts w:ascii="Palatino Linotype" w:hAnsi="Palatino Linotype"/>
          <w:i/>
          <w:sz w:val="22"/>
          <w:szCs w:val="22"/>
        </w:rPr>
        <w:t>Monto que ingresó al Municipio de Chalco por dichos conceptos.</w:t>
      </w:r>
    </w:p>
    <w:p w:rsidR="005802F7" w:rsidRDefault="00C71A23">
      <w:pPr>
        <w:pStyle w:val="Prrafodelista"/>
        <w:widowControl w:val="0"/>
        <w:numPr>
          <w:ilvl w:val="1"/>
          <w:numId w:val="4"/>
        </w:numPr>
        <w:tabs>
          <w:tab w:val="left" w:pos="1701"/>
          <w:tab w:val="left" w:pos="1843"/>
        </w:tabs>
        <w:spacing w:line="360" w:lineRule="auto"/>
        <w:contextualSpacing/>
        <w:jc w:val="both"/>
        <w:rPr>
          <w:rFonts w:ascii="Palatino Linotype" w:hAnsi="Palatino Linotype"/>
          <w:i/>
          <w:sz w:val="22"/>
          <w:szCs w:val="22"/>
        </w:rPr>
      </w:pPr>
      <w:r>
        <w:rPr>
          <w:rFonts w:ascii="Palatino Linotype" w:hAnsi="Palatino Linotype"/>
          <w:i/>
          <w:sz w:val="22"/>
          <w:szCs w:val="22"/>
        </w:rPr>
        <w:t>Perioricidad de las ministraciones (mensuales, bimestrales o trimestrales).</w:t>
      </w:r>
    </w:p>
    <w:p w:rsidR="005802F7" w:rsidRDefault="00C71A23">
      <w:pPr>
        <w:pStyle w:val="Prrafodelista"/>
        <w:widowControl w:val="0"/>
        <w:numPr>
          <w:ilvl w:val="1"/>
          <w:numId w:val="4"/>
        </w:numPr>
        <w:tabs>
          <w:tab w:val="left" w:pos="1701"/>
          <w:tab w:val="left" w:pos="1843"/>
        </w:tabs>
        <w:spacing w:line="360" w:lineRule="auto"/>
        <w:contextualSpacing/>
        <w:jc w:val="both"/>
        <w:rPr>
          <w:rFonts w:ascii="Palatino Linotype" w:hAnsi="Palatino Linotype"/>
          <w:i/>
          <w:sz w:val="22"/>
          <w:szCs w:val="22"/>
        </w:rPr>
      </w:pPr>
      <w:r>
        <w:rPr>
          <w:rFonts w:ascii="Palatino Linotype" w:hAnsi="Palatino Linotype"/>
          <w:i/>
          <w:sz w:val="22"/>
          <w:szCs w:val="22"/>
        </w:rPr>
        <w:t>Acciones y obras en las que fue ejercido el recurso.</w:t>
      </w:r>
    </w:p>
    <w:p w:rsidR="005802F7" w:rsidRDefault="00C71A23">
      <w:pPr>
        <w:pStyle w:val="Prrafodelista"/>
        <w:widowControl w:val="0"/>
        <w:numPr>
          <w:ilvl w:val="1"/>
          <w:numId w:val="4"/>
        </w:numPr>
        <w:tabs>
          <w:tab w:val="left" w:pos="1701"/>
          <w:tab w:val="left" w:pos="1843"/>
        </w:tabs>
        <w:spacing w:line="360" w:lineRule="auto"/>
        <w:contextualSpacing/>
        <w:jc w:val="both"/>
        <w:rPr>
          <w:rFonts w:ascii="Palatino Linotype" w:hAnsi="Palatino Linotype"/>
          <w:i/>
          <w:sz w:val="22"/>
          <w:szCs w:val="22"/>
        </w:rPr>
      </w:pPr>
      <w:r>
        <w:rPr>
          <w:rFonts w:ascii="Palatino Linotype" w:hAnsi="Palatino Linotype"/>
          <w:i/>
          <w:sz w:val="22"/>
          <w:szCs w:val="22"/>
        </w:rPr>
        <w:t>Documentos donde se autorice su ejercicio.</w:t>
      </w:r>
    </w:p>
    <w:p w:rsidR="005802F7" w:rsidRDefault="005802F7">
      <w:pPr>
        <w:pStyle w:val="Prrafodelista"/>
        <w:widowControl w:val="0"/>
        <w:tabs>
          <w:tab w:val="left" w:pos="1701"/>
          <w:tab w:val="left" w:pos="1843"/>
        </w:tabs>
        <w:spacing w:line="360" w:lineRule="auto"/>
        <w:ind w:left="1440"/>
        <w:contextualSpacing/>
        <w:jc w:val="both"/>
        <w:rPr>
          <w:rFonts w:ascii="Palatino Linotype" w:hAnsi="Palatino Linotype"/>
          <w:i/>
          <w:sz w:val="22"/>
          <w:szCs w:val="22"/>
        </w:rPr>
      </w:pPr>
    </w:p>
    <w:p w:rsidR="005802F7" w:rsidRDefault="00C71A23">
      <w:pPr>
        <w:pStyle w:val="Prrafodelista"/>
        <w:widowControl w:val="0"/>
        <w:numPr>
          <w:ilvl w:val="0"/>
          <w:numId w:val="4"/>
        </w:numPr>
        <w:tabs>
          <w:tab w:val="left" w:pos="1701"/>
          <w:tab w:val="left" w:pos="1843"/>
        </w:tabs>
        <w:spacing w:line="360" w:lineRule="auto"/>
        <w:ind w:left="1134" w:hanging="425"/>
        <w:contextualSpacing/>
        <w:jc w:val="both"/>
        <w:rPr>
          <w:rFonts w:ascii="Palatino Linotype" w:hAnsi="Palatino Linotype"/>
          <w:i/>
          <w:sz w:val="22"/>
          <w:szCs w:val="22"/>
        </w:rPr>
      </w:pPr>
      <w:r>
        <w:rPr>
          <w:rFonts w:ascii="Palatino Linotype" w:hAnsi="Palatino Linotype"/>
          <w:i/>
          <w:sz w:val="22"/>
          <w:szCs w:val="22"/>
        </w:rPr>
        <w:lastRenderedPageBreak/>
        <w:t>Monto de los ingresos totales del Municipio de Chalco para el ejercicio 2019, así como la forma en que fueron ingresados los recursos.</w:t>
      </w:r>
    </w:p>
    <w:p w:rsidR="005802F7" w:rsidRDefault="005802F7">
      <w:pPr>
        <w:pStyle w:val="Prrafodelista"/>
        <w:widowControl w:val="0"/>
        <w:tabs>
          <w:tab w:val="left" w:pos="1701"/>
          <w:tab w:val="left" w:pos="1843"/>
        </w:tabs>
        <w:spacing w:line="360" w:lineRule="auto"/>
        <w:ind w:left="720"/>
        <w:contextualSpacing/>
        <w:jc w:val="both"/>
        <w:rPr>
          <w:rFonts w:ascii="Palatino Linotype" w:hAnsi="Palatino Linotype" w:cs="Arial"/>
          <w:b/>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Así, como se indicó en el Resultando III de la presente Resolución, </w:t>
      </w:r>
      <w:r>
        <w:rPr>
          <w:rFonts w:ascii="Palatino Linotype" w:hAnsi="Palatino Linotype" w:cs="Arial"/>
          <w:b/>
        </w:rPr>
        <w:t>EL SUJETO OBLIGADO</w:t>
      </w:r>
      <w:r>
        <w:rPr>
          <w:rFonts w:ascii="Palatino Linotype" w:hAnsi="Palatino Linotype" w:cs="Arial"/>
        </w:rPr>
        <w:t xml:space="preserve"> en su respuesta a la solicitud de información del hoy </w:t>
      </w:r>
      <w:r>
        <w:rPr>
          <w:rFonts w:ascii="Palatino Linotype" w:hAnsi="Palatino Linotype" w:cs="Arial"/>
          <w:b/>
        </w:rPr>
        <w:t>RECURRENTE</w:t>
      </w:r>
      <w:r>
        <w:rPr>
          <w:rFonts w:ascii="Palatino Linotype" w:hAnsi="Palatino Linotype" w:cs="Arial"/>
        </w:rPr>
        <w:t>, proporcionó documentación tendiente a colmar el derecho de acceso a la información pública accionado por el particular.</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spacing w:line="360" w:lineRule="auto"/>
        <w:jc w:val="both"/>
        <w:rPr>
          <w:rFonts w:ascii="Palatino Linotype" w:hAnsi="Palatino Linotype" w:cs="Arial"/>
          <w:lang w:eastAsia="es-MX"/>
        </w:rPr>
      </w:pPr>
      <w:r>
        <w:rPr>
          <w:rFonts w:ascii="Palatino Linotype" w:hAnsi="Palatino Linotype" w:cs="Arial"/>
        </w:rPr>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razones o motivos de inconformidad, que </w:t>
      </w:r>
      <w:r>
        <w:rPr>
          <w:rFonts w:ascii="Palatino Linotype" w:hAnsi="Palatino Linotype" w:cs="Arial"/>
          <w:b/>
        </w:rPr>
        <w:t xml:space="preserve">EL SUJETO OBLIGADO </w:t>
      </w:r>
      <w:r>
        <w:rPr>
          <w:rFonts w:ascii="Palatino Linotype" w:hAnsi="Palatino Linotype" w:cs="Arial"/>
        </w:rPr>
        <w:t>vulneró su derecho de acceso a la información pública; por lo que</w:t>
      </w:r>
      <w:r>
        <w:rPr>
          <w:rFonts w:ascii="Palatino Linotype" w:hAnsi="Palatino Linotype" w:cs="Arial"/>
          <w:lang w:eastAsia="es-MX"/>
        </w:rPr>
        <w:t xml:space="preserve">, este Instituto considera conveniente entrar al estudio de lo solicitado, a fin de verificar si la respuesta del </w:t>
      </w:r>
      <w:r>
        <w:rPr>
          <w:rFonts w:ascii="Palatino Linotype" w:hAnsi="Palatino Linotype" w:cs="Arial"/>
          <w:b/>
          <w:lang w:eastAsia="es-MX"/>
        </w:rPr>
        <w:t>Ayuntamiento de Chalco</w:t>
      </w:r>
      <w:r>
        <w:rPr>
          <w:rFonts w:ascii="Palatino Linotype" w:hAnsi="Palatino Linotype" w:cs="Arial"/>
          <w:lang w:eastAsia="es-MX"/>
        </w:rPr>
        <w:t xml:space="preserve"> satisfizo el derecho de acceso a la información pública del </w:t>
      </w:r>
      <w:r>
        <w:rPr>
          <w:rFonts w:ascii="Palatino Linotype" w:hAnsi="Palatino Linotype" w:cs="Arial"/>
          <w:b/>
          <w:lang w:eastAsia="es-MX"/>
        </w:rPr>
        <w:t>RECURRENTE</w:t>
      </w:r>
      <w:r>
        <w:rPr>
          <w:rFonts w:ascii="Palatino Linotype" w:hAnsi="Palatino Linotype" w:cs="Arial"/>
          <w:lang w:eastAsia="es-MX"/>
        </w:rPr>
        <w:t>.</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spacing w:line="360" w:lineRule="auto"/>
        <w:jc w:val="both"/>
        <w:rPr>
          <w:rFonts w:ascii="Palatino Linotype" w:hAnsi="Palatino Linotype" w:cs="Arial"/>
          <w:lang w:eastAsia="es-MX"/>
        </w:rPr>
      </w:pPr>
      <w:r>
        <w:rPr>
          <w:rFonts w:ascii="Palatino Linotype" w:hAnsi="Palatino Linotype" w:cs="Arial"/>
          <w:lang w:eastAsia="es-MX"/>
        </w:rPr>
        <w:t>Lo anterior, atendiendo al principio de máxima publicidad de conformidad con el artículo 8 de la Ley de Transparencia y Acceso a la Información Pública del Estado de México y Municipios que señala:</w:t>
      </w:r>
    </w:p>
    <w:p w:rsidR="005802F7" w:rsidRDefault="005802F7">
      <w:pPr>
        <w:spacing w:line="360" w:lineRule="auto"/>
        <w:jc w:val="both"/>
        <w:rPr>
          <w:rFonts w:ascii="Palatino Linotype" w:hAnsi="Palatino Linotype" w:cs="Arial"/>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8</w:t>
      </w:r>
      <w:r>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5802F7" w:rsidRDefault="005802F7">
      <w:pPr>
        <w:spacing w:line="360" w:lineRule="auto"/>
        <w:jc w:val="both"/>
        <w:rPr>
          <w:rFonts w:ascii="Palatino Linotype" w:hAnsi="Palatino Linotype" w:cs="Arial"/>
          <w:lang w:eastAsia="es-MX"/>
        </w:rPr>
      </w:pPr>
    </w:p>
    <w:p w:rsidR="005802F7" w:rsidRDefault="00C71A23">
      <w:pPr>
        <w:spacing w:line="360" w:lineRule="auto"/>
        <w:jc w:val="both"/>
        <w:rPr>
          <w:rFonts w:ascii="Palatino Linotype" w:hAnsi="Palatino Linotype" w:cs="Arial"/>
          <w:lang w:eastAsia="es-MX"/>
        </w:rPr>
      </w:pPr>
      <w:r>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5802F7" w:rsidRDefault="005802F7">
      <w:pPr>
        <w:spacing w:line="360" w:lineRule="auto"/>
        <w:jc w:val="both"/>
        <w:rPr>
          <w:rFonts w:ascii="Palatino Linotype" w:hAnsi="Palatino Linotype" w:cs="Arial"/>
          <w:lang w:eastAsia="es-MX"/>
        </w:rPr>
      </w:pPr>
    </w:p>
    <w:p w:rsidR="005802F7" w:rsidRPr="00263A95" w:rsidRDefault="00C71A23">
      <w:pPr>
        <w:ind w:left="709" w:right="757"/>
        <w:jc w:val="both"/>
        <w:rPr>
          <w:rFonts w:ascii="Palatino Linotype" w:hAnsi="Palatino Linotype" w:cs="Arial"/>
          <w:i/>
          <w:sz w:val="22"/>
          <w:lang w:val="pt-BR" w:eastAsia="es-MX"/>
        </w:rPr>
      </w:pPr>
      <w:r w:rsidRPr="00263A95">
        <w:rPr>
          <w:rFonts w:ascii="Palatino Linotype" w:hAnsi="Palatino Linotype" w:cs="Arial"/>
          <w:i/>
          <w:sz w:val="22"/>
          <w:lang w:val="pt-BR" w:eastAsia="es-MX"/>
        </w:rPr>
        <w:t xml:space="preserve">“Época: Décima Época </w:t>
      </w:r>
    </w:p>
    <w:p w:rsidR="005802F7" w:rsidRPr="00263A95" w:rsidRDefault="00C71A23">
      <w:pPr>
        <w:ind w:left="709" w:right="757"/>
        <w:jc w:val="both"/>
        <w:rPr>
          <w:rFonts w:ascii="Palatino Linotype" w:hAnsi="Palatino Linotype" w:cs="Arial"/>
          <w:i/>
          <w:sz w:val="22"/>
          <w:lang w:val="pt-BR" w:eastAsia="es-MX"/>
        </w:rPr>
      </w:pPr>
      <w:r w:rsidRPr="00263A95">
        <w:rPr>
          <w:rFonts w:ascii="Palatino Linotype" w:hAnsi="Palatino Linotype" w:cs="Arial"/>
          <w:i/>
          <w:sz w:val="22"/>
          <w:lang w:val="pt-BR" w:eastAsia="es-MX"/>
        </w:rPr>
        <w:t xml:space="preserve">Registro: 2007561 </w:t>
      </w:r>
    </w:p>
    <w:p w:rsidR="005802F7" w:rsidRPr="00263A95" w:rsidRDefault="00C71A23">
      <w:pPr>
        <w:ind w:left="709" w:right="757"/>
        <w:jc w:val="both"/>
        <w:rPr>
          <w:rFonts w:ascii="Palatino Linotype" w:hAnsi="Palatino Linotype" w:cs="Arial"/>
          <w:i/>
          <w:sz w:val="22"/>
          <w:lang w:val="pt-BR" w:eastAsia="es-MX"/>
        </w:rPr>
      </w:pPr>
      <w:r w:rsidRPr="00263A95">
        <w:rPr>
          <w:rFonts w:ascii="Palatino Linotype" w:hAnsi="Palatino Linotype" w:cs="Arial"/>
          <w:i/>
          <w:sz w:val="22"/>
          <w:lang w:val="pt-BR" w:eastAsia="es-MX"/>
        </w:rPr>
        <w:t xml:space="preserve">Instancia: Primera Sala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Tipo de Tesis: Aislada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Fuente: Gaceta del Semanario Judicial de la Federación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Libro 11, Octubre de 2014, Tomo I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Materia(s): Constitucional, Común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Tesis: 1a. CCCXXVII/2014 (10a.) </w:t>
      </w: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Página: 613 </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Pr>
          <w:rFonts w:ascii="Palatino Linotype" w:hAnsi="Palatino Linotype" w:cs="Arial"/>
          <w:i/>
          <w:sz w:val="22"/>
          <w:lang w:eastAsia="es-MX"/>
        </w:rPr>
        <w:t>.</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w:t>
      </w:r>
      <w:r>
        <w:rPr>
          <w:rFonts w:ascii="Palatino Linotype" w:hAnsi="Palatino Linotype" w:cs="Arial"/>
          <w:i/>
          <w:sz w:val="22"/>
          <w:lang w:eastAsia="es-MX"/>
        </w:rPr>
        <w:lastRenderedPageBreak/>
        <w:t>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5802F7" w:rsidRDefault="005802F7">
      <w:pPr>
        <w:spacing w:line="360" w:lineRule="auto"/>
        <w:jc w:val="both"/>
        <w:rPr>
          <w:rFonts w:ascii="Palatino Linotype" w:hAnsi="Palatino Linotype" w:cs="Arial"/>
          <w:lang w:eastAsia="es-MX"/>
        </w:rPr>
      </w:pPr>
    </w:p>
    <w:p w:rsidR="005802F7" w:rsidRDefault="00C71A23">
      <w:pPr>
        <w:spacing w:line="360" w:lineRule="auto"/>
        <w:jc w:val="both"/>
        <w:rPr>
          <w:rFonts w:ascii="Palatino Linotype" w:hAnsi="Palatino Linotype" w:cs="Arial"/>
          <w:lang w:eastAsia="es-MX"/>
        </w:rPr>
      </w:pPr>
      <w:r>
        <w:rPr>
          <w:rFonts w:ascii="Palatino Linotype" w:hAnsi="Palatino Linotype" w:cs="Arial"/>
          <w:lang w:eastAsia="es-MX"/>
        </w:rPr>
        <w:t xml:space="preserve">Adicional a lo anterior, y toda vez que, </w:t>
      </w:r>
      <w:r>
        <w:rPr>
          <w:rFonts w:ascii="Palatino Linotype" w:hAnsi="Palatino Linotype" w:cs="Arial"/>
          <w:b/>
          <w:lang w:eastAsia="es-MX"/>
        </w:rPr>
        <w:t>EL SUJETO OBLIGADO</w:t>
      </w:r>
      <w:r>
        <w:rPr>
          <w:rFonts w:ascii="Palatino Linotype" w:hAnsi="Palatino Linotype" w:cs="Arial"/>
          <w:lang w:eastAsia="es-MX"/>
        </w:rPr>
        <w:t xml:space="preserve"> realizó manifestaciones y proporcionó parte de la información solicitada y atendiendo a la naturaleza de la misma, este Instituto no está facultado para pronunciarse sobre la veracidad de la información proporcionada. </w:t>
      </w:r>
    </w:p>
    <w:p w:rsidR="005802F7" w:rsidRDefault="005802F7">
      <w:pPr>
        <w:spacing w:line="360" w:lineRule="auto"/>
        <w:jc w:val="both"/>
        <w:rPr>
          <w:rFonts w:ascii="Palatino Linotype" w:hAnsi="Palatino Linotype" w:cs="Arial"/>
          <w:lang w:eastAsia="es-MX"/>
        </w:rPr>
      </w:pPr>
    </w:p>
    <w:p w:rsidR="005802F7" w:rsidRDefault="00C71A23">
      <w:pPr>
        <w:spacing w:line="360" w:lineRule="auto"/>
        <w:jc w:val="both"/>
        <w:rPr>
          <w:rFonts w:ascii="Palatino Linotype" w:hAnsi="Palatino Linotype" w:cs="Arial"/>
          <w:lang w:eastAsia="es-MX"/>
        </w:rPr>
      </w:pPr>
      <w:r>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5802F7" w:rsidRDefault="005802F7">
      <w:pPr>
        <w:spacing w:line="360" w:lineRule="auto"/>
        <w:jc w:val="both"/>
        <w:rPr>
          <w:rFonts w:ascii="Palatino Linotype" w:hAnsi="Palatino Linotype" w:cs="Arial"/>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lang w:eastAsia="es-MX"/>
        </w:rPr>
        <w:t xml:space="preserve">. </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Expedientes:</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2440/07 Comisión Federal de Electricidad - Alonso Lujambio Irazábal</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0113/09 Instituto de Seguridad y Servicios Sociales de los Trabajadores del Estado – Alonso Lujambio Irazábal</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1624/09 Instituto Nacional para la Educación de los Adultos - María Marván Laborde</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2395/09 Secretaría de Economía - María Marván Laborde</w:t>
      </w:r>
    </w:p>
    <w:p w:rsidR="005802F7" w:rsidRDefault="005802F7">
      <w:pPr>
        <w:ind w:left="709" w:right="757"/>
        <w:jc w:val="both"/>
        <w:rPr>
          <w:rFonts w:ascii="Palatino Linotype" w:hAnsi="Palatino Linotype" w:cs="Arial"/>
          <w:i/>
          <w:sz w:val="22"/>
          <w:lang w:eastAsia="es-MX"/>
        </w:rPr>
      </w:pPr>
    </w:p>
    <w:p w:rsidR="005802F7" w:rsidRDefault="00C71A23">
      <w:pPr>
        <w:ind w:left="709" w:right="757"/>
        <w:jc w:val="both"/>
        <w:rPr>
          <w:rFonts w:ascii="Palatino Linotype" w:hAnsi="Palatino Linotype" w:cs="Arial"/>
          <w:i/>
          <w:sz w:val="22"/>
          <w:lang w:eastAsia="es-MX"/>
        </w:rPr>
      </w:pPr>
      <w:r>
        <w:rPr>
          <w:rFonts w:ascii="Palatino Linotype" w:hAnsi="Palatino Linotype" w:cs="Arial"/>
          <w:i/>
          <w:sz w:val="22"/>
          <w:lang w:eastAsia="es-MX"/>
        </w:rPr>
        <w:t>0837/10 Administración Portuaria Integral de Veracruz, S.A. de C.V. – María Marván Laborde”</w:t>
      </w:r>
    </w:p>
    <w:p w:rsidR="005802F7" w:rsidRDefault="005802F7">
      <w:pPr>
        <w:widowControl w:val="0"/>
        <w:spacing w:line="360" w:lineRule="auto"/>
        <w:jc w:val="both"/>
        <w:rPr>
          <w:rFonts w:ascii="Palatino Linotype" w:eastAsia="Arial Unicode MS" w:hAnsi="Palatino Linotype" w:cs="Arial"/>
        </w:rPr>
      </w:pPr>
    </w:p>
    <w:p w:rsidR="005802F7" w:rsidRDefault="00C71A23">
      <w:pPr>
        <w:spacing w:line="360" w:lineRule="auto"/>
        <w:jc w:val="both"/>
        <w:rPr>
          <w:rFonts w:ascii="Palatino Linotype" w:hAnsi="Palatino Linotype"/>
        </w:rPr>
      </w:pPr>
      <w:r>
        <w:rPr>
          <w:rFonts w:ascii="Palatino Linotype" w:hAnsi="Palatino Linotype" w:cs="Arial"/>
        </w:rPr>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en el recurso que nos ocupa, dado que éste ha asumido la misma, en razón de que en su respuesta e Informe Justificado, </w:t>
      </w:r>
      <w:r>
        <w:rPr>
          <w:rFonts w:ascii="Palatino Linotype" w:hAnsi="Palatino Linotype" w:cs="Arial"/>
          <w:color w:val="000000"/>
        </w:rPr>
        <w:t xml:space="preserve">se pronunció ante todos y cada uno de los requerimientos del </w:t>
      </w:r>
      <w:r>
        <w:rPr>
          <w:rFonts w:ascii="Palatino Linotype" w:hAnsi="Palatino Linotype" w:cs="Arial"/>
          <w:color w:val="000000"/>
        </w:rPr>
        <w:lastRenderedPageBreak/>
        <w:t>ciudadano realizando manifestaciones y proporcionando información con lo cual pretende colmar el derecho de acceso a la información d</w:t>
      </w:r>
      <w:r>
        <w:rPr>
          <w:rFonts w:ascii="Palatino Linotype" w:hAnsi="Palatino Linotype"/>
        </w:rPr>
        <w:t xml:space="preserve">el particular, por lo cual, asume contar con la información a la que pretende acceder </w:t>
      </w:r>
      <w:r>
        <w:rPr>
          <w:rFonts w:ascii="Palatino Linotype" w:hAnsi="Palatino Linotype" w:cs="Arial"/>
          <w:b/>
        </w:rPr>
        <w:t>EL RECURRENTE</w:t>
      </w:r>
      <w:r>
        <w:rPr>
          <w:rFonts w:ascii="Palatino Linotype" w:hAnsi="Palatino Linotype"/>
        </w:rPr>
        <w:t>.</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5802F7" w:rsidRDefault="005802F7">
      <w:pPr>
        <w:pStyle w:val="Prrafodelista"/>
        <w:spacing w:line="360" w:lineRule="auto"/>
        <w:jc w:val="both"/>
        <w:rPr>
          <w:rFonts w:ascii="Palatino Linotype" w:hAnsi="Palatino Linotype"/>
        </w:rPr>
      </w:pPr>
    </w:p>
    <w:p w:rsidR="005802F7" w:rsidRDefault="00C71A23">
      <w:pPr>
        <w:pStyle w:val="Prrafodelista"/>
        <w:ind w:right="899"/>
        <w:jc w:val="both"/>
        <w:rPr>
          <w:rFonts w:ascii="Palatino Linotype" w:hAnsi="Palatino Linotype"/>
          <w:i/>
          <w:sz w:val="22"/>
        </w:rPr>
      </w:pPr>
      <w:r>
        <w:rPr>
          <w:rFonts w:ascii="Palatino Linotype" w:hAnsi="Palatino Linotype"/>
          <w:b/>
          <w:i/>
          <w:sz w:val="22"/>
        </w:rPr>
        <w:t>“Artículo 12</w:t>
      </w:r>
      <w:r>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5802F7" w:rsidRDefault="005802F7">
      <w:pPr>
        <w:pStyle w:val="Prrafodelista"/>
        <w:ind w:right="899"/>
        <w:jc w:val="both"/>
        <w:rPr>
          <w:rFonts w:ascii="Palatino Linotype" w:hAnsi="Palatino Linotype"/>
          <w:i/>
          <w:sz w:val="22"/>
        </w:rPr>
      </w:pPr>
    </w:p>
    <w:p w:rsidR="005802F7" w:rsidRDefault="00C71A23">
      <w:pPr>
        <w:pStyle w:val="Prrafodelista"/>
        <w:ind w:right="899"/>
        <w:jc w:val="both"/>
        <w:rPr>
          <w:rFonts w:ascii="Palatino Linotype" w:hAnsi="Palatino Linotype"/>
          <w:b/>
          <w:i/>
          <w:sz w:val="22"/>
        </w:rPr>
      </w:pPr>
      <w:r>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rPr>
        <w:t>”</w:t>
      </w:r>
    </w:p>
    <w:p w:rsidR="005802F7" w:rsidRDefault="005802F7">
      <w:pPr>
        <w:pStyle w:val="Prrafodelista"/>
        <w:spacing w:line="360" w:lineRule="auto"/>
        <w:ind w:right="899"/>
        <w:jc w:val="both"/>
        <w:rPr>
          <w:rFonts w:ascii="Palatino Linotype" w:hAnsi="Palatino Linotype"/>
          <w:i/>
        </w:rPr>
      </w:pPr>
    </w:p>
    <w:p w:rsidR="005802F7" w:rsidRDefault="00C71A23">
      <w:pPr>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w:t>
      </w:r>
      <w:r>
        <w:rPr>
          <w:rFonts w:ascii="Palatino Linotype" w:hAnsi="Palatino Linotype"/>
        </w:rPr>
        <w:lastRenderedPageBreak/>
        <w:t>supuesto jurídico, previsto en el artículo 12 de la Ley de la materia, anteriormente referido.</w:t>
      </w:r>
    </w:p>
    <w:p w:rsidR="005802F7" w:rsidRDefault="005802F7">
      <w:pPr>
        <w:spacing w:line="360" w:lineRule="auto"/>
        <w:jc w:val="both"/>
        <w:rPr>
          <w:rFonts w:ascii="Palatino Linotype" w:hAnsi="Palatino Linotype" w:cs="Arial"/>
          <w:bCs/>
        </w:rPr>
      </w:pPr>
    </w:p>
    <w:p w:rsidR="005802F7" w:rsidRDefault="00C71A23">
      <w:pPr>
        <w:spacing w:line="360" w:lineRule="auto"/>
        <w:jc w:val="both"/>
        <w:rPr>
          <w:rFonts w:ascii="Palatino Linotype" w:hAnsi="Palatino Linotype" w:cs="Arial"/>
          <w:bCs/>
        </w:rPr>
      </w:pPr>
      <w:r>
        <w:rPr>
          <w:rFonts w:ascii="Palatino Linotype" w:hAnsi="Palatino Linotype" w:cs="Arial"/>
          <w:bCs/>
        </w:rPr>
        <w:t xml:space="preserve">Además, es dable sostener que este Instituto considera necesario dejar claro que, al haber existido un pronunciamiento por parte del </w:t>
      </w:r>
      <w:r>
        <w:rPr>
          <w:rFonts w:ascii="Palatino Linotype" w:hAnsi="Palatino Linotype" w:cs="Arial"/>
          <w:b/>
          <w:bCs/>
        </w:rPr>
        <w:t>SUJETO OBLIGADO</w:t>
      </w:r>
      <w:r>
        <w:rPr>
          <w:rFonts w:ascii="Palatino Linotype" w:hAnsi="Palatino Linotype" w:cs="Arial"/>
          <w:bCs/>
        </w:rPr>
        <w:t xml:space="preserve">, no está facultado para manifestarse sobre la veracidad del mismo, pues no existe precepto legal alguno en la Ley de la materia que lo faculte para que vía recurso de revisión, pueda pronunciarse al respecto. </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cs="Arial"/>
          <w:bCs/>
        </w:rPr>
      </w:pPr>
      <w:r>
        <w:rPr>
          <w:rFonts w:ascii="Palatino Linotype" w:hAnsi="Palatino Linotype" w:cs="Arial"/>
          <w:bCs/>
        </w:rPr>
        <w:t>Sirve de apoyo a lo anterior por analogía el criterio 31-10 emitido por el entonces Instituto Federal de Acceso a la Información que a la letra dice:</w:t>
      </w:r>
    </w:p>
    <w:p w:rsidR="005802F7" w:rsidRDefault="005802F7">
      <w:pPr>
        <w:pStyle w:val="Prrafodelista"/>
        <w:spacing w:line="360" w:lineRule="auto"/>
        <w:jc w:val="both"/>
        <w:rPr>
          <w:rFonts w:ascii="Palatino Linotype" w:hAnsi="Palatino Linotype" w:cs="Arial"/>
          <w:bCs/>
        </w:rPr>
      </w:pPr>
    </w:p>
    <w:p w:rsidR="005802F7" w:rsidRDefault="00C71A23">
      <w:pPr>
        <w:pStyle w:val="Prrafodelista"/>
        <w:ind w:right="757"/>
        <w:jc w:val="both"/>
        <w:rPr>
          <w:rFonts w:ascii="Palatino Linotype" w:hAnsi="Palatino Linotype" w:cs="Arial"/>
          <w:bCs/>
          <w:i/>
          <w:sz w:val="22"/>
        </w:rPr>
      </w:pPr>
      <w:r>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bCs/>
          <w:i/>
          <w:sz w:val="22"/>
        </w:rPr>
        <w:t xml:space="preserve">. </w:t>
      </w:r>
    </w:p>
    <w:p w:rsidR="005802F7" w:rsidRDefault="005802F7">
      <w:pPr>
        <w:pStyle w:val="Prrafodelista"/>
        <w:ind w:right="757"/>
        <w:jc w:val="both"/>
        <w:rPr>
          <w:rFonts w:ascii="Palatino Linotype" w:hAnsi="Palatino Linotype" w:cs="Arial"/>
          <w:bCs/>
          <w:i/>
          <w:sz w:val="22"/>
        </w:rPr>
      </w:pPr>
    </w:p>
    <w:p w:rsidR="005802F7" w:rsidRDefault="00C71A23">
      <w:pPr>
        <w:pStyle w:val="Prrafodelista"/>
        <w:ind w:right="757"/>
        <w:jc w:val="both"/>
        <w:rPr>
          <w:rFonts w:ascii="Palatino Linotype" w:hAnsi="Palatino Linotype" w:cs="Arial"/>
          <w:b/>
          <w:bCs/>
          <w:i/>
          <w:sz w:val="22"/>
        </w:rPr>
      </w:pPr>
      <w:r>
        <w:rPr>
          <w:rFonts w:ascii="Palatino Linotype" w:hAnsi="Palatino Linotype" w:cs="Arial"/>
          <w:bCs/>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b/>
          <w:bCs/>
          <w:i/>
          <w:sz w:val="22"/>
        </w:rPr>
        <w:t>”</w:t>
      </w:r>
    </w:p>
    <w:p w:rsidR="005802F7" w:rsidRDefault="005802F7">
      <w:pPr>
        <w:pStyle w:val="Prrafodelista"/>
        <w:tabs>
          <w:tab w:val="left" w:pos="709"/>
        </w:tabs>
        <w:spacing w:line="360" w:lineRule="auto"/>
        <w:ind w:right="899"/>
        <w:jc w:val="both"/>
        <w:rPr>
          <w:rFonts w:ascii="Palatino Linotype" w:hAnsi="Palatino Linotype" w:cs="Arial"/>
          <w:bCs/>
          <w:i/>
        </w:rPr>
      </w:pPr>
    </w:p>
    <w:p w:rsidR="005802F7" w:rsidRDefault="00C71A23">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cotejar los diversos requerimientos del entonces solicitante en contraposición con los documentos remitidos por </w:t>
      </w:r>
      <w:r>
        <w:rPr>
          <w:rFonts w:ascii="Palatino Linotype" w:hAnsi="Palatino Linotype" w:cs="Arial"/>
          <w:b/>
          <w:lang w:eastAsia="es-MX"/>
        </w:rPr>
        <w:t xml:space="preserve">EL SUJETO </w:t>
      </w:r>
      <w:r>
        <w:rPr>
          <w:rFonts w:ascii="Palatino Linotype" w:hAnsi="Palatino Linotype" w:cs="Arial"/>
          <w:b/>
          <w:lang w:eastAsia="es-MX"/>
        </w:rPr>
        <w:lastRenderedPageBreak/>
        <w:t xml:space="preserve">OBLIGADO </w:t>
      </w:r>
      <w:r>
        <w:rPr>
          <w:rFonts w:ascii="Palatino Linotype" w:hAnsi="Palatino Linotype" w:cs="Arial"/>
          <w:lang w:eastAsia="es-MX"/>
        </w:rPr>
        <w:t>a fin de verificar que rubros han sido colmados por éste y entonces de aquellos que no hayan sido atendidos, analizar la procedencia o no de la entrega de los documentos así como los términos en que se deberá realizar la misma.</w:t>
      </w:r>
    </w:p>
    <w:p w:rsidR="005802F7" w:rsidRDefault="005802F7">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1569"/>
        <w:gridCol w:w="1372"/>
        <w:gridCol w:w="1449"/>
        <w:gridCol w:w="1373"/>
        <w:gridCol w:w="1571"/>
        <w:gridCol w:w="780"/>
        <w:gridCol w:w="997"/>
      </w:tblGrid>
      <w:tr w:rsidR="005802F7" w:rsidRPr="00263A95">
        <w:tc>
          <w:tcPr>
            <w:tcW w:w="1573"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lang w:eastAsia="es-MX"/>
              </w:rPr>
            </w:pPr>
            <w:r>
              <w:rPr>
                <w:rFonts w:ascii="Palatino Linotype" w:eastAsiaTheme="minorHAnsi" w:hAnsi="Palatino Linotype" w:cs="Arial"/>
                <w:b/>
                <w:color w:val="FFFFFF" w:themeColor="background1"/>
                <w:sz w:val="22"/>
                <w:lang w:eastAsia="es-MX"/>
              </w:rPr>
              <w:t>Solicitud</w:t>
            </w:r>
          </w:p>
        </w:tc>
        <w:tc>
          <w:tcPr>
            <w:tcW w:w="7547" w:type="dxa"/>
            <w:gridSpan w:val="6"/>
            <w:shd w:val="clear" w:color="auto" w:fill="595959" w:themeFill="text1" w:themeFillTint="A6"/>
            <w:vAlign w:val="center"/>
          </w:tcPr>
          <w:p w:rsidR="005802F7" w:rsidRPr="00263A95" w:rsidRDefault="00C71A23">
            <w:pPr>
              <w:jc w:val="center"/>
              <w:rPr>
                <w:rFonts w:ascii="Palatino Linotype" w:hAnsi="Palatino Linotype" w:cs="Arial"/>
                <w:b/>
                <w:color w:val="FFFFFF" w:themeColor="background1"/>
                <w:lang w:val="pt-BR" w:eastAsia="es-MX"/>
              </w:rPr>
            </w:pPr>
            <w:r w:rsidRPr="00263A95">
              <w:rPr>
                <w:rFonts w:ascii="Palatino Linotype" w:eastAsiaTheme="minorHAnsi" w:hAnsi="Palatino Linotype" w:cs="Arial"/>
                <w:b/>
                <w:color w:val="FFFFFF" w:themeColor="background1"/>
                <w:sz w:val="22"/>
                <w:lang w:val="pt-BR" w:eastAsia="es-MX"/>
              </w:rPr>
              <w:t>Respuesta (R) e Informe Justificado (InfJ)</w:t>
            </w:r>
          </w:p>
        </w:tc>
      </w:tr>
      <w:tr w:rsidR="005802F7">
        <w:tc>
          <w:tcPr>
            <w:tcW w:w="1573" w:type="dxa"/>
            <w:shd w:val="clear" w:color="auto" w:fill="595959" w:themeFill="text1" w:themeFillTint="A6"/>
            <w:vAlign w:val="center"/>
          </w:tcPr>
          <w:p w:rsidR="005802F7" w:rsidRPr="00263A95" w:rsidRDefault="005802F7">
            <w:pPr>
              <w:rPr>
                <w:rFonts w:ascii="Palatino Linotype" w:hAnsi="Palatino Linotype" w:cs="Arial"/>
                <w:b/>
                <w:color w:val="FFFFFF" w:themeColor="background1"/>
                <w:lang w:val="pt-BR" w:eastAsia="es-MX"/>
              </w:rPr>
            </w:pPr>
          </w:p>
        </w:tc>
        <w:tc>
          <w:tcPr>
            <w:tcW w:w="1372"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FASP</w:t>
            </w:r>
          </w:p>
        </w:tc>
        <w:tc>
          <w:tcPr>
            <w:tcW w:w="1450"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FORTASEG</w:t>
            </w:r>
          </w:p>
        </w:tc>
        <w:tc>
          <w:tcPr>
            <w:tcW w:w="1373"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PAD</w:t>
            </w:r>
          </w:p>
        </w:tc>
        <w:tc>
          <w:tcPr>
            <w:tcW w:w="1573"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FORTAMUN</w:t>
            </w:r>
          </w:p>
        </w:tc>
        <w:tc>
          <w:tcPr>
            <w:tcW w:w="781"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FISM</w:t>
            </w:r>
          </w:p>
        </w:tc>
        <w:tc>
          <w:tcPr>
            <w:tcW w:w="998" w:type="dxa"/>
            <w:shd w:val="clear" w:color="auto" w:fill="595959" w:themeFill="text1" w:themeFillTint="A6"/>
            <w:vAlign w:val="center"/>
          </w:tcPr>
          <w:p w:rsidR="005802F7" w:rsidRDefault="00C71A23">
            <w:pPr>
              <w:jc w:val="center"/>
              <w:rPr>
                <w:rFonts w:ascii="Palatino Linotype" w:hAnsi="Palatino Linotype" w:cs="Arial"/>
                <w:b/>
                <w:color w:val="FFFFFF" w:themeColor="background1"/>
                <w:sz w:val="20"/>
                <w:szCs w:val="20"/>
                <w:lang w:eastAsia="es-MX"/>
              </w:rPr>
            </w:pPr>
            <w:r>
              <w:rPr>
                <w:rFonts w:ascii="Palatino Linotype" w:eastAsiaTheme="minorHAnsi" w:hAnsi="Palatino Linotype" w:cs="Arial"/>
                <w:b/>
                <w:color w:val="FFFFFF" w:themeColor="background1"/>
                <w:sz w:val="20"/>
                <w:szCs w:val="20"/>
                <w:lang w:eastAsia="es-MX"/>
              </w:rPr>
              <w:t>FEFOM</w:t>
            </w:r>
          </w:p>
        </w:tc>
      </w:tr>
      <w:tr w:rsidR="005802F7">
        <w:trPr>
          <w:trHeight w:val="540"/>
        </w:trPr>
        <w:tc>
          <w:tcPr>
            <w:tcW w:w="1573" w:type="dxa"/>
            <w:shd w:val="clear" w:color="auto" w:fill="D9D9D9" w:themeFill="background1" w:themeFillShade="D9"/>
            <w:vAlign w:val="center"/>
          </w:tcPr>
          <w:p w:rsidR="005802F7" w:rsidRDefault="00C71A23">
            <w:pPr>
              <w:jc w:val="center"/>
              <w:rPr>
                <w:rFonts w:ascii="Palatino Linotype" w:hAnsi="Palatino Linotype" w:cs="Arial"/>
                <w:sz w:val="18"/>
                <w:lang w:eastAsia="es-MX"/>
              </w:rPr>
            </w:pPr>
            <w:r>
              <w:rPr>
                <w:rFonts w:ascii="Palatino Linotype" w:eastAsiaTheme="minorHAnsi" w:hAnsi="Palatino Linotype" w:cs="Arial"/>
                <w:sz w:val="18"/>
                <w:lang w:eastAsia="es-MX"/>
              </w:rPr>
              <w:t>Monto que ingresó</w:t>
            </w:r>
          </w:p>
        </w:tc>
        <w:tc>
          <w:tcPr>
            <w:tcW w:w="1372"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450"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373"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573"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781"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998"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r>
      <w:tr w:rsidR="005802F7">
        <w:trPr>
          <w:trHeight w:val="540"/>
        </w:trPr>
        <w:tc>
          <w:tcPr>
            <w:tcW w:w="1573" w:type="dxa"/>
            <w:shd w:val="clear" w:color="auto" w:fill="FFFFFF" w:themeFill="background1"/>
            <w:vAlign w:val="center"/>
          </w:tcPr>
          <w:p w:rsidR="005802F7" w:rsidRDefault="00C71A23">
            <w:pPr>
              <w:jc w:val="center"/>
              <w:rPr>
                <w:rFonts w:ascii="Palatino Linotype" w:hAnsi="Palatino Linotype" w:cs="Arial"/>
                <w:sz w:val="18"/>
                <w:lang w:eastAsia="es-MX"/>
              </w:rPr>
            </w:pPr>
            <w:r>
              <w:rPr>
                <w:rFonts w:ascii="Palatino Linotype" w:eastAsiaTheme="minorHAnsi" w:hAnsi="Palatino Linotype" w:cs="Arial"/>
                <w:sz w:val="18"/>
                <w:lang w:eastAsia="es-MX"/>
              </w:rPr>
              <w:t>Periodo de las ministraciones</w:t>
            </w:r>
          </w:p>
        </w:tc>
        <w:tc>
          <w:tcPr>
            <w:tcW w:w="1372"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450"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373"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573"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781"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998"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w:t>
            </w:r>
          </w:p>
        </w:tc>
      </w:tr>
      <w:tr w:rsidR="005802F7">
        <w:trPr>
          <w:trHeight w:val="540"/>
        </w:trPr>
        <w:tc>
          <w:tcPr>
            <w:tcW w:w="1573" w:type="dxa"/>
            <w:shd w:val="clear" w:color="auto" w:fill="D9D9D9" w:themeFill="background1" w:themeFillShade="D9"/>
            <w:vAlign w:val="center"/>
          </w:tcPr>
          <w:p w:rsidR="005802F7" w:rsidRDefault="00C71A23">
            <w:pPr>
              <w:jc w:val="center"/>
              <w:rPr>
                <w:rFonts w:ascii="Palatino Linotype" w:hAnsi="Palatino Linotype" w:cs="Arial"/>
                <w:sz w:val="18"/>
                <w:lang w:eastAsia="es-MX"/>
              </w:rPr>
            </w:pPr>
            <w:r>
              <w:rPr>
                <w:rFonts w:ascii="Palatino Linotype" w:eastAsiaTheme="minorHAnsi" w:hAnsi="Palatino Linotype" w:cs="Arial"/>
                <w:sz w:val="18"/>
                <w:lang w:eastAsia="es-MX"/>
              </w:rPr>
              <w:t>Acciones y obras en las que fue ejercido el recurso</w:t>
            </w:r>
          </w:p>
        </w:tc>
        <w:tc>
          <w:tcPr>
            <w:tcW w:w="1372" w:type="dxa"/>
            <w:shd w:val="clear" w:color="auto" w:fill="D9D9D9" w:themeFill="background1" w:themeFillShade="D9"/>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 xml:space="preserve">Parcialmente </w:t>
            </w:r>
            <w:r>
              <w:rPr>
                <w:rFonts w:ascii="Palatino Linotype" w:eastAsiaTheme="minorHAnsi" w:hAnsi="Palatino Linotype" w:cs="Arial"/>
                <w:i/>
                <w:sz w:val="20"/>
                <w:szCs w:val="20"/>
                <w:lang w:eastAsia="es-MX"/>
              </w:rPr>
              <w:t>(R)</w:t>
            </w:r>
          </w:p>
        </w:tc>
        <w:tc>
          <w:tcPr>
            <w:tcW w:w="1450" w:type="dxa"/>
            <w:shd w:val="clear" w:color="auto" w:fill="D9D9D9" w:themeFill="background1" w:themeFillShade="D9"/>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 xml:space="preserve">Parcialmente </w:t>
            </w:r>
            <w:r>
              <w:rPr>
                <w:rFonts w:ascii="Palatino Linotype" w:eastAsiaTheme="minorHAnsi" w:hAnsi="Palatino Linotype" w:cs="Arial"/>
                <w:i/>
                <w:sz w:val="20"/>
                <w:szCs w:val="20"/>
                <w:lang w:eastAsia="es-MX"/>
              </w:rPr>
              <w:t>(R)</w:t>
            </w:r>
          </w:p>
        </w:tc>
        <w:tc>
          <w:tcPr>
            <w:tcW w:w="1373" w:type="dxa"/>
            <w:shd w:val="clear" w:color="auto" w:fill="D9D9D9" w:themeFill="background1" w:themeFillShade="D9"/>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c>
          <w:tcPr>
            <w:tcW w:w="1573"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781"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998" w:type="dxa"/>
            <w:shd w:val="clear" w:color="auto" w:fill="D9D9D9" w:themeFill="background1" w:themeFillShade="D9"/>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Sí </w:t>
            </w:r>
            <w:r>
              <w:rPr>
                <w:rFonts w:ascii="Palatino Linotype" w:eastAsiaTheme="minorHAnsi" w:hAnsi="Palatino Linotype" w:cs="Arial"/>
                <w:i/>
                <w:sz w:val="20"/>
                <w:szCs w:val="20"/>
                <w:lang w:eastAsia="es-MX"/>
              </w:rPr>
              <w:t>(R)</w:t>
            </w:r>
          </w:p>
        </w:tc>
      </w:tr>
      <w:tr w:rsidR="005802F7">
        <w:trPr>
          <w:trHeight w:val="540"/>
        </w:trPr>
        <w:tc>
          <w:tcPr>
            <w:tcW w:w="1573" w:type="dxa"/>
            <w:shd w:val="clear" w:color="auto" w:fill="FFFFFF" w:themeFill="background1"/>
            <w:vAlign w:val="center"/>
          </w:tcPr>
          <w:p w:rsidR="005802F7" w:rsidRDefault="00C71A23">
            <w:pPr>
              <w:jc w:val="center"/>
              <w:rPr>
                <w:rFonts w:ascii="Palatino Linotype" w:hAnsi="Palatino Linotype" w:cs="Arial"/>
                <w:sz w:val="18"/>
                <w:lang w:eastAsia="es-MX"/>
              </w:rPr>
            </w:pPr>
            <w:r>
              <w:rPr>
                <w:rFonts w:ascii="Palatino Linotype" w:eastAsiaTheme="minorHAnsi" w:hAnsi="Palatino Linotype" w:cs="Arial"/>
                <w:sz w:val="18"/>
                <w:lang w:eastAsia="es-MX"/>
              </w:rPr>
              <w:t>Documentos donde se autorice su ejercicio</w:t>
            </w:r>
          </w:p>
        </w:tc>
        <w:tc>
          <w:tcPr>
            <w:tcW w:w="1372" w:type="dxa"/>
            <w:shd w:val="clear" w:color="auto" w:fill="FFFFFF" w:themeFill="background1"/>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w:t>
            </w:r>
          </w:p>
        </w:tc>
        <w:tc>
          <w:tcPr>
            <w:tcW w:w="1450" w:type="dxa"/>
            <w:shd w:val="clear" w:color="auto" w:fill="FFFFFF" w:themeFill="background1"/>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1373" w:type="dxa"/>
            <w:shd w:val="clear" w:color="auto" w:fill="FFFFFF" w:themeFill="background1"/>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 xml:space="preserve">Parcialmente </w:t>
            </w:r>
            <w:r>
              <w:rPr>
                <w:rFonts w:ascii="Palatino Linotype" w:eastAsiaTheme="minorHAnsi" w:hAnsi="Palatino Linotype" w:cs="Arial"/>
                <w:i/>
                <w:sz w:val="20"/>
                <w:szCs w:val="20"/>
                <w:lang w:eastAsia="es-MX"/>
              </w:rPr>
              <w:t>(R)</w:t>
            </w:r>
          </w:p>
        </w:tc>
        <w:tc>
          <w:tcPr>
            <w:tcW w:w="1573"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781" w:type="dxa"/>
            <w:shd w:val="clear" w:color="auto" w:fill="FFFFFF" w:themeFill="background1"/>
            <w:vAlign w:val="center"/>
          </w:tcPr>
          <w:p w:rsidR="005802F7" w:rsidRDefault="00C71A23">
            <w:pPr>
              <w:jc w:val="center"/>
              <w:rPr>
                <w:rFonts w:eastAsiaTheme="minorHAnsi"/>
                <w:sz w:val="22"/>
              </w:rPr>
            </w:pPr>
            <w:r>
              <w:rPr>
                <w:rFonts w:ascii="Palatino Linotype" w:eastAsiaTheme="minorHAnsi" w:hAnsi="Palatino Linotype" w:cs="Arial"/>
                <w:sz w:val="20"/>
                <w:szCs w:val="20"/>
                <w:lang w:eastAsia="es-MX"/>
              </w:rPr>
              <w:t xml:space="preserve">No </w:t>
            </w:r>
            <w:r>
              <w:rPr>
                <w:rFonts w:ascii="Palatino Linotype" w:eastAsiaTheme="minorHAnsi" w:hAnsi="Palatino Linotype" w:cs="Arial"/>
                <w:i/>
                <w:sz w:val="20"/>
                <w:szCs w:val="20"/>
                <w:lang w:eastAsia="es-MX"/>
              </w:rPr>
              <w:t>(InfJ)</w:t>
            </w:r>
          </w:p>
        </w:tc>
        <w:tc>
          <w:tcPr>
            <w:tcW w:w="998" w:type="dxa"/>
            <w:shd w:val="clear" w:color="auto" w:fill="FFFFFF" w:themeFill="background1"/>
            <w:vAlign w:val="center"/>
          </w:tcPr>
          <w:p w:rsidR="005802F7" w:rsidRDefault="00C71A23">
            <w:pPr>
              <w:jc w:val="center"/>
              <w:rPr>
                <w:rFonts w:ascii="Palatino Linotype" w:hAnsi="Palatino Linotype" w:cs="Arial"/>
                <w:sz w:val="20"/>
                <w:szCs w:val="20"/>
                <w:lang w:eastAsia="es-MX"/>
              </w:rPr>
            </w:pPr>
            <w:r>
              <w:rPr>
                <w:rFonts w:ascii="Palatino Linotype" w:eastAsiaTheme="minorHAnsi" w:hAnsi="Palatino Linotype" w:cs="Arial"/>
                <w:sz w:val="20"/>
                <w:szCs w:val="20"/>
                <w:lang w:eastAsia="es-MX"/>
              </w:rPr>
              <w:t>-</w:t>
            </w:r>
          </w:p>
        </w:tc>
      </w:tr>
      <w:tr w:rsidR="005802F7">
        <w:tc>
          <w:tcPr>
            <w:tcW w:w="1573" w:type="dxa"/>
            <w:shd w:val="clear" w:color="auto" w:fill="D9D9D9" w:themeFill="background1" w:themeFillShade="D9"/>
            <w:vAlign w:val="center"/>
          </w:tcPr>
          <w:p w:rsidR="005802F7" w:rsidRDefault="00C71A23">
            <w:pPr>
              <w:jc w:val="center"/>
              <w:rPr>
                <w:rFonts w:ascii="Palatino Linotype" w:hAnsi="Palatino Linotype" w:cs="Arial"/>
                <w:sz w:val="18"/>
                <w:lang w:eastAsia="es-MX"/>
              </w:rPr>
            </w:pPr>
            <w:r>
              <w:rPr>
                <w:rFonts w:ascii="Palatino Linotype" w:eastAsiaTheme="minorHAnsi" w:hAnsi="Palatino Linotype" w:cs="Arial"/>
                <w:sz w:val="18"/>
                <w:lang w:eastAsia="es-MX"/>
              </w:rPr>
              <w:t xml:space="preserve">Ingresos totales del </w:t>
            </w:r>
            <w:r>
              <w:rPr>
                <w:rFonts w:ascii="Palatino Linotype" w:eastAsiaTheme="minorHAnsi" w:hAnsi="Palatino Linotype" w:cs="Arial"/>
                <w:sz w:val="18"/>
                <w:shd w:val="clear" w:color="auto" w:fill="D9D9D9"/>
                <w:lang w:eastAsia="es-MX"/>
              </w:rPr>
              <w:t>Municipio para el ejercicio</w:t>
            </w:r>
            <w:r>
              <w:rPr>
                <w:rFonts w:ascii="Palatino Linotype" w:eastAsiaTheme="minorHAnsi" w:hAnsi="Palatino Linotype" w:cs="Arial"/>
                <w:sz w:val="18"/>
                <w:lang w:eastAsia="es-MX"/>
              </w:rPr>
              <w:t xml:space="preserve"> 2019 y forma en que fueron ingresados</w:t>
            </w:r>
          </w:p>
        </w:tc>
        <w:tc>
          <w:tcPr>
            <w:tcW w:w="7547" w:type="dxa"/>
            <w:gridSpan w:val="6"/>
            <w:shd w:val="clear" w:color="auto" w:fill="D9D9D9" w:themeFill="background1" w:themeFillShade="D9"/>
            <w:vAlign w:val="center"/>
          </w:tcPr>
          <w:p w:rsidR="005802F7" w:rsidRDefault="00C71A23">
            <w:pPr>
              <w:jc w:val="center"/>
              <w:rPr>
                <w:rFonts w:ascii="Palatino Linotype" w:hAnsi="Palatino Linotype" w:cs="Arial"/>
                <w:sz w:val="20"/>
                <w:lang w:eastAsia="es-MX"/>
              </w:rPr>
            </w:pPr>
            <w:r>
              <w:rPr>
                <w:rFonts w:ascii="Palatino Linotype" w:eastAsiaTheme="minorHAnsi" w:hAnsi="Palatino Linotype" w:cs="Arial"/>
                <w:sz w:val="20"/>
                <w:lang w:eastAsia="es-MX"/>
              </w:rPr>
              <w:t xml:space="preserve">Parcialmente </w:t>
            </w:r>
            <w:r>
              <w:rPr>
                <w:rFonts w:ascii="Palatino Linotype" w:eastAsiaTheme="minorHAnsi" w:hAnsi="Palatino Linotype" w:cs="Arial"/>
                <w:i/>
                <w:sz w:val="20"/>
                <w:lang w:eastAsia="es-MX"/>
              </w:rPr>
              <w:t>(InfJ)</w:t>
            </w:r>
          </w:p>
        </w:tc>
      </w:tr>
    </w:tbl>
    <w:p w:rsidR="005802F7" w:rsidRDefault="005802F7">
      <w:pPr>
        <w:spacing w:line="360" w:lineRule="auto"/>
        <w:jc w:val="both"/>
        <w:rPr>
          <w:rFonts w:ascii="Palatino Linotype" w:hAnsi="Palatino Linotype" w:cs="Arial"/>
        </w:rPr>
      </w:pPr>
    </w:p>
    <w:p w:rsidR="005802F7" w:rsidRDefault="00C71A23">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Pr>
          <w:rFonts w:ascii="Palatino Linotype" w:hAnsi="Palatino Linotype"/>
          <w:b/>
        </w:rPr>
        <w:t xml:space="preserve">parcialmente 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xml:space="preserve">, de conformidad con los argumentos que a continuación se exponen. </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rPr>
        <w:t xml:space="preserve">En primer término es de señalarse que por cuanto hace al requerimiento del Monto que ingresó al Municipio de Chalco por concepto del Fondo de Aportaciones para la Seguridad Pública (FASP), Programa de Fortalecimiento para la Seguridad (FORTASEG), Programa de Acciones Para el Desarrollo (PAD), Fondo de Aportaciones </w:t>
      </w:r>
      <w:r>
        <w:rPr>
          <w:rFonts w:ascii="Palatino Linotype" w:hAnsi="Palatino Linotype"/>
        </w:rPr>
        <w:lastRenderedPageBreak/>
        <w:t xml:space="preserve">para el Fortalecimiento de los Municipios y las Demarcaciones Territoriales del Distrito Federal (FORTAMUN), Fondo para la Infraestructura Social Municipal (FISM) y Fondo Estatal de Fortalecimiento Municipal (FEFOM); </w:t>
      </w:r>
      <w:r>
        <w:rPr>
          <w:rFonts w:ascii="Palatino Linotype" w:hAnsi="Palatino Linotype"/>
          <w:b/>
        </w:rPr>
        <w:t xml:space="preserve">EL SUJETO OBLIGADO </w:t>
      </w:r>
      <w:r>
        <w:rPr>
          <w:rFonts w:ascii="Palatino Linotype" w:hAnsi="Palatino Linotype"/>
        </w:rPr>
        <w:t>proporcionó información respecto a los programas FASP, FORTASEG, PAD y FEFOM señalando que respecto a los dos restantes no se tiene conocimiento de algún programa bajo esa denominación.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este sentido, toca remitirnos a las disposiciones normativas para el Fondo de Aportaciones para la Infraestructura Social el cual tiene por objeto el beneficiar directamente a población en pobreza extrema, localidades con alto o muy alto nivel de rezago social mediante la realización de obras y acciones que atiendan prioritariamente las carencias y rezagos sociales; para ello, los gobiernos locales deben incorporar a su plan de desarrollo estatal y municipal o de las alcaldías, información que permita identificar qué indicadores de situación de pobreza, rezago social, brechas de desigualdad y acceso a derechos sociales que se deben de alinear para mejorar el bienestar de las comunidades.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debe precisarse que esta Ponencia en ejercicio de la facultad de suplir a los particulares en esta instancia, en términos del artículos 13 y 181 cuarto párrafo de la Ley de Transparencia y Acceso a la Información Pública del Estado de México y Municipios, advierte que al señalar </w:t>
      </w:r>
      <w:r>
        <w:rPr>
          <w:rFonts w:ascii="Palatino Linotype" w:hAnsi="Palatino Linotype" w:cs="Arial"/>
          <w:b/>
        </w:rPr>
        <w:t>EL RECURRENTE</w:t>
      </w:r>
      <w:r>
        <w:rPr>
          <w:rFonts w:ascii="Palatino Linotype" w:hAnsi="Palatino Linotype" w:cs="Arial"/>
        </w:rPr>
        <w:t xml:space="preserve"> que requiere la información respecto al programa FIS, y del cual </w:t>
      </w:r>
      <w:r>
        <w:rPr>
          <w:rFonts w:ascii="Palatino Linotype" w:hAnsi="Palatino Linotype" w:cs="Arial"/>
          <w:b/>
        </w:rPr>
        <w:t xml:space="preserve">EL SUJETO OBLIGADO </w:t>
      </w:r>
      <w:r>
        <w:rPr>
          <w:rFonts w:ascii="Palatino Linotype" w:hAnsi="Palatino Linotype" w:cs="Arial"/>
        </w:rPr>
        <w:t xml:space="preserve">se  pronunció en el sentido de que no tiene conocimiento de un programa bajo esa denominación; se debe mencionar que a lo que se pretendió referir es al Fondo para la Infraestructura Social </w:t>
      </w:r>
      <w:r>
        <w:rPr>
          <w:rFonts w:ascii="Palatino Linotype" w:hAnsi="Palatino Linotype" w:cs="Arial"/>
        </w:rPr>
        <w:lastRenderedPageBreak/>
        <w:t>Municipal y de las demarcaciones territoriales del Distrito Federal (FISMDF) ya que no se puede afirmar que el ciudadano es un experto en la materia y que conoce ampliamente de la terminología exacta que se utiliza dentro para cada uno de los programas federales y estatales en los que participan los distintos Municipios.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Atento a lo anterior, en la Gaceta del Gobierno de fecha 31 de enero de 2019 se publicó el acuerdo por el que se dan a conocer la fórmula, metodología, distribución y calendario de las asignaciones por Municipio que corresponden al Fondo para la Infraestructura Social Municipal y de las demarcaciones territoriales del Distrito Federal (FISMDF), para el ejercicio fiscal 2019, en el que se advierte que para el Muncipio de Chalco se asignó un total de 122, 262, 857.13 (ciento veintidós millones doscientos sesenta y dos mil ochocientos cincuenta y siete pesos 19/100 M.X.) estableciéndose que para el Calendario de Enteros para el año 2019, estará sujeto al cumplimiento del envío de los recursos por parte de la Secretaría de Hacienda y Crédito Público, que se dio a conocer en el Diario Oficial de la Federación el 21 de enero de 201; mismo que se ilustra a continuación: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center"/>
        <w:rPr>
          <w:rFonts w:ascii="Palatino Linotype" w:hAnsi="Palatino Linotype" w:cs="Arial"/>
        </w:rPr>
      </w:pPr>
      <w:r>
        <w:rPr>
          <w:noProof/>
          <w:lang w:eastAsia="es-MX"/>
        </w:rPr>
        <w:drawing>
          <wp:inline distT="0" distB="0" distL="0" distR="0">
            <wp:extent cx="4010025" cy="165735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0"/>
                    <a:stretch>
                      <a:fillRect/>
                    </a:stretch>
                  </pic:blipFill>
                  <pic:spPr bwMode="auto">
                    <a:xfrm>
                      <a:off x="0" y="0"/>
                      <a:ext cx="4010025" cy="1657350"/>
                    </a:xfrm>
                    <a:prstGeom prst="rect">
                      <a:avLst/>
                    </a:prstGeom>
                  </pic:spPr>
                </pic:pic>
              </a:graphicData>
            </a:graphic>
          </wp:inline>
        </w:drawing>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Cabe hacer alusión a que dicho Acuerdo señala puntualmente que el monto de la inversión asignada y ejercida con este fondo, deberá incorporarse a los presupuestos de ingresos, egresos y a la cuenta púbica de cada Municipio.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 esta forma tenemos claro que, respecto al monto y periodo de ministración de los recursos, existen documentos que den cuenta de ello y al quedar claro que el Municipio de Chalco fue beneficiado en este sentido, es dable ordenar la entrega de la documentación donde consten los ingresos y otorgue certeza al particular respecto de los mismos.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Por otra parte, en relación a las acciones y obras en las que fueron ejercidos los recursos, es importante señalar que, de conformidad con los Lineamientos Generales para la operación del Fondo de Aportaciones para la Infraestructura Social, en el apartado de Responsabilidades de los Gobiernos Locales, los municipios y alcaldías deberán guardar evidencias del registro sobre la integración y operación de las figuras de participación social en el FISMDF.</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Asimismo, en materia de verificación y seguimiento los gobiernos locales deberán, al menos, reportar trimestralmente a través de la Dirección General de Desarrollo Regional de la Secretaría de Bienestar, las acciones de verificación de las obras registradas en el Sistema de Recursos Federales Transferidos, que es el sistema establecido por la Secretaría de Hacienda y Crédito Público en términos del artículo 85 de la Ley Federal de Presupuesto y Responsabilidad Hacendaria, mediante el cual se reporta el ejercicio, destino y los resultados obtenidos de los recursos federales transferidos a las entidades, municipios y alcaldías, mediante la Cédula de Verificación </w:t>
      </w:r>
      <w:r>
        <w:rPr>
          <w:rFonts w:ascii="Palatino Linotype" w:hAnsi="Palatino Linotype" w:cs="Arial"/>
        </w:rPr>
        <w:lastRenderedPageBreak/>
        <w:t xml:space="preserve">que para tal efecto publique ésta en su Normateca Interna.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Los municipios o alcaldías realizarán las acciones descritas por medio de las entidades.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esta forma, es evidente que el </w:t>
      </w:r>
      <w:r>
        <w:rPr>
          <w:rFonts w:ascii="Palatino Linotype" w:hAnsi="Palatino Linotype" w:cs="Arial"/>
          <w:b/>
        </w:rPr>
        <w:t xml:space="preserve">SUJETO OBLIGADO </w:t>
      </w:r>
      <w:r>
        <w:rPr>
          <w:rFonts w:ascii="Palatino Linotype" w:hAnsi="Palatino Linotype" w:cs="Arial"/>
        </w:rPr>
        <w:t>debe contar con la información requerida referente al monto, periodo de las ministraciones, acciones y obras realizadas con los recursos del programa referido en los párrafos que anteceden.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respecto al Programa de Fortalecimiento de Seguridad Pública el </w:t>
      </w:r>
      <w:r>
        <w:rPr>
          <w:rFonts w:ascii="Palatino Linotype" w:hAnsi="Palatino Linotype" w:cs="Arial"/>
          <w:b/>
        </w:rPr>
        <w:t xml:space="preserve">SUJETO OBLIGADO </w:t>
      </w:r>
      <w:r>
        <w:rPr>
          <w:rFonts w:ascii="Palatino Linotype" w:hAnsi="Palatino Linotype" w:cs="Arial"/>
        </w:rPr>
        <w:t>proporcionó información relativa al monto y periodicidad de las ministraciones, así como una relación de las acciones realizadas a través de dicho recurso; sin embargo dicho rubro no fue colmado en razón de que la relación de las acciones y compras realizadas únicamente se enuncian de manera general y no de forma específica, monto y actividad realizada o en su caso monto de los bienes adquiridos a través de dicho recurso.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sentido es importante señalar que el programa FORTASEG se alinea y contribuye al desarrollo contextual de los ejes Nacional, Estatal y Municipal, así como a la resolución de objetivos, estrategias y líneas de acción en materia de Seguridad Pública, por lo que para el ejercicio 2019, se publicó en el Diario Oficial de la Federación, el Convenio Específico de Adhesión para el otorgamiento del subsidio para el fortalecimiento del desempeño en materia de seguridad pública a los municipios y demarcaciones territoriales de la Ciudad de México y, en su caso, a las entidades federativas que ejerzan de manera directa o coordinada la función (FORTASEG), para </w:t>
      </w:r>
      <w:r>
        <w:rPr>
          <w:rFonts w:ascii="Palatino Linotype" w:hAnsi="Palatino Linotype" w:cs="Arial"/>
        </w:rPr>
        <w:lastRenderedPageBreak/>
        <w:t xml:space="preserve">el ejercicio fiscal 2019, que celebran el Secretariado Ejecutivo del Sistema Nacional de Seguridad Pública, el Estado de México y los municipios de Acolman, Almoloya de Juárez, Atizapán de Zaragoza, Atlacomulco, </w:t>
      </w:r>
      <w:r>
        <w:rPr>
          <w:rFonts w:ascii="Palatino Linotype" w:hAnsi="Palatino Linotype" w:cs="Arial"/>
          <w:b/>
        </w:rPr>
        <w:t>Chalco</w:t>
      </w:r>
      <w:r>
        <w:rPr>
          <w:rFonts w:ascii="Palatino Linotype" w:hAnsi="Palatino Linotype" w:cs="Arial"/>
        </w:rPr>
        <w:t xml:space="preserve">, Chicoloapan, Chimalhuacán, Coacalco de Berriozábal, Cuautitlán, Cuautitlán Izcalli, Ecatepec de Morelos, Huehuetoca, Huixquilucan, Ixtapaluca, Ixtlahuaca, Jilotepec, La Paz, Lerma, Metepec, Naucalpan de Juárez, Nezahualcóyotl, Nicolás Romero, Ocoyoacac, San Felipe del Progreso, San José del Rincón, Tecámac, Tejupilco, Temoaya, Tenancingo, Tepotzotlán, Texcoco, Tlalnepantla de Baz, Toluca, Tultitlán, Valle de Chalco Solidaridad, Villa Victoria, Zinacantepec y Zumpango, en el que se advierte puntualmente los montos y destinos de gasto del "FORTASEG" de conformidad con el Presupuesto de Egresos, estableciéndose que para el Municipio de Chalco se otorgaría la cantidad de $13,615,421.00 ( trece millones seiscientos quince mil cuatrocientos veintiún pesos 00/100 M.N.) cuyo recurso se vería complementado para la realización del objeto del convenio por parte del propio Ayuntamiento, obligándose a aportar de sus recursos presupuestarios el 20% (veinte por ciento) del total de los recursos federales otorgados; es decir, $2,723,084.20 (dos millones setecientos veintitrés mil ochenta y cuatro pesos 20/100 M.N) dando un total de 16,338,505.20 (Dieciséis millones trecientos treinta y ocho mil quinientos cinco pesos 20/00 M.N) cifra que difiere con la informada por el </w:t>
      </w:r>
      <w:r>
        <w:rPr>
          <w:rFonts w:ascii="Palatino Linotype" w:hAnsi="Palatino Linotype" w:cs="Arial"/>
          <w:b/>
        </w:rPr>
        <w:t xml:space="preserve">SUJETO OBLIGADO </w:t>
      </w:r>
      <w:r>
        <w:rPr>
          <w:rFonts w:ascii="Palatino Linotype" w:hAnsi="Palatino Linotype" w:cs="Arial"/>
        </w:rPr>
        <w:t xml:space="preserve">ya que este únicamente proporcionó lo correspondiente a los recursos federales convenidos; sin embargo, la solicitud versa en conocer el monto que se destinó a los distintos programas señalados en el requerimiento formulado, y ello implica tanto los recursos federales como los propios del Municipio que conforme a la normatividad aplicable, formen parte del programa específico, que para este caso el recurso propio complementa al otorgado por la Federación para la integración del </w:t>
      </w:r>
      <w:r>
        <w:rPr>
          <w:rFonts w:ascii="Palatino Linotype" w:hAnsi="Palatino Linotype" w:cs="Arial"/>
        </w:rPr>
        <w:lastRenderedPageBreak/>
        <w:t>FORTASEG.</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sentido, es evidente que la información proporcionada por el </w:t>
      </w:r>
      <w:r>
        <w:rPr>
          <w:rFonts w:ascii="Palatino Linotype" w:hAnsi="Palatino Linotype" w:cs="Arial"/>
          <w:b/>
        </w:rPr>
        <w:t xml:space="preserve">SUJETO OBLIGADO </w:t>
      </w:r>
      <w:r>
        <w:rPr>
          <w:rFonts w:ascii="Palatino Linotype" w:hAnsi="Palatino Linotype" w:cs="Arial"/>
        </w:rPr>
        <w:t>no otorga certeza al particular respecto de los recursos del multicitado programa y siendo que en relación al Informe Municipal de Evaluación FORTASEG 2019</w:t>
      </w:r>
      <w:r>
        <w:rPr>
          <w:rStyle w:val="Ancladenotaalpie"/>
          <w:rFonts w:ascii="Palatino Linotype" w:hAnsi="Palatino Linotype" w:cs="Arial"/>
        </w:rPr>
        <w:footnoteReference w:id="1"/>
      </w:r>
      <w:r>
        <w:rPr>
          <w:rFonts w:ascii="Palatino Linotype" w:hAnsi="Palatino Linotype" w:cs="Arial"/>
        </w:rPr>
        <w:t>, publicado por el propio Ayuntamiento de Chalco, en el que se establece claramente que en términos del convenio celebrado para la participación de estos recursos, se asignaría a los siguientes programas, subprogramas y conceptos:</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1. PREVENCIÓN SOCIAL DE LA VIOLENCIA Y LA DELINCUENCIA CON PARTICIPACIÓN CIUDADANA:</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 Prevención de la violencia familiar y de género:</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Actividades de difusión.</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 Proyecto.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Evaluación y seguimiento.</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b. Prevención de la violencia escolar:</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Actividades de difusión.</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 Proyecto.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Evaluación y seguimiento.</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2. DESARROLLO PROFESIONALIZACIÓN Y CERTIFICACIÓN POLICIAL:</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 Fortalecimiento de las capacidades de evaluación y control de confianza:</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Pruebas toxicológicas.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 Evaluación del personal en activo (Permanencias, ascensos y promociones)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Evaluaciones de nuevo ingreso.</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lastRenderedPageBreak/>
        <w:t>b. Profesionalización de las instituciones de Seguridad Pública:</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Informe Policial Homologado.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 Evaluación de competencias básicas de la función para policías municipales.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Evaluaciones del desempeño.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iv. Formación inicial (Aspirantes).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v. Becas para aspirantes a Policía Municipal.</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vi. Formación inicial (Elementos en activo).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vii. Derechos Humanos.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viii. Primer Respondiente.</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ix. Competencias básicas de la Función Policial.</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x. Difusión Externa (Convocatoria para Policía Municipal).</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3. DESARROLLO, PROFESIONALIZACIÓN Y CERTIFICACIÓN POLICIAL: COPARTICIPACIÓN.</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 Programa de mejoras de las condiciones laborales.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b. Gastos de operación.</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4. FORTALECIMIENTO DE PROGRAMAS PRIORITARIOS LOCALES DE LAS INSTITUCIONES DE SEGURIDAD PÚBLICA E IMPARTICIÓN DE JUSTICIA.</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 Chaleco balístico mínimo Nivel III-A, con dos placas balísticas IV.</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b. Playera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c. Cinturón Táctico.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d. Camisola y/o camisa.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e. Chamarra.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f. Municiones para arma larga.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g. Municiones para arma corta.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h. Fornitura.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Zapato tipo Choclo.</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j. Gorra tipo beisbolera.</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k. Botas.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l. Pantalón.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Asimismo, el informe señala que el Municipio de Chalco recibió dos ministraciones, en una proporción de setenta (70) por ciento la primera y treinta (30) por ciento la segunda </w:t>
      </w:r>
      <w:r>
        <w:rPr>
          <w:rFonts w:ascii="Palatino Linotype" w:hAnsi="Palatino Linotype" w:cs="Arial"/>
        </w:rPr>
        <w:lastRenderedPageBreak/>
        <w:t>del monto de asignación definido en los Criterios de Distribución previstos en el Anexo dos de los Lineamientos, establecidos para tal efecto, manifestando también que el Municipio de Chalco depositó la totalidad de los recursos de la coparticipación en la cuenta bancaria productiva específica, dentro de los veinte (20) días hábiles posteriores a la fecha de recepción de los recursos federales correspondientes a la primera ministración, cumpliendo con las obligaciones fundadas en la metodología a efecto de recibir la totalidad del recurso asignado, informando de las fechas de las ministraciones correspondientes.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Respecto a las metas convenidas (destino de los recursos) se informa que con base a los formatos establecidos en la Metodología, para el cumplimiento y verificación de metas, constituida por el Secretariado Ejecutivo del Sistema Nacional de Seguridad Pública, es posible realizar un resumen general del logro de metas convenidas en el anexo técnico de Adhesión al Subsidio, en que como puntos clave se señalan: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pStyle w:val="Prrafodelista"/>
        <w:widowControl w:val="0"/>
        <w:numPr>
          <w:ilvl w:val="0"/>
          <w:numId w:val="5"/>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Se cumplieron las metas.</w:t>
      </w:r>
    </w:p>
    <w:p w:rsidR="005802F7" w:rsidRDefault="00C71A23">
      <w:pPr>
        <w:pStyle w:val="Prrafodelista"/>
        <w:widowControl w:val="0"/>
        <w:numPr>
          <w:ilvl w:val="0"/>
          <w:numId w:val="5"/>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Se cubrieron los montos en su totalidad concertados para la elaboración de los proyectos.</w:t>
      </w:r>
    </w:p>
    <w:p w:rsidR="005802F7" w:rsidRDefault="00C71A23">
      <w:pPr>
        <w:pStyle w:val="Prrafodelista"/>
        <w:widowControl w:val="0"/>
        <w:numPr>
          <w:ilvl w:val="0"/>
          <w:numId w:val="5"/>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Se devengaron en su totalidad los recursos de la coparticipación, mismos que fueron amparados debidamente mediante la documentación de contratación por la ampliación del seguro debido, habiendo sido ésta validada por la Dirección de Apoyo Técnico.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tanto, es claro que </w:t>
      </w:r>
      <w:r>
        <w:rPr>
          <w:rFonts w:ascii="Palatino Linotype" w:hAnsi="Palatino Linotype" w:cs="Arial"/>
          <w:b/>
        </w:rPr>
        <w:t xml:space="preserve">EL SUJETO OBLIGADO </w:t>
      </w:r>
      <w:r>
        <w:rPr>
          <w:rFonts w:ascii="Palatino Linotype" w:hAnsi="Palatino Linotype" w:cs="Arial"/>
        </w:rPr>
        <w:t xml:space="preserve">cuenta con la información requerida </w:t>
      </w:r>
      <w:r>
        <w:rPr>
          <w:rFonts w:ascii="Palatino Linotype" w:hAnsi="Palatino Linotype" w:cs="Arial"/>
        </w:rPr>
        <w:lastRenderedPageBreak/>
        <w:t>y procede ordenar su entrega, en términos de los argumentos que anteceden, así como de conformidad con lo establecido en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“Artículo 17. La ministración de los recursos se sujetará a lo siguiente:</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pStyle w:val="Prrafodelista"/>
        <w:widowControl w:val="0"/>
        <w:numPr>
          <w:ilvl w:val="0"/>
          <w:numId w:val="6"/>
        </w:numPr>
        <w:tabs>
          <w:tab w:val="left" w:pos="1701"/>
          <w:tab w:val="left" w:pos="1843"/>
        </w:tabs>
        <w:ind w:right="757"/>
        <w:contextualSpacing/>
        <w:jc w:val="both"/>
        <w:rPr>
          <w:rFonts w:ascii="Palatino Linotype" w:hAnsi="Palatino Linotype" w:cs="Arial"/>
          <w:i/>
          <w:sz w:val="22"/>
        </w:rPr>
      </w:pPr>
      <w:r>
        <w:rPr>
          <w:rFonts w:ascii="Palatino Linotype" w:hAnsi="Palatino Linotype" w:cs="Arial"/>
          <w:b/>
          <w:i/>
          <w:sz w:val="22"/>
        </w:rPr>
        <w:t>Los Beneficiarios recibirán dos ministraciones</w:t>
      </w:r>
      <w:r>
        <w:rPr>
          <w:rFonts w:ascii="Palatino Linotype" w:hAnsi="Palatino Linotype" w:cs="Arial"/>
          <w:i/>
          <w:sz w:val="22"/>
        </w:rPr>
        <w:t>, en una proporción de setenta (70) por ciento la primera y treinta (30) por ciento la segunda, respecto del monto de asignación definido en la fórmula de distribución prevista en el Anexo 2 de estos Lineamientos y sólo podrán ser solicitadas por las o los servidores públicos a que se refiere el artículo 12, fracción I de los Lineamientos;</w:t>
      </w:r>
    </w:p>
    <w:p w:rsidR="005802F7" w:rsidRDefault="00C71A23">
      <w:pPr>
        <w:pStyle w:val="Prrafodelista"/>
        <w:widowControl w:val="0"/>
        <w:numPr>
          <w:ilvl w:val="0"/>
          <w:numId w:val="6"/>
        </w:numPr>
        <w:tabs>
          <w:tab w:val="left" w:pos="1701"/>
          <w:tab w:val="left" w:pos="1843"/>
        </w:tabs>
        <w:ind w:right="757"/>
        <w:contextualSpacing/>
        <w:jc w:val="both"/>
        <w:rPr>
          <w:rFonts w:ascii="Palatino Linotype" w:hAnsi="Palatino Linotype" w:cs="Arial"/>
          <w:i/>
          <w:sz w:val="22"/>
        </w:rPr>
      </w:pPr>
      <w:r>
        <w:rPr>
          <w:rFonts w:ascii="Palatino Linotype" w:hAnsi="Palatino Linotype" w:cs="Arial"/>
          <w:b/>
          <w:i/>
          <w:sz w:val="22"/>
        </w:rPr>
        <w:t>Las entidades federativas deberán entregar a los municipios o alcaldías el monto correspondiente de los recursos asignados conforme a la ministración que se trate</w:t>
      </w:r>
      <w:r>
        <w:rPr>
          <w:rFonts w:ascii="Palatino Linotype" w:hAnsi="Palatino Linotype" w:cs="Arial"/>
          <w:i/>
          <w:sz w:val="22"/>
        </w:rPr>
        <w:t>, incluyendo sus rendimientos financieros, a más tardar dentro de los cinco (5) días hábiles posteriores a que aquéllas reciban los recursos por parte de la Federación, salvo que la administración del mismo corresponda a la entidad federativa en términos del convenio respectivo, y</w:t>
      </w:r>
    </w:p>
    <w:p w:rsidR="005802F7" w:rsidRDefault="005802F7">
      <w:pPr>
        <w:pStyle w:val="Prrafodelista"/>
        <w:widowControl w:val="0"/>
        <w:tabs>
          <w:tab w:val="left" w:pos="1701"/>
          <w:tab w:val="left" w:pos="1843"/>
        </w:tabs>
        <w:ind w:left="1429" w:right="757"/>
        <w:contextualSpacing/>
        <w:jc w:val="both"/>
        <w:rPr>
          <w:rFonts w:ascii="Palatino Linotype" w:hAnsi="Palatino Linotype" w:cs="Arial"/>
          <w:i/>
          <w:sz w:val="22"/>
        </w:rPr>
      </w:pPr>
    </w:p>
    <w:p w:rsidR="005802F7" w:rsidRDefault="00C71A23">
      <w:pPr>
        <w:pStyle w:val="Prrafodelista"/>
        <w:widowControl w:val="0"/>
        <w:numPr>
          <w:ilvl w:val="0"/>
          <w:numId w:val="6"/>
        </w:numPr>
        <w:tabs>
          <w:tab w:val="left" w:pos="1701"/>
          <w:tab w:val="left" w:pos="1843"/>
        </w:tabs>
        <w:ind w:right="757"/>
        <w:contextualSpacing/>
        <w:jc w:val="both"/>
        <w:rPr>
          <w:rFonts w:ascii="Palatino Linotype" w:hAnsi="Palatino Linotype" w:cs="Arial"/>
          <w:i/>
          <w:sz w:val="22"/>
        </w:rPr>
      </w:pPr>
      <w:r>
        <w:rPr>
          <w:rFonts w:ascii="Palatino Linotype" w:hAnsi="Palatino Linotype" w:cs="Arial"/>
          <w:i/>
          <w:sz w:val="22"/>
        </w:rPr>
        <w:t>Los Beneficiarios deberán depositar la totalidad de los recursos de la coparticipación en la cuenta bancaria productiva específica, dentro de los veinte (20) días hábiles posteriores a la fecha de recepción de los recursos federales correspondientes a la primera ministración y deberán administrarlos en dicha cuenta durante todo el ejercicio fiscal.</w:t>
      </w:r>
    </w:p>
    <w:p w:rsidR="005802F7" w:rsidRDefault="005802F7">
      <w:pPr>
        <w:widowControl w:val="0"/>
        <w:tabs>
          <w:tab w:val="left" w:pos="1701"/>
          <w:tab w:val="left" w:pos="1843"/>
        </w:tabs>
        <w:ind w:left="709" w:right="757"/>
        <w:contextualSpacing/>
        <w:jc w:val="both"/>
        <w:rPr>
          <w:rFonts w:ascii="Palatino Linotype" w:hAnsi="Palatino Linotype" w:cs="Arial"/>
          <w:b/>
          <w:i/>
          <w:sz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rPr>
      </w:pPr>
      <w:r>
        <w:rPr>
          <w:rFonts w:ascii="Palatino Linotype" w:hAnsi="Palatino Linotype" w:cs="Arial"/>
          <w:b/>
          <w:i/>
          <w:sz w:val="22"/>
        </w:rPr>
        <w:t>…</w:t>
      </w:r>
    </w:p>
    <w:p w:rsidR="005802F7" w:rsidRDefault="005802F7">
      <w:pPr>
        <w:widowControl w:val="0"/>
        <w:tabs>
          <w:tab w:val="left" w:pos="1701"/>
          <w:tab w:val="left" w:pos="1843"/>
        </w:tabs>
        <w:ind w:left="709" w:right="757"/>
        <w:contextualSpacing/>
        <w:jc w:val="both"/>
        <w:rPr>
          <w:rFonts w:ascii="Palatino Linotype" w:hAnsi="Palatino Linotype" w:cs="Arial"/>
          <w:b/>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b/>
          <w:i/>
          <w:sz w:val="22"/>
        </w:rPr>
        <w:t>Artículo 32.</w:t>
      </w:r>
      <w:r>
        <w:rPr>
          <w:rFonts w:ascii="Palatino Linotype" w:hAnsi="Palatino Linotype" w:cs="Arial"/>
          <w:i/>
          <w:sz w:val="22"/>
        </w:rPr>
        <w:t xml:space="preserve"> Los Beneficiarios deberán entregar a la Dirección General de Vinculación y Seguimiento, a más tardar el último día hábil de enero de 2020, el acta de cierre con firmas autógrafas de las autoridades correspondientes, de aquellos recursos que hayan sido devengados y pagados al 31 de diciembre de 2019, y a más tardar el último día hábil de abril de 2020, de aquellos recursos que se hayan comprometido o devengado pero no </w:t>
      </w:r>
      <w:r>
        <w:rPr>
          <w:rFonts w:ascii="Palatino Linotype" w:hAnsi="Palatino Linotype" w:cs="Arial"/>
          <w:i/>
          <w:sz w:val="22"/>
        </w:rPr>
        <w:lastRenderedPageBreak/>
        <w:t>pagado al 31 de diciembre de 2019. En ambos casos, deberán remitir en las fechas señaladas en formato digital a través del Sistema que establezca el Secretariado Ejecutivo, la documentación siguiente:</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pStyle w:val="Prrafodelista"/>
        <w:widowControl w:val="0"/>
        <w:numPr>
          <w:ilvl w:val="0"/>
          <w:numId w:val="7"/>
        </w:numPr>
        <w:tabs>
          <w:tab w:val="left" w:pos="1701"/>
          <w:tab w:val="left" w:pos="1843"/>
        </w:tabs>
        <w:ind w:right="757"/>
        <w:contextualSpacing/>
        <w:jc w:val="both"/>
        <w:rPr>
          <w:rFonts w:ascii="Palatino Linotype" w:hAnsi="Palatino Linotype" w:cs="Arial"/>
          <w:i/>
          <w:sz w:val="22"/>
        </w:rPr>
      </w:pPr>
      <w:r>
        <w:rPr>
          <w:rFonts w:ascii="Palatino Linotype" w:hAnsi="Palatino Linotype" w:cs="Arial"/>
          <w:b/>
          <w:i/>
          <w:sz w:val="22"/>
        </w:rPr>
        <w:t>Reporte de la aplicación de los recursos del FORTASEG</w:t>
      </w:r>
      <w:r>
        <w:rPr>
          <w:rFonts w:ascii="Palatino Linotype" w:hAnsi="Palatino Linotype" w:cs="Arial"/>
          <w:i/>
          <w:sz w:val="22"/>
        </w:rPr>
        <w:t xml:space="preserve"> y de coparticipación y del cumplimiento de metas en los formatos y/o sistemas establecidos por la Dirección General de Vinculación y Seguimiento;</w:t>
      </w:r>
    </w:p>
    <w:p w:rsidR="005802F7" w:rsidRDefault="005802F7">
      <w:pPr>
        <w:pStyle w:val="Prrafodelista"/>
        <w:widowControl w:val="0"/>
        <w:tabs>
          <w:tab w:val="left" w:pos="1701"/>
          <w:tab w:val="left" w:pos="1843"/>
        </w:tabs>
        <w:ind w:left="1429" w:right="757"/>
        <w:contextualSpacing/>
        <w:jc w:val="both"/>
        <w:rPr>
          <w:rFonts w:ascii="Palatino Linotype" w:hAnsi="Palatino Linotype" w:cs="Arial"/>
          <w:i/>
          <w:sz w:val="22"/>
        </w:rPr>
      </w:pPr>
    </w:p>
    <w:p w:rsidR="005802F7" w:rsidRDefault="00C71A23">
      <w:pPr>
        <w:pStyle w:val="Prrafodelista"/>
        <w:widowControl w:val="0"/>
        <w:numPr>
          <w:ilvl w:val="0"/>
          <w:numId w:val="7"/>
        </w:numPr>
        <w:tabs>
          <w:tab w:val="left" w:pos="1701"/>
          <w:tab w:val="left" w:pos="1843"/>
        </w:tabs>
        <w:ind w:right="757"/>
        <w:contextualSpacing/>
        <w:jc w:val="both"/>
        <w:rPr>
          <w:rFonts w:ascii="Palatino Linotype" w:hAnsi="Palatino Linotype" w:cs="Arial"/>
          <w:i/>
          <w:sz w:val="22"/>
        </w:rPr>
      </w:pPr>
      <w:r>
        <w:rPr>
          <w:rFonts w:ascii="Palatino Linotype" w:hAnsi="Palatino Linotype" w:cs="Arial"/>
          <w:b/>
          <w:i/>
          <w:sz w:val="22"/>
        </w:rPr>
        <w:t>En su caso, comprobantes de reintegro a la Tesorería de la Federación</w:t>
      </w:r>
      <w:r>
        <w:rPr>
          <w:rFonts w:ascii="Palatino Linotype" w:hAnsi="Palatino Linotype" w:cs="Arial"/>
          <w:i/>
          <w:sz w:val="22"/>
        </w:rPr>
        <w:t>, y</w:t>
      </w:r>
    </w:p>
    <w:p w:rsidR="005802F7" w:rsidRDefault="005802F7">
      <w:pPr>
        <w:widowControl w:val="0"/>
        <w:tabs>
          <w:tab w:val="left" w:pos="1701"/>
          <w:tab w:val="left" w:pos="1843"/>
        </w:tabs>
        <w:ind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En su caso, constancia de cancelación de las cuentas bancarias productivas específicas abiertas en el ejercicio fiscal 2019 para la administración de los recursos del FORTASEG y de la coparticipación.”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Ahora bien, con relación a los recursos del Fondo de Aportaciones para el Fortalecimiento de los Municipios y las Demarcaciones Territoriales del Distrito Federal (FORTAMUN) que junto al Fondo para la Infraestructura Social Municipal (FISM) son los dos únicos recursos del Ramo 33 que son ejercidos directamente por los Municipios, por tanto es del pleno conocimiento del </w:t>
      </w:r>
      <w:r>
        <w:rPr>
          <w:rFonts w:ascii="Palatino Linotype" w:hAnsi="Palatino Linotype" w:cs="Arial"/>
          <w:b/>
        </w:rPr>
        <w:t xml:space="preserve">SUJETO OBLIGADO </w:t>
      </w:r>
      <w:r>
        <w:rPr>
          <w:rFonts w:ascii="Palatino Linotype" w:hAnsi="Palatino Linotype" w:cs="Arial"/>
        </w:rPr>
        <w:t>su ejercicio, contrario a lo manifestado en respuesta a la solicitud, tal y como se expone a continuación.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La Ley de Coordinación Fiscal, establece que el Fondo de Aportaciones para la Infraestructura Social se determinará anualmente en el Presupuesto de Egresos de la Federación con recursos federales por un monto equivalente, sólo para efectos de referencia, al 2.5294% de la recaudación federal participable a que se refiere el artículo segundo de dicha Ley, según estimación que de la misma se realice en el propio presupuesto, con base en lo que al efecto establezca la Ley de Ingresos de la Federación para ese ejercicio.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Del total de la recaudación federal participable el 0.3066% corresponderá al Fondo para la Infraestructura Social de las Entidades y el 2.2228% al Fondo para la Infraestructura Social Municipal y de las Demarcaciones Territoriales del Distrito Federal.</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Este fondo </w:t>
      </w:r>
      <w:r>
        <w:rPr>
          <w:rFonts w:ascii="Palatino Linotype" w:hAnsi="Palatino Linotype" w:cs="Arial"/>
          <w:b/>
        </w:rPr>
        <w:t xml:space="preserve">se enterará mensualmente en los primeros diez meses del año </w:t>
      </w:r>
      <w:r>
        <w:rPr>
          <w:rFonts w:ascii="Palatino Linotype" w:hAnsi="Palatino Linotype" w:cs="Arial"/>
        </w:rPr>
        <w:t xml:space="preserve">por partes iguales a las entidades por conducto de la Federación y, </w:t>
      </w:r>
      <w:r>
        <w:rPr>
          <w:rFonts w:ascii="Palatino Linotype" w:hAnsi="Palatino Linotype" w:cs="Arial"/>
          <w:b/>
        </w:rPr>
        <w:t>a los municipios y demarcaciones territoriales a través de las entidades</w:t>
      </w:r>
      <w:r>
        <w:rPr>
          <w:rFonts w:ascii="Palatino Linotype" w:hAnsi="Palatino Linotype" w:cs="Arial"/>
        </w:rPr>
        <w:t>, de manera ágil y directa, sin más limitaciones ni restricciones, incluyendo las de carácter administrativo, que las correspondientes a los fines que se establecen en el artículo 33 de dicha Ley.</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este orden de ideas, en la Gaceta del Gobierno del Estado de México del 31 de enero de 2019, se publicó el Acuerdo por el que se dan a conocer las variables, fórmula, metodología, distribución y el calendario de las asignaciones por Municipio que corresponden al Fondo de Aportaciones para el Fortalecimiento de los Municipios y de las Demarcaciones Territoriales del Distrito Federal (FORTAMUNDF) para el ejercicio fiscal 2019; en dicho acuerdo se establecen las variables y fórmulas para el cálculo que sirvió de base para la distribución de los recursos FORTAMUNDF, de acuerdo con lo señalado por la Ley de Coordinación Fiscal utilizando información de la Encuesta Inter censal 2015 que fue publicada por el Instituto Nacional de Estadística y Geografía (INEGI), dando como resultado, que para el Municipio de Chalco se destinara la cantidad de $ 248,979,716.02 (doscientos cuarenta y ocho millones novecientos setenta y nueve mil setecientos dieciséis pesos 02/100 M.N).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 xml:space="preserve">Dichos recursos y su ejercicio deberán ser informados, de manera trimestral, a través del Sistema de Recursos Federales Transferidos de la Secretaria de Hacienda y Crédito Público (SRFT) como lo establece el artículo 48 de la Ley de Coordinación Fiscal y demás normatividad aplicable; y al igual que los recursos del Fondo para la Infraestructura Social Municipal y de las Demarcaciones Territoriales del Distrito Federal, el calendario de ministraciones para el año 2019, estará sujeto al cumplimiento del envío de los recursos por parte de la Secretaría de Hacienda y Crédito Público, que se dio a conocer en el Diario Oficial de la Federación el 21 de enero de 2019; mismo que se ilustra a continuación: </w:t>
      </w:r>
    </w:p>
    <w:p w:rsidR="005802F7" w:rsidRDefault="00C71A23">
      <w:pPr>
        <w:widowControl w:val="0"/>
        <w:tabs>
          <w:tab w:val="left" w:pos="1701"/>
          <w:tab w:val="left" w:pos="1843"/>
        </w:tabs>
        <w:spacing w:line="360" w:lineRule="auto"/>
        <w:contextualSpacing/>
        <w:jc w:val="center"/>
        <w:rPr>
          <w:rFonts w:ascii="Palatino Linotype" w:hAnsi="Palatino Linotype" w:cs="Arial"/>
        </w:rPr>
      </w:pPr>
      <w:r>
        <w:rPr>
          <w:noProof/>
          <w:lang w:eastAsia="es-MX"/>
        </w:rPr>
        <w:drawing>
          <wp:inline distT="0" distB="0" distL="0" distR="0">
            <wp:extent cx="4333875" cy="1933575"/>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1"/>
                    <a:stretch>
                      <a:fillRect/>
                    </a:stretch>
                  </pic:blipFill>
                  <pic:spPr bwMode="auto">
                    <a:xfrm>
                      <a:off x="0" y="0"/>
                      <a:ext cx="4333875" cy="1933575"/>
                    </a:xfrm>
                    <a:prstGeom prst="rect">
                      <a:avLst/>
                    </a:prstGeom>
                  </pic:spPr>
                </pic:pic>
              </a:graphicData>
            </a:graphic>
          </wp:inline>
        </w:drawing>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esta forma, tenemos que </w:t>
      </w:r>
      <w:r>
        <w:rPr>
          <w:rFonts w:ascii="Palatino Linotype" w:hAnsi="Palatino Linotype" w:cs="Arial"/>
          <w:b/>
        </w:rPr>
        <w:t xml:space="preserve">EL SUJETO OBLIGADO </w:t>
      </w:r>
      <w:r>
        <w:rPr>
          <w:rFonts w:ascii="Palatino Linotype" w:hAnsi="Palatino Linotype" w:cs="Arial"/>
        </w:rPr>
        <w:t>está constreñido a contar con los documentos que den cuenta del monto y periodicidad de las ministraciones por concepto del recurso del FORTAMUNDF, y su ejercicio deberá documentarse conforme al lineamiento noveno y décimo primero del Acuerdo anteriormente invocado: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b/>
          <w:i/>
          <w:sz w:val="22"/>
        </w:rPr>
        <w:t>Noveno</w:t>
      </w:r>
      <w:r>
        <w:rPr>
          <w:rFonts w:ascii="Palatino Linotype" w:hAnsi="Palatino Linotype" w:cs="Arial"/>
          <w:i/>
          <w:sz w:val="22"/>
        </w:rPr>
        <w:t xml:space="preserve">.- Para </w:t>
      </w:r>
      <w:r>
        <w:rPr>
          <w:rFonts w:ascii="Palatino Linotype" w:hAnsi="Palatino Linotype" w:cs="Arial"/>
          <w:b/>
          <w:i/>
          <w:sz w:val="22"/>
        </w:rPr>
        <w:t>la ejecución de las obras o acciones que lleven a cabo los municipios con los recurso de este Fondo</w:t>
      </w:r>
      <w:r>
        <w:rPr>
          <w:rFonts w:ascii="Palatino Linotype" w:hAnsi="Palatino Linotype" w:cs="Arial"/>
          <w:i/>
          <w:sz w:val="22"/>
        </w:rPr>
        <w:t xml:space="preserve">, deberán </w:t>
      </w:r>
      <w:r>
        <w:rPr>
          <w:rFonts w:ascii="Palatino Linotype" w:hAnsi="Palatino Linotype" w:cs="Arial"/>
          <w:b/>
          <w:i/>
          <w:sz w:val="22"/>
        </w:rPr>
        <w:t>presentar</w:t>
      </w:r>
      <w:r>
        <w:rPr>
          <w:rFonts w:ascii="Palatino Linotype" w:hAnsi="Palatino Linotype" w:cs="Arial"/>
          <w:i/>
          <w:sz w:val="22"/>
        </w:rPr>
        <w:t xml:space="preserve"> ante la Secretaría de </w:t>
      </w:r>
      <w:r>
        <w:rPr>
          <w:rFonts w:ascii="Palatino Linotype" w:hAnsi="Palatino Linotype" w:cs="Arial"/>
          <w:i/>
          <w:sz w:val="22"/>
        </w:rPr>
        <w:lastRenderedPageBreak/>
        <w:t xml:space="preserve">Finanzas, </w:t>
      </w:r>
      <w:r>
        <w:rPr>
          <w:rFonts w:ascii="Palatino Linotype" w:hAnsi="Palatino Linotype" w:cs="Arial"/>
          <w:b/>
          <w:i/>
          <w:sz w:val="22"/>
        </w:rPr>
        <w:t>de manera mensual</w:t>
      </w:r>
      <w:r>
        <w:rPr>
          <w:rFonts w:ascii="Palatino Linotype" w:hAnsi="Palatino Linotype" w:cs="Arial"/>
          <w:i/>
          <w:sz w:val="22"/>
        </w:rPr>
        <w:t xml:space="preserve">, </w:t>
      </w:r>
      <w:r>
        <w:rPr>
          <w:rFonts w:ascii="Palatino Linotype" w:hAnsi="Palatino Linotype" w:cs="Arial"/>
          <w:b/>
          <w:i/>
          <w:sz w:val="22"/>
        </w:rPr>
        <w:t>la información que sobre la aplicación del Fondo</w:t>
      </w:r>
      <w:r>
        <w:rPr>
          <w:rFonts w:ascii="Palatino Linotype" w:hAnsi="Palatino Linotype" w:cs="Arial"/>
          <w:i/>
          <w:sz w:val="22"/>
        </w:rPr>
        <w:t xml:space="preserve"> le sea requerida, con la finalidad de que la Secretaría antes mencionada informe lo conducente a las dependencias federales en términos de lo dispuesto por el artículo 235 del Código Financiero del Estado de México y Municipios; así como al Órgano Superior de Fiscalización del Estado de México.</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b/>
          <w:i/>
          <w:sz w:val="22"/>
        </w:rPr>
        <w:t>Décimo Primero</w:t>
      </w:r>
      <w:r>
        <w:rPr>
          <w:rFonts w:ascii="Palatino Linotype" w:hAnsi="Palatino Linotype" w:cs="Arial"/>
          <w:i/>
          <w:sz w:val="22"/>
        </w:rPr>
        <w:t xml:space="preserve">.- </w:t>
      </w:r>
      <w:r>
        <w:rPr>
          <w:rFonts w:ascii="Palatino Linotype" w:hAnsi="Palatino Linotype" w:cs="Arial"/>
          <w:b/>
          <w:i/>
          <w:sz w:val="22"/>
        </w:rPr>
        <w:t>Los ayuntamientos proporcionaran</w:t>
      </w:r>
      <w:r>
        <w:rPr>
          <w:rFonts w:ascii="Palatino Linotype" w:hAnsi="Palatino Linotype" w:cs="Arial"/>
          <w:i/>
          <w:sz w:val="22"/>
        </w:rPr>
        <w:t xml:space="preserve"> al Ejecutivo del Estado, a través de la Secretaria de Finanzas, </w:t>
      </w:r>
      <w:r>
        <w:rPr>
          <w:rFonts w:ascii="Palatino Linotype" w:hAnsi="Palatino Linotype" w:cs="Arial"/>
          <w:b/>
          <w:i/>
          <w:sz w:val="22"/>
        </w:rPr>
        <w:t>la información financiera y operativa que sea requerida</w:t>
      </w:r>
      <w:r>
        <w:rPr>
          <w:rFonts w:ascii="Palatino Linotype" w:hAnsi="Palatino Linotype" w:cs="Arial"/>
          <w:i/>
          <w:sz w:val="22"/>
        </w:rPr>
        <w:t xml:space="preserve"> para el mejor cumplimiento de las atribuciones que le correspondan en materia de planeación, programación y evaluación de los programas, </w:t>
      </w:r>
      <w:r>
        <w:rPr>
          <w:rFonts w:ascii="Palatino Linotype" w:hAnsi="Palatino Linotype" w:cs="Arial"/>
          <w:b/>
          <w:i/>
          <w:sz w:val="22"/>
        </w:rPr>
        <w:t>respecto del destino, aplicación y vigilancia del Fondo</w:t>
      </w:r>
      <w:r>
        <w:rPr>
          <w:rFonts w:ascii="Palatino Linotype" w:hAnsi="Palatino Linotype" w:cs="Arial"/>
          <w:i/>
          <w:sz w:val="22"/>
        </w:rPr>
        <w:t>, en términos de lo dispuesto en el artículo 240 del Código Financiero del Estado de México y Municipios.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Lo anterior, aunado a que los recursos que sean ministrados y aplicados en obras o acciones deberán hacerse públicos en los términos de lo señalado en la Ley de Transparencia y Acceso a la Información Pública del Estado de México y Municipios, por la Ley General de Contabilidad Gubernamental, en los formatos que estableció el Consejo Nacional de Amortización Contable (CONAC) y demás normatividad aplicable; por tanto, es dable ordenar la entrega de la información requerida por el particular; es decir, aquellos documentos que den cuenta del monto recibido por concepto del Fondo en comento, los documentos que registren las ministraciones otorgadas, así como la documentación que informe puntualmente del ejercicio de dichos recursos, adquisición, obras o acciones en las que se haya destinado dicho Fondo.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otra parte, en lo que toca al Fondo Estatal de Fortalecimiento Municipal para el Ejercicio fiscal 2019, se remitió la información correspondiente al monto total asignado </w:t>
      </w:r>
      <w:r>
        <w:rPr>
          <w:rFonts w:ascii="Palatino Linotype" w:hAnsi="Palatino Linotype" w:cs="Arial"/>
        </w:rPr>
        <w:lastRenderedPageBreak/>
        <w:t>a dicho programa así como la relación de once obras para las que fue destinado dicho recurso.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Este fondo tiene la función de apoyar en mayor proporción la economía de los municipios, impulsar un gobierno municipalista mediante acciones de fortalecimiento financiero que beneficien a la población; mejorar la infraestructura de los municipios, saneamiento financiero, amortización de créditos contratados para la realización de infraestructura, incrementar la colocación, rehabilitación o sustitución de los sistemas de iluminación municipal y/o la rehabilitación de la superficie de rodamiento de vialidades y seguridad pública y dotar del equipamiento necesario para seguridad pública a los municipios, a través de los recursos de este fondo.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El Fondo Estatal de Fortalecimiento Municipal (FEFOM) tiene como fin fortalecer la inversión pública en los municipios que contribuya sustancialmente al desarrollo regional; su asignación y distribución se realizará con base en criterios y porcentajes objetivos, por medio de las siguientes variables: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 Población por municipio: 40%; </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b) Marginalidad por municipio: 45%; </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c) El inverso de la densidad poblacional por municipio: 15%.</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Los recursos del FEFOM, se transfieren a los municipios con el carácter de asignaciones dirigidas a fortalecer su presupuesto (Artículo 65, Decreto).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Este recurso es indispensable para el mejor funcionamiento de cada uno de los municipios, ya que se pueden utilizar en infraestructura de obra pública, saneamiento financiero, pago de pasivos con entidades públicas federales y/o estatales, pago de obligaciones financieras, sistemas de iluminación municipal y/o a la rehabilitación de la superficie de rodamiento de vialidades y seguridad pública y/o equipamiento para seguridad pública. Ejemplos de los proyectos de inversión a los que podrán destinarse estos recursos serán: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Proyectos de infraestructura económica, cuando se trate de la construcción y/o ampliación de activos fijos para la producción de bienes y servicios en los sectores de agua, comunicaciones y transportes, electricidad y turismo; así como su rehabilitación, cuyo objeto sea incrementar la vida útil o capacidad original de los activos fijos destinados a la producción de bienes y servicios de los sectores mencionados;</w:t>
      </w:r>
    </w:p>
    <w:p w:rsidR="005802F7" w:rsidRDefault="005802F7">
      <w:pPr>
        <w:pStyle w:val="Prrafodelista"/>
        <w:widowControl w:val="0"/>
        <w:tabs>
          <w:tab w:val="left" w:pos="1701"/>
          <w:tab w:val="left" w:pos="1843"/>
        </w:tabs>
        <w:spacing w:line="360" w:lineRule="auto"/>
        <w:ind w:left="720"/>
        <w:contextualSpacing/>
        <w:jc w:val="both"/>
        <w:rPr>
          <w:rFonts w:ascii="Palatino Linotype" w:hAnsi="Palatino Linotype" w:cs="Arial"/>
        </w:rPr>
      </w:pPr>
    </w:p>
    <w:p w:rsidR="005802F7" w:rsidRDefault="00C71A23">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b) Proyectos de infraestructura social, cuando se trate de la construcción y/o ampliación de activos fijos para llevar a cabo funciones en materia de educación, ciencia y tecnología, cultura, deporte, salud y asistencia social; así como su rehabilitación, cuyo objeto sea incrementar la vida útil o capacidad original de los activos fijos destinados a la producción de bienes y servicios de los sectores mencionados;</w:t>
      </w:r>
    </w:p>
    <w:p w:rsidR="005802F7" w:rsidRDefault="005802F7">
      <w:pPr>
        <w:pStyle w:val="Prrafodelista"/>
        <w:rPr>
          <w:rFonts w:ascii="Palatino Linotype" w:hAnsi="Palatino Linotype" w:cs="Arial"/>
        </w:rPr>
      </w:pPr>
    </w:p>
    <w:p w:rsidR="005802F7" w:rsidRDefault="00C71A23">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c) Proyectos de infraestructura gubernamental, cuando se trate de la construcción y/o ampliación de activos fijos para llevar a cabo funciones de </w:t>
      </w:r>
      <w:r>
        <w:rPr>
          <w:rFonts w:ascii="Palatino Linotype" w:hAnsi="Palatino Linotype" w:cs="Arial"/>
        </w:rPr>
        <w:lastRenderedPageBreak/>
        <w:t>gobierno, tales como seguridad pública, protección civil y procuración de justicia, entre otras; así como su rehabilitación, cuyo objeto sea incrementar la vida útil o capacidad original de los activos fijos destinados a la producción de bienes y servicios de los sectores mencionados;</w:t>
      </w:r>
    </w:p>
    <w:p w:rsidR="005802F7" w:rsidRDefault="005802F7">
      <w:pPr>
        <w:pStyle w:val="Prrafodelista"/>
        <w:rPr>
          <w:rFonts w:ascii="Palatino Linotype" w:hAnsi="Palatino Linotype" w:cs="Arial"/>
        </w:rPr>
      </w:pPr>
    </w:p>
    <w:p w:rsidR="005802F7" w:rsidRDefault="00C71A23">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 Proyectos de inmuebles, cuando se trate de la construcción y/o ampliación de inmuebles destinados a oficinas administrativas;</w:t>
      </w:r>
    </w:p>
    <w:p w:rsidR="005802F7" w:rsidRDefault="005802F7">
      <w:pPr>
        <w:pStyle w:val="Prrafodelista"/>
        <w:rPr>
          <w:rFonts w:ascii="Palatino Linotype" w:hAnsi="Palatino Linotype" w:cs="Arial"/>
        </w:rPr>
      </w:pPr>
    </w:p>
    <w:p w:rsidR="005802F7" w:rsidRDefault="00C71A23">
      <w:pPr>
        <w:pStyle w:val="Prrafodelista"/>
        <w:widowControl w:val="0"/>
        <w:numPr>
          <w:ilvl w:val="0"/>
          <w:numId w:val="8"/>
        </w:numPr>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 Otros proyectos de inversión, cuando se trate de aquellos que no estén identificados en los incisos anteriores.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 acuerdo con los Lineamientos para la utilización del Fondo Estatal de Fortalecimiento Municipal y sus criterios de aplicación; para la distribución de recursos FEFOM los municipios deberán abrir una cuenta bancaria productiva específica para la administración de los recursos del FEFOM del ejercicio fiscal 2020, la cual se hará del conocimiento previo a la Caja General de Gobierno, dichos recursos se radicarán a los Municipios en partes iguales, durante enero a octubre del 2020. La Secretaría de Finanzas hará la radicación durante los últimos cinco días hábiles de cada mes, siempre y cuando los Municipios hayan cumplido lo dispuesto en el Presupuesto de Egresos del Gobierno del Estado de México para el Ejercicio Fiscal correspondiente</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orden de ideas, en la Gaceta del Gobierno del Estado de México del 31 de enero de 2019, se publicó el Acuerdo por el que se dan a conocer las fórmulas y variables utilizadas para determinar el monto correspondiente a cada Municipio del Fondo </w:t>
      </w:r>
      <w:r>
        <w:rPr>
          <w:rFonts w:ascii="Palatino Linotype" w:hAnsi="Palatino Linotype" w:cs="Arial"/>
        </w:rPr>
        <w:lastRenderedPageBreak/>
        <w:t xml:space="preserve">Estatal de Fortalecimiento Municipal para el ejercicio fiscal 2019; en dicho acuerdo se establecen las fórmulas y variables utilizadas para determinar el monto de recursos del FEFOM que le corresponde a cada municipio en el ejercicio fiscal 2019 utilizando la información del XIII Censo General de Población y Vivienda 2010, publicado por el Instituto Nacional de Estadística y Geografía (INEGI) la cual se sustenta en criterios, porcentajes y objetivos de asignación y distribución, dando como resultado, que para el Municipio de Chalco se destinara la cantidad de $ 43,544,027.95 (cuarenta y tres millones quinientos cuarenta y cuatro mil veintisiete pesos 95/100 </w:t>
      </w:r>
      <w:r>
        <w:rPr>
          <w:rFonts w:ascii="Palatino Linotype" w:hAnsi="Palatino Linotype" w:cs="Arial"/>
        </w:rPr>
        <w:tab/>
        <w:t>M.N).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Los municipios tendrán la obligación de resguardar toda la documentación comprobatoria de los recursos que le sean autorizados a través del FEFOM, con la finalidad de que, en cualquier etapa de la ejecución de la obra o acción, o de las auditorías que se lleven a cabo, estén en la posibilidad de acreditar la correcta aplicación de los recursos; será responsabilidad de cada municipio resguardar los siguientes elementos: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rPr>
      </w:pPr>
      <w:r>
        <w:rPr>
          <w:rFonts w:ascii="Palatino Linotype" w:hAnsi="Palatino Linotype" w:cs="Arial"/>
        </w:rPr>
        <w:t>a) El convenio marco de ejecución con la Secretaría de Finanzas y el anexo de obras propuestas.</w:t>
      </w:r>
    </w:p>
    <w:p w:rsidR="005802F7" w:rsidRDefault="005802F7">
      <w:pPr>
        <w:widowControl w:val="0"/>
        <w:tabs>
          <w:tab w:val="left" w:pos="1701"/>
          <w:tab w:val="left" w:pos="1843"/>
        </w:tabs>
        <w:spacing w:line="360" w:lineRule="auto"/>
        <w:ind w:left="709" w:right="757"/>
        <w:contextualSpacing/>
        <w:jc w:val="both"/>
        <w:rPr>
          <w:rFonts w:ascii="Palatino Linotype" w:hAnsi="Palatino Linotype" w:cs="Arial"/>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b/>
        </w:rPr>
      </w:pPr>
      <w:r>
        <w:rPr>
          <w:rFonts w:ascii="Palatino Linotype" w:hAnsi="Palatino Linotype" w:cs="Arial"/>
          <w:b/>
        </w:rPr>
        <w:t>b) La autorización de Cabildo para la realización de cada proyecto.</w:t>
      </w:r>
    </w:p>
    <w:p w:rsidR="005802F7" w:rsidRDefault="005802F7">
      <w:pPr>
        <w:widowControl w:val="0"/>
        <w:tabs>
          <w:tab w:val="left" w:pos="1701"/>
          <w:tab w:val="left" w:pos="1843"/>
        </w:tabs>
        <w:spacing w:line="360" w:lineRule="auto"/>
        <w:ind w:left="709" w:right="757"/>
        <w:contextualSpacing/>
        <w:jc w:val="both"/>
        <w:rPr>
          <w:rFonts w:ascii="Palatino Linotype" w:hAnsi="Palatino Linotype" w:cs="Arial"/>
          <w:b/>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rPr>
      </w:pPr>
      <w:r>
        <w:rPr>
          <w:rFonts w:ascii="Palatino Linotype" w:hAnsi="Palatino Linotype" w:cs="Arial"/>
        </w:rPr>
        <w:t>c) Contar con el dictamen del estudio socio-económico para los recursos destinados a proyectos de inversión.</w:t>
      </w:r>
    </w:p>
    <w:p w:rsidR="005802F7" w:rsidRDefault="005802F7">
      <w:pPr>
        <w:widowControl w:val="0"/>
        <w:tabs>
          <w:tab w:val="left" w:pos="1701"/>
          <w:tab w:val="left" w:pos="1843"/>
        </w:tabs>
        <w:spacing w:line="360" w:lineRule="auto"/>
        <w:ind w:left="709" w:right="757"/>
        <w:contextualSpacing/>
        <w:jc w:val="both"/>
        <w:rPr>
          <w:rFonts w:ascii="Palatino Linotype" w:hAnsi="Palatino Linotype" w:cs="Arial"/>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rPr>
      </w:pPr>
      <w:r>
        <w:rPr>
          <w:rFonts w:ascii="Palatino Linotype" w:hAnsi="Palatino Linotype" w:cs="Arial"/>
        </w:rPr>
        <w:lastRenderedPageBreak/>
        <w:t>d) Contar con el expediente técnico de cada proyecto, elaborado de acuerdo a las Reglas de Operación del PAD.</w:t>
      </w:r>
    </w:p>
    <w:p w:rsidR="005802F7" w:rsidRDefault="005802F7">
      <w:pPr>
        <w:widowControl w:val="0"/>
        <w:tabs>
          <w:tab w:val="left" w:pos="1701"/>
          <w:tab w:val="left" w:pos="1843"/>
        </w:tabs>
        <w:spacing w:line="360" w:lineRule="auto"/>
        <w:ind w:left="709" w:right="757"/>
        <w:contextualSpacing/>
        <w:jc w:val="both"/>
        <w:rPr>
          <w:rFonts w:ascii="Palatino Linotype" w:hAnsi="Palatino Linotype" w:cs="Arial"/>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rPr>
      </w:pPr>
      <w:r>
        <w:rPr>
          <w:rFonts w:ascii="Palatino Linotype" w:hAnsi="Palatino Linotype" w:cs="Arial"/>
        </w:rPr>
        <w:t>e) Contar con el proyecto ejecutivo conteniendo la información suficiente para su análisis y evaluación.</w:t>
      </w:r>
    </w:p>
    <w:p w:rsidR="005802F7" w:rsidRDefault="005802F7">
      <w:pPr>
        <w:widowControl w:val="0"/>
        <w:tabs>
          <w:tab w:val="left" w:pos="1701"/>
          <w:tab w:val="left" w:pos="1843"/>
        </w:tabs>
        <w:spacing w:line="360" w:lineRule="auto"/>
        <w:ind w:left="709" w:right="757"/>
        <w:contextualSpacing/>
        <w:jc w:val="both"/>
        <w:rPr>
          <w:rFonts w:ascii="Palatino Linotype" w:hAnsi="Palatino Linotype" w:cs="Arial"/>
        </w:rPr>
      </w:pPr>
    </w:p>
    <w:p w:rsidR="005802F7" w:rsidRDefault="00C71A23">
      <w:pPr>
        <w:widowControl w:val="0"/>
        <w:tabs>
          <w:tab w:val="left" w:pos="1701"/>
          <w:tab w:val="left" w:pos="1843"/>
        </w:tabs>
        <w:spacing w:line="360" w:lineRule="auto"/>
        <w:ind w:left="709" w:right="757"/>
        <w:contextualSpacing/>
        <w:jc w:val="both"/>
        <w:rPr>
          <w:rFonts w:ascii="Palatino Linotype" w:hAnsi="Palatino Linotype" w:cs="Arial"/>
        </w:rPr>
      </w:pPr>
      <w:r>
        <w:rPr>
          <w:rFonts w:ascii="Palatino Linotype" w:hAnsi="Palatino Linotype" w:cs="Arial"/>
        </w:rPr>
        <w:t>f) Contar con todos los permisos que fueron necesarios para la ejecución de los proyectos, mismos que deberán acreditar por su parte, en los casos en que así se requiera, ante los órganos fiscalizadores y cumplir con la normativa para el ejercicio de recursos estatales.</w:t>
      </w:r>
      <w:r>
        <w:rPr>
          <w:rFonts w:ascii="Palatino Linotype" w:hAnsi="Palatino Linotype" w:cs="Arial"/>
        </w:rPr>
        <w:br/>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Lo anterior, de conformidad con el Acuerdo de fecha 31 de enero de 2019 invocado anteriormente; de tal forma que </w:t>
      </w:r>
      <w:r>
        <w:rPr>
          <w:rFonts w:ascii="Palatino Linotype" w:hAnsi="Palatino Linotype" w:cs="Arial"/>
          <w:b/>
        </w:rPr>
        <w:t xml:space="preserve">EL SUJETO OBLIGADO </w:t>
      </w:r>
      <w:r>
        <w:rPr>
          <w:rFonts w:ascii="Palatino Linotype" w:hAnsi="Palatino Linotype" w:cs="Arial"/>
        </w:rPr>
        <w:t>está constreñido a contar con los documentos que den cuenta del monto y periodicidad de las ministraciones por concepto del recurso del FEFOM, y su ejercicio deberá documentarse conforme a LOS numerales 21, 23 y 24 de los Lineamientos para la utilización del Fondo Estatal de Fortalecimiento Municipal y sus criterios de aplicación:</w:t>
      </w:r>
      <w:r>
        <w:rPr>
          <w:rFonts w:ascii="Palatino Linotype" w:hAnsi="Palatino Linotype" w:cs="Arial"/>
        </w:rPr>
        <w:br/>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b/>
          <w:i/>
          <w:sz w:val="22"/>
        </w:rPr>
        <w:t>21</w:t>
      </w:r>
      <w:r>
        <w:rPr>
          <w:rFonts w:ascii="Palatino Linotype" w:hAnsi="Palatino Linotype" w:cs="Arial"/>
          <w:i/>
          <w:sz w:val="22"/>
        </w:rPr>
        <w:t xml:space="preserve">. Los municipios tendrán la obligación de </w:t>
      </w:r>
      <w:r>
        <w:rPr>
          <w:rFonts w:ascii="Palatino Linotype" w:hAnsi="Palatino Linotype" w:cs="Arial"/>
          <w:b/>
          <w:i/>
          <w:sz w:val="22"/>
        </w:rPr>
        <w:t>resguardar toda la documentación comprobatoria de los recursos que le sean autorizados a través del Fefom</w:t>
      </w:r>
      <w:r>
        <w:rPr>
          <w:rFonts w:ascii="Palatino Linotype" w:hAnsi="Palatino Linotype" w:cs="Arial"/>
          <w:i/>
          <w:sz w:val="22"/>
        </w:rPr>
        <w:t>, con la finalidad de que, en cualquier etapa de la ejecución de la obra o acción, o de las auditorías que se lleven a cabo, estén en la posibilidad de acreditar la correcta aplicación de los recursos; lo que eximirá de cualquier responsabilidad a la Secretaría. Asimismo, será responsabilidad de cada municipio resguardar los siguientes elementos:</w:t>
      </w: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b/>
          <w:i/>
          <w:sz w:val="22"/>
        </w:rPr>
        <w:t>23</w:t>
      </w:r>
      <w:r>
        <w:rPr>
          <w:rFonts w:ascii="Palatino Linotype" w:hAnsi="Palatino Linotype" w:cs="Arial"/>
          <w:i/>
          <w:sz w:val="22"/>
        </w:rPr>
        <w:t xml:space="preserve">. Cuando sea requerido por la Subsecretaría, </w:t>
      </w:r>
      <w:r>
        <w:rPr>
          <w:rFonts w:ascii="Palatino Linotype" w:hAnsi="Palatino Linotype" w:cs="Arial"/>
          <w:b/>
          <w:i/>
          <w:sz w:val="22"/>
        </w:rPr>
        <w:t xml:space="preserve">los municipios presentarán la </w:t>
      </w:r>
      <w:r>
        <w:rPr>
          <w:rFonts w:ascii="Palatino Linotype" w:hAnsi="Palatino Linotype" w:cs="Arial"/>
          <w:b/>
          <w:i/>
          <w:sz w:val="22"/>
        </w:rPr>
        <w:lastRenderedPageBreak/>
        <w:t>documentación comprobatoria en un expediente único que permita justificar y comprobar las acciones y erogaciones realizadas</w:t>
      </w:r>
      <w:r>
        <w:rPr>
          <w:rFonts w:ascii="Palatino Linotype" w:hAnsi="Palatino Linotype" w:cs="Arial"/>
          <w:i/>
          <w:sz w:val="22"/>
        </w:rPr>
        <w:t xml:space="preserve">, conforme a las disposiciones jurídicas aplicables, sin perjuicio de las acciones de vigilancia, control y evaluación que realicen los órganos fiscalizadores correspondientes. </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rPr>
      </w:pPr>
      <w:r>
        <w:rPr>
          <w:rFonts w:ascii="Palatino Linotype" w:hAnsi="Palatino Linotype" w:cs="Arial"/>
          <w:b/>
          <w:i/>
          <w:sz w:val="22"/>
        </w:rPr>
        <w:t>24</w:t>
      </w:r>
      <w:r>
        <w:rPr>
          <w:rFonts w:ascii="Palatino Linotype" w:hAnsi="Palatino Linotype" w:cs="Arial"/>
          <w:i/>
          <w:sz w:val="22"/>
        </w:rPr>
        <w:t xml:space="preserve">. La fecha límite para el ejercicio de los recursos del Fefom será el 31 de diciembre de 2019, y </w:t>
      </w:r>
      <w:r>
        <w:rPr>
          <w:rFonts w:ascii="Palatino Linotype" w:hAnsi="Palatino Linotype" w:cs="Arial"/>
          <w:b/>
          <w:i/>
          <w:sz w:val="22"/>
        </w:rPr>
        <w:t>la fecha límite para su comprobación será el último día hábil de marzo de 2020</w:t>
      </w:r>
      <w:r>
        <w:rPr>
          <w:rFonts w:ascii="Palatino Linotype" w:hAnsi="Palatino Linotype" w:cs="Arial"/>
          <w:i/>
          <w:sz w:val="22"/>
        </w:rPr>
        <w:t>. Los recursos e intereses no comprobados deberán ser reintegrados a la Subsecretaría de Tesorería del Gobierno del Estado de México, a más tardar el 15 de abril de 2020, sin perjuicio de lo anterior, los recursos no comprometidos al 31 de diciembre de 2019 deberán ser reintegrados a más tardar el último día hábil de enero de 2020.</w:t>
      </w:r>
      <w:r>
        <w:rPr>
          <w:rFonts w:ascii="Palatino Linotype" w:hAnsi="Palatino Linotype" w:cs="Arial"/>
          <w:i/>
          <w:sz w:val="22"/>
        </w:rPr>
        <w:br/>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Toca atender ahora, lo relativo a los recursos del Fondo de Aportaciones para la Seguridad Pública de los Estados y del Distrito Federal (FASP) del cual,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informó del monto y ejercicio del mismo, proporcionando cantidades y bienes que no coinciden con la información pública que se invoca en el siguiente estudio, respecto al Fondo en comento de acuerdo a lo que a continuación se expone.</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 </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La Ley de Coordinación Fiscal, establece que se constituirá con cargo a recursos federales, mismos que serán determinados anualmente en el Presupuesto de Egresos de la Federación. La Secretaría de Gobernación formulará a la Secretaría de Hacienda y Crédito Público una propuesta para la integración de dicho Fondo.</w:t>
      </w:r>
      <w:r>
        <w:rPr>
          <w:rFonts w:ascii="Palatino Linotype" w:hAnsi="Palatino Linotype" w:cs="Arial"/>
        </w:rPr>
        <w:br/>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w:t>
      </w:r>
      <w:r>
        <w:rPr>
          <w:rFonts w:ascii="Palatino Linotype" w:hAnsi="Palatino Linotype" w:cs="Arial"/>
        </w:rPr>
        <w:lastRenderedPageBreak/>
        <w:t xml:space="preserve">distribución de los recursos, criterios que incorporen </w:t>
      </w:r>
      <w:r>
        <w:rPr>
          <w:rFonts w:ascii="Palatino Linotype" w:hAnsi="Palatino Linotype" w:cs="Arial"/>
          <w:b/>
        </w:rPr>
        <w:t>el número de habitantes de los Estados</w:t>
      </w:r>
      <w:r>
        <w:rPr>
          <w:rFonts w:ascii="Palatino Linotype" w:hAnsi="Palatino Linotype" w:cs="Arial"/>
        </w:rPr>
        <w:t xml:space="preserve"> y del Distrito Federal; </w:t>
      </w:r>
      <w:r>
        <w:rPr>
          <w:rFonts w:ascii="Palatino Linotype" w:hAnsi="Palatino Linotype" w:cs="Arial"/>
          <w:b/>
        </w:rPr>
        <w:t>el índice de ocupación penitenciaria</w:t>
      </w:r>
      <w:r>
        <w:rPr>
          <w:rFonts w:ascii="Palatino Linotype" w:hAnsi="Palatino Linotype" w:cs="Arial"/>
        </w:rPr>
        <w:t xml:space="preserve">; </w:t>
      </w:r>
      <w:r>
        <w:rPr>
          <w:rFonts w:ascii="Palatino Linotype" w:hAnsi="Palatino Linotype" w:cs="Arial"/>
          <w:b/>
        </w:rPr>
        <w:t>la implementación de programas de prevención del delito</w:t>
      </w:r>
      <w:r>
        <w:rPr>
          <w:rFonts w:ascii="Palatino Linotype" w:hAnsi="Palatino Linotype" w:cs="Arial"/>
        </w:rPr>
        <w:t xml:space="preserve">; los recursos destinados a apoyar las acciones que en materia de seguridad pública desarrollen los municipios, y el avance en la aplicación del Programa Nacional de Seguridad Pública en materia de profesionalización, equipamiento, modernización tecnológica e infraestructura.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Este fondo </w:t>
      </w:r>
      <w:r>
        <w:rPr>
          <w:rFonts w:ascii="Palatino Linotype" w:hAnsi="Palatino Linotype" w:cs="Arial"/>
          <w:b/>
        </w:rPr>
        <w:t>se enterará mensualmente</w:t>
      </w:r>
      <w:r>
        <w:rPr>
          <w:rFonts w:ascii="Palatino Linotype" w:hAnsi="Palatino Linotype" w:cs="Arial"/>
        </w:rPr>
        <w:t xml:space="preserve"> por la Secretaría de Hacienda y Crédito Público durante los </w:t>
      </w:r>
      <w:r>
        <w:rPr>
          <w:rFonts w:ascii="Palatino Linotype" w:hAnsi="Palatino Linotype" w:cs="Arial"/>
          <w:b/>
        </w:rPr>
        <w:t xml:space="preserve">primeros diez meses del año a los Estados </w:t>
      </w:r>
      <w:r>
        <w:rPr>
          <w:rFonts w:ascii="Palatino Linotype" w:hAnsi="Palatino Linotype" w:cs="Arial"/>
        </w:rPr>
        <w:t>y al Distrito Federal, de manera ágil y directa sin más limitaciones ni restricciones, incluyendo aquéllas de carácter administrativo, salvo que no se cumpla lo dispuesto en el artículo 44 de la Ley de Coordinación Fiscal.</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En este orden de ideas, es menester señalar que en fecha 25 de enero de 2019, se publicaron en el Diario Oficial de la Federación los Criterios de distribución, fórmulas y variables para la asignación de los recursos del Fondo de Aportaciones para la Seguridad Pública de los Estados y del Distrito Federal del ejercicio fiscal 2019 y el resultado de su aplicación. Derivado de lo anterior, al Estado de México le correspondió la cantidad de $ 497,135,552 (cuatrocientos noventa y siete millones ciento treinta y cinco mil quinientos cincuenta y dos pesos 00/100 M.N.); por lo que, en la Gaceta del Gobierno del Estado de México del 19 de marzo de 2019, se publicó el Resultado de la Distribución de recursos por $99,427,110 pesos 00/100 M.N. entre los 125 Municipios del Estado de México, provenientes del Fondo de Aportaciones para la Seguridad Pública de los Estados y del Distrito Federal (FASP) para el ejercicio fiscal </w:t>
      </w:r>
      <w:r>
        <w:rPr>
          <w:rFonts w:ascii="Palatino Linotype" w:hAnsi="Palatino Linotype" w:cs="Arial"/>
        </w:rPr>
        <w:lastRenderedPageBreak/>
        <w:t xml:space="preserve">2019; en dicha publicación  se informa de la distribución de los recursos entre los 125 municipios que conforman el Estado de México, correspondiéndole al Municipio de Chalco la cantidad de $ 650,714.00 (seiscientos cincuenta mil setecientos catorce pesos 00/100 M.N.) lo cual resulta coincidente con lo informado por </w:t>
      </w:r>
      <w:r>
        <w:rPr>
          <w:rFonts w:ascii="Palatino Linotype" w:hAnsi="Palatino Linotype" w:cs="Arial"/>
          <w:b/>
        </w:rPr>
        <w:t xml:space="preserve">EL SUJETO OBLIGADO; </w:t>
      </w:r>
      <w:r>
        <w:rPr>
          <w:rFonts w:ascii="Palatino Linotype" w:hAnsi="Palatino Linotype" w:cs="Arial"/>
        </w:rPr>
        <w:t>sin embargo, su ejercicio difiere en relación a lo que consta en la Gaceta Municipal número 22 del 30 de agosto de 2019, específicamente en lo tocante a los Acuerdos de la Cuadragésima sesión ordinaria de cabildo del Ayuntamiento Constitucional de Chalco, Estado de México, del 9 de agosto de 2019, en el que se sometió como propuesta y, en su caso, aprobación de las acciones a ejecutarse con recursos del Fondo de aportaciones para la seguridad pública de los Estados y del Distrito Federal para el ejercicio fiscal 2019 (FASP 2019), bajo los siguientes términos:</w:t>
      </w: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noProof/>
          <w:lang w:eastAsia="es-MX"/>
        </w:rPr>
        <w:drawing>
          <wp:inline distT="0" distB="0" distL="0" distR="0">
            <wp:extent cx="5753100" cy="552450"/>
            <wp:effectExtent l="0" t="0" r="0" b="0"/>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0"/>
                    <pic:cNvPicPr>
                      <a:picLocks noChangeAspect="1" noChangeArrowheads="1"/>
                    </pic:cNvPicPr>
                  </pic:nvPicPr>
                  <pic:blipFill>
                    <a:blip r:embed="rId12"/>
                    <a:stretch>
                      <a:fillRect/>
                    </a:stretch>
                  </pic:blipFill>
                  <pic:spPr bwMode="auto">
                    <a:xfrm>
                      <a:off x="0" y="0"/>
                      <a:ext cx="5753100" cy="552450"/>
                    </a:xfrm>
                    <a:prstGeom prst="rect">
                      <a:avLst/>
                    </a:prstGeom>
                  </pic:spPr>
                </pic:pic>
              </a:graphicData>
            </a:graphic>
          </wp:inline>
        </w:drawing>
      </w:r>
      <w:r>
        <w:rPr>
          <w:rFonts w:ascii="Palatino Linotype" w:hAnsi="Palatino Linotype" w:cs="Arial"/>
        </w:rPr>
        <w:t xml:space="preserve">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lo anterior, se advierte que la totalidad de los recursos fueron destinados a la compra de chalecos balísticos y de acuerdo con lo informado en respuesta por </w:t>
      </w:r>
      <w:r>
        <w:rPr>
          <w:rFonts w:ascii="Palatino Linotype" w:hAnsi="Palatino Linotype" w:cs="Arial"/>
          <w:b/>
        </w:rPr>
        <w:t xml:space="preserve">EL SUJETO OBLIGADO </w:t>
      </w:r>
      <w:r>
        <w:rPr>
          <w:rFonts w:ascii="Palatino Linotype" w:hAnsi="Palatino Linotype" w:cs="Arial"/>
        </w:rPr>
        <w:t>se adquirieron otros bienes con el mismo monto como se ilustra a continuación:</w:t>
      </w:r>
    </w:p>
    <w:p w:rsidR="005802F7" w:rsidRDefault="005802F7">
      <w:pPr>
        <w:widowControl w:val="0"/>
        <w:tabs>
          <w:tab w:val="left" w:pos="1701"/>
          <w:tab w:val="left" w:pos="1843"/>
        </w:tabs>
        <w:spacing w:line="360" w:lineRule="auto"/>
        <w:contextualSpacing/>
        <w:jc w:val="both"/>
        <w:rPr>
          <w:rFonts w:ascii="Palatino Linotype" w:hAnsi="Palatino Linotype" w:cs="Arial"/>
          <w:b/>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noProof/>
          <w:lang w:eastAsia="es-MX"/>
        </w:rPr>
        <w:lastRenderedPageBreak/>
        <w:drawing>
          <wp:inline distT="0" distB="0" distL="0" distR="0">
            <wp:extent cx="5791835" cy="1640205"/>
            <wp:effectExtent l="0" t="0" r="0" b="0"/>
            <wp:docPr id="6"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4"/>
                    <pic:cNvPicPr>
                      <a:picLocks noChangeAspect="1" noChangeArrowheads="1"/>
                    </pic:cNvPicPr>
                  </pic:nvPicPr>
                  <pic:blipFill>
                    <a:blip r:embed="rId13"/>
                    <a:stretch>
                      <a:fillRect/>
                    </a:stretch>
                  </pic:blipFill>
                  <pic:spPr bwMode="auto">
                    <a:xfrm>
                      <a:off x="0" y="0"/>
                      <a:ext cx="5791835" cy="1640205"/>
                    </a:xfrm>
                    <a:prstGeom prst="rect">
                      <a:avLst/>
                    </a:prstGeom>
                  </pic:spPr>
                </pic:pic>
              </a:graphicData>
            </a:graphic>
          </wp:inline>
        </w:drawing>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tanto, dicha información carece de certeza para colmar el derecho de acceso a la información pública accionado por el particular, haciendo propicio ordenar la entrega de los documentos que den cuenta de los recursos obtenidos por concepto del FASP.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Ello, en virtud de la obligación de las entidades federativas, municipios y demarcaciones territoriales de informar a sus habitantes trimestralmente y al término de cada ejercicio, entre otros medios, a través de la página oficial de Internet de la entidad correspondiente, los montos que reciban, el ejercicio, destino y resultados obtenidos respecto de este fondo, en términos de la Ley General de Contabilidad Gubernamental y conforme a los formatos aprobados por el Consejo Nacional de Armonización Contable.</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Por último, tocante a Programa de Acciones Para el Desarrollo (PAD), anteriormente programa de Gasto de Inversión Sectorial, cuyo objetivo es fomentar el desarrollo y disminuir la pobreza, procurar la seguridad económica, pública y social en el Estado de México, así como destinar recursos económicos para la ejecución de diversas obras y acciones de impacto a sus beneficiarios, que contribuyan a un desarrollo sustentable </w:t>
      </w:r>
      <w:r>
        <w:rPr>
          <w:rFonts w:ascii="Palatino Linotype" w:hAnsi="Palatino Linotype" w:cs="Arial"/>
        </w:rPr>
        <w:lastRenderedPageBreak/>
        <w:t xml:space="preserve">de las regiones del territorio estatal; tenemos que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 xml:space="preserve">SUJETO OBLIGADO </w:t>
      </w:r>
      <w:r>
        <w:rPr>
          <w:rFonts w:ascii="Palatino Linotype" w:hAnsi="Palatino Linotype" w:cs="Arial"/>
        </w:rPr>
        <w:t xml:space="preserve">proporcionó información relacionada con el monto y destino de dichos recursos, mismos que no son coincidentes con la publicada por el propio Ayuntamiento en la relación de obras públicas que obran en la página oficial del </w:t>
      </w:r>
      <w:r>
        <w:rPr>
          <w:rFonts w:ascii="Palatino Linotype" w:hAnsi="Palatino Linotype" w:cs="Arial"/>
          <w:b/>
        </w:rPr>
        <w:t>SUJETO OBLIGADO</w:t>
      </w:r>
      <w:r>
        <w:rPr>
          <w:rFonts w:ascii="Palatino Linotype" w:hAnsi="Palatino Linotype" w:cs="Arial"/>
        </w:rPr>
        <w:t xml:space="preserve"> como se ilustra a continuación:</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noProof/>
          <w:lang w:eastAsia="es-MX"/>
        </w:rPr>
        <w:drawing>
          <wp:inline distT="0" distB="0" distL="0" distR="0">
            <wp:extent cx="5791835" cy="1943100"/>
            <wp:effectExtent l="0" t="0" r="0" b="0"/>
            <wp:docPr id="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2"/>
                    <pic:cNvPicPr>
                      <a:picLocks noChangeAspect="1" noChangeArrowheads="1"/>
                    </pic:cNvPicPr>
                  </pic:nvPicPr>
                  <pic:blipFill>
                    <a:blip r:embed="rId14"/>
                    <a:stretch>
                      <a:fillRect/>
                    </a:stretch>
                  </pic:blipFill>
                  <pic:spPr bwMode="auto">
                    <a:xfrm>
                      <a:off x="0" y="0"/>
                      <a:ext cx="5791835" cy="1943100"/>
                    </a:xfrm>
                    <a:prstGeom prst="rect">
                      <a:avLst/>
                    </a:prstGeom>
                  </pic:spPr>
                </pic:pic>
              </a:graphicData>
            </a:graphic>
          </wp:inline>
        </w:drawing>
      </w:r>
      <w:r>
        <w:rPr>
          <w:noProof/>
          <w:lang w:eastAsia="es-MX"/>
        </w:rPr>
        <mc:AlternateContent>
          <mc:Choice Requires="wps">
            <w:drawing>
              <wp:anchor distT="0" distB="0" distL="0" distR="0" simplePos="0" relativeHeight="143" behindDoc="0" locked="0" layoutInCell="1" allowOverlap="1" wp14:anchorId="445025CA">
                <wp:simplePos x="0" y="0"/>
                <wp:positionH relativeFrom="column">
                  <wp:posOffset>3253740</wp:posOffset>
                </wp:positionH>
                <wp:positionV relativeFrom="paragraph">
                  <wp:posOffset>846455</wp:posOffset>
                </wp:positionV>
                <wp:extent cx="781685" cy="286385"/>
                <wp:effectExtent l="57150" t="38100" r="76200" b="95250"/>
                <wp:wrapNone/>
                <wp:docPr id="7" name="Rectángulo 13"/>
                <wp:cNvGraphicFramePr/>
                <a:graphic xmlns:a="http://schemas.openxmlformats.org/drawingml/2006/main">
                  <a:graphicData uri="http://schemas.microsoft.com/office/word/2010/wordprocessingShape">
                    <wps:wsp>
                      <wps:cNvSpPr/>
                      <wps:spPr>
                        <a:xfrm>
                          <a:off x="0" y="0"/>
                          <a:ext cx="781200" cy="285840"/>
                        </a:xfrm>
                        <a:prstGeom prst="rect">
                          <a:avLst/>
                        </a:prstGeom>
                        <a:noFill/>
                        <a:ln w="28440">
                          <a:solidFill>
                            <a:srgbClr val="4A7EBB"/>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rect id="shape_0" ID="Rectángulo 13" stroked="t" style="position:absolute;margin-left:256.2pt;margin-top:66.65pt;width:61.45pt;height:22.45pt" wp14:anchorId="445025CA">
                <w10:wrap type="none"/>
                <v:fill o:detectmouseclick="t" on="false"/>
                <v:stroke color="#4a7ebb" weight="28440" joinstyle="round" endcap="flat"/>
                <v:shadow on="t" obscured="f" color="black"/>
              </v:rect>
            </w:pict>
          </mc:Fallback>
        </mc:AlternateConten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noProof/>
          <w:lang w:eastAsia="es-MX"/>
        </w:rPr>
        <w:drawing>
          <wp:inline distT="0" distB="0" distL="0" distR="0">
            <wp:extent cx="5791835" cy="2498725"/>
            <wp:effectExtent l="0" t="0" r="0" b="0"/>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4"/>
                    <pic:cNvPicPr>
                      <a:picLocks noChangeAspect="1" noChangeArrowheads="1"/>
                    </pic:cNvPicPr>
                  </pic:nvPicPr>
                  <pic:blipFill>
                    <a:blip r:embed="rId15"/>
                    <a:stretch>
                      <a:fillRect/>
                    </a:stretch>
                  </pic:blipFill>
                  <pic:spPr bwMode="auto">
                    <a:xfrm>
                      <a:off x="0" y="0"/>
                      <a:ext cx="5791835" cy="2498725"/>
                    </a:xfrm>
                    <a:prstGeom prst="rect">
                      <a:avLst/>
                    </a:prstGeom>
                  </pic:spPr>
                </pic:pic>
              </a:graphicData>
            </a:graphic>
          </wp:inline>
        </w:drawing>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Resultando coincidente con la obra ejecutada pero no así respecto al monto destinado </w:t>
      </w:r>
      <w:r>
        <w:rPr>
          <w:rFonts w:ascii="Palatino Linotype" w:hAnsi="Palatino Linotype" w:cs="Arial"/>
        </w:rPr>
        <w:lastRenderedPageBreak/>
        <w:t>para la misma.</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este sentido es importante señalar que las erogaciones del Programa de Acciones para el Desarrollo, se encuentran previstas en el artículo 11 del Decreto de Presupuesto de Egresos del Gobierno del Estado de México, para el ejercicio fiscal 2019, al igual que la integración del programa se sustenta en los artículos 23 y 24 de la Ley Orgánica de la Administración Pública del Estado de México y en el Código Administrativo del Estado de México, entre otros; siendo aplicable para el cumplimiento del programa la normatividad federal y estatal señalada en el Acuerdo mediante el cual el Secretario de Finanzas, da a conocer las Reglas de Operación del Programa de Acciones para el Desarrollo, publicado en el Periódico Oficial “Gaceta del Gobierno” de fecha 6 de Mayo de 2014; Reglas de Operación ratificadas en términos del artículo séptimo transitorio del Presupuesto de Egresos del Estado de México, para el ejercicio Fiscal del 2019, publicado en el mismo medio oficial el 31 de diciembre de 2018.</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Contemplando que las ejecutoras del gasto (el Municipio de Chalco en este caso) tendrán la obligación de resguardar toda la documentación comprobatoria de los recursos que le sean autorizados a través del Programa de Acciones para el Desarrollo, con la finalidad de que en cualquier etapa de la ejecución de la obra o acción o auditorías que se lleven a cabo, estén en la posibilidad de acreditar la correcta aplicación de los recursos, lo que eximirá de cualquier responsabilidad a la Subsecretaría y Dirección General.</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esta forma, resulta evidente que </w:t>
      </w:r>
      <w:r>
        <w:rPr>
          <w:rFonts w:ascii="Palatino Linotype" w:hAnsi="Palatino Linotype" w:cs="Arial"/>
          <w:b/>
        </w:rPr>
        <w:t xml:space="preserve">EL SUJETO OBLIGADO </w:t>
      </w:r>
      <w:r>
        <w:rPr>
          <w:rFonts w:ascii="Palatino Linotype" w:hAnsi="Palatino Linotype" w:cs="Arial"/>
        </w:rPr>
        <w:t xml:space="preserve">cuenta y debe obrar en </w:t>
      </w:r>
      <w:r>
        <w:rPr>
          <w:rFonts w:ascii="Palatino Linotype" w:hAnsi="Palatino Linotype" w:cs="Arial"/>
        </w:rPr>
        <w:lastRenderedPageBreak/>
        <w:t>sus archivos con la información referente al PAD, en relación al monto, ministraciones, y destino de los recursos destinados al Programa, por lo que se considera viable ordenar su entrega.</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Corolario a lo anterior, como ya fue señalado, parte de la información proporcionada no atiende el principio de certeza consagrado en la fracción I del diverso 9 de la Ley de la materia, que dicta:</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“Artículo 9. El Instituto deberá regir su funcionamiento de acuerdo a los siguientes principios:</w:t>
      </w:r>
    </w:p>
    <w:p w:rsidR="005802F7" w:rsidRDefault="005802F7">
      <w:pPr>
        <w:widowControl w:val="0"/>
        <w:tabs>
          <w:tab w:val="left" w:pos="1701"/>
          <w:tab w:val="left" w:pos="1843"/>
        </w:tabs>
        <w:ind w:left="709" w:right="757"/>
        <w:contextualSpacing/>
        <w:jc w:val="both"/>
        <w:rPr>
          <w:rFonts w:ascii="Palatino Linotype" w:hAnsi="Palatino Linotype" w:cs="Arial"/>
          <w:i/>
          <w:sz w:val="22"/>
        </w:rPr>
      </w:pPr>
    </w:p>
    <w:p w:rsidR="005802F7" w:rsidRDefault="00C71A23">
      <w:pPr>
        <w:widowControl w:val="0"/>
        <w:tabs>
          <w:tab w:val="left" w:pos="1701"/>
          <w:tab w:val="left" w:pos="1843"/>
        </w:tabs>
        <w:ind w:left="709" w:right="757"/>
        <w:contextualSpacing/>
        <w:jc w:val="both"/>
        <w:rPr>
          <w:rFonts w:ascii="Palatino Linotype" w:hAnsi="Palatino Linotype" w:cs="Arial"/>
        </w:rPr>
      </w:pPr>
      <w:r>
        <w:rPr>
          <w:rFonts w:ascii="Palatino Linotype" w:hAnsi="Palatino Linotype" w:cs="Arial"/>
          <w:i/>
          <w:sz w:val="22"/>
        </w:rPr>
        <w:t>I. Certeza: Principio que otorga seguridad y certidumbre jurídica a los particulares, en virtud de que permite conocer si las acciones del Instituto son apegadas a derecho y garantiza que los procedimientos sean completamente verificables, fidedignos y confiables;…”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spacing w:line="360" w:lineRule="auto"/>
        <w:jc w:val="both"/>
        <w:rPr>
          <w:rFonts w:ascii="Palatino Linotype" w:hAnsi="Palatino Linotype" w:cs="Arial"/>
          <w:lang w:val="es-ES"/>
        </w:rPr>
      </w:pPr>
      <w:r>
        <w:rPr>
          <w:rFonts w:ascii="Palatino Linotype" w:hAnsi="Palatino Linotype"/>
          <w:lang w:val="es-ES"/>
        </w:rPr>
        <w:t xml:space="preserve">Lo dicho, obedece a que existen diferencias entre los diversos Acuerdos, decretos y lineamientos mediante los cuales se otorgaron los distintos recursos federales y estatales materia del presente recurso, en relación a la información proporcionada en respuesta a la solicitud, por lo que este Instituto considera que el medio más efectivo para colmar el derecho del ciudadano es precisamente la entrega de los documentos que den cuenta de la información solicitada; siendo necesario hacer hincapié que, </w:t>
      </w:r>
      <w:r>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Pr>
          <w:rFonts w:ascii="Palatino Linotype" w:hAnsi="Palatino Linotype" w:cs="Arial"/>
          <w:b/>
          <w:lang w:val="es-ES"/>
        </w:rPr>
        <w:t>expresión documental</w:t>
      </w:r>
      <w:r>
        <w:rPr>
          <w:rFonts w:ascii="Palatino Linotype" w:hAnsi="Palatino Linotype" w:cs="Arial"/>
          <w:lang w:val="es-ES"/>
        </w:rPr>
        <w:t xml:space="preserve">, </w:t>
      </w:r>
      <w:r>
        <w:rPr>
          <w:rFonts w:ascii="Palatino Linotype" w:hAnsi="Palatino Linotype" w:cs="Arial"/>
          <w:lang w:val="es-ES"/>
        </w:rPr>
        <w:lastRenderedPageBreak/>
        <w:t>deben atenderlas. Lo anterior, tiene apoyo en el criterio 16/17, emitido por el Pleno del INAI, el cual menciona lo siguiente:</w:t>
      </w:r>
    </w:p>
    <w:p w:rsidR="005802F7" w:rsidRDefault="005802F7">
      <w:pPr>
        <w:spacing w:line="360" w:lineRule="auto"/>
        <w:jc w:val="both"/>
        <w:rPr>
          <w:rFonts w:ascii="Palatino Linotype" w:hAnsi="Palatino Linotype" w:cs="Arial"/>
          <w:lang w:val="es-ES"/>
        </w:rPr>
      </w:pPr>
    </w:p>
    <w:p w:rsidR="005802F7" w:rsidRDefault="00C71A2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b/>
          <w:i/>
          <w:sz w:val="22"/>
          <w:szCs w:val="22"/>
          <w:lang w:val="es-ES"/>
        </w:rPr>
        <w:t xml:space="preserve">Expresión documental. </w:t>
      </w:r>
      <w:r>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5802F7" w:rsidRDefault="005802F7">
      <w:pPr>
        <w:ind w:left="709" w:right="757"/>
        <w:jc w:val="both"/>
        <w:rPr>
          <w:rFonts w:ascii="Palatino Linotype" w:hAnsi="Palatino Linotype" w:cs="Arial"/>
          <w:i/>
          <w:sz w:val="22"/>
          <w:szCs w:val="22"/>
          <w:lang w:val="es-ES"/>
        </w:rPr>
      </w:pPr>
    </w:p>
    <w:p w:rsidR="005802F7" w:rsidRDefault="00C71A2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Resoluciones:</w:t>
      </w:r>
    </w:p>
    <w:p w:rsidR="005802F7" w:rsidRDefault="005802F7">
      <w:pPr>
        <w:ind w:left="709" w:right="757"/>
        <w:jc w:val="both"/>
        <w:rPr>
          <w:rFonts w:ascii="Palatino Linotype" w:hAnsi="Palatino Linotype" w:cs="Arial"/>
          <w:i/>
          <w:sz w:val="22"/>
          <w:szCs w:val="22"/>
          <w:lang w:val="es-ES"/>
        </w:rPr>
      </w:pPr>
    </w:p>
    <w:p w:rsidR="005802F7" w:rsidRDefault="00C71A2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0774/16. Secretaría de Salud. 31 de agosto de 2016. Por unanimidad. Comisionada Ponente María Patricia Kurczyn Villalobos.</w:t>
      </w:r>
    </w:p>
    <w:p w:rsidR="005802F7" w:rsidRDefault="00C71A2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5802F7" w:rsidRDefault="00C71A23">
      <w:pPr>
        <w:ind w:left="709" w:right="757"/>
        <w:jc w:val="both"/>
        <w:rPr>
          <w:rFonts w:ascii="Palatino Linotype" w:hAnsi="Palatino Linotype" w:cs="Arial"/>
          <w:i/>
          <w:sz w:val="22"/>
          <w:szCs w:val="22"/>
          <w:lang w:val="es-ES"/>
        </w:rPr>
      </w:pPr>
      <w:r>
        <w:rPr>
          <w:rFonts w:ascii="Palatino Linotype" w:hAnsi="Palatino Linotype" w:cs="Arial"/>
          <w:i/>
          <w:sz w:val="22"/>
          <w:szCs w:val="22"/>
          <w:lang w:val="es-ES"/>
        </w:rPr>
        <w:t>•</w:t>
      </w:r>
      <w:r>
        <w:rPr>
          <w:rFonts w:ascii="Palatino Linotype" w:hAnsi="Palatino Linotype" w:cs="Arial"/>
          <w:i/>
          <w:sz w:val="22"/>
          <w:szCs w:val="22"/>
          <w:lang w:val="es-ES"/>
        </w:rPr>
        <w:tab/>
        <w:t>RRA 0540/17. Secretaría de Economía. 08 de marzo del 2017. Por unanimidad. Comisionado Ponente Francisco Javier Acuña Llamas.” (Sic)</w:t>
      </w:r>
    </w:p>
    <w:p w:rsidR="005802F7" w:rsidRDefault="005802F7">
      <w:pPr>
        <w:ind w:left="709" w:right="757"/>
        <w:jc w:val="both"/>
        <w:rPr>
          <w:rFonts w:ascii="Palatino Linotype" w:hAnsi="Palatino Linotype" w:cs="Arial"/>
          <w:sz w:val="22"/>
          <w:szCs w:val="22"/>
          <w:lang w:val="es-ES"/>
        </w:rPr>
      </w:pPr>
    </w:p>
    <w:p w:rsidR="005802F7" w:rsidRDefault="00C71A23">
      <w:pPr>
        <w:ind w:left="709" w:right="757"/>
        <w:jc w:val="both"/>
        <w:rPr>
          <w:rFonts w:ascii="Palatino Linotype" w:hAnsi="Palatino Linotype" w:cs="Arial"/>
          <w:sz w:val="22"/>
          <w:szCs w:val="22"/>
          <w:lang w:val="es-ES"/>
        </w:rPr>
      </w:pPr>
      <w:r>
        <w:rPr>
          <w:rFonts w:ascii="Palatino Linotype" w:hAnsi="Palatino Linotype" w:cs="Arial"/>
          <w:sz w:val="22"/>
          <w:szCs w:val="22"/>
          <w:lang w:val="es-ES"/>
        </w:rPr>
        <w:t>(Énfasis añadido)</w:t>
      </w:r>
    </w:p>
    <w:p w:rsidR="005802F7" w:rsidRDefault="005802F7">
      <w:pPr>
        <w:spacing w:line="360" w:lineRule="auto"/>
        <w:ind w:left="567" w:right="618"/>
        <w:jc w:val="both"/>
        <w:rPr>
          <w:rFonts w:ascii="Palatino Linotype" w:hAnsi="Palatino Linotype" w:cs="Arial"/>
          <w:sz w:val="22"/>
          <w:szCs w:val="22"/>
          <w:lang w:val="es-ES"/>
        </w:rPr>
      </w:pPr>
    </w:p>
    <w:p w:rsidR="005802F7" w:rsidRDefault="00C71A23">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razón de lo anterior, esta Ponencia Resolutora estima que la respuesta otorgada por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carece de una debida fundamentación y motivación, pues no remite los documentos solicitados.</w:t>
      </w:r>
    </w:p>
    <w:p w:rsidR="005802F7" w:rsidRDefault="005802F7">
      <w:pPr>
        <w:spacing w:line="360" w:lineRule="auto"/>
        <w:jc w:val="both"/>
        <w:rPr>
          <w:rFonts w:ascii="Palatino Linotype" w:eastAsia="Calibri" w:hAnsi="Palatino Linotype"/>
          <w:szCs w:val="22"/>
          <w:lang w:eastAsia="en-US"/>
        </w:rPr>
      </w:pPr>
    </w:p>
    <w:p w:rsidR="005802F7" w:rsidRDefault="00C71A23">
      <w:pPr>
        <w:widowControl w:val="0"/>
        <w:tabs>
          <w:tab w:val="left" w:pos="1276"/>
        </w:tabs>
        <w:spacing w:line="360" w:lineRule="auto"/>
        <w:jc w:val="both"/>
        <w:rPr>
          <w:rFonts w:ascii="Palatino Linotype" w:hAnsi="Palatino Linotype" w:cs="Arial"/>
        </w:rPr>
      </w:pPr>
      <w:r>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5802F7" w:rsidRDefault="005802F7">
      <w:pPr>
        <w:widowControl w:val="0"/>
        <w:tabs>
          <w:tab w:val="left" w:pos="1276"/>
        </w:tabs>
        <w:spacing w:line="360" w:lineRule="auto"/>
        <w:jc w:val="both"/>
        <w:rPr>
          <w:rFonts w:ascii="Palatino Linotype" w:hAnsi="Palatino Linotype" w:cs="Arial"/>
        </w:rPr>
      </w:pPr>
    </w:p>
    <w:p w:rsidR="005802F7" w:rsidRDefault="00C71A23">
      <w:pPr>
        <w:widowControl w:val="0"/>
        <w:tabs>
          <w:tab w:val="left" w:pos="1276"/>
        </w:tabs>
        <w:ind w:left="709" w:right="757"/>
        <w:jc w:val="both"/>
        <w:rPr>
          <w:rFonts w:ascii="Palatino Linotype" w:hAnsi="Palatino Linotype" w:cs="Arial"/>
          <w:i/>
          <w:sz w:val="22"/>
        </w:rPr>
      </w:pPr>
      <w:r>
        <w:rPr>
          <w:rFonts w:ascii="Palatino Linotype" w:hAnsi="Palatino Linotype" w:cs="Arial"/>
          <w:b/>
          <w:i/>
          <w:sz w:val="22"/>
        </w:rPr>
        <w:t>“FUNDAMENTACIÓN Y MOTIVACIÓN.</w:t>
      </w:r>
      <w:r>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w:t>
      </w:r>
      <w:r>
        <w:rPr>
          <w:rFonts w:ascii="Palatino Linotype" w:hAnsi="Palatino Linotype" w:cs="Arial"/>
          <w:i/>
          <w:sz w:val="22"/>
        </w:rPr>
        <w:lastRenderedPageBreak/>
        <w:t>a concluir que el caso particular encuadra en el supuesto previsto por la norma legal invocada como fundamento…” (Sic)</w:t>
      </w:r>
    </w:p>
    <w:p w:rsidR="005802F7" w:rsidRDefault="005802F7">
      <w:pPr>
        <w:widowControl w:val="0"/>
        <w:tabs>
          <w:tab w:val="left" w:pos="1276"/>
        </w:tabs>
        <w:spacing w:line="360" w:lineRule="auto"/>
        <w:ind w:left="851" w:right="899"/>
        <w:jc w:val="both"/>
        <w:rPr>
          <w:rFonts w:ascii="Palatino Linotype" w:hAnsi="Palatino Linotype" w:cs="Arial"/>
          <w:i/>
          <w:sz w:val="22"/>
        </w:rPr>
      </w:pPr>
    </w:p>
    <w:p w:rsidR="005802F7" w:rsidRDefault="00C71A23">
      <w:pPr>
        <w:widowControl w:val="0"/>
        <w:tabs>
          <w:tab w:val="left" w:pos="1276"/>
        </w:tabs>
        <w:spacing w:line="360" w:lineRule="auto"/>
        <w:jc w:val="both"/>
        <w:rPr>
          <w:rFonts w:ascii="Palatino Linotype" w:hAnsi="Palatino Linotype" w:cs="Arial"/>
        </w:rPr>
      </w:pPr>
      <w:r>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5802F7" w:rsidRDefault="005802F7">
      <w:pPr>
        <w:widowControl w:val="0"/>
        <w:tabs>
          <w:tab w:val="left" w:pos="1276"/>
        </w:tabs>
        <w:spacing w:line="360" w:lineRule="auto"/>
        <w:jc w:val="both"/>
        <w:rPr>
          <w:rFonts w:ascii="Palatino Linotype" w:hAnsi="Palatino Linotype" w:cs="Arial"/>
        </w:rPr>
      </w:pPr>
    </w:p>
    <w:p w:rsidR="005802F7" w:rsidRDefault="00C71A23">
      <w:pPr>
        <w:widowControl w:val="0"/>
        <w:tabs>
          <w:tab w:val="left" w:pos="1276"/>
        </w:tabs>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802F7" w:rsidRDefault="005802F7">
      <w:pPr>
        <w:widowControl w:val="0"/>
        <w:tabs>
          <w:tab w:val="left" w:pos="1276"/>
        </w:tabs>
        <w:spacing w:line="360" w:lineRule="auto"/>
        <w:ind w:left="851" w:right="899"/>
        <w:jc w:val="both"/>
        <w:rPr>
          <w:rFonts w:ascii="Palatino Linotype" w:hAnsi="Palatino Linotype" w:cs="Arial"/>
          <w:i/>
          <w:sz w:val="22"/>
        </w:rPr>
      </w:pPr>
    </w:p>
    <w:p w:rsidR="005802F7" w:rsidRDefault="00C71A23">
      <w:pPr>
        <w:widowControl w:val="0"/>
        <w:tabs>
          <w:tab w:val="left" w:pos="1276"/>
        </w:tabs>
        <w:spacing w:line="360" w:lineRule="auto"/>
        <w:jc w:val="both"/>
        <w:rPr>
          <w:rFonts w:ascii="Palatino Linotype" w:hAnsi="Palatino Linotype" w:cs="Arial"/>
        </w:rPr>
      </w:pPr>
      <w:r>
        <w:rPr>
          <w:rFonts w:ascii="Palatino Linotype" w:hAnsi="Palatino Linotype" w:cs="Arial"/>
        </w:rPr>
        <w:t xml:space="preserve">Por lo cual, la fundamentación y motivación implica que, en el acto de autoridad, </w:t>
      </w:r>
      <w:r>
        <w:rPr>
          <w:rFonts w:ascii="Palatino Linotype" w:hAnsi="Palatino Linotype" w:cs="Arial"/>
        </w:rPr>
        <w:lastRenderedPageBreak/>
        <w:t xml:space="preserve">además de contenerse los supuestos jurídicos aplicables, debe de explicarse claramente por qué a través de la utilización de la norma se emitió el acto. De este modo, la persona que se siente afectada pueda impugnar la decisión, permitiéndole una real y auténtica defensa, que para el caso en concreto, de ser idéntica la información en poder del </w:t>
      </w:r>
      <w:r>
        <w:rPr>
          <w:rFonts w:ascii="Palatino Linotype" w:hAnsi="Palatino Linotype" w:cs="Arial"/>
          <w:b/>
        </w:rPr>
        <w:t>SUJETO OBLIGADO</w:t>
      </w:r>
      <w:r>
        <w:rPr>
          <w:rFonts w:ascii="Palatino Linotype" w:hAnsi="Palatino Linotype" w:cs="Arial"/>
        </w:rPr>
        <w:t xml:space="preserve">, debe justificar las diferencias entre la normatividad aplicable al Programa o Fondo correspondiente y aquella administrada por éste. </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 esta forma, se aborda el requerimiento del entonces solicitante referente a los d</w:t>
      </w:r>
      <w:r>
        <w:rPr>
          <w:rFonts w:ascii="Palatino Linotype" w:hAnsi="Palatino Linotype"/>
        </w:rPr>
        <w:t xml:space="preserve">ocumentos donde se autorice el ejercicio de los distintos Programas y Fondos analizados con anterioridad, teniendo que primeramente como facultad del Ayuntamiento está la de </w:t>
      </w:r>
      <w:r>
        <w:rPr>
          <w:rFonts w:ascii="Palatino Linotype" w:hAnsi="Palatino Linotype"/>
          <w:b/>
        </w:rPr>
        <w:t>aprobar anualmente a más tardar el 20 de diciembre, su Presupuesto de Egresos</w:t>
      </w:r>
      <w:r>
        <w:rPr>
          <w:rFonts w:ascii="Palatino Linotype" w:hAnsi="Palatino Linotype"/>
        </w:rPr>
        <w:t xml:space="preserve">, en base a los ingresos presupuestados para el ejercicio que corresponda, el cual podrá ser adecuado en función de </w:t>
      </w:r>
      <w:r>
        <w:rPr>
          <w:rFonts w:ascii="Palatino Linotype" w:hAnsi="Palatino Linotype"/>
          <w:b/>
        </w:rPr>
        <w:t>las implicaciones que deriven de</w:t>
      </w:r>
      <w:r>
        <w:rPr>
          <w:rFonts w:ascii="Palatino Linotype" w:hAnsi="Palatino Linotype"/>
        </w:rPr>
        <w:t xml:space="preserve"> la aprobación de la Ley de Ingresos Municipal que haga la Legislatura, así como por </w:t>
      </w:r>
      <w:r>
        <w:rPr>
          <w:rFonts w:ascii="Palatino Linotype" w:hAnsi="Palatino Linotype"/>
          <w:b/>
        </w:rPr>
        <w:t>la asignación de las participaciones y aportaciones federales y estatales</w:t>
      </w:r>
      <w:r>
        <w:rPr>
          <w:rFonts w:ascii="Palatino Linotype" w:hAnsi="Palatino Linotype"/>
        </w:rPr>
        <w:t>.</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Ejempl</w:t>
      </w:r>
      <w:bookmarkStart w:id="4" w:name="_GoBack"/>
      <w:bookmarkEnd w:id="4"/>
      <w:r>
        <w:rPr>
          <w:rFonts w:ascii="Palatino Linotype" w:hAnsi="Palatino Linotype" w:cs="Arial"/>
        </w:rPr>
        <w:t>o de ello son, la Cuadragésima Sesión Ordinaria de Cabildo del nueve de agosto de dos mil diecinueve, en el que se sometió a consideración del cabildo la propuesta y, en su caso, aprobación de las acciones a ejecutarse con recursos del Fondo de Aportaciones para la Seguridad Pública de los Estados y del Distrito Federal para el ejercicio fiscal 2019 (FASP 2019); l</w:t>
      </w:r>
      <w:r>
        <w:rPr>
          <w:rFonts w:ascii="Palatino Linotype" w:hAnsi="Palatino Linotype"/>
        </w:rPr>
        <w:t xml:space="preserve">a Vigésima Sexta Sesión Ordinaria de Cabildo, del tres de mayo de 2019 en el que se puso a consideración la propuesta y, en su caso, aprobación de la asignación de recursos por un monto de $21, 772,013.98 (veintiún millones setecientos setenta y dos mil trece pesos 98/100 m.n.) del Fondo Estatal de </w:t>
      </w:r>
      <w:r>
        <w:rPr>
          <w:rFonts w:ascii="Palatino Linotype" w:hAnsi="Palatino Linotype"/>
        </w:rPr>
        <w:lastRenderedPageBreak/>
        <w:t xml:space="preserve">Fortalecimiento Municipal (FEFOM) ejercicio fiscal 2019, para la ejecución de obras y/o acciones, correspondiente a la primera etapa, los </w:t>
      </w:r>
      <w:r>
        <w:rPr>
          <w:rFonts w:ascii="Palatino Linotype" w:hAnsi="Palatino Linotype" w:cs="Arial"/>
        </w:rPr>
        <w:t>Convenios específicos de adhesión, oficios de asignación y autorización y cualquier otro donde obre la autorización de las autoridades u órganos competentes para el ejercicio de los recursos autorizados a cada uno de los programas y fondos señalados en la solicitud de mérito.</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Como último punto a la solicitud, </w:t>
      </w:r>
      <w:r>
        <w:rPr>
          <w:rFonts w:ascii="Palatino Linotype" w:hAnsi="Palatino Linotype" w:cs="Arial"/>
          <w:b/>
        </w:rPr>
        <w:t xml:space="preserve">EL RECURRENTE </w:t>
      </w:r>
      <w:r>
        <w:rPr>
          <w:rFonts w:ascii="Palatino Linotype" w:hAnsi="Palatino Linotype" w:cs="Arial"/>
        </w:rPr>
        <w:t>requirió los ingresos totales Del Municipio en el año 2019, cifra que le fue proporcionada mediante Informe Justificado; sin embargo, no se considera que haya quedado colmado dicho requerimiento en virtud de que adicional a ello su pretensión contempla también la forma en la que fueron ingresados, es decir por qué conceptos se ingresaron recursos a la hacienda pública Municipal.</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este sentido, de conformidad con la Ley de Ingresos de los Municipios del Estado de México para el Ejercicio Fiscal del año 2019, la hacienda pública de los Municipios del Estado de México, percibirá durante dicho ejercicio, los ingresos provenientes de los conceptos que a continuación se enumeran:</w:t>
      </w:r>
      <w:r>
        <w:rPr>
          <w:rFonts w:ascii="Palatino Linotype" w:hAnsi="Palatino Linotype" w:cs="Arial"/>
        </w:rPr>
        <w:br/>
      </w: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1. IMPUESTOS: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1.1. Impuestos Sobre el Patrimonio.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1.1.1. Predial.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1.1.2. Sobre Adquisición de Inmuebles y Otras Operaciones Traslativas de Dominio de</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Inmuebles.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1.1.3. Sobre Conjuntos Urbanos.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1.2. Otros Impuestos.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1.2.1. Sobre Anuncios Publicitarios.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1.2.2. Sobre Diversiones, Juegos y Espectáculos Públicos.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lastRenderedPageBreak/>
        <w:t>1.3. Accesorios de Impuestos.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1.3.1. Multas.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1.3.2. Recargos.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1.3.3. Gastos de Ejecución.</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1.3.4. Indemnización por Devolución de Cheques.</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2. CONTRIBUCIÓN O APORTACIÓN DE MEJORAS POR OBRAS PÚBLICAS: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2.1. Para Obra Pública y Acciones de Beneficio Social.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2.2. Accesorios de Contribución o Aportación de Mejoras por Obras Públicas.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2.2.1. Multas.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2.2.2. Recargos.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2.2.3. Gastos de Ejecución.</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2.2.4. Indemnización por Devolución de Cheques.</w:t>
      </w:r>
    </w:p>
    <w:p w:rsidR="005802F7" w:rsidRDefault="005802F7">
      <w:pPr>
        <w:widowControl w:val="0"/>
        <w:tabs>
          <w:tab w:val="left" w:pos="1701"/>
          <w:tab w:val="left" w:pos="1843"/>
        </w:tabs>
        <w:ind w:left="709" w:right="757"/>
        <w:contextualSpacing/>
        <w:jc w:val="both"/>
        <w:rPr>
          <w:rFonts w:ascii="Palatino Linotype" w:hAnsi="Palatino Linotype" w:cs="Arial"/>
          <w:b/>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3. DERECHOS: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3.1. Derechos por el Uso, Goce, Aprovechamiento o Explotación de Bienes de Dominio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3.1.1. Por Uso de Vías y Áreas Públicas para el Ejercicio de Actividades Comerciales y de Servicios.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3.1.2. De Estacionamiento en la Vía Pública y de Servicio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 Derechos por Prestación de Servicios.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3.2.1. De Agua Potable, Drenaje y Alcantarillado y Recepción de los Caudales de Aguas Residuales para su Tratamiento.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3.2.2. Del Registro Civil.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3.2.3. De Desarrollo Urbano y Obras Públicas.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3.2.4. Por Servicios Prestados por Autoridades Fiscales, Administrativas y de Acceso a la Información Pública.</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3.2.5. Por Servicios de Rastros.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3.2.6. Por Corral de Concejo e Identificación de Señales de Sangre, Tatuajes, Elementos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Electromagnéticos y Fierros para Marcar Ganado y Magueyes.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3.2.7. Por Servicios de Panteones.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3.2.8. Por la Expedición o Refrendo Anual de Licencias para la Venta de Bebidas Alcohólicas al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3.2.9. Por Servicios Prestados por Autoridades de Seguridad Pública.</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3.2.10. Por Servicios Prestados por las Autoridades de Catastro.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3.2.11. Por Servicios de Alumbrado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3.2.12. Por Servicios de Limpieza de Lotes Baldíos, Recolección, Traslado y Disposición Final de Residuos Sólidos Industriales y Comerciales.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lastRenderedPageBreak/>
        <w:t>3.3. Accesorios de Derechos.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3.3.1. Multas.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3.3.2. Recargos.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3.3.3. Gastos de Ejecución.</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3.3.4. Indemnización por Devolución de Cheques.</w:t>
      </w:r>
    </w:p>
    <w:p w:rsidR="005802F7" w:rsidRDefault="005802F7">
      <w:pPr>
        <w:widowControl w:val="0"/>
        <w:tabs>
          <w:tab w:val="left" w:pos="1701"/>
          <w:tab w:val="left" w:pos="1843"/>
        </w:tabs>
        <w:ind w:left="709" w:right="757"/>
        <w:contextualSpacing/>
        <w:jc w:val="both"/>
        <w:rPr>
          <w:rFonts w:ascii="Palatino Linotype" w:hAnsi="Palatino Linotype" w:cs="Arial"/>
          <w:b/>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4. PRODUCTOS: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4.1. Productos Derivados del Uso y Aprovechamiento de Bienes no Sujetos a Régimen de Dominio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4.1.1. Por la Venta o Arrendamiento de Bienes Municipales.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4.1.2. Impresos y Papel Especial.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4.1.3. Derivados de Bosques Municipales.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4.2. Otros Productos que Generan Ingresos Corrientes.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4.2.1. Rendimientos o Ingresos Derivados de las Actividades de Organismos Descentralizados y Empresas de Participación Municipal cuando por su Naturaleza Correspondan a actividades que no son propias de Derecho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4.2.2. En General, Todos Aquellos Ingresos que Perciba la Hacienda Pública Municipal, Derivados de Actividades que no son Propias de Derecho Público, o por la Explotación de sus Bienes Patrimoniales.</w:t>
      </w:r>
    </w:p>
    <w:p w:rsidR="005802F7" w:rsidRDefault="005802F7">
      <w:pPr>
        <w:widowControl w:val="0"/>
        <w:tabs>
          <w:tab w:val="left" w:pos="1701"/>
          <w:tab w:val="left" w:pos="1843"/>
        </w:tabs>
        <w:ind w:left="709" w:right="757"/>
        <w:contextualSpacing/>
        <w:jc w:val="both"/>
        <w:rPr>
          <w:rFonts w:ascii="Palatino Linotype" w:hAnsi="Palatino Linotype" w:cs="Arial"/>
          <w:b/>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5. APROVECHAMIENTOS: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5.1. Multas.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5.1.1. Sanciones Administrativas.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5.2. Indemnizaciones.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5.2.1. Indemnizaciones por Daños a Bienes Municipales.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5.2.2. Otras Indemnizaciones.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5.3. Reintegros.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5.4. Otros Aprovechamientos.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5.4.1. Uso o Explotación de Bienes de Dominio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5.4.2. Herencias, Legados, Cesiones y Donaciones.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5.4.3. Resarcimientos.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5.5. Accesorios de Aprovechamientos.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5.5.1. Multas.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5.5.2. Recargos.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5.5.3. Gastos de Ejecución.</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5.5.4. Indemnización por Devolución de Cheques.</w:t>
      </w:r>
    </w:p>
    <w:p w:rsidR="005802F7" w:rsidRDefault="005802F7">
      <w:pPr>
        <w:widowControl w:val="0"/>
        <w:tabs>
          <w:tab w:val="left" w:pos="1701"/>
          <w:tab w:val="left" w:pos="1843"/>
        </w:tabs>
        <w:ind w:left="709" w:right="757"/>
        <w:contextualSpacing/>
        <w:jc w:val="both"/>
        <w:rPr>
          <w:rFonts w:ascii="Palatino Linotype" w:hAnsi="Palatino Linotype" w:cs="Arial"/>
          <w:b/>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 xml:space="preserve">6. INGRESOS POR VENTA DE BIENES Y SERVICIOS DE ORGANISMOS DESCENTRALIZADOS, FIDEICOMISOS Y EMPRESAS DE </w:t>
      </w:r>
      <w:r>
        <w:rPr>
          <w:rFonts w:ascii="Palatino Linotype" w:hAnsi="Palatino Linotype" w:cs="Arial"/>
          <w:b/>
          <w:i/>
          <w:sz w:val="22"/>
          <w:szCs w:val="22"/>
        </w:rPr>
        <w:lastRenderedPageBreak/>
        <w:t>PARTICIPACIÓN ESTATAL: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6.1. Rendimientos o Ingresos Derivados de Organismos Descentralizados y Fideicomisos, cuando por su naturaleza correspondan a Actividades Propias de Derecho Público.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6.2. Rendimientos o Ingresos Derivados de Empresas de Participación Estatal, cuando por su naturaleza correspondan a Actividades Propias de Derecho Público.</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7. INGRESOS NO COMPRENDIDOS EN LOS NUMERALES ANTERIORES CAUSADOS EN EJERCICIOS FISCALES ANTERIORES PENDIENTES DE LIQUIDACIÓN O PAGO: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7.1. Impuestos no comprendidos en los numerales anteriores Causados en Ejercicios Anteriores Pendientes de Liquidación o Pago.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7.2. Contribuciones de Mejoras, Derechos, Productos y Aprovechamientos no comprendidos en los numerales anteriores Causados en Ejercicios Anteriores Pendientes de Liquidación o Pago.</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8. PARTICIPACIONES, APORTACIONES, CONVENIOS Y SUBSIDIOS: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 Las participaciones derivadas de la aplicación de la Ley de Coordinación Fiscal y demás ordenamientos jurídicos federales aplicables.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8.1.1. Fondo General de Participaciones.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8.1.2. Fondo de Fomento Municipal.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8.1.3. Fondo de Fiscalización y Recaudación.</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8.1.4. Correspondientes al Impuesto Especial Sobre Producción y Servicios.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8.1.5. Correspondientes al Impuesto Sobre Automóviles Nuevos.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8.1.6. Correspondientes al Impuesto Sobre Tenencia o Uso de Vehículos.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8.1.7. Correspondientes al Fondo de Compensación del Impuesto Sobre Automóviles Nuevos.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8.1.8. Las derivadas de la aplicación del artículo 4-A de la Ley de Coordinación Fiscal.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8.1.9. El Impuesto sobre la Renta efectivamente enterado a la Federación, correspondiente al salario de su personal que preste o desempeñe un servicio personal subordinado así como de sus organismos públicos descentralizados.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8.2. Las participaciones derivadas de la aplicación de la fracción II del artículo 219 del Código Financiero del Estado de México y Municipios.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8.2.1. Del Impuesto Sobre Tenencia o Uso de Vehículos Automotores.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8.2.2. Del Impuesto Sobre Adquisición de Vehículos Automotores Usados.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8.2.3. Del Impuesto Sobre Loterías, Rifas, Sorteos, Concursos y Juegos Permitidos con Cruce de Apuestas.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8.2.4 Del Impuesto a la Venta Final de Bebidas con Contenido Alcohólico.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8.3. Aportaciones Federales.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lastRenderedPageBreak/>
        <w:t>8.3.1. Fondo de Aportaciones para la Infraestructura Social Municipal.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8.3.2. Fondo de Aportaciones para el Fortalecimiento de los Municipios y las Demarcaciones Territoriales del Distrito Federal.</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8.4. Las demás derivadas de la aplicación del Título Séptimo del Código Financiero del Estado de México y Municipios, así como de los convenios, acuerdos o declaratorias que al efecto se celebren o realicen.</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8.5. SUBSIDIOS Y SUBVENCIONES: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8.5.1. Subsidios y Subvenciones.</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9. INGRESOS FINANCIEROS: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9.1. Utilidades, Dividendos y Rendimientos de Inversiones en Créditos, Valores y Bonos, por Acciones y Participaciones en Sociedades o Empresas.</w:t>
      </w:r>
    </w:p>
    <w:p w:rsidR="005802F7" w:rsidRDefault="005802F7">
      <w:pPr>
        <w:widowControl w:val="0"/>
        <w:tabs>
          <w:tab w:val="left" w:pos="1701"/>
          <w:tab w:val="left" w:pos="1843"/>
        </w:tabs>
        <w:ind w:left="709" w:right="757"/>
        <w:contextualSpacing/>
        <w:jc w:val="both"/>
        <w:rPr>
          <w:rFonts w:ascii="Palatino Linotype" w:hAnsi="Palatino Linotype" w:cs="Arial"/>
          <w:i/>
          <w:sz w:val="22"/>
          <w:szCs w:val="22"/>
        </w:rPr>
      </w:pPr>
    </w:p>
    <w:p w:rsidR="005802F7" w:rsidRDefault="00C71A23">
      <w:pPr>
        <w:widowControl w:val="0"/>
        <w:tabs>
          <w:tab w:val="left" w:pos="1701"/>
          <w:tab w:val="left" w:pos="1843"/>
        </w:tabs>
        <w:ind w:left="709" w:right="757"/>
        <w:contextualSpacing/>
        <w:jc w:val="both"/>
        <w:rPr>
          <w:rFonts w:ascii="Palatino Linotype" w:hAnsi="Palatino Linotype" w:cs="Arial"/>
          <w:b/>
          <w:i/>
          <w:sz w:val="22"/>
          <w:szCs w:val="22"/>
        </w:rPr>
      </w:pPr>
      <w:r>
        <w:rPr>
          <w:rFonts w:ascii="Palatino Linotype" w:hAnsi="Palatino Linotype" w:cs="Arial"/>
          <w:b/>
          <w:i/>
          <w:sz w:val="22"/>
          <w:szCs w:val="22"/>
        </w:rPr>
        <w:t>10. INGRESOS DERIVADOS DE FINANCIAMIENTOS:</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10.1. Pasivos Generados al Cierre del Ejercicio Fiscal Pendientes de Pago.</w:t>
      </w:r>
    </w:p>
    <w:p w:rsidR="005802F7" w:rsidRDefault="00C71A23">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10.2. Los Derivados de las Operaciones de Crédito en los términos que establece el Título Octavo del Código Financiero del Estado de México y Municipios y Otras Leyes Aplicables.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Lo anterior, se dispuso bajo el principio de la libre administración hacendaria, en el que la autonomía financiera se traduce en que la autoridad municipal tenga elementos formales legales y materiales que le permitan realizar la actividad recaudadora ya que efectivamente, el artículo 115 de la Constitución Política de los Estados Unidos Mexicanos establece la administración hacendaria como una de las funciones medulares de los Municipios, dado que con base en ella se define el origen y destino de los recursos públicos, cuyos cimientos se sustentan en la alineación de un sistema que incluye la planeación estratégica y operativa, la programación presupuestaria, la reingeniería de la estructura organizacional, el monitoreo y la evaluación, así como la transparencia y la rendición de cuentas.</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spacing w:line="360" w:lineRule="auto"/>
        <w:jc w:val="both"/>
        <w:rPr>
          <w:rFonts w:ascii="Palatino Linotype" w:hAnsi="Palatino Linotype"/>
        </w:rPr>
      </w:pPr>
      <w:r>
        <w:rPr>
          <w:rFonts w:ascii="Palatino Linotype" w:hAnsi="Palatino Linotype" w:cs="Arial"/>
        </w:rPr>
        <w:lastRenderedPageBreak/>
        <w:t xml:space="preserve">En este sentido, </w:t>
      </w:r>
      <w:r>
        <w:rPr>
          <w:rFonts w:ascii="Palatino Linotype" w:hAnsi="Palatino Linotype"/>
        </w:rPr>
        <w:t>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2, relativo a la información Presupuestal, de Bienes Muebles e Inmuebles y de Recaudación del Impuesto Predial y Derechos de Agua.</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5802F7" w:rsidRDefault="005802F7">
      <w:pPr>
        <w:spacing w:line="360" w:lineRule="auto"/>
        <w:jc w:val="both"/>
        <w:rPr>
          <w:rFonts w:ascii="Palatino Linotype" w:hAnsi="Palatino Linotype"/>
          <w:sz w:val="22"/>
        </w:rPr>
      </w:pPr>
    </w:p>
    <w:p w:rsidR="005802F7" w:rsidRDefault="00C71A23">
      <w:pPr>
        <w:ind w:left="851" w:right="899"/>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32.-</w:t>
      </w:r>
      <w:r>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5802F7" w:rsidRDefault="005802F7">
      <w:pPr>
        <w:ind w:left="851" w:right="899"/>
        <w:jc w:val="both"/>
        <w:rPr>
          <w:rFonts w:ascii="Palatino Linotype" w:hAnsi="Palatino Linotype"/>
          <w:i/>
          <w:sz w:val="22"/>
        </w:rPr>
      </w:pPr>
    </w:p>
    <w:p w:rsidR="005802F7" w:rsidRDefault="00C71A23">
      <w:pPr>
        <w:ind w:left="851" w:right="899"/>
        <w:jc w:val="both"/>
        <w:rPr>
          <w:rFonts w:ascii="Palatino Linotype" w:hAnsi="Palatino Linotype"/>
          <w:b/>
          <w:i/>
          <w:sz w:val="22"/>
        </w:rPr>
      </w:pPr>
      <w:r>
        <w:rPr>
          <w:rFonts w:ascii="Palatino Linotype" w:hAnsi="Palatino Linotype"/>
          <w:b/>
          <w:i/>
          <w:sz w:val="22"/>
        </w:rPr>
        <w:t>Los Presidentes Municipales presentarán a la Legislatura las cuentas públicas anuales</w:t>
      </w:r>
      <w:r>
        <w:rPr>
          <w:rFonts w:ascii="Palatino Linotype" w:hAnsi="Palatino Linotype"/>
          <w:i/>
          <w:sz w:val="22"/>
        </w:rPr>
        <w:t xml:space="preserve"> de sus respectivos municipios, del ejercicio fiscal inmediato anterior, </w:t>
      </w:r>
      <w:r>
        <w:rPr>
          <w:rFonts w:ascii="Palatino Linotype" w:hAnsi="Palatino Linotype"/>
          <w:b/>
          <w:i/>
          <w:sz w:val="22"/>
        </w:rPr>
        <w:t>dentro de los quince primeros días del mes de marzo</w:t>
      </w:r>
      <w:r>
        <w:rPr>
          <w:rFonts w:ascii="Palatino Linotype" w:hAnsi="Palatino Linotype"/>
          <w:i/>
          <w:sz w:val="22"/>
        </w:rPr>
        <w:t xml:space="preserve"> de cada año; </w:t>
      </w:r>
      <w:r>
        <w:rPr>
          <w:rFonts w:ascii="Palatino Linotype" w:hAnsi="Palatino Linotype"/>
          <w:b/>
          <w:i/>
          <w:sz w:val="22"/>
        </w:rPr>
        <w:t>asimism</w:t>
      </w:r>
      <w:r>
        <w:rPr>
          <w:rFonts w:ascii="Palatino Linotype" w:hAnsi="Palatino Linotype"/>
          <w:i/>
          <w:sz w:val="22"/>
        </w:rPr>
        <w:t xml:space="preserve">o, </w:t>
      </w:r>
      <w:r>
        <w:rPr>
          <w:rFonts w:ascii="Palatino Linotype" w:hAnsi="Palatino Linotype"/>
          <w:b/>
          <w:i/>
          <w:sz w:val="22"/>
        </w:rPr>
        <w:t>los informes mensuales</w:t>
      </w:r>
      <w:r>
        <w:rPr>
          <w:rFonts w:ascii="Palatino Linotype" w:hAnsi="Palatino Linotype"/>
          <w:i/>
          <w:sz w:val="22"/>
        </w:rPr>
        <w:t xml:space="preserve"> los deberán presentar </w:t>
      </w:r>
      <w:r>
        <w:rPr>
          <w:rFonts w:ascii="Palatino Linotype" w:hAnsi="Palatino Linotype"/>
          <w:b/>
          <w:i/>
          <w:sz w:val="22"/>
        </w:rPr>
        <w:t>dentro de los veinte días posteriores al término del mes correspondiente.”</w:t>
      </w:r>
    </w:p>
    <w:p w:rsidR="005802F7" w:rsidRDefault="005802F7">
      <w:pPr>
        <w:spacing w:line="360" w:lineRule="auto"/>
        <w:ind w:left="851" w:right="899"/>
        <w:jc w:val="both"/>
        <w:rPr>
          <w:rFonts w:ascii="Palatino Linotype" w:hAnsi="Palatino Linotype"/>
          <w:b/>
          <w:i/>
        </w:rPr>
      </w:pPr>
    </w:p>
    <w:p w:rsidR="005802F7" w:rsidRDefault="00C71A23">
      <w:pPr>
        <w:spacing w:line="360" w:lineRule="auto"/>
        <w:ind w:right="-91"/>
        <w:jc w:val="both"/>
        <w:rPr>
          <w:rFonts w:ascii="Palatino Linotype" w:hAnsi="Palatino Linotype"/>
        </w:rPr>
      </w:pPr>
      <w:r>
        <w:rPr>
          <w:rFonts w:ascii="Palatino Linotype" w:hAnsi="Palatino Linotype"/>
        </w:rPr>
        <w:t xml:space="preserve">La información </w:t>
      </w:r>
      <w:r>
        <w:rPr>
          <w:rFonts w:ascii="Palatino Linotype" w:hAnsi="Palatino Linotype"/>
          <w:b/>
        </w:rPr>
        <w:t>documental comprobatoria</w:t>
      </w:r>
      <w:r>
        <w:rPr>
          <w:rFonts w:ascii="Palatino Linotype" w:hAnsi="Palatino Linotype"/>
        </w:rPr>
        <w:t xml:space="preserve">, </w:t>
      </w:r>
      <w:r>
        <w:rPr>
          <w:rFonts w:ascii="Palatino Linotype" w:hAnsi="Palatino Linotype"/>
          <w:b/>
        </w:rPr>
        <w:t>deberá conservarse en los archivos de la entidad fiscalizada –Municipio</w:t>
      </w:r>
      <w:r>
        <w:rPr>
          <w:rFonts w:ascii="Palatino Linotype" w:hAnsi="Palatino Linotype"/>
        </w:rPr>
        <w:t xml:space="preserve">-, en original y debidamente integrada en términos de </w:t>
      </w:r>
      <w:r>
        <w:rPr>
          <w:rFonts w:ascii="Palatino Linotype" w:hAnsi="Palatino Linotype"/>
        </w:rPr>
        <w:lastRenderedPageBreak/>
        <w:t>los lineamientos de referencia, pues son susceptibles de revisión directa por el órgano Superior de Fiscalización.</w:t>
      </w:r>
    </w:p>
    <w:p w:rsidR="005802F7" w:rsidRDefault="005802F7">
      <w:pPr>
        <w:spacing w:line="360" w:lineRule="auto"/>
        <w:ind w:right="-91"/>
        <w:jc w:val="both"/>
        <w:rPr>
          <w:rFonts w:ascii="Palatino Linotype" w:hAnsi="Palatino Linotype"/>
        </w:rPr>
      </w:pPr>
    </w:p>
    <w:p w:rsidR="005802F7" w:rsidRDefault="00C71A23">
      <w:pPr>
        <w:spacing w:line="360" w:lineRule="auto"/>
        <w:jc w:val="both"/>
        <w:rPr>
          <w:rFonts w:ascii="Palatino Linotype" w:hAnsi="Palatino Linotype"/>
          <w:color w:val="000000"/>
        </w:rPr>
      </w:pPr>
      <w:r>
        <w:rPr>
          <w:rFonts w:ascii="Palatino Linotype" w:hAnsi="Palatino Linotype" w:cs="Arial"/>
        </w:rPr>
        <w:t>Una vez puntualizado esto, se advierte que en</w:t>
      </w:r>
      <w:r>
        <w:rPr>
          <w:rFonts w:ascii="Palatino Linotype" w:hAnsi="Palatino Linotype"/>
        </w:rPr>
        <w:t xml:space="preserve"> </w:t>
      </w:r>
      <w:r>
        <w:rPr>
          <w:rFonts w:ascii="Palatino Linotype" w:hAnsi="Palatino Linotype" w:cs="Arial"/>
          <w:color w:val="000000"/>
        </w:rPr>
        <w:t>l</w:t>
      </w:r>
      <w:r>
        <w:rPr>
          <w:rFonts w:ascii="Palatino Linotype" w:hAnsi="Palatino Linotype"/>
          <w:color w:val="000000"/>
        </w:rPr>
        <w:t xml:space="preserve">os </w:t>
      </w:r>
      <w:r>
        <w:rPr>
          <w:rFonts w:ascii="Palatino Linotype" w:hAnsi="Palatino Linotype"/>
          <w:i/>
          <w:color w:val="000000"/>
        </w:rPr>
        <w:t>Lineamientos para la entrega del Informe Mensual Municipal 2019</w:t>
      </w:r>
      <w:r>
        <w:rPr>
          <w:rFonts w:ascii="Palatino Linotype" w:hAnsi="Palatino Linotype"/>
          <w:color w:val="000000"/>
        </w:rPr>
        <w:t xml:space="preserve">, visibles en la página oficial del Órgano Superior de Fiscalización del Estado de México (OSFEM) en el sitio de internet </w:t>
      </w:r>
      <w:hyperlink r:id="rId16">
        <w:r>
          <w:rPr>
            <w:rStyle w:val="EnlacedeInternet"/>
            <w:rFonts w:ascii="Palatino Linotype" w:hAnsi="Palatino Linotype"/>
            <w:i/>
          </w:rPr>
          <w:t>https://www.osfem.gob.mx/04_Normatividad/doc/Normatividad/2019/19.LineamInfMensualMpal_2019.pdf</w:t>
        </w:r>
      </w:hyperlink>
      <w:r>
        <w:rPr>
          <w:rFonts w:ascii="Palatino Linotype" w:hAnsi="Palatino Linotype"/>
          <w:i/>
        </w:rPr>
        <w:t xml:space="preserve"> </w:t>
      </w:r>
      <w:r>
        <w:rPr>
          <w:rFonts w:ascii="Palatino Linotype" w:hAnsi="Palatino Linotype"/>
          <w:color w:val="000000"/>
        </w:rPr>
        <w:t xml:space="preserve">se contempla precisamente la presentación de la Información referente al Estado Analítico de Ingresos Detallado tal y como se muestra en las siguientes imágenes: </w:t>
      </w:r>
    </w:p>
    <w:p w:rsidR="005802F7" w:rsidRDefault="00C71A23">
      <w:pPr>
        <w:spacing w:line="360" w:lineRule="auto"/>
        <w:jc w:val="center"/>
        <w:rPr>
          <w:rFonts w:ascii="Palatino Linotype" w:hAnsi="Palatino Linotype"/>
        </w:rPr>
      </w:pPr>
      <w:r>
        <w:rPr>
          <w:noProof/>
          <w:lang w:eastAsia="es-MX"/>
        </w:rPr>
        <mc:AlternateContent>
          <mc:Choice Requires="wps">
            <w:drawing>
              <wp:anchor distT="0" distB="0" distL="0" distR="0" simplePos="0" relativeHeight="144" behindDoc="0" locked="0" layoutInCell="1" allowOverlap="1" wp14:anchorId="3BD27A9A">
                <wp:simplePos x="0" y="0"/>
                <wp:positionH relativeFrom="margin">
                  <wp:align>left</wp:align>
                </wp:positionH>
                <wp:positionV relativeFrom="paragraph">
                  <wp:posOffset>3442335</wp:posOffset>
                </wp:positionV>
                <wp:extent cx="1448435" cy="324485"/>
                <wp:effectExtent l="76200" t="38100" r="76200" b="95250"/>
                <wp:wrapNone/>
                <wp:docPr id="10" name="Rectángulo redondeado 4"/>
                <wp:cNvGraphicFramePr/>
                <a:graphic xmlns:a="http://schemas.openxmlformats.org/drawingml/2006/main">
                  <a:graphicData uri="http://schemas.microsoft.com/office/word/2010/wordprocessingShape">
                    <wps:wsp>
                      <wps:cNvSpPr/>
                      <wps:spPr>
                        <a:xfrm>
                          <a:off x="0" y="0"/>
                          <a:ext cx="1447920" cy="324000"/>
                        </a:xfrm>
                        <a:prstGeom prst="roundRect">
                          <a:avLst>
                            <a:gd name="adj" fmla="val 16667"/>
                          </a:avLst>
                        </a:prstGeom>
                        <a:noFill/>
                        <a:ln w="38160">
                          <a:solidFill>
                            <a:srgbClr val="FF0000"/>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lang w:eastAsia="es-MX"/>
        </w:rPr>
        <w:t xml:space="preserve"> </w:t>
      </w:r>
      <w:r>
        <w:rPr>
          <w:noProof/>
          <w:lang w:eastAsia="es-MX"/>
        </w:rPr>
        <w:drawing>
          <wp:inline distT="0" distB="0" distL="0" distR="0">
            <wp:extent cx="5791835" cy="3561715"/>
            <wp:effectExtent l="0" t="0" r="0" b="0"/>
            <wp:docPr id="1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8"/>
                    <pic:cNvPicPr>
                      <a:picLocks noChangeAspect="1" noChangeArrowheads="1"/>
                    </pic:cNvPicPr>
                  </pic:nvPicPr>
                  <pic:blipFill>
                    <a:blip r:embed="rId17"/>
                    <a:stretch>
                      <a:fillRect/>
                    </a:stretch>
                  </pic:blipFill>
                  <pic:spPr bwMode="auto">
                    <a:xfrm>
                      <a:off x="0" y="0"/>
                      <a:ext cx="5791835" cy="3561715"/>
                    </a:xfrm>
                    <a:prstGeom prst="rect">
                      <a:avLst/>
                    </a:prstGeom>
                  </pic:spPr>
                </pic:pic>
              </a:graphicData>
            </a:graphic>
          </wp:inline>
        </w:drawing>
      </w:r>
    </w:p>
    <w:p w:rsidR="005802F7" w:rsidRDefault="005802F7">
      <w:pPr>
        <w:spacing w:line="360" w:lineRule="auto"/>
        <w:jc w:val="center"/>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rPr>
        <w:lastRenderedPageBreak/>
        <w:t>El cual tiene como finalidad, conocer en forma periódica y confiable el comportamiento de los ingresos públicos. Asimismo, muestran la distribución de los ingresos del ente público de acuerdo con los distintos grados de desagregación que presenta el Clasificador por Rubros de Ingresos y el avance que se registra en las cuentas de orden presupuestarias, previo al cierre presupuestario de cada periodo que se reporte.</w:t>
      </w:r>
    </w:p>
    <w:p w:rsidR="005802F7" w:rsidRDefault="005802F7">
      <w:pPr>
        <w:spacing w:line="360" w:lineRule="auto"/>
        <w:jc w:val="both"/>
        <w:rPr>
          <w:rFonts w:ascii="Palatino Linotype" w:hAnsi="Palatino Linotype"/>
        </w:rPr>
      </w:pPr>
    </w:p>
    <w:p w:rsidR="005802F7" w:rsidRDefault="00C71A23">
      <w:pPr>
        <w:spacing w:line="360" w:lineRule="auto"/>
        <w:jc w:val="both"/>
        <w:rPr>
          <w:rFonts w:ascii="Palatino Linotype" w:hAnsi="Palatino Linotype"/>
        </w:rPr>
      </w:pPr>
      <w:r>
        <w:rPr>
          <w:rFonts w:ascii="Palatino Linotype" w:hAnsi="Palatino Linotype"/>
        </w:rPr>
        <w:t xml:space="preserve">Teniendo en cuenta que, de acuerdo con lo dispuesto por el artículo 38 de la Ley General de Contabilidad Gubernamental y la norma ya emitida por el CONAC por la que se aprueba el “Clasificador por Rubros de Ingresos”, el registro de los ingresos de los entes públicos se efectuará en las cuentas establecidas por éste en las etapas que reflejen el estimado, modificado, devengado y recaudado de los mismos. </w:t>
      </w:r>
    </w:p>
    <w:p w:rsidR="005802F7" w:rsidRDefault="00C71A23">
      <w:pPr>
        <w:spacing w:line="360" w:lineRule="auto"/>
        <w:jc w:val="both"/>
        <w:rPr>
          <w:rFonts w:ascii="Palatino Linotype" w:hAnsi="Palatino Linotype"/>
        </w:rPr>
      </w:pPr>
      <w:r>
        <w:rPr>
          <w:rFonts w:ascii="Palatino Linotype" w:hAnsi="Palatino Linotype"/>
        </w:rPr>
        <w:t>A continuación, se presenta el Estado Analítico de Ingresos en su mayor grado de desagregación:</w:t>
      </w:r>
    </w:p>
    <w:p w:rsidR="005802F7" w:rsidRDefault="005802F7">
      <w:pPr>
        <w:spacing w:line="360" w:lineRule="auto"/>
        <w:jc w:val="both"/>
        <w:rPr>
          <w:rFonts w:ascii="Palatino Linotype" w:hAnsi="Palatino Linotype"/>
        </w:rPr>
      </w:pPr>
    </w:p>
    <w:p w:rsidR="005802F7" w:rsidRDefault="00C71A23">
      <w:pPr>
        <w:spacing w:line="360" w:lineRule="auto"/>
        <w:jc w:val="center"/>
        <w:rPr>
          <w:rFonts w:ascii="Palatino Linotype" w:hAnsi="Palatino Linotype"/>
        </w:rPr>
      </w:pPr>
      <w:r>
        <w:rPr>
          <w:noProof/>
          <w:lang w:eastAsia="es-MX"/>
        </w:rPr>
        <w:lastRenderedPageBreak/>
        <w:drawing>
          <wp:inline distT="0" distB="0" distL="0" distR="0">
            <wp:extent cx="5029200" cy="6067425"/>
            <wp:effectExtent l="0" t="0" r="0" b="0"/>
            <wp:docPr id="1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9"/>
                    <pic:cNvPicPr>
                      <a:picLocks noChangeAspect="1" noChangeArrowheads="1"/>
                    </pic:cNvPicPr>
                  </pic:nvPicPr>
                  <pic:blipFill>
                    <a:blip r:embed="rId18"/>
                    <a:stretch>
                      <a:fillRect/>
                    </a:stretch>
                  </pic:blipFill>
                  <pic:spPr bwMode="auto">
                    <a:xfrm>
                      <a:off x="0" y="0"/>
                      <a:ext cx="5029200" cy="6067425"/>
                    </a:xfrm>
                    <a:prstGeom prst="rect">
                      <a:avLst/>
                    </a:prstGeom>
                  </pic:spPr>
                </pic:pic>
              </a:graphicData>
            </a:graphic>
          </wp:inline>
        </w:drawing>
      </w:r>
    </w:p>
    <w:p w:rsidR="005802F7" w:rsidRDefault="005802F7">
      <w:pPr>
        <w:spacing w:line="360" w:lineRule="auto"/>
        <w:jc w:val="center"/>
        <w:rPr>
          <w:rFonts w:ascii="Palatino Linotype" w:hAnsi="Palatino Linotype"/>
        </w:rPr>
      </w:pPr>
    </w:p>
    <w:p w:rsidR="005802F7" w:rsidRDefault="00C71A23">
      <w:pPr>
        <w:spacing w:line="360" w:lineRule="auto"/>
        <w:jc w:val="center"/>
        <w:rPr>
          <w:rFonts w:ascii="Palatino Linotype" w:hAnsi="Palatino Linotype"/>
        </w:rPr>
      </w:pPr>
      <w:r>
        <w:rPr>
          <w:noProof/>
          <w:lang w:eastAsia="es-MX"/>
        </w:rPr>
        <w:lastRenderedPageBreak/>
        <w:drawing>
          <wp:inline distT="0" distB="0" distL="0" distR="0">
            <wp:extent cx="5223510" cy="7543800"/>
            <wp:effectExtent l="0" t="0" r="0" b="0"/>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1"/>
                    <pic:cNvPicPr>
                      <a:picLocks noChangeAspect="1" noChangeArrowheads="1"/>
                    </pic:cNvPicPr>
                  </pic:nvPicPr>
                  <pic:blipFill>
                    <a:blip r:embed="rId19"/>
                    <a:stretch>
                      <a:fillRect/>
                    </a:stretch>
                  </pic:blipFill>
                  <pic:spPr bwMode="auto">
                    <a:xfrm>
                      <a:off x="0" y="0"/>
                      <a:ext cx="5223510" cy="7543800"/>
                    </a:xfrm>
                    <a:prstGeom prst="rect">
                      <a:avLst/>
                    </a:prstGeom>
                  </pic:spPr>
                </pic:pic>
              </a:graphicData>
            </a:graphic>
          </wp:inline>
        </w:drawing>
      </w:r>
    </w:p>
    <w:p w:rsidR="005802F7" w:rsidRDefault="00C71A23">
      <w:pPr>
        <w:spacing w:line="360" w:lineRule="auto"/>
        <w:jc w:val="both"/>
        <w:rPr>
          <w:rFonts w:ascii="Palatino Linotype" w:hAnsi="Palatino Linotype" w:cs="Arial"/>
          <w:color w:val="000000"/>
        </w:rPr>
      </w:pPr>
      <w:r>
        <w:rPr>
          <w:rFonts w:ascii="Palatino Linotype" w:hAnsi="Palatino Linotype" w:cs="Arial"/>
          <w:color w:val="000000"/>
        </w:rPr>
        <w:lastRenderedPageBreak/>
        <w:t xml:space="preserve">Es así, que con base en el análisis realizado en el desarrollo de la presente resolución, éste Órgano Autónomo considera que, los documentos colman la pretensión del particular es precisamente el formato del </w:t>
      </w:r>
      <w:r>
        <w:rPr>
          <w:rFonts w:ascii="Palatino Linotype" w:hAnsi="Palatino Linotype" w:cs="Arial"/>
          <w:b/>
          <w:color w:val="000000"/>
        </w:rPr>
        <w:t>Estado Analítico de Ingresos Detallado</w:t>
      </w:r>
      <w:r>
        <w:rPr>
          <w:rFonts w:ascii="Palatino Linotype" w:hAnsi="Palatino Linotype" w:cs="Arial"/>
          <w:color w:val="000000"/>
        </w:rPr>
        <w:t xml:space="preserve">, que forma parte del informe mensual que </w:t>
      </w:r>
      <w:r>
        <w:rPr>
          <w:rFonts w:ascii="Palatino Linotype" w:hAnsi="Palatino Linotype" w:cs="Arial"/>
          <w:b/>
          <w:color w:val="000000"/>
        </w:rPr>
        <w:t xml:space="preserve">EL SUJETO OBLIGADO </w:t>
      </w:r>
      <w:r>
        <w:rPr>
          <w:rFonts w:ascii="Palatino Linotype" w:hAnsi="Palatino Linotype" w:cs="Arial"/>
          <w:color w:val="000000"/>
        </w:rPr>
        <w:t>remite al Órgano Superior de Fiscalización del Estado de México, dentro del citado informe.</w:t>
      </w:r>
    </w:p>
    <w:p w:rsidR="005802F7" w:rsidRDefault="005802F7">
      <w:pPr>
        <w:widowControl w:val="0"/>
        <w:tabs>
          <w:tab w:val="left" w:pos="1701"/>
          <w:tab w:val="left" w:pos="1843"/>
        </w:tabs>
        <w:spacing w:line="360" w:lineRule="auto"/>
        <w:contextualSpacing/>
        <w:jc w:val="both"/>
        <w:rPr>
          <w:rFonts w:ascii="Palatino Linotype" w:hAnsi="Palatino Linotype" w:cs="Arial"/>
        </w:rPr>
      </w:pPr>
    </w:p>
    <w:p w:rsidR="005802F7" w:rsidRDefault="00C71A23">
      <w:pPr>
        <w:spacing w:line="360" w:lineRule="auto"/>
        <w:jc w:val="both"/>
        <w:rPr>
          <w:rFonts w:ascii="Palatino Linotype" w:eastAsia="Arial Unicode MS" w:hAnsi="Palatino Linotype" w:cs="Arial"/>
          <w:lang w:val="es-ES"/>
        </w:rPr>
      </w:pPr>
      <w:r>
        <w:rPr>
          <w:rFonts w:ascii="Palatino Linotype" w:eastAsia="Arial Unicode MS" w:hAnsi="Palatino Linotype" w:cs="Arial"/>
          <w:lang w:val="es-ES"/>
        </w:rPr>
        <w:t xml:space="preserve">Finalmente, esta Ponencia no es omisa en destacar que los documentos relacionados con anterioridad, deberán ser entregados en su caso en </w:t>
      </w:r>
      <w:r>
        <w:rPr>
          <w:rFonts w:ascii="Palatino Linotype" w:eastAsia="Arial Unicode MS" w:hAnsi="Palatino Linotype" w:cs="Arial"/>
          <w:b/>
          <w:lang w:val="es-ES"/>
        </w:rPr>
        <w:t>versión pública</w:t>
      </w:r>
      <w:r>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rsidR="005802F7" w:rsidRDefault="005802F7">
      <w:pPr>
        <w:spacing w:line="360" w:lineRule="auto"/>
        <w:jc w:val="both"/>
        <w:rPr>
          <w:rFonts w:ascii="Palatino Linotype" w:eastAsia="Arial Unicode MS" w:hAnsi="Palatino Linotype" w:cs="Arial"/>
          <w:lang w:val="es-ES"/>
        </w:rPr>
      </w:pPr>
    </w:p>
    <w:p w:rsidR="005802F7" w:rsidRDefault="00C71A23">
      <w:pPr>
        <w:pStyle w:val="Prrafodelista"/>
        <w:widowControl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Pr>
          <w:rFonts w:ascii="Palatino Linotype" w:hAnsi="Palatino Linotype" w:cs="Arial"/>
          <w:lang w:val="es-ES_tradnl"/>
        </w:rPr>
        <w:lastRenderedPageBreak/>
        <w:t>de la Información, así como para la elaboración de Versiones Públicas, que literalmente expresan:</w:t>
      </w:r>
    </w:p>
    <w:p w:rsidR="005802F7" w:rsidRDefault="005802F7">
      <w:pPr>
        <w:pStyle w:val="Prrafodelista"/>
        <w:widowControl w:val="0"/>
        <w:spacing w:line="360" w:lineRule="auto"/>
        <w:ind w:left="0"/>
        <w:jc w:val="both"/>
        <w:rPr>
          <w:rFonts w:ascii="Palatino Linotype" w:hAnsi="Palatino Linotype" w:cs="Arial"/>
          <w:lang w:val="es-ES_tradnl"/>
        </w:rPr>
      </w:pPr>
    </w:p>
    <w:p w:rsidR="005802F7" w:rsidRDefault="00C71A23">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5802F7" w:rsidRDefault="005802F7">
      <w:pPr>
        <w:ind w:left="709" w:right="757"/>
        <w:jc w:val="center"/>
        <w:rPr>
          <w:rFonts w:ascii="Palatino Linotype" w:hAnsi="Palatino Linotype" w:cs="Arial"/>
          <w:b/>
          <w:i/>
          <w:sz w:val="22"/>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5802F7" w:rsidRDefault="005802F7">
      <w:pPr>
        <w:ind w:left="709" w:right="757"/>
        <w:jc w:val="center"/>
        <w:rPr>
          <w:rFonts w:ascii="Palatino Linotype" w:hAnsi="Palatino Linotype" w:cs="Arial"/>
          <w:b/>
          <w:i/>
          <w:sz w:val="22"/>
          <w:szCs w:val="22"/>
          <w:lang w:eastAsia="es-MX"/>
        </w:rPr>
      </w:pPr>
    </w:p>
    <w:p w:rsidR="005802F7" w:rsidRDefault="00C71A2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5802F7" w:rsidRDefault="005802F7">
      <w:pPr>
        <w:ind w:left="709" w:right="757"/>
        <w:jc w:val="both"/>
        <w:rPr>
          <w:rFonts w:ascii="Palatino Linotype" w:hAnsi="Palatino Linotype" w:cs="Arial"/>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sz w:val="22"/>
        </w:rPr>
        <w:t>Comité</w:t>
      </w:r>
      <w:r>
        <w:rPr>
          <w:rFonts w:ascii="Palatino Linotype" w:hAnsi="Palatino Linotype" w:cs="Arial"/>
          <w:i/>
          <w:sz w:val="22"/>
          <w:szCs w:val="22"/>
          <w:lang w:eastAsia="es-MX"/>
        </w:rPr>
        <w:t xml:space="preserve"> de Transparencia.</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802F7" w:rsidRDefault="005802F7">
      <w:pPr>
        <w:ind w:left="709" w:right="757"/>
        <w:jc w:val="both"/>
        <w:rPr>
          <w:rFonts w:ascii="Palatino Linotype" w:hAnsi="Palatino Linotype" w:cs="Arial"/>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w:t>
      </w:r>
      <w:r>
        <w:rPr>
          <w:rFonts w:ascii="Palatino Linotype" w:hAnsi="Palatino Linotype" w:cs="Arial"/>
          <w:i/>
          <w:sz w:val="22"/>
          <w:szCs w:val="22"/>
          <w:lang w:eastAsia="es-MX"/>
        </w:rPr>
        <w:lastRenderedPageBreak/>
        <w:t xml:space="preserve">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sz w:val="22"/>
        </w:rPr>
        <w:t>de</w:t>
      </w:r>
      <w:r>
        <w:rPr>
          <w:rFonts w:ascii="Palatino Linotype" w:hAnsi="Palatino Linotype" w:cs="Arial"/>
          <w:i/>
          <w:sz w:val="22"/>
          <w:szCs w:val="22"/>
          <w:lang w:eastAsia="es-MX"/>
        </w:rPr>
        <w:t xml:space="preserve"> la prueba de daño y de interés público.</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sz w:val="22"/>
        </w:rPr>
        <w:t>mediante</w:t>
      </w:r>
      <w:r>
        <w:rPr>
          <w:rFonts w:ascii="Palatino Linotype" w:hAnsi="Palatino Linotype" w:cs="Arial"/>
          <w:i/>
          <w:sz w:val="22"/>
          <w:szCs w:val="22"/>
          <w:lang w:eastAsia="es-MX"/>
        </w:rPr>
        <w:t xml:space="preserve"> resolución de autoridad competente, o</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5802F7" w:rsidRDefault="005802F7">
      <w:pPr>
        <w:ind w:left="709" w:right="757"/>
        <w:jc w:val="both"/>
        <w:rPr>
          <w:rFonts w:ascii="Palatino Linotype" w:hAnsi="Palatino Linotype" w:cs="Arial"/>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sz w:val="22"/>
        </w:rPr>
        <w:t>expresamente</w:t>
      </w:r>
      <w:r>
        <w:rPr>
          <w:rFonts w:ascii="Palatino Linotype" w:hAnsi="Palatino Linotype" w:cs="Arial"/>
          <w:i/>
          <w:sz w:val="22"/>
          <w:szCs w:val="22"/>
          <w:lang w:eastAsia="es-MX"/>
        </w:rPr>
        <w:t xml:space="preserve"> le otorga el carácter de reservada o confidencial.</w:t>
      </w:r>
    </w:p>
    <w:p w:rsidR="005802F7" w:rsidRDefault="00C71A23">
      <w:pPr>
        <w:ind w:left="709" w:right="757"/>
        <w:jc w:val="both"/>
        <w:rPr>
          <w:rFonts w:ascii="Palatino Linotype" w:hAnsi="Palatino Linotype" w:cs="Arial"/>
          <w:bCs/>
          <w:i/>
          <w:sz w:val="22"/>
        </w:rPr>
      </w:pPr>
      <w:r>
        <w:rPr>
          <w:rFonts w:ascii="Palatino Linotype" w:hAnsi="Palatino Linotype" w:cs="Arial"/>
          <w:i/>
          <w:sz w:val="22"/>
          <w:szCs w:val="22"/>
          <w:lang w:eastAsia="es-MX"/>
        </w:rPr>
        <w:t xml:space="preserve">Para </w:t>
      </w:r>
      <w:r>
        <w:rPr>
          <w:rFonts w:ascii="Palatino Linotype" w:hAnsi="Palatino Linotype" w:cs="Arial"/>
          <w:bCs/>
          <w:i/>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sz w:val="22"/>
        </w:rPr>
        <w:t xml:space="preserve"> a concluir que el caso particular se ajusta al supuesto previsto por la norma legal invocada como fundamento.</w:t>
      </w:r>
    </w:p>
    <w:p w:rsidR="005802F7" w:rsidRDefault="005802F7">
      <w:pPr>
        <w:ind w:left="709" w:right="757"/>
        <w:jc w:val="both"/>
        <w:rPr>
          <w:rFonts w:ascii="Palatino Linotype" w:hAnsi="Palatino Linotype" w:cs="Arial"/>
          <w:bCs/>
          <w:i/>
          <w:sz w:val="22"/>
        </w:rPr>
      </w:pPr>
    </w:p>
    <w:p w:rsidR="005802F7" w:rsidRDefault="00C71A23">
      <w:pPr>
        <w:ind w:left="709" w:right="757"/>
        <w:jc w:val="both"/>
        <w:rPr>
          <w:rFonts w:ascii="Palatino Linotype" w:hAnsi="Palatino Linotype" w:cs="Arial"/>
          <w:bCs/>
          <w:i/>
          <w:sz w:val="22"/>
        </w:rPr>
      </w:pPr>
      <w:r>
        <w:rPr>
          <w:rFonts w:ascii="Palatino Linotype" w:hAnsi="Palatino Linotype" w:cs="Arial"/>
          <w:bCs/>
          <w:i/>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rPr>
        <w:t xml:space="preserve"> </w:t>
      </w:r>
      <w:r>
        <w:rPr>
          <w:rFonts w:ascii="Palatino Linotype" w:hAnsi="Palatino Linotype" w:cs="Arial"/>
          <w:i/>
          <w:sz w:val="22"/>
          <w:szCs w:val="22"/>
          <w:lang w:eastAsia="es-MX"/>
        </w:rPr>
        <w:t>reserva</w:t>
      </w:r>
      <w:r>
        <w:rPr>
          <w:rFonts w:ascii="Palatino Linotype" w:hAnsi="Palatino Linotype" w:cs="Arial"/>
          <w:bCs/>
          <w:i/>
          <w:sz w:val="22"/>
        </w:rPr>
        <w:t>.</w:t>
      </w:r>
    </w:p>
    <w:p w:rsidR="005802F7" w:rsidRDefault="005802F7">
      <w:pPr>
        <w:ind w:left="709" w:right="757"/>
        <w:jc w:val="both"/>
        <w:rPr>
          <w:rFonts w:ascii="Palatino Linotype" w:hAnsi="Palatino Linotype" w:cs="Arial"/>
          <w:i/>
          <w:sz w:val="22"/>
          <w:szCs w:val="22"/>
          <w:lang w:eastAsia="es-MX"/>
        </w:rPr>
      </w:pPr>
    </w:p>
    <w:p w:rsidR="005802F7" w:rsidRDefault="00C71A23">
      <w:pPr>
        <w:ind w:left="709" w:right="757"/>
        <w:jc w:val="both"/>
        <w:rPr>
          <w:rFonts w:ascii="Palatino Linotype" w:hAnsi="Palatino Linotype" w:cs="Arial"/>
          <w:bCs/>
          <w:i/>
          <w:sz w:val="22"/>
        </w:rPr>
      </w:pPr>
      <w:r>
        <w:rPr>
          <w:rFonts w:ascii="Palatino Linotype" w:hAnsi="Palatino Linotype" w:cs="Arial"/>
          <w:i/>
          <w:sz w:val="22"/>
          <w:szCs w:val="22"/>
          <w:lang w:eastAsia="es-MX"/>
        </w:rPr>
        <w:t>Tratándose</w:t>
      </w:r>
      <w:r>
        <w:rPr>
          <w:rFonts w:ascii="Palatino Linotype" w:hAnsi="Palatino Linotype" w:cs="Arial"/>
          <w:bCs/>
          <w:i/>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sz w:val="22"/>
        </w:rPr>
        <w:t xml:space="preserve"> </w:t>
      </w:r>
      <w:r>
        <w:rPr>
          <w:rFonts w:ascii="Palatino Linotype" w:hAnsi="Palatino Linotype" w:cs="Arial"/>
          <w:i/>
          <w:sz w:val="22"/>
          <w:szCs w:val="22"/>
          <w:lang w:eastAsia="es-MX"/>
        </w:rPr>
        <w:t>su</w:t>
      </w:r>
      <w:r>
        <w:rPr>
          <w:rFonts w:ascii="Palatino Linotype" w:hAnsi="Palatino Linotype" w:cs="Arial"/>
          <w:bCs/>
          <w:i/>
          <w:sz w:val="22"/>
        </w:rPr>
        <w:t xml:space="preserve"> conservación permanente por tener valor histórico, ésta conservará tal carácter de conformidad con la normativa aplicable en materia de archivos.</w:t>
      </w:r>
    </w:p>
    <w:p w:rsidR="005802F7" w:rsidRDefault="005802F7">
      <w:pPr>
        <w:ind w:left="709" w:right="757"/>
        <w:jc w:val="both"/>
        <w:rPr>
          <w:rFonts w:ascii="Palatino Linotype" w:hAnsi="Palatino Linotype" w:cs="Arial"/>
          <w:bCs/>
          <w:i/>
          <w:sz w:val="22"/>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Cs/>
          <w:i/>
          <w:sz w:val="22"/>
        </w:rPr>
        <w:lastRenderedPageBreak/>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5802F7" w:rsidRDefault="005802F7">
      <w:pPr>
        <w:ind w:left="709" w:right="757"/>
        <w:jc w:val="center"/>
        <w:rPr>
          <w:rFonts w:ascii="Palatino Linotype" w:hAnsi="Palatino Linotype" w:cs="Arial"/>
          <w:b/>
          <w:i/>
          <w:sz w:val="22"/>
          <w:szCs w:val="22"/>
          <w:lang w:eastAsia="es-MX"/>
        </w:rPr>
      </w:pPr>
    </w:p>
    <w:p w:rsidR="005802F7" w:rsidRDefault="00C71A2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5802F7" w:rsidRDefault="00C71A23">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5802F7" w:rsidRDefault="005802F7">
      <w:pPr>
        <w:ind w:left="709" w:right="757"/>
        <w:jc w:val="both"/>
        <w:rPr>
          <w:rFonts w:ascii="Palatino Linotype" w:hAnsi="Palatino Linotype" w:cs="Arial"/>
          <w:b/>
          <w:i/>
          <w:sz w:val="22"/>
          <w:szCs w:val="22"/>
          <w:lang w:eastAsia="es-MX"/>
        </w:rPr>
      </w:pPr>
    </w:p>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5802F7" w:rsidRDefault="005802F7">
      <w:pPr>
        <w:ind w:left="709" w:right="757"/>
        <w:jc w:val="both"/>
        <w:rPr>
          <w:rFonts w:ascii="Palatino Linotype" w:hAnsi="Palatino Linotype" w:cs="Arial"/>
          <w:i/>
          <w:sz w:val="22"/>
          <w:szCs w:val="22"/>
          <w:lang w:eastAsia="es-MX"/>
        </w:rPr>
      </w:pPr>
    </w:p>
    <w:p w:rsidR="00263A95" w:rsidRDefault="00263A95">
      <w:pPr>
        <w:ind w:left="709" w:right="757"/>
        <w:jc w:val="both"/>
        <w:rPr>
          <w:rFonts w:ascii="Palatino Linotype" w:hAnsi="Palatino Linotype" w:cs="Arial"/>
          <w:i/>
          <w:sz w:val="22"/>
          <w:szCs w:val="22"/>
          <w:lang w:eastAsia="es-MX"/>
        </w:rPr>
      </w:pPr>
    </w:p>
    <w:p w:rsidR="00263A95" w:rsidRDefault="00263A95">
      <w:pPr>
        <w:ind w:left="709" w:right="757"/>
        <w:jc w:val="both"/>
        <w:rPr>
          <w:rFonts w:ascii="Palatino Linotype" w:hAnsi="Palatino Linotype" w:cs="Arial"/>
          <w:i/>
          <w:sz w:val="22"/>
          <w:szCs w:val="22"/>
          <w:lang w:eastAsia="es-MX"/>
        </w:rPr>
      </w:pPr>
    </w:p>
    <w:p w:rsidR="00263A95" w:rsidRDefault="00263A95">
      <w:pPr>
        <w:ind w:left="709" w:right="757"/>
        <w:jc w:val="both"/>
        <w:rPr>
          <w:rFonts w:ascii="Palatino Linotype" w:hAnsi="Palatino Linotype" w:cs="Arial"/>
          <w:i/>
          <w:sz w:val="22"/>
          <w:szCs w:val="22"/>
          <w:lang w:eastAsia="es-MX"/>
        </w:rPr>
      </w:pPr>
    </w:p>
    <w:p w:rsidR="00263A95" w:rsidRDefault="00263A95">
      <w:pPr>
        <w:ind w:left="709" w:right="757"/>
        <w:jc w:val="both"/>
        <w:rPr>
          <w:rFonts w:ascii="Palatino Linotype" w:hAnsi="Palatino Linotype" w:cs="Arial"/>
          <w:i/>
          <w:sz w:val="22"/>
          <w:szCs w:val="22"/>
          <w:lang w:eastAsia="es-MX"/>
        </w:rPr>
      </w:pPr>
    </w:p>
    <w:tbl>
      <w:tblPr>
        <w:tblW w:w="8402" w:type="dxa"/>
        <w:tblInd w:w="709" w:type="dxa"/>
        <w:tblLook w:val="04A0" w:firstRow="1" w:lastRow="0" w:firstColumn="1" w:lastColumn="0" w:noHBand="0" w:noVBand="1"/>
      </w:tblPr>
      <w:tblGrid>
        <w:gridCol w:w="1838"/>
        <w:gridCol w:w="2330"/>
        <w:gridCol w:w="4234"/>
      </w:tblGrid>
      <w:tr w:rsidR="005802F7">
        <w:tc>
          <w:tcPr>
            <w:tcW w:w="1838" w:type="dxa"/>
            <w:tcBorders>
              <w:bottom w:val="single" w:sz="4" w:space="0" w:color="000000"/>
              <w:right w:val="single" w:sz="4" w:space="0" w:color="000000"/>
            </w:tcBorders>
          </w:tcPr>
          <w:p w:rsidR="005802F7" w:rsidRDefault="005802F7">
            <w:pPr>
              <w:spacing w:line="254" w:lineRule="auto"/>
              <w:ind w:right="757"/>
              <w:jc w:val="both"/>
              <w:rPr>
                <w:rFonts w:ascii="Palatino Linotype" w:hAnsi="Palatino Linotype" w:cs="Arial"/>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5802F7">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5802F7" w:rsidRDefault="00C71A23">
            <w:pPr>
              <w:spacing w:line="254"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Pr>
                <w:rFonts w:ascii="Palatino Linotype" w:hAnsi="Palatino Linotype" w:cs="Arial"/>
                <w:i/>
                <w:sz w:val="22"/>
                <w:szCs w:val="22"/>
                <w:lang w:eastAsia="es-MX"/>
              </w:rPr>
              <w:lastRenderedPageBreak/>
              <w:t>documento no contiene información confidencial, se tachará este apartado.</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234"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5802F7">
        <w:tc>
          <w:tcPr>
            <w:tcW w:w="1838" w:type="dxa"/>
            <w:vMerge/>
            <w:tcBorders>
              <w:top w:val="single" w:sz="4" w:space="0" w:color="000000"/>
              <w:left w:val="single" w:sz="4" w:space="0" w:color="000000"/>
              <w:bottom w:val="single" w:sz="4" w:space="0" w:color="000000"/>
              <w:right w:val="single" w:sz="4" w:space="0" w:color="000000"/>
            </w:tcBorders>
            <w:vAlign w:val="center"/>
          </w:tcPr>
          <w:p w:rsidR="005802F7" w:rsidRDefault="005802F7">
            <w:pPr>
              <w:spacing w:line="254" w:lineRule="auto"/>
              <w:rPr>
                <w:rFonts w:ascii="Palatino Linotype" w:hAnsi="Palatino Linotype" w:cs="Arial"/>
                <w:b/>
                <w:i/>
                <w:sz w:val="22"/>
                <w:szCs w:val="22"/>
                <w:lang w:eastAsia="es-MX"/>
              </w:rPr>
            </w:pPr>
          </w:p>
        </w:tc>
        <w:tc>
          <w:tcPr>
            <w:tcW w:w="2330" w:type="dxa"/>
            <w:tcBorders>
              <w:top w:val="single" w:sz="4" w:space="0" w:color="000000"/>
              <w:left w:val="single" w:sz="4" w:space="0" w:color="000000"/>
              <w:bottom w:val="single" w:sz="4" w:space="0" w:color="000000"/>
              <w:right w:val="single" w:sz="4" w:space="0" w:color="000000"/>
            </w:tcBorders>
          </w:tcPr>
          <w:p w:rsidR="005802F7" w:rsidRDefault="00C71A23">
            <w:pPr>
              <w:spacing w:line="254"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234" w:type="dxa"/>
            <w:tcBorders>
              <w:top w:val="single" w:sz="4" w:space="0" w:color="000000"/>
              <w:left w:val="single" w:sz="4" w:space="0" w:color="000000"/>
              <w:bottom w:val="single" w:sz="4" w:space="0" w:color="000000"/>
              <w:right w:val="single" w:sz="4" w:space="0" w:color="000000"/>
            </w:tcBorders>
            <w:vAlign w:val="center"/>
          </w:tcPr>
          <w:p w:rsidR="005802F7" w:rsidRDefault="00C71A23">
            <w:pPr>
              <w:spacing w:line="254"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5802F7" w:rsidRDefault="00C71A23">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5802F7" w:rsidRDefault="005802F7">
      <w:pPr>
        <w:ind w:left="709" w:right="757"/>
        <w:jc w:val="both"/>
        <w:rPr>
          <w:rFonts w:ascii="Palatino Linotype" w:hAnsi="Palatino Linotype" w:cs="Arial"/>
          <w:i/>
          <w:sz w:val="22"/>
          <w:szCs w:val="22"/>
          <w:lang w:eastAsia="es-MX"/>
        </w:rPr>
      </w:pPr>
    </w:p>
    <w:p w:rsidR="005802F7" w:rsidRDefault="00C71A23">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5802F7" w:rsidRDefault="005802F7">
      <w:pPr>
        <w:spacing w:line="360" w:lineRule="auto"/>
        <w:ind w:left="709" w:right="757"/>
        <w:jc w:val="both"/>
        <w:rPr>
          <w:rFonts w:ascii="Palatino Linotype" w:hAnsi="Palatino Linotype" w:cs="Arial"/>
          <w:sz w:val="22"/>
          <w:szCs w:val="22"/>
          <w:lang w:eastAsia="es-MX"/>
        </w:rPr>
      </w:pPr>
    </w:p>
    <w:p w:rsidR="005802F7" w:rsidRDefault="00C71A23">
      <w:pPr>
        <w:pStyle w:val="Prrafodelista"/>
        <w:widowControl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w:t>
      </w:r>
      <w:r>
        <w:rPr>
          <w:rFonts w:ascii="Palatino Linotype" w:hAnsi="Palatino Linotype" w:cs="Arial"/>
        </w:rPr>
        <w:lastRenderedPageBreak/>
        <w:t>inicio el derecho de acceso a la información del solicitante.</w:t>
      </w:r>
    </w:p>
    <w:p w:rsidR="005802F7" w:rsidRDefault="005802F7">
      <w:pPr>
        <w:pStyle w:val="Prrafodelista"/>
        <w:widowControl w:val="0"/>
        <w:spacing w:line="360" w:lineRule="auto"/>
        <w:ind w:left="0"/>
        <w:jc w:val="both"/>
        <w:rPr>
          <w:rFonts w:ascii="Palatino Linotype" w:hAnsi="Palatino Linotype" w:cs="Arial"/>
        </w:rPr>
      </w:pPr>
    </w:p>
    <w:p w:rsidR="005802F7" w:rsidRDefault="00C71A23">
      <w:pPr>
        <w:pStyle w:val="Prrafodelista"/>
        <w:widowControl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 xml:space="preserve">las </w:t>
      </w:r>
      <w:r>
        <w:rPr>
          <w:rFonts w:ascii="Palatino Linotype" w:eastAsia="Arial Unicode MS" w:hAnsi="Palatino Linotype" w:cs="Arial"/>
          <w:b/>
        </w:rPr>
        <w:t>actas de cabildo</w:t>
      </w:r>
      <w:r>
        <w:rPr>
          <w:rFonts w:ascii="Palatino Linotype" w:eastAsia="Arial Unicode MS" w:hAnsi="Palatino Linotype" w:cs="Arial"/>
        </w:rPr>
        <w:t xml:space="preserve"> </w:t>
      </w:r>
      <w:r>
        <w:rPr>
          <w:rFonts w:ascii="Palatino Linotype" w:hAnsi="Palatino Linotype"/>
        </w:rPr>
        <w:t xml:space="preserve">que pudieran colmar parte de la solicitud del particular,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seguridad social</w:t>
      </w:r>
      <w:r>
        <w:rPr>
          <w:rFonts w:ascii="Palatino Linotype" w:hAnsi="Palatino Linotype" w:cs="Arial"/>
        </w:rPr>
        <w:t xml:space="preserve"> (ISSEMYM), clave de elector, cuentas y claves bancarias,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5802F7" w:rsidRDefault="005802F7">
      <w:pPr>
        <w:pStyle w:val="Prrafodelista"/>
        <w:widowControl w:val="0"/>
        <w:spacing w:line="360" w:lineRule="auto"/>
        <w:ind w:left="0"/>
        <w:jc w:val="both"/>
        <w:rPr>
          <w:rFonts w:ascii="Palatino Linotype" w:hAnsi="Palatino Linotype" w:cs="Arial"/>
        </w:rPr>
      </w:pPr>
    </w:p>
    <w:p w:rsidR="005802F7" w:rsidRDefault="00C71A23">
      <w:pPr>
        <w:pStyle w:val="Prrafodelista"/>
        <w:widowControl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homoclave; la cual, para su obtención es necesario acreditar personalidad, fecha de nacimiento entre otros con documentos oficiales.</w:t>
      </w:r>
    </w:p>
    <w:p w:rsidR="005802F7" w:rsidRDefault="005802F7">
      <w:pPr>
        <w:pStyle w:val="Prrafodelista"/>
        <w:widowControl w:val="0"/>
        <w:spacing w:line="360" w:lineRule="auto"/>
        <w:ind w:left="0"/>
        <w:jc w:val="both"/>
        <w:rPr>
          <w:rFonts w:ascii="Palatino Linotype" w:hAnsi="Palatino Linotype"/>
        </w:rPr>
      </w:pPr>
    </w:p>
    <w:p w:rsidR="005802F7" w:rsidRDefault="00C71A23">
      <w:pPr>
        <w:pStyle w:val="Prrafodelista"/>
        <w:widowControl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5802F7" w:rsidRDefault="005802F7">
      <w:pPr>
        <w:pStyle w:val="Prrafodelista"/>
        <w:widowControl w:val="0"/>
        <w:spacing w:line="360" w:lineRule="auto"/>
        <w:ind w:left="0"/>
        <w:jc w:val="both"/>
        <w:rPr>
          <w:rFonts w:ascii="Palatino Linotype" w:hAnsi="Palatino Linotype"/>
          <w:b/>
          <w:bCs/>
          <w:color w:val="000000"/>
        </w:rPr>
      </w:pPr>
    </w:p>
    <w:p w:rsidR="005802F7" w:rsidRDefault="00C71A23">
      <w:pPr>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única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5802F7" w:rsidRDefault="005802F7">
      <w:pPr>
        <w:ind w:left="709" w:right="709"/>
        <w:jc w:val="both"/>
        <w:rPr>
          <w:rFonts w:ascii="Palatino Linotype" w:hAnsi="Palatino Linotype" w:cs="Arial"/>
          <w:bCs/>
          <w:i/>
          <w:sz w:val="22"/>
        </w:rPr>
      </w:pPr>
    </w:p>
    <w:p w:rsidR="005802F7" w:rsidRDefault="00C71A23">
      <w:pPr>
        <w:ind w:left="709" w:right="709"/>
        <w:jc w:val="both"/>
        <w:rPr>
          <w:rFonts w:ascii="Palatino Linotype" w:hAnsi="Palatino Linotype" w:cs="Arial"/>
          <w:bCs/>
          <w:i/>
          <w:sz w:val="22"/>
        </w:rPr>
      </w:pPr>
      <w:r>
        <w:rPr>
          <w:rFonts w:ascii="Palatino Linotype" w:hAnsi="Palatino Linotype" w:cs="Arial"/>
          <w:bCs/>
          <w:i/>
          <w:sz w:val="22"/>
        </w:rPr>
        <w:t>Resoluciones:</w:t>
      </w:r>
    </w:p>
    <w:p w:rsidR="005802F7" w:rsidRDefault="005802F7">
      <w:pPr>
        <w:ind w:left="709" w:right="709"/>
        <w:jc w:val="both"/>
        <w:rPr>
          <w:rFonts w:ascii="Palatino Linotype" w:hAnsi="Palatino Linotype" w:cs="Arial"/>
          <w:bCs/>
          <w:i/>
          <w:sz w:val="22"/>
        </w:rPr>
      </w:pPr>
    </w:p>
    <w:p w:rsidR="005802F7" w:rsidRDefault="00C71A23">
      <w:pPr>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5802F7" w:rsidRDefault="00C71A23">
      <w:pPr>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Rosendoevgueni Monterrey Chepov. </w:t>
      </w:r>
    </w:p>
    <w:p w:rsidR="005802F7" w:rsidRDefault="00C71A23">
      <w:pPr>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5802F7" w:rsidRDefault="005802F7">
      <w:pPr>
        <w:ind w:left="709" w:right="709"/>
        <w:jc w:val="both"/>
        <w:rPr>
          <w:rFonts w:ascii="Palatino Linotype" w:hAnsi="Palatino Linotype" w:cs="Arial"/>
          <w:sz w:val="22"/>
        </w:rPr>
      </w:pPr>
    </w:p>
    <w:p w:rsidR="005802F7" w:rsidRDefault="00C71A23">
      <w:pPr>
        <w:ind w:left="709" w:right="709"/>
        <w:jc w:val="both"/>
        <w:rPr>
          <w:rFonts w:ascii="Palatino Linotype" w:hAnsi="Palatino Linotype" w:cs="Arial"/>
          <w:sz w:val="22"/>
        </w:rPr>
      </w:pPr>
      <w:r>
        <w:rPr>
          <w:rFonts w:ascii="Palatino Linotype" w:hAnsi="Palatino Linotype" w:cs="Arial"/>
          <w:sz w:val="22"/>
        </w:rPr>
        <w:t>(Énfasis añadido)</w:t>
      </w:r>
    </w:p>
    <w:p w:rsidR="005802F7" w:rsidRDefault="005802F7">
      <w:pPr>
        <w:spacing w:line="360" w:lineRule="auto"/>
        <w:ind w:left="709" w:right="709"/>
        <w:jc w:val="both"/>
        <w:rPr>
          <w:rFonts w:ascii="Palatino Linotype" w:hAnsi="Palatino Linotype" w:cs="Arial"/>
          <w:sz w:val="22"/>
        </w:rPr>
      </w:pPr>
    </w:p>
    <w:p w:rsidR="005802F7" w:rsidRDefault="00C71A23">
      <w:pPr>
        <w:pStyle w:val="Prrafodelista"/>
        <w:widowControl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5802F7" w:rsidRDefault="005802F7">
      <w:pPr>
        <w:pStyle w:val="Prrafodelista"/>
        <w:widowControl w:val="0"/>
        <w:spacing w:line="360" w:lineRule="auto"/>
        <w:ind w:left="0"/>
        <w:jc w:val="both"/>
        <w:rPr>
          <w:rFonts w:ascii="Palatino Linotype" w:hAnsi="Palatino Linotype" w:cs="Arial"/>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5802F7" w:rsidRDefault="005802F7">
      <w:pPr>
        <w:pStyle w:val="Prrafodelista"/>
        <w:widowControl w:val="0"/>
        <w:spacing w:line="360" w:lineRule="auto"/>
        <w:ind w:left="0"/>
        <w:jc w:val="both"/>
        <w:rPr>
          <w:rFonts w:ascii="Palatino Linotype" w:hAnsi="Palatino Linotype" w:cs="Arial"/>
          <w:lang w:eastAsia="es-MX"/>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5802F7" w:rsidRDefault="005802F7">
      <w:pPr>
        <w:pStyle w:val="Prrafodelista"/>
        <w:widowControl w:val="0"/>
        <w:spacing w:line="360" w:lineRule="auto"/>
        <w:ind w:left="0"/>
        <w:jc w:val="both"/>
        <w:rPr>
          <w:rFonts w:ascii="Palatino Linotype" w:hAnsi="Palatino Linotype" w:cs="Arial"/>
          <w:lang w:eastAsia="es-MX"/>
        </w:rPr>
      </w:pPr>
    </w:p>
    <w:p w:rsidR="005802F7" w:rsidRDefault="00C71A23">
      <w:pPr>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5802F7" w:rsidRDefault="005802F7">
      <w:pPr>
        <w:ind w:left="709" w:right="709"/>
        <w:jc w:val="both"/>
        <w:rPr>
          <w:rFonts w:ascii="Palatino Linotype" w:hAnsi="Palatino Linotype" w:cs="Arial,Bold"/>
          <w:b/>
          <w:bCs/>
          <w:i/>
          <w:sz w:val="22"/>
          <w:lang w:eastAsia="es-MX"/>
        </w:rPr>
      </w:pPr>
    </w:p>
    <w:p w:rsidR="005802F7" w:rsidRDefault="00C71A23">
      <w:pPr>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5802F7" w:rsidRDefault="005802F7">
      <w:pPr>
        <w:spacing w:line="360" w:lineRule="auto"/>
        <w:ind w:left="709" w:right="709"/>
        <w:jc w:val="both"/>
        <w:rPr>
          <w:rFonts w:ascii="Palatino Linotype" w:hAnsi="Palatino Linotype" w:cs="Arial"/>
          <w:i/>
          <w:sz w:val="22"/>
          <w:lang w:eastAsia="es-MX"/>
        </w:rPr>
      </w:pPr>
    </w:p>
    <w:p w:rsidR="005802F7" w:rsidRDefault="00C71A23">
      <w:pPr>
        <w:pStyle w:val="Prrafodelista"/>
        <w:widowControl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5802F7" w:rsidRDefault="005802F7">
      <w:pPr>
        <w:pStyle w:val="Prrafodelista"/>
        <w:widowControl w:val="0"/>
        <w:spacing w:line="360" w:lineRule="auto"/>
        <w:ind w:left="0"/>
        <w:jc w:val="both"/>
        <w:rPr>
          <w:rFonts w:ascii="Palatino Linotype" w:hAnsi="Palatino Linotype"/>
          <w:lang w:eastAsia="es-MX"/>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5802F7" w:rsidRDefault="005802F7">
      <w:pPr>
        <w:ind w:left="709" w:right="709"/>
        <w:jc w:val="both"/>
        <w:rPr>
          <w:rFonts w:ascii="Palatino Linotype" w:hAnsi="Palatino Linotype" w:cs="Arial"/>
          <w:i/>
          <w:sz w:val="22"/>
          <w:lang w:eastAsia="es-MX"/>
        </w:rPr>
      </w:pPr>
    </w:p>
    <w:p w:rsidR="005802F7" w:rsidRDefault="00C71A23">
      <w:pPr>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5802F7" w:rsidRDefault="005802F7">
      <w:pPr>
        <w:ind w:left="709" w:right="709"/>
        <w:jc w:val="both"/>
        <w:rPr>
          <w:rFonts w:ascii="Palatino Linotype" w:hAnsi="Palatino Linotype" w:cs="Arial"/>
          <w:bCs/>
          <w:i/>
          <w:sz w:val="22"/>
          <w:lang w:eastAsia="es-MX"/>
        </w:rPr>
      </w:pPr>
    </w:p>
    <w:p w:rsidR="005802F7" w:rsidRDefault="00C71A23">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5802F7" w:rsidRDefault="00C71A23">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lastRenderedPageBreak/>
        <w:t>• RRA 3995/16. Secretaría de la Defensa Nacional. 1 de febrero de 2017. Por unanimidad. Comisionado Ponente Rosendoevgueni Monterrey Chepov.</w:t>
      </w:r>
    </w:p>
    <w:p w:rsidR="005802F7" w:rsidRDefault="00C71A23">
      <w:pPr>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5802F7" w:rsidRDefault="00C71A23">
      <w:pPr>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5802F7" w:rsidRDefault="005802F7">
      <w:pPr>
        <w:ind w:left="709" w:right="709"/>
        <w:jc w:val="both"/>
        <w:rPr>
          <w:rFonts w:ascii="Palatino Linotype" w:hAnsi="Palatino Linotype" w:cs="Arial"/>
          <w:sz w:val="22"/>
        </w:rPr>
      </w:pPr>
    </w:p>
    <w:p w:rsidR="005802F7" w:rsidRDefault="00C71A23">
      <w:pPr>
        <w:ind w:left="709" w:right="709"/>
        <w:jc w:val="both"/>
        <w:rPr>
          <w:rFonts w:ascii="Palatino Linotype" w:hAnsi="Palatino Linotype" w:cs="Arial"/>
          <w:sz w:val="22"/>
        </w:rPr>
      </w:pPr>
      <w:r>
        <w:rPr>
          <w:rFonts w:ascii="Palatino Linotype" w:hAnsi="Palatino Linotype" w:cs="Arial"/>
          <w:sz w:val="22"/>
        </w:rPr>
        <w:t>(Énfasis añadido)</w:t>
      </w:r>
    </w:p>
    <w:p w:rsidR="005802F7" w:rsidRDefault="005802F7">
      <w:pPr>
        <w:spacing w:line="360" w:lineRule="auto"/>
        <w:ind w:left="709" w:right="709"/>
        <w:jc w:val="both"/>
        <w:rPr>
          <w:rFonts w:ascii="Palatino Linotype" w:hAnsi="Palatino Linotype" w:cs="Arial"/>
          <w:sz w:val="22"/>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5802F7" w:rsidRDefault="005802F7">
      <w:pPr>
        <w:pStyle w:val="Prrafodelista"/>
        <w:widowControl w:val="0"/>
        <w:spacing w:line="360" w:lineRule="auto"/>
        <w:ind w:left="0"/>
        <w:jc w:val="both"/>
        <w:rPr>
          <w:rFonts w:ascii="Palatino Linotype" w:hAnsi="Palatino Linotype" w:cs="Arial"/>
          <w:lang w:eastAsia="es-MX"/>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w:t>
      </w:r>
      <w:r>
        <w:rPr>
          <w:rFonts w:ascii="Palatino Linotype" w:hAnsi="Palatino Linotype" w:cs="Arial"/>
          <w:lang w:eastAsia="es-MX"/>
        </w:rPr>
        <w:t>por</w:t>
      </w:r>
      <w:r>
        <w:rPr>
          <w:rFonts w:ascii="Palatino Linotype" w:hAnsi="Palatino Linotype" w:cs="Arial"/>
        </w:rPr>
        <w:t xml:space="preserve">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 xml:space="preserve">de la Ley de Protección de Datos Personales en Posesión de Sujetos Obligados del Estado de México </w:t>
      </w:r>
      <w:r>
        <w:rPr>
          <w:rFonts w:ascii="Palatino Linotype" w:hAnsi="Palatino Linotype" w:cs="Arial"/>
        </w:rPr>
        <w:lastRenderedPageBreak/>
        <w:t>y Municipios</w:t>
      </w:r>
      <w:r>
        <w:rPr>
          <w:rFonts w:ascii="Palatino Linotype" w:hAnsi="Palatino Linotype" w:cs="Arial"/>
          <w:lang w:eastAsia="es-MX"/>
        </w:rPr>
        <w:t>.</w:t>
      </w:r>
    </w:p>
    <w:p w:rsidR="005802F7" w:rsidRDefault="005802F7">
      <w:pPr>
        <w:pStyle w:val="Prrafodelista"/>
        <w:widowControl w:val="0"/>
        <w:spacing w:line="360" w:lineRule="auto"/>
        <w:ind w:left="0"/>
        <w:jc w:val="both"/>
        <w:rPr>
          <w:rFonts w:ascii="Palatino Linotype" w:hAnsi="Palatino Linotype" w:cs="Arial"/>
          <w:lang w:eastAsia="es-MX"/>
        </w:rPr>
      </w:pPr>
    </w:p>
    <w:p w:rsidR="005802F7" w:rsidRDefault="00C71A23">
      <w:pPr>
        <w:pStyle w:val="Prrafodelista"/>
        <w:widowControl w:val="0"/>
        <w:spacing w:line="360" w:lineRule="auto"/>
        <w:ind w:left="0"/>
        <w:jc w:val="both"/>
        <w:rPr>
          <w:rFonts w:ascii="Palatino Linotype" w:hAnsi="Palatino Linotype" w:cs="Arial"/>
          <w:lang w:eastAsia="es-MX"/>
        </w:rPr>
      </w:pPr>
      <w:r>
        <w:rPr>
          <w:rFonts w:ascii="Palatino Linotype" w:hAnsi="Palatino Linotype" w:cs="Arial"/>
        </w:rPr>
        <w:t>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5802F7" w:rsidRDefault="005802F7">
      <w:pPr>
        <w:pStyle w:val="Prrafodelista"/>
        <w:widowControl w:val="0"/>
        <w:spacing w:line="360" w:lineRule="auto"/>
        <w:jc w:val="both"/>
        <w:rPr>
          <w:rFonts w:ascii="Palatino Linotype" w:hAnsi="Palatino Linotype" w:cs="Arial"/>
        </w:rPr>
      </w:pPr>
    </w:p>
    <w:p w:rsidR="005802F7" w:rsidRDefault="00C71A23">
      <w:pPr>
        <w:pStyle w:val="Prrafodelista"/>
        <w:widowControl w:val="0"/>
        <w:spacing w:line="360" w:lineRule="auto"/>
        <w:ind w:left="0"/>
        <w:jc w:val="both"/>
        <w:rPr>
          <w:rFonts w:ascii="Palatino Linotype" w:hAnsi="Palatino Linotype" w:cs="Arial"/>
        </w:rPr>
      </w:pPr>
      <w:r>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rsidR="005802F7" w:rsidRDefault="005802F7">
      <w:pPr>
        <w:pStyle w:val="Prrafodelista"/>
        <w:widowControl w:val="0"/>
        <w:spacing w:line="360" w:lineRule="auto"/>
        <w:ind w:left="0"/>
        <w:jc w:val="both"/>
        <w:rPr>
          <w:rFonts w:ascii="Palatino Linotype" w:hAnsi="Palatino Linotype" w:cs="Arial"/>
        </w:rPr>
      </w:pPr>
    </w:p>
    <w:p w:rsidR="005802F7" w:rsidRDefault="00C71A23">
      <w:pPr>
        <w:pStyle w:val="Sinespaciado"/>
        <w:spacing w:line="360" w:lineRule="auto"/>
        <w:jc w:val="both"/>
        <w:rPr>
          <w:rFonts w:ascii="Palatino Linotype" w:hAnsi="Palatino Linotype" w:cs="Arial"/>
        </w:rPr>
      </w:pPr>
      <w:r>
        <w:rPr>
          <w:rFonts w:ascii="Palatino Linotype" w:hAnsi="Palatino Linotype" w:cs="Arial"/>
          <w:lang w:eastAsia="es-MX"/>
        </w:rPr>
        <w:t>Por cuanto hace al número de cuenta y clave bancaria</w:t>
      </w:r>
      <w:r>
        <w:rPr>
          <w:rFonts w:ascii="Palatino Linotype" w:hAnsi="Palatino Linotype" w:cs="Arial"/>
        </w:rPr>
        <w:t xml:space="preserve"> de particulares se trata de información que sólo su titular o personas autorizadas poseen, entre otros elementos, para el acceso o consulta de información patrimonial, así como para la realización de operaciones bancarias de diversa índole, por lo que la difusión pública del mismo facilitaría a cualquier persona interesada en afectar el patrimonio del titular de la cuenta, realice conductas tendientes a tal fin y tipificadas como delitos, con lo que se ocasionaría un serio perjuicio a su titular.</w:t>
      </w:r>
    </w:p>
    <w:p w:rsidR="005802F7" w:rsidRDefault="005802F7">
      <w:pPr>
        <w:pStyle w:val="Sinespaciado"/>
        <w:spacing w:line="360" w:lineRule="auto"/>
        <w:jc w:val="both"/>
        <w:rPr>
          <w:rFonts w:ascii="Palatino Linotype" w:hAnsi="Palatino Linotype" w:cs="Arial"/>
        </w:rPr>
      </w:pPr>
    </w:p>
    <w:p w:rsidR="005802F7" w:rsidRDefault="00C71A23">
      <w:pPr>
        <w:pStyle w:val="Sinespaciado"/>
        <w:spacing w:line="360" w:lineRule="auto"/>
        <w:jc w:val="both"/>
        <w:rPr>
          <w:rFonts w:ascii="Palatino Linotype" w:hAnsi="Palatino Linotype" w:cs="Arial"/>
          <w:lang w:eastAsia="es-MX"/>
        </w:rPr>
      </w:pPr>
      <w:r>
        <w:rPr>
          <w:rFonts w:ascii="Palatino Linotype" w:hAnsi="Palatino Linotype" w:cs="Arial"/>
        </w:rPr>
        <w:t xml:space="preserve">Por lo anterior, el número de cuenta bancaria y clave bancaria debe ser información confidencial en términos del artículo 143, de la Ley de Transparencia y Acceso a la </w:t>
      </w:r>
      <w:r>
        <w:rPr>
          <w:rFonts w:ascii="Palatino Linotype" w:hAnsi="Palatino Linotype" w:cs="Arial"/>
        </w:rPr>
        <w:lastRenderedPageBreak/>
        <w:t>Información Pública del Estado de México y Municipios, en razón de que con su difusión se estaría revelando información de una persona física o jurídica colectiva.</w:t>
      </w:r>
    </w:p>
    <w:p w:rsidR="005802F7" w:rsidRDefault="005802F7">
      <w:pPr>
        <w:pStyle w:val="Sinespaciado"/>
        <w:spacing w:line="360" w:lineRule="auto"/>
        <w:jc w:val="both"/>
        <w:rPr>
          <w:rFonts w:ascii="Palatino Linotype" w:hAnsi="Palatino Linotype" w:cs="Arial"/>
        </w:rPr>
      </w:pPr>
    </w:p>
    <w:p w:rsidR="005802F7" w:rsidRDefault="00C71A23">
      <w:pPr>
        <w:pStyle w:val="Sinespaciado"/>
        <w:spacing w:line="360" w:lineRule="auto"/>
        <w:jc w:val="both"/>
        <w:rPr>
          <w:rFonts w:ascii="Palatino Linotype" w:hAnsi="Palatino Linotype" w:cs="Arial"/>
        </w:rPr>
      </w:pPr>
      <w:r>
        <w:rPr>
          <w:rFonts w:ascii="Palatino Linotype" w:hAnsi="Palatino Linotype" w:cs="Arial"/>
        </w:rPr>
        <w:t xml:space="preserve">Aunado, la publicidad de los números de cuenta bancarios en nada contribuye a la rendición de cuentas o a la transparencia de la gestión gubernamental, sino por el contrario, dar a conocer los números de las cuentas bancarias hace vulnerable a su titular al abrir la posibilidad de que terceros que cuenten con las posibilidades tecnológicas y/o económicas puedan realizar actos ilícitos mediante operaciones cibernéticas. </w:t>
      </w:r>
    </w:p>
    <w:p w:rsidR="005802F7" w:rsidRDefault="005802F7">
      <w:pPr>
        <w:spacing w:line="360" w:lineRule="auto"/>
        <w:jc w:val="both"/>
        <w:rPr>
          <w:rFonts w:ascii="Palatino Linotype" w:hAnsi="Palatino Linotype" w:cs="Arial"/>
        </w:rPr>
      </w:pPr>
    </w:p>
    <w:p w:rsidR="005802F7" w:rsidRDefault="00C71A23">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5802F7" w:rsidRDefault="005802F7">
      <w:pPr>
        <w:spacing w:line="360" w:lineRule="auto"/>
        <w:jc w:val="both"/>
        <w:rPr>
          <w:rFonts w:ascii="Palatino Linotype" w:hAnsi="Palatino Linotype" w:cs="Arial"/>
        </w:rPr>
      </w:pPr>
    </w:p>
    <w:p w:rsidR="005802F7" w:rsidRDefault="00C71A23">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Pr>
          <w:rFonts w:ascii="Palatino Linotype" w:hAnsi="Palatino Linotype" w:cs="Arial"/>
          <w:lang w:val="es-ES"/>
        </w:rPr>
        <w:lastRenderedPageBreak/>
        <w:t xml:space="preserve">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cs="Arial"/>
        </w:rPr>
        <w:t>Por lo que, su entrega deberá apegarse a los dispuesto en párrafos anteriores en relación a la versión pública y el procedimiento a seguir para la elaboración de las mismas.</w:t>
      </w:r>
    </w:p>
    <w:p w:rsidR="005802F7" w:rsidRDefault="005802F7">
      <w:pPr>
        <w:spacing w:line="360" w:lineRule="auto"/>
        <w:jc w:val="both"/>
        <w:rPr>
          <w:rFonts w:ascii="Palatino Linotype" w:hAnsi="Palatino Linotype" w:cs="Arial"/>
          <w:lang w:val="es-ES"/>
        </w:rPr>
      </w:pPr>
    </w:p>
    <w:p w:rsidR="005802F7" w:rsidRDefault="00C71A23">
      <w:pPr>
        <w:spacing w:line="360" w:lineRule="auto"/>
        <w:jc w:val="both"/>
        <w:rPr>
          <w:rFonts w:ascii="Palatino Linotype" w:hAnsi="Palatino Linotype" w:cs="Arial"/>
          <w:lang w:val="es-ES"/>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5802F7" w:rsidRDefault="005802F7">
      <w:pPr>
        <w:widowControl w:val="0"/>
        <w:spacing w:line="360" w:lineRule="auto"/>
        <w:jc w:val="both"/>
        <w:rPr>
          <w:rFonts w:ascii="Palatino Linotype" w:eastAsia="Calibri" w:hAnsi="Palatino Linotype" w:cs="Arial"/>
        </w:rPr>
      </w:pPr>
    </w:p>
    <w:p w:rsidR="005802F7" w:rsidRDefault="00C71A23">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5802F7" w:rsidRDefault="005802F7">
      <w:pPr>
        <w:spacing w:line="360" w:lineRule="auto"/>
        <w:jc w:val="center"/>
        <w:rPr>
          <w:rFonts w:ascii="Palatino Linotype" w:eastAsia="Calibri" w:hAnsi="Palatino Linotype" w:cs="Arial"/>
          <w:b/>
          <w:sz w:val="28"/>
        </w:rPr>
      </w:pPr>
    </w:p>
    <w:p w:rsidR="005802F7" w:rsidRPr="00263A95" w:rsidRDefault="00C71A23">
      <w:pPr>
        <w:spacing w:line="360" w:lineRule="auto"/>
        <w:jc w:val="center"/>
        <w:rPr>
          <w:rFonts w:ascii="Palatino Linotype" w:eastAsia="Calibri" w:hAnsi="Palatino Linotype" w:cs="Arial"/>
          <w:b/>
          <w:sz w:val="28"/>
          <w:lang w:val="pt-BR"/>
        </w:rPr>
      </w:pPr>
      <w:r w:rsidRPr="00263A95">
        <w:rPr>
          <w:rFonts w:ascii="Palatino Linotype" w:eastAsia="Calibri" w:hAnsi="Palatino Linotype" w:cs="Arial"/>
          <w:b/>
          <w:sz w:val="28"/>
          <w:lang w:val="pt-BR"/>
        </w:rPr>
        <w:t>R E S U E L V E</w:t>
      </w:r>
    </w:p>
    <w:p w:rsidR="005802F7" w:rsidRPr="00263A95" w:rsidRDefault="005802F7">
      <w:pPr>
        <w:spacing w:line="360" w:lineRule="auto"/>
        <w:jc w:val="center"/>
        <w:rPr>
          <w:rFonts w:ascii="Palatino Linotype" w:eastAsia="Calibri" w:hAnsi="Palatino Linotype" w:cs="Arial"/>
          <w:b/>
          <w:sz w:val="28"/>
          <w:lang w:val="pt-BR"/>
        </w:rPr>
      </w:pPr>
    </w:p>
    <w:p w:rsidR="005802F7" w:rsidRDefault="00C71A23">
      <w:pPr>
        <w:spacing w:line="360" w:lineRule="auto"/>
        <w:jc w:val="both"/>
        <w:rPr>
          <w:rFonts w:ascii="Palatino Linotype" w:eastAsia="Calibri" w:hAnsi="Palatino Linotype" w:cs="Arial"/>
        </w:rPr>
      </w:pPr>
      <w:r w:rsidRPr="00263A95">
        <w:rPr>
          <w:rFonts w:ascii="Palatino Linotype" w:eastAsia="Calibri" w:hAnsi="Palatino Linotype" w:cs="Arial"/>
          <w:b/>
          <w:sz w:val="28"/>
          <w:lang w:val="pt-BR"/>
        </w:rPr>
        <w:t>PRIMERO</w:t>
      </w:r>
      <w:r w:rsidRPr="00263A95">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parcialmente 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5802F7" w:rsidRDefault="005802F7">
      <w:pPr>
        <w:spacing w:line="360" w:lineRule="auto"/>
        <w:jc w:val="both"/>
        <w:rPr>
          <w:rFonts w:ascii="Palatino Linotype" w:eastAsia="Calibri" w:hAnsi="Palatino Linotype" w:cs="Arial"/>
        </w:rPr>
      </w:pPr>
    </w:p>
    <w:p w:rsidR="005802F7" w:rsidRDefault="00C71A23">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Pr>
          <w:rFonts w:ascii="Palatino Linotype" w:eastAsia="Calibri" w:hAnsi="Palatino Linotype" w:cs="Arial"/>
          <w:b/>
          <w:bCs/>
        </w:rPr>
        <w:t xml:space="preserve">00446/CHALCO/IP/2019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xml:space="preserve">, en </w:t>
      </w:r>
      <w:r>
        <w:rPr>
          <w:rFonts w:ascii="Palatino Linotype" w:eastAsia="Calibri" w:hAnsi="Palatino Linotype" w:cs="Arial"/>
          <w:b/>
        </w:rPr>
        <w:t xml:space="preserve">versión pública </w:t>
      </w:r>
      <w:r>
        <w:rPr>
          <w:rFonts w:ascii="Palatino Linotype" w:eastAsia="Calibri" w:hAnsi="Palatino Linotype" w:cs="Arial"/>
        </w:rPr>
        <w:t>de ser procedente, lo siguiente:</w:t>
      </w:r>
    </w:p>
    <w:p w:rsidR="005802F7" w:rsidRDefault="005802F7">
      <w:pPr>
        <w:spacing w:line="360" w:lineRule="auto"/>
        <w:jc w:val="both"/>
        <w:rPr>
          <w:rFonts w:ascii="Palatino Linotype" w:eastAsia="Calibri" w:hAnsi="Palatino Linotype" w:cs="Arial"/>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w:t>
      </w:r>
      <w:r>
        <w:rPr>
          <w:rFonts w:ascii="Palatino Linotype" w:eastAsia="Calibri" w:hAnsi="Palatino Linotype" w:cs="Arial"/>
          <w:b/>
          <w:i/>
          <w:sz w:val="22"/>
          <w:szCs w:val="22"/>
        </w:rPr>
        <w:t>Del Ejercicio 2019.</w:t>
      </w: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a) El documento o documentos donde conste el monto de los recursos asignados al:</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a.i. </w:t>
      </w:r>
      <w:r>
        <w:rPr>
          <w:rFonts w:ascii="Palatino Linotype" w:eastAsia="Calibri" w:hAnsi="Palatino Linotype" w:cs="Arial"/>
          <w:i/>
          <w:sz w:val="22"/>
          <w:szCs w:val="22"/>
        </w:rPr>
        <w:tab/>
        <w:t>Programa de Fortalecimiento para la Seguridad (FORTASEG);</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a.ii. </w:t>
      </w:r>
      <w:r>
        <w:rPr>
          <w:rFonts w:ascii="Palatino Linotype" w:eastAsia="Calibri" w:hAnsi="Palatino Linotype" w:cs="Arial"/>
          <w:i/>
          <w:sz w:val="22"/>
          <w:szCs w:val="22"/>
        </w:rPr>
        <w:tab/>
        <w:t>Programa de Acciones Para el Desarrollo (PAD);</w:t>
      </w:r>
    </w:p>
    <w:p w:rsidR="005802F7" w:rsidRDefault="005802F7">
      <w:pPr>
        <w:ind w:left="709" w:right="757"/>
        <w:jc w:val="both"/>
        <w:rPr>
          <w:rFonts w:ascii="Palatino Linotype" w:eastAsia="Calibri" w:hAnsi="Palatino Linotype" w:cs="Arial"/>
          <w:i/>
          <w:sz w:val="22"/>
          <w:szCs w:val="22"/>
        </w:rPr>
      </w:pPr>
    </w:p>
    <w:p w:rsidR="005802F7" w:rsidRDefault="00C71A23">
      <w:p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a.iii</w:t>
      </w:r>
      <w:r>
        <w:rPr>
          <w:rFonts w:ascii="Palatino Linotype" w:eastAsia="Calibri" w:hAnsi="Palatino Linotype" w:cs="Arial"/>
          <w:i/>
          <w:sz w:val="22"/>
          <w:szCs w:val="22"/>
        </w:rPr>
        <w:tab/>
        <w:t>Fondo de Aportaciones para el Fortalecimiento de los Municipios y las Demarcaciones Territoriales del Distrito Federal (FORTAMUNDF);</w:t>
      </w:r>
    </w:p>
    <w:p w:rsidR="005802F7" w:rsidRDefault="005802F7">
      <w:pPr>
        <w:ind w:left="1418" w:right="757" w:hanging="709"/>
        <w:jc w:val="both"/>
        <w:rPr>
          <w:rFonts w:ascii="Palatino Linotype" w:eastAsia="Calibri" w:hAnsi="Palatino Linotype" w:cs="Arial"/>
          <w:i/>
          <w:sz w:val="22"/>
          <w:szCs w:val="22"/>
        </w:rPr>
      </w:pPr>
    </w:p>
    <w:p w:rsidR="005802F7" w:rsidRDefault="00C71A23">
      <w:p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a.iv.</w:t>
      </w:r>
      <w:r>
        <w:rPr>
          <w:rFonts w:ascii="Palatino Linotype" w:eastAsia="Calibri" w:hAnsi="Palatino Linotype" w:cs="Arial"/>
          <w:i/>
          <w:sz w:val="22"/>
          <w:szCs w:val="22"/>
        </w:rPr>
        <w:tab/>
        <w:t>Fondo para la Infraestructura Social Municipal y de las demarcaciones territoriales del Distrito Federal (FISMDF); y</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a.v. </w:t>
      </w:r>
      <w:r>
        <w:rPr>
          <w:rFonts w:ascii="Palatino Linotype" w:eastAsia="Calibri" w:hAnsi="Palatino Linotype" w:cs="Arial"/>
          <w:i/>
          <w:sz w:val="22"/>
          <w:szCs w:val="22"/>
        </w:rPr>
        <w:tab/>
        <w:t>Fondo Estatal de Fortalecimiento Municipal (FEFOM).</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b) El documento o documentos donde consten las ministraciones de los recursos asignados, al:</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b.i. </w:t>
      </w:r>
      <w:r>
        <w:rPr>
          <w:rFonts w:ascii="Palatino Linotype" w:eastAsia="Calibri" w:hAnsi="Palatino Linotype" w:cs="Arial"/>
          <w:i/>
          <w:sz w:val="22"/>
          <w:szCs w:val="22"/>
        </w:rPr>
        <w:tab/>
        <w:t>Programa de Fortalecimiento para la Seguridad (FORTASEG);</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b.ii. </w:t>
      </w:r>
      <w:r>
        <w:rPr>
          <w:rFonts w:ascii="Palatino Linotype" w:eastAsia="Calibri" w:hAnsi="Palatino Linotype" w:cs="Arial"/>
          <w:i/>
          <w:sz w:val="22"/>
          <w:szCs w:val="22"/>
        </w:rPr>
        <w:tab/>
        <w:t>Programa de Acciones Para el Desarrollo (PAD);</w:t>
      </w:r>
    </w:p>
    <w:p w:rsidR="005802F7" w:rsidRDefault="005802F7">
      <w:pPr>
        <w:ind w:left="709" w:right="757"/>
        <w:jc w:val="both"/>
        <w:rPr>
          <w:rFonts w:ascii="Palatino Linotype" w:eastAsia="Calibri" w:hAnsi="Palatino Linotype" w:cs="Arial"/>
          <w:i/>
          <w:sz w:val="22"/>
          <w:szCs w:val="22"/>
        </w:rPr>
      </w:pPr>
    </w:p>
    <w:p w:rsidR="005802F7" w:rsidRDefault="00C71A23">
      <w:p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b.iii</w:t>
      </w:r>
      <w:r>
        <w:rPr>
          <w:rFonts w:ascii="Palatino Linotype" w:eastAsia="Calibri" w:hAnsi="Palatino Linotype" w:cs="Arial"/>
          <w:i/>
          <w:sz w:val="22"/>
          <w:szCs w:val="22"/>
        </w:rPr>
        <w:tab/>
        <w:t>Fondo de Aportaciones para el Fortalecimiento de los Municipios y las Demarcaciones Territoriales del Distrito Federal (FORTAMUNDF);</w:t>
      </w:r>
    </w:p>
    <w:p w:rsidR="005802F7" w:rsidRDefault="005802F7">
      <w:pPr>
        <w:ind w:left="1418" w:right="757" w:hanging="709"/>
        <w:jc w:val="both"/>
        <w:rPr>
          <w:rFonts w:ascii="Palatino Linotype" w:eastAsia="Calibri" w:hAnsi="Palatino Linotype" w:cs="Arial"/>
          <w:i/>
          <w:sz w:val="22"/>
          <w:szCs w:val="22"/>
        </w:rPr>
      </w:pPr>
    </w:p>
    <w:p w:rsidR="005802F7" w:rsidRDefault="00C71A23">
      <w:p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b.iv.</w:t>
      </w:r>
      <w:r>
        <w:rPr>
          <w:rFonts w:ascii="Palatino Linotype" w:eastAsia="Calibri" w:hAnsi="Palatino Linotype" w:cs="Arial"/>
          <w:i/>
          <w:sz w:val="22"/>
          <w:szCs w:val="22"/>
        </w:rPr>
        <w:tab/>
        <w:t>Fondo para la Infraestructura Social Municipal y de las demarcaciones territoriales del Distrito Federal (FISMDF); y</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b.v. </w:t>
      </w:r>
      <w:r>
        <w:rPr>
          <w:rFonts w:ascii="Palatino Linotype" w:eastAsia="Calibri" w:hAnsi="Palatino Linotype" w:cs="Arial"/>
          <w:i/>
          <w:sz w:val="22"/>
          <w:szCs w:val="22"/>
        </w:rPr>
        <w:tab/>
        <w:t>Fondo Estatal de Fortalecimiento Municipal (FEFOM).</w:t>
      </w:r>
    </w:p>
    <w:p w:rsidR="005802F7" w:rsidRDefault="005802F7">
      <w:pPr>
        <w:ind w:left="709" w:right="757"/>
        <w:jc w:val="both"/>
        <w:rPr>
          <w:rFonts w:ascii="Palatino Linotype" w:eastAsia="Calibri" w:hAnsi="Palatino Linotype" w:cs="Arial"/>
          <w:i/>
          <w:sz w:val="22"/>
          <w:szCs w:val="22"/>
        </w:rPr>
      </w:pPr>
    </w:p>
    <w:p w:rsidR="005802F7" w:rsidRDefault="00C71A23">
      <w:pPr>
        <w:ind w:left="1418" w:right="757" w:hanging="709"/>
        <w:jc w:val="both"/>
        <w:rPr>
          <w:rFonts w:ascii="Palatino Linotype" w:eastAsia="Calibri" w:hAnsi="Palatino Linotype" w:cs="Arial"/>
          <w:i/>
          <w:sz w:val="22"/>
          <w:szCs w:val="22"/>
        </w:rPr>
      </w:pPr>
      <w:r>
        <w:rPr>
          <w:rFonts w:ascii="Palatino Linotype" w:eastAsia="Calibri" w:hAnsi="Palatino Linotype" w:cs="Arial"/>
          <w:i/>
          <w:sz w:val="22"/>
          <w:szCs w:val="22"/>
        </w:rPr>
        <w:t>b.vi.</w:t>
      </w:r>
      <w:r>
        <w:rPr>
          <w:rFonts w:ascii="Palatino Linotype" w:eastAsia="Calibri" w:hAnsi="Palatino Linotype" w:cs="Arial"/>
          <w:i/>
          <w:sz w:val="22"/>
          <w:szCs w:val="22"/>
        </w:rPr>
        <w:tab/>
        <w:t>Fondo de Aportaciones para la Seguridad Pública de los Estados y del Distrito Federal (FASP)</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c) Facturas y/o informes y/o documentos donde conste el ejercicio y destino de los recursos de los Fondos y Programas señalados en el inciso b).</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d) Documento o documentos donde conste la autorización del uso y destino de los recursos ejercidos a través de los Fondos y Programas señalados en el inciso b).</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e) El Estado Analítico de Ingresos Detallado correspondiente al cuarto trimestre o documento donde consten los ingresos del Municipio de Chalco, del ejercicio 2019.</w:t>
      </w:r>
    </w:p>
    <w:p w:rsidR="005802F7" w:rsidRDefault="005802F7">
      <w:pPr>
        <w:ind w:left="709" w:right="757"/>
        <w:jc w:val="both"/>
        <w:rPr>
          <w:rFonts w:ascii="Palatino Linotype" w:eastAsia="Calibri" w:hAnsi="Palatino Linotype" w:cs="Arial"/>
          <w:i/>
          <w:sz w:val="22"/>
          <w:szCs w:val="22"/>
        </w:rPr>
      </w:pPr>
    </w:p>
    <w:p w:rsidR="005802F7" w:rsidRDefault="00C71A23">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 xml:space="preserve">Debiendo notificar al </w:t>
      </w:r>
      <w:r>
        <w:rPr>
          <w:rFonts w:ascii="Palatino Linotype" w:eastAsia="Calibri" w:hAnsi="Palatino Linotype" w:cs="Arial"/>
          <w:b/>
          <w:i/>
          <w:sz w:val="22"/>
          <w:szCs w:val="22"/>
        </w:rPr>
        <w:t>RECURRENTE</w:t>
      </w:r>
      <w:r>
        <w:rPr>
          <w:rFonts w:ascii="Palatino Linotype" w:eastAsia="Calibri" w:hAnsi="Palatino Linotype" w:cs="Arial"/>
          <w:i/>
          <w:sz w:val="22"/>
          <w:szCs w:val="22"/>
        </w:rPr>
        <w:t xml:space="preserve"> el Acuerdo de Clasificación de la información que emita el Comité de Transparencia con motivo de la versión pública.”</w:t>
      </w:r>
    </w:p>
    <w:p w:rsidR="005802F7" w:rsidRDefault="005802F7">
      <w:pPr>
        <w:spacing w:line="360" w:lineRule="auto"/>
        <w:ind w:left="709" w:right="757"/>
        <w:jc w:val="both"/>
        <w:rPr>
          <w:rFonts w:ascii="Palatino Linotype" w:eastAsia="Calibri" w:hAnsi="Palatino Linotype" w:cs="Arial"/>
          <w:i/>
          <w:sz w:val="22"/>
          <w:szCs w:val="22"/>
        </w:rPr>
      </w:pPr>
    </w:p>
    <w:p w:rsidR="005802F7" w:rsidRDefault="00C71A23">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802F7" w:rsidRDefault="005802F7">
      <w:pPr>
        <w:spacing w:line="360" w:lineRule="auto"/>
        <w:jc w:val="both"/>
        <w:rPr>
          <w:rFonts w:ascii="Palatino Linotype" w:eastAsia="Calibri" w:hAnsi="Palatino Linotype" w:cs="Arial"/>
        </w:rPr>
      </w:pPr>
    </w:p>
    <w:p w:rsidR="005802F7" w:rsidRDefault="00C71A23">
      <w:pPr>
        <w:spacing w:line="360" w:lineRule="auto"/>
        <w:jc w:val="both"/>
        <w:rPr>
          <w:rFonts w:ascii="Palatino Linotype" w:hAnsi="Palatino Linotype"/>
          <w:lang w:eastAsia="es-ES_tradnl"/>
        </w:rPr>
      </w:pPr>
      <w:r>
        <w:rPr>
          <w:rFonts w:ascii="Palatino Linotype" w:eastAsia="Calibri" w:hAnsi="Palatino Linotype" w:cs="Arial"/>
          <w:b/>
          <w:sz w:val="28"/>
        </w:rPr>
        <w:t>CUARTO</w:t>
      </w:r>
      <w:r>
        <w:rPr>
          <w:rFonts w:ascii="Palatino Linotype" w:eastAsia="Calibri" w:hAnsi="Palatino Linotype" w:cs="Arial"/>
        </w:rPr>
        <w:t xml:space="preserve">. </w:t>
      </w:r>
      <w:r>
        <w:rPr>
          <w:rFonts w:ascii="Palatino Linotype" w:hAnsi="Palatino Linotype"/>
          <w:lang w:eastAsia="es-ES_tradnl"/>
        </w:rPr>
        <w:t xml:space="preserve">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5802F7" w:rsidRDefault="005802F7">
      <w:pPr>
        <w:spacing w:line="360" w:lineRule="auto"/>
        <w:jc w:val="both"/>
        <w:rPr>
          <w:rFonts w:ascii="Palatino Linotype" w:eastAsia="Calibri" w:hAnsi="Palatino Linotype" w:cs="Arial"/>
        </w:rPr>
      </w:pPr>
    </w:p>
    <w:p w:rsidR="005802F7" w:rsidRDefault="00C71A23">
      <w:pPr>
        <w:spacing w:line="360" w:lineRule="auto"/>
        <w:jc w:val="both"/>
        <w:rPr>
          <w:rFonts w:ascii="Palatino Linotype" w:eastAsia="Calibri" w:hAnsi="Palatino Linotype" w:cs="Arial"/>
        </w:rPr>
      </w:pPr>
      <w:r>
        <w:rPr>
          <w:rFonts w:ascii="Palatino Linotype" w:eastAsia="Calibri" w:hAnsi="Palatino Linotype" w:cs="Arial"/>
          <w:b/>
          <w:sz w:val="28"/>
        </w:rPr>
        <w:lastRenderedPageBreak/>
        <w:t>QUINTO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5802F7" w:rsidRDefault="005802F7">
      <w:pPr>
        <w:spacing w:line="360" w:lineRule="auto"/>
        <w:jc w:val="both"/>
        <w:rPr>
          <w:rFonts w:ascii="Palatino Linotype" w:eastAsia="Calibri" w:hAnsi="Palatino Linotype" w:cs="Arial"/>
        </w:rPr>
      </w:pPr>
    </w:p>
    <w:p w:rsidR="005802F7" w:rsidRDefault="00C71A23">
      <w:pPr>
        <w:spacing w:line="360" w:lineRule="auto"/>
        <w:jc w:val="both"/>
        <w:rPr>
          <w:rFonts w:ascii="Palatino Linotype" w:eastAsia="Calibri" w:hAnsi="Palatino Linotype" w:cs="Arial"/>
        </w:rPr>
      </w:pPr>
      <w:r>
        <w:rPr>
          <w:rFonts w:ascii="Palatino Linotype" w:eastAsia="Calibri" w:hAnsi="Palatino Linotype" w:cs="Arial"/>
          <w:b/>
          <w:sz w:val="28"/>
        </w:rPr>
        <w:t>SEXTO</w:t>
      </w:r>
      <w:r>
        <w:rPr>
          <w:rFonts w:ascii="Palatino Linotype" w:eastAsia="Calibri" w:hAnsi="Palatino Linotype" w:cs="Arial"/>
          <w:b/>
        </w:rPr>
        <w:t>.</w:t>
      </w:r>
      <w:r>
        <w:rPr>
          <w:rFonts w:ascii="Palatino Linotype" w:eastAsia="Calibri" w:hAnsi="Palatino Linotype" w:cs="Arial"/>
        </w:rPr>
        <w:t xml:space="preserve"> </w:t>
      </w:r>
      <w:r>
        <w:rPr>
          <w:rFonts w:ascii="Palatino Linotype" w:eastAsia="Calibri" w:hAnsi="Palatino Linotype" w:cs="Arial"/>
          <w:b/>
        </w:rPr>
        <w:t>Hágase del conocimiento</w:t>
      </w:r>
      <w:r>
        <w:rPr>
          <w:rFonts w:ascii="Palatino Linotype" w:eastAsia="Calibri" w:hAnsi="Palatino Linotype" w:cs="Arial"/>
        </w:rPr>
        <w:t xml:space="preserve">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5802F7" w:rsidRDefault="005802F7">
      <w:pPr>
        <w:spacing w:line="360" w:lineRule="auto"/>
        <w:jc w:val="both"/>
        <w:rPr>
          <w:rFonts w:ascii="Palatino Linotype" w:eastAsia="Calibri" w:hAnsi="Palatino Linotype" w:cs="Arial"/>
        </w:rPr>
      </w:pPr>
    </w:p>
    <w:p w:rsidR="005802F7" w:rsidRDefault="00C71A23">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rPr>
        <w:t>EN LA DÉCIMA</w:t>
      </w:r>
      <w:r>
        <w:rPr>
          <w:rFonts w:ascii="Palatino Linotype" w:hAnsi="Palatino Linotype" w:cs="Arial"/>
        </w:rPr>
        <w:t xml:space="preserve"> CUARTA SESIÓN ORDINARIA CELEBRADA EL DÍA DIECINUEVE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tbl>
      <w:tblPr>
        <w:tblW w:w="9214" w:type="dxa"/>
        <w:jc w:val="center"/>
        <w:tblLook w:val="04A0" w:firstRow="1" w:lastRow="0" w:firstColumn="1" w:lastColumn="0" w:noHBand="0" w:noVBand="1"/>
      </w:tblPr>
      <w:tblGrid>
        <w:gridCol w:w="4757"/>
        <w:gridCol w:w="4457"/>
      </w:tblGrid>
      <w:tr w:rsidR="005802F7">
        <w:trPr>
          <w:jc w:val="center"/>
        </w:trPr>
        <w:tc>
          <w:tcPr>
            <w:tcW w:w="9213" w:type="dxa"/>
            <w:gridSpan w:val="2"/>
            <w:shd w:val="clear" w:color="auto" w:fill="auto"/>
          </w:tcPr>
          <w:p w:rsidR="005802F7" w:rsidRDefault="005802F7">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Zulema Martínez Sánchez</w:t>
            </w:r>
          </w:p>
          <w:p w:rsidR="005802F7" w:rsidRDefault="00C71A23">
            <w:pPr>
              <w:jc w:val="center"/>
              <w:rPr>
                <w:rFonts w:ascii="Palatino Linotype" w:hAnsi="Palatino Linotype" w:cs="Arial"/>
                <w:b/>
                <w:lang w:val="es-ES_tradnl"/>
              </w:rPr>
            </w:pPr>
            <w:r>
              <w:rPr>
                <w:rFonts w:ascii="Palatino Linotype" w:hAnsi="Palatino Linotype" w:cs="Arial"/>
                <w:lang w:val="es-ES_tradnl"/>
              </w:rPr>
              <w:t>Comisionada Presidenta</w:t>
            </w:r>
          </w:p>
          <w:p w:rsidR="005802F7" w:rsidRDefault="00C71A23" w:rsidP="00263A95">
            <w:pPr>
              <w:jc w:val="center"/>
              <w:rPr>
                <w:rFonts w:ascii="Palatino Linotype" w:hAnsi="Palatino Linotype" w:cs="Arial"/>
                <w:b/>
                <w:lang w:val="es-ES_tradnl"/>
              </w:rPr>
            </w:pPr>
            <w:r>
              <w:rPr>
                <w:rFonts w:ascii="Palatino Linotype" w:hAnsi="Palatino Linotype" w:cs="Arial"/>
                <w:b/>
                <w:lang w:val="es-ES_tradnl"/>
              </w:rPr>
              <w:t>(RÚBRICA)</w:t>
            </w:r>
          </w:p>
        </w:tc>
      </w:tr>
      <w:tr w:rsidR="005802F7">
        <w:trPr>
          <w:jc w:val="center"/>
        </w:trPr>
        <w:tc>
          <w:tcPr>
            <w:tcW w:w="4756" w:type="dxa"/>
            <w:shd w:val="clear" w:color="auto" w:fill="auto"/>
          </w:tcPr>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Eva Abaid Yapur</w:t>
            </w:r>
          </w:p>
          <w:p w:rsidR="005802F7" w:rsidRDefault="00C71A23">
            <w:pPr>
              <w:jc w:val="center"/>
              <w:rPr>
                <w:rFonts w:ascii="Palatino Linotype" w:hAnsi="Palatino Linotype" w:cs="Arial"/>
                <w:lang w:val="es-ES_tradnl"/>
              </w:rPr>
            </w:pPr>
            <w:r>
              <w:rPr>
                <w:rFonts w:ascii="Palatino Linotype" w:hAnsi="Palatino Linotype" w:cs="Arial"/>
                <w:lang w:val="es-ES_tradnl"/>
              </w:rPr>
              <w:t>Comisionada</w:t>
            </w:r>
          </w:p>
          <w:p w:rsidR="005802F7" w:rsidRDefault="00C71A23">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5802F7" w:rsidRDefault="00C71A23">
            <w:pPr>
              <w:jc w:val="center"/>
              <w:rPr>
                <w:rFonts w:ascii="Palatino Linotype" w:hAnsi="Palatino Linotype" w:cs="Arial"/>
                <w:lang w:val="es-ES_tradnl"/>
              </w:rPr>
            </w:pPr>
            <w:r>
              <w:rPr>
                <w:rFonts w:ascii="Palatino Linotype" w:hAnsi="Palatino Linotype" w:cs="Arial"/>
                <w:lang w:val="es-ES_tradnl"/>
              </w:rPr>
              <w:t>Comisionado</w:t>
            </w:r>
          </w:p>
          <w:p w:rsidR="005802F7" w:rsidRDefault="00C71A23">
            <w:pPr>
              <w:jc w:val="center"/>
              <w:rPr>
                <w:rFonts w:ascii="Palatino Linotype" w:hAnsi="Palatino Linotype" w:cs="Arial"/>
                <w:b/>
                <w:lang w:val="es-ES_tradnl"/>
              </w:rPr>
            </w:pPr>
            <w:r>
              <w:rPr>
                <w:rFonts w:ascii="Palatino Linotype" w:hAnsi="Palatino Linotype" w:cs="Arial"/>
                <w:b/>
                <w:lang w:val="es-ES_tradnl"/>
              </w:rPr>
              <w:t>(RÚBRICA)</w:t>
            </w:r>
          </w:p>
        </w:tc>
      </w:tr>
      <w:tr w:rsidR="005802F7">
        <w:trPr>
          <w:jc w:val="center"/>
        </w:trPr>
        <w:tc>
          <w:tcPr>
            <w:tcW w:w="4756" w:type="dxa"/>
            <w:shd w:val="clear" w:color="auto" w:fill="auto"/>
          </w:tcPr>
          <w:p w:rsidR="005802F7" w:rsidRDefault="005802F7">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263A95" w:rsidRDefault="00263A95" w:rsidP="00263A95">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Javier Martínez Cruz</w:t>
            </w:r>
          </w:p>
          <w:p w:rsidR="005802F7" w:rsidRDefault="00C71A23">
            <w:pPr>
              <w:jc w:val="center"/>
              <w:rPr>
                <w:rFonts w:ascii="Palatino Linotype" w:hAnsi="Palatino Linotype" w:cs="Arial"/>
                <w:lang w:val="es-ES_tradnl"/>
              </w:rPr>
            </w:pPr>
            <w:r>
              <w:rPr>
                <w:rFonts w:ascii="Palatino Linotype" w:hAnsi="Palatino Linotype" w:cs="Arial"/>
                <w:lang w:val="es-ES_tradnl"/>
              </w:rPr>
              <w:t>Comisionado</w:t>
            </w:r>
          </w:p>
          <w:p w:rsidR="005802F7" w:rsidRDefault="00C71A23">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5802F7" w:rsidRDefault="005802F7">
            <w:pPr>
              <w:jc w:val="center"/>
              <w:rPr>
                <w:rFonts w:ascii="Palatino Linotype" w:hAnsi="Palatino Linotype" w:cs="Arial"/>
                <w:b/>
                <w:lang w:val="es-ES_tradnl"/>
              </w:rPr>
            </w:pPr>
          </w:p>
          <w:p w:rsidR="005802F7" w:rsidRDefault="005802F7">
            <w:pPr>
              <w:jc w:val="center"/>
              <w:rPr>
                <w:rFonts w:ascii="Palatino Linotype" w:hAnsi="Palatino Linotype" w:cs="Arial"/>
                <w:b/>
                <w:lang w:val="es-ES_tradnl"/>
              </w:rPr>
            </w:pPr>
          </w:p>
          <w:p w:rsidR="005802F7" w:rsidRDefault="005802F7">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5802F7" w:rsidRDefault="005802F7">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Luis Gustavo Parra Noriega</w:t>
            </w:r>
          </w:p>
          <w:p w:rsidR="005802F7" w:rsidRDefault="00C71A23">
            <w:pPr>
              <w:jc w:val="center"/>
              <w:rPr>
                <w:rFonts w:ascii="Palatino Linotype" w:hAnsi="Palatino Linotype" w:cs="Arial"/>
                <w:lang w:val="es-ES_tradnl"/>
              </w:rPr>
            </w:pPr>
            <w:r>
              <w:rPr>
                <w:rFonts w:ascii="Palatino Linotype" w:hAnsi="Palatino Linotype" w:cs="Arial"/>
                <w:lang w:val="es-ES_tradnl"/>
              </w:rPr>
              <w:t>Comisionado</w:t>
            </w:r>
          </w:p>
          <w:p w:rsidR="005802F7" w:rsidRDefault="00C71A23">
            <w:pPr>
              <w:jc w:val="center"/>
              <w:rPr>
                <w:rFonts w:ascii="Palatino Linotype" w:hAnsi="Palatino Linotype" w:cs="Arial"/>
                <w:b/>
                <w:lang w:val="es-ES_tradnl"/>
              </w:rPr>
            </w:pPr>
            <w:r>
              <w:rPr>
                <w:rFonts w:ascii="Palatino Linotype" w:hAnsi="Palatino Linotype" w:cs="Arial"/>
                <w:b/>
                <w:lang w:val="es-ES_tradnl"/>
              </w:rPr>
              <w:t>(RÚBRICA)</w:t>
            </w:r>
          </w:p>
        </w:tc>
      </w:tr>
      <w:tr w:rsidR="005802F7">
        <w:trPr>
          <w:jc w:val="center"/>
        </w:trPr>
        <w:tc>
          <w:tcPr>
            <w:tcW w:w="9213" w:type="dxa"/>
            <w:gridSpan w:val="2"/>
            <w:shd w:val="clear" w:color="auto" w:fill="auto"/>
          </w:tcPr>
          <w:p w:rsidR="005802F7" w:rsidRDefault="005802F7">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263A95" w:rsidRDefault="00263A95">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263A95" w:rsidRDefault="00263A95" w:rsidP="00263A95">
            <w:pPr>
              <w:jc w:val="center"/>
              <w:rPr>
                <w:rFonts w:ascii="Palatino Linotype" w:hAnsi="Palatino Linotype" w:cs="Arial"/>
                <w:b/>
                <w:lang w:val="es-ES_tradnl"/>
              </w:rPr>
            </w:pPr>
          </w:p>
          <w:p w:rsidR="005802F7" w:rsidRDefault="005802F7" w:rsidP="00263A95">
            <w:pPr>
              <w:jc w:val="center"/>
              <w:rPr>
                <w:rFonts w:ascii="Palatino Linotype" w:hAnsi="Palatino Linotype" w:cs="Arial"/>
                <w:b/>
                <w:lang w:val="es-ES_tradnl"/>
              </w:rPr>
            </w:pPr>
          </w:p>
          <w:p w:rsidR="005802F7" w:rsidRDefault="00C71A23">
            <w:pPr>
              <w:jc w:val="center"/>
              <w:rPr>
                <w:rFonts w:ascii="Palatino Linotype" w:hAnsi="Palatino Linotype" w:cs="Arial"/>
                <w:b/>
                <w:lang w:val="es-ES_tradnl"/>
              </w:rPr>
            </w:pPr>
            <w:r>
              <w:rPr>
                <w:rFonts w:ascii="Palatino Linotype" w:hAnsi="Palatino Linotype" w:cs="Arial"/>
                <w:b/>
                <w:lang w:val="es-ES_tradnl"/>
              </w:rPr>
              <w:t>Alexis Tapia Ramírez</w:t>
            </w:r>
          </w:p>
          <w:p w:rsidR="005802F7" w:rsidRDefault="00C71A23">
            <w:pPr>
              <w:jc w:val="center"/>
              <w:rPr>
                <w:rFonts w:ascii="Palatino Linotype" w:hAnsi="Palatino Linotype" w:cs="Arial"/>
                <w:lang w:val="es-ES_tradnl"/>
              </w:rPr>
            </w:pPr>
            <w:r>
              <w:rPr>
                <w:rFonts w:ascii="Palatino Linotype" w:hAnsi="Palatino Linotype" w:cs="Arial"/>
                <w:lang w:val="es-ES_tradnl"/>
              </w:rPr>
              <w:t>Secretario Técnico del Pleno</w:t>
            </w:r>
          </w:p>
          <w:p w:rsidR="005802F7" w:rsidRDefault="00C71A23">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rsidR="005802F7" w:rsidRDefault="005802F7">
      <w:pPr>
        <w:spacing w:line="360" w:lineRule="auto"/>
        <w:jc w:val="both"/>
        <w:rPr>
          <w:rFonts w:ascii="Palatino Linotype" w:hAnsi="Palatino Linotype" w:cs="Arial"/>
          <w:lang w:val="es-ES"/>
        </w:rPr>
      </w:pPr>
    </w:p>
    <w:p w:rsidR="00263A95" w:rsidRDefault="00263A95">
      <w:pPr>
        <w:spacing w:line="360" w:lineRule="auto"/>
        <w:jc w:val="both"/>
        <w:rPr>
          <w:rFonts w:ascii="Palatino Linotype" w:hAnsi="Palatino Linotype" w:cs="Arial"/>
          <w:lang w:val="es-ES"/>
        </w:rPr>
      </w:pPr>
    </w:p>
    <w:p w:rsidR="005802F7" w:rsidRDefault="00C71A23">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diecinueve de agosto de dos mil veinte, emitida en el recurso de revisión número 00942/INFOEM/IP/RR/2020. </w:t>
      </w:r>
    </w:p>
    <w:p w:rsidR="005802F7" w:rsidRDefault="00C71A23">
      <w:pPr>
        <w:spacing w:beforeAutospacing="1" w:afterAutospacing="1" w:line="360" w:lineRule="auto"/>
        <w:jc w:val="both"/>
        <w:rPr>
          <w:rFonts w:ascii="Palatino Linotype" w:hAnsi="Palatino Linotype" w:cs="Arial"/>
          <w:sz w:val="22"/>
          <w:lang w:val="es-ES"/>
        </w:rPr>
      </w:pPr>
      <w:r>
        <w:rPr>
          <w:rFonts w:ascii="Palatino Linotype" w:hAnsi="Palatino Linotype" w:cs="Arial"/>
          <w:sz w:val="22"/>
          <w:szCs w:val="20"/>
          <w:lang w:val="es-ES"/>
        </w:rPr>
        <w:t>YSM/ATU</w:t>
      </w:r>
    </w:p>
    <w:sectPr w:rsidR="005802F7">
      <w:headerReference w:type="default" r:id="rId20"/>
      <w:footerReference w:type="default" r:id="rId21"/>
      <w:headerReference w:type="first" r:id="rId22"/>
      <w:footerReference w:type="first" r:id="rId2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0A1" w:rsidRDefault="005E10A1">
      <w:r>
        <w:separator/>
      </w:r>
    </w:p>
  </w:endnote>
  <w:endnote w:type="continuationSeparator" w:id="0">
    <w:p w:rsidR="005E10A1" w:rsidRDefault="005E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F7" w:rsidRDefault="00C71A2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2F1DA1">
      <w:rPr>
        <w:rFonts w:ascii="Palatino Linotype" w:hAnsi="Palatino Linotype" w:cs="Arial"/>
        <w:bCs/>
        <w:noProof/>
        <w:sz w:val="22"/>
        <w:szCs w:val="22"/>
      </w:rPr>
      <w:t>45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2F1DA1">
      <w:rPr>
        <w:rFonts w:ascii="Palatino Linotype" w:hAnsi="Palatino Linotype" w:cs="Arial"/>
        <w:bCs/>
        <w:noProof/>
        <w:sz w:val="22"/>
        <w:szCs w:val="22"/>
      </w:rPr>
      <w:t>71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F7" w:rsidRDefault="00C71A2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2F1DA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2F1DA1">
      <w:rPr>
        <w:rFonts w:ascii="Palatino Linotype" w:hAnsi="Palatino Linotype" w:cs="Arial"/>
        <w:bCs/>
        <w:noProof/>
        <w:sz w:val="22"/>
        <w:szCs w:val="22"/>
      </w:rPr>
      <w:t>71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0A1" w:rsidRDefault="005E10A1">
      <w:pPr>
        <w:rPr>
          <w:sz w:val="12"/>
        </w:rPr>
      </w:pPr>
      <w:r>
        <w:separator/>
      </w:r>
    </w:p>
  </w:footnote>
  <w:footnote w:type="continuationSeparator" w:id="0">
    <w:p w:rsidR="005E10A1" w:rsidRDefault="005E10A1">
      <w:pPr>
        <w:rPr>
          <w:sz w:val="12"/>
        </w:rPr>
      </w:pPr>
      <w:r>
        <w:continuationSeparator/>
      </w:r>
    </w:p>
  </w:footnote>
  <w:footnote w:id="1">
    <w:p w:rsidR="005802F7" w:rsidRDefault="00C71A23">
      <w:pPr>
        <w:pStyle w:val="Textonotapie"/>
      </w:pPr>
      <w:r>
        <w:rPr>
          <w:rStyle w:val="Caracteresdenotaalpie"/>
        </w:rPr>
        <w:footnoteRef/>
      </w:r>
      <w:r>
        <w:t xml:space="preserve"> </w:t>
      </w:r>
      <w:hyperlink r:id="rId1">
        <w:r>
          <w:rPr>
            <w:rStyle w:val="EnlacedeInternet"/>
          </w:rPr>
          <w:t>https://gobiernodechalco.gob.mx/transparencia/programa-fortaseg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F7" w:rsidRDefault="00C71A2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130" behindDoc="1" locked="0" layoutInCell="1" allowOverlap="1">
          <wp:simplePos x="0" y="0"/>
          <wp:positionH relativeFrom="column">
            <wp:align>center</wp:align>
          </wp:positionH>
          <wp:positionV relativeFrom="margin">
            <wp:align>center</wp:align>
          </wp:positionV>
          <wp:extent cx="6858635" cy="9144635"/>
          <wp:effectExtent l="0" t="0" r="0" b="0"/>
          <wp:wrapNone/>
          <wp:docPr id="1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5"/>
      <w:gridCol w:w="2555"/>
      <w:gridCol w:w="3724"/>
    </w:tblGrid>
    <w:tr w:rsidR="005802F7">
      <w:tc>
        <w:tcPr>
          <w:tcW w:w="3255" w:type="dxa"/>
          <w:vMerge w:val="restart"/>
        </w:tcPr>
        <w:p w:rsidR="005802F7" w:rsidRDefault="00C71A2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5802F7" w:rsidRDefault="00C71A23">
          <w:pPr>
            <w:ind w:left="-108"/>
            <w:jc w:val="both"/>
            <w:rPr>
              <w:rFonts w:ascii="Palatino Linotype" w:hAnsi="Palatino Linotype"/>
              <w:b/>
              <w:sz w:val="22"/>
              <w:szCs w:val="22"/>
              <w:lang w:val="es-ES_tradnl"/>
            </w:rPr>
          </w:pPr>
          <w:r>
            <w:rPr>
              <w:rFonts w:ascii="Palatino Linotype" w:hAnsi="Palatino Linotype"/>
              <w:b/>
              <w:sz w:val="22"/>
              <w:szCs w:val="22"/>
              <w:lang w:val="es-ES_tradnl"/>
            </w:rPr>
            <w:t>00942/INFOEM/IP/RR/2020</w:t>
          </w:r>
        </w:p>
      </w:tc>
    </w:tr>
    <w:tr w:rsidR="005802F7">
      <w:tc>
        <w:tcPr>
          <w:tcW w:w="3255" w:type="dxa"/>
          <w:vMerge/>
        </w:tcPr>
        <w:p w:rsidR="005802F7" w:rsidRDefault="005802F7">
          <w:pPr>
            <w:rPr>
              <w:rFonts w:ascii="Palatino Linotype" w:hAnsi="Palatino Linotype"/>
              <w:b/>
              <w:sz w:val="22"/>
              <w:szCs w:val="22"/>
              <w:lang w:val="es-ES_tradnl"/>
            </w:rPr>
          </w:pPr>
        </w:p>
      </w:tc>
      <w:tc>
        <w:tcPr>
          <w:tcW w:w="2555"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5802F7" w:rsidRDefault="00C71A23">
          <w:pPr>
            <w:ind w:left="-108" w:right="176"/>
            <w:jc w:val="both"/>
            <w:rPr>
              <w:rFonts w:ascii="Palatino Linotype" w:hAnsi="Palatino Linotype"/>
              <w:b/>
              <w:sz w:val="22"/>
              <w:szCs w:val="22"/>
            </w:rPr>
          </w:pPr>
          <w:r>
            <w:rPr>
              <w:rFonts w:ascii="Palatino Linotype" w:hAnsi="Palatino Linotype"/>
              <w:b/>
              <w:sz w:val="22"/>
              <w:szCs w:val="22"/>
            </w:rPr>
            <w:t>Ayuntamiento de Chalco</w:t>
          </w:r>
        </w:p>
      </w:tc>
    </w:tr>
    <w:tr w:rsidR="005802F7">
      <w:trPr>
        <w:trHeight w:val="228"/>
      </w:trPr>
      <w:tc>
        <w:tcPr>
          <w:tcW w:w="3255" w:type="dxa"/>
          <w:vMerge/>
        </w:tcPr>
        <w:p w:rsidR="005802F7" w:rsidRDefault="005802F7">
          <w:pPr>
            <w:rPr>
              <w:rFonts w:ascii="Palatino Linotype" w:hAnsi="Palatino Linotype"/>
              <w:b/>
              <w:sz w:val="22"/>
              <w:szCs w:val="22"/>
              <w:lang w:val="es-ES_tradnl"/>
            </w:rPr>
          </w:pPr>
        </w:p>
      </w:tc>
      <w:tc>
        <w:tcPr>
          <w:tcW w:w="2555"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5802F7" w:rsidRDefault="00C71A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802F7" w:rsidRDefault="005802F7">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F7" w:rsidRDefault="00C71A2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131" behindDoc="1" locked="0" layoutInCell="1" allowOverlap="1">
          <wp:simplePos x="0" y="0"/>
          <wp:positionH relativeFrom="column">
            <wp:align>center</wp:align>
          </wp:positionH>
          <wp:positionV relativeFrom="margin">
            <wp:align>center</wp:align>
          </wp:positionV>
          <wp:extent cx="6858635" cy="9144635"/>
          <wp:effectExtent l="0" t="0" r="0" b="0"/>
          <wp:wrapNone/>
          <wp:docPr id="1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9"/>
      <w:gridCol w:w="3691"/>
    </w:tblGrid>
    <w:tr w:rsidR="005802F7">
      <w:tc>
        <w:tcPr>
          <w:tcW w:w="4250" w:type="dxa"/>
          <w:vMerge w:val="restart"/>
          <w:shd w:val="clear" w:color="auto" w:fill="auto"/>
        </w:tcPr>
        <w:p w:rsidR="005802F7" w:rsidRDefault="00C71A23">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rsidR="005802F7" w:rsidRDefault="00C71A23">
          <w:pPr>
            <w:jc w:val="both"/>
            <w:rPr>
              <w:rFonts w:ascii="Palatino Linotype" w:hAnsi="Palatino Linotype"/>
              <w:b/>
              <w:sz w:val="22"/>
              <w:szCs w:val="22"/>
              <w:lang w:val="es-ES_tradnl"/>
            </w:rPr>
          </w:pPr>
          <w:r>
            <w:rPr>
              <w:rFonts w:ascii="Palatino Linotype" w:hAnsi="Palatino Linotype"/>
              <w:b/>
              <w:sz w:val="22"/>
              <w:szCs w:val="22"/>
              <w:lang w:val="es-ES_tradnl"/>
            </w:rPr>
            <w:t>00942/INFOEM/IP/RR/2020</w:t>
          </w:r>
        </w:p>
      </w:tc>
    </w:tr>
    <w:tr w:rsidR="005802F7">
      <w:tc>
        <w:tcPr>
          <w:tcW w:w="4250" w:type="dxa"/>
          <w:vMerge/>
          <w:shd w:val="clear" w:color="auto" w:fill="auto"/>
        </w:tcPr>
        <w:p w:rsidR="005802F7" w:rsidRDefault="005802F7">
          <w:pPr>
            <w:rPr>
              <w:rFonts w:ascii="Palatino Linotype" w:hAnsi="Palatino Linotype"/>
              <w:b/>
              <w:sz w:val="22"/>
              <w:szCs w:val="22"/>
              <w:lang w:val="es-ES_tradnl"/>
            </w:rPr>
          </w:pPr>
        </w:p>
      </w:tc>
      <w:tc>
        <w:tcPr>
          <w:tcW w:w="2549"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5802F7" w:rsidRDefault="002F1DA1" w:rsidP="002F1DA1">
          <w:pPr>
            <w:jc w:val="both"/>
            <w:rPr>
              <w:rFonts w:ascii="Palatino Linotype" w:hAnsi="Palatino Linotype"/>
              <w:b/>
              <w:sz w:val="22"/>
              <w:szCs w:val="22"/>
              <w:lang w:val="es-ES_tradnl"/>
            </w:rPr>
          </w:pPr>
          <w:r>
            <w:rPr>
              <w:rFonts w:ascii="Palatino Linotype" w:hAnsi="Palatino Linotype"/>
              <w:b/>
              <w:sz w:val="22"/>
              <w:szCs w:val="22"/>
            </w:rPr>
            <w:t>Xxxxxxxx</w:t>
          </w:r>
          <w:r w:rsidR="00C71A23">
            <w:rPr>
              <w:rFonts w:ascii="Palatino Linotype" w:hAnsi="Palatino Linotype"/>
              <w:b/>
              <w:sz w:val="22"/>
              <w:szCs w:val="22"/>
            </w:rPr>
            <w:t xml:space="preserve"> </w:t>
          </w:r>
          <w:r>
            <w:rPr>
              <w:rFonts w:ascii="Palatino Linotype" w:hAnsi="Palatino Linotype"/>
              <w:b/>
              <w:sz w:val="22"/>
              <w:szCs w:val="22"/>
            </w:rPr>
            <w:t>Xxxxxxxxx</w:t>
          </w:r>
          <w:r w:rsidR="00C71A23">
            <w:rPr>
              <w:rFonts w:ascii="Palatino Linotype" w:hAnsi="Palatino Linotype"/>
              <w:b/>
              <w:sz w:val="22"/>
              <w:szCs w:val="22"/>
            </w:rPr>
            <w:t xml:space="preserve"> </w:t>
          </w:r>
          <w:r>
            <w:rPr>
              <w:rFonts w:ascii="Palatino Linotype" w:hAnsi="Palatino Linotype"/>
              <w:b/>
              <w:sz w:val="22"/>
              <w:szCs w:val="22"/>
            </w:rPr>
            <w:t>Xxxxx</w:t>
          </w:r>
        </w:p>
      </w:tc>
    </w:tr>
    <w:tr w:rsidR="005802F7">
      <w:trPr>
        <w:trHeight w:val="228"/>
      </w:trPr>
      <w:tc>
        <w:tcPr>
          <w:tcW w:w="4250" w:type="dxa"/>
          <w:vMerge/>
          <w:shd w:val="clear" w:color="auto" w:fill="auto"/>
        </w:tcPr>
        <w:p w:rsidR="005802F7" w:rsidRDefault="005802F7">
          <w:pPr>
            <w:rPr>
              <w:rFonts w:ascii="Palatino Linotype" w:hAnsi="Palatino Linotype"/>
              <w:b/>
              <w:sz w:val="22"/>
              <w:szCs w:val="22"/>
              <w:lang w:val="es-ES_tradnl"/>
            </w:rPr>
          </w:pPr>
        </w:p>
      </w:tc>
      <w:tc>
        <w:tcPr>
          <w:tcW w:w="2549"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rsidR="005802F7" w:rsidRDefault="00C71A23">
          <w:pPr>
            <w:jc w:val="both"/>
            <w:rPr>
              <w:rFonts w:ascii="Palatino Linotype" w:hAnsi="Palatino Linotype"/>
              <w:b/>
              <w:sz w:val="22"/>
              <w:szCs w:val="22"/>
            </w:rPr>
          </w:pPr>
          <w:r>
            <w:rPr>
              <w:rFonts w:ascii="Palatino Linotype" w:hAnsi="Palatino Linotype"/>
              <w:b/>
              <w:sz w:val="22"/>
              <w:szCs w:val="22"/>
            </w:rPr>
            <w:t>Ayuntamiento de Chalco</w:t>
          </w:r>
        </w:p>
      </w:tc>
    </w:tr>
    <w:tr w:rsidR="005802F7">
      <w:tc>
        <w:tcPr>
          <w:tcW w:w="4250" w:type="dxa"/>
          <w:vMerge/>
          <w:shd w:val="clear" w:color="auto" w:fill="auto"/>
        </w:tcPr>
        <w:p w:rsidR="005802F7" w:rsidRDefault="005802F7">
          <w:pPr>
            <w:rPr>
              <w:rFonts w:ascii="Palatino Linotype" w:hAnsi="Palatino Linotype"/>
              <w:b/>
              <w:sz w:val="22"/>
              <w:szCs w:val="22"/>
              <w:lang w:val="es-ES_tradnl"/>
            </w:rPr>
          </w:pPr>
        </w:p>
      </w:tc>
      <w:tc>
        <w:tcPr>
          <w:tcW w:w="2549" w:type="dxa"/>
          <w:shd w:val="clear" w:color="auto" w:fill="auto"/>
        </w:tcPr>
        <w:p w:rsidR="005802F7" w:rsidRDefault="00C71A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rsidR="005802F7" w:rsidRDefault="00C71A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802F7" w:rsidRDefault="005802F7">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43D9F"/>
    <w:multiLevelType w:val="multilevel"/>
    <w:tmpl w:val="72CA2B7C"/>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398720E9"/>
    <w:multiLevelType w:val="multilevel"/>
    <w:tmpl w:val="90020392"/>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7233F3"/>
    <w:multiLevelType w:val="multilevel"/>
    <w:tmpl w:val="38C08908"/>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8208F2"/>
    <w:multiLevelType w:val="multilevel"/>
    <w:tmpl w:val="46AC847A"/>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6D0E34"/>
    <w:multiLevelType w:val="multilevel"/>
    <w:tmpl w:val="22B837D8"/>
    <w:lvl w:ilvl="0">
      <w:start w:val="1"/>
      <w:numFmt w:val="decimal"/>
      <w:lvlText w:val="%1."/>
      <w:lvlJc w:val="left"/>
      <w:pPr>
        <w:ind w:left="1353" w:hanging="360"/>
      </w:pPr>
      <w:rPr>
        <w:b/>
        <w:caps/>
        <w:sz w:val="22"/>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3490C2A"/>
    <w:multiLevelType w:val="multilevel"/>
    <w:tmpl w:val="96829D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616E739F"/>
    <w:multiLevelType w:val="multilevel"/>
    <w:tmpl w:val="F2EE4C3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6E8A63E1"/>
    <w:multiLevelType w:val="multilevel"/>
    <w:tmpl w:val="0F440F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BE730FF"/>
    <w:multiLevelType w:val="multilevel"/>
    <w:tmpl w:val="EB8616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4"/>
  </w:num>
  <w:num w:numId="5">
    <w:abstractNumId w:val="7"/>
  </w:num>
  <w:num w:numId="6">
    <w:abstractNumId w:val="0"/>
  </w:num>
  <w:num w:numId="7">
    <w:abstractNumId w:val="6"/>
  </w:num>
  <w:num w:numId="8">
    <w:abstractNumId w:val="8"/>
  </w:num>
  <w:num w:numId="9">
    <w:abstractNumId w:val="5"/>
  </w:num>
  <w:num w:numId="10">
    <w:abstractNumId w:val="1"/>
    <w:lvlOverride w:ilvl="0">
      <w:lvl w:ilvl="0">
        <w:start w:val="1"/>
        <w:numFmt w:val="upperRoman"/>
        <w:lvlText w:val="%1."/>
        <w:lvlJc w:val="left"/>
        <w:pPr>
          <w:ind w:left="720" w:hanging="360"/>
        </w:pPr>
        <w:rPr>
          <w:b/>
          <w:i w:val="0"/>
          <w:caps/>
          <w:color w:val="auto"/>
          <w:sz w:val="28"/>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F7"/>
    <w:rsid w:val="00263A95"/>
    <w:rsid w:val="002F1DA1"/>
    <w:rsid w:val="005802F7"/>
    <w:rsid w:val="005E10A1"/>
    <w:rsid w:val="00C71A23"/>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7524D-A1FD-4E29-97A8-DA50DBE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fem.gob.mx/04_Normatividad/doc/Normatividad/2019/19.LineamInfMensualMpal_2019.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gobiernodechalco.gob.mx/transparencia/programa-fortase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CF27B-D70A-4F94-8A1E-EE90D7ED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16459</Words>
  <Characters>90526</Characters>
  <Application>Microsoft Office Word</Application>
  <DocSecurity>0</DocSecurity>
  <Lines>754</Lines>
  <Paragraphs>213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2020-08-31T20:27:00Z</dcterms:created>
  <dcterms:modified xsi:type="dcterms:W3CDTF">2020-08-31T20:27:00Z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