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VISTO el expediente formado con motivo del recurso de revisión </w:t>
      </w:r>
      <w:r>
        <w:rPr>
          <w:rFonts w:ascii="Palatino Linotype" w:eastAsia="Palatino Linotype" w:hAnsi="Palatino Linotype" w:cs="Palatino Linotype"/>
          <w:b/>
        </w:rPr>
        <w:t>00957/INFOEM/IP/RR/2020,</w:t>
      </w:r>
      <w:r>
        <w:rPr>
          <w:rFonts w:ascii="Palatino Linotype" w:eastAsia="Palatino Linotype" w:hAnsi="Palatino Linotype" w:cs="Palatino Linotype"/>
        </w:rPr>
        <w:t xml:space="preserve"> promovido por el C.</w:t>
      </w:r>
      <w:r>
        <w:rPr>
          <w:rFonts w:ascii="Palatino Linotype" w:eastAsia="Palatino Linotype" w:hAnsi="Palatino Linotype" w:cs="Palatino Linotype"/>
          <w:b/>
        </w:rPr>
        <w:t xml:space="preserve"> </w:t>
      </w:r>
      <w:r w:rsidR="00B516CF">
        <w:rPr>
          <w:rFonts w:ascii="Palatino Linotype" w:eastAsia="Palatino Linotype" w:hAnsi="Palatino Linotype" w:cs="Palatino Linotype"/>
          <w:b/>
        </w:rPr>
        <w:t>xxxx</w:t>
      </w:r>
      <w:r>
        <w:rPr>
          <w:rFonts w:ascii="Palatino Linotype" w:eastAsia="Palatino Linotype" w:hAnsi="Palatino Linotype" w:cs="Palatino Linotype"/>
          <w:b/>
        </w:rPr>
        <w:t xml:space="preserve"> </w:t>
      </w:r>
      <w:r w:rsidR="00B516CF">
        <w:rPr>
          <w:rFonts w:ascii="Palatino Linotype" w:eastAsia="Palatino Linotype" w:hAnsi="Palatino Linotype" w:cs="Palatino Linotype"/>
          <w:b/>
        </w:rPr>
        <w:t>xxxxxxxx</w:t>
      </w:r>
      <w:r>
        <w:rPr>
          <w:rFonts w:ascii="Palatino Linotype" w:eastAsia="Palatino Linotype" w:hAnsi="Palatino Linotype" w:cs="Palatino Linotype"/>
          <w:b/>
        </w:rPr>
        <w:t xml:space="preserve"> </w:t>
      </w:r>
      <w:r w:rsidR="00B516CF">
        <w:rPr>
          <w:rFonts w:ascii="Palatino Linotype" w:eastAsia="Palatino Linotype" w:hAnsi="Palatino Linotype" w:cs="Palatino Linotype"/>
          <w:b/>
        </w:rPr>
        <w:t>xxxxx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w:t>
      </w:r>
      <w:r>
        <w:rPr>
          <w:rFonts w:ascii="Palatino Linotype" w:eastAsia="Palatino Linotype" w:hAnsi="Palatino Linotype" w:cs="Palatino Linotype"/>
          <w:b/>
        </w:rPr>
        <w:t xml:space="preserve"> Ayuntamiento de Tezoyuca, </w:t>
      </w:r>
      <w:r>
        <w:rPr>
          <w:rFonts w:ascii="Palatino Linotype" w:eastAsia="Palatino Linotype" w:hAnsi="Palatino Linotype" w:cs="Palatino Linotype"/>
        </w:rPr>
        <w:t xml:space="preserve">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se procede a dictar la presente resolución con base en lo siguiente: </w:t>
      </w:r>
    </w:p>
    <w:p w:rsidR="00EF0CF2" w:rsidRDefault="00EF0CF2">
      <w:pPr>
        <w:jc w:val="both"/>
        <w:rPr>
          <w:rFonts w:ascii="Palatino Linotype" w:eastAsia="Palatino Linotype" w:hAnsi="Palatino Linotype" w:cs="Palatino Linotype"/>
        </w:rPr>
      </w:pPr>
    </w:p>
    <w:p w:rsidR="00EF0CF2" w:rsidRDefault="006974A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rsidR="00EF0CF2" w:rsidRDefault="00EF0CF2">
      <w:pPr>
        <w:jc w:val="center"/>
        <w:rPr>
          <w:rFonts w:ascii="Palatino Linotype" w:eastAsia="Palatino Linotype" w:hAnsi="Palatino Linotype" w:cs="Palatino Linotype"/>
          <w:b/>
        </w:rPr>
      </w:pPr>
    </w:p>
    <w:p w:rsidR="00EF0CF2" w:rsidRDefault="006974A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fecha diecisiete de enero de dos mil veinte,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00013/TEZOYUCA/IP/2020</w:t>
      </w:r>
      <w:r>
        <w:rPr>
          <w:rFonts w:ascii="Palatino Linotype" w:eastAsia="Palatino Linotype" w:hAnsi="Palatino Linotype" w:cs="Palatino Linotype"/>
        </w:rPr>
        <w:t>, por medio de la cual requirió:</w:t>
      </w:r>
    </w:p>
    <w:p w:rsidR="00EF0CF2" w:rsidRDefault="00EF0CF2">
      <w:pPr>
        <w:ind w:left="851" w:right="901"/>
        <w:jc w:val="both"/>
        <w:rPr>
          <w:rFonts w:ascii="Palatino Linotype" w:eastAsia="Palatino Linotype" w:hAnsi="Palatino Linotype" w:cs="Palatino Linotype"/>
          <w:i/>
          <w:sz w:val="22"/>
          <w:szCs w:val="22"/>
        </w:rPr>
      </w:pPr>
    </w:p>
    <w:p w:rsidR="00EF0CF2" w:rsidRDefault="006974AA">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LAS ACTAS DE CABILDO ORDINARIAS Y EXTRAORDINARIAS DE AGOSTO A DICIEMBRE DEL 2019” (sic)</w:t>
      </w:r>
    </w:p>
    <w:p w:rsidR="00EF0CF2" w:rsidRDefault="00EF0CF2">
      <w:pPr>
        <w:tabs>
          <w:tab w:val="left" w:pos="851"/>
        </w:tabs>
        <w:ind w:left="851" w:right="901"/>
        <w:jc w:val="both"/>
        <w:rPr>
          <w:rFonts w:ascii="Palatino Linotype" w:eastAsia="Palatino Linotype" w:hAnsi="Palatino Linotype" w:cs="Palatino Linotype"/>
          <w:i/>
          <w:sz w:val="22"/>
          <w:szCs w:val="22"/>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II.</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Posteriormente, se advierte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en fecha cuatro de febrero de dos mil veinte, dio repuesta a la solicitud de información pública en los siguientes términos: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EF0CF2" w:rsidRDefault="00EF0CF2">
      <w:pPr>
        <w:ind w:left="851" w:right="902"/>
        <w:jc w:val="both"/>
        <w:rPr>
          <w:rFonts w:ascii="Palatino Linotype" w:eastAsia="Palatino Linotype" w:hAnsi="Palatino Linotype" w:cs="Palatino Linotype"/>
          <w:i/>
          <w:sz w:val="22"/>
          <w:szCs w:val="22"/>
        </w:rPr>
      </w:pP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ESTA SOLICITUD, MANIFIESTO QUE LA INFORMACIÓN SOLICITADA SE ENCUENTRA EN LA PLATAFORMA DE IPOMEX EN LA FRACCIÓN II B2.</w:t>
      </w:r>
    </w:p>
    <w:p w:rsidR="00EF0CF2" w:rsidRDefault="00EF0CF2">
      <w:pPr>
        <w:ind w:left="851" w:right="902"/>
        <w:jc w:val="both"/>
        <w:rPr>
          <w:rFonts w:ascii="Palatino Linotype" w:eastAsia="Palatino Linotype" w:hAnsi="Palatino Linotype" w:cs="Palatino Linotype"/>
          <w:i/>
          <w:sz w:val="22"/>
          <w:szCs w:val="22"/>
        </w:rPr>
      </w:pP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EF0CF2" w:rsidRDefault="006974AA">
      <w:pPr>
        <w:spacing w:after="28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CRISTHIAN JIMÉNEZ PACHECO”</w:t>
      </w:r>
    </w:p>
    <w:p w:rsidR="00EF0CF2" w:rsidRDefault="006974A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IV. </w:t>
      </w:r>
      <w:r>
        <w:rPr>
          <w:rFonts w:ascii="Palatino Linotype" w:eastAsia="Palatino Linotype" w:hAnsi="Palatino Linotype" w:cs="Palatino Linotype"/>
          <w:color w:val="000000"/>
        </w:rPr>
        <w:t xml:space="preserve">Inconforme con la respuesta, el once de febrero de dos mil veinte,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interpuso el recurso de revisión sujeto del presente estudio, el cual fue registrado en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y se le asignó el número de expediente </w:t>
      </w:r>
      <w:r>
        <w:rPr>
          <w:rFonts w:ascii="Palatino Linotype" w:eastAsia="Palatino Linotype" w:hAnsi="Palatino Linotype" w:cs="Palatino Linotype"/>
          <w:b/>
          <w:color w:val="000000"/>
        </w:rPr>
        <w:t>00957/INFOEM/IP/RR/2019</w:t>
      </w:r>
      <w:r>
        <w:rPr>
          <w:rFonts w:ascii="Palatino Linotype" w:eastAsia="Palatino Linotype" w:hAnsi="Palatino Linotype" w:cs="Palatino Linotype"/>
          <w:color w:val="000000"/>
        </w:rPr>
        <w:t xml:space="preserve"> en el que señaló como acto impugnado el siguiente: </w:t>
      </w:r>
    </w:p>
    <w:p w:rsidR="00EF0CF2" w:rsidRDefault="00EF0CF2">
      <w:pPr>
        <w:tabs>
          <w:tab w:val="left" w:pos="851"/>
        </w:tabs>
        <w:spacing w:before="280"/>
        <w:ind w:left="851" w:right="901"/>
        <w:jc w:val="both"/>
        <w:rPr>
          <w:rFonts w:ascii="Palatino Linotype" w:eastAsia="Palatino Linotype" w:hAnsi="Palatino Linotype" w:cs="Palatino Linotype"/>
          <w:i/>
          <w:sz w:val="22"/>
          <w:szCs w:val="22"/>
        </w:rPr>
      </w:pPr>
    </w:p>
    <w:p w:rsidR="00EF0CF2" w:rsidRDefault="006974AA">
      <w:pPr>
        <w:tabs>
          <w:tab w:val="left" w:pos="851"/>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“PORQUE EL SUJETO OBLIGADO SE NIEGA A ENTREGAR LA INFORMACIÓN SOLICITADA VIA SAIMEX.” (sic)</w:t>
      </w:r>
    </w:p>
    <w:p w:rsidR="00EF0CF2" w:rsidRDefault="00EF0CF2">
      <w:pPr>
        <w:tabs>
          <w:tab w:val="left" w:pos="851"/>
        </w:tabs>
        <w:ind w:left="851" w:right="901"/>
        <w:jc w:val="both"/>
        <w:rPr>
          <w:rFonts w:ascii="Palatino Linotype" w:eastAsia="Palatino Linotype" w:hAnsi="Palatino Linotype" w:cs="Palatino Linotype"/>
          <w:i/>
          <w:sz w:val="22"/>
          <w:szCs w:val="22"/>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w:t>
      </w:r>
      <w:r>
        <w:rPr>
          <w:rFonts w:ascii="Palatino Linotype" w:eastAsia="Palatino Linotype" w:hAnsi="Palatino Linotype" w:cs="Palatino Linotype"/>
          <w:b/>
        </w:rPr>
        <w:t xml:space="preserve">L RECURRENTE </w:t>
      </w:r>
      <w:r>
        <w:rPr>
          <w:rFonts w:ascii="Palatino Linotype" w:eastAsia="Palatino Linotype" w:hAnsi="Palatino Linotype" w:cs="Palatino Linotype"/>
        </w:rPr>
        <w:t xml:space="preserve">manifestó como razones o motivos de inconformidad, lo siguiente: </w:t>
      </w:r>
    </w:p>
    <w:p w:rsidR="00EF0CF2" w:rsidRDefault="00EF0CF2">
      <w:pPr>
        <w:tabs>
          <w:tab w:val="left" w:pos="851"/>
        </w:tabs>
        <w:ind w:left="851" w:right="901"/>
        <w:jc w:val="both"/>
        <w:rPr>
          <w:rFonts w:ascii="Palatino Linotype" w:eastAsia="Palatino Linotype" w:hAnsi="Palatino Linotype" w:cs="Palatino Linotype"/>
          <w:i/>
        </w:rPr>
      </w:pPr>
    </w:p>
    <w:p w:rsidR="00EF0CF2" w:rsidRDefault="006974AA">
      <w:pPr>
        <w:tabs>
          <w:tab w:val="left" w:pos="851"/>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“PORQUE NUNCA PREGUNTE DONDE ESTA LA INFORMACIÓN YO SOLICITE LA INFORMACION VIA SAIMEX.” (sic)</w:t>
      </w:r>
    </w:p>
    <w:p w:rsidR="00EF0CF2" w:rsidRDefault="00EF0CF2">
      <w:pPr>
        <w:tabs>
          <w:tab w:val="left" w:pos="851"/>
        </w:tabs>
        <w:spacing w:after="280"/>
        <w:ind w:left="851" w:right="901"/>
        <w:jc w:val="both"/>
        <w:rPr>
          <w:rFonts w:ascii="Palatino Linotype" w:eastAsia="Palatino Linotype" w:hAnsi="Palatino Linotype" w:cs="Palatino Linotype"/>
          <w:i/>
          <w:sz w:val="22"/>
          <w:szCs w:val="22"/>
        </w:rPr>
      </w:pPr>
    </w:p>
    <w:p w:rsidR="00EF0CF2" w:rsidRDefault="006974AA">
      <w:pPr>
        <w:pBdr>
          <w:top w:val="nil"/>
          <w:left w:val="nil"/>
          <w:bottom w:val="nil"/>
          <w:right w:val="nil"/>
          <w:between w:val="nil"/>
        </w:pBdr>
        <w:tabs>
          <w:tab w:val="center" w:pos="4252"/>
          <w:tab w:val="right" w:pos="8504"/>
        </w:tabs>
        <w:spacing w:before="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 </w:t>
      </w:r>
      <w:r>
        <w:rPr>
          <w:rFonts w:ascii="Palatino Linotype" w:eastAsia="Palatino Linotype" w:hAnsi="Palatino Linotype" w:cs="Palatino Linotype"/>
          <w:color w:val="000000"/>
        </w:rPr>
        <w:t>De las constancias del expediente electrónico del</w:t>
      </w:r>
      <w:r>
        <w:rPr>
          <w:rFonts w:ascii="Palatino Linotype" w:eastAsia="Palatino Linotype" w:hAnsi="Palatino Linotype" w:cs="Palatino Linotype"/>
          <w:b/>
          <w:color w:val="000000"/>
        </w:rPr>
        <w:t xml:space="preserve"> SAIMEX</w:t>
      </w:r>
      <w:r>
        <w:rPr>
          <w:rFonts w:ascii="Palatino Linotype" w:eastAsia="Palatino Linotype" w:hAnsi="Palatino Linotype" w:cs="Palatino Linotype"/>
          <w:color w:val="000000"/>
        </w:rPr>
        <w:t xml:space="preserve">, se advierte que en fecha diecisiete de febrero de dos mil veinte,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color w:val="000000"/>
        </w:rPr>
        <w:lastRenderedPageBreak/>
        <w:t xml:space="preserve">conforme a lo dispuesto por el artículo 185 de la Ley de Transparencia y Acceso a la Información Pública del Estado de México y Municipios, manifestaran lo que a su derecho conviniera, a efecto de presentar pruebas y alegatos; así como para que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rindiera su</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Informe Justificado.</w:t>
      </w:r>
    </w:p>
    <w:p w:rsidR="00EF0CF2" w:rsidRDefault="00EF0CF2">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rsidR="00EF0CF2" w:rsidRDefault="006974AA">
      <w:pPr>
        <w:pBdr>
          <w:top w:val="nil"/>
          <w:left w:val="nil"/>
          <w:bottom w:val="nil"/>
          <w:right w:val="nil"/>
          <w:between w:val="nil"/>
        </w:pBdr>
        <w:tabs>
          <w:tab w:val="center" w:pos="4252"/>
          <w:tab w:val="right" w:pos="8504"/>
        </w:tabs>
        <w:spacing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 xml:space="preserve">VI. </w:t>
      </w:r>
      <w:r>
        <w:rPr>
          <w:rFonts w:ascii="Palatino Linotype" w:eastAsia="Palatino Linotype" w:hAnsi="Palatino Linotype" w:cs="Palatino Linotype"/>
          <w:color w:val="000000"/>
        </w:rPr>
        <w:t xml:space="preserve">Conforme a las constancias que obran en el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se desprende que que atento a lo dispuesto en el artículo 185 de la Ley de Transparencia y Acceso a la Información Pública del Estado de México y Municipios, dentro del término legalmente concedido a E</w:t>
      </w:r>
      <w:r>
        <w:rPr>
          <w:rFonts w:ascii="Palatino Linotype" w:eastAsia="Palatino Linotype" w:hAnsi="Palatino Linotype" w:cs="Palatino Linotype"/>
          <w:b/>
          <w:color w:val="000000"/>
        </w:rPr>
        <w:t>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éste no realizó manifestación alguna, ni presentó pruebas o alegatos, así como tampoco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rindió su Informe Justificado, tal y como se aprecia en la siguiente imagen:     </w:t>
      </w:r>
    </w:p>
    <w:p w:rsidR="00EF0CF2" w:rsidRDefault="00EF0CF2">
      <w:pPr>
        <w:spacing w:before="280" w:line="360" w:lineRule="auto"/>
        <w:jc w:val="both"/>
      </w:pPr>
    </w:p>
    <w:p w:rsidR="00EF0CF2" w:rsidRDefault="006974AA">
      <w:pPr>
        <w:spacing w:line="360" w:lineRule="auto"/>
        <w:jc w:val="both"/>
      </w:pPr>
      <w:r>
        <w:t xml:space="preserve"> </w:t>
      </w:r>
      <w:r>
        <w:rPr>
          <w:noProof/>
        </w:rPr>
        <w:drawing>
          <wp:inline distT="0" distB="0" distL="0" distR="0">
            <wp:extent cx="5669280" cy="26670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l="11712" t="42341" r="12114" b="27969"/>
                    <a:stretch>
                      <a:fillRect/>
                    </a:stretch>
                  </pic:blipFill>
                  <pic:spPr>
                    <a:xfrm>
                      <a:off x="0" y="0"/>
                      <a:ext cx="5669280" cy="2667000"/>
                    </a:xfrm>
                    <a:prstGeom prst="rect">
                      <a:avLst/>
                    </a:prstGeom>
                    <a:ln/>
                  </pic:spPr>
                </pic:pic>
              </a:graphicData>
            </a:graphic>
          </wp:inline>
        </w:drawing>
      </w:r>
      <w:r>
        <w:rPr>
          <w:noProof/>
        </w:rPr>
        <mc:AlternateContent>
          <mc:Choice Requires="wpg">
            <w:drawing>
              <wp:anchor distT="0" distB="0" distL="0" distR="0" simplePos="0" relativeHeight="251658240" behindDoc="0" locked="0" layoutInCell="1" hidden="0" allowOverlap="1">
                <wp:simplePos x="0" y="0"/>
                <wp:positionH relativeFrom="column">
                  <wp:posOffset>88900</wp:posOffset>
                </wp:positionH>
                <wp:positionV relativeFrom="paragraph">
                  <wp:posOffset>736600</wp:posOffset>
                </wp:positionV>
                <wp:extent cx="5705960" cy="1913105"/>
                <wp:effectExtent l="0" t="0" r="0" b="0"/>
                <wp:wrapNone/>
                <wp:docPr id="11" name="Rectángulo 11"/>
                <wp:cNvGraphicFramePr/>
                <a:graphic xmlns:a="http://schemas.openxmlformats.org/drawingml/2006/main">
                  <a:graphicData uri="http://schemas.microsoft.com/office/word/2010/wordprocessingShape">
                    <wps:wsp>
                      <wps:cNvSpPr/>
                      <wps:spPr>
                        <a:xfrm>
                          <a:off x="2507580" y="2838060"/>
                          <a:ext cx="5676840" cy="1883880"/>
                        </a:xfrm>
                        <a:prstGeom prst="rect">
                          <a:avLst/>
                        </a:prstGeom>
                        <a:noFill/>
                        <a:ln w="28425" cap="flat" cmpd="sng">
                          <a:solidFill>
                            <a:srgbClr val="FF0000"/>
                          </a:solidFill>
                          <a:prstDash val="solid"/>
                          <a:round/>
                          <a:headEnd type="none" w="sm" len="sm"/>
                          <a:tailEnd type="none" w="sm" len="sm"/>
                        </a:ln>
                        <a:effectLst>
                          <a:outerShdw blurRad="40000" dist="23040" dir="5400000" rotWithShape="0">
                            <a:srgbClr val="000000">
                              <a:alpha val="34901"/>
                            </a:srgbClr>
                          </a:outerShdw>
                        </a:effectLst>
                      </wps:spPr>
                      <wps:txbx>
                        <w:txbxContent>
                          <w:p w:rsidR="00EF0CF2" w:rsidRDefault="00EF0CF2">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wp:posOffset>
                </wp:positionH>
                <wp:positionV relativeFrom="paragraph">
                  <wp:posOffset>736600</wp:posOffset>
                </wp:positionV>
                <wp:extent cx="5705960" cy="1913105"/>
                <wp:effectExtent b="0" l="0" r="0" t="0"/>
                <wp:wrapNone/>
                <wp:docPr id="1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05960" cy="1913105"/>
                        </a:xfrm>
                        <a:prstGeom prst="rect"/>
                        <a:ln/>
                      </pic:spPr>
                    </pic:pic>
                  </a:graphicData>
                </a:graphic>
              </wp:anchor>
            </w:drawing>
          </mc:Fallback>
        </mc:AlternateConten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 xml:space="preserve">IX. </w:t>
      </w:r>
      <w:r>
        <w:rPr>
          <w:rFonts w:ascii="Palatino Linotype" w:eastAsia="Palatino Linotype" w:hAnsi="Palatino Linotype" w:cs="Palatino Linotype"/>
        </w:rPr>
        <w:t>Una vez analizado el estado procesal que guardaba el expediente, en fecha veintiocho de febrero de dos mil veinte, la Comisionada Ponente acordó el cierre de instrucción, así como la remisión del mismo a efecto de ser resuelto, de conformidad con lo establecido en el artículo 185, VI y VIII de la Ley de Transparencia y Acceso a la Información Pública del Estado de México y Municipios.</w:t>
      </w:r>
    </w:p>
    <w:p w:rsidR="00EF0CF2" w:rsidRDefault="00EF0CF2">
      <w:pPr>
        <w:ind w:right="50"/>
        <w:jc w:val="both"/>
        <w:rPr>
          <w:rFonts w:ascii="Palatino Linotype" w:eastAsia="Palatino Linotype" w:hAnsi="Palatino Linotype" w:cs="Palatino Linotype"/>
        </w:rPr>
      </w:pPr>
    </w:p>
    <w:p w:rsidR="00EF0CF2" w:rsidRDefault="006974A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EF0CF2" w:rsidRDefault="00EF0CF2">
      <w:pPr>
        <w:ind w:right="50"/>
        <w:jc w:val="both"/>
        <w:rPr>
          <w:rFonts w:ascii="Palatino Linotype" w:eastAsia="Palatino Linotype" w:hAnsi="Palatino Linotype" w:cs="Palatino Linotype"/>
          <w:b/>
        </w:rPr>
      </w:pPr>
    </w:p>
    <w:p w:rsidR="00EF0CF2" w:rsidRDefault="006974AA">
      <w:pPr>
        <w:spacing w:line="360" w:lineRule="auto"/>
        <w:ind w:right="50"/>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Pr>
          <w:rFonts w:ascii="Palatino Linotype" w:eastAsia="Palatino Linotype" w:hAnsi="Palatino Linotype" w:cs="Palatino Linotype"/>
          <w:b/>
        </w:rPr>
        <w:t>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EF0CF2" w:rsidRDefault="00EF0CF2">
      <w:pPr>
        <w:spacing w:line="360" w:lineRule="auto"/>
        <w:jc w:val="both"/>
        <w:rPr>
          <w:rFonts w:ascii="Palatino Linotype" w:eastAsia="Palatino Linotype" w:hAnsi="Palatino Linotype" w:cs="Palatino Linotype"/>
          <w:b/>
        </w:rPr>
      </w:pPr>
    </w:p>
    <w:p w:rsidR="00EF0CF2" w:rsidRDefault="006974A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r>
        <w:rPr>
          <w:rFonts w:ascii="Palatino Linotype" w:eastAsia="Palatino Linotype" w:hAnsi="Palatino Linotype" w:cs="Palatino Linotype"/>
        </w:rPr>
        <w:t xml:space="preserve">El recurso de revisión fue interpuesto por parte legítima, en atención a que se presentó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quien es la misma persona que formuló la solicitud de acceso a la información pública al </w:t>
      </w:r>
      <w:r>
        <w:rPr>
          <w:rFonts w:ascii="Palatino Linotype" w:eastAsia="Palatino Linotype" w:hAnsi="Palatino Linotype" w:cs="Palatino Linotype"/>
          <w:b/>
        </w:rPr>
        <w:t>SUJETO OBLIGADO.</w:t>
      </w:r>
    </w:p>
    <w:p w:rsidR="00EF0CF2" w:rsidRDefault="00EF0CF2">
      <w:pPr>
        <w:spacing w:after="280" w:line="360" w:lineRule="auto"/>
        <w:jc w:val="both"/>
        <w:rPr>
          <w:rFonts w:ascii="Palatino Linotype" w:eastAsia="Palatino Linotype" w:hAnsi="Palatino Linotype" w:cs="Palatino Linotype"/>
          <w:b/>
        </w:rPr>
      </w:pPr>
    </w:p>
    <w:p w:rsidR="00EF0CF2" w:rsidRDefault="006974AA">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 xml:space="preserve">TERCERO. </w:t>
      </w:r>
      <w:r>
        <w:rPr>
          <w:rFonts w:ascii="Palatino Linotype" w:eastAsia="Palatino Linotype" w:hAnsi="Palatino Linotype" w:cs="Palatino Linotype"/>
          <w:b/>
          <w:color w:val="000000"/>
        </w:rPr>
        <w:t xml:space="preserve">Oportunidad. </w:t>
      </w:r>
      <w:r>
        <w:rPr>
          <w:rFonts w:ascii="Palatino Linotype" w:eastAsia="Palatino Linotype" w:hAnsi="Palatino Linotype" w:cs="Palatino Linotype"/>
          <w:color w:val="000000"/>
        </w:rPr>
        <w:t xml:space="preserve">El recurso de revisión fue interpuesto dentro del plazo de quince días hábiles, contados a partir del día siguiente de la repuesta al en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tuvo conocimiento de la respuesta impugnada; tal y como, lo prevé el artículo 178 de la Ley de Transparencia y Acceso a la Información Pública del Estado de México y Municipios, que establece:</w:t>
      </w:r>
    </w:p>
    <w:p w:rsidR="00EF0CF2" w:rsidRDefault="00EF0CF2">
      <w:pPr>
        <w:spacing w:before="280" w:line="360" w:lineRule="auto"/>
        <w:jc w:val="both"/>
        <w:rPr>
          <w:rFonts w:ascii="Palatino Linotype" w:eastAsia="Palatino Linotype" w:hAnsi="Palatino Linotype" w:cs="Palatino Linotype"/>
          <w:color w:val="000000"/>
        </w:rPr>
      </w:pPr>
    </w:p>
    <w:p w:rsidR="00EF0CF2" w:rsidRDefault="006974A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178. </w:t>
      </w:r>
      <w:r>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F0CF2" w:rsidRDefault="00EF0CF2">
      <w:pPr>
        <w:ind w:left="851" w:right="901"/>
        <w:jc w:val="both"/>
        <w:rPr>
          <w:rFonts w:ascii="Palatino Linotype" w:eastAsia="Palatino Linotype" w:hAnsi="Palatino Linotype" w:cs="Palatino Linotype"/>
          <w:i/>
          <w:color w:val="000000"/>
          <w:sz w:val="22"/>
          <w:szCs w:val="22"/>
        </w:rPr>
      </w:pPr>
    </w:p>
    <w:p w:rsidR="00EF0CF2" w:rsidRDefault="006974A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rsidR="00EF0CF2" w:rsidRDefault="00EF0CF2">
      <w:pPr>
        <w:ind w:left="851" w:right="901"/>
        <w:jc w:val="both"/>
        <w:rPr>
          <w:rFonts w:ascii="Palatino Linotype" w:eastAsia="Palatino Linotype" w:hAnsi="Palatino Linotype" w:cs="Palatino Linotype"/>
          <w:i/>
          <w:color w:val="000000"/>
          <w:sz w:val="22"/>
          <w:szCs w:val="22"/>
        </w:rPr>
      </w:pPr>
    </w:p>
    <w:p w:rsidR="00EF0CF2" w:rsidRDefault="006974A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EF0CF2" w:rsidRDefault="006974AA">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(Énfasis añadido) </w:t>
      </w:r>
    </w:p>
    <w:p w:rsidR="00EF0CF2" w:rsidRDefault="00EF0CF2">
      <w:pPr>
        <w:jc w:val="both"/>
        <w:rPr>
          <w:rFonts w:ascii="Palatino Linotype" w:eastAsia="Palatino Linotype" w:hAnsi="Palatino Linotype" w:cs="Palatino Linotype"/>
          <w:color w:val="000000"/>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información pública el </w:t>
      </w:r>
      <w:r>
        <w:rPr>
          <w:rFonts w:ascii="Palatino Linotype" w:eastAsia="Palatino Linotype" w:hAnsi="Palatino Linotype" w:cs="Palatino Linotype"/>
          <w:b/>
        </w:rPr>
        <w:t>cuatro de febrero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dos mil veinte; </w:t>
      </w:r>
      <w:r>
        <w:rPr>
          <w:rFonts w:ascii="Palatino Linotype" w:eastAsia="Palatino Linotype" w:hAnsi="Palatino Linotype" w:cs="Palatino Linotype"/>
        </w:rPr>
        <w:t>en consecuencia,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transcurrió del</w:t>
      </w:r>
      <w:r>
        <w:rPr>
          <w:rFonts w:ascii="Palatino Linotype" w:eastAsia="Palatino Linotype" w:hAnsi="Palatino Linotype" w:cs="Palatino Linotype"/>
          <w:b/>
        </w:rPr>
        <w:t xml:space="preserve"> cuatro al veinticinco de febrero de dos mil veinte</w:t>
      </w:r>
      <w:r>
        <w:rPr>
          <w:rFonts w:ascii="Palatino Linotype" w:eastAsia="Palatino Linotype" w:hAnsi="Palatino Linotype" w:cs="Palatino Linotype"/>
        </w:rPr>
        <w:t xml:space="preserve">, sin contemplar en el cómputo los días ocho, nueve, quince, dieciséis, veintidós y veintitrés de febrero por corresponder a sábados </w:t>
      </w:r>
      <w:r>
        <w:rPr>
          <w:rFonts w:ascii="Palatino Linotype" w:eastAsia="Palatino Linotype" w:hAnsi="Palatino Linotype" w:cs="Palatino Linotype"/>
        </w:rPr>
        <w:lastRenderedPageBreak/>
        <w:t>y domingos, considerados como días inhábiles, en términos del artículo 3 fracción X de la Ley de Transparencia y Acceso a la Información Pública del Estado de México y Municipios.</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once de febrero de dos mil veinte</w:t>
      </w:r>
      <w:r>
        <w:rPr>
          <w:rFonts w:ascii="Palatino Linotype" w:eastAsia="Palatino Linotype" w:hAnsi="Palatino Linotype" w:cs="Palatino Linotype"/>
        </w:rPr>
        <w:t>, éste se encuentra dentro de los márgenes temporales previstos en el citado precepto legal y, por tanto, se considera oportuno.</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Pr>
          <w:rFonts w:ascii="Palatino Linotype" w:eastAsia="Palatino Linotype" w:hAnsi="Palatino Linotype" w:cs="Palatino Linotype"/>
          <w:b/>
        </w:rPr>
        <w:t>EL SARCOEM</w:t>
      </w:r>
      <w:r>
        <w:rPr>
          <w:rFonts w:ascii="Palatino Linotype" w:eastAsia="Palatino Linotype" w:hAnsi="Palatino Linotype" w:cs="Palatino Linotype"/>
        </w:rPr>
        <w:t>.</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 xml:space="preserve">Estudio y resolución del recurso. </w:t>
      </w:r>
      <w:r>
        <w:rPr>
          <w:rFonts w:ascii="Palatino Linotype" w:eastAsia="Palatino Linotype" w:hAnsi="Palatino Linotype" w:cs="Palatino Linotype"/>
        </w:rPr>
        <w:t>Del análisis efectuado se advierte la procedencia del recurso de revisión, toda vez que se actualiza la hipótesis prevista en la fracción, V del artículo 179 de la Ley de Transparencia y Acceso a la Información Pública del Estado de México y Municipios, que a la letra versa:</w:t>
      </w:r>
    </w:p>
    <w:p w:rsidR="00EF0CF2" w:rsidRDefault="00EF0CF2">
      <w:pPr>
        <w:spacing w:line="360" w:lineRule="auto"/>
        <w:jc w:val="both"/>
        <w:rPr>
          <w:rFonts w:ascii="Palatino Linotype" w:eastAsia="Palatino Linotype" w:hAnsi="Palatino Linotype" w:cs="Palatino Linotype"/>
          <w:b/>
        </w:rPr>
      </w:pP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F0CF2" w:rsidRDefault="006974AA">
      <w:pPr>
        <w:tabs>
          <w:tab w:val="left" w:pos="993"/>
        </w:tabs>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r>
        <w:rPr>
          <w:rFonts w:ascii="Palatino Linotype" w:eastAsia="Palatino Linotype" w:hAnsi="Palatino Linotype" w:cs="Palatino Linotype"/>
          <w:i/>
          <w:sz w:val="22"/>
          <w:szCs w:val="22"/>
        </w:rPr>
        <w:t>;</w:t>
      </w:r>
    </w:p>
    <w:p w:rsidR="00EF0CF2" w:rsidRDefault="006974AA">
      <w:pPr>
        <w:tabs>
          <w:tab w:val="left" w:pos="993"/>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EF0CF2" w:rsidRDefault="00EF0CF2">
      <w:pPr>
        <w:ind w:left="851" w:right="902"/>
        <w:jc w:val="both"/>
        <w:rPr>
          <w:rFonts w:ascii="Palatino Linotype" w:eastAsia="Palatino Linotype" w:hAnsi="Palatino Linotype" w:cs="Palatino Linotype"/>
          <w:i/>
          <w:sz w:val="22"/>
          <w:szCs w:val="22"/>
        </w:rPr>
      </w:pPr>
    </w:p>
    <w:p w:rsidR="00EF0CF2" w:rsidRDefault="006974A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cuando 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satisface en su totalidad el requerimiento formulado por el solicitante y por ende no colma el derecho de acceso a la información pública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w:t>
      </w:r>
    </w:p>
    <w:p w:rsidR="00EF0CF2" w:rsidRDefault="00EF0CF2">
      <w:pPr>
        <w:widowControl w:val="0"/>
        <w:spacing w:line="360" w:lineRule="auto"/>
        <w:jc w:val="both"/>
        <w:rPr>
          <w:rFonts w:ascii="Palatino Linotype" w:eastAsia="Palatino Linotype" w:hAnsi="Palatino Linotype" w:cs="Palatino Linotype"/>
        </w:rPr>
      </w:pPr>
    </w:p>
    <w:p w:rsidR="00EF0CF2" w:rsidRDefault="006974A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determinada la vía sobre la que versará el presente recurso, y previa revisión del expediente electrónico formado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motivo de la solicitud de información y del recurso que se resuelve, se precisa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solicitó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lo siguiente:</w:t>
      </w:r>
    </w:p>
    <w:p w:rsidR="00EF0CF2" w:rsidRDefault="00EF0CF2">
      <w:pPr>
        <w:spacing w:line="360" w:lineRule="auto"/>
        <w:jc w:val="both"/>
        <w:rPr>
          <w:rFonts w:ascii="Palatino Linotype" w:eastAsia="Palatino Linotype" w:hAnsi="Palatino Linotype" w:cs="Palatino Linotype"/>
          <w:color w:val="000000"/>
        </w:rPr>
      </w:pPr>
    </w:p>
    <w:p w:rsidR="00EF0CF2" w:rsidRDefault="006974AA">
      <w:pPr>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sz w:val="22"/>
          <w:szCs w:val="22"/>
        </w:rPr>
        <w:t>ACTAS DE CABILDO ORDINARIAS Y EXTRAORDINARIAS DE AGOSTO A DICIEMBRE DEL 2019”</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respondió al particular que la información podía ser consultada en la plataforma DE IPOMEX EN LA FRACCIÓN II B2.</w:t>
      </w:r>
    </w:p>
    <w:p w:rsidR="00EF0CF2" w:rsidRDefault="00EF0CF2">
      <w:pPr>
        <w:spacing w:line="360" w:lineRule="auto"/>
        <w:jc w:val="both"/>
        <w:rPr>
          <w:rFonts w:ascii="Palatino Linotype" w:eastAsia="Palatino Linotype" w:hAnsi="Palatino Linotype" w:cs="Palatino Linotype"/>
        </w:rPr>
      </w:pPr>
    </w:p>
    <w:p w:rsidR="00EF0CF2" w:rsidRDefault="006974AA">
      <w:pPr>
        <w:widowControl w:val="0"/>
        <w:tabs>
          <w:tab w:val="left" w:pos="0"/>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Inconforme con la respuesta, el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medio de defensa de análisis, en el cual manifestó como acto impugnado, lo siguiente:</w:t>
      </w:r>
    </w:p>
    <w:p w:rsidR="00EF0CF2" w:rsidRDefault="00EF0CF2">
      <w:pPr>
        <w:ind w:left="709" w:right="709"/>
        <w:jc w:val="both"/>
        <w:rPr>
          <w:rFonts w:ascii="Palatino Linotype" w:eastAsia="Palatino Linotype" w:hAnsi="Palatino Linotype" w:cs="Palatino Linotype"/>
          <w:i/>
          <w:sz w:val="22"/>
          <w:szCs w:val="22"/>
        </w:rPr>
      </w:pPr>
    </w:p>
    <w:p w:rsidR="00EF0CF2" w:rsidRDefault="006974AA">
      <w:pPr>
        <w:tabs>
          <w:tab w:val="left" w:pos="851"/>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“PORQUE EL SUJETO OBLIGADO SE NIEGA A ENTREGAR LA INFORMACIÓN SOLICITADA VIA SAIMEX.” (Sic)</w:t>
      </w:r>
    </w:p>
    <w:p w:rsidR="00EF0CF2" w:rsidRDefault="00EF0CF2">
      <w:pPr>
        <w:tabs>
          <w:tab w:val="left" w:pos="851"/>
        </w:tabs>
        <w:ind w:left="851" w:right="901"/>
        <w:jc w:val="both"/>
        <w:rPr>
          <w:rFonts w:ascii="Palatino Linotype" w:eastAsia="Palatino Linotype" w:hAnsi="Palatino Linotype" w:cs="Palatino Linotype"/>
          <w:i/>
          <w:sz w:val="22"/>
          <w:szCs w:val="22"/>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w:t>
      </w:r>
      <w:r>
        <w:rPr>
          <w:rFonts w:ascii="Palatino Linotype" w:eastAsia="Palatino Linotype" w:hAnsi="Palatino Linotype" w:cs="Palatino Linotype"/>
          <w:b/>
        </w:rPr>
        <w:t xml:space="preserve">L RECURRENTE </w:t>
      </w:r>
      <w:r>
        <w:rPr>
          <w:rFonts w:ascii="Palatino Linotype" w:eastAsia="Palatino Linotype" w:hAnsi="Palatino Linotype" w:cs="Palatino Linotype"/>
        </w:rPr>
        <w:t xml:space="preserve">manifestó como razones o motivos de inconformidad, lo siguiente: </w:t>
      </w:r>
    </w:p>
    <w:p w:rsidR="00EF0CF2" w:rsidRDefault="00EF0CF2">
      <w:pPr>
        <w:tabs>
          <w:tab w:val="left" w:pos="851"/>
        </w:tabs>
        <w:ind w:left="851" w:right="901"/>
        <w:jc w:val="both"/>
        <w:rPr>
          <w:rFonts w:ascii="Palatino Linotype" w:eastAsia="Palatino Linotype" w:hAnsi="Palatino Linotype" w:cs="Palatino Linotype"/>
          <w:i/>
        </w:rPr>
      </w:pPr>
    </w:p>
    <w:p w:rsidR="00EF0CF2" w:rsidRDefault="006974AA">
      <w:pPr>
        <w:tabs>
          <w:tab w:val="left" w:pos="851"/>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“PORQUE NUNCA PREGUNTE DONDE ESTA LA INFORMACIÓN YO SOLICITE LA INFORMACION VIA SAIMEX.” (Sic)</w:t>
      </w:r>
    </w:p>
    <w:p w:rsidR="00EF0CF2" w:rsidRDefault="00EF0CF2">
      <w:pPr>
        <w:ind w:left="851" w:right="902"/>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contexto, esta Autoridad analizó la totalidad de constancias que integran el expediente electrónico del SAIMEX y advirtió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devienen fundados, en atención a las siguientes consideraciones de hecho y de derecho:</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Primeramente, se precisa que se obvia el análisis</w:t>
      </w:r>
      <w:r>
        <w:rPr>
          <w:sz w:val="16"/>
          <w:szCs w:val="16"/>
        </w:rPr>
        <w:t xml:space="preserve"> </w:t>
      </w:r>
      <w:r>
        <w:rPr>
          <w:rFonts w:ascii="Palatino Linotype" w:eastAsia="Palatino Linotype" w:hAnsi="Palatino Linotype" w:cs="Palatino Linotype"/>
        </w:rPr>
        <w:t xml:space="preserve">de la competencia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para generar, administrar o poseer la información solicitada en el recurso que nos ocupa, dado que éste ha asumido la misma, en razón de que en su respuesta e Informe Justificado, se pronunció ante todos y cada uno de los requerimientos del ciudadano realizando manifestaciones y proporcionando información con lo cual pretende colmar el derecho de acceso a la información del particular, por lo cual, asume contar con la información a la que pretende acceder </w:t>
      </w:r>
      <w:r>
        <w:rPr>
          <w:rFonts w:ascii="Palatino Linotype" w:eastAsia="Palatino Linotype" w:hAnsi="Palatino Linotype" w:cs="Palatino Linotype"/>
          <w:b/>
        </w:rPr>
        <w:t>EL RECURRENTE.</w:t>
      </w:r>
    </w:p>
    <w:p w:rsidR="00EF0CF2" w:rsidRDefault="00EF0CF2">
      <w:pPr>
        <w:spacing w:line="360" w:lineRule="auto"/>
        <w:jc w:val="both"/>
        <w:rPr>
          <w:rFonts w:ascii="Palatino Linotype" w:eastAsia="Palatino Linotype" w:hAnsi="Palatino Linotype" w:cs="Palatino Linotype"/>
        </w:rPr>
      </w:pPr>
    </w:p>
    <w:p w:rsidR="00EF0CF2" w:rsidRDefault="006974AA">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el hecho 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EF0CF2" w:rsidRDefault="00EF0CF2">
      <w:pPr>
        <w:pBdr>
          <w:top w:val="nil"/>
          <w:left w:val="nil"/>
          <w:bottom w:val="nil"/>
          <w:right w:val="nil"/>
          <w:between w:val="nil"/>
        </w:pBdr>
        <w:spacing w:before="280" w:line="360" w:lineRule="auto"/>
        <w:ind w:left="708"/>
        <w:jc w:val="both"/>
        <w:rPr>
          <w:rFonts w:ascii="Palatino Linotype" w:eastAsia="Palatino Linotype" w:hAnsi="Palatino Linotype" w:cs="Palatino Linotype"/>
          <w:color w:val="000000"/>
        </w:rPr>
      </w:pPr>
    </w:p>
    <w:p w:rsidR="00EF0CF2" w:rsidRDefault="006974AA">
      <w:pPr>
        <w:pBdr>
          <w:top w:val="nil"/>
          <w:left w:val="nil"/>
          <w:bottom w:val="nil"/>
          <w:right w:val="nil"/>
          <w:between w:val="nil"/>
        </w:pBdr>
        <w:ind w:left="720"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w:t>
      </w:r>
    </w:p>
    <w:p w:rsidR="00EF0CF2" w:rsidRDefault="00EF0CF2">
      <w:pPr>
        <w:pBdr>
          <w:top w:val="nil"/>
          <w:left w:val="nil"/>
          <w:bottom w:val="nil"/>
          <w:right w:val="nil"/>
          <w:between w:val="nil"/>
        </w:pBdr>
        <w:ind w:left="720" w:right="899"/>
        <w:jc w:val="both"/>
        <w:rPr>
          <w:rFonts w:ascii="Palatino Linotype" w:eastAsia="Palatino Linotype" w:hAnsi="Palatino Linotype" w:cs="Palatino Linotype"/>
          <w:i/>
          <w:color w:val="000000"/>
          <w:sz w:val="22"/>
          <w:szCs w:val="22"/>
        </w:rPr>
      </w:pPr>
    </w:p>
    <w:p w:rsidR="00EF0CF2" w:rsidRDefault="006974AA">
      <w:pPr>
        <w:pBdr>
          <w:top w:val="nil"/>
          <w:left w:val="nil"/>
          <w:bottom w:val="nil"/>
          <w:right w:val="nil"/>
          <w:between w:val="nil"/>
        </w:pBdr>
        <w:spacing w:after="280"/>
        <w:ind w:left="720" w:right="899"/>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Palatino Linotype" w:hAnsi="Palatino Linotype" w:cs="Palatino Linotype"/>
          <w:b/>
          <w:i/>
          <w:color w:val="000000"/>
          <w:sz w:val="22"/>
          <w:szCs w:val="22"/>
        </w:rPr>
        <w:t>”</w:t>
      </w:r>
    </w:p>
    <w:p w:rsidR="00EF0CF2" w:rsidRDefault="00EF0CF2">
      <w:pPr>
        <w:spacing w:before="280"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estudio de la naturaleza jurídica de la información pública solicitada, tiene por objeto determinar si ésta la genera, posee o administra </w:t>
      </w:r>
      <w:r>
        <w:rPr>
          <w:rFonts w:ascii="Palatino Linotype" w:eastAsia="Palatino Linotype" w:hAnsi="Palatino Linotype" w:cs="Palatino Linotype"/>
          <w:b/>
        </w:rPr>
        <w:t>EL SUJETO OBLIGADO</w:t>
      </w:r>
      <w:r>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este Instituto considera necesario dejar claro que, al haber existido un pronunciamiento respecto a la dirección de correo electrónico donde podrá recibir la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 que a la letra dice:</w:t>
      </w:r>
    </w:p>
    <w:p w:rsidR="00EF0CF2" w:rsidRDefault="00EF0CF2">
      <w:pPr>
        <w:jc w:val="both"/>
        <w:rPr>
          <w:rFonts w:ascii="Palatino Linotype" w:eastAsia="Palatino Linotype" w:hAnsi="Palatino Linotype" w:cs="Palatino Linotype"/>
          <w:color w:val="000000"/>
        </w:rPr>
      </w:pP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F0CF2" w:rsidRDefault="00EF0CF2">
      <w:pPr>
        <w:widowControl w:val="0"/>
        <w:spacing w:line="360" w:lineRule="auto"/>
        <w:jc w:val="both"/>
        <w:rPr>
          <w:rFonts w:ascii="Palatino Linotype" w:eastAsia="Palatino Linotype" w:hAnsi="Palatino Linotype" w:cs="Palatino Linotype"/>
        </w:rPr>
      </w:pPr>
    </w:p>
    <w:p w:rsidR="00EF0CF2" w:rsidRDefault="006974A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esta forma, que tienen la obligación de mantener publicada la información que por Ley les obliga transparentar y que de acuerdo a lo expuesto es que no se está garantizando el derecho de acceso a la información pública accionada por el particular, si bien le remite a una liga y en la misma obrase la información se pudo tener por colmado el derecho de acceso a información pública.</w:t>
      </w:r>
    </w:p>
    <w:p w:rsidR="00EF0CF2" w:rsidRDefault="00EF0CF2">
      <w:pPr>
        <w:widowControl w:val="0"/>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Establecido lo anterior, y para continuar con el presente estudio, resulta conveniente precisar el contenido del artículo 161, de la Ley de Transparencia y Acceso a la Información Pública del Estado de México y Municipios, el cual dispone:</w:t>
      </w:r>
    </w:p>
    <w:p w:rsidR="00EF0CF2" w:rsidRDefault="00EF0CF2">
      <w:pPr>
        <w:ind w:left="709" w:right="709"/>
        <w:jc w:val="both"/>
        <w:rPr>
          <w:rFonts w:ascii="Palatino Linotype" w:eastAsia="Palatino Linotype" w:hAnsi="Palatino Linotype" w:cs="Palatino Linotype"/>
          <w:i/>
          <w:sz w:val="22"/>
          <w:szCs w:val="22"/>
        </w:rPr>
      </w:pPr>
    </w:p>
    <w:p w:rsidR="00EF0CF2" w:rsidRDefault="006974AA">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161. </w:t>
      </w:r>
      <w:r>
        <w:rPr>
          <w:rFonts w:ascii="Palatino Linotype" w:eastAsia="Palatino Linotype" w:hAnsi="Palatino Linotype" w:cs="Palatino Linotype"/>
          <w:b/>
          <w:i/>
          <w:sz w:val="22"/>
          <w:szCs w:val="22"/>
          <w:u w:val="single"/>
        </w:rPr>
        <w:t>Cuando la información requerida por el solicitante ya esté disponible al público en</w:t>
      </w:r>
      <w:r>
        <w:rPr>
          <w:rFonts w:ascii="Palatino Linotype" w:eastAsia="Palatino Linotype" w:hAnsi="Palatino Linotype" w:cs="Palatino Linotype"/>
          <w:i/>
          <w:sz w:val="22"/>
          <w:szCs w:val="22"/>
        </w:rPr>
        <w:t xml:space="preserve"> medios impresos, tales como libros, compendios, trípticos, registros públicos, </w:t>
      </w:r>
      <w:r>
        <w:rPr>
          <w:rFonts w:ascii="Palatino Linotype" w:eastAsia="Palatino Linotype" w:hAnsi="Palatino Linotype" w:cs="Palatino Linotype"/>
          <w:b/>
          <w:i/>
          <w:sz w:val="22"/>
          <w:szCs w:val="22"/>
          <w:u w:val="single"/>
        </w:rPr>
        <w:t>en formatos electrónicos disponibles en Internet</w:t>
      </w:r>
      <w:r>
        <w:rPr>
          <w:rFonts w:ascii="Palatino Linotype" w:eastAsia="Palatino Linotype" w:hAnsi="Palatino Linotype" w:cs="Palatino Linotype"/>
          <w:i/>
          <w:sz w:val="22"/>
          <w:szCs w:val="22"/>
        </w:rPr>
        <w:t xml:space="preserve"> o en cualquier otro medio, </w:t>
      </w:r>
      <w:r>
        <w:rPr>
          <w:rFonts w:ascii="Palatino Linotype" w:eastAsia="Palatino Linotype" w:hAnsi="Palatino Linotype" w:cs="Palatino Linotype"/>
          <w:b/>
          <w:i/>
          <w:sz w:val="22"/>
          <w:szCs w:val="22"/>
          <w:u w:val="single"/>
        </w:rPr>
        <w:t>se le hará saber por el medio requerido por el solicitante la fuente, el lugar y la forma en que puede consultar</w:t>
      </w:r>
      <w:r>
        <w:rPr>
          <w:rFonts w:ascii="Palatino Linotype" w:eastAsia="Palatino Linotype" w:hAnsi="Palatino Linotype" w:cs="Palatino Linotype"/>
          <w:i/>
          <w:sz w:val="22"/>
          <w:szCs w:val="22"/>
        </w:rPr>
        <w:t xml:space="preserve">, reproducir </w:t>
      </w:r>
      <w:r>
        <w:rPr>
          <w:rFonts w:ascii="Palatino Linotype" w:eastAsia="Palatino Linotype" w:hAnsi="Palatino Linotype" w:cs="Palatino Linotype"/>
          <w:b/>
          <w:i/>
          <w:sz w:val="22"/>
          <w:szCs w:val="22"/>
          <w:u w:val="single"/>
        </w:rPr>
        <w:t>o adquirir dicha información en un plazo no mayor a cinco días hábiles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La fuente deberá ser precisa y </w:t>
      </w:r>
      <w:r>
        <w:rPr>
          <w:rFonts w:ascii="Palatino Linotype" w:eastAsia="Palatino Linotype" w:hAnsi="Palatino Linotype" w:cs="Palatino Linotype"/>
          <w:b/>
          <w:i/>
          <w:sz w:val="22"/>
          <w:szCs w:val="22"/>
          <w:u w:val="single"/>
        </w:rPr>
        <w:lastRenderedPageBreak/>
        <w:t>concreta y no debe implicar que el solicitante realice una búsqueda en toda la información que se encuentre disponible</w:t>
      </w:r>
      <w:r>
        <w:rPr>
          <w:rFonts w:ascii="Palatino Linotype" w:eastAsia="Palatino Linotype" w:hAnsi="Palatino Linotype" w:cs="Palatino Linotype"/>
          <w:i/>
          <w:sz w:val="22"/>
          <w:szCs w:val="22"/>
        </w:rPr>
        <w:t>.”</w:t>
      </w:r>
    </w:p>
    <w:p w:rsidR="00EF0CF2" w:rsidRDefault="006974AA">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se advierte que una forma de colmar el derecho de acceso a la información de los solicitantes, sin que necesariamente se proporcione en la modalidad elegida, en el presente caso, a través del SAIMEX, es hacer del conocimiento de los particulares, que la información requerida se encuentra a disposición del público en formatos electrónicos disponibles en Internet, teniendo como requisitos</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necesarios</w:t>
      </w:r>
      <w:r>
        <w:rPr>
          <w:rFonts w:ascii="Palatino Linotype" w:eastAsia="Palatino Linotype" w:hAnsi="Palatino Linotype" w:cs="Palatino Linotype"/>
        </w:rPr>
        <w:t xml:space="preserve">: </w:t>
      </w:r>
      <w:r>
        <w:rPr>
          <w:rFonts w:ascii="Palatino Linotype" w:eastAsia="Palatino Linotype" w:hAnsi="Palatino Linotype" w:cs="Palatino Linotype"/>
          <w:b/>
        </w:rPr>
        <w:t>1)</w:t>
      </w:r>
      <w:r>
        <w:rPr>
          <w:rFonts w:ascii="Palatino Linotype" w:eastAsia="Palatino Linotype" w:hAnsi="Palatino Linotype" w:cs="Palatino Linotype"/>
        </w:rPr>
        <w:t xml:space="preserve"> Que se proporcione la </w:t>
      </w:r>
      <w:r>
        <w:rPr>
          <w:rFonts w:ascii="Palatino Linotype" w:eastAsia="Palatino Linotype" w:hAnsi="Palatino Linotype" w:cs="Palatino Linotype"/>
          <w:b/>
        </w:rPr>
        <w:t>fuente, lugar y forma de consulta</w:t>
      </w:r>
      <w:r>
        <w:rPr>
          <w:rFonts w:ascii="Palatino Linotype" w:eastAsia="Palatino Linotype" w:hAnsi="Palatino Linotype" w:cs="Palatino Linotype"/>
        </w:rPr>
        <w:t xml:space="preserve">; </w:t>
      </w:r>
      <w:r>
        <w:rPr>
          <w:rFonts w:ascii="Palatino Linotype" w:eastAsia="Palatino Linotype" w:hAnsi="Palatino Linotype" w:cs="Palatino Linotype"/>
          <w:b/>
        </w:rPr>
        <w:t>2)</w:t>
      </w:r>
      <w:r>
        <w:rPr>
          <w:rFonts w:ascii="Palatino Linotype" w:eastAsia="Palatino Linotype" w:hAnsi="Palatino Linotype" w:cs="Palatino Linotype"/>
        </w:rPr>
        <w:t xml:space="preserve"> Que se haga del conocimiento </w:t>
      </w:r>
      <w:r>
        <w:rPr>
          <w:rFonts w:ascii="Palatino Linotype" w:eastAsia="Palatino Linotype" w:hAnsi="Palatino Linotype" w:cs="Palatino Linotype"/>
          <w:b/>
        </w:rPr>
        <w:t>dentro del plazo de 5 días hábiles</w:t>
      </w:r>
      <w:r>
        <w:rPr>
          <w:rFonts w:ascii="Palatino Linotype" w:eastAsia="Palatino Linotype" w:hAnsi="Palatino Linotype" w:cs="Palatino Linotype"/>
        </w:rPr>
        <w:t xml:space="preserve"> contados a partir de la solicitud; y </w:t>
      </w:r>
      <w:r>
        <w:rPr>
          <w:rFonts w:ascii="Palatino Linotype" w:eastAsia="Palatino Linotype" w:hAnsi="Palatino Linotype" w:cs="Palatino Linotype"/>
          <w:b/>
        </w:rPr>
        <w:t xml:space="preserve">3) </w:t>
      </w:r>
      <w:r>
        <w:rPr>
          <w:rFonts w:ascii="Palatino Linotype" w:eastAsia="Palatino Linotype" w:hAnsi="Palatino Linotype" w:cs="Palatino Linotype"/>
        </w:rPr>
        <w:t xml:space="preserve">Que la fuente proporcionada sea </w:t>
      </w:r>
      <w:r>
        <w:rPr>
          <w:rFonts w:ascii="Palatino Linotype" w:eastAsia="Palatino Linotype" w:hAnsi="Palatino Linotype" w:cs="Palatino Linotype"/>
          <w:b/>
        </w:rPr>
        <w:t>precisa y concreta</w:t>
      </w:r>
      <w:r>
        <w:rPr>
          <w:rFonts w:ascii="Palatino Linotype" w:eastAsia="Palatino Linotype" w:hAnsi="Palatino Linotype" w:cs="Palatino Linotype"/>
        </w:rPr>
        <w:t xml:space="preserve">, de tal manera, que </w:t>
      </w:r>
      <w:r>
        <w:rPr>
          <w:rFonts w:ascii="Palatino Linotype" w:eastAsia="Palatino Linotype" w:hAnsi="Palatino Linotype" w:cs="Palatino Linotype"/>
          <w:b/>
          <w:u w:val="single"/>
        </w:rPr>
        <w:t>no implique que los solicitantes realicen una búsqueda en toda la información que se encuentre disponible</w:t>
      </w:r>
      <w:r>
        <w:rPr>
          <w:rFonts w:ascii="Palatino Linotype" w:eastAsia="Palatino Linotype" w:hAnsi="Palatino Linotype" w:cs="Palatino Linotype"/>
        </w:rPr>
        <w:t>.</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a criterio de esta Ponencia Resolutora, la fuente proporcionada, esto es, </w:t>
      </w:r>
      <w:r>
        <w:rPr>
          <w:rFonts w:ascii="Palatino Linotype" w:eastAsia="Palatino Linotype" w:hAnsi="Palatino Linotype" w:cs="Palatino Linotype"/>
          <w:color w:val="000000"/>
        </w:rPr>
        <w:t xml:space="preserve">la respuesta proporcionada, </w:t>
      </w:r>
      <w:r>
        <w:rPr>
          <w:rFonts w:ascii="Palatino Linotype" w:eastAsia="Palatino Linotype" w:hAnsi="Palatino Linotype" w:cs="Palatino Linotype"/>
          <w:b/>
          <w:color w:val="000000"/>
        </w:rPr>
        <w:t>incumple con los requisitos de los incisos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2)</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3)</w:t>
      </w:r>
      <w:r>
        <w:rPr>
          <w:rFonts w:ascii="Palatino Linotype" w:eastAsia="Palatino Linotype" w:hAnsi="Palatino Linotype" w:cs="Palatino Linotype"/>
          <w:color w:val="000000"/>
        </w:rPr>
        <w:t xml:space="preserve"> señalados en el párrafo anterior, toda vez que, por una parte, </w:t>
      </w:r>
      <w:r>
        <w:rPr>
          <w:rFonts w:ascii="Palatino Linotype" w:eastAsia="Palatino Linotype" w:hAnsi="Palatino Linotype" w:cs="Palatino Linotype"/>
          <w:b/>
          <w:color w:val="000000"/>
        </w:rPr>
        <w:t>la respuesta fue otorgada fuera del plazo de cinco días hábiles</w:t>
      </w:r>
      <w:r>
        <w:rPr>
          <w:rFonts w:ascii="Palatino Linotype" w:eastAsia="Palatino Linotype" w:hAnsi="Palatino Linotype" w:cs="Palatino Linotype"/>
          <w:color w:val="000000"/>
        </w:rPr>
        <w:t>, puesto que la solicitud fue realizada el día 17</w:t>
      </w:r>
      <w:r>
        <w:rPr>
          <w:rFonts w:ascii="Palatino Linotype" w:eastAsia="Palatino Linotype" w:hAnsi="Palatino Linotype" w:cs="Palatino Linotype"/>
        </w:rPr>
        <w:t xml:space="preserve"> de enero de 2020, mientras que la respuesta fue otorgada hasta el día 4 de febrero de la referida anualidad, es decir, hasta el </w:t>
      </w:r>
      <w:r>
        <w:rPr>
          <w:rFonts w:ascii="Palatino Linotype" w:eastAsia="Palatino Linotype" w:hAnsi="Palatino Linotype" w:cs="Palatino Linotype"/>
          <w:b/>
        </w:rPr>
        <w:t>décimo segundo día hábil</w:t>
      </w:r>
      <w:r>
        <w:rPr>
          <w:rFonts w:ascii="Palatino Linotype" w:eastAsia="Palatino Linotype" w:hAnsi="Palatino Linotype" w:cs="Palatino Linotype"/>
        </w:rPr>
        <w:t xml:space="preserve">; y por otra, que no se proporciona una liga electrónica, </w:t>
      </w:r>
      <w:r>
        <w:rPr>
          <w:rFonts w:ascii="Palatino Linotype" w:eastAsia="Palatino Linotype" w:hAnsi="Palatino Linotype" w:cs="Palatino Linotype"/>
          <w:b/>
        </w:rPr>
        <w:t>precisa y concreta</w:t>
      </w:r>
      <w:r>
        <w:rPr>
          <w:rFonts w:ascii="Palatino Linotype" w:eastAsia="Palatino Linotype" w:hAnsi="Palatino Linotype" w:cs="Palatino Linotype"/>
        </w:rPr>
        <w:t xml:space="preserve">, puesto que, al abrir la liga electrónica en mención, no puede consultarse de </w:t>
      </w:r>
      <w:r>
        <w:rPr>
          <w:rFonts w:ascii="Palatino Linotype" w:eastAsia="Palatino Linotype" w:hAnsi="Palatino Linotype" w:cs="Palatino Linotype"/>
          <w:b/>
          <w:u w:val="single"/>
        </w:rPr>
        <w:t>forma directa</w:t>
      </w:r>
      <w:r>
        <w:rPr>
          <w:rFonts w:ascii="Palatino Linotype" w:eastAsia="Palatino Linotype" w:hAnsi="Palatino Linotype" w:cs="Palatino Linotype"/>
        </w:rPr>
        <w:t xml:space="preserve"> la información requerida, pues de localizarse en la misma, el particular tendría que proceder a realizar una búsqueda exhaustiva en todos y cada una de las ligas que se desprenden de la </w:t>
      </w:r>
      <w:r>
        <w:rPr>
          <w:rFonts w:ascii="Palatino Linotype" w:eastAsia="Palatino Linotype" w:hAnsi="Palatino Linotype" w:cs="Palatino Linotype"/>
        </w:rPr>
        <w:lastRenderedPageBreak/>
        <w:t>originalmente proporcionada para tratar localizar o consultar de manera particular, respeto de cada servidor público aludido en la solicitud.</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virtud de lo anterior, la respuesta proporcionada no satisface lo requerido por el particular, pues no constituye una fuente precisa y concreta, ni tampoco fue otorgada </w:t>
      </w:r>
      <w:r>
        <w:rPr>
          <w:rFonts w:ascii="Palatino Linotype" w:eastAsia="Palatino Linotype" w:hAnsi="Palatino Linotype" w:cs="Palatino Linotype"/>
          <w:b/>
        </w:rPr>
        <w:t>dentro</w:t>
      </w:r>
      <w:r>
        <w:rPr>
          <w:rFonts w:ascii="Palatino Linotype" w:eastAsia="Palatino Linotype" w:hAnsi="Palatino Linotype" w:cs="Palatino Linotype"/>
        </w:rPr>
        <w:t xml:space="preserve"> del plazo legal otorgado para tales efectos, aunado a que constituye una fuente obligacional.</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relación a las actas de cabildo firmadas que se celebraron del uno de agosto a diciembre de 2019, es importante establecer lo que dispone la Ley Orgánica en cita:</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ayuntamientos sesionarán cuando menos una vez cada ocho días o cuantas veces sea necesario en asuntos de urgente resolución</w:t>
      </w:r>
      <w:r>
        <w:rPr>
          <w:rFonts w:ascii="Palatino Linotype" w:eastAsia="Palatino Linotype" w:hAnsi="Palatino Linotype" w:cs="Palatino Linotype"/>
          <w:i/>
          <w:sz w:val="22"/>
          <w:szCs w:val="22"/>
        </w:rPr>
        <w:t xml:space="preserve">, a petición de la mayoría de sus miembros y podrán declararse en sesión permanente cuando la importancia del asunto lo requiera.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sesiones de los ayuntamientos serán públicas y deberán transmitirse a través de la página de internet del municipio. Las sesiones de los ayuntamientos se celebrarán en la sala de cabildos; y cuando la solemnidad del caso lo requiera, en el recinto previamente declarado oficial para tal objeto. Los ayuntamientos sesionarán en cabildo abierto cuando menos bimestralmente.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tipo de sesiones el Ayuntamiento escuchará la opinión del público que participe en la Sesión y podrá tomarla en cuenta al dictaminar sus resoluciones.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Ayuntamiento deberá emitir una convocatoria pública quince días naturales previos a la celebración del Cabildo en sesión abierta para que los habitantes del </w:t>
      </w:r>
      <w:r>
        <w:rPr>
          <w:rFonts w:ascii="Palatino Linotype" w:eastAsia="Palatino Linotype" w:hAnsi="Palatino Linotype" w:cs="Palatino Linotype"/>
          <w:i/>
          <w:sz w:val="22"/>
          <w:szCs w:val="22"/>
        </w:rPr>
        <w:lastRenderedPageBreak/>
        <w:t>municipio que tengan interés se registren como participantes ante la Secretaría del Ayuntamiento.</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la celebración de las sesiones se deberá contar con un orden del día que contenga como mínimo: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Lista de Asistencia y en su caso declaración del quórum legal;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Lectura, discusión y en su caso aprobación del acta de la sesión anterior; c) Aprobación del orden del día;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Presentación de asuntos y turno a Comisiones;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 Lectura, discusión y en su caso, aprobación de los acuerdos; y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 Asuntos generales.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30.</w:t>
      </w:r>
      <w:r>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las actas, se les entregará copia certificada en formato físico o electrónico a los integrantes del Ayuntamiento que lo soliciten en un plazo no mayor de ocho días hábiles.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electrónicos en el que consten las firmas electrónicas avanzadas o el sello electrónico de los integrantes del Ayuntamiento tendrá el carácter de copia certificada. 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r>
        <w:rPr>
          <w:rFonts w:ascii="Palatino Linotype" w:eastAsia="Palatino Linotype" w:hAnsi="Palatino Linotype" w:cs="Palatino Linotype"/>
          <w:b/>
          <w:i/>
          <w:sz w:val="22"/>
          <w:szCs w:val="22"/>
        </w:rPr>
        <w:t>Para cada sesión se deberá contar con una versión estenográfica o videograbada</w:t>
      </w:r>
      <w:r>
        <w:rPr>
          <w:rFonts w:ascii="Palatino Linotype" w:eastAsia="Palatino Linotype" w:hAnsi="Palatino Linotype" w:cs="Palatino Linotype"/>
          <w:i/>
          <w:sz w:val="22"/>
          <w:szCs w:val="22"/>
        </w:rPr>
        <w:t xml:space="preserve"> que permita hacer las aclaraciones pertinentes, </w:t>
      </w:r>
      <w:r>
        <w:rPr>
          <w:rFonts w:ascii="Palatino Linotype" w:eastAsia="Palatino Linotype" w:hAnsi="Palatino Linotype" w:cs="Palatino Linotype"/>
          <w:b/>
          <w:i/>
          <w:sz w:val="22"/>
          <w:szCs w:val="22"/>
        </w:rPr>
        <w:t>la cual formará parte del acta correspondiente</w:t>
      </w:r>
      <w:r>
        <w:rPr>
          <w:rFonts w:ascii="Palatino Linotype" w:eastAsia="Palatino Linotype" w:hAnsi="Palatino Linotype" w:cs="Palatino Linotype"/>
          <w:i/>
          <w:sz w:val="22"/>
          <w:szCs w:val="22"/>
        </w:rPr>
        <w:t xml:space="preserve">. La </w:t>
      </w:r>
      <w:r>
        <w:rPr>
          <w:rFonts w:ascii="Palatino Linotype" w:eastAsia="Palatino Linotype" w:hAnsi="Palatino Linotype" w:cs="Palatino Linotype"/>
          <w:i/>
          <w:sz w:val="22"/>
          <w:szCs w:val="22"/>
        </w:rPr>
        <w:lastRenderedPageBreak/>
        <w:t>versión estenográfica o videograbada deberá estar disponible en la página de internet del Ayuntamiento y en las oficinas de la Secretaría del Ayuntamiento.</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Asistir a las sesiones del ayuntamiento y levantar las actas correspondientes;</w:t>
      </w:r>
    </w:p>
    <w:p w:rsidR="00EF0CF2" w:rsidRDefault="006974AA">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 .”</w:t>
      </w: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lo anterior, que el Servidor Público Habilitado competente para conocer de la información requerida es el Secretario del Ayuntamiento, es quien levanta las actas de las sesiones de cabildo, mismas que se celebrarán cuando menos una vez cada ocho días, o las veces que considere necesarias cuando se tengan que tratar asuntos de urgente resolución.</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mismo, es importante precisar que es una obligación de transparencia específica regulada en el artículo 94, fracción II inciso b), de la Ley de la Materia que señala:</w:t>
      </w:r>
    </w:p>
    <w:p w:rsidR="00EF0CF2" w:rsidRDefault="00EF0CF2">
      <w:pPr>
        <w:spacing w:line="276" w:lineRule="auto"/>
        <w:ind w:left="851" w:right="899"/>
        <w:jc w:val="both"/>
        <w:rPr>
          <w:rFonts w:ascii="Palatino Linotype" w:eastAsia="Palatino Linotype" w:hAnsi="Palatino Linotype" w:cs="Palatino Linotype"/>
          <w:b/>
          <w:i/>
          <w:sz w:val="22"/>
          <w:szCs w:val="22"/>
        </w:rPr>
      </w:pPr>
    </w:p>
    <w:p w:rsidR="00EF0CF2" w:rsidRDefault="006974AA">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94</w:t>
      </w:r>
      <w:r>
        <w:rPr>
          <w:rFonts w:ascii="Palatino Linotype" w:eastAsia="Palatino Linotype" w:hAnsi="Palatino Linotype" w:cs="Palatino Linotype"/>
          <w:i/>
          <w:sz w:val="22"/>
          <w:szCs w:val="22"/>
        </w:rPr>
        <w:t>. Además de las obligaciones de transparencia común a que se refiere el Capítulo II de este Título, los sujetos obligados del Poder Ejecutivo Local y municipales, deberán poner a disposición del público y actualizar la siguiente información:</w:t>
      </w:r>
    </w:p>
    <w:p w:rsidR="00EF0CF2" w:rsidRDefault="006974AA">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Adicionalmente en el caso de los municipios: </w:t>
      </w:r>
    </w:p>
    <w:p w:rsidR="00EF0CF2" w:rsidRDefault="006974AA">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El contenido de las gacetas municipales, las cuales deberán comprender los resolutivos y acuerdos aprobados por los ayuntamientos; </w:t>
      </w:r>
    </w:p>
    <w:p w:rsidR="00EF0CF2" w:rsidRDefault="006974AA">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b) Las actas de sesiones de cabildo</w:t>
      </w:r>
      <w:r>
        <w:rPr>
          <w:rFonts w:ascii="Palatino Linotype" w:eastAsia="Palatino Linotype" w:hAnsi="Palatino Linotype" w:cs="Palatino Linotype"/>
          <w:i/>
          <w:sz w:val="22"/>
          <w:szCs w:val="22"/>
        </w:rPr>
        <w:t>, los controles de asistencia de los integrantes del Ayuntamiento a las sesiones de cabildo y el sentido de votación de los miembros del cabildo sobre las iniciativas o acuerdos;</w:t>
      </w:r>
    </w:p>
    <w:p w:rsidR="00EF0CF2" w:rsidRDefault="00EF0CF2">
      <w:pPr>
        <w:spacing w:line="360" w:lineRule="auto"/>
        <w:jc w:val="both"/>
        <w:rPr>
          <w:rFonts w:ascii="Palatino Linotype" w:eastAsia="Palatino Linotype" w:hAnsi="Palatino Linotype" w:cs="Palatino Linotype"/>
        </w:rPr>
      </w:pPr>
    </w:p>
    <w:p w:rsidR="00EF0CF2" w:rsidRDefault="006974AA">
      <w:pPr>
        <w:spacing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Sin embargo, de la revisión del IPOMEX, se aprecia que de las páginas publicadas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los links proporcionados no obra la información solicitada por el particular como se muestra en las siguientes imágenes:</w:t>
      </w:r>
    </w:p>
    <w:p w:rsidR="00EF0CF2" w:rsidRDefault="00EF0CF2">
      <w:pPr>
        <w:spacing w:before="200" w:after="200" w:line="360" w:lineRule="auto"/>
        <w:jc w:val="both"/>
        <w:rPr>
          <w:rFonts w:ascii="Palatino Linotype" w:eastAsia="Palatino Linotype" w:hAnsi="Palatino Linotype" w:cs="Palatino Linotype"/>
        </w:rPr>
      </w:pPr>
    </w:p>
    <w:p w:rsidR="00EF0CF2" w:rsidRDefault="006974AA">
      <w:pPr>
        <w:spacing w:before="200" w:after="200" w:line="360" w:lineRule="auto"/>
        <w:jc w:val="both"/>
        <w:rPr>
          <w:rFonts w:ascii="Palatino Linotype" w:eastAsia="Palatino Linotype" w:hAnsi="Palatino Linotype" w:cs="Palatino Linotype"/>
        </w:rPr>
      </w:pPr>
      <w:r>
        <w:rPr>
          <w:noProof/>
        </w:rPr>
        <w:drawing>
          <wp:inline distT="0" distB="0" distL="0" distR="0">
            <wp:extent cx="5791835" cy="39624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4210"/>
                    <a:stretch>
                      <a:fillRect/>
                    </a:stretch>
                  </pic:blipFill>
                  <pic:spPr>
                    <a:xfrm>
                      <a:off x="0" y="0"/>
                      <a:ext cx="5791835" cy="3962400"/>
                    </a:xfrm>
                    <a:prstGeom prst="rect">
                      <a:avLst/>
                    </a:prstGeom>
                    <a:ln/>
                  </pic:spPr>
                </pic:pic>
              </a:graphicData>
            </a:graphic>
          </wp:inline>
        </w:drawing>
      </w:r>
      <w:r>
        <w:rPr>
          <w:noProof/>
        </w:rPr>
        <mc:AlternateContent>
          <mc:Choice Requires="wpg">
            <w:drawing>
              <wp:anchor distT="0" distB="0" distL="0" distR="0" simplePos="0" relativeHeight="251659264" behindDoc="0" locked="0" layoutInCell="1" hidden="0" allowOverlap="1">
                <wp:simplePos x="0" y="0"/>
                <wp:positionH relativeFrom="column">
                  <wp:posOffset>-25399</wp:posOffset>
                </wp:positionH>
                <wp:positionV relativeFrom="paragraph">
                  <wp:posOffset>4038600</wp:posOffset>
                </wp:positionV>
                <wp:extent cx="6026785" cy="1864360"/>
                <wp:effectExtent l="0" t="0" r="0" b="0"/>
                <wp:wrapNone/>
                <wp:docPr id="10" name="Conector recto de flecha 10"/>
                <wp:cNvGraphicFramePr/>
                <a:graphic xmlns:a="http://schemas.openxmlformats.org/drawingml/2006/main">
                  <a:graphicData uri="http://schemas.microsoft.com/office/word/2010/wordprocessingShape">
                    <wps:wsp>
                      <wps:cNvCnPr/>
                      <wps:spPr>
                        <a:xfrm>
                          <a:off x="2345308" y="2860520"/>
                          <a:ext cx="6001385" cy="183896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-25399</wp:posOffset>
                </wp:positionH>
                <wp:positionV relativeFrom="paragraph">
                  <wp:posOffset>4038600</wp:posOffset>
                </wp:positionV>
                <wp:extent cx="6026785" cy="1864360"/>
                <wp:effectExtent b="0" l="0" r="0" t="0"/>
                <wp:wrapNone/>
                <wp:docPr id="1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026785" cy="1864360"/>
                        </a:xfrm>
                        <a:prstGeom prst="rect"/>
                        <a:ln/>
                      </pic:spPr>
                    </pic:pic>
                  </a:graphicData>
                </a:graphic>
              </wp:anchor>
            </w:drawing>
          </mc:Fallback>
        </mc:AlternateContent>
      </w:r>
    </w:p>
    <w:p w:rsidR="00EF0CF2" w:rsidRDefault="00EF0CF2">
      <w:pPr>
        <w:spacing w:before="200" w:after="200" w:line="360" w:lineRule="auto"/>
        <w:jc w:val="both"/>
        <w:rPr>
          <w:rFonts w:ascii="Palatino Linotype" w:eastAsia="Palatino Linotype" w:hAnsi="Palatino Linotype" w:cs="Palatino Linotype"/>
        </w:rPr>
      </w:pPr>
    </w:p>
    <w:p w:rsidR="00EF0CF2" w:rsidRDefault="006974AA">
      <w:pPr>
        <w:spacing w:before="200" w:after="200" w:line="360" w:lineRule="auto"/>
        <w:jc w:val="both"/>
        <w:rPr>
          <w:rFonts w:ascii="Palatino Linotype" w:eastAsia="Palatino Linotype" w:hAnsi="Palatino Linotype" w:cs="Palatino Linotype"/>
        </w:rPr>
      </w:pPr>
      <w:r>
        <w:rPr>
          <w:noProof/>
        </w:rPr>
        <w:lastRenderedPageBreak/>
        <w:drawing>
          <wp:inline distT="0" distB="0" distL="0" distR="0">
            <wp:extent cx="5791835" cy="312102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4210"/>
                    <a:stretch>
                      <a:fillRect/>
                    </a:stretch>
                  </pic:blipFill>
                  <pic:spPr>
                    <a:xfrm>
                      <a:off x="0" y="0"/>
                      <a:ext cx="5791835" cy="3121025"/>
                    </a:xfrm>
                    <a:prstGeom prst="rect">
                      <a:avLst/>
                    </a:prstGeom>
                    <a:ln/>
                  </pic:spPr>
                </pic:pic>
              </a:graphicData>
            </a:graphic>
          </wp:inline>
        </w:drawing>
      </w:r>
    </w:p>
    <w:p w:rsidR="00EF0CF2" w:rsidRDefault="00EF0CF2">
      <w:pPr>
        <w:spacing w:before="200"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contexto, el hecho de que la información pública solicitada contenga datos personales susceptibles de ser protegidos mediante su </w:t>
      </w:r>
      <w:r>
        <w:rPr>
          <w:rFonts w:ascii="Palatino Linotype" w:eastAsia="Palatino Linotype" w:hAnsi="Palatino Linotype" w:cs="Palatino Linotype"/>
          <w:b/>
        </w:rPr>
        <w:t>versión pública</w:t>
      </w:r>
      <w:r>
        <w:rPr>
          <w:rFonts w:ascii="Palatino Linotype" w:eastAsia="Palatino Linotype" w:hAnsi="Palatino Linotype" w:cs="Palatino Linotype"/>
        </w:rPr>
        <w:t>, ello no implica que esta circunstancia opere en automático, sino que es necesario que el Comité de Transparencia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emita el Acuerdo de Clasificación correspondiente.</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la información solicitada puede contener datos personales, que de hacerse públicos afectarían la intimidad y vida privada de determinadas personas; es por ello que deben testarse al momento de la elaboración de versiones públicas </w:t>
      </w:r>
      <w:r>
        <w:rPr>
          <w:rFonts w:ascii="Palatino Linotype" w:eastAsia="Palatino Linotype" w:hAnsi="Palatino Linotype" w:cs="Palatino Linotype"/>
          <w:b/>
        </w:rPr>
        <w:t>cualquier otro dato que ponga en riesgo la vida, seguridad y salud de cualquier persona.</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este Órgano Garante no pierde de vista que la información solicitada, pudiera contener a su vez datos personales susceptibles de considerarse información confidencial como lo son: datos personales de los recurrentes.</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w:t>
      </w:r>
      <w:r>
        <w:rPr>
          <w:rFonts w:ascii="Palatino Linotype" w:eastAsia="Palatino Linotype" w:hAnsi="Palatino Linotype" w:cs="Palatino Linotype"/>
          <w:b/>
        </w:rPr>
        <w:t>la entrega de documentos, en su versión pública, debe acompañarse necesariamente del Acuerdo del Comité de Transparencia que la sustente</w:t>
      </w:r>
      <w:r>
        <w:rPr>
          <w:rFonts w:ascii="Palatino Linotype" w:eastAsia="Palatino Linotype" w:hAnsi="Palatino Linotype" w:cs="Palatino Linotype"/>
        </w:rPr>
        <w:t xml:space="preserv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w:t>
      </w:r>
      <w:r>
        <w:rPr>
          <w:rFonts w:ascii="Palatino Linotype" w:eastAsia="Palatino Linotype" w:hAnsi="Palatino Linotype" w:cs="Palatino Linotype"/>
          <w:b/>
        </w:rPr>
        <w:t>ya que no hacerlo implica que lo entregado no es legal ni formalmente una versión pública, sino más bien una documentación ilegible, incompleta o tachada</w:t>
      </w:r>
      <w:r>
        <w:rPr>
          <w:rFonts w:ascii="Palatino Linotype" w:eastAsia="Palatino Linotype" w:hAnsi="Palatino Linotype" w:cs="Palatino Linotype"/>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F0CF2" w:rsidRDefault="00EF0CF2">
      <w:pPr>
        <w:spacing w:line="360" w:lineRule="auto"/>
        <w:ind w:right="49"/>
        <w:jc w:val="both"/>
        <w:rPr>
          <w:rFonts w:ascii="Palatino Linotype" w:eastAsia="Palatino Linotype" w:hAnsi="Palatino Linotype" w:cs="Palatino Linotype"/>
        </w:rPr>
      </w:pPr>
    </w:p>
    <w:p w:rsidR="00EF0CF2" w:rsidRDefault="006974A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Pr>
          <w:rFonts w:ascii="Palatino Linotype" w:eastAsia="Palatino Linotype" w:hAnsi="Palatino Linotype" w:cs="Palatino Linotype"/>
        </w:rPr>
        <w:lastRenderedPageBreak/>
        <w:t>de la Información, así como para la elaboración de Versiones Públicas, que literalmente expresan:</w:t>
      </w:r>
    </w:p>
    <w:p w:rsidR="00EF0CF2" w:rsidRDefault="00EF0CF2">
      <w:pPr>
        <w:spacing w:line="360" w:lineRule="auto"/>
        <w:jc w:val="both"/>
        <w:rPr>
          <w:rFonts w:ascii="Palatino Linotype" w:eastAsia="Palatino Linotype" w:hAnsi="Palatino Linotype" w:cs="Palatino Linotype"/>
        </w:rPr>
      </w:pPr>
    </w:p>
    <w:p w:rsidR="00EF0CF2" w:rsidRDefault="006974AA">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Transparencia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México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Municipios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49.</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Comités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atribuciones: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modificar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revocar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EF0CF2" w:rsidRDefault="006974A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132.</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clasificación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llevará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cabo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momento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p>
    <w:p w:rsidR="00EF0CF2" w:rsidRDefault="006974AA">
      <w:pPr>
        <w:tabs>
          <w:tab w:val="left" w:pos="406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Se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generen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versiones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para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cumplimiento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transparencia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previstas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Ley</w:t>
      </w:r>
      <w:r>
        <w:rPr>
          <w:rFonts w:ascii="Palatino Linotype" w:eastAsia="Palatino Linotype" w:hAnsi="Palatino Linotype" w:cs="Palatino Linotype"/>
          <w:i/>
          <w:sz w:val="22"/>
          <w:szCs w:val="22"/>
        </w:rPr>
        <w:t>.”</w:t>
      </w:r>
    </w:p>
    <w:p w:rsidR="00EF0CF2" w:rsidRDefault="006974AA">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Generales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materia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Clasificación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Desclasificación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Lineamientos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entenderá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Versión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otorga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testan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contenido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genérica,</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fundando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motivando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emita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Comité</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Para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clasificar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confidencial,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manera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parcial,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titular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área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atender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dispuesto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Título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Sexto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Ley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General</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contenidas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lineamientos,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últimas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contravengan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estricta,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invocarlas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procedencia.</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prueba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negativa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actualizarse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fundar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debidamente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solicitud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momento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observando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demás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Sexto.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emitir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acuerdos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carácter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particular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clasifiquen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obren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archivos.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realizará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conforme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análisis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prueba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daño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llevará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cabo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momento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solicitud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federativas.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titulares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áreas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momento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recepción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solicitud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encuadra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causal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confidencialidad.</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fundar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señalar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fracción,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inciso,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párrafo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numeral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internacional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suscrito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mexicano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expresamente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otorga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carácter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señalar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circunstancias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llevaron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concluir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particular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ajusta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norma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invocada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fundamento.</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referirse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también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comprender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circunstancias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plazo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haya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conservación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permanente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valor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histórico,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conservará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carácter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conformidad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normativa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archivos.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contenidos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archivos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históricos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identificados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históricos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susceptibles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solicite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contenga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titulares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áreas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elaborar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fundando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motivando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testen,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Capítulo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lineamientos.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titulares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áreas,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conocimiento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llevar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registro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naturaleza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atribuciones,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tenga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asegurarse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conocimientos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técnicos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manejar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lastRenderedPageBreak/>
        <w:t>adecuadamente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Lineamientos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Conservación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Archivos.</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ausencia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titulares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áreas,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desclasificada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normativa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rija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actuación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w:t>
      </w:r>
    </w:p>
    <w:p w:rsidR="00EF0CF2" w:rsidRDefault="006974A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primero.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intercambio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atribuciones,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encuentren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clasificados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llevar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leyenda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correspondiente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conformidad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Capítulo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lineamientos.”</w:t>
      </w:r>
    </w:p>
    <w:p w:rsidR="00EF0CF2" w:rsidRDefault="006974AA">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Añadido)</w:t>
      </w:r>
    </w:p>
    <w:p w:rsidR="00EF0CF2" w:rsidRDefault="00EF0CF2">
      <w:pPr>
        <w:ind w:left="851" w:right="902"/>
        <w:jc w:val="both"/>
        <w:rPr>
          <w:rFonts w:ascii="Palatino Linotype" w:eastAsia="Palatino Linotype" w:hAnsi="Palatino Linotype" w:cs="Palatino Linotype"/>
          <w:sz w:val="22"/>
          <w:szCs w:val="22"/>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toda vez que no se duda de la veracidad de la información remitida en respuesta; aunado a que, el Recurso de Revisión no es la vía para cumplir con las obligaciones de transparencia comunes; este Instituto estima que lo procedente es </w:t>
      </w:r>
      <w:r>
        <w:rPr>
          <w:rFonts w:ascii="Palatino Linotype" w:eastAsia="Palatino Linotype" w:hAnsi="Palatino Linotype" w:cs="Palatino Linotype"/>
          <w:b/>
        </w:rPr>
        <w:t xml:space="preserve">REVOCAR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w:t>
      </w:r>
      <w:r>
        <w:rPr>
          <w:rFonts w:ascii="Palatino Linotype" w:eastAsia="Palatino Linotype" w:hAnsi="Palatino Linotype" w:cs="Palatino Linotype"/>
          <w:b/>
        </w:rPr>
        <w:t>ordenar</w:t>
      </w:r>
      <w:r>
        <w:rPr>
          <w:rFonts w:ascii="Palatino Linotype" w:eastAsia="Palatino Linotype" w:hAnsi="Palatino Linotype" w:cs="Palatino Linotype"/>
        </w:rPr>
        <w:t xml:space="preserve"> la entrega de la información descrita a lo largo del presente Considerando.</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encuentra constreñido a entregar la información solicitada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rPr>
        <w:t>, de acuerdo a lo dispuesto por los artículos 3, fracción XI, 12 y 92, fracción VIII de la Ley de Transparencia y Acceso a la Información Pública del Estado de México y Municipios, de los cuales se desprende que es información pública la contenida en los documentos que los Sujetos Obligados generen, administren o se encuentre en su posesión en ejercicio de sus atribuciones.</w:t>
      </w: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vigésimo segundo, vigésimo tercero y vigésimo cuarto, fracciones IV y V de la Constitución Política del Estado Libre y Soberano de México y los artículos 2, fracción II, 9, 29, 36, fracciones I y II, 176, 178, </w:t>
      </w:r>
      <w:r>
        <w:rPr>
          <w:rFonts w:ascii="Palatino Linotype" w:eastAsia="Palatino Linotype" w:hAnsi="Palatino Linotype" w:cs="Palatino Linotype"/>
        </w:rPr>
        <w:lastRenderedPageBreak/>
        <w:t>179, 181, 185, fracción I, 186 y 188 de la Ley de Transparencia y Acceso a la Información Pública del Estado de México y Municipios, este Pleno:</w:t>
      </w:r>
    </w:p>
    <w:p w:rsidR="00EF0CF2" w:rsidRDefault="00EF0CF2">
      <w:pPr>
        <w:jc w:val="both"/>
        <w:rPr>
          <w:rFonts w:ascii="Palatino Linotype" w:eastAsia="Palatino Linotype" w:hAnsi="Palatino Linotype" w:cs="Palatino Linotype"/>
        </w:rPr>
      </w:pPr>
    </w:p>
    <w:p w:rsidR="00EF0CF2" w:rsidRDefault="006974AA">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EF0CF2" w:rsidRDefault="00EF0CF2">
      <w:pPr>
        <w:jc w:val="center"/>
        <w:rPr>
          <w:rFonts w:ascii="Palatino Linotype" w:eastAsia="Palatino Linotype" w:hAnsi="Palatino Linotype" w:cs="Palatino Linotype"/>
          <w:b/>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222222"/>
          <w:sz w:val="28"/>
          <w:szCs w:val="28"/>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 xml:space="preserve">fundadas </w:t>
      </w:r>
      <w:r>
        <w:rPr>
          <w:rFonts w:ascii="Palatino Linotype" w:eastAsia="Palatino Linotype" w:hAnsi="Palatino Linotype" w:cs="Palatino Linotype"/>
        </w:rPr>
        <w:t xml:space="preserve">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esta Resolución.</w:t>
      </w:r>
    </w:p>
    <w:p w:rsidR="00EF0CF2" w:rsidRDefault="00EF0CF2">
      <w:pPr>
        <w:spacing w:line="360" w:lineRule="auto"/>
        <w:jc w:val="both"/>
        <w:rPr>
          <w:rFonts w:ascii="Palatino Linotype" w:eastAsia="Palatino Linotype" w:hAnsi="Palatino Linotype" w:cs="Palatino Linotype"/>
        </w:rPr>
      </w:pPr>
    </w:p>
    <w:p w:rsidR="00EF0CF2" w:rsidRDefault="006974AA">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color w:val="222222"/>
          <w:sz w:val="28"/>
          <w:szCs w:val="28"/>
        </w:rPr>
        <w:t>SEGUNDO</w:t>
      </w:r>
      <w:r>
        <w:rPr>
          <w:rFonts w:ascii="Palatino Linotype" w:eastAsia="Palatino Linotype" w:hAnsi="Palatino Linotype" w:cs="Palatino Linotype"/>
          <w:b/>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REVOCA</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atienda la solicitud de información </w:t>
      </w:r>
      <w:r>
        <w:rPr>
          <w:rFonts w:ascii="Palatino Linotype" w:eastAsia="Palatino Linotype" w:hAnsi="Palatino Linotype" w:cs="Palatino Linotype"/>
          <w:b/>
        </w:rPr>
        <w:t>00013/TEZOYUCA/IP/2020</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y,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w:t>
      </w:r>
      <w:r>
        <w:rPr>
          <w:rFonts w:ascii="Palatino Linotype" w:eastAsia="Palatino Linotype" w:hAnsi="Palatino Linotype" w:cs="Palatino Linotype"/>
          <w:b/>
        </w:rPr>
        <w:t xml:space="preserve">SAIMEX, </w:t>
      </w:r>
      <w:r>
        <w:rPr>
          <w:rFonts w:ascii="Palatino Linotype" w:eastAsia="Palatino Linotype" w:hAnsi="Palatino Linotype" w:cs="Palatino Linotype"/>
        </w:rPr>
        <w:t>de ser procedente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de lo siguiente</w:t>
      </w:r>
      <w:r>
        <w:rPr>
          <w:rFonts w:ascii="Palatino Linotype" w:eastAsia="Palatino Linotype" w:hAnsi="Palatino Linotype" w:cs="Palatino Linotype"/>
          <w:highlight w:val="white"/>
        </w:rPr>
        <w:t>:</w:t>
      </w:r>
    </w:p>
    <w:p w:rsidR="00EF0CF2" w:rsidRDefault="00EF0CF2">
      <w:pPr>
        <w:spacing w:line="360" w:lineRule="auto"/>
        <w:jc w:val="both"/>
        <w:rPr>
          <w:rFonts w:ascii="Palatino Linotype" w:eastAsia="Palatino Linotype" w:hAnsi="Palatino Linotype" w:cs="Palatino Linotype"/>
          <w:highlight w:val="white"/>
        </w:rPr>
      </w:pPr>
    </w:p>
    <w:p w:rsidR="00EF0CF2" w:rsidRDefault="006974AA">
      <w:pPr>
        <w:ind w:left="851" w:right="902"/>
        <w:jc w:val="both"/>
        <w:rPr>
          <w:rFonts w:ascii="Palatino Linotype" w:eastAsia="Palatino Linotype" w:hAnsi="Palatino Linotype" w:cs="Palatino Linotype"/>
          <w:highlight w:val="white"/>
        </w:rPr>
      </w:pPr>
      <w:r>
        <w:rPr>
          <w:rFonts w:ascii="Palatino Linotype" w:eastAsia="Palatino Linotype" w:hAnsi="Palatino Linotype" w:cs="Palatino Linotype"/>
          <w:i/>
          <w:sz w:val="22"/>
          <w:szCs w:val="22"/>
        </w:rPr>
        <w:t>“</w:t>
      </w:r>
      <w:r>
        <w:rPr>
          <w:rFonts w:ascii="Palatino Linotype" w:eastAsia="Palatino Linotype" w:hAnsi="Palatino Linotype" w:cs="Palatino Linotype"/>
          <w:i/>
          <w:color w:val="222222"/>
          <w:sz w:val="22"/>
          <w:szCs w:val="22"/>
        </w:rPr>
        <w:t>Las Actas de las sesiones del Ayuntamiento celebradas del 1 de agosto al 31 de diciembre de 2019.</w:t>
      </w:r>
      <w:r>
        <w:rPr>
          <w:rFonts w:ascii="Palatino Linotype" w:eastAsia="Palatino Linotype" w:hAnsi="Palatino Linotype" w:cs="Palatino Linotype"/>
          <w:i/>
          <w:sz w:val="22"/>
          <w:szCs w:val="22"/>
        </w:rPr>
        <w:t xml:space="preserve"> </w:t>
      </w:r>
    </w:p>
    <w:p w:rsidR="00EF0CF2" w:rsidRDefault="00EF0CF2">
      <w:pPr>
        <w:ind w:left="851" w:right="902"/>
        <w:jc w:val="both"/>
        <w:rPr>
          <w:rFonts w:ascii="Palatino Linotype" w:eastAsia="Palatino Linotype" w:hAnsi="Palatino Linotype" w:cs="Palatino Linotype"/>
          <w:i/>
          <w:sz w:val="22"/>
          <w:szCs w:val="22"/>
        </w:rPr>
      </w:pPr>
    </w:p>
    <w:p w:rsidR="00EF0CF2" w:rsidRDefault="006974AA">
      <w:pPr>
        <w:ind w:left="851" w:right="902"/>
        <w:jc w:val="both"/>
        <w:rPr>
          <w:rFonts w:ascii="Palatino Linotype" w:eastAsia="Palatino Linotype" w:hAnsi="Palatino Linotype" w:cs="Palatino Linotype"/>
          <w:highlight w:val="white"/>
        </w:rPr>
      </w:pPr>
      <w:r>
        <w:rPr>
          <w:rFonts w:ascii="Palatino Linotype" w:eastAsia="Palatino Linotype" w:hAnsi="Palatino Linotype" w:cs="Palatino Linotype"/>
          <w:i/>
          <w:sz w:val="22"/>
          <w:szCs w:val="22"/>
        </w:rPr>
        <w:t>Debiendo notificar al</w:t>
      </w:r>
      <w:r>
        <w:rPr>
          <w:rFonts w:ascii="Palatino Linotype" w:eastAsia="Palatino Linotype" w:hAnsi="Palatino Linotype" w:cs="Palatino Linotype"/>
          <w:b/>
          <w:i/>
          <w:sz w:val="22"/>
          <w:szCs w:val="22"/>
        </w:rPr>
        <w:t xml:space="preserve"> RECURRENTE</w:t>
      </w:r>
      <w:r>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r>
        <w:rPr>
          <w:rFonts w:ascii="Palatino Linotype" w:eastAsia="Palatino Linotype" w:hAnsi="Palatino Linotype" w:cs="Palatino Linotype"/>
          <w:i/>
          <w:color w:val="222222"/>
          <w:sz w:val="22"/>
          <w:szCs w:val="22"/>
          <w:highlight w:val="white"/>
        </w:rPr>
        <w:t>”</w:t>
      </w:r>
    </w:p>
    <w:p w:rsidR="00EF0CF2" w:rsidRDefault="00EF0CF2">
      <w:pPr>
        <w:spacing w:line="276" w:lineRule="auto"/>
        <w:jc w:val="both"/>
        <w:rPr>
          <w:rFonts w:ascii="Palatino Linotype" w:eastAsia="Palatino Linotype" w:hAnsi="Palatino Linotype" w:cs="Palatino Linotype"/>
          <w:i/>
          <w:sz w:val="22"/>
          <w:szCs w:val="22"/>
        </w:rPr>
      </w:pPr>
    </w:p>
    <w:p w:rsidR="00EF0CF2" w:rsidRDefault="006974AA">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222222"/>
          <w:sz w:val="28"/>
          <w:szCs w:val="28"/>
          <w:highlight w:val="white"/>
        </w:rPr>
        <w:t>TERCERO.</w:t>
      </w:r>
      <w:r>
        <w:rPr>
          <w:rFonts w:ascii="Palatino Linotype" w:eastAsia="Palatino Linotype" w:hAnsi="Palatino Linotype" w:cs="Palatino Linotype"/>
          <w:b/>
          <w:color w:val="222222"/>
          <w:highlight w:val="white"/>
        </w:rPr>
        <w:t>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highlight w:val="white"/>
        </w:rPr>
        <w:t>al Titular de la Unidad de Transparencia del</w:t>
      </w:r>
      <w:r>
        <w:rPr>
          <w:rFonts w:ascii="Palatino Linotype" w:eastAsia="Palatino Linotype" w:hAnsi="Palatino Linotype" w:cs="Palatino Linotype"/>
          <w:b/>
          <w:color w:val="222222"/>
          <w:highlight w:val="white"/>
        </w:rPr>
        <w:t> SUJETO OBLIGADO</w:t>
      </w:r>
      <w:r>
        <w:rPr>
          <w:rFonts w:ascii="Palatino Linotype" w:eastAsia="Palatino Linotype" w:hAnsi="Palatino Linotype" w:cs="Palatino Linotype"/>
          <w:color w:val="222222"/>
          <w:highlight w:val="white"/>
        </w:rPr>
        <w:t xml:space="preserve">, para que conforme a los artículos 186, último párrafo y 189, párrafo segundo de la Ley de </w:t>
      </w:r>
      <w:r>
        <w:rPr>
          <w:rFonts w:ascii="Palatino Linotype" w:eastAsia="Palatino Linotype" w:hAnsi="Palatino Linotype" w:cs="Palatino Linotype"/>
        </w:rPr>
        <w:t>Transparencia</w:t>
      </w:r>
      <w:r>
        <w:rPr>
          <w:rFonts w:ascii="Palatino Linotype" w:eastAsia="Palatino Linotype" w:hAnsi="Palatino Linotype" w:cs="Palatino Linotype"/>
          <w:color w:val="222222"/>
          <w:highlight w:val="white"/>
        </w:rPr>
        <w:t xml:space="preserve"> y Acceso a la Información Pública del Estado de México y Municipios, dé cumplimiento a lo ordenado dentro del plazo de diez días hábiles, debiendo informar a este Instituto en un plazo </w:t>
      </w:r>
      <w:r>
        <w:rPr>
          <w:rFonts w:ascii="Palatino Linotype" w:eastAsia="Palatino Linotype" w:hAnsi="Palatino Linotype" w:cs="Palatino Linotype"/>
          <w:color w:val="222222"/>
        </w:rPr>
        <w:t>de</w:t>
      </w:r>
      <w:r>
        <w:rPr>
          <w:rFonts w:ascii="Palatino Linotype" w:eastAsia="Palatino Linotype" w:hAnsi="Palatino Linotype" w:cs="Palatino Linotype"/>
          <w:color w:val="222222"/>
          <w:highlight w:val="white"/>
        </w:rPr>
        <w:t xml:space="preserve"> tres días hábiles siguientes sobre el cumplimiento dado a la presente resolución.</w:t>
      </w:r>
    </w:p>
    <w:p w:rsidR="00EF0CF2" w:rsidRDefault="006974AA">
      <w:pPr>
        <w:spacing w:line="360" w:lineRule="auto"/>
        <w:jc w:val="both"/>
        <w:rPr>
          <w:rFonts w:ascii="Palatino Linotype" w:eastAsia="Palatino Linotype" w:hAnsi="Palatino Linotype" w:cs="Palatino Linotype"/>
          <w:b/>
          <w:color w:val="222222"/>
          <w:sz w:val="28"/>
          <w:szCs w:val="28"/>
        </w:rPr>
      </w:pPr>
      <w:r>
        <w:rPr>
          <w:rFonts w:ascii="Palatino Linotype" w:eastAsia="Palatino Linotype" w:hAnsi="Palatino Linotype" w:cs="Palatino Linotype"/>
          <w:b/>
          <w:color w:val="222222"/>
          <w:sz w:val="28"/>
          <w:szCs w:val="28"/>
        </w:rPr>
        <w:lastRenderedPageBreak/>
        <w:t xml:space="preserve">CUARTO. </w:t>
      </w:r>
      <w:r>
        <w:rPr>
          <w:rFonts w:ascii="Palatino Linotype" w:eastAsia="Palatino Linotype" w:hAnsi="Palatino Linotype" w:cs="Palatino Linotype"/>
          <w:color w:val="222222"/>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que, en caso de negarse a cumplir la presente resolución o hacerlo de manera parcial se actuará de conformidad con lo previsto en los artículos 213, 214, 216 y 217 de dicha Ley.</w:t>
      </w:r>
    </w:p>
    <w:p w:rsidR="00EF0CF2" w:rsidRDefault="00EF0CF2">
      <w:pPr>
        <w:spacing w:line="360" w:lineRule="auto"/>
        <w:jc w:val="both"/>
        <w:rPr>
          <w:rFonts w:ascii="Palatino Linotype" w:eastAsia="Palatino Linotype" w:hAnsi="Palatino Linotype" w:cs="Palatino Linotype"/>
          <w:b/>
          <w:color w:val="222222"/>
        </w:rPr>
      </w:pPr>
    </w:p>
    <w:p w:rsidR="00EF0CF2" w:rsidRDefault="006974AA">
      <w:pPr>
        <w:spacing w:line="360" w:lineRule="auto"/>
        <w:jc w:val="both"/>
        <w:rPr>
          <w:rFonts w:ascii="Palatino Linotype" w:eastAsia="Palatino Linotype" w:hAnsi="Palatino Linotype" w:cs="Palatino Linotype"/>
          <w:b/>
          <w:color w:val="222222"/>
          <w:sz w:val="28"/>
          <w:szCs w:val="28"/>
        </w:rPr>
      </w:pPr>
      <w:r>
        <w:rPr>
          <w:rFonts w:ascii="Palatino Linotype" w:eastAsia="Palatino Linotype" w:hAnsi="Palatino Linotype" w:cs="Palatino Linotype"/>
          <w:b/>
          <w:color w:val="222222"/>
          <w:sz w:val="28"/>
          <w:szCs w:val="28"/>
        </w:rPr>
        <w:t xml:space="preserve">QUINTO.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la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 </w:t>
      </w:r>
    </w:p>
    <w:p w:rsidR="00EF0CF2" w:rsidRDefault="00EF0CF2">
      <w:pPr>
        <w:spacing w:line="360" w:lineRule="auto"/>
        <w:ind w:right="49"/>
        <w:jc w:val="both"/>
        <w:rPr>
          <w:rFonts w:ascii="Palatino Linotype" w:eastAsia="Palatino Linotype" w:hAnsi="Palatino Linotype" w:cs="Palatino Linotype"/>
          <w:b/>
          <w:color w:val="222222"/>
        </w:rPr>
      </w:pPr>
    </w:p>
    <w:p w:rsidR="00EF0CF2" w:rsidRDefault="006974AA">
      <w:pPr>
        <w:spacing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SEXTO.</w:t>
      </w:r>
      <w:r>
        <w:rPr>
          <w:rFonts w:ascii="Palatino Linotype" w:eastAsia="Palatino Linotype" w:hAnsi="Palatino Linotype" w:cs="Palatino Linotype"/>
          <w:b/>
          <w:color w:val="222222"/>
        </w:rPr>
        <w:t xml:space="preserve"> Hágase del conocimiento</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que, de conformidad con lo establecido en el artículo 196 de la </w:t>
      </w:r>
      <w:r>
        <w:rPr>
          <w:rFonts w:ascii="Palatino Linotype" w:eastAsia="Palatino Linotype" w:hAnsi="Palatino Linotype" w:cs="Palatino Linotype"/>
        </w:rPr>
        <w:t>Ley</w:t>
      </w:r>
      <w:r>
        <w:rPr>
          <w:rFonts w:ascii="Palatino Linotype" w:eastAsia="Palatino Linotype" w:hAnsi="Palatino Linotype" w:cs="Palatino Linotype"/>
          <w:color w:val="222222"/>
        </w:rPr>
        <w:t xml:space="preserve"> de Transparencia y Acceso a la Información Pública del Estado de México y Municipios, podrá impugnarla vía Juicio de Amparo en los términos de las leyes aplicables.</w:t>
      </w:r>
    </w:p>
    <w:p w:rsidR="00EF0CF2" w:rsidRDefault="00EF0CF2">
      <w:pPr>
        <w:spacing w:line="360" w:lineRule="auto"/>
        <w:ind w:right="49"/>
        <w:jc w:val="both"/>
        <w:rPr>
          <w:rFonts w:ascii="Palatino Linotype" w:eastAsia="Palatino Linotype" w:hAnsi="Palatino Linotype" w:cs="Palatino Linotype"/>
          <w:color w:val="222222"/>
        </w:rPr>
      </w:pPr>
    </w:p>
    <w:p w:rsidR="00EF0CF2" w:rsidRDefault="006974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DE AGOSTO DE DOS MIL VEINTE, ANTE EL SECRETARIO TÉCNICO DEL PLENO, ALEXIS TAPIA RAMÍREZ.</w:t>
      </w:r>
    </w:p>
    <w:p w:rsidR="00EF0CF2" w:rsidRDefault="00EF0CF2">
      <w:pPr>
        <w:spacing w:line="360" w:lineRule="auto"/>
        <w:jc w:val="both"/>
        <w:rPr>
          <w:rFonts w:ascii="Palatino Linotype" w:eastAsia="Palatino Linotype" w:hAnsi="Palatino Linotype" w:cs="Palatino Linotype"/>
        </w:rPr>
      </w:pPr>
    </w:p>
    <w:p w:rsidR="00EF0CF2" w:rsidRDefault="00EF0CF2">
      <w:pPr>
        <w:spacing w:after="280" w:line="360" w:lineRule="auto"/>
        <w:jc w:val="both"/>
        <w:rPr>
          <w:rFonts w:ascii="Palatino Linotype" w:eastAsia="Palatino Linotype" w:hAnsi="Palatino Linotype" w:cs="Palatino Linotype"/>
        </w:rPr>
      </w:pPr>
    </w:p>
    <w:tbl>
      <w:tblPr>
        <w:tblStyle w:val="a"/>
        <w:tblW w:w="10581" w:type="dxa"/>
        <w:jc w:val="center"/>
        <w:tblInd w:w="0" w:type="dxa"/>
        <w:tblLayout w:type="fixed"/>
        <w:tblLook w:val="0400" w:firstRow="0" w:lastRow="0" w:firstColumn="0" w:lastColumn="0" w:noHBand="0" w:noVBand="1"/>
      </w:tblPr>
      <w:tblGrid>
        <w:gridCol w:w="10581"/>
      </w:tblGrid>
      <w:tr w:rsidR="00EF0CF2">
        <w:trPr>
          <w:jc w:val="center"/>
        </w:trPr>
        <w:tc>
          <w:tcPr>
            <w:tcW w:w="10581" w:type="dxa"/>
          </w:tcPr>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spacing w:after="280"/>
              <w:jc w:val="center"/>
              <w:rPr>
                <w:rFonts w:ascii="Palatino Linotype" w:eastAsia="Palatino Linotype" w:hAnsi="Palatino Linotype" w:cs="Palatino Linotype"/>
                <w:b/>
              </w:rPr>
            </w:pPr>
          </w:p>
          <w:tbl>
            <w:tblPr>
              <w:tblStyle w:val="a0"/>
              <w:tblW w:w="10365" w:type="dxa"/>
              <w:jc w:val="center"/>
              <w:tblInd w:w="0" w:type="dxa"/>
              <w:tblLayout w:type="fixed"/>
              <w:tblLook w:val="0400" w:firstRow="0" w:lastRow="0" w:firstColumn="0" w:lastColumn="0" w:noHBand="0" w:noVBand="1"/>
            </w:tblPr>
            <w:tblGrid>
              <w:gridCol w:w="5182"/>
              <w:gridCol w:w="5183"/>
            </w:tblGrid>
            <w:tr w:rsidR="00EF0CF2">
              <w:trPr>
                <w:jc w:val="center"/>
              </w:trPr>
              <w:tc>
                <w:tcPr>
                  <w:tcW w:w="10365" w:type="dxa"/>
                  <w:gridSpan w:val="2"/>
                  <w:shd w:val="clear" w:color="auto" w:fill="auto"/>
                </w:tcPr>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Zulema Martínez Sánchez</w:t>
                  </w:r>
                </w:p>
                <w:p w:rsidR="00EF0CF2" w:rsidRDefault="006974AA">
                  <w:pPr>
                    <w:jc w:val="center"/>
                    <w:rPr>
                      <w:rFonts w:ascii="Palatino Linotype" w:eastAsia="Palatino Linotype" w:hAnsi="Palatino Linotype" w:cs="Palatino Linotype"/>
                    </w:rPr>
                  </w:pPr>
                  <w:r>
                    <w:rPr>
                      <w:rFonts w:ascii="Palatino Linotype" w:eastAsia="Palatino Linotype" w:hAnsi="Palatino Linotype" w:cs="Palatino Linotype"/>
                    </w:rPr>
                    <w:t>Comisionada Presidenta</w:t>
                  </w: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(RÚBRICA) </w:t>
                  </w:r>
                </w:p>
              </w:tc>
            </w:tr>
            <w:tr w:rsidR="00EF0CF2">
              <w:trPr>
                <w:jc w:val="center"/>
              </w:trPr>
              <w:tc>
                <w:tcPr>
                  <w:tcW w:w="5182" w:type="dxa"/>
                  <w:shd w:val="clear" w:color="auto" w:fill="auto"/>
                </w:tcPr>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Eva Abaid Yapur</w:t>
                  </w:r>
                </w:p>
                <w:p w:rsidR="00EF0CF2" w:rsidRDefault="006974AA">
                  <w:pPr>
                    <w:jc w:val="center"/>
                    <w:rPr>
                      <w:rFonts w:ascii="Palatino Linotype" w:eastAsia="Palatino Linotype" w:hAnsi="Palatino Linotype" w:cs="Palatino Linotype"/>
                    </w:rPr>
                  </w:pPr>
                  <w:r>
                    <w:rPr>
                      <w:rFonts w:ascii="Palatino Linotype" w:eastAsia="Palatino Linotype" w:hAnsi="Palatino Linotype" w:cs="Palatino Linotype"/>
                    </w:rPr>
                    <w:t>Comisionada</w:t>
                  </w: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5183" w:type="dxa"/>
                  <w:shd w:val="clear" w:color="auto" w:fill="auto"/>
                </w:tcPr>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José Guadalupe Luna Hernández</w:t>
                  </w:r>
                </w:p>
                <w:p w:rsidR="00EF0CF2" w:rsidRDefault="006974AA">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EF0CF2">
              <w:trPr>
                <w:jc w:val="center"/>
              </w:trPr>
              <w:tc>
                <w:tcPr>
                  <w:tcW w:w="5182" w:type="dxa"/>
                  <w:shd w:val="clear" w:color="auto" w:fill="auto"/>
                </w:tcPr>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Javier Martínez Cruz</w:t>
                  </w:r>
                </w:p>
                <w:p w:rsidR="00EF0CF2" w:rsidRDefault="006974AA">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c>
                <w:tcPr>
                  <w:tcW w:w="5183" w:type="dxa"/>
                  <w:shd w:val="clear" w:color="auto" w:fill="auto"/>
                </w:tcPr>
                <w:p w:rsidR="00EF0CF2" w:rsidRDefault="00EF0CF2">
                  <w:pPr>
                    <w:jc w:val="center"/>
                    <w:rPr>
                      <w:rFonts w:ascii="Palatino Linotype" w:eastAsia="Palatino Linotype" w:hAnsi="Palatino Linotype" w:cs="Palatino Linotype"/>
                      <w:b/>
                    </w:rPr>
                  </w:pPr>
                  <w:bookmarkStart w:id="0" w:name="_heading=h.gjdgxs" w:colFirst="0" w:colLast="0"/>
                  <w:bookmarkEnd w:id="0"/>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EF0CF2" w:rsidRDefault="006974AA">
                  <w:pPr>
                    <w:jc w:val="center"/>
                    <w:rPr>
                      <w:rFonts w:ascii="Palatino Linotype" w:eastAsia="Palatino Linotype" w:hAnsi="Palatino Linotype" w:cs="Palatino Linotype"/>
                    </w:rPr>
                  </w:pPr>
                  <w:r>
                    <w:rPr>
                      <w:rFonts w:ascii="Palatino Linotype" w:eastAsia="Palatino Linotype" w:hAnsi="Palatino Linotype" w:cs="Palatino Linotype"/>
                    </w:rPr>
                    <w:t>Comisionado</w:t>
                  </w: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(RÚBRICA)</w:t>
                  </w:r>
                </w:p>
              </w:tc>
            </w:tr>
            <w:tr w:rsidR="00EF0CF2">
              <w:trPr>
                <w:jc w:val="center"/>
              </w:trPr>
              <w:tc>
                <w:tcPr>
                  <w:tcW w:w="10365" w:type="dxa"/>
                  <w:gridSpan w:val="2"/>
                  <w:shd w:val="clear" w:color="auto" w:fill="auto"/>
                </w:tcPr>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EF0CF2">
                  <w:pPr>
                    <w:jc w:val="center"/>
                    <w:rPr>
                      <w:rFonts w:ascii="Palatino Linotype" w:eastAsia="Palatino Linotype" w:hAnsi="Palatino Linotype" w:cs="Palatino Linotype"/>
                      <w:b/>
                    </w:rPr>
                  </w:pP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Alexis Tapia Ramírez</w:t>
                  </w:r>
                </w:p>
                <w:p w:rsidR="00EF0CF2" w:rsidRDefault="006974AA">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EF0CF2" w:rsidRDefault="006974AA">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(RÚBRICA) </w:t>
                  </w:r>
                </w:p>
              </w:tc>
            </w:tr>
          </w:tbl>
          <w:p w:rsidR="00EF0CF2" w:rsidRDefault="00EF0CF2">
            <w:pPr>
              <w:spacing w:before="280"/>
              <w:jc w:val="center"/>
              <w:rPr>
                <w:rFonts w:ascii="Palatino Linotype" w:eastAsia="Palatino Linotype" w:hAnsi="Palatino Linotype" w:cs="Palatino Linotype"/>
                <w:b/>
              </w:rPr>
            </w:pPr>
          </w:p>
        </w:tc>
      </w:tr>
    </w:tbl>
    <w:p w:rsidR="00EF0CF2" w:rsidRDefault="006974AA">
      <w:pPr>
        <w:spacing w:before="280"/>
        <w:jc w:val="both"/>
        <w:rPr>
          <w:rFonts w:ascii="Palatino Linotype" w:eastAsia="Palatino Linotype" w:hAnsi="Palatino Linotype" w:cs="Palatino Linotype"/>
        </w:rPr>
      </w:pPr>
      <w:r>
        <w:rPr>
          <w:rFonts w:ascii="Palatino Linotype" w:eastAsia="Palatino Linotype" w:hAnsi="Palatino Linotype" w:cs="Palatino Linotype"/>
        </w:rPr>
        <w:t>Esta hoja corresponde a la resolución de doce de agosto de dos mil veinte, emitida en el recurso de revisión número 00957/INFOEM/IP/RR/2019.</w:t>
      </w:r>
    </w:p>
    <w:p w:rsidR="00EF0CF2" w:rsidRDefault="006974AA">
      <w:pPr>
        <w:jc w:val="both"/>
        <w:rPr>
          <w:rFonts w:ascii="Palatino Linotype" w:eastAsia="Palatino Linotype" w:hAnsi="Palatino Linotype" w:cs="Palatino Linotype"/>
        </w:rPr>
      </w:pPr>
      <w:r>
        <w:rPr>
          <w:rFonts w:ascii="Palatino Linotype" w:eastAsia="Palatino Linotype" w:hAnsi="Palatino Linotype" w:cs="Palatino Linotype"/>
          <w:sz w:val="22"/>
          <w:szCs w:val="22"/>
        </w:rPr>
        <w:lastRenderedPageBreak/>
        <w:t>YSM/LGMJ</w:t>
      </w:r>
    </w:p>
    <w:sectPr w:rsidR="00EF0CF2">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83" w:rsidRDefault="00520183">
      <w:r>
        <w:separator/>
      </w:r>
    </w:p>
  </w:endnote>
  <w:endnote w:type="continuationSeparator" w:id="0">
    <w:p w:rsidR="00520183" w:rsidRDefault="0052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CF" w:rsidRDefault="00B516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F2" w:rsidRDefault="006974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516CF">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516CF">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F2" w:rsidRDefault="006974A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516C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516CF">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83" w:rsidRDefault="00520183">
      <w:r>
        <w:separator/>
      </w:r>
    </w:p>
  </w:footnote>
  <w:footnote w:type="continuationSeparator" w:id="0">
    <w:p w:rsidR="00520183" w:rsidRDefault="00520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CF" w:rsidRDefault="00B516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F2" w:rsidRDefault="00EF0C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tbl>
    <w:tblPr>
      <w:tblStyle w:val="a2"/>
      <w:tblW w:w="9534" w:type="dxa"/>
      <w:tblInd w:w="-142" w:type="dxa"/>
      <w:tblLayout w:type="fixed"/>
      <w:tblLook w:val="0400" w:firstRow="0" w:lastRow="0" w:firstColumn="0" w:lastColumn="0" w:noHBand="0" w:noVBand="1"/>
    </w:tblPr>
    <w:tblGrid>
      <w:gridCol w:w="3260"/>
      <w:gridCol w:w="2551"/>
      <w:gridCol w:w="3723"/>
    </w:tblGrid>
    <w:tr w:rsidR="00EF0CF2">
      <w:tc>
        <w:tcPr>
          <w:tcW w:w="3260" w:type="dxa"/>
          <w:vMerge w:val="restart"/>
        </w:tcPr>
        <w:p w:rsidR="00EF0CF2" w:rsidRDefault="006974AA">
          <w:pPr>
            <w:rPr>
              <w:rFonts w:ascii="Palatino Linotype" w:eastAsia="Palatino Linotype" w:hAnsi="Palatino Linotype" w:cs="Palatino Linotype"/>
              <w:b/>
              <w:sz w:val="22"/>
              <w:szCs w:val="22"/>
            </w:rPr>
          </w:pPr>
          <w:r>
            <w:rPr>
              <w:noProof/>
            </w:rPr>
            <w:drawing>
              <wp:inline distT="0" distB="0" distL="0" distR="0">
                <wp:extent cx="1663700" cy="8382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3700" cy="838200"/>
                        </a:xfrm>
                        <a:prstGeom prst="rect">
                          <a:avLst/>
                        </a:prstGeom>
                        <a:ln/>
                      </pic:spPr>
                    </pic:pic>
                  </a:graphicData>
                </a:graphic>
              </wp:inline>
            </w:drawing>
          </w:r>
        </w:p>
      </w:tc>
      <w:tc>
        <w:tcPr>
          <w:tcW w:w="2551"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3" w:type="dxa"/>
          <w:shd w:val="clear" w:color="auto" w:fill="auto"/>
          <w:vAlign w:val="center"/>
        </w:tcPr>
        <w:p w:rsidR="00EF0CF2" w:rsidRDefault="006974AA">
          <w:pPr>
            <w:ind w:right="-44" w:firstLine="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00957/INFOEM/IP/RR/2020 </w:t>
          </w:r>
        </w:p>
      </w:tc>
    </w:tr>
    <w:tr w:rsidR="00EF0CF2">
      <w:tc>
        <w:tcPr>
          <w:tcW w:w="3260" w:type="dxa"/>
          <w:vMerge/>
        </w:tcPr>
        <w:p w:rsidR="00EF0CF2" w:rsidRDefault="00EF0CF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3" w:type="dxa"/>
          <w:shd w:val="clear" w:color="auto" w:fill="auto"/>
          <w:vAlign w:val="center"/>
        </w:tcPr>
        <w:p w:rsidR="00EF0CF2" w:rsidRDefault="006974AA">
          <w:pPr>
            <w:ind w:left="175" w:right="-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Tezoyuca</w:t>
          </w:r>
        </w:p>
      </w:tc>
    </w:tr>
    <w:tr w:rsidR="00EF0CF2">
      <w:trPr>
        <w:trHeight w:val="228"/>
      </w:trPr>
      <w:tc>
        <w:tcPr>
          <w:tcW w:w="3260" w:type="dxa"/>
          <w:vMerge/>
        </w:tcPr>
        <w:p w:rsidR="00EF0CF2" w:rsidRDefault="00EF0CF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3" w:type="dxa"/>
          <w:shd w:val="clear" w:color="auto" w:fill="auto"/>
        </w:tcPr>
        <w:p w:rsidR="00EF0CF2" w:rsidRDefault="006974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Eva Abaid Yapur</w:t>
          </w:r>
        </w:p>
      </w:tc>
    </w:tr>
  </w:tbl>
  <w:p w:rsidR="00EF0CF2" w:rsidRDefault="00EF0C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CF2" w:rsidRDefault="00EF0CF2">
    <w:pPr>
      <w:rPr>
        <w:rFonts w:ascii="Palatino Linotype" w:eastAsia="Palatino Linotype" w:hAnsi="Palatino Linotype" w:cs="Palatino Linotype"/>
        <w:sz w:val="28"/>
        <w:szCs w:val="28"/>
      </w:rPr>
    </w:pPr>
  </w:p>
  <w:tbl>
    <w:tblPr>
      <w:tblStyle w:val="a1"/>
      <w:tblW w:w="10490" w:type="dxa"/>
      <w:tblInd w:w="-1276" w:type="dxa"/>
      <w:tblLayout w:type="fixed"/>
      <w:tblLook w:val="0400" w:firstRow="0" w:lastRow="0" w:firstColumn="0" w:lastColumn="0" w:noHBand="0" w:noVBand="1"/>
    </w:tblPr>
    <w:tblGrid>
      <w:gridCol w:w="4252"/>
      <w:gridCol w:w="2552"/>
      <w:gridCol w:w="3686"/>
    </w:tblGrid>
    <w:tr w:rsidR="00EF0CF2">
      <w:tc>
        <w:tcPr>
          <w:tcW w:w="4252" w:type="dxa"/>
          <w:vMerge w:val="restart"/>
          <w:shd w:val="clear" w:color="auto" w:fill="auto"/>
        </w:tcPr>
        <w:p w:rsidR="00EF0CF2" w:rsidRDefault="006974AA">
          <w:pPr>
            <w:rPr>
              <w:rFonts w:ascii="Palatino Linotype" w:eastAsia="Palatino Linotype" w:hAnsi="Palatino Linotype" w:cs="Palatino Linotype"/>
              <w:b/>
              <w:sz w:val="22"/>
              <w:szCs w:val="22"/>
            </w:rPr>
          </w:pPr>
          <w:r>
            <w:rPr>
              <w:noProof/>
            </w:rPr>
            <w:drawing>
              <wp:inline distT="0" distB="0" distL="0" distR="0">
                <wp:extent cx="1663700" cy="83820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3700" cy="838200"/>
                        </a:xfrm>
                        <a:prstGeom prst="rect">
                          <a:avLst/>
                        </a:prstGeom>
                        <a:ln/>
                      </pic:spPr>
                    </pic:pic>
                  </a:graphicData>
                </a:graphic>
              </wp:inline>
            </w:drawing>
          </w:r>
        </w:p>
      </w:tc>
      <w:tc>
        <w:tcPr>
          <w:tcW w:w="2552"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6" w:type="dxa"/>
          <w:shd w:val="clear" w:color="auto" w:fill="auto"/>
          <w:vAlign w:val="center"/>
        </w:tcPr>
        <w:p w:rsidR="00EF0CF2" w:rsidRDefault="006974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00957/INFOEM/IP/RR/2020</w:t>
          </w:r>
        </w:p>
      </w:tc>
    </w:tr>
    <w:tr w:rsidR="00EF0CF2">
      <w:tc>
        <w:tcPr>
          <w:tcW w:w="4252" w:type="dxa"/>
          <w:vMerge/>
          <w:shd w:val="clear" w:color="auto" w:fill="auto"/>
        </w:tcPr>
        <w:p w:rsidR="00EF0CF2" w:rsidRDefault="00EF0CF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6" w:type="dxa"/>
          <w:shd w:val="clear" w:color="auto" w:fill="auto"/>
          <w:vAlign w:val="center"/>
        </w:tcPr>
        <w:p w:rsidR="00EF0CF2" w:rsidRDefault="00B516C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w:t>
          </w:r>
          <w:bookmarkStart w:id="1" w:name="_GoBack"/>
          <w:bookmarkEnd w:id="1"/>
          <w:r>
            <w:rPr>
              <w:rFonts w:ascii="Palatino Linotype" w:eastAsia="Palatino Linotype" w:hAnsi="Palatino Linotype" w:cs="Palatino Linotype"/>
              <w:b/>
              <w:sz w:val="22"/>
              <w:szCs w:val="22"/>
            </w:rPr>
            <w:t>xx</w:t>
          </w:r>
          <w:r w:rsidR="006974A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6974AA">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EF0CF2">
      <w:trPr>
        <w:trHeight w:val="228"/>
      </w:trPr>
      <w:tc>
        <w:tcPr>
          <w:tcW w:w="4252" w:type="dxa"/>
          <w:vMerge/>
          <w:shd w:val="clear" w:color="auto" w:fill="auto"/>
        </w:tcPr>
        <w:p w:rsidR="00EF0CF2" w:rsidRDefault="00EF0CF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6" w:type="dxa"/>
          <w:shd w:val="clear" w:color="auto" w:fill="auto"/>
          <w:vAlign w:val="center"/>
        </w:tcPr>
        <w:p w:rsidR="00EF0CF2" w:rsidRDefault="006974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Tezoyuca </w:t>
          </w:r>
        </w:p>
      </w:tc>
    </w:tr>
    <w:tr w:rsidR="00EF0CF2">
      <w:tc>
        <w:tcPr>
          <w:tcW w:w="4252" w:type="dxa"/>
          <w:vMerge/>
          <w:shd w:val="clear" w:color="auto" w:fill="auto"/>
        </w:tcPr>
        <w:p w:rsidR="00EF0CF2" w:rsidRDefault="00EF0CF2">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EF0CF2" w:rsidRDefault="006974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6" w:type="dxa"/>
          <w:shd w:val="clear" w:color="auto" w:fill="auto"/>
        </w:tcPr>
        <w:p w:rsidR="00EF0CF2" w:rsidRDefault="006974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Eva Abaid Yapur</w:t>
          </w:r>
        </w:p>
      </w:tc>
    </w:tr>
  </w:tbl>
  <w:p w:rsidR="00EF0CF2" w:rsidRDefault="00EF0CF2">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F2"/>
    <w:rsid w:val="00520183"/>
    <w:rsid w:val="006974AA"/>
    <w:rsid w:val="00A8070D"/>
    <w:rsid w:val="00B516CF"/>
    <w:rsid w:val="00EF0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D0B01-7985-4B00-BBC5-BF6A7843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qFormat/>
    <w:rsid w:val="001C4E80"/>
    <w:pPr>
      <w:spacing w:beforeAutospacing="1" w:afterAutospacing="1"/>
    </w:pPr>
  </w:style>
  <w:style w:type="paragraph" w:customStyle="1" w:styleId="j">
    <w:name w:val="j"/>
    <w:basedOn w:val="Normal"/>
    <w:qFormat/>
    <w:rsid w:val="001C4E80"/>
    <w:pPr>
      <w:spacing w:beforeAutospacing="1" w:afterAutospacing="1"/>
    </w:pPr>
  </w:style>
  <w:style w:type="paragraph" w:customStyle="1" w:styleId="m5212863947045306324gmail-msonormal">
    <w:name w:val="m_5212863947045306324gmail-msonormal"/>
    <w:basedOn w:val="Normal"/>
    <w:qFormat/>
    <w:rsid w:val="003A73F9"/>
    <w:pPr>
      <w:spacing w:beforeAutospacing="1" w:afterAutospacing="1"/>
    </w:p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Vmzjme539fA2otqfQ+L1bPKJKQ==">AMUW2mV1szg2gohX5SyWK0PYHAyIWKgF9q9ojft70Ns4GM0V7tUWgCOCtEK41tgwVJUhOBUAi6DV6eeGoFNdNxUnUGRp5dXwquf1sEfZWKM5+HX+WqbgPEQ5x7eitpHMRKFFQmOU4EK1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5321</Words>
  <Characters>29270</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A cid</cp:lastModifiedBy>
  <cp:revision>3</cp:revision>
  <dcterms:created xsi:type="dcterms:W3CDTF">2020-08-26T23:25:00Z</dcterms:created>
  <dcterms:modified xsi:type="dcterms:W3CDTF">2020-09-08T02:39:00Z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