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F18" w:rsidRPr="00EF5F17" w:rsidRDefault="006E5F18" w:rsidP="006E5F18">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E1287E">
        <w:rPr>
          <w:rFonts w:ascii="Palatino Linotype" w:hAnsi="Palatino Linotype"/>
        </w:rPr>
        <w:t>nueve</w:t>
      </w:r>
      <w:r w:rsidR="00B8179C">
        <w:rPr>
          <w:rFonts w:ascii="Palatino Linotype" w:hAnsi="Palatino Linotype"/>
        </w:rPr>
        <w:t xml:space="preserve"> de septiembre</w:t>
      </w:r>
      <w:r>
        <w:rPr>
          <w:rFonts w:ascii="Palatino Linotype" w:hAnsi="Palatino Linotype"/>
        </w:rPr>
        <w:t xml:space="preserve"> de dos mil veinte</w:t>
      </w:r>
      <w:r w:rsidRPr="00EF5F17">
        <w:rPr>
          <w:rFonts w:ascii="Palatino Linotype" w:hAnsi="Palatino Linotype"/>
        </w:rPr>
        <w:t>.</w:t>
      </w:r>
    </w:p>
    <w:p w:rsidR="006E5F18" w:rsidRPr="00EF5F17" w:rsidRDefault="006E5F18" w:rsidP="006E5F18">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Pr="00EF5F17">
        <w:rPr>
          <w:rFonts w:ascii="Palatino Linotype" w:hAnsi="Palatino Linotype"/>
        </w:rPr>
        <w:t xml:space="preserve"> el expediente formado con motivo del recurso de revisión </w:t>
      </w:r>
      <w:r w:rsidR="0089201F">
        <w:rPr>
          <w:rFonts w:ascii="Palatino Linotype" w:hAnsi="Palatino Linotype"/>
          <w:b/>
        </w:rPr>
        <w:t>01662/INFOEM/IP/RR/2020</w:t>
      </w:r>
      <w:r w:rsidRPr="00EF5F17">
        <w:rPr>
          <w:rFonts w:ascii="Palatino Linotype" w:hAnsi="Palatino Linotype"/>
        </w:rPr>
        <w:t>, promovido por</w:t>
      </w:r>
      <w:r>
        <w:rPr>
          <w:rFonts w:ascii="Palatino Linotype" w:hAnsi="Palatino Linotype"/>
        </w:rPr>
        <w:t xml:space="preserve"> </w:t>
      </w:r>
      <w:r w:rsidR="0089201F">
        <w:rPr>
          <w:rFonts w:ascii="Palatino Linotype" w:hAnsi="Palatino Linotype"/>
        </w:rPr>
        <w:t>el</w:t>
      </w:r>
      <w:r w:rsidR="00B8607D">
        <w:rPr>
          <w:rFonts w:ascii="Palatino Linotype" w:hAnsi="Palatino Linotype"/>
        </w:rPr>
        <w:t xml:space="preserve"> C. </w:t>
      </w:r>
      <w:r w:rsidR="002C2E94" w:rsidRPr="002C2E94">
        <w:rPr>
          <w:rFonts w:ascii="Palatino Linotype" w:hAnsi="Palatino Linotype"/>
          <w:b/>
          <w:lang w:val="es-ES_tradnl"/>
        </w:rPr>
        <w:t>Xxxxxxx Xxxxxxx Xxxxx</w:t>
      </w:r>
      <w:r w:rsidRPr="004D3E26">
        <w:rPr>
          <w:rFonts w:ascii="Palatino Linotype" w:hAnsi="Palatino Linotype" w:cs="Arial"/>
        </w:rPr>
        <w:t>,</w:t>
      </w:r>
      <w:r w:rsidRPr="00EF5F17">
        <w:rPr>
          <w:rFonts w:ascii="Palatino Linotype" w:hAnsi="Palatino Linotype" w:cs="Arial"/>
        </w:rPr>
        <w:t xml:space="preserve"> en lo sucesivo</w:t>
      </w:r>
      <w:r w:rsidRPr="00EF5F17">
        <w:rPr>
          <w:rFonts w:ascii="Palatino Linotype" w:hAnsi="Palatino Linotype" w:cs="Arial"/>
          <w:b/>
        </w:rPr>
        <w:t xml:space="preserve"> </w:t>
      </w:r>
      <w:r w:rsidR="0089201F">
        <w:rPr>
          <w:rFonts w:ascii="Palatino Linotype" w:hAnsi="Palatino Linotype" w:cs="Arial"/>
          <w:b/>
        </w:rPr>
        <w:t>EL RECURRENTE</w:t>
      </w:r>
      <w:r w:rsidRPr="00EF5F17">
        <w:rPr>
          <w:rFonts w:ascii="Palatino Linotype" w:hAnsi="Palatino Linotype"/>
        </w:rPr>
        <w:t xml:space="preserve">, en contra de la respuesta emitida por </w:t>
      </w:r>
      <w:r w:rsidR="00E1287E">
        <w:rPr>
          <w:rFonts w:ascii="Palatino Linotype" w:hAnsi="Palatino Linotype"/>
        </w:rPr>
        <w:t>el</w:t>
      </w:r>
      <w:r w:rsidRPr="00EF5F17">
        <w:rPr>
          <w:rFonts w:ascii="Palatino Linotype" w:hAnsi="Palatino Linotype"/>
        </w:rPr>
        <w:t xml:space="preserve"> </w:t>
      </w:r>
      <w:r w:rsidR="0089201F" w:rsidRPr="0089201F">
        <w:rPr>
          <w:rFonts w:ascii="Palatino Linotype" w:hAnsi="Palatino Linotype"/>
          <w:b/>
        </w:rPr>
        <w:t>Organismo Público Descentralizado Municipal para la Prestación de los Servicios de Agua Potable, Alcantarillado y Saneamiento de Cuautitlán Izcalli denominado OPERAGUA, O.P.D.M.</w:t>
      </w:r>
      <w:r w:rsidRPr="00EF5F17">
        <w:rPr>
          <w:rFonts w:ascii="Palatino Linotype" w:hAnsi="Palatino Linotype"/>
          <w:b/>
        </w:rPr>
        <w:t>,</w:t>
      </w:r>
      <w:r w:rsidRPr="00EF5F17">
        <w:rPr>
          <w:rFonts w:ascii="Palatino Linotype" w:hAnsi="Palatino Linotype"/>
        </w:rPr>
        <w:t xml:space="preserve"> en lo sucesivo </w:t>
      </w:r>
      <w:r w:rsidRPr="00EF5F17">
        <w:rPr>
          <w:rFonts w:ascii="Palatino Linotype" w:hAnsi="Palatino Linotype"/>
          <w:b/>
        </w:rPr>
        <w:t>EL SUJETO OBLIGADO</w:t>
      </w:r>
      <w:r w:rsidRPr="00EF5F17">
        <w:rPr>
          <w:rFonts w:ascii="Palatino Linotype" w:hAnsi="Palatino Linotype"/>
        </w:rPr>
        <w:t xml:space="preserve">, se procede a dictar la presente resolución con base en lo siguiente: </w:t>
      </w:r>
    </w:p>
    <w:p w:rsidR="006E5F18" w:rsidRPr="00EF5F17" w:rsidRDefault="006E5F18" w:rsidP="006E5F18">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6E5F18" w:rsidRPr="00EF5F17" w:rsidRDefault="006E5F18" w:rsidP="006E5F18">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 xml:space="preserve">En </w:t>
      </w:r>
      <w:r w:rsidRPr="00EF5F17">
        <w:rPr>
          <w:rFonts w:ascii="Palatino Linotype" w:hAnsi="Palatino Linotype" w:cs="Arial"/>
        </w:rPr>
        <w:t>fecha</w:t>
      </w:r>
      <w:r w:rsidRPr="00EF5F17">
        <w:rPr>
          <w:rFonts w:ascii="Palatino Linotype" w:hAnsi="Palatino Linotype"/>
        </w:rPr>
        <w:t xml:space="preserve"> </w:t>
      </w:r>
      <w:r w:rsidR="00266806">
        <w:rPr>
          <w:rFonts w:ascii="Palatino Linotype" w:hAnsi="Palatino Linotype"/>
        </w:rPr>
        <w:t>trece de marzo</w:t>
      </w:r>
      <w:r>
        <w:rPr>
          <w:rFonts w:ascii="Palatino Linotype" w:hAnsi="Palatino Linotype"/>
        </w:rPr>
        <w:t xml:space="preserve"> de dos mil veinte</w:t>
      </w:r>
      <w:r w:rsidRPr="00EF5F17">
        <w:rPr>
          <w:rFonts w:ascii="Palatino Linotype" w:hAnsi="Palatino Linotype"/>
        </w:rPr>
        <w:t xml:space="preserve">, </w:t>
      </w:r>
      <w:r w:rsidR="0089201F">
        <w:rPr>
          <w:rFonts w:ascii="Palatino Linotype" w:hAnsi="Palatino Linotype" w:cs="Arial"/>
          <w:b/>
        </w:rPr>
        <w:t>EL RECURRENTE</w:t>
      </w:r>
      <w:r w:rsidRPr="00EF5F17">
        <w:rPr>
          <w:rFonts w:ascii="Palatino Linotype" w:hAnsi="Palatino Linotype"/>
        </w:rPr>
        <w:t xml:space="preserve"> presentó </w:t>
      </w:r>
      <w:r w:rsidRPr="00EF5F17">
        <w:rPr>
          <w:rFonts w:ascii="Palatino Linotype" w:hAnsi="Palatino Linotype" w:cs="Arial"/>
        </w:rPr>
        <w:t xml:space="preserve">a través </w:t>
      </w:r>
      <w:r>
        <w:rPr>
          <w:rFonts w:ascii="Palatino Linotype" w:hAnsi="Palatino Linotype" w:cs="Arial"/>
        </w:rPr>
        <w:t>de</w:t>
      </w:r>
      <w:r w:rsidR="006C22F2">
        <w:rPr>
          <w:rFonts w:ascii="Palatino Linotype" w:hAnsi="Palatino Linotype" w:cs="Arial"/>
        </w:rPr>
        <w:t>l</w:t>
      </w:r>
      <w:r w:rsidRPr="00EF5F17">
        <w:rPr>
          <w:rFonts w:ascii="Palatino Linotype" w:hAnsi="Palatino Linotype" w:cs="Arial"/>
        </w:rPr>
        <w:t xml:space="preserve"> Sistema de Acceso a la Información Mexiquense, en lo subsecuente </w:t>
      </w:r>
      <w:r w:rsidRPr="00EF5F17">
        <w:rPr>
          <w:rFonts w:ascii="Palatino Linotype" w:hAnsi="Palatino Linotype" w:cs="Arial"/>
          <w:b/>
        </w:rPr>
        <w:t>EL SAIMEX,</w:t>
      </w:r>
      <w:r w:rsidRPr="00EF5F17">
        <w:rPr>
          <w:rFonts w:ascii="Palatino Linotype" w:hAnsi="Palatino Linotype"/>
        </w:rPr>
        <w:t xml:space="preserve"> ante </w:t>
      </w:r>
      <w:r w:rsidRPr="00EF5F17">
        <w:rPr>
          <w:rFonts w:ascii="Palatino Linotype" w:hAnsi="Palatino Linotype"/>
          <w:b/>
        </w:rPr>
        <w:t>EL SUJETO OBLIGADO</w:t>
      </w:r>
      <w:r w:rsidRPr="00EF5F17">
        <w:rPr>
          <w:rFonts w:ascii="Palatino Linotype" w:hAnsi="Palatino Linotype"/>
        </w:rPr>
        <w:t xml:space="preserve">, la solicitud de acceso a la información pública, a la que se le asignó el número </w:t>
      </w:r>
      <w:r w:rsidR="0089201F">
        <w:rPr>
          <w:rFonts w:ascii="Palatino Linotype" w:hAnsi="Palatino Linotype"/>
          <w:b/>
          <w:bCs/>
        </w:rPr>
        <w:t>00012/OASCUATIZC</w:t>
      </w:r>
      <w:r>
        <w:rPr>
          <w:rFonts w:ascii="Palatino Linotype" w:hAnsi="Palatino Linotype"/>
          <w:b/>
          <w:bCs/>
        </w:rPr>
        <w:t>/IP/2020</w:t>
      </w:r>
      <w:r w:rsidRPr="00EF5F17">
        <w:rPr>
          <w:rFonts w:ascii="Palatino Linotype" w:hAnsi="Palatino Linotype"/>
        </w:rPr>
        <w:t xml:space="preserve">, mediante la cual requirió </w:t>
      </w:r>
      <w:r>
        <w:rPr>
          <w:rFonts w:ascii="Palatino Linotype" w:hAnsi="Palatino Linotype"/>
        </w:rPr>
        <w:t xml:space="preserve">vía </w:t>
      </w:r>
      <w:r w:rsidRPr="002F7419">
        <w:rPr>
          <w:rFonts w:ascii="Palatino Linotype" w:hAnsi="Palatino Linotype"/>
          <w:b/>
        </w:rPr>
        <w:t>SAIMEX</w:t>
      </w:r>
      <w:r w:rsidRPr="00EF5F17">
        <w:rPr>
          <w:rFonts w:ascii="Palatino Linotype" w:hAnsi="Palatino Linotype"/>
        </w:rPr>
        <w:t>, lo siguiente:</w:t>
      </w:r>
    </w:p>
    <w:p w:rsidR="006E5F18" w:rsidRPr="00EF5F17" w:rsidRDefault="006E5F18" w:rsidP="006E5F18">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266806" w:rsidRPr="00266806">
        <w:rPr>
          <w:rFonts w:ascii="Palatino Linotype" w:hAnsi="Palatino Linotype" w:cs="Arial"/>
          <w:i/>
          <w:sz w:val="22"/>
          <w:szCs w:val="22"/>
        </w:rPr>
        <w:t xml:space="preserve">Hola, solicito el acta de recepción del colector marginal de la Presa de Guadalupe, ya sea del colector norte o del colector sur o ambos, firmada entre Operagua y la Comisión del Agua del Estado de México el día 28 de octubre de 2019 en un evento publicado en </w:t>
      </w:r>
      <w:r w:rsidR="00266806" w:rsidRPr="00266806">
        <w:rPr>
          <w:rFonts w:ascii="Palatino Linotype" w:hAnsi="Palatino Linotype" w:cs="Arial"/>
          <w:i/>
          <w:sz w:val="22"/>
          <w:szCs w:val="22"/>
        </w:rPr>
        <w:lastRenderedPageBreak/>
        <w:t>https://www.facebook.com/CIzcalli2019/posts/2771341026232928 y https://operaguaci.gob.mx/operagua-recibe-obras-concluidas-de-caem?fbclid=IwAR3ewSTsV96Askup0E30n7_CosKO6sPAH3LwGA6Bjtyau3XlDXjwABdIkfIl . Muchas gracias.</w:t>
      </w:r>
      <w:r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0" w:name="_Ref516764469"/>
      <w:bookmarkStart w:id="1" w:name="_Ref531692384"/>
    </w:p>
    <w:p w:rsidR="006E5F18" w:rsidRPr="00266806" w:rsidRDefault="006E5F18" w:rsidP="00F47B44">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266806">
        <w:rPr>
          <w:rFonts w:ascii="Palatino Linotype" w:hAnsi="Palatino Linotype" w:cs="Arial"/>
        </w:rPr>
        <w:t xml:space="preserve">De las constancias que integran el expediente electrónico del </w:t>
      </w:r>
      <w:r w:rsidRPr="00266806">
        <w:rPr>
          <w:rFonts w:ascii="Palatino Linotype" w:hAnsi="Palatino Linotype" w:cs="Arial"/>
          <w:b/>
        </w:rPr>
        <w:t>SAIMEX</w:t>
      </w:r>
      <w:r w:rsidR="006C22F2" w:rsidRPr="00266806">
        <w:rPr>
          <w:rFonts w:ascii="Palatino Linotype" w:hAnsi="Palatino Linotype" w:cs="Arial"/>
          <w:b/>
        </w:rPr>
        <w:t>,</w:t>
      </w:r>
      <w:r w:rsidRPr="00266806">
        <w:rPr>
          <w:rFonts w:ascii="Palatino Linotype" w:hAnsi="Palatino Linotype" w:cs="Arial"/>
        </w:rPr>
        <w:t xml:space="preserve"> se advierte que, en fecha </w:t>
      </w:r>
      <w:r w:rsidR="00266806" w:rsidRPr="00266806">
        <w:rPr>
          <w:rFonts w:ascii="Palatino Linotype" w:hAnsi="Palatino Linotype" w:cs="Arial"/>
        </w:rPr>
        <w:t>diecinueve</w:t>
      </w:r>
      <w:r w:rsidR="006C22F2" w:rsidRPr="00266806">
        <w:rPr>
          <w:rFonts w:ascii="Palatino Linotype" w:hAnsi="Palatino Linotype" w:cs="Arial"/>
        </w:rPr>
        <w:t xml:space="preserve"> de marzo</w:t>
      </w:r>
      <w:r w:rsidRPr="00266806">
        <w:rPr>
          <w:rFonts w:ascii="Palatino Linotype" w:hAnsi="Palatino Linotype" w:cs="Arial"/>
        </w:rPr>
        <w:t xml:space="preserve"> de dos mil veinte, </w:t>
      </w:r>
      <w:r w:rsidRPr="00266806">
        <w:rPr>
          <w:rFonts w:ascii="Palatino Linotype" w:hAnsi="Palatino Linotype" w:cs="Arial"/>
          <w:b/>
        </w:rPr>
        <w:t>EL SUJETO OBLIGADO</w:t>
      </w:r>
      <w:r w:rsidRPr="00266806">
        <w:rPr>
          <w:rFonts w:ascii="Palatino Linotype" w:hAnsi="Palatino Linotype" w:cs="Arial"/>
        </w:rPr>
        <w:t xml:space="preserve"> dio respuesta a la </w:t>
      </w:r>
      <w:r w:rsidRPr="00266806">
        <w:rPr>
          <w:rFonts w:ascii="Palatino Linotype" w:hAnsi="Palatino Linotype"/>
        </w:rPr>
        <w:t>solicitud</w:t>
      </w:r>
      <w:r w:rsidRPr="00266806">
        <w:rPr>
          <w:rFonts w:ascii="Palatino Linotype" w:hAnsi="Palatino Linotype" w:cs="Arial"/>
        </w:rPr>
        <w:t xml:space="preserve"> de </w:t>
      </w:r>
      <w:r w:rsidRPr="00266806">
        <w:rPr>
          <w:rFonts w:ascii="Palatino Linotype" w:hAnsi="Palatino Linotype"/>
        </w:rPr>
        <w:t>acceso</w:t>
      </w:r>
      <w:r w:rsidRPr="00266806">
        <w:rPr>
          <w:rFonts w:ascii="Palatino Linotype" w:hAnsi="Palatino Linotype" w:cs="Arial"/>
        </w:rPr>
        <w:t xml:space="preserve"> a la información pública requerida por </w:t>
      </w:r>
      <w:r w:rsidR="0089201F" w:rsidRPr="00266806">
        <w:rPr>
          <w:rFonts w:ascii="Palatino Linotype" w:hAnsi="Palatino Linotype" w:cs="Arial"/>
          <w:b/>
        </w:rPr>
        <w:t>EL RECURRENTE</w:t>
      </w:r>
      <w:r w:rsidRPr="00266806">
        <w:rPr>
          <w:rFonts w:ascii="Palatino Linotype" w:hAnsi="Palatino Linotype" w:cs="Arial"/>
        </w:rPr>
        <w:t>, en los siguientes términos:</w:t>
      </w:r>
      <w:bookmarkEnd w:id="0"/>
      <w:bookmarkEnd w:id="1"/>
    </w:p>
    <w:p w:rsidR="006E5F18" w:rsidRPr="00EF5F17" w:rsidRDefault="006E5F18" w:rsidP="006E5F18">
      <w:pPr>
        <w:ind w:left="709" w:right="709"/>
        <w:jc w:val="both"/>
        <w:rPr>
          <w:rFonts w:ascii="Palatino Linotype" w:hAnsi="Palatino Linotype" w:cs="Arial"/>
          <w:i/>
          <w:sz w:val="22"/>
        </w:rPr>
      </w:pPr>
      <w:r w:rsidRPr="00EF5F17">
        <w:rPr>
          <w:rFonts w:ascii="Palatino Linotype" w:hAnsi="Palatino Linotype" w:cs="Arial"/>
          <w:i/>
          <w:sz w:val="22"/>
        </w:rPr>
        <w:t>“</w:t>
      </w:r>
      <w:r w:rsidR="00266806" w:rsidRPr="00266806">
        <w:rPr>
          <w:rFonts w:ascii="Palatino Linotype" w:hAnsi="Palatino Linotype" w:cs="Arial"/>
          <w:i/>
          <w:sz w:val="22"/>
        </w:rPr>
        <w:t>Por este conducto, y en seguimiento a la solicitud de Información Pública número 00012/OASCUATIZC/IP/2020, recibida a través del SISTEMA DE ACCESO A LA INFORMACIÓN MEXIQUENSE (SAIMEX), no omito informarle que con fundamento en el artículo 167 de la LTAIPEMYM, este Organismo dentro de su ámbito de aplicación no es competente para atender su solicitud, por lo que le sugiero solicite la misma a la Comisión de Aguas el Estado de México, 0 quien es la dependencia que emite las actas de entrega-recepción sobre el particular. Sin otro particular por el momento, quedo de Usted.</w:t>
      </w:r>
      <w:r w:rsidRPr="00EF5F17">
        <w:rPr>
          <w:rFonts w:ascii="Palatino Linotype" w:hAnsi="Palatino Linotype" w:cs="Arial"/>
          <w:i/>
          <w:sz w:val="22"/>
        </w:rPr>
        <w:t>”</w:t>
      </w:r>
      <w:r>
        <w:rPr>
          <w:rFonts w:ascii="Palatino Linotype" w:hAnsi="Palatino Linotype" w:cs="Arial"/>
          <w:i/>
          <w:sz w:val="22"/>
        </w:rPr>
        <w:t xml:space="preserve"> (Sic)</w:t>
      </w:r>
    </w:p>
    <w:p w:rsidR="00D8588A" w:rsidRDefault="00E1287E"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Pr>
          <w:rFonts w:ascii="Palatino Linotype" w:hAnsi="Palatino Linotype" w:cs="Arial"/>
        </w:rPr>
        <w:t xml:space="preserve">Asimismo, </w:t>
      </w:r>
      <w:r w:rsidRPr="00D8588A">
        <w:rPr>
          <w:rFonts w:ascii="Palatino Linotype" w:hAnsi="Palatino Linotype" w:cs="Arial"/>
          <w:b/>
        </w:rPr>
        <w:t>EL SUJETO OBLIGADO</w:t>
      </w:r>
      <w:r>
        <w:rPr>
          <w:rFonts w:ascii="Palatino Linotype" w:hAnsi="Palatino Linotype" w:cs="Arial"/>
        </w:rPr>
        <w:t xml:space="preserve"> adjuntó a su respuesta </w:t>
      </w:r>
      <w:r w:rsidR="00D8588A">
        <w:rPr>
          <w:rFonts w:ascii="Palatino Linotype" w:hAnsi="Palatino Linotype" w:cs="Arial"/>
        </w:rPr>
        <w:t>los siguientes documentos:</w:t>
      </w:r>
    </w:p>
    <w:p w:rsidR="00A06272" w:rsidRDefault="002C2E94"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88265</wp:posOffset>
                </wp:positionV>
                <wp:extent cx="5219700" cy="914400"/>
                <wp:effectExtent l="19050" t="20955" r="19050" b="36195"/>
                <wp:wrapNone/>
                <wp:docPr id="5"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91440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65085"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5pt" to="431.7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HQgQIAAA8FAAAOAAAAZHJzL2Uyb0RvYy54bWysVFGP2jAMfp+0/xD1nWvLFY5WV05Tgb3c&#10;NqS7ac8hSWm0NKmSQEHT/vvsFLqxvUzTQEpjx7E/25/z+HRqFTkK66TRZZTeJRERmhku9b6MPr9u&#10;JouIOE81p8poUUZn4aKn5ds3j31XiKlpjOLCEnCiXdF3ZdR43xVx7FgjWuruTCc0HNbGttSDaPcx&#10;t7QH762Kp0kyj3tjeWcNE86BdjUcRsvgv64F85/q2glPVBkBNh9WG9YdrvHykRZ7S7tGsgsM+g8o&#10;Wio1BB1drain5GDlH65ayaxxpvZ3zLSxqWvJRMgBskmT37J5aWgnQi5QHNeNZXL/zy37eNxaInkZ&#10;zSKiaQstqqBRzBtLLH7IHGvUd64A00pvLWbJTvqlezbsqyPaVA3VexGwvp47cJDijfjmCgqug0i7&#10;/oPhYEMP3oSCnWrboksoBTmFvpzHvoiTJwyUs2maPyTQPgZneZplsMcQtLje7qzz74VpCW7KSEmN&#10;daMFPT47P5heTVCtzUYqBXpaKE36MprO0CfKzijJ8TQISENRKUuOFAhEGRPap8FOHVrIZNCnCf4G&#10;LoEeGDforygDm9FNwHwTwZqD5gFIIyhfX/aeSjXsIUelEYoIZIZsUDAHL+xLw3vCJeYLk4Dl4RKY&#10;jZkEyRr/RfomNAZLGhKy+92YziLBf9BT1TV0AH3/kOf5pbxuMA+wx5hBuoEDfboAw44F2n/Lk3y9&#10;WC+ySTadrydZslpN3m2qbDLfpA+z1f2qqlbpd4ydZkUjORcai34dwTT7O4pfHoNheMYhHNsb33of&#10;kJ+ghFDWK+hAVOTmwPKd4eetRcogZ2HqgvHlhcCx/lUOVj/fseUPAAAA//8DAFBLAwQUAAYACAAA&#10;ACEARrba3N4AAAAJAQAADwAAAGRycy9kb3ducmV2LnhtbEyPQU+DQBCF7yb+h82YeLMLtlagLA2p&#10;kqg3aU16nMIIRHaXsEuL/97xpMf53sub99LtrHtxptF11igIFwEIMpWtO9MoOOyLuwiE82hq7K0h&#10;Bd/kYJtdX6WY1PZi3ulc+kZwiHEJKmi9HxIpXdWSRrewAxnWPu2o0fM5NrIe8cLhupf3QbCWGjvD&#10;H1ocaNdS9VVOWkH59rI7xjlGU7c/zB+vT0X+HBZK3d7M+QaEp9n/meG3PleHjDud7GRqJ3oFq3DF&#10;TubLGATr0XrJ4MTg4TEGmaXy/4LsBwAA//8DAFBLAQItABQABgAIAAAAIQC2gziS/gAAAOEBAAAT&#10;AAAAAAAAAAAAAAAAAAAAAABbQ29udGVudF9UeXBlc10ueG1sUEsBAi0AFAAGAAgAAAAhADj9If/W&#10;AAAAlAEAAAsAAAAAAAAAAAAAAAAALwEAAF9yZWxzLy5yZWxzUEsBAi0AFAAGAAgAAAAhAIKPQdCB&#10;AgAADwUAAA4AAAAAAAAAAAAAAAAALgIAAGRycy9lMm9Eb2MueG1sUEsBAi0AFAAGAAgAAAAhAEa2&#10;2tzeAAAACQEAAA8AAAAAAAAAAAAAAAAA2wQAAGRycy9kb3ducmV2LnhtbFBLBQYAAAAABAAEAPMA&#10;AADmBQAAAAA=&#10;" strokecolor="#4f81bd [3204]" strokeweight="2pt">
                <v:shadow on="t" opacity="24903f" origin=",.5" offset="0,.55556mm"/>
              </v:line>
            </w:pict>
          </mc:Fallback>
        </mc:AlternateContent>
      </w:r>
    </w:p>
    <w:p w:rsidR="00D8588A" w:rsidRPr="00E1287E" w:rsidRDefault="00266806"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extent cx="5886450" cy="609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78" t="14617" r="34053" b="11713"/>
                    <a:stretch/>
                  </pic:blipFill>
                  <pic:spPr bwMode="auto">
                    <a:xfrm>
                      <a:off x="0" y="0"/>
                      <a:ext cx="5886450" cy="6096000"/>
                    </a:xfrm>
                    <a:prstGeom prst="rect">
                      <a:avLst/>
                    </a:prstGeom>
                    <a:ln>
                      <a:noFill/>
                    </a:ln>
                    <a:extLst>
                      <a:ext uri="{53640926-AAD7-44D8-BBD7-CCE9431645EC}">
                        <a14:shadowObscured xmlns:a14="http://schemas.microsoft.com/office/drawing/2010/main"/>
                      </a:ext>
                    </a:extLst>
                  </pic:spPr>
                </pic:pic>
              </a:graphicData>
            </a:graphic>
          </wp:inline>
        </w:drawing>
      </w:r>
    </w:p>
    <w:p w:rsidR="00B8179C" w:rsidRDefault="006E5F18" w:rsidP="006E5F18">
      <w:pPr>
        <w:pStyle w:val="Prrafodelista"/>
        <w:widowControl w:val="0"/>
        <w:numPr>
          <w:ilvl w:val="0"/>
          <w:numId w:val="31"/>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lastRenderedPageBreak/>
        <w:t xml:space="preserve">Inconforme con la respuesta del </w:t>
      </w:r>
      <w:r w:rsidRPr="00EF5F17">
        <w:rPr>
          <w:rFonts w:ascii="Palatino Linotype" w:hAnsi="Palatino Linotype"/>
          <w:b/>
        </w:rPr>
        <w:t>SUJETO OBLIGADO</w:t>
      </w:r>
      <w:r w:rsidRPr="00EF5F17">
        <w:rPr>
          <w:rFonts w:ascii="Palatino Linotype" w:hAnsi="Palatino Linotype"/>
        </w:rPr>
        <w:t xml:space="preserve">, en fecha </w:t>
      </w:r>
      <w:r w:rsidR="00266806">
        <w:rPr>
          <w:rFonts w:ascii="Palatino Linotype" w:hAnsi="Palatino Linotype"/>
        </w:rPr>
        <w:t>veintitrés</w:t>
      </w:r>
      <w:r w:rsidR="00D8588A">
        <w:rPr>
          <w:rFonts w:ascii="Palatino Linotype" w:hAnsi="Palatino Linotype"/>
        </w:rPr>
        <w:t xml:space="preserve"> de marzo</w:t>
      </w:r>
      <w:r w:rsidRPr="00EF5F17">
        <w:rPr>
          <w:rFonts w:ascii="Palatino Linotype" w:hAnsi="Palatino Linotype"/>
        </w:rPr>
        <w:t xml:space="preserve"> de dos mil veinte, </w:t>
      </w:r>
      <w:r w:rsidR="0089201F">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número al rubro citado, en el que señaló como acto impugnado</w:t>
      </w:r>
      <w:r w:rsidR="00B8179C">
        <w:rPr>
          <w:rFonts w:ascii="Palatino Linotype" w:hAnsi="Palatino Linotype" w:cs="Arial"/>
        </w:rPr>
        <w:t>:</w:t>
      </w:r>
    </w:p>
    <w:p w:rsidR="00B8179C" w:rsidRPr="00B8179C" w:rsidRDefault="00B8179C" w:rsidP="00B8179C">
      <w:pPr>
        <w:pStyle w:val="Prrafodelista"/>
        <w:spacing w:before="100" w:beforeAutospacing="1" w:after="100" w:afterAutospacing="1"/>
        <w:ind w:left="720" w:right="709"/>
        <w:jc w:val="both"/>
        <w:rPr>
          <w:rFonts w:ascii="Palatino Linotype" w:hAnsi="Palatino Linotype" w:cs="Arial"/>
          <w:sz w:val="22"/>
          <w:szCs w:val="22"/>
          <w:lang w:eastAsia="es-MX"/>
        </w:rPr>
      </w:pPr>
      <w:r w:rsidRPr="00B8179C">
        <w:rPr>
          <w:rFonts w:ascii="Palatino Linotype" w:hAnsi="Palatino Linotype" w:cs="Arial"/>
          <w:i/>
          <w:sz w:val="22"/>
          <w:szCs w:val="22"/>
          <w:lang w:eastAsia="es-MX"/>
        </w:rPr>
        <w:t>“</w:t>
      </w:r>
      <w:r w:rsidR="00266806" w:rsidRPr="00266806">
        <w:rPr>
          <w:rFonts w:ascii="Palatino Linotype" w:hAnsi="Palatino Linotype" w:cs="Arial"/>
          <w:i/>
          <w:sz w:val="22"/>
          <w:szCs w:val="22"/>
        </w:rPr>
        <w:t>El acta de recepción del colector marginal de la Presa de Guadalupe, ya sea del colector norte o del colector sur o ambos, la firmó el Director General de Operagua (Ing. Martín Guerrero Baeza) el 28 de octubre de 2019 como se puede ver en las fotografías que se encuentran en las siguientes publicaciones realizadas tanto en el Facebook oficial del actual Ayuntamiento de Cuautitlán Izcalli en https://www.facebook.com/CIzcalli2019/posts/2771341026232928 como en el siguiente noticia publicada por Operagua https://operaguaci.gob.mx/operagua-recibe-obras-concluidas-de-caem?fbclid=IwAR3ewSTsV96Askup0E30n7_CosKO6sPAH3LwGA6Bjtyau3XlDXjwABdIkfIl En ambas noticias mencionan que Operagua recibió dicho colector marginal y que en dicho evento el Director General de Operagua firmo dicha acta de recepción, no es posible que la misma no se encuentre en los archivos de Operagua según lo que están respondiendo a mi solicitud</w:t>
      </w:r>
      <w:r w:rsidR="00266806">
        <w:rPr>
          <w:rFonts w:ascii="Palatino Linotype" w:hAnsi="Palatino Linotype" w:cs="Arial"/>
          <w:i/>
          <w:sz w:val="22"/>
          <w:szCs w:val="22"/>
        </w:rPr>
        <w:t xml:space="preserve"> de información. Muchas gracias</w:t>
      </w:r>
      <w:r w:rsidRPr="00B8179C">
        <w:rPr>
          <w:rFonts w:ascii="Palatino Linotype" w:hAnsi="Palatino Linotype" w:cs="Arial"/>
          <w:i/>
          <w:sz w:val="22"/>
          <w:szCs w:val="22"/>
        </w:rPr>
        <w:t>.</w:t>
      </w:r>
      <w:r w:rsidRPr="00B8179C">
        <w:rPr>
          <w:rFonts w:ascii="Palatino Linotype" w:hAnsi="Palatino Linotype" w:cs="Arial"/>
          <w:i/>
          <w:sz w:val="22"/>
          <w:szCs w:val="22"/>
          <w:lang w:eastAsia="es-MX"/>
        </w:rPr>
        <w:t xml:space="preserve">” </w:t>
      </w:r>
      <w:r w:rsidRPr="00B8179C">
        <w:rPr>
          <w:rFonts w:ascii="Palatino Linotype" w:hAnsi="Palatino Linotype" w:cs="Arial"/>
          <w:sz w:val="22"/>
          <w:szCs w:val="22"/>
          <w:lang w:eastAsia="es-MX"/>
        </w:rPr>
        <w:t>(Sic)</w:t>
      </w:r>
    </w:p>
    <w:p w:rsidR="006E5F18" w:rsidRPr="00EF5F17" w:rsidRDefault="00B8179C" w:rsidP="00B8179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Asimismo, </w:t>
      </w:r>
      <w:r w:rsidR="0089201F">
        <w:rPr>
          <w:rFonts w:ascii="Palatino Linotype" w:hAnsi="Palatino Linotype" w:cs="Arial"/>
          <w:b/>
        </w:rPr>
        <w:t>EL RECURRENTE</w:t>
      </w:r>
      <w:r>
        <w:rPr>
          <w:rFonts w:ascii="Palatino Linotype" w:hAnsi="Palatino Linotype" w:cs="Arial"/>
        </w:rPr>
        <w:t xml:space="preserve"> manifestó como</w:t>
      </w:r>
      <w:r w:rsidR="00564B2F">
        <w:rPr>
          <w:rFonts w:ascii="Palatino Linotype" w:hAnsi="Palatino Linotype" w:cs="Arial"/>
        </w:rPr>
        <w:t xml:space="preserve"> como razones o motivos de inconformidad</w:t>
      </w:r>
      <w:r w:rsidR="006E5F18" w:rsidRPr="00EF5F17">
        <w:rPr>
          <w:rFonts w:ascii="Palatino Linotype" w:hAnsi="Palatino Linotype" w:cs="Arial"/>
        </w:rPr>
        <w:t>, lo siguiente:</w:t>
      </w:r>
      <w:bookmarkEnd w:id="2"/>
    </w:p>
    <w:p w:rsidR="006E5F18" w:rsidRPr="00EF5F17" w:rsidRDefault="006E5F18" w:rsidP="006E5F18">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266806" w:rsidRPr="00266806">
        <w:rPr>
          <w:rFonts w:ascii="Palatino Linotype" w:hAnsi="Palatino Linotype" w:cs="Arial"/>
          <w:i/>
          <w:sz w:val="22"/>
          <w:szCs w:val="22"/>
        </w:rPr>
        <w:t>El acta de recepción del colector marginal de la Presa de Guadalupe, ya sea del colector norte o del colector sur o ambos, la firmó el Director General de Operagua (Ing. Martín Guerrero Baeza) el 28 de octubre de 2019 como se puede ver en las fotografías que se encuentran en las siguientes publicaciones realizadas tanto en el Facebook oficial del actual Ayuntamiento de Cuautitlán Izcalli en https://www.facebook.com/CIzcalli2019/posts/2771341026232928 como en el siguiente noticia publicada por Operagua https://operaguaci.gob.mx/operagua-recibe-obras-concluidas-de-</w:t>
      </w:r>
      <w:r w:rsidR="00266806" w:rsidRPr="00266806">
        <w:rPr>
          <w:rFonts w:ascii="Palatino Linotype" w:hAnsi="Palatino Linotype" w:cs="Arial"/>
          <w:i/>
          <w:sz w:val="22"/>
          <w:szCs w:val="22"/>
        </w:rPr>
        <w:lastRenderedPageBreak/>
        <w:t>caem?fbclid=IwAR3ewSTsV96Askup0E30n7_CosKO6sPAH3LwGA6Bjtyau3XlDXjwABdIkfIl En ambas noticias mencionan que Operagua recibió dicho colector marginal y que en dicho evento el Director General de Operagua firmo dicha acta de recepción, no es posible que la misma no se encuentre en los archivos de Operagua según lo que están respondiendo a mi solicitud de información. Muchas gracias.</w:t>
      </w:r>
      <w:r w:rsidR="00B8179C">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367A6E" w:rsidRDefault="00367A6E" w:rsidP="00367A6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lang w:val="es-ES_tradnl"/>
        </w:rPr>
        <w:t xml:space="preserve">Asimismo, </w:t>
      </w:r>
      <w:r w:rsidRPr="00367A6E">
        <w:rPr>
          <w:rFonts w:ascii="Palatino Linotype" w:hAnsi="Palatino Linotype" w:cs="Arial"/>
          <w:b/>
          <w:lang w:val="es-ES_tradnl"/>
        </w:rPr>
        <w:t>EL RECURRENTE</w:t>
      </w:r>
      <w:r>
        <w:rPr>
          <w:rFonts w:ascii="Palatino Linotype" w:hAnsi="Palatino Linotype" w:cs="Arial"/>
          <w:lang w:val="es-ES_tradnl"/>
        </w:rPr>
        <w:t xml:space="preserve"> adjuntó a su Recurso de revisión los siguientes archivos electrónicos:</w:t>
      </w:r>
    </w:p>
    <w:p w:rsidR="00367A6E" w:rsidRDefault="00367A6E" w:rsidP="00367A6E">
      <w:pPr>
        <w:pStyle w:val="Prrafodelista"/>
        <w:widowControl w:val="0"/>
        <w:numPr>
          <w:ilvl w:val="0"/>
          <w:numId w:val="49"/>
        </w:numPr>
        <w:tabs>
          <w:tab w:val="left" w:pos="0"/>
        </w:tabs>
        <w:autoSpaceDE w:val="0"/>
        <w:autoSpaceDN w:val="0"/>
        <w:adjustRightInd w:val="0"/>
        <w:spacing w:before="240" w:after="240" w:line="360" w:lineRule="auto"/>
        <w:jc w:val="both"/>
        <w:rPr>
          <w:rFonts w:ascii="Palatino Linotype" w:hAnsi="Palatino Linotype" w:cs="Arial"/>
          <w:lang w:val="es-ES_tradnl"/>
        </w:rPr>
      </w:pPr>
      <w:r>
        <w:rPr>
          <w:rFonts w:ascii="Palatino Linotype" w:hAnsi="Palatino Linotype" w:cs="Arial"/>
          <w:lang w:val="es-ES_tradnl"/>
        </w:rPr>
        <w:t>Impresiones de pantalla de la página oficial de Facebook del Ayuntamiento de Cuautitlán Izcalli, constante de 6 fojas, misma que no se plasma; toda vez que se advierten datos personales de particulares, tales como nombres, comentarios y fotografías; y,</w:t>
      </w:r>
    </w:p>
    <w:p w:rsidR="00367A6E" w:rsidRPr="00367A6E" w:rsidRDefault="00367A6E" w:rsidP="00367A6E">
      <w:pPr>
        <w:pStyle w:val="Prrafodelista"/>
        <w:widowControl w:val="0"/>
        <w:numPr>
          <w:ilvl w:val="0"/>
          <w:numId w:val="49"/>
        </w:numPr>
        <w:tabs>
          <w:tab w:val="left" w:pos="0"/>
        </w:tabs>
        <w:autoSpaceDE w:val="0"/>
        <w:autoSpaceDN w:val="0"/>
        <w:adjustRightInd w:val="0"/>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Nota periodística, titulada </w:t>
      </w:r>
      <w:r w:rsidRPr="00367A6E">
        <w:rPr>
          <w:rFonts w:ascii="Palatino Linotype" w:hAnsi="Palatino Linotype" w:cs="Arial"/>
          <w:i/>
          <w:lang w:val="es-ES_tradnl"/>
        </w:rPr>
        <w:t>“OPERAGUA RECIBE OBRAS CONCLUIDAS DE CAEM”</w:t>
      </w:r>
      <w:r>
        <w:rPr>
          <w:rFonts w:ascii="Palatino Linotype" w:hAnsi="Palatino Linotype" w:cs="Arial"/>
          <w:lang w:val="es-ES_tradnl"/>
        </w:rPr>
        <w:t xml:space="preserve">, de fecha 30 de octubre de 2019, emitida por </w:t>
      </w:r>
      <w:r w:rsidRPr="00367A6E">
        <w:rPr>
          <w:rFonts w:ascii="Palatino Linotype" w:hAnsi="Palatino Linotype" w:cs="Arial"/>
          <w:b/>
          <w:lang w:val="es-ES_tradnl"/>
        </w:rPr>
        <w:t>EL SUEJTO OBLIGADO</w:t>
      </w:r>
      <w:r>
        <w:rPr>
          <w:rFonts w:ascii="Palatino Linotype" w:hAnsi="Palatino Linotype" w:cs="Arial"/>
          <w:lang w:val="es-ES_tradnl"/>
        </w:rPr>
        <w:t>, constante de 2 fojas.</w:t>
      </w:r>
    </w:p>
    <w:p w:rsidR="006E5F18" w:rsidRPr="00EF5F17"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266806">
        <w:rPr>
          <w:rFonts w:ascii="Palatino Linotype" w:hAnsi="Palatino Linotype"/>
        </w:rPr>
        <w:t>veintitrés</w:t>
      </w:r>
      <w:r w:rsidR="00D8588A">
        <w:rPr>
          <w:rFonts w:ascii="Palatino Linotype" w:hAnsi="Palatino Linotype"/>
        </w:rPr>
        <w:t xml:space="preserve"> de marzo</w:t>
      </w:r>
      <w:r w:rsidRPr="00EF5F17">
        <w:rPr>
          <w:rFonts w:ascii="Palatino Linotype" w:hAnsi="Palatino Linotype"/>
        </w:rPr>
        <w:t xml:space="preserve"> de dos mil veinte</w:t>
      </w:r>
      <w:r w:rsidRPr="00EF5F17">
        <w:rPr>
          <w:rFonts w:ascii="Palatino Linotype" w:hAnsi="Palatino Linotype" w:cs="Arial"/>
        </w:rPr>
        <w:t>, el recurso de que se trata se envió electrónicamente al Instituto de Transparencia, Acceso a la Información Pública</w:t>
      </w:r>
      <w:r w:rsidRPr="00EF5F17">
        <w:rPr>
          <w:rFonts w:ascii="Palatino Linotype" w:hAnsi="Palatino Linotype" w:cs="Arial"/>
          <w:lang w:val="es-ES_tradnl"/>
        </w:rPr>
        <w:t xml:space="preserve"> y </w:t>
      </w:r>
      <w:r w:rsidRPr="00EF5F17">
        <w:rPr>
          <w:rFonts w:ascii="Palatino Linotype" w:hAnsi="Palatino Linotype" w:cs="Arial"/>
        </w:rPr>
        <w:t>Protección</w:t>
      </w:r>
      <w:r w:rsidRPr="00EF5F17">
        <w:rPr>
          <w:rFonts w:ascii="Palatino Linotype" w:hAnsi="Palatino Linotype" w:cs="Arial"/>
          <w:lang w:val="es-ES_tradnl"/>
        </w:rPr>
        <w:t xml:space="preserve"> </w:t>
      </w:r>
      <w:r w:rsidRPr="00EF5F17">
        <w:rPr>
          <w:rFonts w:ascii="Palatino Linotype" w:hAnsi="Palatino Linotype" w:cs="Arial"/>
        </w:rPr>
        <w:t>de</w:t>
      </w:r>
      <w:r w:rsidRPr="00EF5F17">
        <w:rPr>
          <w:rFonts w:ascii="Palatino Linotype" w:hAnsi="Palatino Linotype" w:cs="Arial"/>
          <w:lang w:val="es-ES_tradnl"/>
        </w:rPr>
        <w:t xml:space="preserve"> </w:t>
      </w:r>
      <w:r w:rsidRPr="00EF5F17">
        <w:rPr>
          <w:rFonts w:ascii="Palatino Linotype" w:hAnsi="Palatino Linotype"/>
        </w:rPr>
        <w:t>Datos</w:t>
      </w:r>
      <w:r w:rsidRPr="00EF5F17">
        <w:rPr>
          <w:rFonts w:ascii="Palatino Linotype" w:hAnsi="Palatino Linotype" w:cs="Arial"/>
          <w:lang w:val="es-ES_tradnl"/>
        </w:rPr>
        <w:t xml:space="preserve"> </w:t>
      </w:r>
      <w:r w:rsidRPr="00EF5F17">
        <w:rPr>
          <w:rFonts w:ascii="Palatino Linotype" w:hAnsi="Palatino Linotype" w:cs="Arial"/>
        </w:rPr>
        <w:t>Personales</w:t>
      </w:r>
      <w:r w:rsidRPr="00EF5F17">
        <w:rPr>
          <w:rFonts w:ascii="Palatino Linotype" w:hAnsi="Palatino Linotype" w:cs="Arial"/>
          <w:lang w:val="es-ES_tradnl"/>
        </w:rPr>
        <w:t xml:space="preserve"> </w:t>
      </w:r>
      <w:r w:rsidRPr="00EF5F17">
        <w:rPr>
          <w:rFonts w:ascii="Palatino Linotype" w:hAnsi="Palatino Linotype" w:cs="Arial"/>
        </w:rPr>
        <w:t>del</w:t>
      </w:r>
      <w:r w:rsidRPr="00EF5F17">
        <w:rPr>
          <w:rFonts w:ascii="Palatino Linotype" w:hAnsi="Palatino Linotype" w:cs="Arial"/>
          <w:lang w:val="es-ES_tradnl"/>
        </w:rPr>
        <w:t xml:space="preserve"> </w:t>
      </w:r>
      <w:r w:rsidRPr="00EF5F17">
        <w:rPr>
          <w:rFonts w:ascii="Palatino Linotype" w:hAnsi="Palatino Linotype"/>
        </w:rPr>
        <w:t>Estado</w:t>
      </w:r>
      <w:r w:rsidRPr="00EF5F17">
        <w:rPr>
          <w:rFonts w:ascii="Palatino Linotype" w:hAnsi="Palatino Linotype" w:cs="Arial"/>
          <w:lang w:val="es-ES_tradnl"/>
        </w:rPr>
        <w:t xml:space="preserve"> de México y Municipios y con fundamento en el </w:t>
      </w:r>
      <w:r w:rsidRPr="00EF5F17">
        <w:rPr>
          <w:rFonts w:ascii="Palatino Linotype" w:hAnsi="Palatino Linotype" w:cs="Arial"/>
        </w:rPr>
        <w:t>artículo</w:t>
      </w:r>
      <w:r w:rsidRPr="00EF5F17">
        <w:rPr>
          <w:rFonts w:ascii="Palatino Linotype" w:hAnsi="Palatino Linotype" w:cs="Arial"/>
          <w:lang w:val="es-ES_tradnl"/>
        </w:rPr>
        <w:t xml:space="preserve"> 185, </w:t>
      </w:r>
      <w:r w:rsidRPr="00EF5F17">
        <w:rPr>
          <w:rFonts w:ascii="Palatino Linotype" w:hAnsi="Palatino Linotype" w:cs="Arial"/>
        </w:rPr>
        <w:t>fracción</w:t>
      </w:r>
      <w:r w:rsidRPr="00EF5F17">
        <w:rPr>
          <w:rFonts w:ascii="Palatino Linotype" w:hAnsi="Palatino Linotype" w:cs="Arial"/>
          <w:lang w:val="es-ES_tradnl"/>
        </w:rPr>
        <w:t xml:space="preserve"> I de la </w:t>
      </w:r>
      <w:r w:rsidRPr="00EF5F17">
        <w:rPr>
          <w:rFonts w:ascii="Palatino Linotype" w:hAnsi="Palatino Linotype"/>
        </w:rPr>
        <w:t>Ley de Transparencia y Acceso a la Información Pública del Estado de México y Municipios</w:t>
      </w:r>
      <w:r w:rsidRPr="00EF5F17">
        <w:rPr>
          <w:rFonts w:ascii="Palatino Linotype" w:hAnsi="Palatino Linotype" w:cs="Arial"/>
          <w:lang w:val="es-ES_tradnl"/>
        </w:rPr>
        <w:t>, se turnó, a través del</w:t>
      </w:r>
      <w:r w:rsidRPr="00EF5F17">
        <w:rPr>
          <w:rFonts w:ascii="Palatino Linotype" w:eastAsia="Arial Unicode MS" w:hAnsi="Palatino Linotype" w:cs="Arial"/>
          <w:lang w:val="es-ES_tradnl"/>
        </w:rPr>
        <w:t xml:space="preserve"> </w:t>
      </w:r>
      <w:r w:rsidRPr="00EF5F17">
        <w:rPr>
          <w:rFonts w:ascii="Palatino Linotype" w:eastAsia="Arial Unicode MS" w:hAnsi="Palatino Linotype" w:cs="Arial"/>
          <w:b/>
          <w:lang w:val="es-ES_tradnl"/>
        </w:rPr>
        <w:t>SAIMEX</w:t>
      </w:r>
      <w:r w:rsidRPr="00EF5F17">
        <w:rPr>
          <w:rFonts w:ascii="Palatino Linotype" w:hAnsi="Palatino Linotype"/>
        </w:rPr>
        <w:t xml:space="preserve">, a la </w:t>
      </w:r>
      <w:r w:rsidRPr="00EF5F17">
        <w:rPr>
          <w:rFonts w:ascii="Palatino Linotype" w:hAnsi="Palatino Linotype" w:cs="Arial"/>
          <w:lang w:val="es-ES_tradnl"/>
        </w:rPr>
        <w:t xml:space="preserve">Comisionada </w:t>
      </w:r>
      <w:r w:rsidRPr="00EF5F17">
        <w:rPr>
          <w:rFonts w:ascii="Palatino Linotype" w:hAnsi="Palatino Linotype" w:cs="Arial"/>
          <w:b/>
          <w:lang w:val="es-ES_tradnl"/>
        </w:rPr>
        <w:t>EVA ABAID YAPUR</w:t>
      </w:r>
      <w:r w:rsidRPr="00EF5F17">
        <w:rPr>
          <w:rFonts w:ascii="Palatino Linotype" w:hAnsi="Palatino Linotype" w:cs="Arial"/>
          <w:lang w:val="es-ES_tradnl"/>
        </w:rPr>
        <w:t>, a efecto de que decretara su admisión o desechamiento.</w:t>
      </w:r>
    </w:p>
    <w:p w:rsidR="006E5F18" w:rsidRPr="00EF5F17"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lastRenderedPageBreak/>
        <w:t xml:space="preserve">En fecha </w:t>
      </w:r>
      <w:r w:rsidR="00266806">
        <w:rPr>
          <w:rFonts w:ascii="Palatino Linotype" w:hAnsi="Palatino Linotype"/>
        </w:rPr>
        <w:t>siete de agosto</w:t>
      </w:r>
      <w:r w:rsidRPr="00EF5F17">
        <w:rPr>
          <w:rFonts w:ascii="Palatino Linotype" w:hAnsi="Palatino Linotype"/>
        </w:rPr>
        <w:t xml:space="preserve"> de dos mil veinte</w:t>
      </w:r>
      <w:r w:rsidRPr="00EF5F17">
        <w:rPr>
          <w:rFonts w:ascii="Palatino Linotype" w:hAnsi="Palatino Linotype" w:cs="Arial"/>
        </w:rPr>
        <w:t xml:space="preserve">, atento a lo dispuesto en el artículo 185, fracciones I, II y IV, de la </w:t>
      </w:r>
      <w:r w:rsidRPr="00EF5F17">
        <w:rPr>
          <w:rFonts w:ascii="Palatino Linotype" w:hAnsi="Palatino Linotype"/>
        </w:rPr>
        <w:t xml:space="preserve">Ley de Transparencia y Acceso a la Información Pública del </w:t>
      </w:r>
      <w:r w:rsidRPr="00EF5F17">
        <w:rPr>
          <w:rFonts w:ascii="Palatino Linotype" w:hAnsi="Palatino Linotype" w:cs="Arial"/>
        </w:rPr>
        <w:t>Estado</w:t>
      </w:r>
      <w:r w:rsidRPr="00EF5F17">
        <w:rPr>
          <w:rFonts w:ascii="Palatino Linotype" w:hAnsi="Palatino Linotype"/>
        </w:rPr>
        <w:t xml:space="preserve"> de México y </w:t>
      </w:r>
      <w:r w:rsidRPr="00EF5F17">
        <w:rPr>
          <w:rFonts w:ascii="Palatino Linotype" w:hAnsi="Palatino Linotype" w:cs="Arial"/>
          <w:lang w:val="es-ES_tradnl"/>
        </w:rPr>
        <w:t>Municipios</w:t>
      </w:r>
      <w:r w:rsidRPr="00EF5F17">
        <w:rPr>
          <w:rFonts w:ascii="Palatino Linotype" w:hAnsi="Palatino Linotype"/>
        </w:rPr>
        <w:t>, se a</w:t>
      </w:r>
      <w:r w:rsidRPr="00EF5F17">
        <w:rPr>
          <w:rFonts w:ascii="Palatino Linotype" w:hAnsi="Palatino Linotype" w:cs="Arial"/>
        </w:rPr>
        <w:t xml:space="preserve">cordó la admisión a trámite del referido recurso de </w:t>
      </w:r>
      <w:r w:rsidRPr="00EF5F17">
        <w:rPr>
          <w:rFonts w:ascii="Palatino Linotype" w:hAnsi="Palatino Linotype" w:cs="Arial"/>
          <w:lang w:val="es-ES_tradnl"/>
        </w:rPr>
        <w:t>revisión;</w:t>
      </w:r>
      <w:r w:rsidRPr="00EF5F17">
        <w:rPr>
          <w:rFonts w:ascii="Palatino Linotype" w:hAnsi="Palatino Linotype" w:cs="Arial"/>
        </w:rPr>
        <w:t xml:space="preserve"> así como, la </w:t>
      </w:r>
      <w:r w:rsidRPr="00EF5F17">
        <w:rPr>
          <w:rFonts w:ascii="Palatino Linotype" w:hAnsi="Palatino Linotype" w:cs="Arial"/>
          <w:lang w:val="es-ES_tradnl"/>
        </w:rPr>
        <w:t>integración</w:t>
      </w:r>
      <w:r w:rsidRPr="00EF5F17">
        <w:rPr>
          <w:rFonts w:ascii="Palatino Linotype" w:hAnsi="Palatino Linotype" w:cs="Arial"/>
        </w:rPr>
        <w:t xml:space="preserve"> del expediente respectivo, mismo que se puso a disposición de las partes, para que en el plazo máximo de siete días hábiles, </w:t>
      </w:r>
      <w:r w:rsidR="0089201F">
        <w:rPr>
          <w:rFonts w:ascii="Palatino Linotype" w:hAnsi="Palatino Linotype" w:cs="Arial"/>
          <w:b/>
        </w:rPr>
        <w:t>EL RECURRENTE</w:t>
      </w:r>
      <w:r w:rsidRPr="00EF5F17">
        <w:rPr>
          <w:rFonts w:ascii="Palatino Linotype" w:hAnsi="Palatino Linotype" w:cs="Arial"/>
        </w:rPr>
        <w:t xml:space="preserve"> realizara manifestaciones, alegatos y ofreciera las pruebas que a su derecho </w:t>
      </w:r>
      <w:r w:rsidRPr="00EF5F17">
        <w:rPr>
          <w:rFonts w:ascii="Palatino Linotype" w:hAnsi="Palatino Linotype" w:cs="Arial"/>
          <w:lang w:val="es-ES_tradnl"/>
        </w:rPr>
        <w:t>conviniera</w:t>
      </w:r>
      <w:r w:rsidRPr="00EF5F17">
        <w:rPr>
          <w:rFonts w:ascii="Palatino Linotype" w:hAnsi="Palatino Linotype" w:cs="Arial"/>
        </w:rPr>
        <w:t xml:space="preserve"> y, en el caso del</w:t>
      </w:r>
      <w:r w:rsidRPr="00EF5F17">
        <w:rPr>
          <w:rFonts w:ascii="Palatino Linotype" w:hAnsi="Palatino Linotype" w:cs="Arial"/>
          <w:b/>
        </w:rPr>
        <w:t xml:space="preserve"> SUJETO OBLIGADO</w:t>
      </w:r>
      <w:r w:rsidRPr="00EF5F17">
        <w:rPr>
          <w:rFonts w:ascii="Palatino Linotype" w:hAnsi="Palatino Linotype" w:cs="Arial"/>
        </w:rPr>
        <w:t>, para que exhibiera el Informe Justificado correspondiente.</w:t>
      </w:r>
    </w:p>
    <w:p w:rsidR="00D8588A" w:rsidRDefault="006E5F18" w:rsidP="00D8588A">
      <w:pPr>
        <w:pStyle w:val="Prrafodelista"/>
        <w:numPr>
          <w:ilvl w:val="0"/>
          <w:numId w:val="31"/>
        </w:numPr>
        <w:spacing w:before="240" w:after="240" w:line="360" w:lineRule="auto"/>
        <w:ind w:left="0" w:firstLine="0"/>
        <w:jc w:val="both"/>
        <w:rPr>
          <w:rFonts w:ascii="Palatino Linotype" w:hAnsi="Palatino Linotype" w:cs="Arial"/>
        </w:rPr>
      </w:pPr>
      <w:r w:rsidRPr="00B8607D">
        <w:rPr>
          <w:rFonts w:ascii="Palatino Linotype" w:hAnsi="Palatino Linotype" w:cs="Arial"/>
        </w:rPr>
        <w:t xml:space="preserve">De las constancias que obran en el </w:t>
      </w:r>
      <w:r w:rsidRPr="00B8607D">
        <w:rPr>
          <w:rFonts w:ascii="Palatino Linotype" w:hAnsi="Palatino Linotype" w:cs="Arial"/>
          <w:b/>
        </w:rPr>
        <w:t>SAIMEX</w:t>
      </w:r>
      <w:r w:rsidRPr="00B8607D">
        <w:rPr>
          <w:rFonts w:ascii="Palatino Linotype" w:hAnsi="Palatino Linotype" w:cs="Arial"/>
        </w:rPr>
        <w:t>, se desprende que</w:t>
      </w:r>
      <w:r w:rsidR="00D8588A">
        <w:rPr>
          <w:rFonts w:ascii="Palatino Linotype" w:hAnsi="Palatino Linotype" w:cs="Arial"/>
        </w:rPr>
        <w:t xml:space="preserve">, en fecha </w:t>
      </w:r>
      <w:r w:rsidR="00266806">
        <w:rPr>
          <w:rFonts w:ascii="Palatino Linotype" w:hAnsi="Palatino Linotype" w:cs="Arial"/>
        </w:rPr>
        <w:t>dieciocho</w:t>
      </w:r>
      <w:r w:rsidR="00D8588A">
        <w:rPr>
          <w:rFonts w:ascii="Palatino Linotype" w:hAnsi="Palatino Linotype" w:cs="Arial"/>
        </w:rPr>
        <w:t xml:space="preserve"> de agosto de dos mil veinte,</w:t>
      </w:r>
      <w:r w:rsidR="00B8607D" w:rsidRPr="00D8588A">
        <w:rPr>
          <w:rFonts w:ascii="Palatino Linotype" w:hAnsi="Palatino Linotype" w:cs="Arial"/>
        </w:rPr>
        <w:t xml:space="preserve"> </w:t>
      </w:r>
      <w:r w:rsidR="00564B2F" w:rsidRPr="00D8588A">
        <w:rPr>
          <w:rFonts w:ascii="Palatino Linotype" w:hAnsi="Palatino Linotype" w:cs="Arial"/>
          <w:b/>
        </w:rPr>
        <w:t>EL SUJETO OBLIGADO</w:t>
      </w:r>
      <w:r w:rsidRPr="00D8588A">
        <w:rPr>
          <w:rFonts w:ascii="Palatino Linotype" w:hAnsi="Palatino Linotype" w:cs="Arial"/>
        </w:rPr>
        <w:t xml:space="preserve"> rindió su Informe Justificado</w:t>
      </w:r>
      <w:r w:rsidR="00D8588A">
        <w:rPr>
          <w:rFonts w:ascii="Palatino Linotype" w:hAnsi="Palatino Linotype" w:cs="Arial"/>
        </w:rPr>
        <w:t xml:space="preserve"> en los términos siguientes:</w:t>
      </w:r>
    </w:p>
    <w:p w:rsidR="00D8588A" w:rsidRDefault="002C2E94" w:rsidP="00D8588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120015</wp:posOffset>
                </wp:positionH>
                <wp:positionV relativeFrom="paragraph">
                  <wp:posOffset>43180</wp:posOffset>
                </wp:positionV>
                <wp:extent cx="5762625" cy="2638425"/>
                <wp:effectExtent l="19050" t="19050" r="19050" b="38100"/>
                <wp:wrapNone/>
                <wp:docPr id="4"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263842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106999" id="Conector recto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3.4pt" to="463.2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E6gwIAABEFAAAOAAAAZHJzL2Uyb0RvYy54bWysVFGP2yAMfp+0/4B47yVp014bXXqaknYv&#10;t+2ku2nPFEiDRgABbVpN++8zpM3W7WWa1koEG2N/tj/z8HjqJDpy64RWJc7uUoy4opoJtS/x59ft&#10;ZImR80QxIrXiJT5zhx/Xb9889KbgU91qybhF4ES5ojclbr03RZI42vKOuDttuILDRtuOeBDtPmGW&#10;9OC9k8k0TRdJry0zVlPuHGjr4RCvo/+m4dR/ahrHPZIlBmw+rjauu7Am6wdS7C0xraAXGOQfUHRE&#10;KAg6uqqJJ+hgxR+uOkGtdrrxd1R3iW4aQXnMAbLJ0t+yeWmJ4TEXKI4zY5nc/3NLPx6fLRKsxDlG&#10;inTQogoaRb22yIYPymahSL1xBdhW6tmGNOlJvZgnTb86pHTVErXnEezr2YCHLNxIbq4EwRkItes/&#10;aAY25OB1rNipsV1wCbVAp9iY89gYfvKIgnJ+v5gupnOMKJxNF7NlDkKIQYrrdWOdf891h8KmxFKo&#10;UDlSkOOT84Pp1SSold4KKUFPCqlQD17neZrGG05LwcJpOIxE5JW06EiAQoRSrnwW7eShg1QGfZaG&#10;38Am0APnBn1UAcrRTcR8E8Hqg2IRSMsJ21z2ngg57OG2VAEKj3SGbIKgD57bl5b1iImQL8wCxAcB&#10;uB0yiZLV/ovwbexMqGlMyO53YzrLNPyHOknTkgH07H61Wl3K6wbzCHuMGaUbONCoC7DQskj8b6t0&#10;tVlulvkkny42kzyt68m7bZVPFtvsfl7P6qqqs+8hdpYXrWCMq1D06xBm+d+R/PIcDOMzjuHY3uTW&#10;+4D8BCWEsl5BR6YGcg4032l2fraBMoG0MHfR+PJGhMH+VY5WP1+y9Q8AAAD//wMAUEsDBBQABgAI&#10;AAAAIQCyy9Mn3QAAAAgBAAAPAAAAZHJzL2Rvd25yZXYueG1sTI9BT4NAFITvJv6HzTPxZpdiQ4Cy&#10;NKRKot6kNelxC08gsm8Ju7T4732e9DiZycw32W4xg7jg5HpLCtarAARSbZueWgXHQ/kQg3BeU6MH&#10;S6jgGx3s8tubTKeNvdI7XirfCi4hl2oFnfdjKqWrOzTareyIxN6nnYz2LKdWNpO+crkZZBgEkTS6&#10;J17o9Ij7DuuvajYKqreX/SkpdDz3h+Py8fpUFs/rUqn7u6XYgvC4+L8w/OIzOuTMdLYzNU4MrOOE&#10;kwoiPsB2EkYbEGcFmzB8BJln8v+B/AcAAP//AwBQSwECLQAUAAYACAAAACEAtoM4kv4AAADhAQAA&#10;EwAAAAAAAAAAAAAAAAAAAAAAW0NvbnRlbnRfVHlwZXNdLnhtbFBLAQItABQABgAIAAAAIQA4/SH/&#10;1gAAAJQBAAALAAAAAAAAAAAAAAAAAC8BAABfcmVscy8ucmVsc1BLAQItABQABgAIAAAAIQDgfOE6&#10;gwIAABEFAAAOAAAAAAAAAAAAAAAAAC4CAABkcnMvZTJvRG9jLnhtbFBLAQItABQABgAIAAAAIQCy&#10;y9Mn3QAAAAgBAAAPAAAAAAAAAAAAAAAAAN0EAABkcnMvZG93bnJldi54bWxQSwUGAAAAAAQABADz&#10;AAAA5wUAAAAA&#10;" strokecolor="#4f81bd [3204]" strokeweight="2pt">
                <v:shadow on="t" opacity="24903f" origin=",.5" offset="0,.55556mm"/>
              </v:line>
            </w:pict>
          </mc:Fallback>
        </mc:AlternateContent>
      </w:r>
    </w:p>
    <w:p w:rsidR="00D8588A" w:rsidRDefault="00266806" w:rsidP="00D8588A">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791835" cy="6200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13" t="14032" r="34711" b="12883"/>
                    <a:stretch/>
                  </pic:blipFill>
                  <pic:spPr bwMode="auto">
                    <a:xfrm>
                      <a:off x="0" y="0"/>
                      <a:ext cx="5791835" cy="6200775"/>
                    </a:xfrm>
                    <a:prstGeom prst="rect">
                      <a:avLst/>
                    </a:prstGeom>
                    <a:ln>
                      <a:noFill/>
                    </a:ln>
                    <a:extLst>
                      <a:ext uri="{53640926-AAD7-44D8-BBD7-CCE9431645EC}">
                        <a14:shadowObscured xmlns:a14="http://schemas.microsoft.com/office/drawing/2010/main"/>
                      </a:ext>
                    </a:extLst>
                  </pic:spPr>
                </pic:pic>
              </a:graphicData>
            </a:graphic>
          </wp:inline>
        </w:drawing>
      </w:r>
      <w:r w:rsidRPr="00266806">
        <w:rPr>
          <w:noProof/>
          <w:lang w:eastAsia="es-MX"/>
        </w:rPr>
        <w:t xml:space="preserve"> </w:t>
      </w:r>
      <w:r>
        <w:rPr>
          <w:noProof/>
          <w:lang w:eastAsia="es-MX"/>
        </w:rPr>
        <w:lastRenderedPageBreak/>
        <w:drawing>
          <wp:inline distT="0" distB="0" distL="0" distR="0">
            <wp:extent cx="5705475" cy="6276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13" t="18418" r="34711" b="9082"/>
                    <a:stretch/>
                  </pic:blipFill>
                  <pic:spPr bwMode="auto">
                    <a:xfrm>
                      <a:off x="0" y="0"/>
                      <a:ext cx="5705475" cy="6276975"/>
                    </a:xfrm>
                    <a:prstGeom prst="rect">
                      <a:avLst/>
                    </a:prstGeom>
                    <a:ln>
                      <a:noFill/>
                    </a:ln>
                    <a:extLst>
                      <a:ext uri="{53640926-AAD7-44D8-BBD7-CCE9431645EC}">
                        <a14:shadowObscured xmlns:a14="http://schemas.microsoft.com/office/drawing/2010/main"/>
                      </a:ext>
                    </a:extLst>
                  </pic:spPr>
                </pic:pic>
              </a:graphicData>
            </a:graphic>
          </wp:inline>
        </w:drawing>
      </w:r>
    </w:p>
    <w:p w:rsidR="00266806" w:rsidRPr="00367A6E" w:rsidRDefault="00266806" w:rsidP="00D8588A">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Asimismo, </w:t>
      </w:r>
      <w:r w:rsidRPr="00367A6E">
        <w:rPr>
          <w:rFonts w:ascii="Palatino Linotype" w:hAnsi="Palatino Linotype" w:cs="Arial"/>
          <w:b/>
        </w:rPr>
        <w:t>EL SUJETO OBLIGADO</w:t>
      </w:r>
      <w:r>
        <w:rPr>
          <w:rFonts w:ascii="Palatino Linotype" w:hAnsi="Palatino Linotype" w:cs="Arial"/>
        </w:rPr>
        <w:t xml:space="preserve"> adjuntó a su Informe Justificado el Acuerdo número </w:t>
      </w:r>
      <w:r w:rsidRPr="00367A6E">
        <w:rPr>
          <w:rFonts w:ascii="Palatino Linotype" w:hAnsi="Palatino Linotype" w:cs="Arial"/>
          <w:b/>
        </w:rPr>
        <w:t>CT/SO04/004/2020</w:t>
      </w:r>
      <w:r>
        <w:rPr>
          <w:rFonts w:ascii="Palatino Linotype" w:hAnsi="Palatino Linotype" w:cs="Arial"/>
        </w:rPr>
        <w:t xml:space="preserve">, emitido por su Comité de Transparencia, </w:t>
      </w:r>
      <w:r w:rsidR="00F47B44">
        <w:rPr>
          <w:rFonts w:ascii="Palatino Linotype" w:hAnsi="Palatino Linotype" w:cs="Arial"/>
        </w:rPr>
        <w:t>d</w:t>
      </w:r>
      <w:r>
        <w:rPr>
          <w:rFonts w:ascii="Palatino Linotype" w:hAnsi="Palatino Linotype" w:cs="Arial"/>
        </w:rPr>
        <w:t>e fecha</w:t>
      </w:r>
      <w:r w:rsidR="00F47B44">
        <w:rPr>
          <w:rFonts w:ascii="Palatino Linotype" w:hAnsi="Palatino Linotype" w:cs="Arial"/>
        </w:rPr>
        <w:t xml:space="preserve"> </w:t>
      </w:r>
      <w:r>
        <w:rPr>
          <w:rFonts w:ascii="Palatino Linotype" w:hAnsi="Palatino Linotype" w:cs="Arial"/>
        </w:rPr>
        <w:t xml:space="preserve">17 de agosto de 2020, en el cual emite la Declaratoria de Inexistencia de la información requerida en la solicitud de acceso a la </w:t>
      </w:r>
      <w:r w:rsidR="00367A6E">
        <w:rPr>
          <w:rFonts w:ascii="Palatino Linotype" w:hAnsi="Palatino Linotype" w:cs="Arial"/>
        </w:rPr>
        <w:t>información</w:t>
      </w:r>
      <w:r>
        <w:rPr>
          <w:rFonts w:ascii="Palatino Linotype" w:hAnsi="Palatino Linotype" w:cs="Arial"/>
        </w:rPr>
        <w:t xml:space="preserve"> número </w:t>
      </w:r>
      <w:r w:rsidR="00367A6E">
        <w:rPr>
          <w:rFonts w:ascii="Palatino Linotype" w:hAnsi="Palatino Linotype"/>
          <w:b/>
          <w:bCs/>
        </w:rPr>
        <w:t>00012/OASCUATIZC/IP/2020,</w:t>
      </w:r>
      <w:r w:rsidR="00367A6E">
        <w:rPr>
          <w:rFonts w:ascii="Palatino Linotype" w:hAnsi="Palatino Linotype"/>
          <w:bCs/>
        </w:rPr>
        <w:t xml:space="preserve"> constante de 4 fojas útiles.</w:t>
      </w:r>
    </w:p>
    <w:p w:rsidR="00D8588A" w:rsidRDefault="00367A6E" w:rsidP="00D8588A">
      <w:pPr>
        <w:pStyle w:val="Prrafodelista"/>
        <w:spacing w:before="240" w:after="240" w:line="360" w:lineRule="auto"/>
        <w:ind w:left="0"/>
        <w:jc w:val="both"/>
        <w:rPr>
          <w:rFonts w:ascii="Palatino Linotype" w:hAnsi="Palatino Linotype" w:cs="Arial"/>
        </w:rPr>
      </w:pPr>
      <w:r>
        <w:rPr>
          <w:rFonts w:ascii="Palatino Linotype" w:hAnsi="Palatino Linotype" w:cs="Arial"/>
        </w:rPr>
        <w:t>Cabe destacarse, por acuerdo de fecha veinticinco de agosto de dos mil veinte, esta Ponencia Resolutora hizo del conocimiento de</w:t>
      </w:r>
      <w:r w:rsidR="009D5CBB">
        <w:rPr>
          <w:rFonts w:ascii="Palatino Linotype" w:hAnsi="Palatino Linotype" w:cs="Arial"/>
        </w:rPr>
        <w:t>l</w:t>
      </w:r>
      <w:r w:rsidRPr="00367A6E">
        <w:rPr>
          <w:rFonts w:ascii="Palatino Linotype" w:hAnsi="Palatino Linotype" w:cs="Arial"/>
          <w:b/>
        </w:rPr>
        <w:t xml:space="preserve"> RECURRENTE</w:t>
      </w:r>
      <w:r>
        <w:rPr>
          <w:rFonts w:ascii="Palatino Linotype" w:hAnsi="Palatino Linotype" w:cs="Arial"/>
        </w:rPr>
        <w:t xml:space="preserve"> el Informe Justificado y su anexo; toda vez, que consideró que se actualizó lo dispuesto por el artículo 185, fracción III de la Ley de Transparencia y Acceso a la Información Pública del Estado de México y Municipios</w:t>
      </w:r>
      <w:r w:rsidR="001739BE">
        <w:rPr>
          <w:rFonts w:ascii="Palatino Linotype" w:hAnsi="Palatino Linotype" w:cs="Arial"/>
        </w:rPr>
        <w:t>.</w:t>
      </w:r>
    </w:p>
    <w:p w:rsidR="00367A6E" w:rsidRDefault="00D8588A" w:rsidP="00D8588A">
      <w:pPr>
        <w:pStyle w:val="Prrafodelista"/>
        <w:numPr>
          <w:ilvl w:val="0"/>
          <w:numId w:val="31"/>
        </w:numPr>
        <w:spacing w:before="240" w:after="240" w:line="360" w:lineRule="auto"/>
        <w:ind w:left="0" w:firstLine="0"/>
        <w:jc w:val="both"/>
        <w:rPr>
          <w:rFonts w:ascii="Palatino Linotype" w:hAnsi="Palatino Linotype" w:cs="Arial"/>
        </w:rPr>
      </w:pPr>
      <w:r w:rsidRPr="00D8588A">
        <w:rPr>
          <w:rFonts w:ascii="Palatino Linotype" w:hAnsi="Palatino Linotype" w:cs="Arial"/>
        </w:rPr>
        <w:t xml:space="preserve">Por </w:t>
      </w:r>
      <w:r w:rsidR="006E5F18" w:rsidRPr="00D8588A">
        <w:rPr>
          <w:rFonts w:ascii="Palatino Linotype" w:hAnsi="Palatino Linotype" w:cs="Arial"/>
        </w:rPr>
        <w:t>su parte,</w:t>
      </w:r>
      <w:r w:rsidR="00367A6E">
        <w:rPr>
          <w:rFonts w:ascii="Palatino Linotype" w:hAnsi="Palatino Linotype" w:cs="Arial"/>
        </w:rPr>
        <w:t xml:space="preserve"> en fecha veintiocho de agosto de dos mil veinte, </w:t>
      </w:r>
      <w:r w:rsidR="0089201F">
        <w:rPr>
          <w:rFonts w:ascii="Palatino Linotype" w:hAnsi="Palatino Linotype" w:cs="Arial"/>
          <w:b/>
        </w:rPr>
        <w:t>EL RECURRENTE</w:t>
      </w:r>
      <w:r w:rsidR="006E5F18" w:rsidRPr="00D8588A">
        <w:rPr>
          <w:rFonts w:ascii="Palatino Linotype" w:hAnsi="Palatino Linotype" w:cs="Arial"/>
        </w:rPr>
        <w:t xml:space="preserve"> presentó </w:t>
      </w:r>
      <w:r w:rsidR="00367A6E">
        <w:rPr>
          <w:rFonts w:ascii="Palatino Linotype" w:hAnsi="Palatino Linotype" w:cs="Arial"/>
        </w:rPr>
        <w:t>las siguientes manifestaciones:</w:t>
      </w:r>
    </w:p>
    <w:p w:rsidR="00F47B44" w:rsidRDefault="002C2E94" w:rsidP="00F47B44">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170815</wp:posOffset>
                </wp:positionV>
                <wp:extent cx="5476875" cy="1962150"/>
                <wp:effectExtent l="19050" t="19050" r="19050" b="38100"/>
                <wp:wrapNone/>
                <wp:docPr id="3"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196215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55364" id="Conector recto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3.45pt" to="446.7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fuggIAABEFAAAOAAAAZHJzL2Uyb0RvYy54bWysVEuP2yAQvlfqf0Dcs36s87LWWVVO0su2&#10;XWm36pkAjlExICBxoqr/vQNOrE17qaomEmaGYeabmW94eDx1Eh25dUKrCmd3KUZcUc2E2lf46+t2&#10;ssDIeaIYkVrxCp+5w4+r9+8eelPyXLdaMm4ROFGu7E2FW+9NmSSOtrwj7k4bruCw0bYjHkS7T5gl&#10;PXjvZJKn6SzptWXGasqdA+16OMSr6L9pOPVfmsZxj2SFAZuPq43rLqzJ6oGUe0tMK+gFBvkHFB0R&#10;CoKOrtbEE3Sw4g9XnaBWO934O6q7RDeNoDzmANlk6W/ZvLTE8JgLFMeZsUzu/7mln4/PFglW4XuM&#10;FOmgRTU0inptkQ0flOehSL1xJdjW6tmGNOlJvZgnTb87pHTdErXnEezr2YCHLNxIbq4EwRkItes/&#10;aQY25OB1rNipsV1wCbVAp9iY89gYfvKIgnJazGeL+RQjCmfZcpZn09i6hJTX68Y6/5HrDoVNhaVQ&#10;oXKkJMcn5wMcUl5NglrprZAydl8q1Fc4nxZpGm84LQULp8EuEpHX0qIjAQoRSrnyWbSThw5SGfRZ&#10;Gn4Dm0APnBv0V5SjmwjkJoLVB8UikJYTtrnsPRFy2ANwqQIUHukM2QRBHzy3Ly3rERMhX5gFiA8C&#10;cDtkEiWr/Tfh29iZUNOYkN3vxnQWafgPdZKmJQPo+/lyuYwthPwH8wh7jBmlGzjQqAuw0LJI/B/L&#10;dLlZbBbFpMhnm0mRrteTD9u6mMy22Xy6vl/X9Tr7GWJnRdkKxrgKRb8OYVb8Hckvz8EwPuMYju1N&#10;br0PyE9QQijrFXRkaiDnQPOdZudne2UwzF00vrwRYbDfyrB/+5KtfgEAAP//AwBQSwMEFAAGAAgA&#10;AAAhABbY4qDfAAAACQEAAA8AAABkcnMvZG93bnJldi54bWxMj8FOg0AQhu8mvsNmTLzZpUUboCwN&#10;qZJob9KaeJzCFojsLGGXFt/e8aSnyeT788836XY2vbjo0XWWFCwXAQhNla07ahQcD8VDBMJ5pBp7&#10;S1rBt3awzW5vUkxqe6V3fSl9I7iEXIIKWu+HREpXtdqgW9hBE7OzHQ16XsdG1iNeudz0chUEa2mw&#10;I77Q4qB3ra6+yskoKPevu884x2jqDsf54+25yF+WhVL3d3O+AeH17P/C8KvP6pCx08lOVDvRKwiD&#10;mJMKVmuezKM4fARxYhA+xSCzVP7/IPsBAAD//wMAUEsBAi0AFAAGAAgAAAAhALaDOJL+AAAA4QEA&#10;ABMAAAAAAAAAAAAAAAAAAAAAAFtDb250ZW50X1R5cGVzXS54bWxQSwECLQAUAAYACAAAACEAOP0h&#10;/9YAAACUAQAACwAAAAAAAAAAAAAAAAAvAQAAX3JlbHMvLnJlbHNQSwECLQAUAAYACAAAACEAHINn&#10;7oICAAARBQAADgAAAAAAAAAAAAAAAAAuAgAAZHJzL2Uyb0RvYy54bWxQSwECLQAUAAYACAAAACEA&#10;FtjioN8AAAAJAQAADwAAAAAAAAAAAAAAAADcBAAAZHJzL2Rvd25yZXYueG1sUEsFBgAAAAAEAAQA&#10;8wAAAOgFAAAAAA==&#10;" strokecolor="#4f81bd [3204]" strokeweight="2pt">
                <v:shadow on="t" opacity="24903f" origin=",.5" offset="0,.55556mm"/>
              </v:line>
            </w:pict>
          </mc:Fallback>
        </mc:AlternateContent>
      </w:r>
    </w:p>
    <w:p w:rsidR="00367A6E" w:rsidRDefault="00AA1A34" w:rsidP="00367A6E">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724525" cy="6181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60" t="17249" r="43427" b="7327"/>
                    <a:stretch/>
                  </pic:blipFill>
                  <pic:spPr bwMode="auto">
                    <a:xfrm>
                      <a:off x="0" y="0"/>
                      <a:ext cx="5724525" cy="6181725"/>
                    </a:xfrm>
                    <a:prstGeom prst="rect">
                      <a:avLst/>
                    </a:prstGeom>
                    <a:ln>
                      <a:noFill/>
                    </a:ln>
                    <a:extLst>
                      <a:ext uri="{53640926-AAD7-44D8-BBD7-CCE9431645EC}">
                        <a14:shadowObscured xmlns:a14="http://schemas.microsoft.com/office/drawing/2010/main"/>
                      </a:ext>
                    </a:extLst>
                  </pic:spPr>
                </pic:pic>
              </a:graphicData>
            </a:graphic>
          </wp:inline>
        </w:drawing>
      </w:r>
    </w:p>
    <w:p w:rsidR="00AA1A34" w:rsidRPr="00AA1A34" w:rsidRDefault="00AA1A34" w:rsidP="00AA1A34">
      <w:pPr>
        <w:pStyle w:val="Prrafodelista"/>
        <w:spacing w:before="240" w:after="240" w:line="360" w:lineRule="auto"/>
        <w:ind w:left="0"/>
        <w:jc w:val="both"/>
        <w:rPr>
          <w:rFonts w:ascii="Palatino Linotype" w:hAnsi="Palatino Linotype"/>
        </w:rPr>
      </w:pPr>
      <w:r>
        <w:rPr>
          <w:rFonts w:ascii="Palatino Linotype" w:hAnsi="Palatino Linotype"/>
        </w:rPr>
        <w:lastRenderedPageBreak/>
        <w:t xml:space="preserve">Asimismo, </w:t>
      </w:r>
      <w:r w:rsidRPr="00AA1A34">
        <w:rPr>
          <w:rFonts w:ascii="Palatino Linotype" w:hAnsi="Palatino Linotype"/>
          <w:b/>
        </w:rPr>
        <w:t>EL RECURRENTE</w:t>
      </w:r>
      <w:r>
        <w:rPr>
          <w:rFonts w:ascii="Palatino Linotype" w:hAnsi="Palatino Linotype"/>
        </w:rPr>
        <w:t xml:space="preserve"> adjuntó a sus manifestaciones dos fotografías donde aparecen supuestos servidores públicos, presuntamente adscritos al Ayuntamiento de Cuautitlán Izcalli, al </w:t>
      </w:r>
      <w:r w:rsidRPr="00AA1A34">
        <w:rPr>
          <w:rFonts w:ascii="Palatino Linotype" w:hAnsi="Palatino Linotype"/>
          <w:b/>
        </w:rPr>
        <w:t>SUJETO OBLIGADO</w:t>
      </w:r>
      <w:r>
        <w:rPr>
          <w:rFonts w:ascii="Palatino Linotype" w:hAnsi="Palatino Linotype"/>
        </w:rPr>
        <w:t xml:space="preserve"> y a la Comisión del Agua del estado de México. Documentales que no se plasman, en obvio de representaciones innecesarias</w:t>
      </w:r>
      <w:r w:rsidR="009D5CBB">
        <w:rPr>
          <w:rFonts w:ascii="Palatino Linotype" w:hAnsi="Palatino Linotype"/>
        </w:rPr>
        <w:t>.</w:t>
      </w:r>
    </w:p>
    <w:p w:rsidR="006E5F18" w:rsidRPr="00567EDA" w:rsidRDefault="006E5F18" w:rsidP="006E5F18">
      <w:pPr>
        <w:pStyle w:val="Prrafodelista"/>
        <w:numPr>
          <w:ilvl w:val="0"/>
          <w:numId w:val="16"/>
        </w:numPr>
        <w:spacing w:before="240" w:after="240" w:line="360" w:lineRule="auto"/>
        <w:ind w:left="0" w:firstLine="0"/>
        <w:jc w:val="both"/>
        <w:rPr>
          <w:rFonts w:ascii="Palatino Linotype" w:hAnsi="Palatino Linotype"/>
        </w:rPr>
      </w:pPr>
      <w:r w:rsidRPr="00EF5F17">
        <w:rPr>
          <w:rFonts w:ascii="Palatino Linotype" w:hAnsi="Palatino Linotype" w:cs="Arial"/>
        </w:rPr>
        <w:t xml:space="preserve">Una vez </w:t>
      </w:r>
      <w:r w:rsidRPr="00EF5F17">
        <w:rPr>
          <w:rFonts w:ascii="Palatino Linotype" w:hAnsi="Palatino Linotype" w:cs="Arial"/>
          <w:color w:val="000000" w:themeColor="text1"/>
        </w:rPr>
        <w:t>analizado</w:t>
      </w:r>
      <w:r w:rsidRPr="00EF5F17">
        <w:rPr>
          <w:rFonts w:ascii="Palatino Linotype" w:hAnsi="Palatino Linotype" w:cs="Arial"/>
        </w:rPr>
        <w:t xml:space="preserve"> el estado procesal que guardaba el expediente, en fecha </w:t>
      </w:r>
      <w:r w:rsidR="002C2E6A">
        <w:rPr>
          <w:rFonts w:ascii="Palatino Linotype" w:hAnsi="Palatino Linotype" w:cs="Arial"/>
        </w:rPr>
        <w:t xml:space="preserve">uno de </w:t>
      </w:r>
      <w:r w:rsidR="009D5CBB">
        <w:rPr>
          <w:rFonts w:ascii="Palatino Linotype" w:hAnsi="Palatino Linotype" w:cs="Arial"/>
        </w:rPr>
        <w:t>septiembre</w:t>
      </w:r>
      <w:r w:rsidRPr="00EF5F17">
        <w:rPr>
          <w:rFonts w:ascii="Palatino Linotype" w:hAnsi="Palatino Linotype" w:cs="Arial"/>
        </w:rPr>
        <w:t xml:space="preserve"> de dos mil veinte, la Comisionada Ponente acordó el cierre de instrucción; así </w:t>
      </w:r>
      <w:r w:rsidRPr="00EF5F17">
        <w:rPr>
          <w:rFonts w:ascii="Palatino Linotype" w:hAnsi="Palatino Linotype" w:cs="Arial"/>
          <w:lang w:val="es-ES_tradnl"/>
        </w:rPr>
        <w:t>como,</w:t>
      </w:r>
      <w:r w:rsidRPr="00EF5F17">
        <w:rPr>
          <w:rFonts w:ascii="Palatino Linotype" w:hAnsi="Palatino Linotype" w:cs="Arial"/>
        </w:rPr>
        <w:t xml:space="preserve"> la remisión del mismo a efecto </w:t>
      </w:r>
      <w:r w:rsidRPr="00EF5F17">
        <w:rPr>
          <w:rFonts w:ascii="Palatino Linotype" w:hAnsi="Palatino Linotype" w:cs="Arial"/>
          <w:lang w:val="es-ES_tradnl"/>
        </w:rPr>
        <w:t>de</w:t>
      </w:r>
      <w:r w:rsidRPr="00EF5F1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6E5F18" w:rsidRPr="00EF5F17" w:rsidRDefault="006E5F18" w:rsidP="006E5F18">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6E5F18" w:rsidRPr="00EF5F17"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Pr="00EF5F17">
        <w:rPr>
          <w:rFonts w:ascii="Palatino Linotype" w:hAnsi="Palatino Linotype"/>
          <w:b/>
        </w:rPr>
        <w:t xml:space="preserve"> </w:t>
      </w:r>
      <w:r w:rsidRPr="00EF5F1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w:t>
      </w:r>
      <w:r w:rsidRPr="00EF5F17">
        <w:rPr>
          <w:rFonts w:ascii="Palatino Linotype" w:hAnsi="Palatino Linotype"/>
        </w:rPr>
        <w:lastRenderedPageBreak/>
        <w:t>del Reglamento Interior del Instituto de Transparencia, Acceso a la Información Pública y Protección de Datos Personales del Estado de México y Municipios</w:t>
      </w:r>
      <w:r w:rsidRPr="00EF5F17">
        <w:rPr>
          <w:rFonts w:ascii="Palatino Linotype" w:hAnsi="Palatino Linotype" w:cs="Arial"/>
        </w:rPr>
        <w:t>.</w:t>
      </w:r>
    </w:p>
    <w:p w:rsidR="006E5F18" w:rsidRPr="00EF5F17"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t xml:space="preserve"> Interés.</w:t>
      </w:r>
      <w:r w:rsidRPr="00EF5F17">
        <w:rPr>
          <w:rFonts w:ascii="Palatino Linotype" w:hAnsi="Palatino Linotype" w:cs="Arial"/>
        </w:rPr>
        <w:t xml:space="preserve"> El </w:t>
      </w:r>
      <w:r w:rsidRPr="00EF5F17">
        <w:rPr>
          <w:rFonts w:ascii="Palatino Linotype" w:hAnsi="Palatino Linotype"/>
        </w:rPr>
        <w:t>recurso</w:t>
      </w:r>
      <w:r w:rsidRPr="00EF5F17">
        <w:rPr>
          <w:rFonts w:ascii="Palatino Linotype" w:hAnsi="Palatino Linotype" w:cs="Arial"/>
        </w:rPr>
        <w:t xml:space="preserve"> de revisión fue </w:t>
      </w:r>
      <w:r w:rsidRPr="00EF5F17">
        <w:rPr>
          <w:rFonts w:ascii="Palatino Linotype" w:hAnsi="Palatino Linotype"/>
        </w:rPr>
        <w:t>interpuesto</w:t>
      </w:r>
      <w:r w:rsidRPr="00EF5F17">
        <w:rPr>
          <w:rFonts w:ascii="Palatino Linotype" w:hAnsi="Palatino Linotype" w:cs="Arial"/>
        </w:rPr>
        <w:t xml:space="preserve"> por parte legítima en atención a que fue </w:t>
      </w:r>
      <w:r w:rsidRPr="00EF5F17">
        <w:rPr>
          <w:rFonts w:ascii="Palatino Linotype" w:hAnsi="Palatino Linotype"/>
        </w:rPr>
        <w:t>presentado</w:t>
      </w:r>
      <w:r w:rsidRPr="00EF5F17">
        <w:rPr>
          <w:rFonts w:ascii="Palatino Linotype" w:hAnsi="Palatino Linotype" w:cs="Arial"/>
        </w:rPr>
        <w:t xml:space="preserve"> por </w:t>
      </w:r>
      <w:r w:rsidR="0089201F">
        <w:rPr>
          <w:rFonts w:ascii="Palatino Linotype" w:hAnsi="Palatino Linotype" w:cs="Arial"/>
          <w:b/>
        </w:rPr>
        <w:t>EL RECURRENTE</w:t>
      </w:r>
      <w:r w:rsidRPr="00EF5F17">
        <w:rPr>
          <w:rFonts w:ascii="Palatino Linotype" w:hAnsi="Palatino Linotype" w:cs="Arial"/>
          <w:snapToGrid w:val="0"/>
        </w:rPr>
        <w:t xml:space="preserve">, </w:t>
      </w:r>
      <w:r w:rsidRPr="00EF5F17">
        <w:rPr>
          <w:rFonts w:ascii="Palatino Linotype" w:hAnsi="Palatino Linotype" w:cs="Arial"/>
        </w:rPr>
        <w:t>quien</w:t>
      </w:r>
      <w:r w:rsidRPr="00EF5F17">
        <w:rPr>
          <w:rFonts w:ascii="Palatino Linotype" w:hAnsi="Palatino Linotype" w:cs="Arial"/>
          <w:snapToGrid w:val="0"/>
        </w:rPr>
        <w:t xml:space="preserve"> </w:t>
      </w:r>
      <w:r w:rsidRPr="00EF5F17">
        <w:rPr>
          <w:rFonts w:ascii="Palatino Linotype" w:hAnsi="Palatino Linotype"/>
        </w:rPr>
        <w:t>formuló</w:t>
      </w:r>
      <w:r w:rsidRPr="00EF5F17">
        <w:rPr>
          <w:rFonts w:ascii="Palatino Linotype" w:hAnsi="Palatino Linotype" w:cs="Arial"/>
          <w:snapToGrid w:val="0"/>
        </w:rPr>
        <w:t xml:space="preserve"> la </w:t>
      </w:r>
      <w:r w:rsidRPr="00EF5F17">
        <w:rPr>
          <w:rFonts w:ascii="Palatino Linotype" w:hAnsi="Palatino Linotype" w:cs="Arial"/>
        </w:rPr>
        <w:t>solicitud</w:t>
      </w:r>
      <w:r w:rsidRPr="00EF5F17">
        <w:rPr>
          <w:rFonts w:ascii="Palatino Linotype" w:hAnsi="Palatino Linotype" w:cs="Arial"/>
          <w:snapToGrid w:val="0"/>
        </w:rPr>
        <w:t xml:space="preserve"> de información pública </w:t>
      </w:r>
      <w:r w:rsidRPr="00EF5F17">
        <w:rPr>
          <w:rFonts w:ascii="Palatino Linotype" w:hAnsi="Palatino Linotype"/>
        </w:rPr>
        <w:t>número</w:t>
      </w:r>
      <w:r w:rsidRPr="00EF5F17">
        <w:rPr>
          <w:rFonts w:ascii="Palatino Linotype" w:hAnsi="Palatino Linotype" w:cs="Arial"/>
          <w:snapToGrid w:val="0"/>
        </w:rPr>
        <w:t xml:space="preserve"> </w:t>
      </w:r>
      <w:r w:rsidR="0089201F">
        <w:rPr>
          <w:rFonts w:ascii="Palatino Linotype" w:hAnsi="Palatino Linotype"/>
          <w:b/>
          <w:bCs/>
        </w:rPr>
        <w:t>00012/OASCUATIZC</w:t>
      </w:r>
      <w:r>
        <w:rPr>
          <w:rFonts w:ascii="Palatino Linotype" w:hAnsi="Palatino Linotype"/>
          <w:b/>
          <w:bCs/>
        </w:rPr>
        <w:t>/IP/2020</w:t>
      </w:r>
      <w:r w:rsidRPr="00EF5F17">
        <w:rPr>
          <w:rFonts w:ascii="Palatino Linotype" w:hAnsi="Palatino Linotype" w:cs="Arial"/>
          <w:lang w:val="es-ES_tradnl"/>
        </w:rPr>
        <w:t>.</w:t>
      </w:r>
    </w:p>
    <w:p w:rsidR="006E5F18" w:rsidRPr="00EF5F17" w:rsidRDefault="006E5F18" w:rsidP="006E5F18">
      <w:pPr>
        <w:pStyle w:val="Prrafodelista"/>
        <w:widowControl w:val="0"/>
        <w:numPr>
          <w:ilvl w:val="0"/>
          <w:numId w:val="29"/>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 xml:space="preserve">Oportunidad. </w:t>
      </w:r>
      <w:r w:rsidRPr="00EF5F17">
        <w:rPr>
          <w:rFonts w:ascii="Palatino Linotype" w:hAnsi="Palatino Linotype" w:cs="Arial"/>
        </w:rPr>
        <w:t xml:space="preserve">El recurso de revisión fue interpuesto dentro del plazo de quince días hábiles, contados a partir del día siguiente al en que </w:t>
      </w:r>
      <w:r w:rsidR="0089201F">
        <w:rPr>
          <w:rFonts w:ascii="Palatino Linotype" w:hAnsi="Palatino Linotype" w:cs="Arial"/>
          <w:b/>
        </w:rPr>
        <w:t>EL RECURRENTE</w:t>
      </w:r>
      <w:r w:rsidRPr="00EF5F17">
        <w:rPr>
          <w:rFonts w:ascii="Palatino Linotype" w:hAnsi="Palatino Linotype" w:cs="Arial"/>
          <w:b/>
        </w:rPr>
        <w:t xml:space="preserve"> </w:t>
      </w:r>
      <w:r w:rsidRPr="00EF5F1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E5F18" w:rsidRPr="00EF5F17" w:rsidRDefault="006E5F18" w:rsidP="006E5F18">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F18" w:rsidRPr="00EF5F17" w:rsidRDefault="006E5F18" w:rsidP="006E5F18">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F18" w:rsidRPr="00EF5F17" w:rsidRDefault="006E5F18" w:rsidP="006E5F18">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6E5F18" w:rsidRPr="002C26DC" w:rsidRDefault="006E5F18" w:rsidP="006E5F18">
      <w:pPr>
        <w:spacing w:before="240" w:after="100" w:afterAutospacing="1" w:line="360" w:lineRule="auto"/>
        <w:jc w:val="both"/>
        <w:rPr>
          <w:rFonts w:ascii="Palatino Linotype" w:hAnsi="Palatino Linotype"/>
        </w:rPr>
      </w:pPr>
      <w:r w:rsidRPr="00EF5F17">
        <w:rPr>
          <w:rFonts w:ascii="Palatino Linotype" w:hAnsi="Palatino Linotype" w:cs="Arial"/>
        </w:rPr>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2C2E6A">
        <w:rPr>
          <w:rFonts w:ascii="Palatino Linotype" w:hAnsi="Palatino Linotype" w:cs="Arial"/>
          <w:b/>
        </w:rPr>
        <w:t>diecinueve</w:t>
      </w:r>
      <w:r>
        <w:rPr>
          <w:rFonts w:ascii="Palatino Linotype" w:hAnsi="Palatino Linotype" w:cs="Arial"/>
          <w:b/>
        </w:rPr>
        <w:t xml:space="preserve"> de marzo</w:t>
      </w:r>
      <w:r w:rsidRPr="00EF5F17">
        <w:rPr>
          <w:rFonts w:ascii="Palatino Linotype" w:hAnsi="Palatino Linotype" w:cs="Arial"/>
          <w:b/>
        </w:rPr>
        <w:t xml:space="preserve"> de dos mil veinte</w:t>
      </w:r>
      <w:r w:rsidRPr="00EF5F17">
        <w:rPr>
          <w:rFonts w:ascii="Palatino Linotype" w:hAnsi="Palatino Linotype" w:cs="Arial"/>
        </w:rPr>
        <w:t xml:space="preserve">; así, el plazo de quince días hábiles que el artículo 178 de la Ley de la materia </w:t>
      </w:r>
      <w:r w:rsidRPr="00EF5F17">
        <w:rPr>
          <w:rFonts w:ascii="Palatino Linotype" w:hAnsi="Palatino Linotype" w:cs="Arial"/>
        </w:rPr>
        <w:lastRenderedPageBreak/>
        <w:t>otorga a</w:t>
      </w:r>
      <w:r>
        <w:rPr>
          <w:rFonts w:ascii="Palatino Linotype" w:hAnsi="Palatino Linotype" w:cs="Arial"/>
        </w:rPr>
        <w:t>l</w:t>
      </w:r>
      <w:r w:rsidRPr="00EF5F17">
        <w:rPr>
          <w:rFonts w:ascii="Palatino Linotype" w:hAnsi="Palatino Linotype" w:cs="Arial"/>
          <w:b/>
        </w:rPr>
        <w:t xml:space="preserve"> RECURRENTE</w:t>
      </w:r>
      <w:r w:rsidRPr="00EF5F17">
        <w:rPr>
          <w:rFonts w:ascii="Palatino Linotype" w:hAnsi="Palatino Linotype" w:cs="Arial"/>
        </w:rPr>
        <w:t xml:space="preserve"> para presentar el respectivo recurso de revisión, transcurrió del </w:t>
      </w:r>
      <w:r w:rsidR="002C2E6A">
        <w:rPr>
          <w:rFonts w:ascii="Palatino Linotype" w:hAnsi="Palatino Linotype" w:cs="Arial"/>
          <w:b/>
        </w:rPr>
        <w:t>veinte</w:t>
      </w:r>
      <w:r w:rsidR="000B53CF">
        <w:rPr>
          <w:rFonts w:ascii="Palatino Linotype" w:hAnsi="Palatino Linotype" w:cs="Arial"/>
          <w:b/>
        </w:rPr>
        <w:t xml:space="preserve"> de marzo</w:t>
      </w:r>
      <w:r w:rsidR="00B8607D">
        <w:rPr>
          <w:rFonts w:ascii="Palatino Linotype" w:hAnsi="Palatino Linotype" w:cs="Arial"/>
          <w:b/>
        </w:rPr>
        <w:t xml:space="preserve"> al </w:t>
      </w:r>
      <w:r w:rsidR="002C2E6A">
        <w:rPr>
          <w:rFonts w:ascii="Palatino Linotype" w:hAnsi="Palatino Linotype" w:cs="Arial"/>
          <w:b/>
        </w:rPr>
        <w:t>veinte</w:t>
      </w:r>
      <w:r>
        <w:rPr>
          <w:rFonts w:ascii="Palatino Linotype" w:hAnsi="Palatino Linotype" w:cs="Arial"/>
          <w:b/>
        </w:rPr>
        <w:t xml:space="preserve"> de agosto</w:t>
      </w:r>
      <w:r w:rsidRPr="00EF5F17">
        <w:rPr>
          <w:rFonts w:ascii="Palatino Linotype" w:hAnsi="Palatino Linotype" w:cs="Arial"/>
          <w:b/>
        </w:rPr>
        <w:t xml:space="preserve"> de dos mil veinte</w:t>
      </w:r>
      <w:r w:rsidRPr="00EF5F17">
        <w:rPr>
          <w:rFonts w:ascii="Palatino Linotype" w:hAnsi="Palatino Linotype" w:cs="Arial"/>
        </w:rPr>
        <w:t>, sin contemplar en el cómputo los días</w:t>
      </w:r>
      <w:r w:rsidR="000B53CF">
        <w:rPr>
          <w:rFonts w:ascii="Palatino Linotype" w:hAnsi="Palatino Linotype" w:cs="Arial"/>
        </w:rPr>
        <w:t xml:space="preserve"> </w:t>
      </w:r>
      <w:r>
        <w:rPr>
          <w:rFonts w:ascii="Palatino Linotype" w:hAnsi="Palatino Linotype" w:cs="Arial"/>
        </w:rPr>
        <w:t>veint</w:t>
      </w:r>
      <w:r w:rsidR="00564B2F">
        <w:rPr>
          <w:rFonts w:ascii="Palatino Linotype" w:hAnsi="Palatino Linotype" w:cs="Arial"/>
        </w:rPr>
        <w:t>iuno y veintidós de marzo, uno</w:t>
      </w:r>
      <w:r w:rsidR="00B8607D">
        <w:rPr>
          <w:rFonts w:ascii="Palatino Linotype" w:hAnsi="Palatino Linotype" w:cs="Arial"/>
        </w:rPr>
        <w:t>,</w:t>
      </w:r>
      <w:r>
        <w:rPr>
          <w:rFonts w:ascii="Palatino Linotype" w:hAnsi="Palatino Linotype" w:cs="Arial"/>
        </w:rPr>
        <w:t xml:space="preserve"> dos</w:t>
      </w:r>
      <w:r w:rsidR="002C2E6A">
        <w:rPr>
          <w:rFonts w:ascii="Palatino Linotype" w:hAnsi="Palatino Linotype" w:cs="Arial"/>
        </w:rPr>
        <w:t>, ocho,</w:t>
      </w:r>
      <w:r w:rsidR="000B53CF">
        <w:rPr>
          <w:rFonts w:ascii="Palatino Linotype" w:hAnsi="Palatino Linotype" w:cs="Arial"/>
        </w:rPr>
        <w:t xml:space="preserve"> nueve</w:t>
      </w:r>
      <w:r w:rsidR="002C2E6A">
        <w:rPr>
          <w:rFonts w:ascii="Palatino Linotype" w:hAnsi="Palatino Linotype" w:cs="Arial"/>
        </w:rPr>
        <w:t>, quince y dieciséis</w:t>
      </w:r>
      <w:r w:rsidR="000B53CF">
        <w:rPr>
          <w:rFonts w:ascii="Palatino Linotype" w:hAnsi="Palatino Linotype" w:cs="Arial"/>
        </w:rPr>
        <w:t xml:space="preserve"> </w:t>
      </w:r>
      <w:r>
        <w:rPr>
          <w:rFonts w:ascii="Palatino Linotype" w:hAnsi="Palatino Linotype" w:cs="Arial"/>
        </w:rPr>
        <w:t>de agosto</w:t>
      </w:r>
      <w:r w:rsidRPr="00B812A8">
        <w:rPr>
          <w:rFonts w:ascii="Palatino Linotype" w:hAnsi="Palatino Linotype" w:cs="Arial"/>
        </w:rPr>
        <w:t xml:space="preserve"> de dos mil veinte, por corresponder a sábados y domingos, considerados como días inhábiles, en términos del artículo 3, fracción X de la </w:t>
      </w:r>
      <w:r w:rsidRPr="00B812A8">
        <w:rPr>
          <w:rFonts w:ascii="Palatino Linotype" w:hAnsi="Palatino Linotype"/>
        </w:rPr>
        <w:t>Ley de Transparencia y Acceso a la Información Pública de</w:t>
      </w:r>
      <w:r>
        <w:rPr>
          <w:rFonts w:ascii="Palatino Linotype" w:hAnsi="Palatino Linotype"/>
        </w:rPr>
        <w:t>l Estado de México y Municipios</w:t>
      </w:r>
      <w:r w:rsidRPr="00B812A8">
        <w:rPr>
          <w:rFonts w:ascii="Palatino Linotype" w:hAnsi="Palatino Linotype"/>
        </w:rPr>
        <w:t xml:space="preserve">; así como, </w:t>
      </w:r>
      <w:r>
        <w:rPr>
          <w:rFonts w:ascii="Palatino Linotype" w:hAnsi="Palatino Linotype"/>
        </w:rPr>
        <w:t xml:space="preserve">los días nueve de marzo y del veintitrés de marzo al diecisiete de julio de dos mil veinte; así como, del veinte al treinta y uno de julio de dos mil veinte, </w:t>
      </w:r>
      <w:r w:rsidRPr="00B812A8">
        <w:rPr>
          <w:rFonts w:ascii="Palatino Linotype" w:hAnsi="Palatino Linotype"/>
        </w:rPr>
        <w:t>por ser considerado</w:t>
      </w:r>
      <w:r>
        <w:rPr>
          <w:rFonts w:ascii="Palatino Linotype" w:hAnsi="Palatino Linotype"/>
        </w:rPr>
        <w:t>s</w:t>
      </w:r>
      <w:r w:rsidRPr="00B812A8">
        <w:rPr>
          <w:rFonts w:ascii="Palatino Linotype" w:hAnsi="Palatino Linotype"/>
        </w:rPr>
        <w:t xml:space="preserve"> como suspensión de labores, de conformidad con </w:t>
      </w:r>
      <w:r>
        <w:rPr>
          <w:rFonts w:ascii="Palatino Linotype" w:hAnsi="Palatino Linotype"/>
        </w:rPr>
        <w:t xml:space="preserve">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w:t>
      </w:r>
      <w:r w:rsidRPr="00215302">
        <w:rPr>
          <w:rFonts w:ascii="Palatino Linotype" w:hAnsi="Palatino Linotype"/>
        </w:rPr>
        <w:t xml:space="preserve">epidemia de la enfermedad generada por el virus SARS-CoV-2 (COVID-19), </w:t>
      </w:r>
      <w:r>
        <w:rPr>
          <w:rFonts w:ascii="Palatino Linotype" w:hAnsi="Palatino Linotype"/>
        </w:rPr>
        <w:t xml:space="preserve">que originó la </w:t>
      </w:r>
      <w:r w:rsidRPr="00215302">
        <w:rPr>
          <w:rFonts w:ascii="Palatino Linotype" w:hAnsi="Palatino Linotype"/>
        </w:rPr>
        <w:t>emergencia sani</w:t>
      </w:r>
      <w:r>
        <w:rPr>
          <w:rFonts w:ascii="Palatino Linotype" w:hAnsi="Palatino Linotype"/>
        </w:rPr>
        <w:t>taria por causa de fuerza mayor</w:t>
      </w:r>
      <w:r w:rsidRPr="00215302">
        <w:rPr>
          <w:rFonts w:ascii="Palatino Linotype" w:hAnsi="Palatino Linotype"/>
        </w:rPr>
        <w:t xml:space="preserve"> y medidas de seguridad</w:t>
      </w:r>
      <w:r>
        <w:rPr>
          <w:rFonts w:ascii="Palatino Linotype" w:hAnsi="Palatino Linotype"/>
        </w:rPr>
        <w:t>,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F17974">
        <w:rPr>
          <w:rFonts w:ascii="Palatino Linotype" w:hAnsi="Palatino Linotype"/>
        </w:rPr>
        <w:t>nueve</w:t>
      </w:r>
      <w:r w:rsidRPr="00B812A8">
        <w:rPr>
          <w:rFonts w:ascii="Palatino Linotype" w:hAnsi="Palatino Linotype"/>
        </w:rPr>
        <w:t>.</w:t>
      </w:r>
    </w:p>
    <w:p w:rsidR="006E5F18" w:rsidRPr="00EF5F17" w:rsidRDefault="006E5F18" w:rsidP="006E5F18">
      <w:pPr>
        <w:spacing w:before="240" w:after="100" w:afterAutospacing="1" w:line="360" w:lineRule="auto"/>
        <w:jc w:val="both"/>
        <w:rPr>
          <w:rFonts w:ascii="Palatino Linotype" w:hAnsi="Palatino Linotype" w:cs="Arial"/>
        </w:rPr>
      </w:pPr>
      <w:r w:rsidRPr="00EF5F17">
        <w:rPr>
          <w:rFonts w:ascii="Palatino Linotype" w:hAnsi="Palatino Linotype" w:cs="Arial"/>
        </w:rPr>
        <w:lastRenderedPageBreak/>
        <w:t>En ese tenor, si el recurso de revisión que nos ocupa, se interpuso el</w:t>
      </w:r>
      <w:r w:rsidRPr="00EF5F17">
        <w:rPr>
          <w:rFonts w:ascii="Palatino Linotype" w:hAnsi="Palatino Linotype" w:cs="Arial"/>
          <w:b/>
        </w:rPr>
        <w:t xml:space="preserve"> </w:t>
      </w:r>
      <w:r w:rsidR="002C2E6A">
        <w:rPr>
          <w:rFonts w:ascii="Palatino Linotype" w:hAnsi="Palatino Linotype" w:cs="Arial"/>
          <w:b/>
          <w:u w:val="single"/>
        </w:rPr>
        <w:t>veintitrés</w:t>
      </w:r>
      <w:r w:rsidR="000B53CF">
        <w:rPr>
          <w:rFonts w:ascii="Palatino Linotype" w:hAnsi="Palatino Linotype" w:cs="Arial"/>
          <w:b/>
          <w:u w:val="single"/>
        </w:rPr>
        <w:t xml:space="preserve"> de marzo</w:t>
      </w:r>
      <w:r w:rsidRPr="00EF5F17">
        <w:rPr>
          <w:rFonts w:ascii="Palatino Linotype" w:hAnsi="Palatino Linotype" w:cs="Arial"/>
          <w:b/>
          <w:u w:val="single"/>
        </w:rPr>
        <w:t xml:space="preserve"> de dos mil veinte</w:t>
      </w:r>
      <w:r w:rsidRPr="00EF5F17">
        <w:rPr>
          <w:rFonts w:ascii="Palatino Linotype" w:hAnsi="Palatino Linotype" w:cs="Arial"/>
        </w:rPr>
        <w:t>, éste se encuentra dentro de los márgenes temporales previstos en el precepto legal citado en el párrafo anterior y, por tanto, su interposición se considera oportuna.</w:t>
      </w:r>
    </w:p>
    <w:p w:rsidR="00B8607D" w:rsidRPr="00B8607D" w:rsidRDefault="006E5F18" w:rsidP="00B8607D">
      <w:pPr>
        <w:pStyle w:val="Prrafodelista"/>
        <w:widowControl w:val="0"/>
        <w:numPr>
          <w:ilvl w:val="0"/>
          <w:numId w:val="29"/>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564B2F">
        <w:rPr>
          <w:rFonts w:ascii="Palatino Linotype" w:hAnsi="Palatino Linotype" w:cs="Arial"/>
          <w:b/>
          <w:lang w:val="es-ES"/>
        </w:rPr>
        <w:t>Procedibilidad.</w:t>
      </w:r>
      <w:r w:rsidR="00B8607D">
        <w:rPr>
          <w:rFonts w:ascii="Palatino Linotype" w:hAnsi="Palatino Linotype" w:cs="Arial"/>
          <w:b/>
          <w:lang w:val="es-ES"/>
        </w:rPr>
        <w:t xml:space="preserve"> </w:t>
      </w:r>
      <w:r w:rsidR="00B8607D" w:rsidRPr="00B8607D">
        <w:rPr>
          <w:rFonts w:ascii="Palatino Linotype" w:hAnsi="Palatino Linotype" w:cs="Arial"/>
        </w:rPr>
        <w:t xml:space="preserve">Del análisis efectuado, se advierte la procedibilidad del presente Recurso de Revisión, en razón de acreditación </w:t>
      </w:r>
      <w:r w:rsidR="00B8607D" w:rsidRPr="00B8607D">
        <w:rPr>
          <w:rFonts w:ascii="Palatino Linotype" w:hAnsi="Palatino Linotype" w:cs="Arial"/>
          <w:snapToGrid w:val="0"/>
        </w:rPr>
        <w:t>plena</w:t>
      </w:r>
      <w:r w:rsidR="00B8607D" w:rsidRPr="00B8607D">
        <w:rPr>
          <w:rFonts w:ascii="Palatino Linotype" w:hAnsi="Palatino Linotype" w:cs="Arial"/>
        </w:rPr>
        <w:t xml:space="preserve"> de todos y cada uno de los elementos formales exigidos por el artículo 180 de la Ley de Transparencia y Acceso a la Información Pública</w:t>
      </w:r>
      <w:r w:rsidR="00B8607D" w:rsidRPr="00B8607D">
        <w:rPr>
          <w:rFonts w:ascii="Palatino Linotype" w:hAnsi="Palatino Linotype"/>
        </w:rPr>
        <w:t xml:space="preserve"> </w:t>
      </w:r>
      <w:r w:rsidR="00B8607D" w:rsidRPr="00B8607D">
        <w:rPr>
          <w:rFonts w:ascii="Palatino Linotype" w:hAnsi="Palatino Linotype" w:cs="Arial"/>
        </w:rPr>
        <w:t>del</w:t>
      </w:r>
      <w:r w:rsidR="00B8607D" w:rsidRPr="00B8607D">
        <w:rPr>
          <w:rFonts w:ascii="Palatino Linotype" w:hAnsi="Palatino Linotype"/>
        </w:rPr>
        <w:t xml:space="preserve"> </w:t>
      </w:r>
      <w:r w:rsidR="00B8607D" w:rsidRPr="00B8607D">
        <w:rPr>
          <w:rFonts w:ascii="Palatino Linotype" w:hAnsi="Palatino Linotype" w:cs="Arial"/>
        </w:rPr>
        <w:t>Estado</w:t>
      </w:r>
      <w:r w:rsidR="00B8607D" w:rsidRPr="00B8607D">
        <w:rPr>
          <w:rFonts w:ascii="Palatino Linotype" w:hAnsi="Palatino Linotype"/>
        </w:rPr>
        <w:t xml:space="preserve"> de México y Municipios, en atención a que fue presentado mediante el formato visible en </w:t>
      </w:r>
      <w:r w:rsidR="00B8607D" w:rsidRPr="00B8607D">
        <w:rPr>
          <w:rFonts w:ascii="Palatino Linotype" w:hAnsi="Palatino Linotype"/>
          <w:b/>
        </w:rPr>
        <w:t>EL SAIMEX</w:t>
      </w:r>
      <w:r w:rsidR="00B8607D" w:rsidRPr="00B8607D">
        <w:rPr>
          <w:rFonts w:ascii="Palatino Linotype" w:hAnsi="Palatino Linotype"/>
        </w:rPr>
        <w:t>.</w:t>
      </w:r>
    </w:p>
    <w:p w:rsidR="002C2E6A" w:rsidRPr="000C3758" w:rsidRDefault="002D4DED" w:rsidP="002D4DED">
      <w:pPr>
        <w:pStyle w:val="Prrafodelista"/>
        <w:widowControl w:val="0"/>
        <w:numPr>
          <w:ilvl w:val="0"/>
          <w:numId w:val="29"/>
        </w:numPr>
        <w:tabs>
          <w:tab w:val="left" w:pos="1701"/>
          <w:tab w:val="left" w:pos="1843"/>
        </w:tabs>
        <w:autoSpaceDE w:val="0"/>
        <w:autoSpaceDN w:val="0"/>
        <w:adjustRightInd w:val="0"/>
        <w:spacing w:before="360" w:after="240" w:line="360" w:lineRule="auto"/>
        <w:ind w:left="0" w:firstLine="0"/>
        <w:jc w:val="both"/>
        <w:rPr>
          <w:rFonts w:ascii="Palatino Linotype" w:hAnsi="Palatino Linotype"/>
          <w:noProof/>
          <w:lang w:eastAsia="es-MX"/>
        </w:rPr>
      </w:pPr>
      <w:r>
        <w:rPr>
          <w:rFonts w:ascii="Palatino Linotype" w:hAnsi="Palatino Linotype" w:cs="Arial"/>
          <w:b/>
        </w:rPr>
        <w:t>Estudio y resolución del asunto</w:t>
      </w:r>
      <w:r w:rsidR="006E5F18" w:rsidRPr="00EF5F17">
        <w:rPr>
          <w:rFonts w:ascii="Palatino Linotype" w:hAnsi="Palatino Linotype" w:cs="Arial"/>
          <w:b/>
          <w:color w:val="000000" w:themeColor="text1"/>
        </w:rPr>
        <w:t>.</w:t>
      </w:r>
      <w:r w:rsidR="002C2E6A">
        <w:rPr>
          <w:rFonts w:ascii="Palatino Linotype" w:hAnsi="Palatino Linotype" w:cs="Arial"/>
        </w:rPr>
        <w:t xml:space="preserve"> </w:t>
      </w:r>
      <w:r>
        <w:rPr>
          <w:rFonts w:ascii="Palatino Linotype" w:hAnsi="Palatino Linotype"/>
        </w:rPr>
        <w:t>Tal y cmo quedó precisado en los resultandos de la presente resolución,</w:t>
      </w:r>
      <w:r w:rsidR="002C2E6A" w:rsidRPr="000C3758">
        <w:rPr>
          <w:rFonts w:ascii="Palatino Linotype" w:hAnsi="Palatino Linotype"/>
          <w:noProof/>
          <w:lang w:eastAsia="es-MX"/>
        </w:rPr>
        <w:t xml:space="preserve"> el particular requirió del </w:t>
      </w:r>
      <w:r w:rsidR="002C2E6A" w:rsidRPr="000C3758">
        <w:rPr>
          <w:rFonts w:ascii="Palatino Linotype" w:hAnsi="Palatino Linotype"/>
          <w:b/>
          <w:noProof/>
          <w:lang w:eastAsia="es-MX"/>
        </w:rPr>
        <w:t xml:space="preserve">SUJETO OBLIGADO </w:t>
      </w:r>
      <w:r w:rsidR="002C2E6A" w:rsidRPr="000C3758">
        <w:rPr>
          <w:rFonts w:ascii="Palatino Linotype" w:hAnsi="Palatino Linotype"/>
          <w:noProof/>
          <w:lang w:eastAsia="es-MX"/>
        </w:rPr>
        <w:t xml:space="preserve">el acta de recepción de la obra denominada </w:t>
      </w:r>
      <w:r w:rsidR="002C2E6A" w:rsidRPr="000C3758">
        <w:rPr>
          <w:rFonts w:ascii="Palatino Linotype" w:hAnsi="Palatino Linotype"/>
          <w:i/>
          <w:noProof/>
          <w:lang w:eastAsia="es-MX"/>
        </w:rPr>
        <w:t>“Colector marginal de la Presa Guadalupe”</w:t>
      </w:r>
      <w:r w:rsidR="002C2E6A" w:rsidRPr="000C3758">
        <w:rPr>
          <w:rFonts w:ascii="Palatino Linotype" w:hAnsi="Palatino Linotype"/>
          <w:noProof/>
          <w:lang w:eastAsia="es-MX"/>
        </w:rPr>
        <w:t xml:space="preserve">, firmada por </w:t>
      </w:r>
      <w:r w:rsidR="00D86264">
        <w:rPr>
          <w:rFonts w:ascii="Palatino Linotype" w:hAnsi="Palatino Linotype"/>
          <w:b/>
          <w:noProof/>
          <w:lang w:eastAsia="es-MX"/>
        </w:rPr>
        <w:t>EL SU</w:t>
      </w:r>
      <w:r w:rsidR="002C2E6A" w:rsidRPr="000C3758">
        <w:rPr>
          <w:rFonts w:ascii="Palatino Linotype" w:hAnsi="Palatino Linotype"/>
          <w:b/>
          <w:noProof/>
          <w:lang w:eastAsia="es-MX"/>
        </w:rPr>
        <w:t>J</w:t>
      </w:r>
      <w:r w:rsidR="00D86264">
        <w:rPr>
          <w:rFonts w:ascii="Palatino Linotype" w:hAnsi="Palatino Linotype"/>
          <w:b/>
          <w:noProof/>
          <w:lang w:eastAsia="es-MX"/>
        </w:rPr>
        <w:t>E</w:t>
      </w:r>
      <w:r w:rsidR="002C2E6A" w:rsidRPr="000C3758">
        <w:rPr>
          <w:rFonts w:ascii="Palatino Linotype" w:hAnsi="Palatino Linotype"/>
          <w:b/>
          <w:noProof/>
          <w:lang w:eastAsia="es-MX"/>
        </w:rPr>
        <w:t>TO OBLIGADO</w:t>
      </w:r>
      <w:r w:rsidR="002C2E6A" w:rsidRPr="000C3758">
        <w:rPr>
          <w:rFonts w:ascii="Palatino Linotype" w:hAnsi="Palatino Linotype"/>
          <w:noProof/>
          <w:lang w:eastAsia="es-MX"/>
        </w:rPr>
        <w:t xml:space="preserve"> y la Comisión del Agua del Estado de México, en fecha 28 de octubre de 2019.</w:t>
      </w:r>
    </w:p>
    <w:p w:rsidR="002C2E6A" w:rsidRDefault="002C2E6A" w:rsidP="002C2E6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F32C73">
        <w:rPr>
          <w:rFonts w:ascii="Palatino Linotype" w:hAnsi="Palatino Linotype"/>
          <w:noProof/>
          <w:lang w:eastAsia="es-MX"/>
        </w:rPr>
        <w:t>Al respecto,</w:t>
      </w:r>
      <w:r>
        <w:rPr>
          <w:rFonts w:ascii="Palatino Linotype" w:hAnsi="Palatino Linotype"/>
          <w:b/>
          <w:noProof/>
          <w:lang w:eastAsia="es-MX"/>
        </w:rPr>
        <w:t xml:space="preserve"> EL SUJETO OBLIGADO </w:t>
      </w:r>
      <w:r w:rsidRPr="00F32C73">
        <w:rPr>
          <w:rFonts w:ascii="Palatino Linotype" w:hAnsi="Palatino Linotype"/>
          <w:noProof/>
          <w:lang w:eastAsia="es-MX"/>
        </w:rPr>
        <w:t xml:space="preserve">respondió al particular </w:t>
      </w:r>
      <w:r>
        <w:rPr>
          <w:rFonts w:ascii="Palatino Linotype" w:hAnsi="Palatino Linotype"/>
          <w:noProof/>
          <w:lang w:eastAsia="es-MX"/>
        </w:rPr>
        <w:t>que debía soli</w:t>
      </w:r>
      <w:r w:rsidR="00986C17">
        <w:rPr>
          <w:rFonts w:ascii="Palatino Linotype" w:hAnsi="Palatino Linotype"/>
          <w:noProof/>
          <w:lang w:eastAsia="es-MX"/>
        </w:rPr>
        <w:t>citar la infor</w:t>
      </w:r>
      <w:r>
        <w:rPr>
          <w:rFonts w:ascii="Palatino Linotype" w:hAnsi="Palatino Linotype"/>
          <w:noProof/>
          <w:lang w:eastAsia="es-MX"/>
        </w:rPr>
        <w:t xml:space="preserve">mación de referencia a la </w:t>
      </w:r>
      <w:r w:rsidR="000552AF">
        <w:rPr>
          <w:rFonts w:ascii="Palatino Linotype" w:hAnsi="Palatino Linotype"/>
          <w:noProof/>
          <w:lang w:eastAsia="es-MX"/>
        </w:rPr>
        <w:t>Comisión del Agua del Estado de México, por ser este Sujeto Obligado el encargado de emitir las actas de entrega recepción. Lo anterior, con fundamento en lo dispuesto por el artículo 167 de la Ley de Transparencia y Acceso a la Información Pública del Estado de México y Municipios.</w:t>
      </w:r>
    </w:p>
    <w:p w:rsidR="000552AF" w:rsidRDefault="002C2E6A" w:rsidP="002C2E6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lastRenderedPageBreak/>
        <w:t xml:space="preserve">Inconforme con la respuesta, el hoy </w:t>
      </w:r>
      <w:r w:rsidRPr="005A3CC1">
        <w:rPr>
          <w:rFonts w:ascii="Palatino Linotype" w:hAnsi="Palatino Linotype"/>
          <w:b/>
          <w:noProof/>
          <w:lang w:eastAsia="es-MX"/>
        </w:rPr>
        <w:t>RECURRENTE</w:t>
      </w:r>
      <w:r>
        <w:rPr>
          <w:rFonts w:ascii="Palatino Linotype" w:hAnsi="Palatino Linotype"/>
          <w:noProof/>
          <w:lang w:eastAsia="es-MX"/>
        </w:rPr>
        <w:t xml:space="preserve"> interpuso el medio de defensa de mérito, en el cual, manifestó que la </w:t>
      </w:r>
      <w:r w:rsidR="000552AF">
        <w:rPr>
          <w:rFonts w:ascii="Palatino Linotype" w:hAnsi="Palatino Linotype"/>
          <w:noProof/>
          <w:lang w:eastAsia="es-MX"/>
        </w:rPr>
        <w:t xml:space="preserve">información debía obrar en los archivos del </w:t>
      </w:r>
      <w:r w:rsidR="000552AF" w:rsidRPr="000552AF">
        <w:rPr>
          <w:rFonts w:ascii="Palatino Linotype" w:hAnsi="Palatino Linotype"/>
          <w:b/>
          <w:noProof/>
          <w:lang w:eastAsia="es-MX"/>
        </w:rPr>
        <w:t>SUJETO OBLIGADO</w:t>
      </w:r>
      <w:r w:rsidR="000552AF">
        <w:rPr>
          <w:rFonts w:ascii="Palatino Linotype" w:hAnsi="Palatino Linotype"/>
          <w:noProof/>
          <w:lang w:eastAsia="es-MX"/>
        </w:rPr>
        <w:t>, tan era así que existía evidencia que corroboraba la entrega.</w:t>
      </w:r>
    </w:p>
    <w:p w:rsidR="000552AF" w:rsidRPr="00367A6E" w:rsidRDefault="00F47B44" w:rsidP="000552AF">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_tradnl"/>
        </w:rPr>
      </w:pPr>
      <w:r>
        <w:rPr>
          <w:rFonts w:ascii="Palatino Linotype" w:hAnsi="Palatino Linotype"/>
          <w:noProof/>
          <w:lang w:eastAsia="es-MX"/>
        </w:rPr>
        <w:t>Bajo esa óptica</w:t>
      </w:r>
      <w:r w:rsidR="000552AF">
        <w:rPr>
          <w:rFonts w:ascii="Palatino Linotype" w:hAnsi="Palatino Linotype"/>
          <w:noProof/>
          <w:lang w:eastAsia="es-MX"/>
        </w:rPr>
        <w:t xml:space="preserve">, </w:t>
      </w:r>
      <w:r w:rsidR="000552AF" w:rsidRPr="000552AF">
        <w:rPr>
          <w:rFonts w:ascii="Palatino Linotype" w:hAnsi="Palatino Linotype"/>
          <w:b/>
          <w:noProof/>
          <w:lang w:eastAsia="es-MX"/>
        </w:rPr>
        <w:t>EL RECURRENTE</w:t>
      </w:r>
      <w:r w:rsidR="000552AF">
        <w:rPr>
          <w:rFonts w:ascii="Palatino Linotype" w:hAnsi="Palatino Linotype"/>
          <w:noProof/>
          <w:lang w:eastAsia="es-MX"/>
        </w:rPr>
        <w:t xml:space="preserve"> adjuntó como material probatorio, diversas </w:t>
      </w:r>
      <w:r w:rsidR="000552AF" w:rsidRPr="000552AF">
        <w:rPr>
          <w:rFonts w:ascii="Palatino Linotype" w:hAnsi="Palatino Linotype" w:cs="Arial"/>
          <w:lang w:val="es-ES_tradnl"/>
        </w:rPr>
        <w:t>impresiones de pantalla de la página oficial de Facebook del Ayuntamiento de Cuautitlán I</w:t>
      </w:r>
      <w:r w:rsidR="000552AF">
        <w:rPr>
          <w:rFonts w:ascii="Palatino Linotype" w:hAnsi="Palatino Linotype" w:cs="Arial"/>
          <w:lang w:val="es-ES_tradnl"/>
        </w:rPr>
        <w:t>zcalli</w:t>
      </w:r>
      <w:r w:rsidR="000552AF" w:rsidRPr="000552AF">
        <w:rPr>
          <w:rFonts w:ascii="Palatino Linotype" w:hAnsi="Palatino Linotype" w:cs="Arial"/>
          <w:lang w:val="es-ES_tradnl"/>
        </w:rPr>
        <w:t xml:space="preserve"> y</w:t>
      </w:r>
      <w:r w:rsidR="000552AF">
        <w:rPr>
          <w:rFonts w:ascii="Palatino Linotype" w:hAnsi="Palatino Linotype" w:cs="Arial"/>
          <w:lang w:val="es-ES_tradnl"/>
        </w:rPr>
        <w:t xml:space="preserve"> una nota periodística, titulada </w:t>
      </w:r>
      <w:r w:rsidR="000552AF" w:rsidRPr="00367A6E">
        <w:rPr>
          <w:rFonts w:ascii="Palatino Linotype" w:hAnsi="Palatino Linotype" w:cs="Arial"/>
          <w:i/>
          <w:lang w:val="es-ES_tradnl"/>
        </w:rPr>
        <w:t>“OPERAGUA RECIBE OBRAS CONCLUIDAS DE CAEM”</w:t>
      </w:r>
      <w:r w:rsidR="000552AF">
        <w:rPr>
          <w:rFonts w:ascii="Palatino Linotype" w:hAnsi="Palatino Linotype" w:cs="Arial"/>
          <w:lang w:val="es-ES_tradnl"/>
        </w:rPr>
        <w:t xml:space="preserve">, de fecha 30 de octubre de 2019, emitida por </w:t>
      </w:r>
      <w:r w:rsidR="000552AF" w:rsidRPr="00367A6E">
        <w:rPr>
          <w:rFonts w:ascii="Palatino Linotype" w:hAnsi="Palatino Linotype" w:cs="Arial"/>
          <w:b/>
          <w:lang w:val="es-ES_tradnl"/>
        </w:rPr>
        <w:t>EL SUEJTO OBLIGADO</w:t>
      </w:r>
      <w:r w:rsidR="000552AF">
        <w:rPr>
          <w:rFonts w:ascii="Palatino Linotype" w:hAnsi="Palatino Linotype" w:cs="Arial"/>
          <w:lang w:val="es-ES_tradnl"/>
        </w:rPr>
        <w:t xml:space="preserve">, de los cuáles se desprende que efectivamente, en un evento público, se recibió la obra en comento, estando presentes servidores públicos del </w:t>
      </w:r>
      <w:r w:rsidR="000552AF" w:rsidRPr="000552AF">
        <w:rPr>
          <w:rFonts w:ascii="Palatino Linotype" w:hAnsi="Palatino Linotype" w:cs="Arial"/>
          <w:b/>
          <w:lang w:val="es-ES_tradnl"/>
        </w:rPr>
        <w:t>SUJETO OBLIGADO</w:t>
      </w:r>
      <w:r w:rsidR="000552AF">
        <w:rPr>
          <w:rFonts w:ascii="Palatino Linotype" w:hAnsi="Palatino Linotype" w:cs="Arial"/>
          <w:lang w:val="es-ES_tradnl"/>
        </w:rPr>
        <w:t>, del Ayuntamiento de Cuautitlán Izcalli y de la Comisión Estatal multi</w:t>
      </w:r>
      <w:r w:rsidR="00B0290E">
        <w:rPr>
          <w:rFonts w:ascii="Palatino Linotype" w:hAnsi="Palatino Linotype" w:cs="Arial"/>
          <w:lang w:val="es-ES_tradnl"/>
        </w:rPr>
        <w:t xml:space="preserve"> </w:t>
      </w:r>
      <w:r w:rsidR="000552AF">
        <w:rPr>
          <w:rFonts w:ascii="Palatino Linotype" w:hAnsi="Palatino Linotype" w:cs="Arial"/>
          <w:lang w:val="es-ES_tradnl"/>
        </w:rPr>
        <w:t>referida.</w:t>
      </w:r>
    </w:p>
    <w:p w:rsidR="00F47B44" w:rsidRDefault="000552AF" w:rsidP="002C2E6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t xml:space="preserve">Posteriormente, </w:t>
      </w:r>
      <w:r w:rsidRPr="000552AF">
        <w:rPr>
          <w:rFonts w:ascii="Palatino Linotype" w:hAnsi="Palatino Linotype"/>
          <w:b/>
          <w:noProof/>
          <w:lang w:eastAsia="es-MX"/>
        </w:rPr>
        <w:t>EL SUJETO OBLIGADO</w:t>
      </w:r>
      <w:r>
        <w:rPr>
          <w:rFonts w:ascii="Palatino Linotype" w:hAnsi="Palatino Linotype"/>
          <w:noProof/>
          <w:lang w:eastAsia="es-MX"/>
        </w:rPr>
        <w:t xml:space="preserve"> rindió su Informe Justificado, en el cual modificó su respuesta inicial y refiri</w:t>
      </w:r>
      <w:r w:rsidR="00F47B44">
        <w:rPr>
          <w:rFonts w:ascii="Palatino Linotype" w:hAnsi="Palatino Linotype"/>
          <w:noProof/>
          <w:lang w:eastAsia="es-MX"/>
        </w:rPr>
        <w:t>ó que el acta entrega de la obra aducida por el particular se realizó únicamente por la Comisión del Agua del Estado de México y el Ayuntamiento de Cuautitlán Izcalli; que la Coordinación de Ejecución de Proyectos realizó una búsqueda ex</w:t>
      </w:r>
      <w:r>
        <w:rPr>
          <w:rFonts w:ascii="Palatino Linotype" w:hAnsi="Palatino Linotype"/>
          <w:noProof/>
          <w:lang w:eastAsia="es-MX"/>
        </w:rPr>
        <w:t>hasutiva d</w:t>
      </w:r>
      <w:r w:rsidR="00F47B44">
        <w:rPr>
          <w:rFonts w:ascii="Palatino Linotype" w:hAnsi="Palatino Linotype"/>
          <w:noProof/>
          <w:lang w:eastAsia="es-MX"/>
        </w:rPr>
        <w:t>e la inf</w:t>
      </w:r>
      <w:r>
        <w:rPr>
          <w:rFonts w:ascii="Palatino Linotype" w:hAnsi="Palatino Linotype"/>
          <w:noProof/>
          <w:lang w:eastAsia="es-MX"/>
        </w:rPr>
        <w:t>o</w:t>
      </w:r>
      <w:r w:rsidR="00F47B44">
        <w:rPr>
          <w:rFonts w:ascii="Palatino Linotype" w:hAnsi="Palatino Linotype"/>
          <w:noProof/>
          <w:lang w:eastAsia="es-MX"/>
        </w:rPr>
        <w:t>r</w:t>
      </w:r>
      <w:r>
        <w:rPr>
          <w:rFonts w:ascii="Palatino Linotype" w:hAnsi="Palatino Linotype"/>
          <w:noProof/>
          <w:lang w:eastAsia="es-MX"/>
        </w:rPr>
        <w:t xml:space="preserve">mación peticionada </w:t>
      </w:r>
      <w:r w:rsidR="00F47B44">
        <w:rPr>
          <w:rFonts w:ascii="Palatino Linotype" w:hAnsi="Palatino Linotype"/>
          <w:noProof/>
          <w:lang w:eastAsia="es-MX"/>
        </w:rPr>
        <w:t>sin encontrarla</w:t>
      </w:r>
      <w:r w:rsidR="00425F7A">
        <w:rPr>
          <w:rFonts w:ascii="Palatino Linotype" w:hAnsi="Palatino Linotype"/>
          <w:noProof/>
          <w:lang w:eastAsia="es-MX"/>
        </w:rPr>
        <w:t>;</w:t>
      </w:r>
      <w:r w:rsidR="00F47B44">
        <w:rPr>
          <w:rFonts w:ascii="Palatino Linotype" w:hAnsi="Palatino Linotype"/>
          <w:noProof/>
          <w:lang w:eastAsia="es-MX"/>
        </w:rPr>
        <w:t xml:space="preserve"> por lo que</w:t>
      </w:r>
      <w:r w:rsidR="00425F7A">
        <w:rPr>
          <w:rFonts w:ascii="Palatino Linotype" w:hAnsi="Palatino Linotype"/>
          <w:noProof/>
          <w:lang w:eastAsia="es-MX"/>
        </w:rPr>
        <w:t>,</w:t>
      </w:r>
      <w:r w:rsidR="00F47B44">
        <w:rPr>
          <w:rFonts w:ascii="Palatino Linotype" w:hAnsi="Palatino Linotype"/>
          <w:noProof/>
          <w:lang w:eastAsia="es-MX"/>
        </w:rPr>
        <w:t xml:space="preserve"> solicitó al Comité de Transparencia emitir la Declaratoria de Inexistencia correspondiente.</w:t>
      </w:r>
    </w:p>
    <w:p w:rsidR="00F47B44" w:rsidRPr="00F47B44" w:rsidRDefault="00F47B44" w:rsidP="002C2E6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t xml:space="preserve">Asimismo, </w:t>
      </w:r>
      <w:r w:rsidRPr="00F47B44">
        <w:rPr>
          <w:rFonts w:ascii="Palatino Linotype" w:hAnsi="Palatino Linotype"/>
          <w:b/>
          <w:noProof/>
          <w:lang w:eastAsia="es-MX"/>
        </w:rPr>
        <w:t>EL SUJETO OBLIGADO</w:t>
      </w:r>
      <w:r>
        <w:rPr>
          <w:rFonts w:ascii="Palatino Linotype" w:hAnsi="Palatino Linotype"/>
          <w:noProof/>
          <w:lang w:eastAsia="es-MX"/>
        </w:rPr>
        <w:t xml:space="preserve">, através de su Comité de Transparencia, emitió </w:t>
      </w:r>
      <w:r>
        <w:rPr>
          <w:rFonts w:ascii="Palatino Linotype" w:hAnsi="Palatino Linotype" w:cs="Arial"/>
        </w:rPr>
        <w:lastRenderedPageBreak/>
        <w:t xml:space="preserve">el Acuerdo número </w:t>
      </w:r>
      <w:r w:rsidRPr="00367A6E">
        <w:rPr>
          <w:rFonts w:ascii="Palatino Linotype" w:hAnsi="Palatino Linotype" w:cs="Arial"/>
          <w:b/>
        </w:rPr>
        <w:t>CT/SO04/004/2020</w:t>
      </w:r>
      <w:r>
        <w:rPr>
          <w:rFonts w:ascii="Palatino Linotype" w:hAnsi="Palatino Linotype" w:cs="Arial"/>
        </w:rPr>
        <w:t xml:space="preserve">, de fecha 17 de agosto de 2020, en el cual se contiene la Declaratoria de Inexistencia de la información requerida en la solicitud de acceso a la información número </w:t>
      </w:r>
      <w:r>
        <w:rPr>
          <w:rFonts w:ascii="Palatino Linotype" w:hAnsi="Palatino Linotype"/>
          <w:b/>
          <w:bCs/>
        </w:rPr>
        <w:t>00012/OASCUATIZC/IP/2020;</w:t>
      </w:r>
      <w:r>
        <w:rPr>
          <w:rFonts w:ascii="Palatino Linotype" w:hAnsi="Palatino Linotype"/>
          <w:bCs/>
        </w:rPr>
        <w:t xml:space="preserve"> toda vez, que no se localizó la información solicitada, pese a que debía de contarse con ella, en términos de lo dispuesto por los artículos 12, 24, fracción XXV, segundo párrafo y 49, fracción XIII de la Ley de Transparencia y Acceso a la Información Pública del Estado de México y Municipios.</w:t>
      </w:r>
      <w:r>
        <w:rPr>
          <w:rStyle w:val="Refdenotaalpie"/>
          <w:rFonts w:ascii="Palatino Linotype" w:hAnsi="Palatino Linotype"/>
          <w:bCs/>
        </w:rPr>
        <w:footnoteReference w:id="1"/>
      </w:r>
    </w:p>
    <w:p w:rsidR="000C3758" w:rsidRDefault="00F47B44" w:rsidP="002C2E6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t xml:space="preserve">Por su parte, </w:t>
      </w:r>
      <w:r w:rsidRPr="00F47B44">
        <w:rPr>
          <w:rFonts w:ascii="Palatino Linotype" w:hAnsi="Palatino Linotype"/>
          <w:b/>
          <w:noProof/>
          <w:lang w:eastAsia="es-MX"/>
        </w:rPr>
        <w:t>EL RECURRENTE</w:t>
      </w:r>
      <w:r>
        <w:rPr>
          <w:rFonts w:ascii="Palatino Linotype" w:hAnsi="Palatino Linotype"/>
          <w:noProof/>
          <w:lang w:eastAsia="es-MX"/>
        </w:rPr>
        <w:t xml:space="preserve"> presentó manifestaciones y material probatorio adicional para sustentar que el entonces Director </w:t>
      </w:r>
      <w:r w:rsidR="000C3758">
        <w:rPr>
          <w:rFonts w:ascii="Palatino Linotype" w:hAnsi="Palatino Linotype"/>
          <w:noProof/>
          <w:lang w:eastAsia="es-MX"/>
        </w:rPr>
        <w:t xml:space="preserve">General </w:t>
      </w:r>
      <w:r>
        <w:rPr>
          <w:rFonts w:ascii="Palatino Linotype" w:hAnsi="Palatino Linotype"/>
          <w:noProof/>
          <w:lang w:eastAsia="es-MX"/>
        </w:rPr>
        <w:t xml:space="preserve">del </w:t>
      </w:r>
      <w:r w:rsidR="000C3758" w:rsidRPr="000C3758">
        <w:rPr>
          <w:rFonts w:ascii="Palatino Linotype" w:hAnsi="Palatino Linotype"/>
          <w:b/>
          <w:noProof/>
          <w:lang w:eastAsia="es-MX"/>
        </w:rPr>
        <w:t>SUJETO OBLIGADO</w:t>
      </w:r>
      <w:r w:rsidR="000C3758">
        <w:rPr>
          <w:rFonts w:ascii="Palatino Linotype" w:hAnsi="Palatino Linotype"/>
          <w:noProof/>
          <w:lang w:eastAsia="es-MX"/>
        </w:rPr>
        <w:t xml:space="preserve"> </w:t>
      </w:r>
      <w:r>
        <w:rPr>
          <w:rFonts w:ascii="Palatino Linotype" w:hAnsi="Palatino Linotype"/>
          <w:noProof/>
          <w:lang w:eastAsia="es-MX"/>
        </w:rPr>
        <w:t>aparece firmando el acta de entrega recepción de la obra referida en la solicitud de origen.</w:t>
      </w:r>
      <w:r w:rsidR="000C3758">
        <w:rPr>
          <w:rFonts w:ascii="Palatino Linotype" w:hAnsi="Palatino Linotype"/>
          <w:noProof/>
          <w:lang w:eastAsia="es-MX"/>
        </w:rPr>
        <w:t xml:space="preserve"> Asimismo, expresó que, de las notas publicadas tanto por </w:t>
      </w:r>
      <w:r w:rsidR="000C3758" w:rsidRPr="000C3758">
        <w:rPr>
          <w:rFonts w:ascii="Palatino Linotype" w:hAnsi="Palatino Linotype"/>
          <w:b/>
          <w:noProof/>
          <w:lang w:eastAsia="es-MX"/>
        </w:rPr>
        <w:t>EL SUEJTO OBLIGADO</w:t>
      </w:r>
      <w:r w:rsidR="000C3758">
        <w:rPr>
          <w:rFonts w:ascii="Palatino Linotype" w:hAnsi="Palatino Linotype"/>
          <w:noProof/>
          <w:lang w:eastAsia="es-MX"/>
        </w:rPr>
        <w:t xml:space="preserve"> como por el Ayuntamiento de Cuautitlán Izcalli, se desprende que es, a través del </w:t>
      </w:r>
      <w:r w:rsidR="000C3758" w:rsidRPr="000C3758">
        <w:rPr>
          <w:rFonts w:ascii="Palatino Linotype" w:hAnsi="Palatino Linotype"/>
          <w:b/>
          <w:noProof/>
          <w:lang w:eastAsia="es-MX"/>
        </w:rPr>
        <w:t>SUJETO OBLIGADO</w:t>
      </w:r>
      <w:r w:rsidR="000C3758">
        <w:rPr>
          <w:rFonts w:ascii="Palatino Linotype" w:hAnsi="Palatino Linotype"/>
          <w:b/>
          <w:noProof/>
          <w:lang w:eastAsia="es-MX"/>
        </w:rPr>
        <w:t>,</w:t>
      </w:r>
      <w:r w:rsidR="000C3758">
        <w:rPr>
          <w:rFonts w:ascii="Palatino Linotype" w:hAnsi="Palatino Linotype"/>
          <w:noProof/>
          <w:lang w:eastAsia="es-MX"/>
        </w:rPr>
        <w:t xml:space="preserve"> que el Ayuntamiento </w:t>
      </w:r>
      <w:r w:rsidR="000C3758" w:rsidRPr="000C3758">
        <w:rPr>
          <w:rFonts w:ascii="Palatino Linotype" w:hAnsi="Palatino Linotype"/>
          <w:noProof/>
          <w:lang w:eastAsia="es-MX"/>
        </w:rPr>
        <w:t>se comprometió a administrar, operar, dar el mantenimiento respectivo y conservar de manera íntegra las obras recibidas</w:t>
      </w:r>
      <w:r w:rsidR="000C3758">
        <w:rPr>
          <w:rFonts w:ascii="Palatino Linotype" w:hAnsi="Palatino Linotype"/>
          <w:noProof/>
          <w:lang w:eastAsia="es-MX"/>
        </w:rPr>
        <w:t>.</w:t>
      </w:r>
    </w:p>
    <w:p w:rsidR="00BD61AF" w:rsidRPr="000C3758" w:rsidRDefault="00BD61AF" w:rsidP="00BD61AF">
      <w:pPr>
        <w:spacing w:before="100" w:beforeAutospacing="1" w:after="100" w:afterAutospacing="1" w:line="360" w:lineRule="auto"/>
        <w:jc w:val="both"/>
        <w:rPr>
          <w:rFonts w:ascii="Palatino Linotype" w:hAnsi="Palatino Linotype" w:cs="Arial"/>
        </w:rPr>
      </w:pPr>
      <w:r w:rsidRPr="000C3758">
        <w:rPr>
          <w:rFonts w:ascii="Palatino Linotype" w:hAnsi="Palatino Linotype" w:cs="Arial"/>
        </w:rPr>
        <w:t xml:space="preserve">Bajo esas consideraciones, </w:t>
      </w:r>
      <w:r w:rsidR="002D4DED">
        <w:rPr>
          <w:rFonts w:ascii="Palatino Linotype" w:hAnsi="Palatino Linotype" w:cs="Arial"/>
        </w:rPr>
        <w:t xml:space="preserve">este Instituto analizó el expediente electrónico del </w:t>
      </w:r>
      <w:r w:rsidR="002D4DED" w:rsidRPr="002D4DED">
        <w:rPr>
          <w:rFonts w:ascii="Palatino Linotype" w:hAnsi="Palatino Linotype" w:cs="Arial"/>
          <w:b/>
        </w:rPr>
        <w:t>SAIMEX</w:t>
      </w:r>
      <w:r w:rsidR="002D4DED">
        <w:rPr>
          <w:rFonts w:ascii="Palatino Linotype" w:hAnsi="Palatino Linotype" w:cs="Arial"/>
        </w:rPr>
        <w:t xml:space="preserve"> y advirtió que las razones o motivos de inconformidad hechos valer por </w:t>
      </w:r>
      <w:r w:rsidR="002D4DED" w:rsidRPr="002D4DED">
        <w:rPr>
          <w:rFonts w:ascii="Palatino Linotype" w:hAnsi="Palatino Linotype" w:cs="Arial"/>
          <w:b/>
        </w:rPr>
        <w:t>EL RECURRENTE</w:t>
      </w:r>
      <w:r w:rsidR="002D4DED">
        <w:rPr>
          <w:rFonts w:ascii="Palatino Linotype" w:hAnsi="Palatino Linotype" w:cs="Arial"/>
        </w:rPr>
        <w:t xml:space="preserve"> devienen </w:t>
      </w:r>
      <w:r w:rsidR="002D4DED" w:rsidRPr="002D4DED">
        <w:rPr>
          <w:rFonts w:ascii="Palatino Linotype" w:hAnsi="Palatino Linotype" w:cs="Arial"/>
          <w:b/>
        </w:rPr>
        <w:t xml:space="preserve">parcialmente </w:t>
      </w:r>
      <w:r w:rsidR="002D4DED" w:rsidRPr="00D86264">
        <w:rPr>
          <w:rFonts w:ascii="Palatino Linotype" w:hAnsi="Palatino Linotype" w:cs="Arial"/>
          <w:b/>
        </w:rPr>
        <w:t>fundados</w:t>
      </w:r>
      <w:r w:rsidR="002D4DED">
        <w:rPr>
          <w:rFonts w:ascii="Palatino Linotype" w:hAnsi="Palatino Linotype" w:cs="Arial"/>
        </w:rPr>
        <w:t xml:space="preserve"> y suficientes para </w:t>
      </w:r>
      <w:r w:rsidR="002D4DED" w:rsidRPr="002D4DED">
        <w:rPr>
          <w:rFonts w:ascii="Palatino Linotype" w:hAnsi="Palatino Linotype" w:cs="Arial"/>
          <w:b/>
        </w:rPr>
        <w:t>REVOCAR</w:t>
      </w:r>
      <w:r w:rsidR="002D4DED">
        <w:rPr>
          <w:rFonts w:ascii="Palatino Linotype" w:hAnsi="Palatino Linotype" w:cs="Arial"/>
        </w:rPr>
        <w:t xml:space="preserve"> la </w:t>
      </w:r>
      <w:r w:rsidR="002D4DED">
        <w:rPr>
          <w:rFonts w:ascii="Palatino Linotype" w:hAnsi="Palatino Linotype" w:cs="Arial"/>
        </w:rPr>
        <w:lastRenderedPageBreak/>
        <w:t xml:space="preserve">respuesta del </w:t>
      </w:r>
      <w:r w:rsidR="002D4DED" w:rsidRPr="002D4DED">
        <w:rPr>
          <w:rFonts w:ascii="Palatino Linotype" w:hAnsi="Palatino Linotype" w:cs="Arial"/>
          <w:b/>
        </w:rPr>
        <w:t>SUEJTO OBLIGADO</w:t>
      </w:r>
      <w:r w:rsidR="002D4DED">
        <w:rPr>
          <w:rFonts w:ascii="Palatino Linotype" w:hAnsi="Palatino Linotype" w:cs="Arial"/>
        </w:rPr>
        <w:t>, en atención a las consideraciones de hecho y de derecho siguientes:</w:t>
      </w:r>
    </w:p>
    <w:p w:rsidR="00BD61AF" w:rsidRDefault="002D4DED" w:rsidP="00BD61AF">
      <w:pPr>
        <w:spacing w:before="100" w:beforeAutospacing="1" w:after="100" w:afterAutospacing="1" w:line="360" w:lineRule="auto"/>
        <w:jc w:val="both"/>
        <w:rPr>
          <w:rFonts w:ascii="Palatino Linotype" w:hAnsi="Palatino Linotype"/>
        </w:rPr>
      </w:pPr>
      <w:r>
        <w:rPr>
          <w:rFonts w:ascii="Palatino Linotype" w:hAnsi="Palatino Linotype"/>
        </w:rPr>
        <w:t>Primeramente</w:t>
      </w:r>
      <w:r w:rsidR="00BD61AF">
        <w:rPr>
          <w:rFonts w:ascii="Palatino Linotype" w:hAnsi="Palatino Linotype"/>
        </w:rPr>
        <w:t xml:space="preserve">, no se omite comentar que asiste razón al particular, hoy </w:t>
      </w:r>
      <w:r w:rsidR="00BD61AF" w:rsidRPr="00BD61AF">
        <w:rPr>
          <w:rFonts w:ascii="Palatino Linotype" w:hAnsi="Palatino Linotype"/>
          <w:b/>
        </w:rPr>
        <w:t>RECURRENTE</w:t>
      </w:r>
      <w:r w:rsidR="00BD61AF">
        <w:rPr>
          <w:rFonts w:ascii="Palatino Linotype" w:hAnsi="Palatino Linotype"/>
        </w:rPr>
        <w:t xml:space="preserve">, respecto de que </w:t>
      </w:r>
      <w:r w:rsidR="00BD61AF" w:rsidRPr="00BD61AF">
        <w:rPr>
          <w:rFonts w:ascii="Palatino Linotype" w:hAnsi="Palatino Linotype"/>
          <w:b/>
        </w:rPr>
        <w:t>EL SUJETO OBLIGADO</w:t>
      </w:r>
      <w:r w:rsidR="00BD61AF">
        <w:rPr>
          <w:rFonts w:ascii="Palatino Linotype" w:hAnsi="Palatino Linotype"/>
        </w:rPr>
        <w:t xml:space="preserve"> debía contar con la información solicitada, en términos de lo dispuesto por los artículos 18 y 19 de la Ley de Transparencia y Acceso a la Información Pública del Estado de México y Municipios establecen que los </w:t>
      </w:r>
      <w:r w:rsidR="00BD61AF" w:rsidRPr="00115560">
        <w:rPr>
          <w:rFonts w:ascii="Palatino Linotype" w:hAnsi="Palatino Linotype"/>
        </w:rPr>
        <w:t>sujetos obligados deben documentar todo acto que derive del ejercicio de sus facult</w:t>
      </w:r>
      <w:r w:rsidR="00BD61AF">
        <w:rPr>
          <w:rFonts w:ascii="Palatino Linotype" w:hAnsi="Palatino Linotype"/>
        </w:rPr>
        <w:t xml:space="preserve">ades, competencias o funciones y que se </w:t>
      </w:r>
      <w:r w:rsidR="00BD61AF" w:rsidRPr="00115560">
        <w:rPr>
          <w:rFonts w:ascii="Palatino Linotype" w:hAnsi="Palatino Linotype"/>
        </w:rPr>
        <w:t xml:space="preserve">presume que la información debe existir si se refiere a </w:t>
      </w:r>
      <w:r w:rsidR="00BD61AF">
        <w:rPr>
          <w:rFonts w:ascii="Palatino Linotype" w:hAnsi="Palatino Linotype"/>
        </w:rPr>
        <w:t>dichas</w:t>
      </w:r>
      <w:r w:rsidR="00BD61AF" w:rsidRPr="00115560">
        <w:rPr>
          <w:rFonts w:ascii="Palatino Linotype" w:hAnsi="Palatino Linotype"/>
        </w:rPr>
        <w:t xml:space="preserve"> facultades, competencias y</w:t>
      </w:r>
      <w:r w:rsidR="00BD61AF">
        <w:rPr>
          <w:rFonts w:ascii="Palatino Linotype" w:hAnsi="Palatino Linotype"/>
        </w:rPr>
        <w:t>/o funciones; además, que al haber existido diversos pronunciamientos, p</w:t>
      </w:r>
      <w:r w:rsidR="00BD61AF" w:rsidRPr="00BD61AF">
        <w:rPr>
          <w:rFonts w:ascii="Palatino Linotype" w:hAnsi="Palatino Linotype"/>
        </w:rPr>
        <w:t xml:space="preserve">or parte del </w:t>
      </w:r>
      <w:r w:rsidR="00BD61AF" w:rsidRPr="00BD61AF">
        <w:rPr>
          <w:rFonts w:ascii="Palatino Linotype" w:hAnsi="Palatino Linotype"/>
          <w:b/>
        </w:rPr>
        <w:t>SUJETO OBLIGADO</w:t>
      </w:r>
      <w:r w:rsidR="00BD61AF" w:rsidRPr="00BD61AF">
        <w:rPr>
          <w:rFonts w:ascii="Palatino Linotype" w:hAnsi="Palatino Linotype"/>
        </w:rPr>
        <w:t xml:space="preserve"> en sus cuentas oficiales</w:t>
      </w:r>
      <w:r w:rsidR="00BD61AF" w:rsidRPr="00BD61AF">
        <w:rPr>
          <w:rFonts w:ascii="Palatino Linotype" w:hAnsi="Palatino Linotype"/>
          <w:vertAlign w:val="superscript"/>
        </w:rPr>
        <w:footnoteReference w:id="2"/>
      </w:r>
      <w:r w:rsidR="00BD61AF">
        <w:rPr>
          <w:rFonts w:ascii="Palatino Linotype" w:hAnsi="Palatino Linotype"/>
        </w:rPr>
        <w:t>.</w:t>
      </w:r>
    </w:p>
    <w:p w:rsidR="00BD61AF" w:rsidRPr="00BD61AF" w:rsidRDefault="00BD61AF" w:rsidP="00BD61AF">
      <w:pPr>
        <w:spacing w:before="100" w:beforeAutospacing="1" w:after="100" w:afterAutospacing="1" w:line="360" w:lineRule="auto"/>
        <w:jc w:val="both"/>
        <w:rPr>
          <w:rFonts w:ascii="Palatino Linotype" w:hAnsi="Palatino Linotype"/>
        </w:rPr>
      </w:pPr>
      <w:r>
        <w:rPr>
          <w:rFonts w:ascii="Palatino Linotype" w:hAnsi="Palatino Linotype"/>
        </w:rPr>
        <w:lastRenderedPageBreak/>
        <w:t>Situaciones de hecho, de las cuales</w:t>
      </w:r>
      <w:r w:rsidRPr="00BD61AF">
        <w:rPr>
          <w:rFonts w:ascii="Palatino Linotype" w:hAnsi="Palatino Linotype"/>
        </w:rPr>
        <w:t xml:space="preserve">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BD61AF" w:rsidRPr="00BD61AF" w:rsidRDefault="00BD61AF" w:rsidP="00BD61AF">
      <w:pPr>
        <w:spacing w:before="100" w:beforeAutospacing="1" w:after="100" w:afterAutospacing="1" w:line="360" w:lineRule="auto"/>
        <w:jc w:val="both"/>
        <w:rPr>
          <w:rFonts w:ascii="Palatino Linotype" w:hAnsi="Palatino Linotype" w:cs="Arial"/>
        </w:rPr>
      </w:pPr>
      <w:r w:rsidRPr="00BD61A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D61AF" w:rsidRPr="00BD61AF" w:rsidRDefault="00BD61AF" w:rsidP="00BD61AF">
      <w:pPr>
        <w:ind w:left="709" w:right="760"/>
        <w:jc w:val="both"/>
        <w:rPr>
          <w:rFonts w:ascii="Palatino Linotype" w:hAnsi="Palatino Linotype" w:cs="Arial"/>
          <w:i/>
          <w:sz w:val="22"/>
        </w:rPr>
      </w:pPr>
      <w:r w:rsidRPr="00BD61A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D61A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w:t>
      </w:r>
      <w:r w:rsidRPr="00BD61AF">
        <w:rPr>
          <w:rFonts w:ascii="Palatino Linotype" w:hAnsi="Palatino Linotype" w:cs="Arial"/>
          <w:i/>
          <w:sz w:val="22"/>
        </w:rPr>
        <w:lastRenderedPageBreak/>
        <w:t xml:space="preserve">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D61AF" w:rsidRPr="00BD61AF" w:rsidRDefault="00BD61AF" w:rsidP="00BD61AF">
      <w:pPr>
        <w:ind w:left="709" w:right="757"/>
        <w:jc w:val="both"/>
        <w:rPr>
          <w:rFonts w:ascii="Palatino Linotype" w:hAnsi="Palatino Linotype" w:cs="Arial"/>
          <w:b/>
          <w:i/>
          <w:sz w:val="22"/>
        </w:rPr>
      </w:pPr>
      <w:r w:rsidRPr="00BD61AF">
        <w:rPr>
          <w:rFonts w:ascii="Palatino Linotype" w:hAnsi="Palatino Linotype" w:cs="Arial"/>
          <w:i/>
          <w:sz w:val="22"/>
        </w:rPr>
        <w:t>Criterio 31/10</w:t>
      </w:r>
      <w:r w:rsidRPr="00BD61AF">
        <w:rPr>
          <w:rFonts w:ascii="Palatino Linotype" w:hAnsi="Palatino Linotype" w:cs="Arial"/>
          <w:b/>
          <w:i/>
          <w:sz w:val="22"/>
        </w:rPr>
        <w:t>”</w:t>
      </w:r>
      <w:r w:rsidRPr="00BD61AF">
        <w:rPr>
          <w:rFonts w:ascii="Palatino Linotype" w:hAnsi="Palatino Linotype" w:cs="Arial"/>
          <w:i/>
          <w:sz w:val="22"/>
        </w:rPr>
        <w:t xml:space="preserve"> (sic)</w:t>
      </w:r>
    </w:p>
    <w:p w:rsidR="00BD61AF" w:rsidRPr="00BD61AF" w:rsidRDefault="00BD61AF" w:rsidP="00BD61A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Bookman Old Style"/>
          <w:szCs w:val="20"/>
          <w:lang w:eastAsia="en-US"/>
        </w:rPr>
      </w:pPr>
      <w:r>
        <w:rPr>
          <w:rFonts w:ascii="Palatino Linotype" w:hAnsi="Palatino Linotype"/>
          <w:noProof/>
          <w:lang w:eastAsia="es-MX"/>
        </w:rPr>
        <w:t xml:space="preserve">Sin embargo, </w:t>
      </w:r>
      <w:r w:rsidRPr="00BD61AF">
        <w:rPr>
          <w:rFonts w:ascii="Palatino Linotype" w:hAnsi="Palatino Linotype" w:cs="Arial"/>
          <w:lang w:val="es-ES"/>
        </w:rPr>
        <w:t xml:space="preserve">este Órgano Garante </w:t>
      </w:r>
      <w:r>
        <w:rPr>
          <w:rFonts w:ascii="Palatino Linotype" w:hAnsi="Palatino Linotype" w:cs="Arial"/>
          <w:lang w:val="es-ES"/>
        </w:rPr>
        <w:t>precisa que, en los casos en que no se cuenta con información que debería obrar en sus archivos, los Sujetos Obligados deben</w:t>
      </w:r>
      <w:r w:rsidRPr="00BD61AF">
        <w:rPr>
          <w:rFonts w:ascii="Palatino Linotype" w:eastAsia="Calibri" w:hAnsi="Palatino Linotype" w:cs="Bookman Old Style"/>
          <w:szCs w:val="20"/>
          <w:lang w:eastAsia="en-US"/>
        </w:rPr>
        <w:t xml:space="preserve"> entregar el Acuerdo del Comité de Transparencia, en donde conste la declaratoria de inexistencia de la misma.</w:t>
      </w:r>
    </w:p>
    <w:p w:rsidR="00BD61AF" w:rsidRPr="00BD61AF" w:rsidRDefault="00BD61AF" w:rsidP="00BD61AF">
      <w:pPr>
        <w:shd w:val="clear" w:color="auto" w:fill="FFFFFF"/>
        <w:spacing w:before="100" w:beforeAutospacing="1" w:after="100" w:afterAutospacing="1" w:line="360" w:lineRule="auto"/>
        <w:jc w:val="both"/>
        <w:rPr>
          <w:rFonts w:ascii="Georgia" w:hAnsi="Georgia"/>
          <w:lang w:eastAsia="es-MX"/>
        </w:rPr>
      </w:pPr>
      <w:r w:rsidRPr="00BD61AF">
        <w:rPr>
          <w:rFonts w:ascii="Palatino Linotype" w:hAnsi="Palatino Linotype"/>
          <w:lang w:val="es-ES" w:eastAsia="es-MX"/>
        </w:rPr>
        <w:t>En tal caso, la declaratoria a que se ha hecho referencia debe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BD61AF" w:rsidRPr="00BD61AF" w:rsidRDefault="00BD61AF" w:rsidP="00BD61AF">
      <w:pPr>
        <w:shd w:val="clear" w:color="auto" w:fill="FFFFFF"/>
        <w:ind w:left="851" w:right="902"/>
        <w:jc w:val="both"/>
        <w:rPr>
          <w:rFonts w:ascii="Georgia" w:hAnsi="Georgia"/>
          <w:sz w:val="22"/>
          <w:szCs w:val="22"/>
          <w:lang w:eastAsia="es-MX"/>
        </w:rPr>
      </w:pPr>
      <w:r w:rsidRPr="00BD61AF">
        <w:rPr>
          <w:rFonts w:ascii="Palatino Linotype" w:hAnsi="Palatino Linotype"/>
          <w:b/>
          <w:bCs/>
          <w:i/>
          <w:iCs/>
          <w:sz w:val="22"/>
          <w:szCs w:val="22"/>
          <w:lang w:val="es-ES" w:eastAsia="es-MX"/>
        </w:rPr>
        <w:t>“Artículo 49.</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Los</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Comités de Transparencia tendrán las siguientes atribuciones</w:t>
      </w:r>
      <w:r w:rsidRPr="00BD61AF">
        <w:rPr>
          <w:rFonts w:ascii="Palatino Linotype" w:hAnsi="Palatino Linotype"/>
          <w:i/>
          <w:iCs/>
          <w:sz w:val="22"/>
          <w:szCs w:val="22"/>
          <w:lang w:val="es-ES" w:eastAsia="es-MX"/>
        </w:rPr>
        <w:t>:</w:t>
      </w:r>
    </w:p>
    <w:p w:rsidR="00BD61AF" w:rsidRPr="00BD61AF" w:rsidRDefault="00BD61AF" w:rsidP="00BD61AF">
      <w:pPr>
        <w:shd w:val="clear" w:color="auto" w:fill="FFFFFF"/>
        <w:ind w:left="851" w:right="902"/>
        <w:jc w:val="both"/>
        <w:rPr>
          <w:rFonts w:ascii="Georgia" w:hAnsi="Georgia"/>
          <w:sz w:val="22"/>
          <w:szCs w:val="22"/>
          <w:lang w:eastAsia="es-MX"/>
        </w:rPr>
      </w:pPr>
      <w:r w:rsidRPr="00BD61AF">
        <w:rPr>
          <w:rFonts w:ascii="Palatino Linotype" w:hAnsi="Palatino Linotype"/>
          <w:i/>
          <w:iCs/>
          <w:sz w:val="22"/>
          <w:szCs w:val="22"/>
          <w:lang w:val="es-ES" w:eastAsia="es-MX"/>
        </w:rPr>
        <w:t>…</w:t>
      </w:r>
    </w:p>
    <w:p w:rsidR="00BD61AF" w:rsidRPr="00BD61AF" w:rsidRDefault="00BD61AF" w:rsidP="00BD61AF">
      <w:pPr>
        <w:shd w:val="clear" w:color="auto" w:fill="FFFFFF"/>
        <w:ind w:left="851" w:right="902"/>
        <w:jc w:val="both"/>
        <w:rPr>
          <w:rFonts w:ascii="Georgia" w:hAnsi="Georgia"/>
          <w:b/>
          <w:sz w:val="22"/>
          <w:szCs w:val="22"/>
          <w:lang w:eastAsia="es-MX"/>
        </w:rPr>
      </w:pPr>
      <w:r w:rsidRPr="00BD61AF">
        <w:rPr>
          <w:rFonts w:ascii="Palatino Linotype" w:hAnsi="Palatino Linotype"/>
          <w:b/>
          <w:bCs/>
          <w:i/>
          <w:iCs/>
          <w:sz w:val="22"/>
          <w:szCs w:val="22"/>
          <w:lang w:val="es-ES" w:eastAsia="es-MX"/>
        </w:rPr>
        <w:t>II.</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Confirmar, modificar o revocar las determinaciones</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que</w:t>
      </w:r>
      <w:r w:rsidRPr="00BD61AF">
        <w:rPr>
          <w:rFonts w:ascii="Palatino Linotype" w:hAnsi="Palatino Linotype"/>
          <w:i/>
          <w:iCs/>
          <w:sz w:val="22"/>
          <w:szCs w:val="22"/>
          <w:lang w:val="es-ES" w:eastAsia="es-MX"/>
        </w:rPr>
        <w:t xml:space="preserve"> en materia de ampliación del plazo de respuesta, clasificación de la información y </w:t>
      </w:r>
      <w:r w:rsidRPr="00BD61AF">
        <w:rPr>
          <w:rFonts w:ascii="Palatino Linotype" w:hAnsi="Palatino Linotype"/>
          <w:b/>
          <w:i/>
          <w:iCs/>
          <w:sz w:val="22"/>
          <w:szCs w:val="22"/>
          <w:lang w:val="es-ES" w:eastAsia="es-MX"/>
        </w:rPr>
        <w:t>declaración de inexistencia</w:t>
      </w:r>
      <w:r w:rsidRPr="00BD61AF">
        <w:rPr>
          <w:rFonts w:ascii="Palatino Linotype" w:hAnsi="Palatino Linotype"/>
          <w:i/>
          <w:iCs/>
          <w:sz w:val="22"/>
          <w:szCs w:val="22"/>
          <w:lang w:val="es-ES" w:eastAsia="es-MX"/>
        </w:rPr>
        <w:t xml:space="preserve"> o de incompetencia </w:t>
      </w:r>
      <w:r w:rsidRPr="00BD61AF">
        <w:rPr>
          <w:rFonts w:ascii="Palatino Linotype" w:hAnsi="Palatino Linotype"/>
          <w:b/>
          <w:i/>
          <w:iCs/>
          <w:sz w:val="22"/>
          <w:szCs w:val="22"/>
          <w:lang w:val="es-ES" w:eastAsia="es-MX"/>
        </w:rPr>
        <w:t>realicen los titulares de las áreas de los sujetos obligados;</w:t>
      </w:r>
    </w:p>
    <w:p w:rsidR="00BD61AF" w:rsidRPr="00BD61AF" w:rsidRDefault="00BD61AF" w:rsidP="00BD61AF">
      <w:pPr>
        <w:shd w:val="clear" w:color="auto" w:fill="FFFFFF"/>
        <w:ind w:left="851" w:right="902"/>
        <w:jc w:val="both"/>
        <w:rPr>
          <w:rFonts w:ascii="Georgia" w:hAnsi="Georgia"/>
          <w:sz w:val="22"/>
          <w:szCs w:val="22"/>
          <w:lang w:eastAsia="es-MX"/>
        </w:rPr>
      </w:pPr>
      <w:r w:rsidRPr="00BD61AF">
        <w:rPr>
          <w:rFonts w:ascii="Palatino Linotype" w:hAnsi="Palatino Linotype"/>
          <w:i/>
          <w:iCs/>
          <w:sz w:val="22"/>
          <w:szCs w:val="22"/>
          <w:lang w:val="es-ES" w:eastAsia="es-MX"/>
        </w:rPr>
        <w:t>…</w:t>
      </w:r>
    </w:p>
    <w:p w:rsidR="00BD61AF" w:rsidRPr="00BD61AF" w:rsidRDefault="00BD61AF" w:rsidP="00BD61AF">
      <w:pPr>
        <w:shd w:val="clear" w:color="auto" w:fill="FFFFFF"/>
        <w:ind w:left="851" w:right="902"/>
        <w:jc w:val="both"/>
        <w:rPr>
          <w:rFonts w:ascii="Georgia" w:hAnsi="Georgia"/>
          <w:b/>
          <w:sz w:val="22"/>
          <w:szCs w:val="22"/>
          <w:lang w:eastAsia="es-MX"/>
        </w:rPr>
      </w:pPr>
      <w:r w:rsidRPr="00BD61AF">
        <w:rPr>
          <w:rFonts w:ascii="Palatino Linotype" w:hAnsi="Palatino Linotype"/>
          <w:b/>
          <w:bCs/>
          <w:i/>
          <w:iCs/>
          <w:sz w:val="22"/>
          <w:szCs w:val="22"/>
          <w:lang w:val="es-ES" w:eastAsia="es-MX"/>
        </w:rPr>
        <w:t>XIII.</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BD61AF" w:rsidRPr="00BD61AF" w:rsidRDefault="00BD61AF" w:rsidP="00BD61AF">
      <w:pPr>
        <w:shd w:val="clear" w:color="auto" w:fill="FFFFFF"/>
        <w:ind w:left="851" w:right="902"/>
        <w:jc w:val="both"/>
        <w:rPr>
          <w:rFonts w:ascii="Georgia" w:hAnsi="Georgia"/>
          <w:sz w:val="22"/>
          <w:szCs w:val="22"/>
          <w:lang w:eastAsia="es-MX"/>
        </w:rPr>
      </w:pPr>
      <w:r w:rsidRPr="00BD61AF">
        <w:rPr>
          <w:rFonts w:ascii="Palatino Linotype" w:hAnsi="Palatino Linotype"/>
          <w:b/>
          <w:bCs/>
          <w:i/>
          <w:iCs/>
          <w:sz w:val="22"/>
          <w:szCs w:val="22"/>
          <w:lang w:val="es-ES" w:eastAsia="es-MX"/>
        </w:rPr>
        <w:lastRenderedPageBreak/>
        <w:t>…</w:t>
      </w:r>
    </w:p>
    <w:p w:rsidR="00BD61AF" w:rsidRPr="00BD61AF" w:rsidRDefault="00BD61AF" w:rsidP="00BD61AF">
      <w:pPr>
        <w:shd w:val="clear" w:color="auto" w:fill="FFFFFF"/>
        <w:ind w:left="851" w:right="902"/>
        <w:jc w:val="both"/>
        <w:rPr>
          <w:rFonts w:ascii="Palatino Linotype" w:hAnsi="Palatino Linotype"/>
          <w:b/>
          <w:i/>
          <w:iCs/>
          <w:sz w:val="22"/>
          <w:szCs w:val="22"/>
          <w:lang w:val="es-ES" w:eastAsia="es-MX"/>
        </w:rPr>
      </w:pPr>
      <w:r w:rsidRPr="00BD61AF">
        <w:rPr>
          <w:rFonts w:ascii="Palatino Linotype" w:hAnsi="Palatino Linotype"/>
          <w:b/>
          <w:bCs/>
          <w:i/>
          <w:iCs/>
          <w:sz w:val="22"/>
          <w:szCs w:val="22"/>
          <w:lang w:val="es-ES" w:eastAsia="es-MX"/>
        </w:rPr>
        <w:t>Artículo 169.</w:t>
      </w:r>
      <w:r w:rsidRPr="00BD61AF">
        <w:rPr>
          <w:rFonts w:ascii="Palatino Linotype" w:hAnsi="Palatino Linotype"/>
          <w:i/>
          <w:iCs/>
          <w:sz w:val="22"/>
          <w:szCs w:val="22"/>
          <w:lang w:val="es-ES" w:eastAsia="es-MX"/>
        </w:rPr>
        <w:t xml:space="preserve"> Cuando la información no se encuentre en los archivos del sujeto obligado, </w:t>
      </w:r>
      <w:r w:rsidRPr="00BD61AF">
        <w:rPr>
          <w:rFonts w:ascii="Palatino Linotype" w:hAnsi="Palatino Linotype"/>
          <w:b/>
          <w:i/>
          <w:iCs/>
          <w:sz w:val="22"/>
          <w:szCs w:val="22"/>
          <w:lang w:val="es-ES" w:eastAsia="es-MX"/>
        </w:rPr>
        <w:t xml:space="preserve">el Comité de Transparencia: </w:t>
      </w:r>
    </w:p>
    <w:p w:rsidR="00BD61AF" w:rsidRPr="00BD61AF" w:rsidRDefault="00BD61AF" w:rsidP="00BD61AF">
      <w:pPr>
        <w:shd w:val="clear" w:color="auto" w:fill="FFFFFF"/>
        <w:ind w:left="851" w:right="902"/>
        <w:jc w:val="both"/>
        <w:rPr>
          <w:rFonts w:ascii="Palatino Linotype" w:hAnsi="Palatino Linotype"/>
          <w:i/>
          <w:iCs/>
          <w:sz w:val="22"/>
          <w:szCs w:val="22"/>
          <w:lang w:val="es-ES" w:eastAsia="es-MX"/>
        </w:rPr>
      </w:pPr>
      <w:r w:rsidRPr="00BD61AF">
        <w:rPr>
          <w:rFonts w:ascii="Palatino Linotype" w:hAnsi="Palatino Linotype"/>
          <w:b/>
          <w:i/>
          <w:iCs/>
          <w:sz w:val="22"/>
          <w:szCs w:val="22"/>
          <w:lang w:val="es-ES" w:eastAsia="es-MX"/>
        </w:rPr>
        <w:t>I.</w:t>
      </w:r>
      <w:r w:rsidRPr="00BD61AF">
        <w:rPr>
          <w:rFonts w:ascii="Palatino Linotype" w:hAnsi="Palatino Linotype"/>
          <w:i/>
          <w:iCs/>
          <w:sz w:val="22"/>
          <w:szCs w:val="22"/>
          <w:lang w:val="es-ES" w:eastAsia="es-MX"/>
        </w:rPr>
        <w:t xml:space="preserve"> Analizará el caso y tomará las medidas necesarias para localizar la información;</w:t>
      </w:r>
    </w:p>
    <w:p w:rsidR="00BD61AF" w:rsidRPr="00BD61AF" w:rsidRDefault="00BD61AF" w:rsidP="00BD61AF">
      <w:pPr>
        <w:shd w:val="clear" w:color="auto" w:fill="FFFFFF"/>
        <w:ind w:left="851" w:right="902"/>
        <w:jc w:val="both"/>
        <w:rPr>
          <w:rFonts w:ascii="Palatino Linotype" w:hAnsi="Palatino Linotype"/>
          <w:b/>
          <w:i/>
          <w:iCs/>
          <w:sz w:val="22"/>
          <w:szCs w:val="22"/>
          <w:lang w:val="es-ES" w:eastAsia="es-MX"/>
        </w:rPr>
      </w:pPr>
      <w:r w:rsidRPr="00BD61AF">
        <w:rPr>
          <w:rFonts w:ascii="Palatino Linotype" w:hAnsi="Palatino Linotype"/>
          <w:b/>
          <w:i/>
          <w:iCs/>
          <w:sz w:val="22"/>
          <w:szCs w:val="22"/>
          <w:lang w:val="es-ES" w:eastAsia="es-MX"/>
        </w:rPr>
        <w:t>II.</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Expedirá una resolución que confirme la inexistencia del documento;</w:t>
      </w:r>
    </w:p>
    <w:p w:rsidR="00BD61AF" w:rsidRPr="00BD61AF" w:rsidRDefault="00BD61AF" w:rsidP="00BD61AF">
      <w:pPr>
        <w:shd w:val="clear" w:color="auto" w:fill="FFFFFF"/>
        <w:ind w:left="851" w:right="902"/>
        <w:jc w:val="both"/>
        <w:rPr>
          <w:rFonts w:ascii="Palatino Linotype" w:hAnsi="Palatino Linotype"/>
          <w:i/>
          <w:iCs/>
          <w:sz w:val="22"/>
          <w:szCs w:val="22"/>
          <w:lang w:val="es-ES" w:eastAsia="es-MX"/>
        </w:rPr>
      </w:pPr>
      <w:r w:rsidRPr="00BD61AF">
        <w:rPr>
          <w:rFonts w:ascii="Palatino Linotype" w:hAnsi="Palatino Linotype"/>
          <w:b/>
          <w:i/>
          <w:iCs/>
          <w:sz w:val="22"/>
          <w:szCs w:val="22"/>
          <w:lang w:val="es-ES" w:eastAsia="es-MX"/>
        </w:rPr>
        <w:t>III.</w:t>
      </w:r>
      <w:r w:rsidRPr="00BD61AF">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D61AF" w:rsidRPr="00BD61AF" w:rsidRDefault="00BD61AF" w:rsidP="00BD61AF">
      <w:pPr>
        <w:shd w:val="clear" w:color="auto" w:fill="FFFFFF"/>
        <w:ind w:left="851" w:right="902"/>
        <w:jc w:val="both"/>
        <w:rPr>
          <w:rFonts w:ascii="Palatino Linotype" w:hAnsi="Palatino Linotype"/>
          <w:i/>
          <w:iCs/>
          <w:sz w:val="22"/>
          <w:szCs w:val="22"/>
          <w:lang w:val="es-ES" w:eastAsia="es-MX"/>
        </w:rPr>
      </w:pPr>
      <w:r w:rsidRPr="00BD61AF">
        <w:rPr>
          <w:rFonts w:ascii="Palatino Linotype" w:hAnsi="Palatino Linotype"/>
          <w:b/>
          <w:i/>
          <w:iCs/>
          <w:sz w:val="22"/>
          <w:szCs w:val="22"/>
          <w:lang w:val="es-ES" w:eastAsia="es-MX"/>
        </w:rPr>
        <w:t>IV.</w:t>
      </w:r>
      <w:r w:rsidRPr="00BD61AF">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BD61AF" w:rsidRPr="00BD61AF" w:rsidRDefault="00BD61AF" w:rsidP="00BD61AF">
      <w:pPr>
        <w:shd w:val="clear" w:color="auto" w:fill="FFFFFF"/>
        <w:ind w:left="851" w:right="902"/>
        <w:jc w:val="both"/>
        <w:rPr>
          <w:rFonts w:ascii="Palatino Linotype" w:hAnsi="Palatino Linotype"/>
          <w:i/>
          <w:iCs/>
          <w:sz w:val="22"/>
          <w:szCs w:val="22"/>
          <w:lang w:val="es-ES" w:eastAsia="es-MX"/>
        </w:rPr>
      </w:pPr>
      <w:r w:rsidRPr="00BD61AF">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BD61AF" w:rsidRPr="00BD61AF" w:rsidRDefault="00BD61AF" w:rsidP="00BD61AF">
      <w:pPr>
        <w:shd w:val="clear" w:color="auto" w:fill="FFFFFF"/>
        <w:ind w:left="851" w:right="902"/>
        <w:jc w:val="both"/>
        <w:rPr>
          <w:rFonts w:ascii="Palatino Linotype" w:hAnsi="Palatino Linotype"/>
          <w:i/>
          <w:iCs/>
          <w:sz w:val="22"/>
          <w:szCs w:val="22"/>
          <w:lang w:val="es-ES" w:eastAsia="es-MX"/>
        </w:rPr>
      </w:pPr>
      <w:r w:rsidRPr="00BD61AF">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BD61AF" w:rsidRPr="00BD61AF" w:rsidRDefault="00BD61AF" w:rsidP="00BD61AF">
      <w:pPr>
        <w:shd w:val="clear" w:color="auto" w:fill="FFFFFF"/>
        <w:ind w:left="851" w:right="902"/>
        <w:jc w:val="both"/>
        <w:rPr>
          <w:rFonts w:ascii="Palatino Linotype" w:hAnsi="Palatino Linotype"/>
          <w:b/>
          <w:i/>
          <w:iCs/>
          <w:sz w:val="22"/>
          <w:szCs w:val="22"/>
          <w:lang w:val="es-ES" w:eastAsia="es-MX"/>
        </w:rPr>
      </w:pPr>
      <w:r w:rsidRPr="00BD61AF">
        <w:rPr>
          <w:rFonts w:ascii="Palatino Linotype" w:hAnsi="Palatino Linotype"/>
          <w:b/>
          <w:bCs/>
          <w:i/>
          <w:iCs/>
          <w:sz w:val="22"/>
          <w:szCs w:val="22"/>
          <w:lang w:val="es-ES" w:eastAsia="es-MX"/>
        </w:rPr>
        <w:t>Artículo 170.</w:t>
      </w:r>
      <w:r w:rsidRPr="00BD61AF">
        <w:rPr>
          <w:rFonts w:ascii="Palatino Linotype" w:hAnsi="Palatino Linotype"/>
          <w:i/>
          <w:iCs/>
          <w:sz w:val="22"/>
          <w:szCs w:val="22"/>
          <w:lang w:val="es-ES" w:eastAsia="es-MX"/>
        </w:rPr>
        <w:t xml:space="preserve"> </w:t>
      </w:r>
      <w:r w:rsidRPr="00BD61AF">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D61AF">
        <w:rPr>
          <w:rFonts w:ascii="Palatino Linotype" w:hAnsi="Palatino Linotype"/>
          <w:i/>
          <w:iCs/>
          <w:sz w:val="22"/>
          <w:szCs w:val="22"/>
          <w:lang w:val="es-ES" w:eastAsia="es-MX"/>
        </w:rPr>
        <w:t>.</w:t>
      </w:r>
      <w:r w:rsidRPr="00BD61AF">
        <w:rPr>
          <w:rFonts w:ascii="Palatino Linotype" w:hAnsi="Palatino Linotype"/>
          <w:b/>
          <w:i/>
          <w:iCs/>
          <w:sz w:val="22"/>
          <w:szCs w:val="22"/>
          <w:lang w:val="es-ES" w:eastAsia="es-MX"/>
        </w:rPr>
        <w:t>”</w:t>
      </w:r>
    </w:p>
    <w:p w:rsidR="00BD61AF" w:rsidRPr="00BD61AF" w:rsidRDefault="00BD61AF" w:rsidP="00BD61AF">
      <w:pPr>
        <w:shd w:val="clear" w:color="auto" w:fill="FFFFFF"/>
        <w:ind w:left="851" w:right="902"/>
        <w:jc w:val="both"/>
        <w:rPr>
          <w:rFonts w:ascii="Georgia" w:hAnsi="Georgia"/>
          <w:sz w:val="22"/>
          <w:szCs w:val="22"/>
          <w:lang w:eastAsia="es-MX"/>
        </w:rPr>
      </w:pPr>
      <w:r w:rsidRPr="00BD61AF">
        <w:rPr>
          <w:rFonts w:ascii="Palatino Linotype" w:hAnsi="Palatino Linotype"/>
          <w:sz w:val="22"/>
          <w:szCs w:val="22"/>
          <w:lang w:val="es-ES" w:eastAsia="es-MX"/>
        </w:rPr>
        <w:t>(Énfasis añadido)</w:t>
      </w:r>
    </w:p>
    <w:p w:rsidR="00BD61AF" w:rsidRPr="00BD61AF" w:rsidRDefault="00BD61AF" w:rsidP="00BD61AF">
      <w:pPr>
        <w:shd w:val="clear" w:color="auto" w:fill="FFFFFF"/>
        <w:spacing w:before="100" w:beforeAutospacing="1" w:after="100" w:afterAutospacing="1" w:line="360" w:lineRule="auto"/>
        <w:jc w:val="both"/>
        <w:rPr>
          <w:rFonts w:ascii="Palatino Linotype" w:hAnsi="Palatino Linotype"/>
          <w:lang w:val="es-ES" w:eastAsia="es-MX"/>
        </w:rPr>
      </w:pPr>
      <w:r w:rsidRPr="00BD61AF">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rsidR="00BD61AF" w:rsidRPr="00BD61AF" w:rsidRDefault="00BD61AF" w:rsidP="00BD61AF">
      <w:pPr>
        <w:shd w:val="clear" w:color="auto" w:fill="FFFFFF"/>
        <w:ind w:left="851" w:right="902"/>
        <w:jc w:val="both"/>
        <w:rPr>
          <w:rFonts w:ascii="Palatino Linotype" w:hAnsi="Palatino Linotype"/>
          <w:bCs/>
          <w:i/>
          <w:iCs/>
          <w:sz w:val="22"/>
          <w:szCs w:val="22"/>
          <w:lang w:val="es-ES" w:eastAsia="es-MX"/>
        </w:rPr>
      </w:pPr>
      <w:r w:rsidRPr="00BD61AF">
        <w:rPr>
          <w:rFonts w:ascii="Palatino Linotype" w:hAnsi="Palatino Linotype"/>
          <w:b/>
          <w:bCs/>
          <w:i/>
          <w:iCs/>
          <w:sz w:val="22"/>
          <w:szCs w:val="22"/>
          <w:lang w:val="es-ES" w:eastAsia="es-MX"/>
        </w:rPr>
        <w:lastRenderedPageBreak/>
        <w:t xml:space="preserve">“INEXISTENCIA DE LA INFORMACIÓN. SUPUESTOS PARA EMITIR LA RESOLUCIÓN DE LA. </w:t>
      </w:r>
      <w:r w:rsidRPr="00BD61AF">
        <w:rPr>
          <w:rFonts w:ascii="Palatino Linotype" w:hAnsi="Palatino Linotype"/>
          <w:bCs/>
          <w:i/>
          <w:iCs/>
          <w:sz w:val="22"/>
          <w:szCs w:val="22"/>
          <w:lang w:val="es-ES"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BD61AF" w:rsidRPr="00BD61AF" w:rsidRDefault="00BD61AF" w:rsidP="00BD61AF">
      <w:pPr>
        <w:shd w:val="clear" w:color="auto" w:fill="FFFFFF"/>
        <w:ind w:left="851" w:right="902"/>
        <w:jc w:val="both"/>
        <w:rPr>
          <w:rFonts w:ascii="Palatino Linotype" w:hAnsi="Palatino Linotype"/>
          <w:bCs/>
          <w:i/>
          <w:iCs/>
          <w:sz w:val="22"/>
          <w:szCs w:val="22"/>
          <w:lang w:val="es-ES" w:eastAsia="es-MX"/>
        </w:rPr>
      </w:pPr>
      <w:r w:rsidRPr="00BD61AF">
        <w:rPr>
          <w:rFonts w:ascii="Palatino Linotype" w:hAnsi="Palatino Linotype"/>
          <w:bCs/>
          <w:i/>
          <w:iCs/>
          <w:sz w:val="22"/>
          <w:szCs w:val="22"/>
          <w:lang w:val="es-ES" w:eastAsia="es-MX"/>
        </w:rPr>
        <w:t xml:space="preserve">Precedentes: </w:t>
      </w:r>
    </w:p>
    <w:p w:rsidR="00BD61AF" w:rsidRPr="00BD61AF" w:rsidRDefault="00BD61AF" w:rsidP="00BD61AF">
      <w:pPr>
        <w:shd w:val="clear" w:color="auto" w:fill="FFFFFF"/>
        <w:ind w:left="851" w:right="902"/>
        <w:jc w:val="both"/>
        <w:rPr>
          <w:rFonts w:ascii="Palatino Linotype" w:hAnsi="Palatino Linotype"/>
          <w:bCs/>
          <w:i/>
          <w:iCs/>
          <w:sz w:val="22"/>
          <w:szCs w:val="22"/>
          <w:lang w:val="es-ES" w:eastAsia="es-MX"/>
        </w:rPr>
      </w:pPr>
      <w:r w:rsidRPr="00BD61AF">
        <w:rPr>
          <w:rFonts w:ascii="Palatino Linotype" w:hAnsi="Palatino Linotype"/>
          <w:bCs/>
          <w:i/>
          <w:iCs/>
          <w:sz w:val="22"/>
          <w:szCs w:val="22"/>
          <w:lang w:val="es-ES" w:eastAsia="es-MX"/>
        </w:rPr>
        <w:t>•</w:t>
      </w:r>
      <w:r w:rsidRPr="00BD61AF">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w:t>
      </w:r>
      <w:bookmarkStart w:id="3" w:name="_GoBack"/>
      <w:r w:rsidRPr="00BD61AF">
        <w:rPr>
          <w:rFonts w:ascii="Palatino Linotype" w:hAnsi="Palatino Linotype"/>
          <w:bCs/>
          <w:i/>
          <w:iCs/>
          <w:sz w:val="22"/>
          <w:szCs w:val="22"/>
          <w:lang w:val="es-ES" w:eastAsia="es-MX"/>
        </w:rPr>
        <w:t>Gustavo</w:t>
      </w:r>
      <w:bookmarkEnd w:id="3"/>
      <w:r w:rsidRPr="00BD61AF">
        <w:rPr>
          <w:rFonts w:ascii="Palatino Linotype" w:hAnsi="Palatino Linotype"/>
          <w:bCs/>
          <w:i/>
          <w:iCs/>
          <w:sz w:val="22"/>
          <w:szCs w:val="22"/>
          <w:lang w:val="es-ES" w:eastAsia="es-MX"/>
        </w:rPr>
        <w:t xml:space="preserve"> Parra Noriega. </w:t>
      </w:r>
    </w:p>
    <w:p w:rsidR="00BD61AF" w:rsidRPr="00BD61AF" w:rsidRDefault="00BD61AF" w:rsidP="00BD61AF">
      <w:pPr>
        <w:shd w:val="clear" w:color="auto" w:fill="FFFFFF"/>
        <w:ind w:left="851" w:right="902"/>
        <w:jc w:val="both"/>
        <w:rPr>
          <w:rFonts w:ascii="Palatino Linotype" w:hAnsi="Palatino Linotype"/>
          <w:bCs/>
          <w:i/>
          <w:iCs/>
          <w:sz w:val="22"/>
          <w:szCs w:val="22"/>
          <w:lang w:val="es-ES" w:eastAsia="es-MX"/>
        </w:rPr>
      </w:pPr>
      <w:r w:rsidRPr="00BD61AF">
        <w:rPr>
          <w:rFonts w:ascii="Palatino Linotype" w:hAnsi="Palatino Linotype"/>
          <w:bCs/>
          <w:i/>
          <w:iCs/>
          <w:sz w:val="22"/>
          <w:szCs w:val="22"/>
          <w:lang w:val="es-ES" w:eastAsia="es-MX"/>
        </w:rPr>
        <w:t>•</w:t>
      </w:r>
      <w:r w:rsidRPr="00BD61AF">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rsidR="00BD61AF" w:rsidRPr="00BD61AF" w:rsidRDefault="00BD61AF" w:rsidP="00BD61AF">
      <w:pPr>
        <w:shd w:val="clear" w:color="auto" w:fill="FFFFFF"/>
        <w:ind w:left="851" w:right="902"/>
        <w:jc w:val="both"/>
        <w:rPr>
          <w:rFonts w:ascii="Georgia" w:hAnsi="Georgia"/>
          <w:b/>
          <w:i/>
          <w:sz w:val="22"/>
          <w:szCs w:val="22"/>
          <w:lang w:eastAsia="es-MX"/>
        </w:rPr>
      </w:pPr>
      <w:r w:rsidRPr="00BD61AF">
        <w:rPr>
          <w:rFonts w:ascii="Palatino Linotype" w:hAnsi="Palatino Linotype"/>
          <w:bCs/>
          <w:i/>
          <w:iCs/>
          <w:sz w:val="22"/>
          <w:szCs w:val="22"/>
          <w:lang w:val="es-ES" w:eastAsia="es-MX"/>
        </w:rPr>
        <w:t>•</w:t>
      </w:r>
      <w:r w:rsidRPr="00BD61AF">
        <w:rPr>
          <w:rFonts w:ascii="Palatino Linotype" w:hAnsi="Palatino Linotype"/>
          <w:bCs/>
          <w:i/>
          <w:iCs/>
          <w:sz w:val="22"/>
          <w:szCs w:val="22"/>
          <w:lang w:val="es-ES" w:eastAsia="es-MX"/>
        </w:rPr>
        <w:tab/>
        <w:t xml:space="preserve">En materia de acceso a la información pública. 04749INFOEM/IP/RR/2019 y acumulados. Aprobado por unanimidad de votos, emitiendo voto particular la </w:t>
      </w:r>
      <w:r w:rsidRPr="00BD61AF">
        <w:rPr>
          <w:rFonts w:ascii="Palatino Linotype" w:hAnsi="Palatino Linotype"/>
          <w:bCs/>
          <w:i/>
          <w:iCs/>
          <w:sz w:val="22"/>
          <w:szCs w:val="22"/>
          <w:lang w:val="es-ES" w:eastAsia="es-MX"/>
        </w:rPr>
        <w:lastRenderedPageBreak/>
        <w:t>Comisionada Eva Abaid Yapur. Universidad Politécnica del Valle de Toluca. Comisionado Ponente Javier Martínez Cruz</w:t>
      </w:r>
      <w:r w:rsidRPr="00BD61AF">
        <w:rPr>
          <w:rFonts w:ascii="Palatino Linotype" w:hAnsi="Palatino Linotype"/>
          <w:b/>
          <w:bCs/>
          <w:i/>
          <w:iCs/>
          <w:sz w:val="22"/>
          <w:szCs w:val="22"/>
          <w:lang w:val="es-ES" w:eastAsia="es-MX"/>
        </w:rPr>
        <w:t>.</w:t>
      </w:r>
      <w:r w:rsidRPr="00BD61AF">
        <w:rPr>
          <w:rFonts w:ascii="Palatino Linotype" w:hAnsi="Palatino Linotype"/>
          <w:b/>
          <w:i/>
          <w:iCs/>
          <w:sz w:val="22"/>
          <w:szCs w:val="22"/>
          <w:lang w:val="es-ES" w:eastAsia="es-MX"/>
        </w:rPr>
        <w:t>”</w:t>
      </w:r>
    </w:p>
    <w:p w:rsidR="00BD61AF" w:rsidRPr="00BD61AF" w:rsidRDefault="00BD61AF" w:rsidP="00BD61AF">
      <w:pPr>
        <w:shd w:val="clear" w:color="auto" w:fill="FFFFFF"/>
        <w:ind w:right="902" w:firstLine="851"/>
        <w:jc w:val="both"/>
        <w:rPr>
          <w:rFonts w:ascii="Georgia" w:hAnsi="Georgia"/>
          <w:sz w:val="22"/>
          <w:szCs w:val="22"/>
          <w:lang w:eastAsia="es-MX"/>
        </w:rPr>
      </w:pPr>
      <w:r w:rsidRPr="00BD61AF">
        <w:rPr>
          <w:rFonts w:ascii="Palatino Linotype" w:hAnsi="Palatino Linotype"/>
          <w:sz w:val="22"/>
          <w:szCs w:val="22"/>
          <w:lang w:val="es-ES" w:eastAsia="es-MX"/>
        </w:rPr>
        <w:t>(Énfasis añadido)</w:t>
      </w:r>
    </w:p>
    <w:p w:rsidR="002D4DED" w:rsidRDefault="002D4DED" w:rsidP="00425F7A">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Pese a</w:t>
      </w:r>
      <w:r w:rsidR="00425F7A" w:rsidRPr="002C26DC">
        <w:rPr>
          <w:rFonts w:ascii="Palatino Linotype" w:hAnsi="Palatino Linotype" w:cs="Arial"/>
          <w:lang w:val="es-ES" w:eastAsia="es-MX"/>
        </w:rPr>
        <w:t xml:space="preserve"> lo anterior, </w:t>
      </w:r>
      <w:r>
        <w:rPr>
          <w:rFonts w:ascii="Palatino Linotype" w:hAnsi="Palatino Linotype" w:cs="Arial"/>
          <w:lang w:val="es-ES" w:eastAsia="es-MX"/>
        </w:rPr>
        <w:t>del análisis minucioso realizado por esta Ponencia Resolutora al Acuerdo del Comité remitido en Informe Justificado se advirtió que éste no cumple con todos los requisitos que estipulan los artículos 169 y 170 de la Ley de Transparencia y Acceso a la Información Pública del Estado de México y Municipios</w:t>
      </w:r>
      <w:r w:rsidR="009C0831">
        <w:rPr>
          <w:rFonts w:ascii="Palatino Linotype" w:hAnsi="Palatino Linotype" w:cs="Arial"/>
          <w:lang w:val="es-ES" w:eastAsia="es-MX"/>
        </w:rPr>
        <w:t xml:space="preserve">, puesto que no prevé </w:t>
      </w:r>
      <w:r w:rsidR="009C0831" w:rsidRPr="009C0831">
        <w:rPr>
          <w:rFonts w:ascii="Palatino Linotype" w:hAnsi="Palatino Linotype" w:cs="Arial"/>
          <w:lang w:val="es-ES" w:eastAsia="es-MX"/>
        </w:rPr>
        <w:t>que se genere o se reponga la información, o</w:t>
      </w:r>
      <w:r w:rsidR="009C0831">
        <w:rPr>
          <w:rFonts w:ascii="Palatino Linotype" w:hAnsi="Palatino Linotype" w:cs="Arial"/>
          <w:lang w:val="es-ES" w:eastAsia="es-MX"/>
        </w:rPr>
        <w:t xml:space="preserve"> bien,</w:t>
      </w:r>
      <w:r w:rsidR="009C0831" w:rsidRPr="009C0831">
        <w:rPr>
          <w:rFonts w:ascii="Palatino Linotype" w:hAnsi="Palatino Linotype" w:cs="Arial"/>
          <w:lang w:val="es-ES" w:eastAsia="es-MX"/>
        </w:rPr>
        <w:t xml:space="preserve"> que previa acreditación de la imposibilidad de su generación, </w:t>
      </w:r>
      <w:r w:rsidR="009C0831">
        <w:rPr>
          <w:rFonts w:ascii="Palatino Linotype" w:hAnsi="Palatino Linotype" w:cs="Arial"/>
          <w:lang w:val="es-ES" w:eastAsia="es-MX"/>
        </w:rPr>
        <w:t xml:space="preserve">no </w:t>
      </w:r>
      <w:r w:rsidR="009C0831" w:rsidRPr="009C0831">
        <w:rPr>
          <w:rFonts w:ascii="Palatino Linotype" w:hAnsi="Palatino Linotype" w:cs="Arial"/>
          <w:lang w:val="es-ES" w:eastAsia="es-MX"/>
        </w:rPr>
        <w:t>expon</w:t>
      </w:r>
      <w:r w:rsidR="009C0831">
        <w:rPr>
          <w:rFonts w:ascii="Palatino Linotype" w:hAnsi="Palatino Linotype" w:cs="Arial"/>
          <w:lang w:val="es-ES" w:eastAsia="es-MX"/>
        </w:rPr>
        <w:t>e</w:t>
      </w:r>
      <w:r w:rsidR="009C0831" w:rsidRPr="009C0831">
        <w:rPr>
          <w:rFonts w:ascii="Palatino Linotype" w:hAnsi="Palatino Linotype" w:cs="Arial"/>
          <w:lang w:val="es-ES" w:eastAsia="es-MX"/>
        </w:rPr>
        <w:t xml:space="preserve"> de forma fundada y motivada, las razones por las cuales en el caso particular no </w:t>
      </w:r>
      <w:r w:rsidR="009C0831">
        <w:rPr>
          <w:rFonts w:ascii="Palatino Linotype" w:hAnsi="Palatino Linotype" w:cs="Arial"/>
          <w:lang w:val="es-ES" w:eastAsia="es-MX"/>
        </w:rPr>
        <w:t xml:space="preserve">contempla la notificación </w:t>
      </w:r>
      <w:r w:rsidR="009C0831" w:rsidRPr="009C0831">
        <w:rPr>
          <w:rFonts w:ascii="Palatino Linotype" w:hAnsi="Palatino Linotype" w:cs="Arial"/>
          <w:lang w:val="es-ES" w:eastAsia="es-MX"/>
        </w:rPr>
        <w:t xml:space="preserve">al órgano interno de control o equivalente del </w:t>
      </w:r>
      <w:r w:rsidR="009C0831" w:rsidRPr="009C0831">
        <w:rPr>
          <w:rFonts w:ascii="Palatino Linotype" w:hAnsi="Palatino Linotype" w:cs="Arial"/>
          <w:b/>
          <w:lang w:val="es-ES" w:eastAsia="es-MX"/>
        </w:rPr>
        <w:t>SUJETO OBLIGADO</w:t>
      </w:r>
      <w:r w:rsidR="009C0831" w:rsidRPr="009C0831">
        <w:rPr>
          <w:rFonts w:ascii="Palatino Linotype" w:hAnsi="Palatino Linotype" w:cs="Arial"/>
          <w:lang w:val="es-ES" w:eastAsia="es-MX"/>
        </w:rPr>
        <w:t xml:space="preserve"> </w:t>
      </w:r>
      <w:r w:rsidR="009C0831">
        <w:rPr>
          <w:rFonts w:ascii="Palatino Linotype" w:hAnsi="Palatino Linotype" w:cs="Arial"/>
          <w:lang w:val="es-ES" w:eastAsia="es-MX"/>
        </w:rPr>
        <w:t>para que</w:t>
      </w:r>
      <w:r w:rsidR="009C0831" w:rsidRPr="009C0831">
        <w:rPr>
          <w:rFonts w:ascii="Palatino Linotype" w:hAnsi="Palatino Linotype" w:cs="Arial"/>
          <w:lang w:val="es-ES" w:eastAsia="es-MX"/>
        </w:rPr>
        <w:t xml:space="preserve">, en su caso, </w:t>
      </w:r>
      <w:r w:rsidR="009C0831">
        <w:rPr>
          <w:rFonts w:ascii="Palatino Linotype" w:hAnsi="Palatino Linotype" w:cs="Arial"/>
          <w:lang w:val="es-ES" w:eastAsia="es-MX"/>
        </w:rPr>
        <w:t>inicie</w:t>
      </w:r>
      <w:r w:rsidR="009C0831" w:rsidRPr="009C0831">
        <w:rPr>
          <w:rFonts w:ascii="Palatino Linotype" w:hAnsi="Palatino Linotype" w:cs="Arial"/>
          <w:lang w:val="es-ES" w:eastAsia="es-MX"/>
        </w:rPr>
        <w:t xml:space="preserve"> el procedimiento de responsabilidad</w:t>
      </w:r>
      <w:r w:rsidR="009C0831">
        <w:rPr>
          <w:rFonts w:ascii="Palatino Linotype" w:hAnsi="Palatino Linotype" w:cs="Arial"/>
          <w:lang w:val="es-ES" w:eastAsia="es-MX"/>
        </w:rPr>
        <w:t xml:space="preserve"> administrativa que corresponda; ni tampoco señala</w:t>
      </w:r>
      <w:r w:rsidR="009C0831" w:rsidRPr="009C0831">
        <w:rPr>
          <w:rFonts w:ascii="Palatino Linotype" w:hAnsi="Palatino Linotype" w:cs="Arial"/>
          <w:lang w:val="es-ES" w:eastAsia="es-MX"/>
        </w:rPr>
        <w:t xml:space="preserve"> las circunstancias de tiempo, modo y lugar que generar</w:t>
      </w:r>
      <w:r w:rsidR="009C0831">
        <w:rPr>
          <w:rFonts w:ascii="Palatino Linotype" w:hAnsi="Palatino Linotype" w:cs="Arial"/>
          <w:lang w:val="es-ES" w:eastAsia="es-MX"/>
        </w:rPr>
        <w:t>on la existencia en cuestión y ni</w:t>
      </w:r>
      <w:r w:rsidR="009C0831" w:rsidRPr="009C0831">
        <w:rPr>
          <w:rFonts w:ascii="Palatino Linotype" w:hAnsi="Palatino Linotype" w:cs="Arial"/>
          <w:lang w:val="es-ES" w:eastAsia="es-MX"/>
        </w:rPr>
        <w:t xml:space="preserve"> al servidor público responsable de contar con la </w:t>
      </w:r>
      <w:r w:rsidR="009C0831">
        <w:rPr>
          <w:rFonts w:ascii="Palatino Linotype" w:hAnsi="Palatino Linotype" w:cs="Arial"/>
          <w:lang w:val="es-ES" w:eastAsia="es-MX"/>
        </w:rPr>
        <w:t>información.</w:t>
      </w:r>
    </w:p>
    <w:p w:rsidR="009C0831" w:rsidRDefault="00425F7A" w:rsidP="00BD61A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noProof/>
          <w:lang w:eastAsia="es-MX"/>
        </w:rPr>
      </w:pPr>
      <w:r>
        <w:rPr>
          <w:rFonts w:ascii="Palatino Linotype" w:hAnsi="Palatino Linotype"/>
          <w:noProof/>
          <w:lang w:eastAsia="es-MX"/>
        </w:rPr>
        <w:t xml:space="preserve">Consecuentemente, este Instituto </w:t>
      </w:r>
      <w:r w:rsidR="009C0831">
        <w:rPr>
          <w:rFonts w:ascii="Palatino Linotype" w:hAnsi="Palatino Linotype"/>
          <w:noProof/>
          <w:lang w:eastAsia="es-MX"/>
        </w:rPr>
        <w:t>no se encuentra en apt</w:t>
      </w:r>
      <w:r w:rsidR="00D86264">
        <w:rPr>
          <w:rFonts w:ascii="Palatino Linotype" w:hAnsi="Palatino Linotype"/>
          <w:noProof/>
          <w:lang w:eastAsia="es-MX"/>
        </w:rPr>
        <w:t>i</w:t>
      </w:r>
      <w:r w:rsidR="009C0831">
        <w:rPr>
          <w:rFonts w:ascii="Palatino Linotype" w:hAnsi="Palatino Linotype"/>
          <w:noProof/>
          <w:lang w:eastAsia="es-MX"/>
        </w:rPr>
        <w:t xml:space="preserve">tud de validar el Acuerdo remitido; por ello, se estima que lo procvedente es </w:t>
      </w:r>
      <w:r w:rsidR="009C0831" w:rsidRPr="009C0831">
        <w:rPr>
          <w:rFonts w:ascii="Palatino Linotype" w:hAnsi="Palatino Linotype"/>
          <w:b/>
          <w:noProof/>
          <w:lang w:eastAsia="es-MX"/>
        </w:rPr>
        <w:t>REVOCAR</w:t>
      </w:r>
      <w:r w:rsidR="009C0831">
        <w:rPr>
          <w:rFonts w:ascii="Palatino Linotype" w:hAnsi="Palatino Linotype"/>
          <w:noProof/>
          <w:lang w:eastAsia="es-MX"/>
        </w:rPr>
        <w:t xml:space="preserve"> la respuesta del </w:t>
      </w:r>
      <w:r w:rsidR="009C0831" w:rsidRPr="009C0831">
        <w:rPr>
          <w:rFonts w:ascii="Palatino Linotype" w:hAnsi="Palatino Linotype"/>
          <w:b/>
          <w:noProof/>
          <w:lang w:eastAsia="es-MX"/>
        </w:rPr>
        <w:t>SUJETO OBLIGADO</w:t>
      </w:r>
      <w:r w:rsidR="009C0831">
        <w:rPr>
          <w:rFonts w:ascii="Palatino Linotype" w:hAnsi="Palatino Linotype"/>
          <w:noProof/>
          <w:lang w:eastAsia="es-MX"/>
        </w:rPr>
        <w:t xml:space="preserve"> y </w:t>
      </w:r>
      <w:r w:rsidR="009C0831" w:rsidRPr="009C0831">
        <w:rPr>
          <w:rFonts w:ascii="Palatino Linotype" w:hAnsi="Palatino Linotype"/>
          <w:b/>
          <w:noProof/>
          <w:lang w:eastAsia="es-MX"/>
        </w:rPr>
        <w:t>ordenar</w:t>
      </w:r>
      <w:r w:rsidR="009C0831">
        <w:rPr>
          <w:rFonts w:ascii="Palatino Linotype" w:hAnsi="Palatino Linotype"/>
          <w:noProof/>
          <w:lang w:eastAsia="es-MX"/>
        </w:rPr>
        <w:t xml:space="preserve"> que haga entrega de la Declaratoria de Inexistencia de la información, debidamente fundada y motivada y que el mismo cumpla con lo establecido en los artículos 169 y 170 de la Ley de Transparencia y Acceso a la Información Pública del Estado de México y Municipios.</w:t>
      </w:r>
    </w:p>
    <w:p w:rsidR="002C2E6A" w:rsidRPr="007D0769" w:rsidRDefault="002C2E6A" w:rsidP="002C2E6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7D0769">
        <w:rPr>
          <w:rFonts w:ascii="Palatino Linotype" w:eastAsia="Calibri" w:hAnsi="Palatino Linotype" w:cs="Arial"/>
        </w:rPr>
        <w:lastRenderedPageBreak/>
        <w:t xml:space="preserve">Así, con </w:t>
      </w:r>
      <w:r w:rsidRPr="007D0769">
        <w:rPr>
          <w:rFonts w:ascii="Palatino Linotype" w:hAnsi="Palatino Linotype" w:cs="Arial"/>
        </w:rPr>
        <w:t>fundamento</w:t>
      </w:r>
      <w:r w:rsidRPr="007D0769">
        <w:rPr>
          <w:rFonts w:ascii="Palatino Linotype" w:eastAsia="Calibri" w:hAnsi="Palatino Linotype" w:cs="Arial"/>
        </w:rPr>
        <w:t xml:space="preserve"> en lo prescrito en los artículos 5, </w:t>
      </w:r>
      <w:r w:rsidRPr="007D0769">
        <w:rPr>
          <w:rFonts w:ascii="Palatino Linotype" w:hAnsi="Palatino Linotype"/>
        </w:rPr>
        <w:t>vigésimo segundo, vigésimo tercero y vigésimo cuarto</w:t>
      </w:r>
      <w:r w:rsidRPr="007D0769">
        <w:rPr>
          <w:rFonts w:ascii="Palatino Linotype" w:hAnsi="Palatino Linotype" w:cs="Arial"/>
        </w:rPr>
        <w:t>,</w:t>
      </w:r>
      <w:r w:rsidRPr="007D0769">
        <w:rPr>
          <w:rFonts w:ascii="Palatino Linotype" w:hAnsi="Palatino Linotype"/>
        </w:rPr>
        <w:t xml:space="preserve"> </w:t>
      </w:r>
      <w:r w:rsidRPr="007D0769">
        <w:rPr>
          <w:rFonts w:ascii="Palatino Linotype" w:hAnsi="Palatino Linotype" w:cs="Arial"/>
        </w:rPr>
        <w:t>fracciones</w:t>
      </w:r>
      <w:r w:rsidRPr="007D0769">
        <w:rPr>
          <w:rFonts w:ascii="Palatino Linotype" w:hAnsi="Palatino Linotype"/>
        </w:rPr>
        <w:t xml:space="preserve"> IV y V</w:t>
      </w:r>
      <w:r w:rsidRPr="007D0769">
        <w:rPr>
          <w:rFonts w:ascii="Palatino Linotype" w:eastAsia="Calibri" w:hAnsi="Palatino Linotype" w:cs="Arial"/>
        </w:rPr>
        <w:t xml:space="preserve"> de la Constitución Política del Estado Libre y Soberano de México y los artículos </w:t>
      </w:r>
      <w:r w:rsidRPr="007D0769">
        <w:rPr>
          <w:rFonts w:ascii="Palatino Linotype" w:hAnsi="Palatino Linotype"/>
        </w:rPr>
        <w:t xml:space="preserve">2, </w:t>
      </w:r>
      <w:r w:rsidRPr="007D0769">
        <w:rPr>
          <w:rFonts w:ascii="Palatino Linotype" w:hAnsi="Palatino Linotype" w:cs="Arial"/>
        </w:rPr>
        <w:t>fracción</w:t>
      </w:r>
      <w:r w:rsidRPr="007D0769">
        <w:rPr>
          <w:rFonts w:ascii="Palatino Linotype" w:hAnsi="Palatino Linotype"/>
        </w:rPr>
        <w:t xml:space="preserve"> II, 9, </w:t>
      </w:r>
      <w:r w:rsidRPr="007D0769">
        <w:rPr>
          <w:rFonts w:ascii="Palatino Linotype" w:hAnsi="Palatino Linotype" w:cs="Arial"/>
          <w:lang w:val="es-ES_tradnl"/>
        </w:rPr>
        <w:t>29</w:t>
      </w:r>
      <w:r w:rsidRPr="007D0769">
        <w:rPr>
          <w:rFonts w:ascii="Palatino Linotype" w:hAnsi="Palatino Linotype"/>
        </w:rPr>
        <w:t>, 36, fracciones I y II, 176, 178, 179, 181, 185, fracción I, 186</w:t>
      </w:r>
      <w:r w:rsidR="009C0831">
        <w:rPr>
          <w:rFonts w:ascii="Palatino Linotype" w:hAnsi="Palatino Linotype"/>
        </w:rPr>
        <w:t xml:space="preserve"> y</w:t>
      </w:r>
      <w:r w:rsidRPr="007D0769">
        <w:rPr>
          <w:rFonts w:ascii="Palatino Linotype" w:hAnsi="Palatino Linotype"/>
        </w:rPr>
        <w:t xml:space="preserve"> 188</w:t>
      </w:r>
      <w:r w:rsidR="009C0831">
        <w:rPr>
          <w:rFonts w:ascii="Palatino Linotype" w:hAnsi="Palatino Linotype"/>
        </w:rPr>
        <w:t xml:space="preserve"> </w:t>
      </w:r>
      <w:r w:rsidRPr="007D0769">
        <w:rPr>
          <w:rFonts w:ascii="Palatino Linotype" w:eastAsia="Calibri" w:hAnsi="Palatino Linotype" w:cs="Arial"/>
        </w:rPr>
        <w:t xml:space="preserve">de la Ley de Transparencia y Acceso a la Información Pública del Estado de México y </w:t>
      </w:r>
      <w:r w:rsidRPr="007D0769">
        <w:rPr>
          <w:rFonts w:ascii="Palatino Linotype" w:hAnsi="Palatino Linotype" w:cs="Arial"/>
        </w:rPr>
        <w:t>Municipios</w:t>
      </w:r>
      <w:r w:rsidRPr="007D0769">
        <w:rPr>
          <w:rFonts w:ascii="Palatino Linotype" w:eastAsia="Calibri" w:hAnsi="Palatino Linotype" w:cs="Arial"/>
        </w:rPr>
        <w:t xml:space="preserve">, </w:t>
      </w:r>
      <w:r w:rsidRPr="007D0769">
        <w:rPr>
          <w:rFonts w:ascii="Palatino Linotype" w:hAnsi="Palatino Linotype"/>
        </w:rPr>
        <w:t>este</w:t>
      </w:r>
      <w:r w:rsidRPr="007D0769">
        <w:rPr>
          <w:rFonts w:ascii="Palatino Linotype" w:eastAsia="Calibri" w:hAnsi="Palatino Linotype" w:cs="Arial"/>
        </w:rPr>
        <w:t xml:space="preserve"> Pleno:</w:t>
      </w:r>
    </w:p>
    <w:p w:rsidR="002C2E6A" w:rsidRPr="007D0769" w:rsidRDefault="002C2E6A" w:rsidP="002C2E6A">
      <w:pPr>
        <w:spacing w:before="240" w:after="100" w:afterAutospacing="1" w:line="360" w:lineRule="auto"/>
        <w:jc w:val="center"/>
        <w:rPr>
          <w:rFonts w:ascii="Palatino Linotype" w:hAnsi="Palatino Linotype"/>
          <w:b/>
          <w:bCs/>
          <w:spacing w:val="60"/>
          <w:sz w:val="28"/>
        </w:rPr>
      </w:pPr>
      <w:r w:rsidRPr="007D0769">
        <w:rPr>
          <w:rFonts w:ascii="Palatino Linotype" w:hAnsi="Palatino Linotype"/>
          <w:b/>
          <w:bCs/>
          <w:spacing w:val="60"/>
          <w:sz w:val="28"/>
        </w:rPr>
        <w:t>RESUELVE</w:t>
      </w: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C0831">
        <w:rPr>
          <w:rFonts w:ascii="Palatino Linotype" w:hAnsi="Palatino Linotype" w:cs="Arial"/>
        </w:rPr>
        <w:t xml:space="preserve">Resultan </w:t>
      </w:r>
      <w:r w:rsidRPr="009C0831">
        <w:rPr>
          <w:rFonts w:ascii="Palatino Linotype" w:hAnsi="Palatino Linotype" w:cs="Arial"/>
          <w:b/>
        </w:rPr>
        <w:t>parcialmente fundadas</w:t>
      </w:r>
      <w:r w:rsidRPr="009C0831">
        <w:rPr>
          <w:rFonts w:ascii="Palatino Linotype" w:hAnsi="Palatino Linotype" w:cs="Arial"/>
        </w:rPr>
        <w:t xml:space="preserve"> las </w:t>
      </w:r>
      <w:r w:rsidRPr="009C0831">
        <w:rPr>
          <w:rFonts w:ascii="Palatino Linotype" w:hAnsi="Palatino Linotype"/>
          <w:shd w:val="clear" w:color="auto" w:fill="FFFFFF"/>
        </w:rPr>
        <w:t>razones</w:t>
      </w:r>
      <w:r w:rsidRPr="009C0831">
        <w:rPr>
          <w:rFonts w:ascii="Palatino Linotype" w:hAnsi="Palatino Linotype" w:cs="Arial"/>
        </w:rPr>
        <w:t xml:space="preserve"> o motivos de inconformidad hechas valer por </w:t>
      </w:r>
      <w:r>
        <w:rPr>
          <w:rFonts w:ascii="Palatino Linotype" w:hAnsi="Palatino Linotype"/>
          <w:b/>
        </w:rPr>
        <w:t>EL</w:t>
      </w:r>
      <w:r w:rsidRPr="009C0831">
        <w:rPr>
          <w:rFonts w:ascii="Palatino Linotype" w:hAnsi="Palatino Linotype"/>
          <w:b/>
        </w:rPr>
        <w:t xml:space="preserve"> RECURRENTE</w:t>
      </w:r>
      <w:r w:rsidRPr="009C0831">
        <w:rPr>
          <w:rFonts w:ascii="Palatino Linotype" w:hAnsi="Palatino Linotype" w:cs="Arial"/>
          <w:b/>
        </w:rPr>
        <w:t>,</w:t>
      </w:r>
      <w:r w:rsidRPr="009C0831">
        <w:rPr>
          <w:rFonts w:ascii="Palatino Linotype" w:hAnsi="Palatino Linotype" w:cs="Arial"/>
        </w:rPr>
        <w:t xml:space="preserve"> en términos del Considerando </w:t>
      </w:r>
      <w:r w:rsidRPr="009C0831">
        <w:rPr>
          <w:rFonts w:ascii="Palatino Linotype" w:hAnsi="Palatino Linotype" w:cs="Arial"/>
          <w:b/>
        </w:rPr>
        <w:t>QUINTO</w:t>
      </w:r>
      <w:r w:rsidRPr="009C0831">
        <w:rPr>
          <w:rFonts w:ascii="Palatino Linotype" w:hAnsi="Palatino Linotype" w:cs="Arial"/>
        </w:rPr>
        <w:t xml:space="preserve"> de la presente resolución.</w:t>
      </w: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C0831">
        <w:rPr>
          <w:rFonts w:ascii="Palatino Linotype" w:hAnsi="Palatino Linotype" w:cs="Arial"/>
        </w:rPr>
        <w:t xml:space="preserve">Se </w:t>
      </w:r>
      <w:r w:rsidRPr="009C0831">
        <w:rPr>
          <w:rFonts w:ascii="Palatino Linotype" w:hAnsi="Palatino Linotype" w:cs="Arial"/>
          <w:b/>
        </w:rPr>
        <w:t xml:space="preserve">REVOCA </w:t>
      </w:r>
      <w:r w:rsidRPr="009C0831">
        <w:rPr>
          <w:rFonts w:ascii="Palatino Linotype" w:hAnsi="Palatino Linotype" w:cs="Arial"/>
        </w:rPr>
        <w:t xml:space="preserve">la respuesta del </w:t>
      </w:r>
      <w:r w:rsidRPr="009C0831">
        <w:rPr>
          <w:rFonts w:ascii="Palatino Linotype" w:hAnsi="Palatino Linotype" w:cs="Arial"/>
          <w:b/>
        </w:rPr>
        <w:t>SUJETO OBLIGADO</w:t>
      </w:r>
      <w:r w:rsidRPr="009C0831">
        <w:rPr>
          <w:rFonts w:ascii="Palatino Linotype" w:hAnsi="Palatino Linotype" w:cs="Arial"/>
        </w:rPr>
        <w:t xml:space="preserve"> y se </w:t>
      </w:r>
      <w:r w:rsidRPr="009C0831">
        <w:rPr>
          <w:rFonts w:ascii="Palatino Linotype" w:hAnsi="Palatino Linotype" w:cs="Arial"/>
          <w:b/>
        </w:rPr>
        <w:t>ordena</w:t>
      </w:r>
      <w:r w:rsidRPr="009C0831">
        <w:rPr>
          <w:rFonts w:ascii="Palatino Linotype" w:hAnsi="Palatino Linotype" w:cs="Arial"/>
        </w:rPr>
        <w:t xml:space="preserve"> atienda la solicitud de información pública </w:t>
      </w:r>
      <w:r w:rsidRPr="009C0831">
        <w:rPr>
          <w:rFonts w:ascii="Palatino Linotype" w:hAnsi="Palatino Linotype" w:cs="Arial"/>
          <w:b/>
          <w:bCs/>
        </w:rPr>
        <w:t xml:space="preserve">00012/OASCUATIZC/IP/2020, </w:t>
      </w:r>
      <w:r w:rsidRPr="009C0831">
        <w:rPr>
          <w:rFonts w:ascii="Palatino Linotype" w:hAnsi="Palatino Linotype" w:cs="Arial"/>
          <w:bCs/>
        </w:rPr>
        <w:t>y, haga entrega</w:t>
      </w:r>
      <w:r w:rsidRPr="009C0831">
        <w:rPr>
          <w:rFonts w:ascii="Palatino Linotype" w:hAnsi="Palatino Linotype" w:cs="Arial"/>
          <w:b/>
          <w:bCs/>
        </w:rPr>
        <w:t xml:space="preserve"> </w:t>
      </w:r>
      <w:r w:rsidRPr="009C0831">
        <w:rPr>
          <w:rFonts w:ascii="Palatino Linotype" w:hAnsi="Palatino Linotype" w:cs="Arial"/>
        </w:rPr>
        <w:t>a</w:t>
      </w:r>
      <w:r>
        <w:rPr>
          <w:rFonts w:ascii="Palatino Linotype" w:hAnsi="Palatino Linotype" w:cs="Arial"/>
        </w:rPr>
        <w:t>l</w:t>
      </w:r>
      <w:r w:rsidRPr="009C0831">
        <w:rPr>
          <w:rFonts w:ascii="Palatino Linotype" w:hAnsi="Palatino Linotype" w:cs="Arial"/>
        </w:rPr>
        <w:t xml:space="preserve"> </w:t>
      </w:r>
      <w:r w:rsidRPr="009C0831">
        <w:rPr>
          <w:rFonts w:ascii="Palatino Linotype" w:hAnsi="Palatino Linotype" w:cs="Arial"/>
          <w:b/>
        </w:rPr>
        <w:t>RECURRENTE</w:t>
      </w:r>
      <w:r w:rsidRPr="009C0831">
        <w:rPr>
          <w:rFonts w:ascii="Palatino Linotype" w:hAnsi="Palatino Linotype" w:cs="Arial"/>
        </w:rPr>
        <w:t xml:space="preserve">, vía </w:t>
      </w:r>
      <w:r w:rsidRPr="009C0831">
        <w:rPr>
          <w:rFonts w:ascii="Palatino Linotype" w:hAnsi="Palatino Linotype" w:cs="Arial"/>
          <w:b/>
        </w:rPr>
        <w:t>SAIMEX</w:t>
      </w:r>
      <w:r w:rsidRPr="009C0831">
        <w:rPr>
          <w:rFonts w:ascii="Palatino Linotype" w:hAnsi="Palatino Linotype" w:cs="Arial"/>
        </w:rPr>
        <w:t xml:space="preserve">, en </w:t>
      </w:r>
      <w:r w:rsidRPr="009C0831">
        <w:rPr>
          <w:rFonts w:ascii="Palatino Linotype" w:hAnsi="Palatino Linotype"/>
          <w:szCs w:val="17"/>
          <w:lang w:eastAsia="es-ES_tradnl"/>
        </w:rPr>
        <w:t>términos</w:t>
      </w:r>
      <w:r w:rsidRPr="009C0831">
        <w:rPr>
          <w:rFonts w:ascii="Palatino Linotype" w:hAnsi="Palatino Linotype" w:cs="Arial"/>
        </w:rPr>
        <w:t xml:space="preserve"> del Considerando </w:t>
      </w:r>
      <w:r w:rsidRPr="009C0831">
        <w:rPr>
          <w:rFonts w:ascii="Palatino Linotype" w:hAnsi="Palatino Linotype" w:cs="Arial"/>
          <w:b/>
        </w:rPr>
        <w:t>QUINTO</w:t>
      </w:r>
      <w:r w:rsidRPr="009C0831">
        <w:rPr>
          <w:rFonts w:ascii="Palatino Linotype" w:hAnsi="Palatino Linotype" w:cs="Arial"/>
        </w:rPr>
        <w:t xml:space="preserve"> </w:t>
      </w:r>
      <w:r w:rsidRPr="009C0831">
        <w:rPr>
          <w:rFonts w:ascii="Palatino Linotype" w:hAnsi="Palatino Linotype"/>
        </w:rPr>
        <w:t>de</w:t>
      </w:r>
      <w:r>
        <w:rPr>
          <w:rFonts w:ascii="Palatino Linotype" w:hAnsi="Palatino Linotype"/>
        </w:rPr>
        <w:t xml:space="preserve"> la presente resolución, de </w:t>
      </w:r>
      <w:r w:rsidRPr="009C0831">
        <w:rPr>
          <w:rFonts w:ascii="Palatino Linotype" w:hAnsi="Palatino Linotype"/>
        </w:rPr>
        <w:t xml:space="preserve">lo siguiente: </w:t>
      </w:r>
    </w:p>
    <w:p w:rsidR="009C0831" w:rsidRPr="009C0831" w:rsidRDefault="009C0831" w:rsidP="009C0831">
      <w:pPr>
        <w:ind w:left="851" w:right="902" w:hanging="142"/>
        <w:jc w:val="both"/>
        <w:rPr>
          <w:rFonts w:ascii="Palatino Linotype" w:hAnsi="Palatino Linotype"/>
          <w:i/>
          <w:iCs/>
          <w:color w:val="000000" w:themeColor="text1"/>
          <w:sz w:val="22"/>
          <w:szCs w:val="22"/>
          <w:lang w:eastAsia="es-MX"/>
        </w:rPr>
      </w:pPr>
      <w:r w:rsidRPr="009C0831">
        <w:rPr>
          <w:rFonts w:ascii="Palatino Linotype" w:hAnsi="Palatino Linotype"/>
          <w:i/>
          <w:iCs/>
          <w:color w:val="000000" w:themeColor="text1"/>
          <w:sz w:val="22"/>
          <w:szCs w:val="22"/>
          <w:lang w:eastAsia="es-MX"/>
        </w:rPr>
        <w:t>“El Acuerdo de Inexistencia</w:t>
      </w:r>
      <w:r>
        <w:rPr>
          <w:rFonts w:ascii="Palatino Linotype" w:hAnsi="Palatino Linotype"/>
          <w:i/>
          <w:iCs/>
          <w:color w:val="000000" w:themeColor="text1"/>
          <w:sz w:val="22"/>
          <w:szCs w:val="22"/>
          <w:lang w:eastAsia="es-MX"/>
        </w:rPr>
        <w:t xml:space="preserve"> de la información solicitada</w:t>
      </w:r>
      <w:r w:rsidRPr="009C0831">
        <w:rPr>
          <w:rFonts w:ascii="Palatino Linotype" w:hAnsi="Palatino Linotype"/>
          <w:i/>
          <w:iCs/>
          <w:color w:val="000000" w:themeColor="text1"/>
          <w:sz w:val="22"/>
          <w:szCs w:val="22"/>
          <w:lang w:eastAsia="es-MX"/>
        </w:rPr>
        <w:t>, en términos de los artículos 49, fracciones II y XIII, 169 y 170 de la Ley de Transparencia y Acceso a la Información Pública del Estado de México y Municipios.”</w:t>
      </w:r>
    </w:p>
    <w:p w:rsidR="009C0831" w:rsidRPr="009C0831" w:rsidRDefault="009C0831" w:rsidP="009C0831">
      <w:pPr>
        <w:ind w:right="902"/>
        <w:jc w:val="both"/>
        <w:rPr>
          <w:rFonts w:ascii="Palatino Linotype" w:hAnsi="Palatino Linotype"/>
          <w:i/>
          <w:iCs/>
          <w:color w:val="000000" w:themeColor="text1"/>
          <w:sz w:val="22"/>
          <w:szCs w:val="22"/>
          <w:lang w:eastAsia="es-MX"/>
        </w:rPr>
      </w:pP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C0831">
        <w:rPr>
          <w:rFonts w:ascii="Palatino Linotype" w:hAnsi="Palatino Linotype"/>
          <w:b/>
          <w:szCs w:val="17"/>
          <w:lang w:eastAsia="es-ES_tradnl"/>
        </w:rPr>
        <w:t>Notifíquese</w:t>
      </w:r>
      <w:r w:rsidRPr="009C0831">
        <w:rPr>
          <w:rFonts w:ascii="Palatino Linotype" w:hAnsi="Palatino Linotype"/>
          <w:szCs w:val="17"/>
          <w:lang w:eastAsia="es-ES_tradnl"/>
        </w:rPr>
        <w:t xml:space="preserve"> </w:t>
      </w:r>
      <w:r w:rsidRPr="009C0831">
        <w:rPr>
          <w:rFonts w:ascii="Palatino Linotype" w:hAnsi="Palatino Linotype"/>
          <w:shd w:val="clear" w:color="auto" w:fill="FFFFFF"/>
        </w:rPr>
        <w:t xml:space="preserve">al </w:t>
      </w:r>
      <w:r w:rsidRPr="009C0831">
        <w:rPr>
          <w:rFonts w:ascii="Palatino Linotype" w:hAnsi="Palatino Linotype" w:cs="Arial"/>
        </w:rPr>
        <w:t>Titular</w:t>
      </w:r>
      <w:r w:rsidRPr="009C0831">
        <w:rPr>
          <w:rFonts w:ascii="Palatino Linotype" w:hAnsi="Palatino Linotype"/>
          <w:shd w:val="clear" w:color="auto" w:fill="FFFFFF"/>
        </w:rPr>
        <w:t xml:space="preserve"> de la Unidad de Transparencia del</w:t>
      </w:r>
      <w:r w:rsidRPr="009C0831">
        <w:rPr>
          <w:rFonts w:ascii="Palatino Linotype" w:hAnsi="Palatino Linotype"/>
          <w:b/>
          <w:shd w:val="clear" w:color="auto" w:fill="FFFFFF"/>
        </w:rPr>
        <w:t xml:space="preserve"> SUJETO OBLIGADO</w:t>
      </w:r>
      <w:r w:rsidRPr="009C0831">
        <w:rPr>
          <w:rFonts w:ascii="Palatino Linotype" w:hAnsi="Palatino Linotype"/>
          <w:shd w:val="clear" w:color="auto" w:fill="FFFFFF"/>
        </w:rPr>
        <w:t xml:space="preserve"> para que, </w:t>
      </w:r>
      <w:r w:rsidRPr="009C0831">
        <w:rPr>
          <w:rFonts w:ascii="Palatino Linotype" w:hAnsi="Palatino Linotype" w:cs="Arial"/>
        </w:rPr>
        <w:t>conforme</w:t>
      </w:r>
      <w:r w:rsidRPr="009C0831">
        <w:rPr>
          <w:rFonts w:ascii="Palatino Linotype" w:hAnsi="Palatino Linotype"/>
          <w:shd w:val="clear" w:color="auto" w:fill="FFFFFF"/>
        </w:rPr>
        <w:t xml:space="preserve"> a los artículos 186, último párrafo y 189, párrafo </w:t>
      </w:r>
      <w:r w:rsidRPr="009C0831">
        <w:rPr>
          <w:rFonts w:ascii="Palatino Linotype" w:hAnsi="Palatino Linotype"/>
          <w:shd w:val="clear" w:color="auto" w:fill="FFFFFF"/>
        </w:rPr>
        <w:lastRenderedPageBreak/>
        <w:t xml:space="preserve">segundo de la Ley de </w:t>
      </w:r>
      <w:r w:rsidRPr="009C0831">
        <w:rPr>
          <w:rFonts w:ascii="Palatino Linotype" w:hAnsi="Palatino Linotype"/>
          <w:szCs w:val="17"/>
          <w:lang w:eastAsia="es-ES_tradnl"/>
        </w:rPr>
        <w:t>Transparencia</w:t>
      </w:r>
      <w:r w:rsidRPr="009C0831">
        <w:rPr>
          <w:rFonts w:ascii="Palatino Linotype" w:hAnsi="Palatino Linotype"/>
          <w:shd w:val="clear" w:color="auto" w:fill="FFFFFF"/>
        </w:rPr>
        <w:t xml:space="preserve"> y </w:t>
      </w:r>
      <w:r w:rsidRPr="009C0831">
        <w:rPr>
          <w:rFonts w:ascii="Palatino Linotype" w:hAnsi="Palatino Linotype" w:cs="Arial"/>
        </w:rPr>
        <w:t>Acceso</w:t>
      </w:r>
      <w:r w:rsidRPr="009C0831">
        <w:rPr>
          <w:rFonts w:ascii="Palatino Linotype" w:hAnsi="Palatino Linotype"/>
          <w:shd w:val="clear" w:color="auto" w:fill="FFFFFF"/>
        </w:rPr>
        <w:t xml:space="preserve"> a la Información Pública del Estado de México y Municipios, dé </w:t>
      </w:r>
      <w:r w:rsidRPr="009C0831">
        <w:rPr>
          <w:rFonts w:ascii="Palatino Linotype" w:hAnsi="Palatino Linotype" w:cs="Arial"/>
        </w:rPr>
        <w:t>cumplimiento</w:t>
      </w:r>
      <w:r w:rsidRPr="009C0831">
        <w:rPr>
          <w:rFonts w:ascii="Palatino Linotype" w:hAnsi="Palatino Linotype"/>
          <w:shd w:val="clear" w:color="auto" w:fill="FFFFFF"/>
        </w:rPr>
        <w:t xml:space="preserve"> a lo ordenado dentro del plazo de diez días hábiles, debiendo informar a este Instituto en un plazo </w:t>
      </w:r>
      <w:r w:rsidRPr="009C0831">
        <w:rPr>
          <w:rFonts w:ascii="Palatino Linotype" w:eastAsiaTheme="minorEastAsia" w:hAnsi="Palatino Linotype"/>
          <w:szCs w:val="17"/>
          <w:lang w:eastAsia="es-ES_tradnl"/>
        </w:rPr>
        <w:t>de</w:t>
      </w:r>
      <w:r w:rsidRPr="009C0831">
        <w:rPr>
          <w:rFonts w:ascii="Palatino Linotype" w:hAnsi="Palatino Linotype"/>
          <w:shd w:val="clear" w:color="auto" w:fill="FFFFFF"/>
        </w:rPr>
        <w:t xml:space="preserve"> tres días hábiles siguientes sobre el cumplimiento dado a la resolución.</w:t>
      </w: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C083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9C0831">
        <w:rPr>
          <w:rFonts w:ascii="Palatino Linotype" w:hAnsi="Palatino Linotype"/>
          <w:b/>
          <w:szCs w:val="17"/>
          <w:lang w:eastAsia="es-ES_tradnl"/>
        </w:rPr>
        <w:t>SUJETO OBLIGADO</w:t>
      </w:r>
      <w:r w:rsidRPr="009C083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C0831">
        <w:rPr>
          <w:rFonts w:ascii="Palatino Linotype" w:hAnsi="Palatino Linotype"/>
          <w:b/>
          <w:szCs w:val="17"/>
          <w:lang w:eastAsia="es-ES_tradnl"/>
        </w:rPr>
        <w:t>Notifíquese</w:t>
      </w:r>
      <w:r w:rsidRPr="009C0831">
        <w:rPr>
          <w:rFonts w:ascii="Palatino Linotype" w:hAnsi="Palatino Linotype"/>
          <w:szCs w:val="17"/>
          <w:lang w:eastAsia="es-ES_tradnl"/>
        </w:rPr>
        <w:t xml:space="preserve"> a</w:t>
      </w:r>
      <w:r>
        <w:rPr>
          <w:rFonts w:ascii="Palatino Linotype" w:hAnsi="Palatino Linotype"/>
          <w:szCs w:val="17"/>
          <w:lang w:eastAsia="es-ES_tradnl"/>
        </w:rPr>
        <w:t>l</w:t>
      </w:r>
      <w:r w:rsidRPr="009C0831">
        <w:rPr>
          <w:rFonts w:ascii="Palatino Linotype" w:hAnsi="Palatino Linotype" w:cs="Arial"/>
          <w:b/>
        </w:rPr>
        <w:t xml:space="preserve"> RECURRENTE</w:t>
      </w:r>
      <w:r w:rsidRPr="009C0831">
        <w:rPr>
          <w:rFonts w:ascii="Palatino Linotype" w:hAnsi="Palatino Linotype"/>
          <w:szCs w:val="17"/>
          <w:lang w:eastAsia="es-ES_tradnl"/>
        </w:rPr>
        <w:t xml:space="preserve"> la </w:t>
      </w:r>
      <w:r w:rsidRPr="009C0831">
        <w:rPr>
          <w:rFonts w:ascii="Palatino Linotype" w:hAnsi="Palatino Linotype" w:cs="Arial"/>
        </w:rPr>
        <w:t>presente</w:t>
      </w:r>
      <w:r w:rsidRPr="009C0831">
        <w:rPr>
          <w:rFonts w:ascii="Palatino Linotype" w:hAnsi="Palatino Linotype"/>
          <w:szCs w:val="17"/>
          <w:lang w:eastAsia="es-ES_tradnl"/>
        </w:rPr>
        <w:t xml:space="preserve"> </w:t>
      </w:r>
      <w:r w:rsidRPr="009C0831">
        <w:rPr>
          <w:rFonts w:ascii="Palatino Linotype" w:hAnsi="Palatino Linotype"/>
          <w:shd w:val="clear" w:color="auto" w:fill="FFFFFF"/>
        </w:rPr>
        <w:t>resolución</w:t>
      </w:r>
      <w:r w:rsidRPr="009C0831">
        <w:rPr>
          <w:rFonts w:ascii="Palatino Linotype" w:hAnsi="Palatino Linotype"/>
          <w:szCs w:val="17"/>
          <w:lang w:eastAsia="es-ES_tradnl"/>
        </w:rPr>
        <w:t>.</w:t>
      </w:r>
    </w:p>
    <w:p w:rsidR="009C0831" w:rsidRPr="009C0831" w:rsidRDefault="009C0831" w:rsidP="009C0831">
      <w:pPr>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C0831">
        <w:rPr>
          <w:rFonts w:ascii="Palatino Linotype" w:hAnsi="Palatino Linotype"/>
          <w:b/>
          <w:szCs w:val="17"/>
          <w:lang w:eastAsia="es-ES_tradnl"/>
        </w:rPr>
        <w:t>Hágase</w:t>
      </w:r>
      <w:r w:rsidRPr="009C0831">
        <w:rPr>
          <w:rFonts w:ascii="Palatino Linotype" w:hAnsi="Palatino Linotype"/>
          <w:szCs w:val="17"/>
          <w:lang w:eastAsia="es-ES_tradnl"/>
        </w:rPr>
        <w:t xml:space="preserve"> </w:t>
      </w:r>
      <w:r w:rsidRPr="009C0831">
        <w:rPr>
          <w:rFonts w:ascii="Palatino Linotype" w:hAnsi="Palatino Linotype"/>
          <w:b/>
          <w:szCs w:val="17"/>
          <w:lang w:eastAsia="es-ES_tradnl"/>
        </w:rPr>
        <w:t>del conocimiento</w:t>
      </w:r>
      <w:r w:rsidRPr="009C0831">
        <w:rPr>
          <w:rFonts w:ascii="Palatino Linotype" w:hAnsi="Palatino Linotype"/>
          <w:szCs w:val="17"/>
          <w:lang w:eastAsia="es-ES_tradnl"/>
        </w:rPr>
        <w:t xml:space="preserve"> </w:t>
      </w:r>
      <w:r w:rsidRPr="009C0831">
        <w:rPr>
          <w:rFonts w:ascii="Palatino Linotype" w:hAnsi="Palatino Linotype"/>
        </w:rPr>
        <w:t>d</w:t>
      </w:r>
      <w:r>
        <w:rPr>
          <w:rFonts w:ascii="Palatino Linotype" w:hAnsi="Palatino Linotype"/>
        </w:rPr>
        <w:t xml:space="preserve">el </w:t>
      </w:r>
      <w:r w:rsidRPr="009C0831">
        <w:rPr>
          <w:rFonts w:ascii="Palatino Linotype" w:hAnsi="Palatino Linotype"/>
          <w:b/>
        </w:rPr>
        <w:t>RECURRENTE</w:t>
      </w:r>
      <w:r w:rsidRPr="009C0831">
        <w:rPr>
          <w:rFonts w:ascii="Palatino Linotype" w:hAnsi="Palatino Linotype"/>
        </w:rPr>
        <w:t xml:space="preserve"> </w:t>
      </w:r>
      <w:r w:rsidRPr="009C0831">
        <w:rPr>
          <w:rFonts w:ascii="Palatino Linotype" w:hAnsi="Palatino Linotype"/>
          <w:szCs w:val="17"/>
          <w:lang w:eastAsia="es-ES_tradnl"/>
        </w:rPr>
        <w:t xml:space="preserve">que, de conformidad </w:t>
      </w:r>
      <w:r w:rsidRPr="009C0831">
        <w:rPr>
          <w:rFonts w:ascii="Palatino Linotype" w:hAnsi="Palatino Linotype" w:cs="Arial"/>
        </w:rPr>
        <w:t>con</w:t>
      </w:r>
      <w:r w:rsidRPr="009C0831">
        <w:rPr>
          <w:rFonts w:ascii="Palatino Linotype" w:hAnsi="Palatino Linotype"/>
          <w:szCs w:val="17"/>
          <w:lang w:eastAsia="es-ES_tradnl"/>
        </w:rPr>
        <w:t xml:space="preserve"> lo </w:t>
      </w:r>
      <w:r w:rsidRPr="009C0831">
        <w:rPr>
          <w:rFonts w:ascii="Palatino Linotype" w:hAnsi="Palatino Linotype" w:cs="Arial"/>
        </w:rPr>
        <w:t>establecido</w:t>
      </w:r>
      <w:r w:rsidRPr="009C0831">
        <w:rPr>
          <w:rFonts w:ascii="Palatino Linotype" w:hAnsi="Palatino Linotype"/>
          <w:szCs w:val="17"/>
          <w:lang w:eastAsia="es-ES_tradnl"/>
        </w:rPr>
        <w:t xml:space="preserve"> en el artículo 196 de la Ley de </w:t>
      </w:r>
      <w:r w:rsidRPr="009C0831">
        <w:rPr>
          <w:rFonts w:ascii="Palatino Linotype" w:hAnsi="Palatino Linotype" w:cs="Arial"/>
        </w:rPr>
        <w:t>Transparencia</w:t>
      </w:r>
      <w:r w:rsidRPr="009C0831">
        <w:rPr>
          <w:rFonts w:ascii="Palatino Linotype" w:hAnsi="Palatino Linotype"/>
          <w:szCs w:val="17"/>
          <w:lang w:eastAsia="es-ES_tradnl"/>
        </w:rPr>
        <w:t xml:space="preserve"> y </w:t>
      </w:r>
      <w:r w:rsidRPr="009C0831">
        <w:rPr>
          <w:rFonts w:ascii="Palatino Linotype" w:hAnsi="Palatino Linotype" w:cs="Arial"/>
        </w:rPr>
        <w:t>Acceso</w:t>
      </w:r>
      <w:r w:rsidRPr="009C0831">
        <w:rPr>
          <w:rFonts w:ascii="Palatino Linotype" w:hAnsi="Palatino Linotype"/>
          <w:szCs w:val="17"/>
          <w:lang w:eastAsia="es-ES_tradnl"/>
        </w:rPr>
        <w:t xml:space="preserve"> a la Información </w:t>
      </w:r>
      <w:r w:rsidRPr="009C0831">
        <w:rPr>
          <w:rFonts w:ascii="Palatino Linotype" w:hAnsi="Palatino Linotype"/>
          <w:lang w:eastAsia="es-ES_tradnl"/>
        </w:rPr>
        <w:t>Pública</w:t>
      </w:r>
      <w:r w:rsidRPr="009C0831">
        <w:rPr>
          <w:rFonts w:ascii="Palatino Linotype" w:hAnsi="Palatino Linotype"/>
          <w:szCs w:val="17"/>
          <w:lang w:eastAsia="es-ES_tradnl"/>
        </w:rPr>
        <w:t xml:space="preserve"> del Estado de México y Municipios, podrá impugnarla vía Juicio de Amparo en los términos de las leyes aplicables.</w:t>
      </w:r>
    </w:p>
    <w:p w:rsidR="006E5F18" w:rsidRDefault="006E5F18" w:rsidP="006E5F1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POR </w:t>
      </w:r>
      <w:r w:rsidRPr="00BC3391">
        <w:rPr>
          <w:rFonts w:ascii="Palatino Linotype" w:hAnsi="Palatino Linotype" w:cs="Arial"/>
        </w:rPr>
        <w:t>UNANIMIDAD</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POR LOS COMISIONADOS ZULEMA MARTÍNEZ SÁNCHEZ; EVA ABAID YAPUR; JOSÉ GUADALUPE LUNA HERNÁNDEZ; JAVIER </w:t>
      </w:r>
      <w:r w:rsidRPr="00F26BCD">
        <w:rPr>
          <w:rFonts w:ascii="Palatino Linotype" w:hAnsi="Palatino Linotype" w:cs="Arial"/>
        </w:rPr>
        <w:lastRenderedPageBreak/>
        <w:t>MARTÍNEZ CRUZ Y LUIS GUSTAVO PA</w:t>
      </w:r>
      <w:r w:rsidRPr="001C13BA">
        <w:rPr>
          <w:rFonts w:ascii="Palatino Linotype" w:hAnsi="Palatino Linotype" w:cs="Arial"/>
        </w:rPr>
        <w:t>RRA NORIEGA; EN</w:t>
      </w:r>
      <w:r w:rsidRPr="001C13BA">
        <w:rPr>
          <w:rFonts w:ascii="Palatino Linotype" w:hAnsi="Palatino Linotype" w:cs="Arial"/>
          <w:shd w:val="clear" w:color="auto" w:fill="FFFFFF" w:themeFill="background1"/>
        </w:rPr>
        <w:t xml:space="preserve"> LA </w:t>
      </w:r>
      <w:r w:rsidRPr="001C13BA">
        <w:rPr>
          <w:rFonts w:ascii="Palatino Linotype" w:hAnsi="Palatino Linotype" w:cs="Arial"/>
        </w:rPr>
        <w:t xml:space="preserve">DÉCIMA </w:t>
      </w:r>
      <w:r w:rsidR="00B263C3" w:rsidRPr="001C13BA">
        <w:rPr>
          <w:rFonts w:ascii="Palatino Linotype" w:hAnsi="Palatino Linotype" w:cs="Arial"/>
        </w:rPr>
        <w:t>SÉPTIMA</w:t>
      </w:r>
      <w:r w:rsidRPr="001C13BA">
        <w:rPr>
          <w:rFonts w:ascii="Palatino Linotype" w:hAnsi="Palatino Linotype" w:cs="Arial"/>
        </w:rPr>
        <w:t xml:space="preserve"> SESIÓN ORDINARIA CELEBRADA EL DÍA </w:t>
      </w:r>
      <w:r w:rsidR="00B263C3" w:rsidRPr="001C13BA">
        <w:rPr>
          <w:rFonts w:ascii="Palatino Linotype" w:hAnsi="Palatino Linotype" w:cs="Arial"/>
        </w:rPr>
        <w:t>NUEVE</w:t>
      </w:r>
      <w:r w:rsidR="00D22FB9" w:rsidRPr="001C13BA">
        <w:rPr>
          <w:rFonts w:ascii="Palatino Linotype" w:hAnsi="Palatino Linotype" w:cs="Arial"/>
        </w:rPr>
        <w:t xml:space="preserve"> DE SEPTIEMBRE</w:t>
      </w:r>
      <w:r w:rsidRPr="001C13BA">
        <w:rPr>
          <w:rFonts w:ascii="Palatino Linotype" w:hAnsi="Palatino Linotype" w:cs="Arial"/>
        </w:rPr>
        <w:t xml:space="preserve"> DE DOS MIL VEINTE, ANTE EL SECRETARIO TÉ</w:t>
      </w:r>
      <w:r w:rsidRPr="00F26BCD">
        <w:rPr>
          <w:rFonts w:ascii="Palatino Linotype" w:hAnsi="Palatino Linotype" w:cs="Arial"/>
        </w:rPr>
        <w:t>CNICO DEL PLENO, ALEXIS TAPIA RAMÍREZ.</w:t>
      </w:r>
    </w:p>
    <w:tbl>
      <w:tblPr>
        <w:tblW w:w="9214" w:type="dxa"/>
        <w:jc w:val="center"/>
        <w:tblLayout w:type="fixed"/>
        <w:tblLook w:val="04A0" w:firstRow="1" w:lastRow="0" w:firstColumn="1" w:lastColumn="0" w:noHBand="0" w:noVBand="1"/>
      </w:tblPr>
      <w:tblGrid>
        <w:gridCol w:w="4756"/>
        <w:gridCol w:w="4458"/>
      </w:tblGrid>
      <w:tr w:rsidR="006E5F18" w:rsidRPr="00F26BCD">
        <w:trPr>
          <w:jc w:val="center"/>
        </w:trPr>
        <w:tc>
          <w:tcPr>
            <w:tcW w:w="9214" w:type="dxa"/>
            <w:gridSpan w:val="2"/>
            <w:shd w:val="clear" w:color="auto" w:fill="auto"/>
          </w:tcPr>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6E5F18" w:rsidRPr="00F26BCD" w:rsidRDefault="006E5F18" w:rsidP="001C13B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Comisionada</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1C13B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9214" w:type="dxa"/>
            <w:gridSpan w:val="2"/>
            <w:shd w:val="clear" w:color="auto" w:fill="auto"/>
          </w:tcPr>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1C13BA" w:rsidRDefault="001C13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6E5F18" w:rsidRPr="00F26BCD" w:rsidRDefault="006E5F18" w:rsidP="001C13BA">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6E5F18" w:rsidRDefault="006E5F18" w:rsidP="006E5F18">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B263C3">
        <w:rPr>
          <w:rFonts w:ascii="Palatino Linotype" w:hAnsi="Palatino Linotype" w:cs="Arial"/>
          <w:sz w:val="22"/>
          <w:szCs w:val="22"/>
          <w:lang w:val="es-ES"/>
        </w:rPr>
        <w:t>nueve</w:t>
      </w:r>
      <w:r w:rsidR="00D22FB9">
        <w:rPr>
          <w:rFonts w:ascii="Palatino Linotype" w:hAnsi="Palatino Linotype" w:cs="Arial"/>
          <w:sz w:val="22"/>
          <w:szCs w:val="22"/>
          <w:lang w:val="es-ES"/>
        </w:rPr>
        <w:t xml:space="preserve">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sidR="0089201F">
        <w:rPr>
          <w:rFonts w:ascii="Palatino Linotype" w:hAnsi="Palatino Linotype" w:cs="Arial"/>
          <w:sz w:val="22"/>
          <w:szCs w:val="22"/>
          <w:lang w:val="es-ES"/>
        </w:rPr>
        <w:t>01662/INFOEM/IP/RR/2020</w:t>
      </w:r>
      <w:r w:rsidRPr="00F26BCD">
        <w:rPr>
          <w:rFonts w:ascii="Palatino Linotype" w:hAnsi="Palatino Linotype" w:cs="Arial"/>
          <w:sz w:val="22"/>
          <w:szCs w:val="22"/>
          <w:lang w:val="es-ES"/>
        </w:rPr>
        <w:t xml:space="preserve">. </w:t>
      </w:r>
    </w:p>
    <w:p w:rsidR="00C34EFF" w:rsidRPr="0045523F" w:rsidRDefault="006E5F18" w:rsidP="0045523F">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p>
    <w:sectPr w:rsidR="00C34EFF" w:rsidRPr="0045523F"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40C" w:rsidRDefault="00D7140C" w:rsidP="00C80F8C">
      <w:r>
        <w:separator/>
      </w:r>
    </w:p>
  </w:endnote>
  <w:endnote w:type="continuationSeparator" w:id="0">
    <w:p w:rsidR="00D7140C" w:rsidRDefault="00D714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44" w:rsidRPr="0010196A" w:rsidRDefault="00F47B4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B27E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B27E8" w:rsidRPr="0010196A">
      <w:rPr>
        <w:rFonts w:ascii="Palatino Linotype" w:hAnsi="Palatino Linotype" w:cs="Arial"/>
        <w:bCs/>
        <w:sz w:val="22"/>
        <w:szCs w:val="22"/>
      </w:rPr>
      <w:fldChar w:fldCharType="separate"/>
    </w:r>
    <w:r w:rsidR="002C2E94">
      <w:rPr>
        <w:rFonts w:ascii="Palatino Linotype" w:hAnsi="Palatino Linotype" w:cs="Arial"/>
        <w:bCs/>
        <w:noProof/>
        <w:sz w:val="22"/>
        <w:szCs w:val="22"/>
      </w:rPr>
      <w:t>22</w:t>
    </w:r>
    <w:r w:rsidR="007B27E8"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7B27E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B27E8" w:rsidRPr="0010196A">
      <w:rPr>
        <w:rFonts w:ascii="Palatino Linotype" w:hAnsi="Palatino Linotype" w:cs="Arial"/>
        <w:bCs/>
        <w:sz w:val="22"/>
        <w:szCs w:val="22"/>
      </w:rPr>
      <w:fldChar w:fldCharType="separate"/>
    </w:r>
    <w:r w:rsidR="002C2E94">
      <w:rPr>
        <w:rFonts w:ascii="Palatino Linotype" w:hAnsi="Palatino Linotype" w:cs="Arial"/>
        <w:bCs/>
        <w:noProof/>
        <w:sz w:val="22"/>
        <w:szCs w:val="22"/>
      </w:rPr>
      <w:t>25</w:t>
    </w:r>
    <w:r w:rsidR="007B27E8"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44" w:rsidRPr="0010196A" w:rsidRDefault="00F47B4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B27E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B27E8" w:rsidRPr="0010196A">
      <w:rPr>
        <w:rFonts w:ascii="Palatino Linotype" w:hAnsi="Palatino Linotype" w:cs="Arial"/>
        <w:bCs/>
        <w:sz w:val="22"/>
        <w:szCs w:val="22"/>
      </w:rPr>
      <w:fldChar w:fldCharType="separate"/>
    </w:r>
    <w:r w:rsidR="002C2E94">
      <w:rPr>
        <w:rFonts w:ascii="Palatino Linotype" w:hAnsi="Palatino Linotype" w:cs="Arial"/>
        <w:bCs/>
        <w:noProof/>
        <w:sz w:val="22"/>
        <w:szCs w:val="22"/>
      </w:rPr>
      <w:t>1</w:t>
    </w:r>
    <w:r w:rsidR="007B27E8"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7B27E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B27E8" w:rsidRPr="0010196A">
      <w:rPr>
        <w:rFonts w:ascii="Palatino Linotype" w:hAnsi="Palatino Linotype" w:cs="Arial"/>
        <w:bCs/>
        <w:sz w:val="22"/>
        <w:szCs w:val="22"/>
      </w:rPr>
      <w:fldChar w:fldCharType="separate"/>
    </w:r>
    <w:r w:rsidR="002C2E94">
      <w:rPr>
        <w:rFonts w:ascii="Palatino Linotype" w:hAnsi="Palatino Linotype" w:cs="Arial"/>
        <w:bCs/>
        <w:noProof/>
        <w:sz w:val="22"/>
        <w:szCs w:val="22"/>
      </w:rPr>
      <w:t>25</w:t>
    </w:r>
    <w:r w:rsidR="007B27E8"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40C" w:rsidRDefault="00D7140C" w:rsidP="00C80F8C">
      <w:r>
        <w:separator/>
      </w:r>
    </w:p>
  </w:footnote>
  <w:footnote w:type="continuationSeparator" w:id="0">
    <w:p w:rsidR="00D7140C" w:rsidRDefault="00D7140C" w:rsidP="00C80F8C">
      <w:r>
        <w:continuationSeparator/>
      </w:r>
    </w:p>
  </w:footnote>
  <w:footnote w:id="1">
    <w:p w:rsidR="00F47B44" w:rsidRDefault="00F47B44" w:rsidP="00F47B44">
      <w:pPr>
        <w:pStyle w:val="Textonotapie"/>
        <w:jc w:val="both"/>
      </w:pPr>
      <w:r>
        <w:rPr>
          <w:rStyle w:val="Refdenotaalpie"/>
        </w:rPr>
        <w:footnoteRef/>
      </w:r>
      <w:r>
        <w:t xml:space="preserve"> </w:t>
      </w:r>
      <w:r w:rsidRPr="00F47B44">
        <w:rPr>
          <w:rFonts w:ascii="Palatino Linotype" w:hAnsi="Palatino Linotype"/>
        </w:rPr>
        <w:t xml:space="preserve">De conformidad con el Considerando III del Acuerdo </w:t>
      </w:r>
      <w:r w:rsidRPr="00F47B44">
        <w:rPr>
          <w:rFonts w:ascii="Palatino Linotype" w:hAnsi="Palatino Linotype" w:cs="Arial"/>
        </w:rPr>
        <w:t xml:space="preserve">número </w:t>
      </w:r>
      <w:r w:rsidRPr="00F47B44">
        <w:rPr>
          <w:rFonts w:ascii="Palatino Linotype" w:hAnsi="Palatino Linotype" w:cs="Arial"/>
          <w:b/>
        </w:rPr>
        <w:t>CT/SO04/004/2020</w:t>
      </w:r>
      <w:r w:rsidRPr="00F47B44">
        <w:rPr>
          <w:rFonts w:ascii="Palatino Linotype" w:hAnsi="Palatino Linotype" w:cs="Arial"/>
        </w:rPr>
        <w:t xml:space="preserve">, de fecha 17 de agosto de 2020, emitido por el </w:t>
      </w:r>
      <w:r w:rsidRPr="00F47B44">
        <w:rPr>
          <w:rFonts w:ascii="Palatino Linotype" w:hAnsi="Palatino Linotype"/>
        </w:rPr>
        <w:t>Comité de Transparencia, visible en la foja 2.</w:t>
      </w:r>
    </w:p>
  </w:footnote>
  <w:footnote w:id="2">
    <w:p w:rsidR="00BD61AF" w:rsidRPr="00675F4F" w:rsidRDefault="00BD61AF" w:rsidP="00BD61AF">
      <w:pPr>
        <w:jc w:val="both"/>
        <w:rPr>
          <w:rFonts w:ascii="Palatino Linotype" w:hAnsi="Palatino Linotype" w:cs="Calibri"/>
          <w:color w:val="000000"/>
          <w:sz w:val="20"/>
          <w:szCs w:val="20"/>
        </w:rPr>
      </w:pPr>
      <w:r>
        <w:rPr>
          <w:rStyle w:val="Refdenotaalpie"/>
        </w:rPr>
        <w:footnoteRef/>
      </w:r>
      <w:r>
        <w:t xml:space="preserve"> </w:t>
      </w:r>
      <w:r w:rsidRPr="00675F4F">
        <w:rPr>
          <w:rFonts w:ascii="Palatino Linotype" w:hAnsi="Palatino Linotype"/>
          <w:sz w:val="20"/>
          <w:szCs w:val="20"/>
        </w:rPr>
        <w:t xml:space="preserve">Sirve de sustento a lo anterior la Tesis Asilada de rubro: </w:t>
      </w:r>
      <w:r w:rsidRPr="00675F4F">
        <w:rPr>
          <w:rFonts w:ascii="Palatino Linotype" w:hAnsi="Palatino Linotype" w:cs="Calibri"/>
          <w:b/>
          <w:bCs/>
          <w:color w:val="000000"/>
          <w:sz w:val="20"/>
          <w:szCs w:val="20"/>
        </w:rPr>
        <w:t xml:space="preserve">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 </w:t>
      </w:r>
      <w:r w:rsidRPr="00675F4F">
        <w:rPr>
          <w:rFonts w:ascii="Palatino Linotype" w:hAnsi="Palatino Linotype" w:cs="Calibri"/>
          <w:bCs/>
          <w:color w:val="000000"/>
          <w:sz w:val="20"/>
          <w:szCs w:val="20"/>
        </w:rPr>
        <w:t>Que dicta que l</w:t>
      </w:r>
      <w:r w:rsidRPr="00675F4F">
        <w:rPr>
          <w:rFonts w:ascii="Palatino Linotype" w:hAnsi="Palatino Linotype" w:cs="Calibri"/>
          <w:color w:val="000000"/>
          <w:sz w:val="20"/>
          <w:szCs w:val="20"/>
        </w:rPr>
        <w:t>as redes sociales se han convertido en una fuente de información para las personas y un espacio donde la discusión pública se desarrolla diariamente. En este entendido, muchas instituciones gubernamentales y servidores públicos disponen de cuentas en redes sociales, en las que aprovechan sus niveles de expansión y exposición para establecer un nuevo canal de comunicación con la sociedad. Es así como las cuentas de redes sociales utilizadas por los servidores públicos para compartir información relacionada con su gestión gubernamental adquieren notoriedad pública y se convierten en relevantes para el interés general. En estos casos, el derecho de acceso a la información (reconocido por el artículo 6o. de la Constitución Política de los Estados Unidos Mexicanos) debe prevalecer sobre el derecho a la privacidad de los servidores públicos (establecido en los artículos 6o., párrafo primero, 7o., párrafo segundo y 16, párrafo primero, constitucionales),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44" w:rsidRDefault="00D7140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44" w:rsidRPr="0010196A" w:rsidRDefault="00D7140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47B44" w:rsidRPr="008F2CCC">
      <w:tc>
        <w:tcPr>
          <w:tcW w:w="3261" w:type="dxa"/>
          <w:vMerge w:val="restart"/>
        </w:tcPr>
        <w:p w:rsidR="00F47B44" w:rsidRPr="008F2CCC" w:rsidRDefault="00F47B4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F47B44" w:rsidRPr="00664658" w:rsidRDefault="00F47B4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F47B44" w:rsidRPr="00664658" w:rsidRDefault="00F47B44" w:rsidP="0089201F">
          <w:pPr>
            <w:jc w:val="both"/>
            <w:rPr>
              <w:rFonts w:ascii="Palatino Linotype" w:hAnsi="Palatino Linotype"/>
              <w:b/>
              <w:sz w:val="22"/>
              <w:szCs w:val="22"/>
              <w:lang w:val="es-ES_tradnl"/>
            </w:rPr>
          </w:pPr>
          <w:r>
            <w:rPr>
              <w:rFonts w:ascii="Palatino Linotype" w:hAnsi="Palatino Linotype"/>
              <w:b/>
              <w:sz w:val="22"/>
              <w:szCs w:val="22"/>
              <w:lang w:val="es-ES_tradnl"/>
            </w:rPr>
            <w:t>01662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F47B44" w:rsidRPr="008F2CCC">
      <w:tc>
        <w:tcPr>
          <w:tcW w:w="3261" w:type="dxa"/>
          <w:vMerge/>
        </w:tcPr>
        <w:p w:rsidR="00F47B44" w:rsidRPr="008F2CCC" w:rsidRDefault="00F47B44" w:rsidP="00D41D47">
          <w:pPr>
            <w:rPr>
              <w:rFonts w:ascii="Palatino Linotype" w:hAnsi="Palatino Linotype"/>
              <w:b/>
              <w:sz w:val="22"/>
              <w:szCs w:val="22"/>
              <w:lang w:val="es-ES_tradnl"/>
            </w:rPr>
          </w:pPr>
        </w:p>
      </w:tc>
      <w:tc>
        <w:tcPr>
          <w:tcW w:w="2551" w:type="dxa"/>
          <w:shd w:val="clear" w:color="auto" w:fill="auto"/>
        </w:tcPr>
        <w:p w:rsidR="00F47B44" w:rsidRPr="00664658" w:rsidRDefault="00F47B4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F47B44" w:rsidRPr="00D41D47" w:rsidRDefault="00F47B44" w:rsidP="00957D35">
          <w:pPr>
            <w:jc w:val="both"/>
            <w:rPr>
              <w:rFonts w:ascii="Palatino Linotype" w:hAnsi="Palatino Linotype"/>
              <w:b/>
              <w:sz w:val="22"/>
              <w:szCs w:val="22"/>
              <w:lang w:val="es-ES_tradnl"/>
            </w:rPr>
          </w:pPr>
          <w:r w:rsidRPr="0089201F">
            <w:rPr>
              <w:rFonts w:ascii="Palatino Linotype" w:hAnsi="Palatino Linotype"/>
              <w:b/>
              <w:sz w:val="22"/>
              <w:szCs w:val="22"/>
            </w:rPr>
            <w:t>Organismo Público Descentralizado Municipal para la Prestación de los Servicios de Agua Potable</w:t>
          </w:r>
          <w:r>
            <w:rPr>
              <w:rFonts w:ascii="Palatino Linotype" w:hAnsi="Palatino Linotype"/>
              <w:b/>
              <w:sz w:val="22"/>
              <w:szCs w:val="22"/>
            </w:rPr>
            <w:t>,</w:t>
          </w:r>
          <w:r w:rsidRPr="0089201F">
            <w:rPr>
              <w:rFonts w:ascii="Palatino Linotype" w:hAnsi="Palatino Linotype"/>
              <w:b/>
              <w:sz w:val="22"/>
              <w:szCs w:val="22"/>
            </w:rPr>
            <w:t xml:space="preserve"> Alcantarillado y Saneamiento de Cuautitlán Izcalli denominado OPERAGUA, O.P.D.M.</w:t>
          </w:r>
        </w:p>
      </w:tc>
    </w:tr>
    <w:tr w:rsidR="00F47B44" w:rsidRPr="008F2CCC">
      <w:trPr>
        <w:trHeight w:val="228"/>
      </w:trPr>
      <w:tc>
        <w:tcPr>
          <w:tcW w:w="3261" w:type="dxa"/>
          <w:vMerge/>
        </w:tcPr>
        <w:p w:rsidR="00F47B44" w:rsidRPr="008F2CCC" w:rsidRDefault="00F47B44" w:rsidP="00070856">
          <w:pPr>
            <w:rPr>
              <w:rFonts w:ascii="Palatino Linotype" w:hAnsi="Palatino Linotype"/>
              <w:b/>
              <w:sz w:val="22"/>
              <w:szCs w:val="22"/>
              <w:lang w:val="es-ES_tradnl"/>
            </w:rPr>
          </w:pPr>
        </w:p>
      </w:tc>
      <w:tc>
        <w:tcPr>
          <w:tcW w:w="2551" w:type="dxa"/>
          <w:shd w:val="clear" w:color="auto" w:fill="auto"/>
        </w:tcPr>
        <w:p w:rsidR="00F47B44" w:rsidRPr="00664658" w:rsidRDefault="00F47B4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F47B44" w:rsidRPr="00664658" w:rsidRDefault="00F47B4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47B44" w:rsidRPr="0010196A" w:rsidRDefault="00F47B4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44" w:rsidRPr="0010196A" w:rsidRDefault="00F47B4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47B44" w:rsidRPr="008F2CCC">
      <w:tc>
        <w:tcPr>
          <w:tcW w:w="4253" w:type="dxa"/>
          <w:vMerge w:val="restart"/>
          <w:shd w:val="clear" w:color="auto" w:fill="auto"/>
        </w:tcPr>
        <w:p w:rsidR="00F47B44" w:rsidRPr="008F2CCC" w:rsidRDefault="00F47B4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F47B44" w:rsidRPr="008F2CCC" w:rsidRDefault="00F47B4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F47B44" w:rsidRPr="008F2CCC" w:rsidRDefault="00F47B44" w:rsidP="0089201F">
          <w:pPr>
            <w:jc w:val="both"/>
            <w:rPr>
              <w:rFonts w:ascii="Palatino Linotype" w:hAnsi="Palatino Linotype"/>
              <w:b/>
              <w:sz w:val="22"/>
              <w:szCs w:val="22"/>
              <w:lang w:val="es-ES_tradnl"/>
            </w:rPr>
          </w:pPr>
          <w:r>
            <w:rPr>
              <w:rFonts w:ascii="Palatino Linotype" w:hAnsi="Palatino Linotype"/>
              <w:b/>
              <w:sz w:val="22"/>
              <w:szCs w:val="22"/>
              <w:lang w:val="es-ES_tradnl"/>
            </w:rPr>
            <w:t>01662/INFOEM/IP/RR/2020</w:t>
          </w:r>
        </w:p>
      </w:tc>
    </w:tr>
    <w:tr w:rsidR="00F47B44" w:rsidRPr="008F2CCC">
      <w:tc>
        <w:tcPr>
          <w:tcW w:w="4253" w:type="dxa"/>
          <w:vMerge/>
          <w:shd w:val="clear" w:color="auto" w:fill="auto"/>
        </w:tcPr>
        <w:p w:rsidR="00F47B44" w:rsidRPr="008F2CCC" w:rsidRDefault="00F47B44" w:rsidP="00A2780F">
          <w:pPr>
            <w:rPr>
              <w:rFonts w:ascii="Palatino Linotype" w:hAnsi="Palatino Linotype"/>
              <w:b/>
              <w:sz w:val="22"/>
              <w:szCs w:val="22"/>
              <w:lang w:val="es-ES_tradnl"/>
            </w:rPr>
          </w:pPr>
        </w:p>
      </w:tc>
      <w:tc>
        <w:tcPr>
          <w:tcW w:w="2552" w:type="dxa"/>
          <w:shd w:val="clear" w:color="auto" w:fill="auto"/>
        </w:tcPr>
        <w:p w:rsidR="00F47B44" w:rsidRPr="008F2CCC" w:rsidRDefault="00F47B4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F47B44" w:rsidRPr="008F2CCC" w:rsidRDefault="002C2E94" w:rsidP="002C2E94">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F47B44">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F47B44">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F47B44" w:rsidRPr="008F2CCC">
      <w:trPr>
        <w:trHeight w:val="228"/>
      </w:trPr>
      <w:tc>
        <w:tcPr>
          <w:tcW w:w="4253" w:type="dxa"/>
          <w:vMerge/>
          <w:shd w:val="clear" w:color="auto" w:fill="auto"/>
        </w:tcPr>
        <w:p w:rsidR="00F47B44" w:rsidRPr="008F2CCC" w:rsidRDefault="00F47B44" w:rsidP="00E37C88">
          <w:pPr>
            <w:rPr>
              <w:rFonts w:ascii="Palatino Linotype" w:hAnsi="Palatino Linotype"/>
              <w:b/>
              <w:sz w:val="22"/>
              <w:szCs w:val="22"/>
              <w:lang w:val="es-ES_tradnl"/>
            </w:rPr>
          </w:pPr>
        </w:p>
      </w:tc>
      <w:tc>
        <w:tcPr>
          <w:tcW w:w="2552" w:type="dxa"/>
          <w:shd w:val="clear" w:color="auto" w:fill="auto"/>
        </w:tcPr>
        <w:p w:rsidR="00F47B44" w:rsidRPr="008F2CCC" w:rsidRDefault="00F47B4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F47B44" w:rsidRPr="00DC41C8" w:rsidRDefault="00F47B44" w:rsidP="00E1287E">
          <w:pPr>
            <w:jc w:val="both"/>
            <w:rPr>
              <w:rFonts w:ascii="Palatino Linotype" w:hAnsi="Palatino Linotype"/>
              <w:b/>
              <w:sz w:val="22"/>
              <w:szCs w:val="22"/>
            </w:rPr>
          </w:pPr>
          <w:r w:rsidRPr="0089201F">
            <w:rPr>
              <w:rFonts w:ascii="Palatino Linotype" w:hAnsi="Palatino Linotype"/>
              <w:b/>
              <w:sz w:val="22"/>
              <w:szCs w:val="22"/>
            </w:rPr>
            <w:t>Organismo Público Descentralizado Municipal para la Prestación de los Servicios de Agua Potable</w:t>
          </w:r>
          <w:r>
            <w:rPr>
              <w:rFonts w:ascii="Palatino Linotype" w:hAnsi="Palatino Linotype"/>
              <w:b/>
              <w:sz w:val="22"/>
              <w:szCs w:val="22"/>
            </w:rPr>
            <w:t>,</w:t>
          </w:r>
          <w:r w:rsidRPr="0089201F">
            <w:rPr>
              <w:rFonts w:ascii="Palatino Linotype" w:hAnsi="Palatino Linotype"/>
              <w:b/>
              <w:sz w:val="22"/>
              <w:szCs w:val="22"/>
            </w:rPr>
            <w:t xml:space="preserve"> Alcantarillado y Saneamiento de Cuautitlán Izcalli denominado OPERAGUA, O.P.D.M.</w:t>
          </w:r>
        </w:p>
      </w:tc>
    </w:tr>
    <w:tr w:rsidR="00F47B44" w:rsidRPr="008F2CCC">
      <w:tc>
        <w:tcPr>
          <w:tcW w:w="4253" w:type="dxa"/>
          <w:vMerge/>
          <w:shd w:val="clear" w:color="auto" w:fill="auto"/>
        </w:tcPr>
        <w:p w:rsidR="00F47B44" w:rsidRPr="008F2CCC" w:rsidRDefault="00F47B44" w:rsidP="00A2780F">
          <w:pPr>
            <w:rPr>
              <w:rFonts w:ascii="Palatino Linotype" w:hAnsi="Palatino Linotype"/>
              <w:b/>
              <w:sz w:val="22"/>
              <w:szCs w:val="22"/>
              <w:lang w:val="es-ES_tradnl"/>
            </w:rPr>
          </w:pPr>
        </w:p>
      </w:tc>
      <w:tc>
        <w:tcPr>
          <w:tcW w:w="2552" w:type="dxa"/>
          <w:shd w:val="clear" w:color="auto" w:fill="auto"/>
        </w:tcPr>
        <w:p w:rsidR="00F47B44" w:rsidRPr="008F2CCC" w:rsidRDefault="00F47B4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F47B44" w:rsidRPr="008F2CCC" w:rsidRDefault="00F47B4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47B44" w:rsidRPr="0010196A" w:rsidRDefault="002C2E94"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nsid w:val="34060070"/>
    <w:multiLevelType w:val="hybridMultilevel"/>
    <w:tmpl w:val="F60C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161E61"/>
    <w:multiLevelType w:val="hybridMultilevel"/>
    <w:tmpl w:val="52C4B6AC"/>
    <w:lvl w:ilvl="0" w:tplc="7F1A92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5">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481F8B"/>
    <w:multiLevelType w:val="hybridMultilevel"/>
    <w:tmpl w:val="9F7E3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3"/>
  </w:num>
  <w:num w:numId="5">
    <w:abstractNumId w:val="39"/>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5"/>
  </w:num>
  <w:num w:numId="10">
    <w:abstractNumId w:val="10"/>
  </w:num>
  <w:num w:numId="11">
    <w:abstractNumId w:val="8"/>
  </w:num>
  <w:num w:numId="12">
    <w:abstractNumId w:val="0"/>
  </w:num>
  <w:num w:numId="13">
    <w:abstractNumId w:val="43"/>
  </w:num>
  <w:num w:numId="14">
    <w:abstractNumId w:val="3"/>
  </w:num>
  <w:num w:numId="15">
    <w:abstractNumId w:val="4"/>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2"/>
  </w:num>
  <w:num w:numId="21">
    <w:abstractNumId w:val="20"/>
  </w:num>
  <w:num w:numId="22">
    <w:abstractNumId w:val="37"/>
  </w:num>
  <w:num w:numId="23">
    <w:abstractNumId w:val="40"/>
  </w:num>
  <w:num w:numId="24">
    <w:abstractNumId w:val="38"/>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5"/>
  </w:num>
  <w:num w:numId="29">
    <w:abstractNumId w:val="44"/>
  </w:num>
  <w:num w:numId="30">
    <w:abstractNumId w:val="41"/>
  </w:num>
  <w:num w:numId="31">
    <w:abstractNumId w:val="47"/>
  </w:num>
  <w:num w:numId="32">
    <w:abstractNumId w:val="31"/>
  </w:num>
  <w:num w:numId="33">
    <w:abstractNumId w:val="26"/>
  </w:num>
  <w:num w:numId="34">
    <w:abstractNumId w:val="46"/>
  </w:num>
  <w:num w:numId="35">
    <w:abstractNumId w:val="6"/>
  </w:num>
  <w:num w:numId="36">
    <w:abstractNumId w:val="34"/>
  </w:num>
  <w:num w:numId="37">
    <w:abstractNumId w:val="32"/>
  </w:num>
  <w:num w:numId="38">
    <w:abstractNumId w:val="28"/>
  </w:num>
  <w:num w:numId="39">
    <w:abstractNumId w:val="1"/>
  </w:num>
  <w:num w:numId="40">
    <w:abstractNumId w:val="36"/>
  </w:num>
  <w:num w:numId="41">
    <w:abstractNumId w:val="29"/>
  </w:num>
  <w:num w:numId="42">
    <w:abstractNumId w:val="25"/>
  </w:num>
  <w:num w:numId="43">
    <w:abstractNumId w:val="33"/>
  </w:num>
  <w:num w:numId="44">
    <w:abstractNumId w:val="27"/>
  </w:num>
  <w:num w:numId="45">
    <w:abstractNumId w:val="42"/>
  </w:num>
  <w:num w:numId="46">
    <w:abstractNumId w:val="24"/>
  </w:num>
  <w:num w:numId="47">
    <w:abstractNumId w:val="15"/>
  </w:num>
  <w:num w:numId="48">
    <w:abstractNumId w:val="17"/>
  </w:num>
  <w:num w:numId="49">
    <w:abstractNumId w:val="12"/>
  </w:num>
  <w:num w:numId="50">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2AF"/>
    <w:rsid w:val="000558A1"/>
    <w:rsid w:val="00055BF6"/>
    <w:rsid w:val="00055E68"/>
    <w:rsid w:val="00056469"/>
    <w:rsid w:val="000568EF"/>
    <w:rsid w:val="00057476"/>
    <w:rsid w:val="00057716"/>
    <w:rsid w:val="00057C91"/>
    <w:rsid w:val="000602D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9A8"/>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058"/>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3CF"/>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758"/>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39BE"/>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4C"/>
    <w:rsid w:val="00197E56"/>
    <w:rsid w:val="001A0054"/>
    <w:rsid w:val="001A14F4"/>
    <w:rsid w:val="001A19AF"/>
    <w:rsid w:val="001A1D0F"/>
    <w:rsid w:val="001A1FC4"/>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59C"/>
    <w:rsid w:val="001C0777"/>
    <w:rsid w:val="001C08B6"/>
    <w:rsid w:val="001C13AC"/>
    <w:rsid w:val="001C13BA"/>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BE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6F9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806"/>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E6A"/>
    <w:rsid w:val="002C2E9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DED"/>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6F27"/>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A6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923"/>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F7A"/>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A7"/>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0E"/>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089"/>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384"/>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4C06"/>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EE2"/>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CA"/>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27A"/>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7E8"/>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FBC"/>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938"/>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01F"/>
    <w:rsid w:val="0089272F"/>
    <w:rsid w:val="00892774"/>
    <w:rsid w:val="008929EC"/>
    <w:rsid w:val="00892AFC"/>
    <w:rsid w:val="0089336B"/>
    <w:rsid w:val="00893451"/>
    <w:rsid w:val="008950DB"/>
    <w:rsid w:val="00895B09"/>
    <w:rsid w:val="00895D8A"/>
    <w:rsid w:val="00895E48"/>
    <w:rsid w:val="00896FC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C1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B91"/>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831"/>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2F80"/>
    <w:rsid w:val="009D374B"/>
    <w:rsid w:val="009D3EC7"/>
    <w:rsid w:val="009D5C26"/>
    <w:rsid w:val="009D5CBB"/>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272"/>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A34"/>
    <w:rsid w:val="00AA1ED9"/>
    <w:rsid w:val="00AA1F9E"/>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90E"/>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63C3"/>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7D"/>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358"/>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391"/>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2E"/>
    <w:rsid w:val="00BD5D75"/>
    <w:rsid w:val="00BD61AF"/>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57E"/>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2B4"/>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0C"/>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88A"/>
    <w:rsid w:val="00D86264"/>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CFF"/>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4E4"/>
    <w:rsid w:val="00E00DCC"/>
    <w:rsid w:val="00E01355"/>
    <w:rsid w:val="00E01B94"/>
    <w:rsid w:val="00E01D16"/>
    <w:rsid w:val="00E028F5"/>
    <w:rsid w:val="00E02F72"/>
    <w:rsid w:val="00E03B27"/>
    <w:rsid w:val="00E03F70"/>
    <w:rsid w:val="00E040ED"/>
    <w:rsid w:val="00E044F7"/>
    <w:rsid w:val="00E0504C"/>
    <w:rsid w:val="00E05879"/>
    <w:rsid w:val="00E05A73"/>
    <w:rsid w:val="00E0755D"/>
    <w:rsid w:val="00E07710"/>
    <w:rsid w:val="00E10CC9"/>
    <w:rsid w:val="00E110F8"/>
    <w:rsid w:val="00E120FD"/>
    <w:rsid w:val="00E1287E"/>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502"/>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085"/>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20"/>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B44"/>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66820A0B-0CF4-4524-854E-16A717A5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167728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52420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0225">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C47C9-4E34-4B36-B566-E4F1B81F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4491</Words>
  <Characters>24704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2020-01-22T19:55:00Z</cp:lastPrinted>
  <dcterms:created xsi:type="dcterms:W3CDTF">2020-09-25T20:08:00Z</dcterms:created>
  <dcterms:modified xsi:type="dcterms:W3CDTF">2020-09-25T20:08:00Z</dcterms:modified>
</cp:coreProperties>
</file>