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687" w:rsidRDefault="006D67BC">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E67687" w:rsidRDefault="00E67687">
      <w:pPr>
        <w:spacing w:line="360" w:lineRule="auto"/>
        <w:jc w:val="both"/>
        <w:rPr>
          <w:rFonts w:ascii="Palatino Linotype" w:hAnsi="Palatino Linotype"/>
        </w:rPr>
      </w:pPr>
    </w:p>
    <w:p w:rsidR="00E67687" w:rsidRDefault="006D67BC">
      <w:pPr>
        <w:spacing w:line="360" w:lineRule="auto"/>
        <w:jc w:val="both"/>
        <w:rPr>
          <w:rFonts w:ascii="Palatino Linotype" w:hAnsi="Palatino Linotype"/>
          <w:b/>
        </w:rPr>
      </w:pPr>
      <w:r>
        <w:rPr>
          <w:rFonts w:ascii="Palatino Linotype" w:hAnsi="Palatino Linotype"/>
          <w:sz w:val="28"/>
        </w:rPr>
        <w:t xml:space="preserve">VISTO </w:t>
      </w:r>
      <w:r>
        <w:rPr>
          <w:rFonts w:ascii="Palatino Linotype" w:hAnsi="Palatino Linotype"/>
        </w:rPr>
        <w:t xml:space="preserve">el expediente formado con motivo del recurso de revisión </w:t>
      </w:r>
      <w:r>
        <w:rPr>
          <w:rFonts w:ascii="Palatino Linotype" w:hAnsi="Palatino Linotype"/>
          <w:b/>
        </w:rPr>
        <w:t>01197/INFOEM/IP/RR/2020</w:t>
      </w:r>
      <w:r>
        <w:rPr>
          <w:rFonts w:ascii="Palatino Linotype" w:hAnsi="Palatino Linotype"/>
        </w:rPr>
        <w:t>, promovido por el C.</w:t>
      </w:r>
      <w:r>
        <w:rPr>
          <w:rFonts w:ascii="Palatino Linotype" w:hAnsi="Palatino Linotype"/>
          <w:b/>
        </w:rPr>
        <w:t xml:space="preserve"> </w:t>
      </w:r>
      <w:r w:rsidR="004F5F25" w:rsidRPr="004F5F25">
        <w:rPr>
          <w:rFonts w:ascii="Palatino Linotype" w:hAnsi="Palatino Linotype"/>
          <w:b/>
        </w:rPr>
        <w:t>Xxxx Xxxx Xxxxxx Xxxxxx</w:t>
      </w:r>
      <w:r>
        <w:rPr>
          <w:rFonts w:ascii="Palatino Linotype" w:hAnsi="Palatino Linotype"/>
        </w:rPr>
        <w:t xml:space="preserve">, en lo sucesivo </w:t>
      </w:r>
      <w:r>
        <w:rPr>
          <w:rFonts w:ascii="Palatino Linotype" w:hAnsi="Palatino Linotype"/>
          <w:b/>
        </w:rPr>
        <w:t>EL RECURRENTE,</w:t>
      </w:r>
      <w:r>
        <w:rPr>
          <w:rFonts w:ascii="Palatino Linotype" w:hAnsi="Palatino Linotype"/>
        </w:rPr>
        <w:t xml:space="preserve"> en contra de la respuesta emitida por el</w:t>
      </w:r>
      <w:r>
        <w:rPr>
          <w:rFonts w:ascii="Palatino Linotype" w:hAnsi="Palatino Linotype"/>
          <w:b/>
        </w:rPr>
        <w:t xml:space="preserve"> Ayuntamiento de Tlalnepantla de Baz</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E67687" w:rsidRDefault="00E67687">
      <w:pPr>
        <w:tabs>
          <w:tab w:val="left" w:pos="9072"/>
        </w:tabs>
        <w:spacing w:line="360" w:lineRule="auto"/>
        <w:jc w:val="both"/>
        <w:rPr>
          <w:rFonts w:ascii="Palatino Linotype" w:hAnsi="Palatino Linotype"/>
        </w:rPr>
      </w:pPr>
    </w:p>
    <w:p w:rsidR="00E67687" w:rsidRDefault="006D67BC">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E67687" w:rsidRDefault="00E67687">
      <w:pPr>
        <w:spacing w:line="360" w:lineRule="auto"/>
        <w:jc w:val="center"/>
        <w:rPr>
          <w:rFonts w:ascii="Palatino Linotype" w:hAnsi="Palatino Linotype"/>
          <w:b/>
          <w:bCs/>
          <w:spacing w:val="60"/>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En fecha nueve de febrero registrándose el día diez de febrero de dos mil veinte por ser el día hábil inmediato,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00148/TLALNEPA/IP/2020,</w:t>
      </w:r>
      <w:r>
        <w:rPr>
          <w:rFonts w:ascii="Palatino Linotype" w:hAnsi="Palatino Linotype"/>
        </w:rPr>
        <w:t xml:space="preserve"> mediante la cual solicitó, vía </w:t>
      </w:r>
      <w:r>
        <w:rPr>
          <w:rFonts w:ascii="Palatino Linotype" w:hAnsi="Palatino Linotype"/>
          <w:b/>
        </w:rPr>
        <w:t>SAIMEX</w:t>
      </w:r>
      <w:r>
        <w:rPr>
          <w:rFonts w:ascii="Palatino Linotype" w:hAnsi="Palatino Linotype"/>
        </w:rPr>
        <w:t xml:space="preserve">, lo </w:t>
      </w:r>
      <w:r>
        <w:rPr>
          <w:rFonts w:ascii="Palatino Linotype" w:hAnsi="Palatino Linotype" w:cs="Arial"/>
        </w:rPr>
        <w:t>siguiente</w:t>
      </w:r>
      <w:r>
        <w:rPr>
          <w:rFonts w:ascii="Palatino Linotype" w:hAnsi="Palatino Linotype"/>
        </w:rPr>
        <w:t>:</w:t>
      </w:r>
    </w:p>
    <w:p w:rsidR="00E67687" w:rsidRDefault="00E67687">
      <w:pPr>
        <w:pStyle w:val="Prrafodelista"/>
        <w:spacing w:line="360" w:lineRule="auto"/>
        <w:ind w:left="851" w:right="899"/>
        <w:jc w:val="both"/>
        <w:rPr>
          <w:rFonts w:ascii="Palatino Linotype" w:hAnsi="Palatino Linotype" w:cs="Arial"/>
          <w:i/>
        </w:rPr>
      </w:pPr>
    </w:p>
    <w:p w:rsidR="00E67687" w:rsidRDefault="006D67BC">
      <w:pPr>
        <w:pStyle w:val="Prrafodelista"/>
        <w:ind w:left="709" w:right="757"/>
        <w:jc w:val="both"/>
        <w:rPr>
          <w:rFonts w:ascii="Palatino Linotype" w:hAnsi="Palatino Linotype" w:cs="Arial"/>
          <w:i/>
          <w:sz w:val="22"/>
        </w:rPr>
      </w:pPr>
      <w:r>
        <w:rPr>
          <w:rFonts w:ascii="Palatino Linotype" w:hAnsi="Palatino Linotype" w:cs="Arial"/>
          <w:i/>
          <w:sz w:val="22"/>
        </w:rPr>
        <w:t xml:space="preserve">“SE ME ENVIÉ VÍA SAIMEX LA INFORMACIÓN PÚBLICA, QUE CADA SEMESTRE SE ENVÍA AL OSFEM de conformidad a los LINEAMIENTOS PARA LA ENTREGA DEL INFORME MENSUAL MUNICIPAL 2019, CONTENIDOS EN EL DISCO DENOMINADO 2, CORRESPONDIENTE AL MES DE DICIEMBRE DEL AÑO 2019, DEL AYUNTAMIENTO MUNICIPAL DE TLALNEPANTLA DE BAZ Y QUE CONSISTE EN LO SIGUIENTE; 1.- Inventario </w:t>
      </w:r>
      <w:r>
        <w:rPr>
          <w:rFonts w:ascii="Palatino Linotype" w:hAnsi="Palatino Linotype" w:cs="Arial"/>
          <w:i/>
          <w:sz w:val="22"/>
        </w:rPr>
        <w:lastRenderedPageBreak/>
        <w:t xml:space="preserve">de Bienes Inmuebles en formato Excel y PDF, 2.- Inventario de Bienes Muebles en formato Excel y PDF, 3.- Inventario de Bienes Muebles de Bajo Costo en formato Excel y PDF, 4.- Hoja de Trabajo para la Conciliación Físico Contable de los Bienes Muebles e Inmuebles en formato Excel y PDF, 5.- Conciliación Físico-Contable del Inventario de Bienes Muebles, formato xls y pdf, 6.- Actas del Comité y Anexos donde presenten los resultados del Levantamiento Físico de Bienes Muebles e Inmuebles (formato pdf)..” </w:t>
      </w:r>
      <w:r>
        <w:rPr>
          <w:rFonts w:ascii="Palatino Linotype" w:hAnsi="Palatino Linotype"/>
          <w:sz w:val="22"/>
        </w:rPr>
        <w:t>(Sic)</w:t>
      </w:r>
    </w:p>
    <w:p w:rsidR="00E67687" w:rsidRDefault="00E67687">
      <w:pPr>
        <w:spacing w:line="360" w:lineRule="auto"/>
        <w:ind w:right="709"/>
        <w:jc w:val="both"/>
        <w:rPr>
          <w:rFonts w:ascii="Palatino Linotype" w:hAnsi="Palatino Linotype"/>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expediente electrónico del </w:t>
      </w:r>
      <w:r>
        <w:rPr>
          <w:rFonts w:ascii="Palatino Linotype" w:hAnsi="Palatino Linotype" w:cs="Arial"/>
          <w:b/>
        </w:rPr>
        <w:t>SAIMEX</w:t>
      </w:r>
      <w:r>
        <w:rPr>
          <w:rFonts w:ascii="Palatino Linotype" w:hAnsi="Palatino Linotype" w:cs="Arial"/>
        </w:rPr>
        <w:t xml:space="preserve">, se advierte que, en el apartado de requerimientos de conformidad con el artículo 162 de Ley de la materia, el Titular de la Unidad de Transparencia turnó la solicitud de información al Sub Director de Recursos Humanos, Servidor Público Habilitado competente, a través del turno con número de folio </w:t>
      </w:r>
      <w:r>
        <w:rPr>
          <w:rFonts w:ascii="Palatino Linotype" w:hAnsi="Palatino Linotype" w:cs="Arial"/>
          <w:b/>
          <w:bCs/>
        </w:rPr>
        <w:t xml:space="preserve">00148/TLALNEPA/IP/2019/TSP/0001, </w:t>
      </w:r>
      <w:r>
        <w:rPr>
          <w:rFonts w:ascii="Palatino Linotype" w:hAnsi="Palatino Linotype" w:cs="Arial"/>
        </w:rPr>
        <w:t>tal como se aprecia en la siguiente imagen:</w:t>
      </w:r>
    </w:p>
    <w:p w:rsidR="00E67687" w:rsidRDefault="00E67687">
      <w:pPr>
        <w:pStyle w:val="Prrafodelista"/>
        <w:spacing w:line="360" w:lineRule="auto"/>
        <w:ind w:left="0"/>
        <w:rPr>
          <w:rFonts w:ascii="Palatino Linotype" w:hAnsi="Palatino Linotype"/>
          <w:lang w:eastAsia="es-MX"/>
        </w:rPr>
      </w:pPr>
    </w:p>
    <w:p w:rsidR="00E67687" w:rsidRDefault="006D67BC">
      <w:pPr>
        <w:pStyle w:val="Prrafodelista"/>
        <w:spacing w:line="360" w:lineRule="auto"/>
        <w:ind w:left="0"/>
        <w:rPr>
          <w:rFonts w:ascii="Palatino Linotype" w:hAnsi="Palatino Linotype" w:cs="Arial"/>
        </w:rPr>
      </w:pPr>
      <w:r>
        <w:rPr>
          <w:noProof/>
          <w:lang w:eastAsia="es-MX"/>
        </w:rPr>
        <w:drawing>
          <wp:inline distT="0" distB="0" distL="0" distR="0">
            <wp:extent cx="5791835" cy="939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4" t="38530" r="50715" b="49739"/>
                    <a:stretch>
                      <a:fillRect/>
                    </a:stretch>
                  </pic:blipFill>
                  <pic:spPr bwMode="auto">
                    <a:xfrm>
                      <a:off x="0" y="0"/>
                      <a:ext cx="5791835" cy="939165"/>
                    </a:xfrm>
                    <a:prstGeom prst="rect">
                      <a:avLst/>
                    </a:prstGeom>
                  </pic:spPr>
                </pic:pic>
              </a:graphicData>
            </a:graphic>
          </wp:inline>
        </w:drawing>
      </w:r>
    </w:p>
    <w:p w:rsidR="00E67687" w:rsidRDefault="00E67687">
      <w:pPr>
        <w:spacing w:line="360" w:lineRule="auto"/>
        <w:jc w:val="both"/>
        <w:rPr>
          <w:rFonts w:ascii="Palatino Linotype" w:hAnsi="Palatino Linotype" w:cs="Arial"/>
        </w:rPr>
      </w:pPr>
    </w:p>
    <w:p w:rsidR="00E67687" w:rsidRDefault="006D67BC">
      <w:pPr>
        <w:pStyle w:val="Prrafodelista"/>
        <w:spacing w:line="360" w:lineRule="auto"/>
        <w:ind w:left="0"/>
        <w:jc w:val="both"/>
        <w:rPr>
          <w:rFonts w:ascii="Palatino Linotype" w:hAnsi="Palatino Linotype" w:cs="Arial"/>
        </w:rPr>
      </w:pPr>
      <w:r>
        <w:rPr>
          <w:rFonts w:ascii="Palatino Linotype" w:hAnsi="Palatino Linotype" w:cs="Arial"/>
        </w:rPr>
        <w:t xml:space="preserve">Dicho requerimiento, cabe señalar que fue atendido por el servidor público señalado, a través del folio de respuesta </w:t>
      </w:r>
      <w:r>
        <w:rPr>
          <w:rFonts w:ascii="Palatino Linotype" w:hAnsi="Palatino Linotype" w:cs="Arial"/>
          <w:b/>
        </w:rPr>
        <w:t xml:space="preserve">00148/TLALNEPA/IP/2019/RSP/0001, </w:t>
      </w:r>
      <w:r>
        <w:rPr>
          <w:rFonts w:ascii="Palatino Linotype" w:hAnsi="Palatino Linotype" w:cs="Arial"/>
        </w:rPr>
        <w:t xml:space="preserve">tal y como se ilustra con la imagen inserta: </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spacing w:line="360" w:lineRule="auto"/>
        <w:ind w:left="0"/>
        <w:rPr>
          <w:rFonts w:ascii="Palatino Linotype" w:hAnsi="Palatino Linotype" w:cs="Arial"/>
        </w:rPr>
      </w:pPr>
      <w:r>
        <w:rPr>
          <w:noProof/>
          <w:lang w:eastAsia="es-MX"/>
        </w:rPr>
        <w:drawing>
          <wp:inline distT="0" distB="0" distL="0" distR="0">
            <wp:extent cx="5801995" cy="60642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8"/>
                    <a:srcRect l="48742" t="40574" b="50002"/>
                    <a:stretch>
                      <a:fillRect/>
                    </a:stretch>
                  </pic:blipFill>
                  <pic:spPr bwMode="auto">
                    <a:xfrm>
                      <a:off x="0" y="0"/>
                      <a:ext cx="5801995" cy="606425"/>
                    </a:xfrm>
                    <a:prstGeom prst="rect">
                      <a:avLst/>
                    </a:prstGeom>
                  </pic:spPr>
                </pic:pic>
              </a:graphicData>
            </a:graphic>
          </wp:inline>
        </w:drawing>
      </w:r>
    </w:p>
    <w:p w:rsidR="00E67687" w:rsidRDefault="00E67687">
      <w:pPr>
        <w:pStyle w:val="Prrafodelista"/>
        <w:spacing w:line="360" w:lineRule="auto"/>
        <w:ind w:left="720" w:right="757"/>
        <w:jc w:val="right"/>
        <w:rPr>
          <w:rFonts w:ascii="Palatino Linotype" w:hAnsi="Palatino Linotype" w:cs="Arial"/>
          <w:i/>
          <w:sz w:val="22"/>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lastRenderedPageBreak/>
        <w:t xml:space="preserve">Del expediente electrónico del </w:t>
      </w:r>
      <w:r>
        <w:rPr>
          <w:rFonts w:ascii="Palatino Linotype" w:hAnsi="Palatino Linotype" w:cs="Arial"/>
          <w:b/>
        </w:rPr>
        <w:t>SAIMEX,</w:t>
      </w:r>
      <w:r>
        <w:rPr>
          <w:rFonts w:ascii="Palatino Linotype" w:hAnsi="Palatino Linotype" w:cs="Arial"/>
        </w:rPr>
        <w:t xml:space="preserve"> se advierte que en fecha veinticuatro de febrero de dos mil veinte, </w:t>
      </w:r>
      <w:r>
        <w:rPr>
          <w:rFonts w:ascii="Palatino Linotype" w:hAnsi="Palatino Linotype" w:cs="Arial"/>
          <w:b/>
        </w:rPr>
        <w:t>EL SUJETO OBLIGADO</w:t>
      </w:r>
      <w:r>
        <w:rPr>
          <w:rFonts w:ascii="Palatino Linotype" w:hAnsi="Palatino Linotype" w:cs="Arial"/>
        </w:rPr>
        <w:t xml:space="preserve"> a manera de respuesta a la solicitud de acceso a la información pública requerida por </w:t>
      </w:r>
      <w:r>
        <w:rPr>
          <w:rFonts w:ascii="Palatino Linotype" w:hAnsi="Palatino Linotype" w:cs="Arial"/>
          <w:b/>
        </w:rPr>
        <w:t>EL RECURRENTE</w:t>
      </w:r>
      <w:r>
        <w:rPr>
          <w:rFonts w:ascii="Palatino Linotype" w:hAnsi="Palatino Linotype" w:cs="Arial"/>
        </w:rPr>
        <w:t>, se pronunció en estos términos:</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ind w:left="720"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67687" w:rsidRDefault="00E67687">
      <w:pPr>
        <w:pStyle w:val="Prrafodelista"/>
        <w:ind w:left="720" w:right="757"/>
        <w:jc w:val="both"/>
        <w:rPr>
          <w:rFonts w:ascii="Palatino Linotype" w:hAnsi="Palatino Linotype" w:cs="Arial"/>
          <w:i/>
          <w:sz w:val="22"/>
        </w:rPr>
      </w:pPr>
    </w:p>
    <w:p w:rsidR="00E67687" w:rsidRDefault="006D67BC">
      <w:pPr>
        <w:pStyle w:val="Prrafodelista"/>
        <w:ind w:left="720" w:right="757"/>
        <w:jc w:val="both"/>
        <w:rPr>
          <w:rFonts w:ascii="Palatino Linotype" w:hAnsi="Palatino Linotype" w:cs="Arial"/>
          <w:i/>
          <w:sz w:val="22"/>
        </w:rPr>
      </w:pPr>
      <w:r>
        <w:rPr>
          <w:rFonts w:ascii="Palatino Linotype" w:hAnsi="Palatino Linotype" w:cs="Arial"/>
          <w:i/>
          <w:sz w:val="22"/>
        </w:rPr>
        <w:t>SE ANEXA OFICIO DE RESPUESTA RESPECTIVA</w:t>
      </w:r>
    </w:p>
    <w:p w:rsidR="00E67687" w:rsidRDefault="00E67687">
      <w:pPr>
        <w:pStyle w:val="Prrafodelista"/>
        <w:ind w:left="720" w:right="757"/>
        <w:jc w:val="both"/>
        <w:rPr>
          <w:rFonts w:ascii="Palatino Linotype" w:hAnsi="Palatino Linotype" w:cs="Arial"/>
          <w:i/>
          <w:sz w:val="22"/>
        </w:rPr>
      </w:pPr>
    </w:p>
    <w:p w:rsidR="00E67687" w:rsidRDefault="006D67BC">
      <w:pPr>
        <w:pStyle w:val="Prrafodelista"/>
        <w:ind w:left="720" w:right="757"/>
        <w:jc w:val="both"/>
        <w:rPr>
          <w:rFonts w:ascii="Palatino Linotype" w:hAnsi="Palatino Linotype" w:cs="Arial"/>
          <w:i/>
          <w:sz w:val="22"/>
        </w:rPr>
      </w:pPr>
      <w:r>
        <w:rPr>
          <w:rFonts w:ascii="Palatino Linotype" w:hAnsi="Palatino Linotype" w:cs="Arial"/>
          <w:i/>
          <w:sz w:val="22"/>
        </w:rPr>
        <w:t>ATENTAMENTE</w:t>
      </w:r>
    </w:p>
    <w:p w:rsidR="00E67687" w:rsidRDefault="00E67687">
      <w:pPr>
        <w:pStyle w:val="Prrafodelista"/>
        <w:ind w:left="720" w:right="757"/>
        <w:jc w:val="both"/>
        <w:rPr>
          <w:rFonts w:ascii="Palatino Linotype" w:hAnsi="Palatino Linotype" w:cs="Arial"/>
          <w:i/>
          <w:sz w:val="22"/>
        </w:rPr>
      </w:pPr>
    </w:p>
    <w:p w:rsidR="00E67687" w:rsidRDefault="006D67BC">
      <w:pPr>
        <w:pStyle w:val="Prrafodelista"/>
        <w:ind w:left="720" w:right="757"/>
        <w:jc w:val="both"/>
        <w:rPr>
          <w:rFonts w:ascii="Palatino Linotype" w:hAnsi="Palatino Linotype" w:cs="Arial"/>
          <w:i/>
          <w:sz w:val="22"/>
        </w:rPr>
      </w:pPr>
      <w:r>
        <w:rPr>
          <w:rFonts w:ascii="Palatino Linotype" w:hAnsi="Palatino Linotype" w:cs="Arial"/>
          <w:i/>
          <w:sz w:val="22"/>
        </w:rPr>
        <w:t>Lic. Monica Chávez Durán”</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spacing w:line="360" w:lineRule="auto"/>
        <w:ind w:left="0"/>
        <w:jc w:val="both"/>
        <w:rPr>
          <w:rFonts w:ascii="Palatino Linotype" w:hAnsi="Palatino Linotype" w:cs="Arial"/>
          <w:b/>
          <w:i/>
        </w:rPr>
      </w:pPr>
      <w:r>
        <w:rPr>
          <w:rFonts w:ascii="Palatino Linotype" w:hAnsi="Palatino Linotype" w:cs="Arial"/>
        </w:rPr>
        <w:t xml:space="preserve">Adjunto a su respuesta, </w:t>
      </w:r>
      <w:r>
        <w:rPr>
          <w:rFonts w:ascii="Palatino Linotype" w:hAnsi="Palatino Linotype" w:cs="Arial"/>
          <w:b/>
        </w:rPr>
        <w:t xml:space="preserve">EL SUJETO OBLIGADO </w:t>
      </w:r>
      <w:r>
        <w:rPr>
          <w:rFonts w:ascii="Palatino Linotype" w:hAnsi="Palatino Linotype" w:cs="Arial"/>
        </w:rPr>
        <w:t xml:space="preserve">remitió el archivo electrónico denominado </w:t>
      </w:r>
      <w:r>
        <w:rPr>
          <w:rFonts w:ascii="Palatino Linotype" w:hAnsi="Palatino Linotype" w:cs="Arial"/>
          <w:b/>
          <w:i/>
        </w:rPr>
        <w:t>SAIMEX 00148.ZIP</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veinticinco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01197/INFOEM/IP/RR/2020</w:t>
      </w:r>
      <w:r>
        <w:rPr>
          <w:rFonts w:ascii="Palatino Linotype" w:hAnsi="Palatino Linotype" w:cs="Arial"/>
        </w:rPr>
        <w:t>, en el que señaló como acto impugnado lo siguiente:</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spacing w:line="360" w:lineRule="auto"/>
        <w:ind w:left="709" w:right="757"/>
        <w:jc w:val="both"/>
        <w:rPr>
          <w:rFonts w:ascii="Palatino Linotype" w:hAnsi="Palatino Linotype"/>
          <w:i/>
          <w:color w:val="000000"/>
          <w:sz w:val="22"/>
        </w:rPr>
      </w:pPr>
      <w:r>
        <w:rPr>
          <w:rFonts w:ascii="Palatino Linotype" w:hAnsi="Palatino Linotype"/>
          <w:i/>
          <w:color w:val="000000"/>
          <w:sz w:val="22"/>
        </w:rPr>
        <w:t>“Indolentemente el sujeto obligado me entrega una información diferente a la solicitada.”</w:t>
      </w:r>
    </w:p>
    <w:p w:rsidR="00E67687" w:rsidRDefault="00E67687">
      <w:pPr>
        <w:spacing w:line="360" w:lineRule="auto"/>
        <w:ind w:right="757"/>
        <w:jc w:val="both"/>
        <w:rPr>
          <w:rFonts w:ascii="Palatino Linotype" w:hAnsi="Palatino Linotype" w:cs="Arial"/>
          <w:spacing w:val="-6"/>
          <w:lang w:eastAsia="es-MX"/>
        </w:rPr>
      </w:pPr>
    </w:p>
    <w:p w:rsidR="00E67687" w:rsidRDefault="006D67BC">
      <w:pPr>
        <w:spacing w:line="360" w:lineRule="auto"/>
        <w:ind w:right="757"/>
        <w:jc w:val="both"/>
        <w:rPr>
          <w:rFonts w:ascii="Palatino Linotype" w:hAnsi="Palatino Linotype" w:cs="Arial"/>
        </w:rPr>
      </w:pPr>
      <w:r>
        <w:rPr>
          <w:rFonts w:ascii="Palatino Linotype" w:hAnsi="Palatino Linotype" w:cs="Arial"/>
          <w:spacing w:val="-6"/>
          <w:lang w:eastAsia="es-MX"/>
        </w:rPr>
        <w:lastRenderedPageBreak/>
        <w:t xml:space="preserve">Asimismo, manifestó como </w:t>
      </w:r>
      <w:r>
        <w:rPr>
          <w:rFonts w:ascii="Palatino Linotype" w:hAnsi="Palatino Linotype" w:cs="Arial"/>
        </w:rPr>
        <w:t>razones o motivos de inconformidad:</w:t>
      </w:r>
    </w:p>
    <w:p w:rsidR="00E67687" w:rsidRDefault="00E67687">
      <w:pPr>
        <w:pStyle w:val="Prrafodelista"/>
        <w:spacing w:line="360" w:lineRule="auto"/>
        <w:ind w:left="709" w:right="757"/>
        <w:jc w:val="both"/>
        <w:rPr>
          <w:rFonts w:ascii="Palatino Linotype" w:hAnsi="Palatino Linotype" w:cs="Arial"/>
          <w:i/>
          <w:spacing w:val="-6"/>
          <w:sz w:val="22"/>
          <w:lang w:eastAsia="es-MX"/>
        </w:rPr>
      </w:pPr>
    </w:p>
    <w:p w:rsidR="00E67687" w:rsidRDefault="006D67BC">
      <w:pPr>
        <w:pStyle w:val="Prrafodelista"/>
        <w:spacing w:line="360" w:lineRule="auto"/>
        <w:ind w:left="709" w:right="757"/>
        <w:jc w:val="both"/>
        <w:rPr>
          <w:rFonts w:ascii="Palatino Linotype" w:hAnsi="Palatino Linotype" w:cs="Arial"/>
          <w:i/>
          <w:sz w:val="22"/>
        </w:rPr>
      </w:pPr>
      <w:r>
        <w:rPr>
          <w:rFonts w:ascii="Palatino Linotype" w:hAnsi="Palatino Linotype" w:cs="Arial"/>
          <w:i/>
          <w:spacing w:val="-6"/>
          <w:sz w:val="22"/>
          <w:lang w:eastAsia="es-MX"/>
        </w:rPr>
        <w:t xml:space="preserve">“Sin verificar mi solicitud de información el sujeto obligado me entrega información que no corresponde a lo solicitado” </w:t>
      </w:r>
    </w:p>
    <w:p w:rsidR="00E67687" w:rsidRDefault="00E67687">
      <w:pPr>
        <w:spacing w:line="360" w:lineRule="auto"/>
        <w:ind w:right="49"/>
        <w:rPr>
          <w:rFonts w:ascii="Palatino Linotype" w:hAnsi="Palatino Linotype" w:cs="Arial"/>
          <w:spacing w:val="-6"/>
          <w:lang w:eastAsia="es-MX"/>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veinticinco de febrero de dos mil veinte</w:t>
      </w:r>
      <w:r>
        <w:rPr>
          <w:rFonts w:ascii="Palatino Linotype" w:hAnsi="Palatino Linotype" w:cs="Arial"/>
        </w:rPr>
        <w:t xml:space="preserve">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tres de marzo de dos mil veinte</w:t>
      </w:r>
      <w:r>
        <w:rPr>
          <w:rFonts w:ascii="Palatino Linotype" w:hAnsi="Palatino Linotype" w:cs="Arial"/>
        </w:rPr>
        <w:t xml:space="preserv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EL RECURRENTE </w:t>
      </w:r>
      <w:r>
        <w:rPr>
          <w:rFonts w:ascii="Palatino Linotype" w:hAnsi="Palatino Linotype" w:cs="Arial"/>
        </w:rPr>
        <w:t xml:space="preserve">no presentó manifestaciones y alegatos, ni ofreció los medios de prueba que a su </w:t>
      </w:r>
      <w:r>
        <w:rPr>
          <w:rFonts w:ascii="Palatino Linotype" w:hAnsi="Palatino Linotype" w:cs="Arial"/>
        </w:rPr>
        <w:lastRenderedPageBreak/>
        <w:t xml:space="preserve">derecho convinieran; mientras que por su parte, </w:t>
      </w:r>
      <w:r>
        <w:rPr>
          <w:rFonts w:ascii="Palatino Linotype" w:hAnsi="Palatino Linotype" w:cs="Arial"/>
          <w:b/>
        </w:rPr>
        <w:t>EL SUJETO OBLIGADO</w:t>
      </w:r>
      <w:r>
        <w:t xml:space="preserve"> </w:t>
      </w:r>
      <w:r>
        <w:rPr>
          <w:rFonts w:ascii="Palatino Linotype" w:hAnsi="Palatino Linotype" w:cs="Arial"/>
        </w:rPr>
        <w:t xml:space="preserve">rindió su Informe Justificado en fecha diez de marzo de dos mil veinte, al que adjuntó  el archivo electrónico </w:t>
      </w:r>
      <w:r>
        <w:rPr>
          <w:rFonts w:ascii="Palatino Linotype" w:hAnsi="Palatino Linotype" w:cs="Arial"/>
          <w:b/>
          <w:i/>
        </w:rPr>
        <w:t>manifestaciones.zip</w:t>
      </w:r>
      <w:r>
        <w:rPr>
          <w:rFonts w:ascii="Palatino Linotype" w:hAnsi="Palatino Linotype" w:cs="Arial"/>
        </w:rPr>
        <w:t xml:space="preserve">, mismos que no fueron puestos a disposición del particular por no actualizar lo dispuesto por la fracción III del artículo 185 de la Ley de Transparencia y Acceso a la Información Pública del Estado de México y Municipios, pues si bien es cierto remite información adicional a la proporcionada en la respuesta, esta contiene datos susceptibles de ser clasificados como reservados como son CURP, clave de ISSEMYM y actas circunstanciadas, por lo que únicamente se inserta lo relativo al Informe Justificado del </w:t>
      </w:r>
      <w:r>
        <w:rPr>
          <w:rFonts w:ascii="Palatino Linotype" w:hAnsi="Palatino Linotype" w:cs="Arial"/>
          <w:b/>
        </w:rPr>
        <w:t>SUJETO OBLIGADO</w:t>
      </w:r>
      <w:r>
        <w:rPr>
          <w:rFonts w:ascii="Palatino Linotype" w:hAnsi="Palatino Linotype" w:cs="Arial"/>
        </w:rPr>
        <w:t>, a fin de que el ciudadano cuente con todas y cada una de las constancias que integran el expediente electrónico del recurso de revisión.</w:t>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spacing w:line="360" w:lineRule="auto"/>
        <w:ind w:left="0"/>
        <w:jc w:val="both"/>
        <w:rPr>
          <w:rFonts w:ascii="Palatino Linotype" w:hAnsi="Palatino Linotype" w:cs="Arial"/>
        </w:rPr>
      </w:pPr>
      <w:r>
        <w:rPr>
          <w:noProof/>
          <w:lang w:eastAsia="es-MX"/>
        </w:rPr>
        <w:drawing>
          <wp:inline distT="0" distB="0" distL="0" distR="0">
            <wp:extent cx="5760720" cy="200342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9"/>
                    <a:srcRect l="10919" t="48742" r="12524" b="20647"/>
                    <a:stretch>
                      <a:fillRect/>
                    </a:stretch>
                  </pic:blipFill>
                  <pic:spPr bwMode="auto">
                    <a:xfrm>
                      <a:off x="0" y="0"/>
                      <a:ext cx="5760720" cy="2003425"/>
                    </a:xfrm>
                    <a:prstGeom prst="rect">
                      <a:avLst/>
                    </a:prstGeom>
                  </pic:spPr>
                </pic:pic>
              </a:graphicData>
            </a:graphic>
          </wp:inline>
        </w:drawing>
      </w:r>
    </w:p>
    <w:p w:rsidR="00E67687" w:rsidRDefault="00E67687">
      <w:pPr>
        <w:pStyle w:val="Prrafodelista"/>
        <w:spacing w:line="360" w:lineRule="auto"/>
        <w:ind w:left="0"/>
        <w:jc w:val="both"/>
        <w:rPr>
          <w:rFonts w:ascii="Palatino Linotype" w:hAnsi="Palatino Linotype" w:cs="Arial"/>
        </w:rPr>
      </w:pPr>
    </w:p>
    <w:p w:rsidR="00E67687" w:rsidRDefault="006D67BC">
      <w:pPr>
        <w:pStyle w:val="Prrafodelista"/>
        <w:numPr>
          <w:ilvl w:val="0"/>
          <w:numId w:val="1"/>
        </w:numPr>
        <w:spacing w:line="360" w:lineRule="auto"/>
        <w:ind w:left="0" w:firstLine="0"/>
        <w:jc w:val="both"/>
        <w:rPr>
          <w:rFonts w:ascii="Palatino Linotype" w:hAnsi="Palatino Linotype"/>
        </w:rPr>
      </w:pPr>
      <w:r>
        <w:rPr>
          <w:rFonts w:ascii="Palatino Linotype" w:hAnsi="Palatino Linotype" w:cs="Arial"/>
        </w:rPr>
        <w:t xml:space="preserve">Transcurrido el plazo señalado en el párrafo anterior y, una vez analizado el estado procesal que guardaba el expediente, en fecha veinte de marzo de dos mil veinte, la Comisionada Ponente acordó el cierre de instrucción, así como la remisión del mismo a efecto de ser resuelto, de conformidad con lo establecido en el artículo 185 </w:t>
      </w:r>
      <w:r>
        <w:rPr>
          <w:rFonts w:ascii="Palatino Linotype" w:hAnsi="Palatino Linotype" w:cs="Arial"/>
        </w:rPr>
        <w:lastRenderedPageBreak/>
        <w:t>fracciones VI y VIII de la Ley de Transparencia y Acceso a la Información Pública del Estado de México y Municipios.</w:t>
      </w:r>
    </w:p>
    <w:p w:rsidR="00E67687" w:rsidRDefault="006D67BC">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E67687" w:rsidRDefault="00E67687">
      <w:pPr>
        <w:spacing w:line="360" w:lineRule="auto"/>
        <w:jc w:val="center"/>
        <w:rPr>
          <w:rFonts w:ascii="Palatino Linotype" w:hAnsi="Palatino Linotype"/>
          <w:b/>
          <w:bCs/>
          <w:spacing w:val="60"/>
        </w:rPr>
      </w:pPr>
    </w:p>
    <w:p w:rsidR="00E67687" w:rsidRDefault="006D67BC">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E67687" w:rsidRDefault="00E67687">
      <w:pPr>
        <w:pStyle w:val="Prrafodelista"/>
        <w:widowControl w:val="0"/>
        <w:spacing w:line="360" w:lineRule="auto"/>
        <w:ind w:left="0"/>
        <w:jc w:val="both"/>
        <w:rPr>
          <w:rFonts w:ascii="Palatino Linotype" w:hAnsi="Palatino Linotype" w:cs="Arial"/>
        </w:rPr>
      </w:pPr>
    </w:p>
    <w:p w:rsidR="00E67687" w:rsidRDefault="006D67BC">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rPr>
        <w:t xml:space="preserve">, quien es la misma persona que formuló la solicitud de información pública número </w:t>
      </w:r>
      <w:r>
        <w:rPr>
          <w:rFonts w:ascii="Palatino Linotype" w:hAnsi="Palatino Linotype" w:cs="Arial"/>
          <w:b/>
          <w:bCs/>
        </w:rPr>
        <w:t xml:space="preserve">00148/TLALNEPA/IP/2020 </w:t>
      </w:r>
      <w:r>
        <w:rPr>
          <w:rFonts w:ascii="Palatino Linotype" w:hAnsi="Palatino Linotype" w:cs="Arial"/>
        </w:rPr>
        <w:t>al</w:t>
      </w:r>
      <w:r>
        <w:rPr>
          <w:rFonts w:ascii="Palatino Linotype" w:hAnsi="Palatino Linotype" w:cs="Arial"/>
          <w:b/>
        </w:rPr>
        <w:t xml:space="preserve"> SUJETO OBLIGADO</w:t>
      </w:r>
      <w:r>
        <w:rPr>
          <w:rFonts w:ascii="Palatino Linotype" w:hAnsi="Palatino Linotype" w:cs="Arial"/>
        </w:rPr>
        <w:t>.</w:t>
      </w:r>
    </w:p>
    <w:p w:rsidR="00E67687" w:rsidRDefault="00E67687">
      <w:pPr>
        <w:pStyle w:val="Prrafodelista"/>
        <w:widowControl w:val="0"/>
        <w:spacing w:line="360" w:lineRule="auto"/>
        <w:ind w:left="0"/>
        <w:jc w:val="both"/>
        <w:rPr>
          <w:rFonts w:ascii="Palatino Linotype" w:hAnsi="Palatino Linotype" w:cs="Arial"/>
        </w:rPr>
      </w:pPr>
    </w:p>
    <w:p w:rsidR="00E67687" w:rsidRDefault="006D67BC">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 aquel en que </w:t>
      </w:r>
      <w:r>
        <w:rPr>
          <w:rFonts w:ascii="Palatino Linotype" w:hAnsi="Palatino Linotype" w:cs="Arial"/>
          <w:b/>
        </w:rPr>
        <w:t xml:space="preserve">EL </w:t>
      </w:r>
      <w:r>
        <w:rPr>
          <w:rFonts w:ascii="Palatino Linotype" w:hAnsi="Palatino Linotype" w:cs="Arial"/>
          <w:b/>
        </w:rPr>
        <w:lastRenderedPageBreak/>
        <w:t xml:space="preserve">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67687" w:rsidRDefault="00E67687">
      <w:pPr>
        <w:pStyle w:val="Prrafodelista"/>
        <w:widowControl w:val="0"/>
        <w:spacing w:line="360" w:lineRule="auto"/>
        <w:ind w:left="0"/>
        <w:jc w:val="both"/>
        <w:rPr>
          <w:rFonts w:ascii="Palatino Linotype" w:hAnsi="Palatino Linotype" w:cs="Arial"/>
        </w:rPr>
      </w:pPr>
    </w:p>
    <w:p w:rsidR="00E67687" w:rsidRDefault="006D67BC">
      <w:pPr>
        <w:ind w:left="709" w:right="757"/>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67687" w:rsidRDefault="00E67687">
      <w:pPr>
        <w:ind w:left="709" w:right="757"/>
        <w:jc w:val="both"/>
        <w:rPr>
          <w:rFonts w:ascii="Palatino Linotype" w:hAnsi="Palatino Linotype" w:cs="Arial"/>
          <w:i/>
          <w:sz w:val="22"/>
        </w:rPr>
      </w:pPr>
    </w:p>
    <w:p w:rsidR="00E67687" w:rsidRDefault="006D67BC">
      <w:pPr>
        <w:ind w:left="709" w:right="757"/>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7687" w:rsidRDefault="00E67687">
      <w:pPr>
        <w:ind w:left="709" w:right="757"/>
        <w:jc w:val="both"/>
        <w:rPr>
          <w:rFonts w:ascii="Palatino Linotype" w:hAnsi="Palatino Linotype" w:cs="Arial"/>
          <w:i/>
          <w:sz w:val="22"/>
        </w:rPr>
      </w:pPr>
    </w:p>
    <w:p w:rsidR="00E67687" w:rsidRDefault="006D67BC">
      <w:pPr>
        <w:ind w:left="709" w:right="757"/>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E67687" w:rsidRDefault="00E67687">
      <w:pPr>
        <w:spacing w:line="360" w:lineRule="auto"/>
        <w:ind w:left="709" w:right="709"/>
        <w:jc w:val="both"/>
        <w:rPr>
          <w:rFonts w:ascii="Palatino Linotype" w:hAnsi="Palatino Linotype" w:cs="Arial"/>
          <w:i/>
        </w:rPr>
      </w:pPr>
    </w:p>
    <w:p w:rsidR="00E67687" w:rsidRDefault="006D67BC">
      <w:pPr>
        <w:spacing w:line="360" w:lineRule="auto"/>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w:t>
      </w:r>
      <w:r>
        <w:rPr>
          <w:rFonts w:ascii="Palatino Linotype" w:hAnsi="Palatino Linotype" w:cs="Arial"/>
          <w:b/>
        </w:rPr>
        <w:t xml:space="preserve"> veinticuatro de marzo de dos mil veinte</w:t>
      </w:r>
      <w:r>
        <w:rPr>
          <w:rFonts w:ascii="Palatino Linotype" w:hAnsi="Palatino Linotype" w:cs="Arial"/>
        </w:rPr>
        <w:t xml:space="preserve">; el plazo de quince días hábiles que el artículo 178 de la Ley de la materia otorga a </w:t>
      </w:r>
      <w:r>
        <w:rPr>
          <w:rFonts w:ascii="Palatino Linotype" w:hAnsi="Palatino Linotype" w:cs="Arial"/>
          <w:b/>
        </w:rPr>
        <w:t>EL RECURRENTE</w:t>
      </w:r>
      <w:r>
        <w:rPr>
          <w:rFonts w:ascii="Palatino Linotype" w:hAnsi="Palatino Linotype" w:cs="Arial"/>
        </w:rPr>
        <w:t xml:space="preserve"> para presentar el recurso de revisión, transcurrió del </w:t>
      </w:r>
      <w:r>
        <w:rPr>
          <w:rFonts w:ascii="Palatino Linotype" w:hAnsi="Palatino Linotype" w:cs="Arial"/>
          <w:b/>
        </w:rPr>
        <w:t>veinticinco de febrero al dieciocho de marzo de dos mil veinte</w:t>
      </w:r>
      <w:r>
        <w:rPr>
          <w:rFonts w:ascii="Palatino Linotype" w:hAnsi="Palatino Linotype" w:cs="Arial"/>
        </w:rPr>
        <w:t xml:space="preserve">, sin contemplar en el cómputo el día siete, ocho, catorce y quince de marzo de dos mil veinte; de igual forma los días dos y dieciséis de marzo por suspensión de labores en el Instituto, en términos del artículo 3, fracción X, de la Ley de Transparencia y Acceso a la Información Pública del Estado de México y Municipios y de conformidad con el Calendario Oficial en Materia de Transparencia, Acceso a la Información Pública y Protección de Datos Personales del Estado de México y Municipios, para el año dos mil veinte y enero de dos mil veintiuno, </w:t>
      </w:r>
      <w:r>
        <w:rPr>
          <w:rFonts w:ascii="Palatino Linotype" w:hAnsi="Palatino Linotype" w:cs="Arial"/>
        </w:rPr>
        <w:lastRenderedPageBreak/>
        <w:t>publicado en el Periódico Oficial “Gaceta del Gobierno”, el diecinueve de diciembre de dos mil veinte.</w:t>
      </w:r>
    </w:p>
    <w:p w:rsidR="00E67687" w:rsidRDefault="00E67687">
      <w:pPr>
        <w:spacing w:line="360" w:lineRule="auto"/>
        <w:jc w:val="both"/>
        <w:rPr>
          <w:rFonts w:ascii="Palatino Linotype" w:hAnsi="Palatino Linotype" w:cs="Arial"/>
        </w:rPr>
      </w:pPr>
    </w:p>
    <w:p w:rsidR="00E67687" w:rsidRDefault="006D67BC">
      <w:pPr>
        <w:spacing w:line="360" w:lineRule="auto"/>
        <w:jc w:val="both"/>
        <w:rPr>
          <w:rFonts w:ascii="Palatino Linotype" w:hAnsi="Palatino Linotype" w:cs="Arial"/>
          <w:b/>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veinticinco de febrero de dos mil diecinueve</w:t>
      </w:r>
      <w:r>
        <w:rPr>
          <w:rFonts w:ascii="Palatino Linotype" w:hAnsi="Palatino Linotype" w:cs="Arial"/>
        </w:rPr>
        <w:t>, éste se encuentra dentro de los márgenes temporales previstos en el precepto legal citado en el párrafo anterior y, por tanto, su interposición se considera oportuna.</w:t>
      </w:r>
    </w:p>
    <w:p w:rsidR="00E67687" w:rsidRDefault="00E67687">
      <w:pPr>
        <w:spacing w:line="360" w:lineRule="auto"/>
        <w:jc w:val="both"/>
        <w:rPr>
          <w:rFonts w:ascii="Palatino Linotype" w:hAnsi="Palatino Linotype" w:cs="Arial"/>
          <w:b/>
          <w:u w:val="single"/>
        </w:rPr>
      </w:pPr>
    </w:p>
    <w:p w:rsidR="00E67687" w:rsidRDefault="006D67BC">
      <w:pPr>
        <w:pStyle w:val="Prrafodelista"/>
        <w:widowControl w:val="0"/>
        <w:numPr>
          <w:ilvl w:val="0"/>
          <w:numId w:val="2"/>
        </w:numPr>
        <w:spacing w:line="360" w:lineRule="auto"/>
        <w:ind w:left="0" w:firstLine="0"/>
        <w:jc w:val="both"/>
        <w:rPr>
          <w:rFonts w:ascii="Palatino Linotype" w:hAnsi="Palatino Linotype"/>
        </w:rPr>
      </w:pPr>
      <w:r>
        <w:rPr>
          <w:rFonts w:ascii="Palatino Linotype" w:hAnsi="Palatino Linotype" w:cs="Arial"/>
        </w:rPr>
        <w:t xml:space="preserve">Del análisis efectuado, se advierte que resulta procedente la interposición de los </w:t>
      </w:r>
      <w:r>
        <w:rPr>
          <w:rFonts w:ascii="Palatino Linotype" w:hAnsi="Palatino Linotype"/>
        </w:rPr>
        <w:t>recursos</w:t>
      </w:r>
      <w:r>
        <w:rPr>
          <w:rFonts w:ascii="Palatino Linotype" w:hAnsi="Palatino Linotype" w:cs="Arial"/>
        </w:rPr>
        <w:t xml:space="preserve"> y se concluye la acreditación </w:t>
      </w:r>
      <w:r>
        <w:rPr>
          <w:rFonts w:ascii="Palatino Linotype" w:hAnsi="Palatino Linotype"/>
        </w:rPr>
        <w:t>plena</w:t>
      </w:r>
      <w:r>
        <w:rPr>
          <w:rFonts w:ascii="Palatino Linotype" w:hAnsi="Palatino Linotype" w:cs="Arial"/>
        </w:rPr>
        <w:t xml:space="preserve"> de todos y cada uno de los elementos formales exigidos por el artículo 180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p>
    <w:p w:rsidR="00E67687" w:rsidRDefault="00E67687">
      <w:pPr>
        <w:pStyle w:val="Prrafodelista"/>
        <w:widowControl w:val="0"/>
        <w:spacing w:line="360" w:lineRule="auto"/>
        <w:ind w:left="0"/>
        <w:jc w:val="both"/>
        <w:rPr>
          <w:rFonts w:ascii="Palatino Linotype" w:hAnsi="Palatino Linotype"/>
        </w:rPr>
      </w:pPr>
    </w:p>
    <w:p w:rsidR="00E67687" w:rsidRDefault="006D67BC">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b/>
        </w:rPr>
        <w:t>Estudio y resolución del recurso</w:t>
      </w:r>
      <w:r>
        <w:rPr>
          <w:rFonts w:ascii="Palatino Linotype" w:hAnsi="Palatino Linotype" w:cs="Arial"/>
          <w:b/>
          <w:color w:val="000000" w:themeColor="text1"/>
        </w:rPr>
        <w:t xml:space="preserve">. </w:t>
      </w: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w:t>
      </w:r>
      <w:r>
        <w:rPr>
          <w:rFonts w:ascii="Palatino Linotype" w:eastAsia="Arial Unicode MS" w:hAnsi="Palatino Linotype" w:cs="Arial"/>
        </w:rPr>
        <w:t>se advierte que es procedente, toda vez que se actualiza la hipótesis prevista en la fracción VI, del artículo 179 de la Ley de la materia, que a la letra dice:</w:t>
      </w:r>
    </w:p>
    <w:p w:rsidR="00E67687" w:rsidRDefault="00E67687">
      <w:pPr>
        <w:pStyle w:val="Prrafodelista"/>
        <w:widowControl w:val="0"/>
        <w:ind w:left="0"/>
        <w:jc w:val="both"/>
        <w:rPr>
          <w:rFonts w:ascii="Palatino Linotype" w:eastAsia="Arial Unicode MS" w:hAnsi="Palatino Linotype" w:cs="Arial"/>
        </w:rPr>
      </w:pPr>
    </w:p>
    <w:p w:rsidR="00E67687" w:rsidRDefault="006D67BC">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E67687" w:rsidRDefault="00E67687">
      <w:pPr>
        <w:widowControl w:val="0"/>
        <w:ind w:left="709" w:right="757"/>
        <w:jc w:val="both"/>
        <w:rPr>
          <w:rFonts w:ascii="Palatino Linotype" w:eastAsia="Arial Unicode MS" w:hAnsi="Palatino Linotype" w:cs="Arial"/>
          <w:i/>
          <w:sz w:val="22"/>
        </w:rPr>
      </w:pPr>
    </w:p>
    <w:p w:rsidR="00E67687" w:rsidRDefault="006D67BC">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u w:val="single"/>
        </w:rPr>
        <w:t>V. La entrega de información incompleta;</w:t>
      </w:r>
      <w:r>
        <w:rPr>
          <w:rFonts w:ascii="Palatino Linotype" w:eastAsia="Arial Unicode MS" w:hAnsi="Palatino Linotype" w:cs="Arial"/>
          <w:i/>
          <w:sz w:val="22"/>
        </w:rPr>
        <w:t>…”</w:t>
      </w:r>
    </w:p>
    <w:p w:rsidR="00E67687" w:rsidRDefault="00E67687">
      <w:pPr>
        <w:widowControl w:val="0"/>
        <w:spacing w:line="360" w:lineRule="auto"/>
        <w:jc w:val="both"/>
        <w:rPr>
          <w:rFonts w:ascii="Palatino Linotype" w:eastAsia="Arial Unicode MS" w:hAnsi="Palatino Linotype" w:cs="Arial"/>
          <w:i/>
          <w:sz w:val="22"/>
        </w:rPr>
      </w:pPr>
    </w:p>
    <w:p w:rsidR="00E67687" w:rsidRDefault="006D67BC">
      <w:pPr>
        <w:widowControl w:val="0"/>
        <w:spacing w:line="360" w:lineRule="auto"/>
        <w:jc w:val="both"/>
        <w:rPr>
          <w:rFonts w:ascii="Palatino Linotype" w:hAnsi="Palatino Linotype"/>
        </w:rPr>
      </w:pPr>
      <w:r>
        <w:rPr>
          <w:rFonts w:ascii="Palatino Linotype" w:eastAsia="Arial Unicode MS" w:hAnsi="Palatino Linotype" w:cs="Arial"/>
          <w:lang w:val="es-ES"/>
        </w:rPr>
        <w:lastRenderedPageBreak/>
        <w:t xml:space="preserve">El precepto legal citado establece como supuesto de procedencia del recurso de revisión, la entrega de la información que no satisface el requerimiento de la particular y por ende el derecho de acceso a la información pública de </w:t>
      </w:r>
      <w:r>
        <w:rPr>
          <w:rFonts w:ascii="Palatino Linotype" w:eastAsia="Arial Unicode MS" w:hAnsi="Palatino Linotype" w:cs="Arial"/>
          <w:b/>
          <w:lang w:val="es-ES"/>
        </w:rPr>
        <w:t xml:space="preserve">EL RECURRENTE </w:t>
      </w:r>
      <w:r>
        <w:rPr>
          <w:rFonts w:ascii="Palatino Linotype" w:eastAsia="Arial Unicode MS" w:hAnsi="Palatino Linotype" w:cs="Arial"/>
          <w:lang w:val="es-ES"/>
        </w:rPr>
        <w:t xml:space="preserve"> por no atender en su totalidad los requerimientos de ésta por parte del </w:t>
      </w:r>
      <w:r>
        <w:rPr>
          <w:rFonts w:ascii="Palatino Linotype" w:eastAsia="Arial Unicode MS" w:hAnsi="Palatino Linotype" w:cs="Arial"/>
          <w:b/>
          <w:lang w:val="es-ES"/>
        </w:rPr>
        <w:t xml:space="preserve">SUJETO OBLIGADO </w:t>
      </w:r>
      <w:r>
        <w:rPr>
          <w:rFonts w:ascii="Palatino Linotype" w:eastAsia="Arial Unicode MS" w:hAnsi="Palatino Linotype" w:cs="Arial"/>
          <w:lang w:val="es-ES"/>
        </w:rPr>
        <w:t xml:space="preserve">en su respuesta; por lo que, resulta </w:t>
      </w:r>
      <w:r>
        <w:rPr>
          <w:rFonts w:ascii="Palatino Linotype" w:hAnsi="Palatino Linotype" w:cs="Arial"/>
        </w:rPr>
        <w:t xml:space="preserve">conveniente analizar si ésta cumple con los requisitos y procedimientos del derecho de acceso a la información pública, por lo que en primer término debemos recordar que </w:t>
      </w:r>
      <w:r>
        <w:rPr>
          <w:rFonts w:ascii="Palatino Linotype" w:hAnsi="Palatino Linotype" w:cs="Arial"/>
          <w:b/>
        </w:rPr>
        <w:t xml:space="preserve">EL RECURRENTE </w:t>
      </w:r>
      <w:r>
        <w:rPr>
          <w:rFonts w:ascii="Palatino Linotype" w:hAnsi="Palatino Linotype"/>
        </w:rPr>
        <w:t xml:space="preserve">solicitó al </w:t>
      </w:r>
      <w:r>
        <w:rPr>
          <w:rFonts w:ascii="Palatino Linotype" w:hAnsi="Palatino Linotype"/>
          <w:b/>
        </w:rPr>
        <w:t xml:space="preserve">SUJETO OBLIGADO </w:t>
      </w:r>
      <w:r>
        <w:rPr>
          <w:rFonts w:ascii="Palatino Linotype" w:hAnsi="Palatino Linotype"/>
        </w:rPr>
        <w:t>la información que a continuación se desagrega:</w:t>
      </w:r>
    </w:p>
    <w:p w:rsidR="00E67687" w:rsidRDefault="00E67687">
      <w:pPr>
        <w:widowControl w:val="0"/>
        <w:spacing w:line="360" w:lineRule="auto"/>
        <w:ind w:left="851"/>
        <w:jc w:val="both"/>
        <w:rPr>
          <w:rFonts w:ascii="Palatino Linotype" w:hAnsi="Palatino Linotype"/>
        </w:rPr>
      </w:pPr>
    </w:p>
    <w:p w:rsidR="00E67687" w:rsidRDefault="006D67BC">
      <w:pPr>
        <w:widowControl w:val="0"/>
        <w:spacing w:line="360" w:lineRule="auto"/>
        <w:ind w:left="851" w:right="902"/>
        <w:jc w:val="both"/>
        <w:rPr>
          <w:rFonts w:ascii="Palatino Linotype" w:hAnsi="Palatino Linotype" w:cs="Arial"/>
          <w:i/>
          <w:sz w:val="22"/>
        </w:rPr>
      </w:pPr>
      <w:r>
        <w:rPr>
          <w:rFonts w:ascii="Palatino Linotype" w:hAnsi="Palatino Linotype" w:cs="Arial"/>
          <w:i/>
          <w:sz w:val="22"/>
        </w:rPr>
        <w:t>“1.- Inventario de Bienes Inmuebles en formato Excel y PDF;</w:t>
      </w:r>
    </w:p>
    <w:p w:rsidR="00E67687" w:rsidRDefault="006D67BC">
      <w:pPr>
        <w:widowControl w:val="0"/>
        <w:spacing w:line="360" w:lineRule="auto"/>
        <w:ind w:left="851" w:right="902"/>
        <w:jc w:val="both"/>
        <w:rPr>
          <w:rFonts w:ascii="Palatino Linotype" w:hAnsi="Palatino Linotype" w:cs="Arial"/>
          <w:i/>
          <w:sz w:val="22"/>
        </w:rPr>
      </w:pPr>
      <w:r>
        <w:rPr>
          <w:rFonts w:ascii="Palatino Linotype" w:hAnsi="Palatino Linotype" w:cs="Arial"/>
          <w:i/>
          <w:sz w:val="22"/>
        </w:rPr>
        <w:t xml:space="preserve">  2.- Inventario de Bienes Muebles en formato Excel y PDF;</w:t>
      </w:r>
    </w:p>
    <w:p w:rsidR="00E67687" w:rsidRDefault="006D67BC">
      <w:pPr>
        <w:widowControl w:val="0"/>
        <w:spacing w:line="360" w:lineRule="auto"/>
        <w:ind w:left="851" w:right="902"/>
        <w:jc w:val="both"/>
        <w:rPr>
          <w:rFonts w:ascii="Palatino Linotype" w:hAnsi="Palatino Linotype" w:cs="Arial"/>
          <w:i/>
          <w:sz w:val="22"/>
        </w:rPr>
      </w:pPr>
      <w:r>
        <w:rPr>
          <w:rFonts w:ascii="Palatino Linotype" w:hAnsi="Palatino Linotype" w:cs="Arial"/>
          <w:i/>
          <w:sz w:val="22"/>
        </w:rPr>
        <w:t xml:space="preserve"> 3.- Inventario de Bienes Muebles de Bajo Costo en formato Excel y PDF;</w:t>
      </w:r>
    </w:p>
    <w:p w:rsidR="00E67687" w:rsidRDefault="006D67BC">
      <w:pPr>
        <w:widowControl w:val="0"/>
        <w:spacing w:line="360" w:lineRule="auto"/>
        <w:ind w:left="851" w:right="902"/>
        <w:jc w:val="both"/>
        <w:rPr>
          <w:rFonts w:ascii="Palatino Linotype" w:hAnsi="Palatino Linotype" w:cs="Arial"/>
          <w:i/>
          <w:sz w:val="22"/>
        </w:rPr>
      </w:pPr>
      <w:r>
        <w:rPr>
          <w:rFonts w:ascii="Palatino Linotype" w:hAnsi="Palatino Linotype" w:cs="Arial"/>
          <w:i/>
          <w:sz w:val="22"/>
        </w:rPr>
        <w:t xml:space="preserve"> 4.- Hoja de Trabajo para la Conciliación Físico Contable de los Bienes Muebles e Inmuebles en formato Excel y PDF;</w:t>
      </w:r>
    </w:p>
    <w:p w:rsidR="00E67687" w:rsidRDefault="006D67BC">
      <w:pPr>
        <w:widowControl w:val="0"/>
        <w:spacing w:line="360" w:lineRule="auto"/>
        <w:ind w:left="851" w:right="902"/>
        <w:jc w:val="both"/>
        <w:rPr>
          <w:rFonts w:ascii="Palatino Linotype" w:hAnsi="Palatino Linotype" w:cs="Arial"/>
          <w:i/>
          <w:sz w:val="22"/>
        </w:rPr>
      </w:pPr>
      <w:r>
        <w:rPr>
          <w:rFonts w:ascii="Palatino Linotype" w:hAnsi="Palatino Linotype" w:cs="Arial"/>
          <w:i/>
          <w:sz w:val="22"/>
        </w:rPr>
        <w:t>5.- Conciliación Físico-Contable del Inventario de Bienes Muebles, formato xls y pdf;</w:t>
      </w:r>
    </w:p>
    <w:p w:rsidR="00E67687" w:rsidRDefault="006D67BC">
      <w:pPr>
        <w:widowControl w:val="0"/>
        <w:spacing w:line="360" w:lineRule="auto"/>
        <w:ind w:left="851" w:right="902"/>
        <w:jc w:val="both"/>
        <w:rPr>
          <w:rFonts w:ascii="Palatino Linotype" w:hAnsi="Palatino Linotype"/>
        </w:rPr>
      </w:pPr>
      <w:r>
        <w:rPr>
          <w:rFonts w:ascii="Palatino Linotype" w:hAnsi="Palatino Linotype" w:cs="Arial"/>
          <w:i/>
          <w:sz w:val="22"/>
        </w:rPr>
        <w:t>6.- Actas del Comité y Anexos donde presenten los resultados del Levantamiento Físico de Bienes Muebles e Inmuebles (formato pdf).”</w:t>
      </w: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r>
        <w:rPr>
          <w:rFonts w:ascii="Palatino Linotype" w:hAnsi="Palatino Linotype" w:cs="Arial"/>
        </w:rPr>
        <w:t xml:space="preserve">Al respecto, </w:t>
      </w:r>
      <w:r>
        <w:rPr>
          <w:rFonts w:ascii="Palatino Linotype" w:hAnsi="Palatino Linotype" w:cs="Arial"/>
          <w:b/>
        </w:rPr>
        <w:t>EL SUJETO OBLIGADO</w:t>
      </w:r>
      <w:r>
        <w:rPr>
          <w:rFonts w:ascii="Palatino Linotype" w:hAnsi="Palatino Linotype" w:cs="Arial"/>
        </w:rPr>
        <w:t xml:space="preserve"> respondió al particular mediante la remisión de </w:t>
      </w:r>
      <w:r>
        <w:rPr>
          <w:rFonts w:ascii="Palatino Linotype" w:hAnsi="Palatino Linotype" w:cs="Arial"/>
          <w:b/>
          <w:i/>
        </w:rPr>
        <w:t xml:space="preserve">SAIMEX 00148.ZIP </w:t>
      </w:r>
      <w:r>
        <w:rPr>
          <w:rFonts w:ascii="Palatino Linotype" w:hAnsi="Palatino Linotype" w:cs="Arial"/>
        </w:rPr>
        <w:t xml:space="preserve"> del que se despenden los archivos electrónicos que a continuación se describen:</w:t>
      </w:r>
    </w:p>
    <w:p w:rsidR="00E67687" w:rsidRDefault="00E67687">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p>
    <w:p w:rsidR="00E67687" w:rsidRDefault="006D67BC">
      <w:pPr>
        <w:pStyle w:val="Prrafodelista"/>
        <w:widowControl w:val="0"/>
        <w:numPr>
          <w:ilvl w:val="0"/>
          <w:numId w:val="3"/>
        </w:numPr>
        <w:tabs>
          <w:tab w:val="left" w:pos="1276"/>
        </w:tabs>
        <w:spacing w:beforeAutospacing="1"/>
        <w:ind w:right="902"/>
        <w:contextualSpacing/>
        <w:jc w:val="both"/>
        <w:rPr>
          <w:rFonts w:ascii="Palatino Linotype" w:hAnsi="Palatino Linotype" w:cs="Arial"/>
        </w:rPr>
      </w:pPr>
      <w:r>
        <w:rPr>
          <w:rFonts w:ascii="Palatino Linotype" w:hAnsi="Palatino Linotype" w:cs="Arial"/>
          <w:b/>
          <w:i/>
          <w:sz w:val="22"/>
          <w:szCs w:val="22"/>
        </w:rPr>
        <w:t>REPORTE B INMUEBLES: que contiene el Reporte Mensual de Movimientos de Bienes Inmuebles en formato xls y pdf;</w:t>
      </w:r>
    </w:p>
    <w:p w:rsidR="00E67687" w:rsidRDefault="006D67BC">
      <w:pPr>
        <w:pStyle w:val="Prrafodelista"/>
        <w:widowControl w:val="0"/>
        <w:numPr>
          <w:ilvl w:val="0"/>
          <w:numId w:val="3"/>
        </w:numPr>
        <w:tabs>
          <w:tab w:val="left" w:pos="1276"/>
        </w:tabs>
        <w:ind w:right="902"/>
        <w:contextualSpacing/>
        <w:jc w:val="both"/>
        <w:rPr>
          <w:rFonts w:ascii="Palatino Linotype" w:hAnsi="Palatino Linotype" w:cs="Arial"/>
        </w:rPr>
      </w:pPr>
      <w:r>
        <w:rPr>
          <w:rFonts w:ascii="Palatino Linotype" w:hAnsi="Palatino Linotype" w:cs="Arial"/>
          <w:b/>
          <w:i/>
          <w:sz w:val="22"/>
          <w:szCs w:val="22"/>
        </w:rPr>
        <w:t>REPORTE B MUEBLES: mediante el cual remitió el Reporte Mensual de Movimientos de Bienes Muebles en formato xls y pdf;</w:t>
      </w:r>
    </w:p>
    <w:p w:rsidR="00E67687" w:rsidRDefault="006D67BC">
      <w:pPr>
        <w:pStyle w:val="Prrafodelista"/>
        <w:widowControl w:val="0"/>
        <w:numPr>
          <w:ilvl w:val="0"/>
          <w:numId w:val="3"/>
        </w:numPr>
        <w:tabs>
          <w:tab w:val="left" w:pos="1276"/>
        </w:tabs>
        <w:spacing w:afterAutospacing="1"/>
        <w:ind w:right="902"/>
        <w:contextualSpacing/>
        <w:jc w:val="both"/>
        <w:rPr>
          <w:rFonts w:ascii="Palatino Linotype" w:hAnsi="Palatino Linotype" w:cs="Arial"/>
        </w:rPr>
      </w:pPr>
      <w:r>
        <w:rPr>
          <w:rFonts w:ascii="Palatino Linotype" w:hAnsi="Palatino Linotype" w:cs="Arial"/>
          <w:b/>
          <w:i/>
          <w:sz w:val="22"/>
          <w:szCs w:val="22"/>
        </w:rPr>
        <w:lastRenderedPageBreak/>
        <w:t>REPORTE B MUEBLES B: del que se desprende el Reporte Mensual de Movimientos de Bienes Muebles de bajo costo en formato xls y pdf;</w:t>
      </w:r>
    </w:p>
    <w:p w:rsidR="00E67687" w:rsidRDefault="00E67687">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r>
        <w:rPr>
          <w:rFonts w:ascii="Palatino Linotype" w:hAnsi="Palatino Linotype" w:cs="Arial"/>
        </w:rPr>
        <w:t xml:space="preserve">Inconforme con la respuesta, el hoy </w:t>
      </w:r>
      <w:r>
        <w:rPr>
          <w:rFonts w:ascii="Palatino Linotype" w:hAnsi="Palatino Linotype" w:cs="Arial"/>
          <w:b/>
        </w:rPr>
        <w:t>RECURRENTE</w:t>
      </w:r>
      <w:r>
        <w:rPr>
          <w:rFonts w:ascii="Palatino Linotype" w:hAnsi="Palatino Linotype" w:cs="Arial"/>
        </w:rPr>
        <w:t xml:space="preserve"> interpuso el medio de defensa de análisis, en el cual manifestó como acto impugnado, lo siguiente:</w:t>
      </w:r>
    </w:p>
    <w:p w:rsidR="00E67687" w:rsidRDefault="00E67687">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p>
    <w:p w:rsidR="00E67687" w:rsidRDefault="006D67BC">
      <w:pPr>
        <w:spacing w:beforeAutospacing="1" w:afterAutospacing="1"/>
        <w:ind w:left="851" w:right="902"/>
        <w:contextualSpacing/>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“Indolentemente el sujeto obligado me entrega una información diferente a la solicitada.” </w:t>
      </w:r>
      <w:r>
        <w:rPr>
          <w:rFonts w:ascii="Palatino Linotype" w:hAnsi="Palatino Linotype" w:cs="Arial"/>
          <w:sz w:val="22"/>
          <w:szCs w:val="22"/>
          <w:lang w:eastAsia="es-MX"/>
        </w:rPr>
        <w:t>(Sic)</w:t>
      </w:r>
    </w:p>
    <w:p w:rsidR="00E67687" w:rsidRDefault="00E67687">
      <w:pPr>
        <w:spacing w:beforeAutospacing="1" w:afterAutospacing="1"/>
        <w:ind w:left="709" w:right="709"/>
        <w:contextualSpacing/>
        <w:jc w:val="both"/>
        <w:rPr>
          <w:rFonts w:ascii="Palatino Linotype" w:hAnsi="Palatino Linotype" w:cs="Arial"/>
        </w:rPr>
      </w:pPr>
    </w:p>
    <w:p w:rsidR="00E67687" w:rsidRDefault="006D67BC">
      <w:pPr>
        <w:spacing w:beforeAutospacing="1" w:afterAutospacing="1" w:line="360" w:lineRule="auto"/>
        <w:contextualSpacing/>
        <w:jc w:val="both"/>
        <w:rPr>
          <w:rFonts w:ascii="Palatino Linotype" w:hAnsi="Palatino Linotype" w:cs="Arial"/>
          <w:sz w:val="22"/>
          <w:szCs w:val="22"/>
          <w:lang w:eastAsia="es-MX"/>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E67687" w:rsidRDefault="00E67687">
      <w:pPr>
        <w:spacing w:beforeAutospacing="1" w:afterAutospacing="1" w:line="360" w:lineRule="auto"/>
        <w:contextualSpacing/>
        <w:jc w:val="both"/>
        <w:rPr>
          <w:rFonts w:ascii="Palatino Linotype" w:hAnsi="Palatino Linotype" w:cs="Arial"/>
          <w:sz w:val="22"/>
          <w:szCs w:val="22"/>
          <w:lang w:eastAsia="es-MX"/>
        </w:rPr>
      </w:pPr>
    </w:p>
    <w:p w:rsidR="00E67687" w:rsidRDefault="006D67BC">
      <w:pPr>
        <w:spacing w:beforeAutospacing="1" w:afterAutospacing="1"/>
        <w:ind w:left="851" w:right="902"/>
        <w:contextualSpacing/>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“Sin verificar mi solicitud de información el sujeto obligado me entrega información que no corresponde a lo solicitado” </w:t>
      </w:r>
      <w:r>
        <w:rPr>
          <w:rFonts w:ascii="Palatino Linotype" w:hAnsi="Palatino Linotype" w:cs="Arial"/>
          <w:sz w:val="22"/>
          <w:szCs w:val="22"/>
          <w:lang w:eastAsia="es-MX"/>
        </w:rPr>
        <w:t>(Sic)</w:t>
      </w: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r>
        <w:rPr>
          <w:rFonts w:ascii="Palatino Linotype" w:hAnsi="Palatino Linotype" w:cs="Arial"/>
        </w:rPr>
        <w:t xml:space="preserve">Asimismo, en el presente recurso </w:t>
      </w:r>
      <w:r>
        <w:rPr>
          <w:rFonts w:ascii="Palatino Linotype" w:hAnsi="Palatino Linotype" w:cs="Arial"/>
          <w:b/>
        </w:rPr>
        <w:t>EL RECURRENTE</w:t>
      </w:r>
      <w:r>
        <w:rPr>
          <w:rFonts w:ascii="Palatino Linotype" w:hAnsi="Palatino Linotype" w:cs="Arial"/>
        </w:rPr>
        <w:t xml:space="preserve"> fue omiso en verter sus manifestaciones y presentar los alegatos que a su derecho convinieran, por su parte </w:t>
      </w:r>
      <w:r>
        <w:rPr>
          <w:rFonts w:ascii="Palatino Linotype" w:hAnsi="Palatino Linotype" w:cs="Arial"/>
          <w:b/>
        </w:rPr>
        <w:t>EL SUJETO OBLIGADO</w:t>
      </w:r>
      <w:r>
        <w:rPr>
          <w:rFonts w:ascii="Palatino Linotype" w:hAnsi="Palatino Linotype" w:cs="Arial"/>
        </w:rPr>
        <w:t xml:space="preserve"> mediante su Informe Justificado remitió el archivo electrónico </w:t>
      </w:r>
      <w:r>
        <w:rPr>
          <w:rFonts w:ascii="Palatino Linotype" w:hAnsi="Palatino Linotype" w:cs="Arial"/>
          <w:b/>
          <w:i/>
        </w:rPr>
        <w:t xml:space="preserve">MANIFESTACIONES 1197.zip </w:t>
      </w:r>
      <w:r>
        <w:rPr>
          <w:rFonts w:ascii="Palatino Linotype" w:hAnsi="Palatino Linotype" w:cs="Arial"/>
        </w:rPr>
        <w:t>mismo que no fue puesto a la vista del</w:t>
      </w:r>
      <w:r>
        <w:rPr>
          <w:rFonts w:ascii="Palatino Linotype" w:hAnsi="Palatino Linotype" w:cs="Arial"/>
          <w:b/>
        </w:rPr>
        <w:t xml:space="preserve"> RECURRENTE</w:t>
      </w:r>
      <w:r>
        <w:rPr>
          <w:rFonts w:ascii="Palatino Linotype" w:hAnsi="Palatino Linotype" w:cs="Arial"/>
        </w:rPr>
        <w:t xml:space="preserve"> en virtud que contiene datos susceptibles de ser clasificados como reservados como podría ser CURP, Clave ISSEMYM y Actas Circunstanciadas.</w:t>
      </w:r>
    </w:p>
    <w:p w:rsidR="00E67687" w:rsidRDefault="00E67687">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hAnsi="Palatino Linotype" w:cs="Arial"/>
        </w:rPr>
      </w:pPr>
      <w:r>
        <w:rPr>
          <w:rFonts w:ascii="Palatino Linotype" w:hAnsi="Palatino Linotype" w:cs="Arial"/>
        </w:rPr>
        <w:t xml:space="preserve">Establecido lo anterior, resulta evidente que las razones o motivos de inconformidad hechos valer por </w:t>
      </w:r>
      <w:r>
        <w:rPr>
          <w:rFonts w:ascii="Palatino Linotype" w:hAnsi="Palatino Linotype" w:cs="Arial"/>
          <w:b/>
        </w:rPr>
        <w:t>EL RECURRENTE</w:t>
      </w:r>
      <w:r>
        <w:rPr>
          <w:rFonts w:ascii="Palatino Linotype" w:hAnsi="Palatino Linotype" w:cs="Arial"/>
        </w:rPr>
        <w:t xml:space="preserve"> resultan </w:t>
      </w:r>
      <w:r>
        <w:rPr>
          <w:rFonts w:ascii="Palatino Linotype" w:hAnsi="Palatino Linotype" w:cs="Arial"/>
          <w:b/>
        </w:rPr>
        <w:t>parcialmente fundadas</w:t>
      </w:r>
      <w:r>
        <w:rPr>
          <w:rFonts w:ascii="Palatino Linotype" w:hAnsi="Palatino Linotype" w:cs="Arial"/>
        </w:rPr>
        <w:t xml:space="preserve">, en virtud de que </w:t>
      </w:r>
      <w:r>
        <w:rPr>
          <w:rFonts w:ascii="Palatino Linotype" w:hAnsi="Palatino Linotype" w:cs="Arial"/>
          <w:b/>
        </w:rPr>
        <w:t>EL SUJETO OBLIGADO</w:t>
      </w:r>
      <w:r>
        <w:rPr>
          <w:rFonts w:ascii="Palatino Linotype" w:hAnsi="Palatino Linotype" w:cs="Arial"/>
        </w:rPr>
        <w:t xml:space="preserve"> sí se pronunció respecto de la solicitud, enviando información pretendiendo colmar el derecho del ciudadano, con independencia que con ello se haya cumplido dicho objeto, como se verá más adelante.</w:t>
      </w:r>
    </w:p>
    <w:p w:rsidR="00E67687" w:rsidRDefault="006D67BC">
      <w:pPr>
        <w:spacing w:beforeAutospacing="1" w:afterAutospacing="1" w:line="360" w:lineRule="auto"/>
        <w:contextualSpacing/>
        <w:jc w:val="both"/>
        <w:rPr>
          <w:rFonts w:ascii="Palatino Linotype" w:hAnsi="Palatino Linotype"/>
          <w:color w:val="222222"/>
          <w:lang w:eastAsia="es-MX"/>
        </w:rPr>
      </w:pPr>
      <w:r>
        <w:rPr>
          <w:rFonts w:ascii="Palatino Linotype" w:hAnsi="Palatino Linotype"/>
          <w:color w:val="222222"/>
          <w:lang w:eastAsia="es-MX"/>
        </w:rPr>
        <w:lastRenderedPageBreak/>
        <w:t xml:space="preserve">Primeramente, se precisa que se obvia el análisis de la competencia por parte del </w:t>
      </w:r>
      <w:r>
        <w:rPr>
          <w:rFonts w:ascii="Palatino Linotype" w:hAnsi="Palatino Linotype"/>
          <w:b/>
          <w:bCs/>
          <w:color w:val="222222"/>
          <w:lang w:eastAsia="es-MX"/>
        </w:rPr>
        <w:t>SUJETO OBLIGADO</w:t>
      </w:r>
      <w:r>
        <w:rPr>
          <w:rFonts w:ascii="Palatino Linotype" w:hAnsi="Palatino Linotype"/>
          <w:color w:val="222222"/>
          <w:lang w:eastAsia="es-MX"/>
        </w:rPr>
        <w:t>, para generar, administrar o poseer la información relacionada con las asignaciones recibidas de los fondos federales, dado que éste ha asumido la misma, en razón de que en su respuesta admitió contar con dicha información.</w:t>
      </w:r>
    </w:p>
    <w:p w:rsidR="00E67687" w:rsidRDefault="00E67687">
      <w:pPr>
        <w:spacing w:beforeAutospacing="1" w:afterAutospacing="1" w:line="360" w:lineRule="auto"/>
        <w:contextualSpacing/>
        <w:jc w:val="both"/>
        <w:rPr>
          <w:rFonts w:ascii="Palatino Linotype" w:hAnsi="Palatino Linotype"/>
          <w:color w:val="222222"/>
          <w:lang w:eastAsia="es-MX"/>
        </w:rPr>
      </w:pPr>
    </w:p>
    <w:p w:rsidR="00E67687" w:rsidRDefault="006D67BC">
      <w:pPr>
        <w:spacing w:beforeAutospacing="1" w:afterAutospacing="1" w:line="360" w:lineRule="auto"/>
        <w:contextualSpacing/>
        <w:jc w:val="both"/>
        <w:rPr>
          <w:rFonts w:ascii="Palatino Linotype" w:hAnsi="Palatino Linotype" w:cs="Arial"/>
        </w:rPr>
      </w:pPr>
      <w:r>
        <w:rPr>
          <w:rFonts w:ascii="Palatino Linotype" w:hAnsi="Palatino Linotype"/>
          <w:color w:val="222222"/>
          <w:lang w:val="es-ES" w:eastAsia="es-MX"/>
        </w:rPr>
        <w:t xml:space="preserve">En efecto, el hecho de que </w:t>
      </w:r>
      <w:r>
        <w:rPr>
          <w:rFonts w:ascii="Palatino Linotype" w:hAnsi="Palatino Linotype"/>
          <w:b/>
          <w:bCs/>
          <w:color w:val="222222"/>
          <w:lang w:val="es-ES" w:eastAsia="es-MX"/>
        </w:rPr>
        <w:t>EL SUJETO OBLIGADO</w:t>
      </w:r>
      <w:r>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67687" w:rsidRDefault="006D67BC">
      <w:pPr>
        <w:pStyle w:val="Prrafodelista"/>
        <w:widowControl w:val="0"/>
        <w:tabs>
          <w:tab w:val="left" w:pos="1276"/>
        </w:tabs>
        <w:spacing w:beforeAutospacing="1" w:afterAutospacing="1"/>
        <w:ind w:left="851" w:right="902"/>
        <w:contextualSpacing/>
        <w:jc w:val="both"/>
        <w:rPr>
          <w:rFonts w:ascii="Palatino Linotype" w:hAnsi="Palatino Linotype"/>
          <w:color w:val="222222"/>
          <w:lang w:val="es-ES" w:eastAsia="es-MX"/>
        </w:rPr>
      </w:pPr>
      <w:r>
        <w:rPr>
          <w:rFonts w:ascii="Palatino Linotype" w:hAnsi="Palatino Linotype"/>
          <w:i/>
          <w:iCs/>
          <w:color w:val="222222"/>
          <w:sz w:val="22"/>
          <w:szCs w:val="22"/>
          <w:lang w:val="es-ES" w:eastAsia="es-MX"/>
        </w:rPr>
        <w:t>“</w:t>
      </w:r>
      <w:r>
        <w:rPr>
          <w:rFonts w:ascii="Palatino Linotype" w:hAnsi="Palatino Linotype"/>
          <w:b/>
          <w:bCs/>
          <w:i/>
          <w:iCs/>
          <w:color w:val="222222"/>
          <w:sz w:val="22"/>
          <w:szCs w:val="22"/>
          <w:lang w:val="es-ES" w:eastAsia="es-MX"/>
        </w:rPr>
        <w:t>Artículo 12.</w:t>
      </w:r>
      <w:r>
        <w:rPr>
          <w:rFonts w:ascii="Palatino Linotype" w:hAnsi="Palatino Linotype"/>
          <w:i/>
          <w:iCs/>
          <w:color w:val="222222"/>
          <w:sz w:val="22"/>
          <w:szCs w:val="22"/>
          <w:lang w:val="es-ES" w:eastAsia="es-MX"/>
        </w:rPr>
        <w:t xml:space="preserve"> Quienes generen, recopilen, administren, manejen, procesen, archiven o </w:t>
      </w:r>
      <w:r>
        <w:rPr>
          <w:rFonts w:ascii="Palatino Linotype" w:eastAsiaTheme="minorEastAsia" w:hAnsi="Palatino Linotype" w:cs="Arial"/>
          <w:i/>
          <w:sz w:val="22"/>
          <w:szCs w:val="22"/>
          <w:lang w:val="es-ES_tradnl"/>
        </w:rPr>
        <w:t>conserven</w:t>
      </w:r>
      <w:r>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67687" w:rsidRDefault="006D67BC">
      <w:pPr>
        <w:tabs>
          <w:tab w:val="left" w:pos="8222"/>
        </w:tabs>
        <w:spacing w:beforeAutospacing="1" w:afterAutospacing="1"/>
        <w:ind w:left="851" w:right="902"/>
        <w:contextualSpacing/>
        <w:jc w:val="both"/>
        <w:rPr>
          <w:rFonts w:ascii="Palatino Linotype" w:hAnsi="Palatino Linotype"/>
          <w:i/>
          <w:iCs/>
          <w:color w:val="222222"/>
          <w:sz w:val="22"/>
          <w:szCs w:val="22"/>
          <w:lang w:val="es-ES" w:eastAsia="es-MX"/>
        </w:rPr>
      </w:pPr>
      <w:r>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67687" w:rsidRDefault="00E67687">
      <w:pPr>
        <w:shd w:val="clear" w:color="auto" w:fill="FFFFFF"/>
        <w:spacing w:beforeAutospacing="1" w:afterAutospacing="1"/>
        <w:ind w:left="851" w:right="902"/>
        <w:contextualSpacing/>
        <w:jc w:val="both"/>
        <w:rPr>
          <w:rFonts w:ascii="Palatino Linotype" w:hAnsi="Palatino Linotype"/>
          <w:color w:val="222222"/>
          <w:lang w:val="es-ES" w:eastAsia="es-MX"/>
        </w:rPr>
      </w:pPr>
    </w:p>
    <w:p w:rsidR="00E67687" w:rsidRDefault="006D67BC">
      <w:pPr>
        <w:spacing w:beforeAutospacing="1" w:afterAutospacing="1" w:line="360" w:lineRule="auto"/>
        <w:contextualSpacing/>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E67687" w:rsidRDefault="006D67BC">
      <w:pPr>
        <w:spacing w:beforeAutospacing="1" w:afterAutospacing="1" w:line="360" w:lineRule="auto"/>
        <w:contextualSpacing/>
        <w:jc w:val="both"/>
        <w:rPr>
          <w:rFonts w:ascii="Palatino Linotype" w:hAnsi="Palatino Linotype"/>
        </w:rPr>
      </w:pPr>
      <w:r>
        <w:rPr>
          <w:rFonts w:ascii="Palatino Linotype" w:hAnsi="Palatino Linotype"/>
        </w:rPr>
        <w:lastRenderedPageBreak/>
        <w:t xml:space="preserve">Asimismo, no se omite comentar que, al haber existido un pronunciamiento por parte del </w:t>
      </w:r>
      <w:r>
        <w:rPr>
          <w:rFonts w:ascii="Palatino Linotype" w:hAnsi="Palatino Linotype"/>
          <w:b/>
        </w:rPr>
        <w:t>SUJETO OBLIGADO</w:t>
      </w:r>
      <w:r>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E67687" w:rsidRDefault="00E67687">
      <w:pPr>
        <w:spacing w:beforeAutospacing="1" w:afterAutospacing="1" w:line="360" w:lineRule="auto"/>
        <w:contextualSpacing/>
        <w:jc w:val="both"/>
        <w:rPr>
          <w:rFonts w:ascii="Palatino Linotype" w:hAnsi="Palatino Linotype" w:cs="Arial"/>
        </w:rPr>
      </w:pPr>
    </w:p>
    <w:p w:rsidR="00E67687" w:rsidRDefault="006D67BC">
      <w:pPr>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67687" w:rsidRDefault="00E67687">
      <w:pPr>
        <w:spacing w:beforeAutospacing="1" w:afterAutospacing="1"/>
        <w:ind w:right="760"/>
        <w:contextualSpacing/>
        <w:jc w:val="both"/>
        <w:rPr>
          <w:rFonts w:ascii="Palatino Linotype" w:hAnsi="Palatino Linotype" w:cs="Arial"/>
          <w:b/>
          <w:i/>
          <w:sz w:val="22"/>
        </w:rPr>
      </w:pPr>
    </w:p>
    <w:p w:rsidR="00E67687" w:rsidRDefault="006D67BC">
      <w:pPr>
        <w:spacing w:beforeAutospacing="1" w:afterAutospacing="1"/>
        <w:ind w:left="851" w:right="902"/>
        <w:contextualSpacing/>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Pr>
          <w:rFonts w:ascii="Palatino Linotype" w:hAnsi="Palatino Linotype" w:cs="Arial"/>
          <w:b/>
          <w:i/>
          <w:sz w:val="22"/>
        </w:rPr>
        <w:t>”</w:t>
      </w:r>
      <w:r>
        <w:rPr>
          <w:rFonts w:ascii="Palatino Linotype" w:hAnsi="Palatino Linotype" w:cs="Arial"/>
          <w:i/>
          <w:sz w:val="22"/>
        </w:rPr>
        <w:t xml:space="preserve"> (sic)</w:t>
      </w: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eastAsia="Calibri" w:hAnsi="Palatino Linotype" w:cs="Arial"/>
        </w:rPr>
      </w:pPr>
      <w:r>
        <w:rPr>
          <w:rFonts w:ascii="Palatino Linotype" w:hAnsi="Palatino Linotype" w:cs="Arial"/>
          <w:lang w:eastAsia="es-MX"/>
        </w:rPr>
        <w:lastRenderedPageBreak/>
        <w:t xml:space="preserve">En ese contexto, </w:t>
      </w:r>
      <w:r>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las fracciones V y VIII del artículo 179 de la Ley de Transparencia y Acceso a la Información Pública del Estado de México y Municipios, en atención a ello, se analizará punto por punto lo solicitado y lo remitido en respuesta como se muestra a continuación.</w:t>
      </w:r>
    </w:p>
    <w:p w:rsidR="00E67687" w:rsidRDefault="006D67BC">
      <w:pPr>
        <w:pStyle w:val="Prrafodelista"/>
        <w:widowControl w:val="0"/>
        <w:tabs>
          <w:tab w:val="left" w:pos="1276"/>
        </w:tabs>
        <w:spacing w:beforeAutospacing="1" w:afterAutospacing="1" w:line="360" w:lineRule="auto"/>
        <w:ind w:left="0" w:right="49"/>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0" distR="0" simplePos="0" relativeHeight="91" behindDoc="0" locked="0" layoutInCell="1" allowOverlap="1" wp14:anchorId="35DABF7E">
                <wp:simplePos x="0" y="0"/>
                <wp:positionH relativeFrom="column">
                  <wp:posOffset>102870</wp:posOffset>
                </wp:positionH>
                <wp:positionV relativeFrom="paragraph">
                  <wp:posOffset>363855</wp:posOffset>
                </wp:positionV>
                <wp:extent cx="5783580" cy="5060315"/>
                <wp:effectExtent l="19050" t="19050" r="26670" b="26035"/>
                <wp:wrapNone/>
                <wp:docPr id="4" name="Conector recto 5"/>
                <wp:cNvGraphicFramePr/>
                <a:graphic xmlns:a="http://schemas.openxmlformats.org/drawingml/2006/main">
                  <a:graphicData uri="http://schemas.microsoft.com/office/word/2010/wordprocessingShape">
                    <wps:wsp>
                      <wps:cNvCnPr/>
                      <wps:spPr>
                        <a:xfrm>
                          <a:off x="0" y="0"/>
                          <a:ext cx="5783580" cy="5060315"/>
                        </a:xfrm>
                        <a:prstGeom prst="line">
                          <a:avLst/>
                        </a:prstGeom>
                        <a:ln w="28575"/>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2338782" id="Conector recto 5" o:spid="_x0000_s1026" style="position:absolute;z-index:91;visibility:visible;mso-wrap-style:square;mso-wrap-distance-left:0;mso-wrap-distance-top:0;mso-wrap-distance-right:0;mso-wrap-distance-bottom:0;mso-position-horizontal:absolute;mso-position-horizontal-relative:text;mso-position-vertical:absolute;mso-position-vertical-relative:text" from="8.1pt,28.65pt" to="463.5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" strokecolor="#4579b8 [3044]" strokeweight="2.25pt"/>
            </w:pict>
          </mc:Fallback>
        </mc:AlternateContent>
      </w:r>
    </w:p>
    <w:tbl>
      <w:tblPr>
        <w:tblStyle w:val="Tablaconcuadrcula"/>
        <w:tblW w:w="9067" w:type="dxa"/>
        <w:jc w:val="center"/>
        <w:tblLook w:val="04A0" w:firstRow="1" w:lastRow="0" w:firstColumn="1" w:lastColumn="0" w:noHBand="0" w:noVBand="1"/>
      </w:tblPr>
      <w:tblGrid>
        <w:gridCol w:w="864"/>
        <w:gridCol w:w="2836"/>
        <w:gridCol w:w="2238"/>
        <w:gridCol w:w="1559"/>
        <w:gridCol w:w="1570"/>
      </w:tblGrid>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lastRenderedPageBreak/>
              <w:t>No.</w:t>
            </w:r>
          </w:p>
        </w:tc>
        <w:tc>
          <w:tcPr>
            <w:tcW w:w="2836"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t>Información requerida</w:t>
            </w:r>
          </w:p>
        </w:tc>
        <w:tc>
          <w:tcPr>
            <w:tcW w:w="2238"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rPr>
              <w:t>Respuesta a la solicitud</w:t>
            </w:r>
          </w:p>
        </w:tc>
        <w:tc>
          <w:tcPr>
            <w:tcW w:w="1559"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E67687" w:rsidRDefault="006D67BC">
            <w:pPr>
              <w:widowControl w:val="0"/>
              <w:spacing w:beforeAutospacing="1" w:afterAutospacing="1"/>
              <w:contextualSpacing/>
              <w:jc w:val="center"/>
              <w:rPr>
                <w:rFonts w:ascii="Palatino Linotype" w:hAnsi="Palatino Linotype" w:cs="Arial"/>
                <w:b/>
              </w:rPr>
            </w:pPr>
            <w:r>
              <w:rPr>
                <w:rFonts w:ascii="Palatino Linotype" w:hAnsi="Palatino Linotype" w:cs="Arial"/>
                <w:b/>
              </w:rPr>
              <w:t>Informe justificado</w:t>
            </w:r>
          </w:p>
          <w:p w:rsidR="00E67687" w:rsidRDefault="00E67687">
            <w:pPr>
              <w:widowControl w:val="0"/>
              <w:spacing w:beforeAutospacing="1"/>
              <w:contextualSpacing/>
              <w:jc w:val="center"/>
              <w:rPr>
                <w:rFonts w:ascii="Palatino Linotype" w:hAnsi="Palatino Linotype" w:cs="Arial"/>
                <w:b/>
              </w:rPr>
            </w:pPr>
          </w:p>
        </w:tc>
        <w:tc>
          <w:tcPr>
            <w:tcW w:w="1570" w:type="dxa"/>
            <w:tcBorders>
              <w:top w:val="double" w:sz="4" w:space="0" w:color="000000"/>
              <w:left w:val="double" w:sz="4" w:space="0" w:color="000000"/>
              <w:bottom w:val="double" w:sz="4" w:space="0" w:color="000000"/>
              <w:right w:val="double" w:sz="4" w:space="0" w:color="000000"/>
            </w:tcBorders>
            <w:shd w:val="clear" w:color="auto" w:fill="000000" w:themeFill="text1"/>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t>colma</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t>1</w:t>
            </w: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r>
              <w:t>1.- Inventario de Bienes Inmuebles en formato Excel y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i/>
                <w:sz w:val="22"/>
              </w:rPr>
              <w:t>Reporte Mensual de Movimientos de Bienes Inmuebles</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pPr>
              <w:spacing w:beforeAutospacing="1"/>
              <w:contextualSpacing/>
            </w:pPr>
            <w:r>
              <w:rPr>
                <w:rFonts w:ascii="Palatino Linotype" w:hAnsi="Palatino Linotype" w:cs="Arial"/>
                <w:b/>
              </w:rPr>
              <w:t>Colma</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r>
              <w:t>2.- Inventario de Bienes Muebles en formato Excel y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i/>
                <w:sz w:val="22"/>
              </w:rPr>
              <w:t>Reporte Mensual de Movimientos de Bienes Muebles</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r>
              <w:rPr>
                <w:rFonts w:ascii="Palatino Linotype" w:hAnsi="Palatino Linotype" w:cs="Arial"/>
                <w:b/>
              </w:rPr>
              <w:t>Colma</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pPr>
              <w:rPr>
                <w:highlight w:val="yellow"/>
              </w:rPr>
            </w:pPr>
            <w:r>
              <w:t xml:space="preserve"> 3.- Inventario de Bienes Muebles de Bajo Costo en formato Excel y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highlight w:val="yellow"/>
              </w:rPr>
            </w:pPr>
            <w:r>
              <w:rPr>
                <w:rFonts w:ascii="Palatino Linotype" w:hAnsi="Palatino Linotype" w:cs="Arial"/>
                <w:b/>
                <w:i/>
                <w:sz w:val="22"/>
              </w:rPr>
              <w:t>Reporte Mensual de Movimientos de Bienes Muebles de Bajo costo</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highlight w:val="yellow"/>
              </w:rPr>
            </w:pP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pPr>
              <w:rPr>
                <w:highlight w:val="yellow"/>
              </w:rPr>
            </w:pPr>
            <w:r>
              <w:rPr>
                <w:rFonts w:ascii="Palatino Linotype" w:hAnsi="Palatino Linotype" w:cs="Arial"/>
                <w:b/>
              </w:rPr>
              <w:t>No Colma</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r>
              <w:t xml:space="preserve"> 4.- Hoja de Trabajo para la Conciliación Físico Contable de los Bienes Muebles e Inmuebles en formato Excel y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rPr>
              <w:t>No se pronunció</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pPr>
              <w:spacing w:beforeAutospacing="1"/>
              <w:contextualSpacing/>
              <w:rPr>
                <w:rFonts w:ascii="Palatino Linotype" w:hAnsi="Palatino Linotype" w:cs="Arial"/>
                <w:b/>
              </w:rPr>
            </w:pPr>
            <w:r>
              <w:rPr>
                <w:rFonts w:ascii="Palatino Linotype" w:hAnsi="Palatino Linotype" w:cs="Arial"/>
                <w:b/>
              </w:rPr>
              <w:t>-</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r>
              <w:t>5.- Conciliación Físico-Contable del Inventario de Bienes Muebles, formato xls y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rPr>
              <w:t>No se pronunció</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t>Remitió en informe justificado</w:t>
            </w: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pPr>
              <w:spacing w:beforeAutospacing="1"/>
              <w:contextualSpacing/>
              <w:rPr>
                <w:rFonts w:ascii="Palatino Linotype" w:hAnsi="Palatino Linotype" w:cs="Arial"/>
                <w:b/>
              </w:rPr>
            </w:pPr>
            <w:r>
              <w:rPr>
                <w:rFonts w:ascii="Palatino Linotype" w:hAnsi="Palatino Linotype" w:cs="Arial"/>
                <w:b/>
              </w:rPr>
              <w:t>-</w:t>
            </w:r>
          </w:p>
        </w:tc>
      </w:tr>
      <w:tr w:rsidR="00E67687">
        <w:trPr>
          <w:cantSplit/>
          <w:trHeight w:val="33"/>
          <w:tblHeader/>
          <w:jc w:val="center"/>
        </w:trPr>
        <w:tc>
          <w:tcPr>
            <w:tcW w:w="864"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E67687">
            <w:pPr>
              <w:widowControl w:val="0"/>
              <w:spacing w:beforeAutospacing="1"/>
              <w:contextualSpacing/>
              <w:jc w:val="center"/>
              <w:rPr>
                <w:rFonts w:ascii="Palatino Linotype" w:hAnsi="Palatino Linotype" w:cs="Arial"/>
                <w:b/>
              </w:rPr>
            </w:pPr>
          </w:p>
        </w:tc>
        <w:tc>
          <w:tcPr>
            <w:tcW w:w="2836" w:type="dxa"/>
            <w:tcBorders>
              <w:top w:val="double" w:sz="4" w:space="0" w:color="000000"/>
              <w:left w:val="double" w:sz="4" w:space="0" w:color="000000"/>
              <w:bottom w:val="double" w:sz="4" w:space="0" w:color="000000"/>
              <w:right w:val="double" w:sz="4" w:space="0" w:color="000000"/>
            </w:tcBorders>
            <w:shd w:val="clear" w:color="auto" w:fill="auto"/>
          </w:tcPr>
          <w:p w:rsidR="00E67687" w:rsidRDefault="006D67BC">
            <w:r>
              <w:t>6.- Actas del Comité y Anexos donde presenten los resultados del Levantamiento Físico de Bienes Muebles e Inmuebles (formato pdf</w:t>
            </w:r>
          </w:p>
        </w:tc>
        <w:tc>
          <w:tcPr>
            <w:tcW w:w="2238"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spacing w:beforeAutospacing="1"/>
              <w:contextualSpacing/>
              <w:jc w:val="center"/>
              <w:rPr>
                <w:rFonts w:ascii="Palatino Linotype" w:hAnsi="Palatino Linotype" w:cs="Arial"/>
                <w:b/>
              </w:rPr>
            </w:pPr>
            <w:r>
              <w:rPr>
                <w:rFonts w:ascii="Palatino Linotype" w:hAnsi="Palatino Linotype" w:cs="Arial"/>
                <w:b/>
              </w:rPr>
              <w:t>No se pronunció</w:t>
            </w:r>
          </w:p>
        </w:tc>
        <w:tc>
          <w:tcPr>
            <w:tcW w:w="15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67687" w:rsidRDefault="006D67BC">
            <w:pPr>
              <w:widowControl w:val="0"/>
              <w:spacing w:beforeAutospacing="1"/>
              <w:contextualSpacing/>
              <w:jc w:val="center"/>
              <w:rPr>
                <w:rFonts w:ascii="Palatino Linotype" w:hAnsi="Palatino Linotype" w:cs="Arial"/>
                <w:b/>
              </w:rPr>
            </w:pPr>
            <w:r>
              <w:rPr>
                <w:rFonts w:ascii="Palatino Linotype" w:hAnsi="Palatino Linotype" w:cs="Arial"/>
                <w:b/>
              </w:rPr>
              <w:t>Remitió en informe justificado</w:t>
            </w:r>
          </w:p>
        </w:tc>
        <w:tc>
          <w:tcPr>
            <w:tcW w:w="1570" w:type="dxa"/>
            <w:tcBorders>
              <w:top w:val="double" w:sz="4" w:space="0" w:color="000000"/>
              <w:left w:val="double" w:sz="4" w:space="0" w:color="000000"/>
              <w:bottom w:val="double" w:sz="4" w:space="0" w:color="000000"/>
              <w:right w:val="double" w:sz="4" w:space="0" w:color="000000"/>
            </w:tcBorders>
          </w:tcPr>
          <w:p w:rsidR="00E67687" w:rsidRDefault="006D67BC">
            <w:pPr>
              <w:spacing w:beforeAutospacing="1"/>
              <w:contextualSpacing/>
              <w:rPr>
                <w:rFonts w:ascii="Palatino Linotype" w:hAnsi="Palatino Linotype" w:cs="Arial"/>
                <w:b/>
              </w:rPr>
            </w:pPr>
            <w:r>
              <w:rPr>
                <w:rFonts w:ascii="Palatino Linotype" w:hAnsi="Palatino Linotype" w:cs="Arial"/>
                <w:b/>
              </w:rPr>
              <w:t>-</w:t>
            </w:r>
          </w:p>
        </w:tc>
      </w:tr>
    </w:tbl>
    <w:p w:rsidR="00E67687" w:rsidRDefault="006D67BC">
      <w:pPr>
        <w:spacing w:beforeAutospacing="1" w:afterAutospacing="1" w:line="360" w:lineRule="auto"/>
        <w:jc w:val="both"/>
        <w:rPr>
          <w:rFonts w:ascii="Palatino Linotype" w:hAnsi="Palatino Linotype"/>
        </w:rPr>
      </w:pPr>
      <w:r>
        <w:rPr>
          <w:rFonts w:ascii="Palatino Linotype" w:hAnsi="Palatino Linotype"/>
        </w:rPr>
        <w:t xml:space="preserve">Ahora bien, en relación a los puntos 1 y 2 de la solicitud de acceso a la información pública en la que requirió el particular al </w:t>
      </w:r>
      <w:r>
        <w:rPr>
          <w:rFonts w:ascii="Palatino Linotype" w:hAnsi="Palatino Linotype"/>
          <w:b/>
        </w:rPr>
        <w:t>SUJETO OBLIGADO</w:t>
      </w:r>
      <w:r>
        <w:rPr>
          <w:rFonts w:ascii="Palatino Linotype" w:hAnsi="Palatino Linotype"/>
        </w:rPr>
        <w:t xml:space="preserve"> los formatos remitidos al Osfem referentes a Inventario de Bienes Inmuebles y el Inventario de Bienes Muebles a lo que en respuesta le remitió dichos formatos.</w:t>
      </w:r>
    </w:p>
    <w:p w:rsidR="00E67687" w:rsidRDefault="006D67BC">
      <w:pPr>
        <w:spacing w:line="360" w:lineRule="auto"/>
        <w:jc w:val="both"/>
        <w:rPr>
          <w:rFonts w:ascii="Palatino Linotype" w:hAnsi="Palatino Linotype" w:cs="Arial"/>
          <w:lang w:val="es-ES_tradnl"/>
        </w:rPr>
      </w:pPr>
      <w:r>
        <w:rPr>
          <w:rFonts w:ascii="Palatino Linotype" w:hAnsi="Palatino Linotype" w:cs="Arial"/>
          <w:lang w:val="es-ES_tradnl"/>
        </w:rPr>
        <w:lastRenderedPageBreak/>
        <w:t xml:space="preserve">En este sentido es que </w:t>
      </w:r>
      <w:r>
        <w:rPr>
          <w:rFonts w:ascii="Palatino Linotype" w:hAnsi="Palatino Linotype" w:cs="Arial"/>
          <w:b/>
          <w:lang w:val="es-ES_tradnl"/>
        </w:rPr>
        <w:t>EL SUJETO OBLIGADO</w:t>
      </w:r>
      <w:r>
        <w:rPr>
          <w:rFonts w:ascii="Palatino Linotype" w:hAnsi="Palatino Linotype" w:cs="Arial"/>
          <w:lang w:val="es-ES_tradnl"/>
        </w:rPr>
        <w:t xml:space="preserve"> dio cumplimiento al requerimiento planteado por el particular ya que adjuntó el formato pdf y xls de la información requerida.</w:t>
      </w:r>
    </w:p>
    <w:p w:rsidR="00E67687" w:rsidRDefault="006D67BC">
      <w:pPr>
        <w:spacing w:line="360" w:lineRule="auto"/>
        <w:jc w:val="both"/>
        <w:rPr>
          <w:rFonts w:ascii="Palatino Linotype" w:hAnsi="Palatino Linotype" w:cs="Arial"/>
          <w:sz w:val="2"/>
          <w:lang w:val="es-ES_tradnl"/>
        </w:rPr>
      </w:pPr>
      <w:r>
        <w:rPr>
          <w:rFonts w:ascii="Palatino Linotype" w:hAnsi="Palatino Linotype" w:cs="Arial"/>
          <w:sz w:val="2"/>
          <w:lang w:val="es-ES_tradnl"/>
        </w:rPr>
        <w:t xml:space="preserve"> </w:t>
      </w:r>
    </w:p>
    <w:p w:rsidR="00E67687" w:rsidRDefault="00E67687">
      <w:pPr>
        <w:spacing w:line="360" w:lineRule="auto"/>
        <w:jc w:val="both"/>
        <w:rPr>
          <w:rFonts w:ascii="Palatino Linotype" w:hAnsi="Palatino Linotype" w:cs="Arial"/>
          <w:lang w:val="es-ES_tradnl"/>
        </w:rPr>
      </w:pPr>
    </w:p>
    <w:p w:rsidR="00E67687" w:rsidRDefault="006D67BC">
      <w:pPr>
        <w:spacing w:line="360" w:lineRule="auto"/>
        <w:jc w:val="both"/>
        <w:rPr>
          <w:rFonts w:ascii="Palatino Linotype" w:hAnsi="Palatino Linotype"/>
          <w:lang w:val="es-ES_tradnl"/>
        </w:rPr>
      </w:pPr>
      <w:r>
        <w:rPr>
          <w:rFonts w:ascii="Palatino Linotype" w:hAnsi="Palatino Linotype" w:cs="Arial"/>
          <w:lang w:val="es-ES_tradnl"/>
        </w:rPr>
        <w:t xml:space="preserve">Como se puede observar en lo expresado con anterioridad, al haber realizado un pronunciamiento </w:t>
      </w:r>
      <w:r>
        <w:rPr>
          <w:rFonts w:ascii="Palatino Linotype" w:hAnsi="Palatino Linotype" w:cs="Arial"/>
        </w:rPr>
        <w:t xml:space="preserve">lo cierto es que este Órgano Garante no tiene facultades para pronunciarse respecto de la información proporcionada; </w:t>
      </w:r>
      <w:r>
        <w:rPr>
          <w:rFonts w:ascii="Palatino Linotype" w:hAnsi="Palatino Linotype"/>
          <w:lang w:val="es-ES_tradnl"/>
        </w:rPr>
        <w:t>pues éste, conforme al artículo 36 de la Ley de la Materia, no se encuentra facultado para pronunciarse acerca de la veracidad de la información remitida por los Sujetos Obligados.</w:t>
      </w:r>
    </w:p>
    <w:p w:rsidR="00E67687" w:rsidRDefault="00E67687">
      <w:pPr>
        <w:spacing w:line="360" w:lineRule="auto"/>
        <w:jc w:val="both"/>
        <w:rPr>
          <w:rFonts w:ascii="Palatino Linotype" w:hAnsi="Palatino Linotype" w:cs="Arial"/>
          <w:lang w:val="es-ES_tradnl"/>
        </w:rPr>
      </w:pPr>
    </w:p>
    <w:p w:rsidR="00E67687" w:rsidRDefault="006D67BC">
      <w:pPr>
        <w:spacing w:line="360" w:lineRule="auto"/>
        <w:jc w:val="both"/>
        <w:rPr>
          <w:rFonts w:ascii="Palatino Linotype" w:hAnsi="Palatino Linotype" w:cs="Arial"/>
          <w:lang w:val="es-ES_tradnl"/>
        </w:rPr>
      </w:pPr>
      <w:r>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E67687" w:rsidRDefault="00E67687">
      <w:pPr>
        <w:spacing w:line="276" w:lineRule="auto"/>
        <w:ind w:left="851" w:right="618"/>
        <w:jc w:val="both"/>
        <w:rPr>
          <w:rFonts w:ascii="Palatino Linotype" w:hAnsi="Palatino Linotype" w:cs="Arial"/>
          <w:b/>
          <w:i/>
          <w:szCs w:val="20"/>
          <w:lang w:val="es-ES_tradnl"/>
        </w:rPr>
      </w:pPr>
    </w:p>
    <w:p w:rsidR="00E67687" w:rsidRDefault="006D67BC">
      <w:pPr>
        <w:spacing w:line="276" w:lineRule="auto"/>
        <w:ind w:left="851" w:right="618"/>
        <w:jc w:val="both"/>
        <w:rPr>
          <w:rFonts w:ascii="Palatino Linotype" w:hAnsi="Palatino Linotype" w:cs="Arial"/>
          <w:i/>
          <w:szCs w:val="20"/>
          <w:lang w:val="es-ES_tradnl"/>
        </w:rPr>
      </w:pPr>
      <w:r>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Pr>
          <w:rFonts w:ascii="Palatino Linotype" w:hAnsi="Palatino Linotype" w:cs="Arial"/>
          <w:i/>
          <w:szCs w:val="20"/>
          <w:lang w:val="es-ES_tradnl"/>
        </w:rPr>
        <w:lastRenderedPageBreak/>
        <w:t xml:space="preserve">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67687" w:rsidRDefault="006D67BC">
      <w:pPr>
        <w:spacing w:line="276" w:lineRule="auto"/>
        <w:ind w:left="851" w:right="618"/>
        <w:jc w:val="both"/>
        <w:rPr>
          <w:rFonts w:ascii="Palatino Linotype" w:hAnsi="Palatino Linotype" w:cs="Arial"/>
          <w:b/>
          <w:i/>
          <w:szCs w:val="20"/>
          <w:lang w:val="es-ES_tradnl"/>
        </w:rPr>
      </w:pPr>
      <w:r>
        <w:rPr>
          <w:rFonts w:ascii="Palatino Linotype" w:hAnsi="Palatino Linotype" w:cs="Arial"/>
          <w:i/>
          <w:szCs w:val="20"/>
          <w:lang w:val="es-ES_tradnl"/>
        </w:rPr>
        <w:t>Criterio 31/10</w:t>
      </w:r>
      <w:r>
        <w:rPr>
          <w:rFonts w:ascii="Palatino Linotype" w:hAnsi="Palatino Linotype" w:cs="Arial"/>
          <w:b/>
          <w:i/>
          <w:szCs w:val="20"/>
          <w:lang w:val="es-ES_tradnl"/>
        </w:rPr>
        <w:t>”</w:t>
      </w:r>
      <w:r>
        <w:rPr>
          <w:rFonts w:ascii="Palatino Linotype" w:hAnsi="Palatino Linotype" w:cs="Arial"/>
          <w:i/>
          <w:szCs w:val="20"/>
          <w:lang w:val="es-ES_tradnl"/>
        </w:rPr>
        <w:t xml:space="preserve"> (sic)</w:t>
      </w:r>
    </w:p>
    <w:p w:rsidR="00E67687" w:rsidRDefault="00E67687">
      <w:pPr>
        <w:tabs>
          <w:tab w:val="left" w:pos="8080"/>
        </w:tabs>
        <w:spacing w:line="360" w:lineRule="auto"/>
        <w:ind w:right="49"/>
        <w:jc w:val="both"/>
        <w:rPr>
          <w:rFonts w:ascii="Palatino Linotype" w:hAnsi="Palatino Linotype" w:cs="Arial"/>
        </w:rPr>
      </w:pPr>
    </w:p>
    <w:p w:rsidR="00E67687" w:rsidRDefault="005E43C3">
      <w:pPr>
        <w:tabs>
          <w:tab w:val="left" w:pos="8080"/>
        </w:tabs>
        <w:spacing w:line="360" w:lineRule="auto"/>
        <w:ind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1501140</wp:posOffset>
                </wp:positionV>
                <wp:extent cx="5819775" cy="3352800"/>
                <wp:effectExtent l="38100" t="19050" r="66675" b="95250"/>
                <wp:wrapNone/>
                <wp:docPr id="17" name="Conector recto 17"/>
                <wp:cNvGraphicFramePr/>
                <a:graphic xmlns:a="http://schemas.openxmlformats.org/drawingml/2006/main">
                  <a:graphicData uri="http://schemas.microsoft.com/office/word/2010/wordprocessingShape">
                    <wps:wsp>
                      <wps:cNvCnPr/>
                      <wps:spPr>
                        <a:xfrm>
                          <a:off x="0" y="0"/>
                          <a:ext cx="5819775" cy="3352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E88658" id="Conector recto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18.2pt" to="460.2pt,3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" strokecolor="#4f81bd [3204]" strokeweight="2pt">
                <v:shadow on="t" color="black" opacity="24903f" origin=",.5" offset="0,.55556mm"/>
              </v:line>
            </w:pict>
          </mc:Fallback>
        </mc:AlternateContent>
      </w:r>
      <w:r w:rsidR="006D67BC">
        <w:rPr>
          <w:rFonts w:ascii="Palatino Linotype" w:hAnsi="Palatino Linotype" w:cs="Arial"/>
        </w:rPr>
        <w:t>Respecto del numeral 3, se observa que si bien remitió la información requerida por el particular, de una revisión por parte de la Ponencia que resuelve a los archivos electrónicos remitidos se observa que dentro del archivo en formato xls o Excel y comparado con el archivo pdf se aprecia incompleta o testada la información a partir del número 111 como se aprecia en las siguiente imágenes:</w:t>
      </w:r>
    </w:p>
    <w:p w:rsidR="00E67687" w:rsidRDefault="00E67687">
      <w:pPr>
        <w:tabs>
          <w:tab w:val="left" w:pos="8080"/>
        </w:tabs>
        <w:spacing w:line="360" w:lineRule="auto"/>
        <w:ind w:right="49"/>
        <w:jc w:val="both"/>
        <w:rPr>
          <w:rFonts w:ascii="Palatino Linotype" w:hAnsi="Palatino Linotype" w:cs="Arial"/>
        </w:rPr>
      </w:pPr>
    </w:p>
    <w:p w:rsidR="00E67687" w:rsidRDefault="006D67BC">
      <w:pPr>
        <w:tabs>
          <w:tab w:val="left" w:pos="8080"/>
        </w:tabs>
        <w:spacing w:line="360" w:lineRule="auto"/>
        <w:ind w:right="49"/>
        <w:jc w:val="both"/>
        <w:rPr>
          <w:rFonts w:ascii="Palatino Linotype" w:hAnsi="Palatino Linotype" w:cs="Arial"/>
        </w:rPr>
      </w:pPr>
      <w:r>
        <w:rPr>
          <w:noProof/>
          <w:lang w:eastAsia="es-MX"/>
        </w:rPr>
        <w:lastRenderedPageBreak/>
        <w:drawing>
          <wp:inline distT="0" distB="0" distL="0" distR="0">
            <wp:extent cx="5791835" cy="3177540"/>
            <wp:effectExtent l="0" t="0" r="0" b="0"/>
            <wp:docPr id="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10"/>
                    <a:srcRect b="2474"/>
                    <a:stretch>
                      <a:fillRect/>
                    </a:stretch>
                  </pic:blipFill>
                  <pic:spPr bwMode="auto">
                    <a:xfrm>
                      <a:off x="0" y="0"/>
                      <a:ext cx="5791835" cy="3177540"/>
                    </a:xfrm>
                    <a:prstGeom prst="rect">
                      <a:avLst/>
                    </a:prstGeom>
                  </pic:spPr>
                </pic:pic>
              </a:graphicData>
            </a:graphic>
          </wp:inline>
        </w:drawing>
      </w:r>
    </w:p>
    <w:p w:rsidR="00E67687" w:rsidRDefault="006D67BC">
      <w:pPr>
        <w:tabs>
          <w:tab w:val="left" w:pos="8080"/>
        </w:tabs>
        <w:spacing w:line="360" w:lineRule="auto"/>
        <w:ind w:right="49"/>
        <w:jc w:val="both"/>
        <w:rPr>
          <w:rFonts w:ascii="Palatino Linotype" w:hAnsi="Palatino Linotype" w:cs="Arial"/>
        </w:rPr>
      </w:pPr>
      <w:r>
        <w:rPr>
          <w:rFonts w:ascii="Palatino Linotype" w:hAnsi="Palatino Linotype" w:cs="Arial"/>
        </w:rPr>
        <w:t xml:space="preserve">Atento a lo anterior deberá remitir nuevamente la información requerida por el particular, a efecto de otorgar certeza jurídica a las partes, ya que se desconoce las razones por las cuales se suprimió la información al no advertir causa justificada para la supresión de la misma, es decir, hay ausencia de una debida fundamentación y motivación. En atención a lo anterior, deberá entregar la información tanto en formato pdf como xls al ser como los posee </w:t>
      </w:r>
      <w:r>
        <w:rPr>
          <w:rFonts w:ascii="Palatino Linotype" w:hAnsi="Palatino Linotype" w:cs="Arial"/>
          <w:b/>
        </w:rPr>
        <w:t>EL SUJETO OBLIGADO</w:t>
      </w:r>
      <w:r>
        <w:rPr>
          <w:rFonts w:ascii="Palatino Linotype" w:hAnsi="Palatino Linotype" w:cs="Arial"/>
        </w:rPr>
        <w:t xml:space="preserve">. </w:t>
      </w:r>
    </w:p>
    <w:p w:rsidR="00E67687" w:rsidRDefault="00E67687">
      <w:pPr>
        <w:tabs>
          <w:tab w:val="left" w:pos="8080"/>
        </w:tabs>
        <w:spacing w:line="360" w:lineRule="auto"/>
        <w:ind w:right="49"/>
        <w:jc w:val="both"/>
        <w:rPr>
          <w:rFonts w:ascii="Palatino Linotype" w:hAnsi="Palatino Linotype" w:cs="Arial"/>
        </w:rPr>
      </w:pPr>
    </w:p>
    <w:p w:rsidR="00E67687" w:rsidRDefault="006D67BC">
      <w:pPr>
        <w:tabs>
          <w:tab w:val="left" w:pos="8080"/>
        </w:tabs>
        <w:spacing w:line="360" w:lineRule="auto"/>
        <w:ind w:right="49"/>
        <w:jc w:val="both"/>
        <w:rPr>
          <w:rFonts w:ascii="Palatino Linotype" w:hAnsi="Palatino Linotype" w:cs="Arial"/>
          <w:color w:val="000000" w:themeColor="text1"/>
        </w:rPr>
      </w:pPr>
      <w:r>
        <w:rPr>
          <w:rFonts w:ascii="Palatino Linotype" w:hAnsi="Palatino Linotype" w:cs="Arial"/>
        </w:rPr>
        <w:t xml:space="preserve">Ahora bien por lo que respecta a los numerales 4, 5 y 6 </w:t>
      </w:r>
      <w:r>
        <w:rPr>
          <w:rFonts w:ascii="Palatino Linotype" w:hAnsi="Palatino Linotype" w:cs="Arial"/>
          <w:color w:val="000000" w:themeColor="text1"/>
        </w:rPr>
        <w:t xml:space="preserve">es de subrayar que el derecho de acceso a la información pública, consiste en que la información solicitada conste en un soporte documental en cualquiera de sus formas, a saber: </w:t>
      </w:r>
      <w:r>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w:t>
      </w:r>
      <w:r>
        <w:rPr>
          <w:rFonts w:ascii="Palatino Linotype" w:hAnsi="Palatino Linotype" w:cs="Arial"/>
        </w:rPr>
        <w:lastRenderedPageBreak/>
        <w:t>funciones y competencias de los Sujetos Obligados</w:t>
      </w:r>
      <w:r>
        <w:rPr>
          <w:rFonts w:ascii="Palatino Linotype" w:hAnsi="Palatino Linotype" w:cs="Arial"/>
          <w:color w:val="000000" w:themeColor="text1"/>
        </w:rPr>
        <w:t xml:space="preserve">; los que </w:t>
      </w:r>
      <w:r>
        <w:rPr>
          <w:rFonts w:ascii="Palatino Linotype" w:hAnsi="Palatino Linotype" w:cs="Arial"/>
        </w:rPr>
        <w:t>podrán estar en cualquier medio, sea escrito, impreso, sonoro, visual, electrónico, informático u holográfico</w:t>
      </w:r>
      <w:r>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E67687" w:rsidRDefault="00E67687">
      <w:pPr>
        <w:tabs>
          <w:tab w:val="left" w:pos="8080"/>
        </w:tabs>
        <w:spacing w:line="360" w:lineRule="auto"/>
        <w:ind w:right="49"/>
        <w:jc w:val="both"/>
        <w:rPr>
          <w:rFonts w:ascii="Palatino Linotype" w:hAnsi="Palatino Linotype" w:cs="Arial"/>
          <w:color w:val="000000" w:themeColor="text1"/>
        </w:rPr>
      </w:pPr>
    </w:p>
    <w:p w:rsidR="00E67687" w:rsidRDefault="006D67BC">
      <w:pPr>
        <w:ind w:left="709" w:right="814"/>
        <w:jc w:val="both"/>
        <w:rPr>
          <w:rFonts w:ascii="Palatino Linotype" w:hAnsi="Palatino Linotype" w:cs="Arial"/>
          <w:b/>
          <w:bCs/>
          <w:i/>
          <w:sz w:val="22"/>
          <w:lang w:eastAsia="en-US"/>
        </w:rPr>
      </w:pPr>
      <w:r>
        <w:rPr>
          <w:rFonts w:ascii="Palatino Linotype" w:hAnsi="Palatino Linotype" w:cs="Arial"/>
          <w:bCs/>
          <w:i/>
          <w:sz w:val="22"/>
          <w:lang w:eastAsia="en-US"/>
        </w:rPr>
        <w:t>“</w:t>
      </w:r>
      <w:r>
        <w:rPr>
          <w:rFonts w:ascii="Palatino Linotype" w:hAnsi="Palatino Linotype" w:cs="Arial"/>
          <w:b/>
          <w:bCs/>
          <w:i/>
          <w:sz w:val="22"/>
          <w:lang w:eastAsia="en-US"/>
        </w:rPr>
        <w:t xml:space="preserve">Artículo 3. </w:t>
      </w:r>
      <w:r>
        <w:rPr>
          <w:rFonts w:ascii="Palatino Linotype" w:hAnsi="Palatino Linotype" w:cs="Arial"/>
          <w:bCs/>
          <w:i/>
          <w:sz w:val="22"/>
          <w:lang w:eastAsia="en-US"/>
        </w:rPr>
        <w:t>Para los efectos de la presente Ley se entenderá por:</w:t>
      </w:r>
      <w:r>
        <w:rPr>
          <w:rFonts w:ascii="Palatino Linotype" w:hAnsi="Palatino Linotype" w:cs="Arial"/>
          <w:b/>
          <w:bCs/>
          <w:i/>
          <w:sz w:val="22"/>
          <w:lang w:eastAsia="en-US"/>
        </w:rPr>
        <w:t xml:space="preserve"> </w:t>
      </w:r>
    </w:p>
    <w:p w:rsidR="00E67687" w:rsidRDefault="006D67BC">
      <w:pPr>
        <w:ind w:left="709" w:right="814"/>
        <w:jc w:val="both"/>
        <w:rPr>
          <w:rFonts w:ascii="Palatino Linotype" w:hAnsi="Palatino Linotype" w:cs="Arial"/>
          <w:bCs/>
          <w:i/>
          <w:sz w:val="22"/>
          <w:lang w:eastAsia="en-US"/>
        </w:rPr>
      </w:pPr>
      <w:r>
        <w:rPr>
          <w:rFonts w:ascii="Palatino Linotype" w:hAnsi="Palatino Linotype" w:cs="Arial"/>
          <w:bCs/>
          <w:i/>
          <w:sz w:val="22"/>
          <w:lang w:eastAsia="en-US"/>
        </w:rPr>
        <w:t>…</w:t>
      </w:r>
    </w:p>
    <w:p w:rsidR="00E67687" w:rsidRDefault="00E67687">
      <w:pPr>
        <w:ind w:left="709" w:right="814"/>
        <w:jc w:val="both"/>
        <w:rPr>
          <w:rFonts w:ascii="Palatino Linotype" w:hAnsi="Palatino Linotype" w:cs="Arial"/>
          <w:b/>
          <w:bCs/>
          <w:i/>
          <w:sz w:val="22"/>
          <w:lang w:eastAsia="en-US"/>
        </w:rPr>
      </w:pPr>
    </w:p>
    <w:p w:rsidR="00E67687" w:rsidRDefault="006D67BC">
      <w:pPr>
        <w:ind w:left="709" w:right="814"/>
        <w:jc w:val="both"/>
        <w:rPr>
          <w:rFonts w:ascii="Palatino Linotype" w:hAnsi="Palatino Linotype" w:cs="Arial"/>
          <w:i/>
          <w:sz w:val="22"/>
          <w:lang w:eastAsia="en-US"/>
        </w:rPr>
      </w:pPr>
      <w:r>
        <w:rPr>
          <w:rFonts w:ascii="Palatino Linotype" w:hAnsi="Palatino Linotype" w:cs="Arial"/>
          <w:b/>
          <w:i/>
          <w:sz w:val="22"/>
          <w:lang w:eastAsia="en-US"/>
        </w:rPr>
        <w:t>XI. Documento:</w:t>
      </w:r>
      <w:r>
        <w:rPr>
          <w:rFonts w:ascii="Palatino Linotype" w:hAnsi="Palatino Linotype" w:cs="Arial"/>
          <w:i/>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67687" w:rsidRDefault="006D67BC">
      <w:pPr>
        <w:ind w:left="709" w:right="814"/>
        <w:jc w:val="both"/>
        <w:rPr>
          <w:rFonts w:ascii="Palatino Linotype" w:hAnsi="Palatino Linotype" w:cs="Arial"/>
          <w:bCs/>
          <w:i/>
          <w:sz w:val="22"/>
          <w:lang w:eastAsia="en-US"/>
        </w:rPr>
      </w:pPr>
      <w:r>
        <w:rPr>
          <w:rFonts w:ascii="Palatino Linotype" w:hAnsi="Palatino Linotype" w:cs="Arial"/>
          <w:b/>
          <w:bCs/>
          <w:i/>
          <w:sz w:val="22"/>
          <w:lang w:eastAsia="en-US"/>
        </w:rPr>
        <w:t>…</w:t>
      </w:r>
      <w:r>
        <w:rPr>
          <w:rFonts w:ascii="Palatino Linotype" w:hAnsi="Palatino Linotype" w:cs="Arial"/>
          <w:bCs/>
          <w:i/>
          <w:sz w:val="22"/>
          <w:lang w:eastAsia="en-US"/>
        </w:rPr>
        <w:t>”</w:t>
      </w:r>
    </w:p>
    <w:p w:rsidR="00E67687" w:rsidRDefault="00E67687">
      <w:pPr>
        <w:spacing w:line="360" w:lineRule="auto"/>
        <w:jc w:val="both"/>
        <w:rPr>
          <w:rFonts w:ascii="Palatino Linotype" w:hAnsi="Palatino Linotype" w:cs="Arial"/>
        </w:rPr>
      </w:pPr>
    </w:p>
    <w:p w:rsidR="00E67687" w:rsidRDefault="006D67BC">
      <w:pPr>
        <w:spacing w:line="360" w:lineRule="auto"/>
        <w:jc w:val="both"/>
        <w:rPr>
          <w:rFonts w:ascii="Palatino Linotype" w:hAnsi="Palatino Linotype" w:cs="Arial"/>
        </w:rPr>
      </w:pPr>
      <w:r>
        <w:rPr>
          <w:rFonts w:ascii="Palatino Linotype" w:hAnsi="Palatino Linotype" w:cs="Arial"/>
          <w:color w:val="000000"/>
        </w:rPr>
        <w:t xml:space="preserve">En ese tenor, </w:t>
      </w:r>
      <w:r>
        <w:rPr>
          <w:rFonts w:ascii="Palatino Linotype" w:hAnsi="Palatino Linotype" w:cs="Arial"/>
        </w:rPr>
        <w:t>este Órgano Autónomo considera que existe un documento que puede colmar el derecho de acceso a la información del</w:t>
      </w:r>
      <w:r>
        <w:rPr>
          <w:rFonts w:ascii="Palatino Linotype" w:hAnsi="Palatino Linotype" w:cs="Arial"/>
          <w:b/>
        </w:rPr>
        <w:t xml:space="preserve"> RECURRENTE</w:t>
      </w:r>
      <w:r>
        <w:rPr>
          <w:rFonts w:ascii="Palatino Linotype" w:hAnsi="Palatino Linotype" w:cs="Arial"/>
        </w:rPr>
        <w:t>, como lo son los</w:t>
      </w:r>
      <w:r>
        <w:rPr>
          <w:rFonts w:ascii="Palatino Linotype" w:hAnsi="Palatino Linotype" w:cs="Arial"/>
          <w:i/>
        </w:rPr>
        <w:t xml:space="preserve"> </w:t>
      </w:r>
      <w:r>
        <w:rPr>
          <w:rFonts w:ascii="Palatino Linotype" w:hAnsi="Palatino Linotype" w:cs="Arial"/>
          <w:i/>
          <w:sz w:val="22"/>
        </w:rPr>
        <w:t>Hoja de Trabajo para la Conciliación Físico Contable de los Bienes Muebles e Inmuebles en formato; Conciliación Físico-Contable del Inventario de Bienes Muebles; y, Actas del Comité y Anexos donde presenten los resultados del Levantamiento Físico de Bienes Muebles e Inmuebles</w:t>
      </w:r>
      <w:r>
        <w:rPr>
          <w:rFonts w:ascii="Palatino Linotype" w:hAnsi="Palatino Linotype" w:cs="Arial"/>
        </w:rPr>
        <w:t xml:space="preserve">, ya que en estos consta la información solicitada, correspondiente a un periodo determinado. </w:t>
      </w:r>
    </w:p>
    <w:p w:rsidR="00E67687" w:rsidRDefault="00E67687">
      <w:pPr>
        <w:pStyle w:val="Texto"/>
        <w:tabs>
          <w:tab w:val="right" w:leader="dot" w:pos="8505"/>
        </w:tabs>
        <w:spacing w:after="0" w:line="360" w:lineRule="auto"/>
        <w:rPr>
          <w:rFonts w:ascii="Palatino Linotype" w:hAnsi="Palatino Linotype"/>
          <w:szCs w:val="24"/>
          <w:lang w:eastAsia="es-MX"/>
        </w:rPr>
      </w:pPr>
    </w:p>
    <w:p w:rsidR="00E67687" w:rsidRDefault="006D67BC">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szCs w:val="24"/>
          <w:lang w:eastAsia="es-MX"/>
        </w:rPr>
        <w:t xml:space="preserve">Para ello, debe observarse lo señalado en los Lineamientos para la Elaboración y Presentación del Informe Mensual Municipal 2019, los cuales contienen las disposiciones administrativas que rigen a las Entidades Fiscalizables en el Estado de </w:t>
      </w:r>
      <w:r>
        <w:rPr>
          <w:rFonts w:ascii="Palatino Linotype" w:hAnsi="Palatino Linotype"/>
          <w:szCs w:val="24"/>
          <w:lang w:eastAsia="es-MX"/>
        </w:rPr>
        <w:lastRenderedPageBreak/>
        <w:t>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E67687" w:rsidRDefault="00E67687">
      <w:pPr>
        <w:pStyle w:val="Texto"/>
        <w:tabs>
          <w:tab w:val="right" w:leader="dot" w:pos="8505"/>
        </w:tabs>
        <w:spacing w:after="0" w:line="360" w:lineRule="auto"/>
        <w:rPr>
          <w:rFonts w:ascii="Palatino Linotype" w:hAnsi="Palatino Linotype"/>
          <w:szCs w:val="24"/>
          <w:lang w:eastAsia="es-MX"/>
        </w:rPr>
      </w:pPr>
    </w:p>
    <w:p w:rsidR="00E67687" w:rsidRDefault="006D67BC">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szCs w:val="24"/>
          <w:lang w:eastAsia="es-MX"/>
        </w:rPr>
        <w:t>Así, los Lineamientos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2 “Información Presupuestal de Bienes Muebles e Inmuebles y recaudación del Impuesto Predial y Derechos de Agua”, y cuyo contenido debe ser enviado por los Tesoreros Municipales al OSFEM, en términos del artículo 2 fracción XI de la Ley de Fiscalización Superior del Estado de México</w:t>
      </w:r>
      <w:r>
        <w:rPr>
          <w:rStyle w:val="Ancladenotaalpie"/>
          <w:szCs w:val="24"/>
          <w:lang w:eastAsia="es-MX"/>
        </w:rPr>
        <w:footnoteReference w:id="1"/>
      </w:r>
      <w:r>
        <w:rPr>
          <w:rFonts w:ascii="Palatino Linotype" w:hAnsi="Palatino Linotype"/>
          <w:szCs w:val="24"/>
          <w:lang w:eastAsia="es-MX"/>
        </w:rPr>
        <w:t xml:space="preserve">, como se muestra a continuación: </w:t>
      </w:r>
    </w:p>
    <w:p w:rsidR="00E67687" w:rsidRDefault="00E67687">
      <w:pPr>
        <w:pStyle w:val="Texto"/>
        <w:tabs>
          <w:tab w:val="right" w:leader="dot" w:pos="8505"/>
        </w:tabs>
        <w:spacing w:after="0" w:line="360" w:lineRule="auto"/>
        <w:rPr>
          <w:rFonts w:ascii="Palatino Linotype" w:hAnsi="Palatino Linotype"/>
          <w:szCs w:val="24"/>
          <w:lang w:eastAsia="es-MX"/>
        </w:rPr>
      </w:pPr>
    </w:p>
    <w:p w:rsidR="00E67687" w:rsidRDefault="006D67BC">
      <w:pPr>
        <w:pStyle w:val="Texto"/>
        <w:tabs>
          <w:tab w:val="right" w:leader="dot" w:pos="8505"/>
        </w:tabs>
        <w:spacing w:after="0" w:line="360" w:lineRule="auto"/>
        <w:rPr>
          <w:rFonts w:ascii="Palatino Linotype" w:hAnsi="Palatino Linotype"/>
          <w:szCs w:val="24"/>
          <w:lang w:eastAsia="es-MX"/>
        </w:rPr>
      </w:pPr>
      <w:r>
        <w:rPr>
          <w:noProof/>
          <w:lang w:val="es-MX" w:eastAsia="es-MX"/>
        </w:rPr>
        <w:lastRenderedPageBreak/>
        <w:drawing>
          <wp:inline distT="0" distB="0" distL="0" distR="0">
            <wp:extent cx="5760720" cy="308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1"/>
                    <a:srcRect l="26051" t="26432" r="23827" b="19783"/>
                    <a:stretch>
                      <a:fillRect/>
                    </a:stretch>
                  </pic:blipFill>
                  <pic:spPr bwMode="auto">
                    <a:xfrm>
                      <a:off x="0" y="0"/>
                      <a:ext cx="5760720" cy="3086100"/>
                    </a:xfrm>
                    <a:prstGeom prst="rect">
                      <a:avLst/>
                    </a:prstGeom>
                  </pic:spPr>
                </pic:pic>
              </a:graphicData>
            </a:graphic>
          </wp:inline>
        </w:drawing>
      </w:r>
    </w:p>
    <w:p w:rsidR="00E67687" w:rsidRDefault="005E43C3">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noProof/>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59055</wp:posOffset>
                </wp:positionV>
                <wp:extent cx="5848350" cy="4095750"/>
                <wp:effectExtent l="38100" t="19050" r="76200" b="95250"/>
                <wp:wrapNone/>
                <wp:docPr id="18" name="Conector recto 18"/>
                <wp:cNvGraphicFramePr/>
                <a:graphic xmlns:a="http://schemas.openxmlformats.org/drawingml/2006/main">
                  <a:graphicData uri="http://schemas.microsoft.com/office/word/2010/wordprocessingShape">
                    <wps:wsp>
                      <wps:cNvCnPr/>
                      <wps:spPr>
                        <a:xfrm>
                          <a:off x="0" y="0"/>
                          <a:ext cx="5848350" cy="4095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5ABC70" id="Conector recto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4.65pt" to="463.9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" strokecolor="#4f81bd [3204]" strokeweight="2pt">
                <v:shadow on="t" color="black" opacity="24903f" origin=",.5" offset="0,.55556mm"/>
              </v:lin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noProof/>
          <w:lang w:val="es-MX" w:eastAsia="es-MX"/>
        </w:rPr>
        <w:lastRenderedPageBreak/>
        <mc:AlternateContent>
          <mc:Choice Requires="wps">
            <w:drawing>
              <wp:inline distT="0" distB="0" distL="0" distR="0" wp14:anchorId="7CD2F54F">
                <wp:extent cx="7232015" cy="5732145"/>
                <wp:effectExtent l="6985" t="0" r="0" b="0"/>
                <wp:docPr id="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8417" t="17452" r="19309"/>
                        <a:stretch/>
                      </pic:blipFill>
                      <pic:spPr>
                        <a:xfrm rot="16200000">
                          <a:off x="0" y="0"/>
                          <a:ext cx="7231320" cy="57315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59pt;margin-top:-510.4pt;width:569.35pt;height:451.25pt;rotation:270;mso-position-vertical:top" wp14:anchorId="7CD2F54F" type="shapetype_75">
                <v:imagedata r:id="rId13" o:detectmouseclick="t"/>
                <w10:wrap type="none"/>
                <v:stroke color="#3465a4" joinstyle="round" endcap="flat"/>
              </v:shap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noProof/>
          <w:szCs w:val="24"/>
          <w:lang w:val="es-MX" w:eastAsia="es-MX"/>
        </w:rPr>
        <w:lastRenderedPageBreak/>
        <mc:AlternateContent>
          <mc:Choice Requires="wps">
            <w:drawing>
              <wp:anchor distT="0" distB="0" distL="114300" distR="114300" simplePos="0" relativeHeight="92" behindDoc="0" locked="0" layoutInCell="1" allowOverlap="1" wp14:anchorId="2CB93F0C">
                <wp:simplePos x="0" y="0"/>
                <wp:positionH relativeFrom="margin">
                  <wp:posOffset>-797560</wp:posOffset>
                </wp:positionH>
                <wp:positionV relativeFrom="paragraph">
                  <wp:posOffset>808355</wp:posOffset>
                </wp:positionV>
                <wp:extent cx="7301865" cy="5684520"/>
                <wp:effectExtent l="8572" t="0" r="3493" b="3492"/>
                <wp:wrapSquare wrapText="bothSides"/>
                <wp:docPr id="8" name="Imagen 10"/>
                <wp:cNvGraphicFramePr/>
                <a:graphic xmlns:a="http://schemas.openxmlformats.org/drawingml/2006/main">
                  <a:graphicData uri="http://schemas.openxmlformats.org/drawingml/2006/picture">
                    <pic:pic xmlns:pic="http://schemas.openxmlformats.org/drawingml/2006/picture">
                      <pic:nvPicPr>
                        <pic:cNvPr id="1" name="Imagen 10"/>
                        <pic:cNvPicPr/>
                      </pic:nvPicPr>
                      <pic:blipFill>
                        <a:blip r:embed="rId14"/>
                        <a:srcRect l="18478" t="17620" r="19571" b="1315"/>
                        <a:stretch/>
                      </pic:blipFill>
                      <pic:spPr>
                        <a:xfrm rot="16200000">
                          <a:off x="0" y="0"/>
                          <a:ext cx="7301160" cy="5684040"/>
                        </a:xfrm>
                        <a:prstGeom prst="rect">
                          <a:avLst/>
                        </a:prstGeom>
                        <a:ln>
                          <a:noFill/>
                        </a:ln>
                      </pic:spPr>
                    </pic:pic>
                  </a:graphicData>
                </a:graphic>
              </wp:anchor>
            </w:drawing>
          </mc:Choice>
          <mc:Fallback>
            <w:pict>
              <v:shape id="shape_0" ID="Imagen 10" stroked="f" style="position:absolute;margin-left:-62.8pt;margin-top:63.65pt;width:574.85pt;height:447.5pt;rotation:270;mso-position-horizontal-relative:margin" wp14:anchorId="2CB93F0C" type="shapetype_75">
                <v:imagedata r:id="rId15" o:detectmouseclick="t"/>
                <w10:wrap type="none"/>
                <v:stroke color="#3465a4" joinstyle="round" endcap="flat"/>
              </v:shap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noProof/>
          <w:lang w:val="es-MX" w:eastAsia="es-MX"/>
        </w:rPr>
        <w:lastRenderedPageBreak/>
        <w:drawing>
          <wp:inline distT="0" distB="0" distL="0" distR="0">
            <wp:extent cx="5699760" cy="7284720"/>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
                    <pic:cNvPicPr>
                      <a:picLocks noChangeAspect="1" noChangeArrowheads="1"/>
                    </pic:cNvPicPr>
                  </pic:nvPicPr>
                  <pic:blipFill>
                    <a:blip r:embed="rId16"/>
                    <a:srcRect l="18291" t="18709" r="19350"/>
                    <a:stretch>
                      <a:fillRect/>
                    </a:stretch>
                  </pic:blipFill>
                  <pic:spPr bwMode="auto">
                    <a:xfrm>
                      <a:off x="0" y="0"/>
                      <a:ext cx="5699760" cy="7284720"/>
                    </a:xfrm>
                    <a:prstGeom prst="rect">
                      <a:avLst/>
                    </a:prstGeom>
                  </pic:spPr>
                </pic:pic>
              </a:graphicData>
            </a:graphic>
          </wp:inline>
        </w:drawing>
      </w:r>
    </w:p>
    <w:p w:rsidR="00E67687" w:rsidRDefault="006D67BC">
      <w:pPr>
        <w:pStyle w:val="Texto"/>
        <w:tabs>
          <w:tab w:val="right" w:leader="dot" w:pos="8505"/>
        </w:tabs>
        <w:spacing w:after="0" w:line="360" w:lineRule="auto"/>
        <w:rPr>
          <w:rFonts w:ascii="Palatino Linotype" w:hAnsi="Palatino Linotype"/>
          <w:szCs w:val="24"/>
          <w:lang w:eastAsia="es-MX"/>
        </w:rPr>
      </w:pPr>
      <w:r>
        <w:rPr>
          <w:noProof/>
          <w:lang w:val="es-MX" w:eastAsia="es-MX"/>
        </w:rPr>
        <w:lastRenderedPageBreak/>
        <mc:AlternateContent>
          <mc:Choice Requires="wps">
            <w:drawing>
              <wp:inline distT="0" distB="0" distL="0" distR="0" wp14:anchorId="70632049">
                <wp:extent cx="7140575" cy="5731510"/>
                <wp:effectExtent l="0" t="318" r="3493" b="3492"/>
                <wp:docPr id="10" name="Imagen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srcRect l="18482" t="17393" r="19573"/>
                        <a:stretch/>
                      </pic:blipFill>
                      <pic:spPr>
                        <a:xfrm rot="16200000">
                          <a:off x="0" y="0"/>
                          <a:ext cx="7139880" cy="5730840"/>
                        </a:xfrm>
                        <a:prstGeom prst="rect">
                          <a:avLst/>
                        </a:prstGeom>
                        <a:ln>
                          <a:noFill/>
                        </a:ln>
                      </pic:spPr>
                    </pic:pic>
                  </a:graphicData>
                </a:graphic>
              </wp:inline>
            </w:drawing>
          </mc:Choice>
          <mc:Fallback>
            <w:pict>
              <v:shape id="shape_0" stroked="f" style="position:absolute;margin-left:-55.45pt;margin-top:-506.8pt;width:562.15pt;height:451.2pt;rotation:270;mso-position-vertical:top" wp14:anchorId="70632049" type="shapetype_75">
                <v:imagedata r:id="rId18" o:detectmouseclick="t"/>
                <w10:wrap type="none"/>
                <v:stroke color="#3465a4" joinstyle="round" endcap="flat"/>
              </v:shap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noProof/>
          <w:szCs w:val="24"/>
          <w:lang w:val="es-MX" w:eastAsia="es-MX"/>
        </w:rPr>
        <w:lastRenderedPageBreak/>
        <mc:AlternateContent>
          <mc:Choice Requires="wps">
            <w:drawing>
              <wp:anchor distT="0" distB="0" distL="0" distR="114300" simplePos="0" relativeHeight="93" behindDoc="0" locked="0" layoutInCell="1" allowOverlap="1" wp14:anchorId="49BB9FE3">
                <wp:simplePos x="0" y="0"/>
                <wp:positionH relativeFrom="margin">
                  <wp:align>left</wp:align>
                </wp:positionH>
                <wp:positionV relativeFrom="paragraph">
                  <wp:posOffset>975360</wp:posOffset>
                </wp:positionV>
                <wp:extent cx="7097395" cy="5753100"/>
                <wp:effectExtent l="5397" t="0" r="0" b="0"/>
                <wp:wrapSquare wrapText="bothSides"/>
                <wp:docPr id="11" name="Imagen 16"/>
                <wp:cNvGraphicFramePr/>
                <a:graphic xmlns:a="http://schemas.openxmlformats.org/drawingml/2006/main">
                  <a:graphicData uri="http://schemas.openxmlformats.org/drawingml/2006/picture">
                    <pic:pic xmlns:pic="http://schemas.openxmlformats.org/drawingml/2006/picture">
                      <pic:nvPicPr>
                        <pic:cNvPr id="3" name="Imagen 16"/>
                        <pic:cNvPicPr/>
                      </pic:nvPicPr>
                      <pic:blipFill>
                        <a:blip r:embed="rId19"/>
                        <a:srcRect l="18217" t="17156" r="19441"/>
                        <a:stretch/>
                      </pic:blipFill>
                      <pic:spPr>
                        <a:xfrm rot="16200000">
                          <a:off x="0" y="0"/>
                          <a:ext cx="7096680" cy="5752440"/>
                        </a:xfrm>
                        <a:prstGeom prst="rect">
                          <a:avLst/>
                        </a:prstGeom>
                        <a:ln>
                          <a:noFill/>
                        </a:ln>
                      </pic:spPr>
                    </pic:pic>
                  </a:graphicData>
                </a:graphic>
              </wp:anchor>
            </w:drawing>
          </mc:Choice>
          <mc:Fallback>
            <w:pict>
              <v:shape id="shape_0" ID="Imagen 16" stroked="f" style="position:absolute;margin-left:-52.9pt;margin-top:76.8pt;width:558.75pt;height:452.9pt;rotation:270;mso-position-horizontal:left;mso-position-horizontal-relative:margin" wp14:anchorId="49BB9FE3" type="shapetype_75">
                <v:imagedata r:id="rId20" o:detectmouseclick="t"/>
                <w10:wrap type="none"/>
                <v:stroke color="#3465a4" joinstyle="round" endcap="flat"/>
              </v:shap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noProof/>
          <w:lang w:val="es-MX" w:eastAsia="es-MX"/>
        </w:rPr>
        <w:lastRenderedPageBreak/>
        <mc:AlternateContent>
          <mc:Choice Requires="wps">
            <w:drawing>
              <wp:inline distT="0" distB="0" distL="0" distR="0" wp14:anchorId="79952134">
                <wp:extent cx="7416165" cy="5796915"/>
                <wp:effectExtent l="9525" t="0" r="5080" b="5080"/>
                <wp:docPr id="12" name="Imagen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a:srcRect l="18484" t="17172" r="19573" b="2212"/>
                        <a:stretch/>
                      </pic:blipFill>
                      <pic:spPr>
                        <a:xfrm rot="16200000">
                          <a:off x="0" y="0"/>
                          <a:ext cx="7415640" cy="5796360"/>
                        </a:xfrm>
                        <a:prstGeom prst="rect">
                          <a:avLst/>
                        </a:prstGeom>
                        <a:ln>
                          <a:noFill/>
                        </a:ln>
                      </pic:spPr>
                    </pic:pic>
                  </a:graphicData>
                </a:graphic>
              </wp:inline>
            </w:drawing>
          </mc:Choice>
          <mc:Fallback>
            <w:pict>
              <v:shape id="shape_0" stroked="f" style="position:absolute;margin-left:-63.7pt;margin-top:-520.2pt;width:583.85pt;height:456.35pt;rotation:270;mso-position-vertical:top" wp14:anchorId="79952134" type="shapetype_75">
                <v:imagedata r:id="rId22" o:detectmouseclick="t"/>
                <w10:wrap type="none"/>
                <v:stroke color="#3465a4" joinstyle="round" endcap="flat"/>
              </v:shape>
            </w:pict>
          </mc:Fallback>
        </mc:AlternateContent>
      </w:r>
    </w:p>
    <w:p w:rsidR="00E67687" w:rsidRDefault="006D67BC">
      <w:pPr>
        <w:pStyle w:val="Texto"/>
        <w:tabs>
          <w:tab w:val="right" w:leader="dot" w:pos="8505"/>
        </w:tabs>
        <w:spacing w:after="0" w:line="360" w:lineRule="auto"/>
        <w:rPr>
          <w:rFonts w:ascii="Palatino Linotype" w:hAnsi="Palatino Linotype"/>
          <w:szCs w:val="24"/>
          <w:lang w:eastAsia="es-MX"/>
        </w:rPr>
      </w:pPr>
      <w:r>
        <w:rPr>
          <w:rFonts w:ascii="Palatino Linotype" w:hAnsi="Palatino Linotype"/>
          <w:color w:val="000000"/>
          <w:szCs w:val="24"/>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szCs w:val="24"/>
        </w:rPr>
        <w:t>omitir, eliminar o suprimir la</w:t>
      </w:r>
      <w:r>
        <w:rPr>
          <w:rFonts w:ascii="Palatino Linotype" w:hAnsi="Palatino Linotype"/>
          <w:color w:val="000000"/>
          <w:szCs w:val="24"/>
        </w:rPr>
        <w:t xml:space="preserve"> información clasificada como reservada o confidencial</w:t>
      </w:r>
      <w:r>
        <w:rPr>
          <w:rFonts w:ascii="Palatino Linotype" w:eastAsia="Arial Unicode MS" w:hAnsi="Palatino Linotype"/>
          <w:szCs w:val="24"/>
        </w:rPr>
        <w:t xml:space="preserve">. En ese sentido, </w:t>
      </w:r>
      <w:r>
        <w:rPr>
          <w:rFonts w:ascii="Palatino Linotype" w:hAnsi="Palatino Linotype"/>
          <w:szCs w:val="24"/>
          <w:lang w:val="es-ES_tradnl"/>
        </w:rPr>
        <w:t xml:space="preserve">sólo podrán </w:t>
      </w:r>
      <w:r>
        <w:rPr>
          <w:rFonts w:ascii="Palatino Linotype" w:hAnsi="Palatino Linotype"/>
          <w:szCs w:val="24"/>
        </w:rPr>
        <w:t>ser</w:t>
      </w:r>
      <w:r>
        <w:rPr>
          <w:rFonts w:ascii="Palatino Linotype" w:hAnsi="Palatino Linotype"/>
          <w:szCs w:val="24"/>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szCs w:val="24"/>
        </w:rPr>
        <w:t xml:space="preserve"> que el Comité de Transparencia del </w:t>
      </w:r>
      <w:r>
        <w:rPr>
          <w:rFonts w:ascii="Palatino Linotype" w:hAnsi="Palatino Linotype"/>
          <w:b/>
          <w:szCs w:val="24"/>
        </w:rPr>
        <w:t>SUJETO OBLIGADO</w:t>
      </w:r>
      <w:r>
        <w:rPr>
          <w:rFonts w:ascii="Palatino Linotype" w:hAnsi="Palatino Linotype"/>
          <w:szCs w:val="24"/>
        </w:rPr>
        <w:t xml:space="preserve"> emita el Acuerdo de Clasificación correspondiente</w:t>
      </w:r>
      <w:r>
        <w:rPr>
          <w:rFonts w:ascii="Palatino Linotype" w:hAnsi="Palatino Linotype"/>
          <w:szCs w:val="24"/>
          <w:lang w:val="es-ES_tradnl"/>
        </w:rPr>
        <w:t xml:space="preserve"> debidamente fundado y motivado, en el cual se</w:t>
      </w:r>
      <w:r>
        <w:rPr>
          <w:rFonts w:ascii="Palatino Linotype" w:hAnsi="Palatino Linotype"/>
          <w:szCs w:val="24"/>
        </w:rPr>
        <w:t xml:space="preserve"> sustente la versión pública, </w:t>
      </w:r>
      <w:r>
        <w:rPr>
          <w:rFonts w:ascii="Palatino Linotype" w:hAnsi="Palatino Linotype"/>
          <w:szCs w:val="24"/>
          <w:lang w:val="es-ES_tradnl"/>
        </w:rPr>
        <w:t xml:space="preserve">en </w:t>
      </w:r>
      <w:r>
        <w:rPr>
          <w:rFonts w:ascii="Palatino Linotype" w:hAnsi="Palatino Linotype"/>
          <w:szCs w:val="24"/>
          <w:lang w:eastAsia="es-MX"/>
        </w:rPr>
        <w:t>términos</w:t>
      </w:r>
      <w:r>
        <w:rPr>
          <w:rFonts w:ascii="Palatino Linotype" w:hAnsi="Palatino Linotype"/>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67687" w:rsidRDefault="00E67687">
      <w:pPr>
        <w:pStyle w:val="Prrafodelista"/>
        <w:widowControl w:val="0"/>
        <w:spacing w:line="360" w:lineRule="auto"/>
        <w:ind w:left="0"/>
        <w:jc w:val="both"/>
        <w:rPr>
          <w:rFonts w:ascii="Palatino Linotype" w:hAnsi="Palatino Linotype" w:cs="Arial"/>
          <w:lang w:val="es-ES_tradnl"/>
        </w:rPr>
      </w:pPr>
    </w:p>
    <w:p w:rsidR="00E67687" w:rsidRDefault="006D67BC">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E67687" w:rsidRDefault="00E67687">
      <w:pPr>
        <w:ind w:left="709" w:right="757"/>
        <w:jc w:val="center"/>
        <w:rPr>
          <w:rFonts w:ascii="Palatino Linotype" w:hAnsi="Palatino Linotype" w:cs="Arial"/>
          <w:b/>
          <w:i/>
          <w:sz w:val="22"/>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E67687" w:rsidRDefault="00E67687">
      <w:pPr>
        <w:ind w:left="709" w:right="757"/>
        <w:jc w:val="center"/>
        <w:rPr>
          <w:rFonts w:ascii="Palatino Linotype" w:hAnsi="Palatino Linotype" w:cs="Arial"/>
          <w:b/>
          <w:i/>
          <w:sz w:val="22"/>
          <w:szCs w:val="22"/>
          <w:lang w:eastAsia="es-MX"/>
        </w:rPr>
      </w:pPr>
    </w:p>
    <w:p w:rsidR="00E67687" w:rsidRDefault="006D67B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E67687" w:rsidRDefault="00E67687">
      <w:pPr>
        <w:ind w:left="709" w:right="757"/>
        <w:jc w:val="both"/>
        <w:rPr>
          <w:rFonts w:ascii="Palatino Linotype" w:hAnsi="Palatino Linotype" w:cs="Arial"/>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reserva</w:t>
      </w:r>
      <w:r>
        <w:rPr>
          <w:rFonts w:ascii="Palatino Linotype" w:hAnsi="Palatino Linotype" w:cs="Arial"/>
          <w:i/>
          <w:sz w:val="22"/>
          <w:szCs w:val="22"/>
          <w:u w:val="single"/>
          <w:lang w:eastAsia="es-MX"/>
        </w:rPr>
        <w:t xml:space="preserve">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67687" w:rsidRDefault="00E67687">
      <w:pPr>
        <w:ind w:left="709" w:right="757"/>
        <w:jc w:val="both"/>
        <w:rPr>
          <w:rFonts w:ascii="Palatino Linotype" w:hAnsi="Palatino Linotype" w:cs="Arial"/>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E67687" w:rsidRDefault="00E67687">
      <w:pPr>
        <w:ind w:left="709" w:right="757"/>
        <w:jc w:val="both"/>
        <w:rPr>
          <w:rFonts w:ascii="Palatino Linotype" w:hAnsi="Palatino Linotype" w:cs="Arial"/>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E67687" w:rsidRDefault="006D67BC">
      <w:pPr>
        <w:ind w:left="709" w:right="757"/>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bCs/>
          <w:i/>
          <w:sz w:val="22"/>
        </w:rPr>
      </w:pPr>
      <w:r>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E67687" w:rsidRDefault="00E67687">
      <w:pPr>
        <w:ind w:left="709" w:right="757"/>
        <w:jc w:val="both"/>
        <w:rPr>
          <w:rFonts w:ascii="Palatino Linotype" w:hAnsi="Palatino Linotype" w:cs="Arial"/>
          <w:i/>
          <w:sz w:val="22"/>
          <w:szCs w:val="22"/>
          <w:lang w:eastAsia="es-MX"/>
        </w:rPr>
      </w:pPr>
    </w:p>
    <w:p w:rsidR="00E67687" w:rsidRDefault="006D67BC">
      <w:pPr>
        <w:ind w:left="709" w:right="757"/>
        <w:jc w:val="both"/>
        <w:rPr>
          <w:rFonts w:ascii="Palatino Linotype" w:hAnsi="Palatino Linotype" w:cs="Arial"/>
          <w:bCs/>
          <w:i/>
          <w:sz w:val="22"/>
        </w:rPr>
      </w:pPr>
      <w:r>
        <w:rPr>
          <w:rFonts w:ascii="Palatino Linotype" w:hAnsi="Palatino Linotype" w:cs="Arial"/>
          <w:i/>
          <w:sz w:val="22"/>
          <w:szCs w:val="22"/>
          <w:lang w:eastAsia="es-MX"/>
        </w:rPr>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67687" w:rsidRDefault="00E67687">
      <w:pPr>
        <w:ind w:left="709" w:right="757"/>
        <w:jc w:val="center"/>
        <w:rPr>
          <w:rFonts w:ascii="Palatino Linotype" w:hAnsi="Palatino Linotype" w:cs="Arial"/>
          <w:b/>
          <w:i/>
          <w:sz w:val="22"/>
          <w:szCs w:val="22"/>
          <w:lang w:eastAsia="es-MX"/>
        </w:rPr>
      </w:pPr>
    </w:p>
    <w:p w:rsidR="00E67687" w:rsidRDefault="006D67B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E67687" w:rsidRDefault="006D67BC">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67687" w:rsidRDefault="00E67687">
      <w:pPr>
        <w:ind w:left="709" w:right="757"/>
        <w:jc w:val="both"/>
        <w:rPr>
          <w:rFonts w:ascii="Palatino Linotype" w:hAnsi="Palatino Linotype" w:cs="Arial"/>
          <w:b/>
          <w:i/>
          <w:sz w:val="22"/>
          <w:szCs w:val="22"/>
          <w:lang w:eastAsia="es-MX"/>
        </w:rPr>
      </w:pPr>
    </w:p>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E67687" w:rsidRDefault="00E67687">
      <w:pPr>
        <w:ind w:left="709" w:right="757"/>
        <w:jc w:val="both"/>
        <w:rPr>
          <w:rFonts w:ascii="Palatino Linotype" w:hAnsi="Palatino Linotype" w:cs="Arial"/>
          <w:i/>
          <w:sz w:val="22"/>
          <w:szCs w:val="22"/>
          <w:lang w:eastAsia="es-MX"/>
        </w:rPr>
      </w:pPr>
    </w:p>
    <w:tbl>
      <w:tblPr>
        <w:tblW w:w="8407" w:type="dxa"/>
        <w:tblInd w:w="709" w:type="dxa"/>
        <w:tblLook w:val="04A0" w:firstRow="1" w:lastRow="0" w:firstColumn="1" w:lastColumn="0" w:noHBand="0" w:noVBand="1"/>
      </w:tblPr>
      <w:tblGrid>
        <w:gridCol w:w="1838"/>
        <w:gridCol w:w="2331"/>
        <w:gridCol w:w="4238"/>
      </w:tblGrid>
      <w:tr w:rsidR="00E67687">
        <w:tc>
          <w:tcPr>
            <w:tcW w:w="1837" w:type="dxa"/>
            <w:tcBorders>
              <w:bottom w:val="single" w:sz="4" w:space="0" w:color="000000"/>
              <w:right w:val="single" w:sz="4" w:space="0" w:color="000000"/>
            </w:tcBorders>
          </w:tcPr>
          <w:p w:rsidR="00E67687" w:rsidRDefault="00E67687">
            <w:pPr>
              <w:spacing w:line="254" w:lineRule="auto"/>
              <w:ind w:right="757"/>
              <w:jc w:val="both"/>
              <w:rPr>
                <w:rFonts w:ascii="Palatino Linotype" w:hAnsi="Palatino Linotype" w:cs="Arial"/>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b/>
                <w:i/>
                <w:sz w:val="22"/>
                <w:szCs w:val="22"/>
              </w:rPr>
            </w:pPr>
            <w:r>
              <w:rPr>
                <w:rFonts w:ascii="Palatino Linotype" w:hAnsi="Palatino Linotype"/>
                <w:b/>
                <w:i/>
                <w:sz w:val="22"/>
                <w:szCs w:val="22"/>
              </w:rPr>
              <w:t>Concepto</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b/>
                <w:i/>
                <w:sz w:val="22"/>
                <w:szCs w:val="22"/>
              </w:rPr>
            </w:pPr>
            <w:r>
              <w:rPr>
                <w:rFonts w:ascii="Palatino Linotype" w:hAnsi="Palatino Linotype"/>
                <w:b/>
                <w:i/>
                <w:sz w:val="22"/>
                <w:szCs w:val="22"/>
              </w:rPr>
              <w:t>Dónde:</w:t>
            </w:r>
          </w:p>
        </w:tc>
      </w:tr>
      <w:tr w:rsidR="00E67687">
        <w:tc>
          <w:tcPr>
            <w:tcW w:w="1837" w:type="dxa"/>
            <w:vMerge w:val="restart"/>
            <w:tcBorders>
              <w:top w:val="single" w:sz="4" w:space="0" w:color="000000"/>
              <w:left w:val="single" w:sz="4" w:space="0" w:color="000000"/>
              <w:bottom w:val="single" w:sz="4" w:space="0" w:color="000000"/>
              <w:right w:val="single" w:sz="4" w:space="0" w:color="000000"/>
            </w:tcBorders>
            <w:vAlign w:val="center"/>
          </w:tcPr>
          <w:p w:rsidR="00E67687" w:rsidRDefault="006D67BC">
            <w:pPr>
              <w:spacing w:line="254" w:lineRule="auto"/>
              <w:ind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4239"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E67687">
        <w:tc>
          <w:tcPr>
            <w:tcW w:w="1837" w:type="dxa"/>
            <w:vMerge/>
            <w:tcBorders>
              <w:top w:val="single" w:sz="4" w:space="0" w:color="000000"/>
              <w:left w:val="single" w:sz="4" w:space="0" w:color="000000"/>
              <w:bottom w:val="single" w:sz="4" w:space="0" w:color="000000"/>
              <w:right w:val="single" w:sz="4" w:space="0" w:color="000000"/>
            </w:tcBorders>
            <w:vAlign w:val="center"/>
          </w:tcPr>
          <w:p w:rsidR="00E67687" w:rsidRDefault="00E67687">
            <w:pPr>
              <w:spacing w:line="254" w:lineRule="auto"/>
              <w:rPr>
                <w:rFonts w:ascii="Palatino Linotype" w:hAnsi="Palatino Linotype" w:cs="Arial"/>
                <w:b/>
                <w:i/>
                <w:sz w:val="22"/>
                <w:szCs w:val="22"/>
                <w:lang w:eastAsia="es-MX"/>
              </w:rPr>
            </w:pPr>
          </w:p>
        </w:tc>
        <w:tc>
          <w:tcPr>
            <w:tcW w:w="2331" w:type="dxa"/>
            <w:tcBorders>
              <w:top w:val="single" w:sz="4" w:space="0" w:color="000000"/>
              <w:left w:val="single" w:sz="4" w:space="0" w:color="000000"/>
              <w:bottom w:val="single" w:sz="4" w:space="0" w:color="000000"/>
              <w:right w:val="single" w:sz="4" w:space="0" w:color="000000"/>
            </w:tcBorders>
          </w:tcPr>
          <w:p w:rsidR="00E67687" w:rsidRDefault="006D67BC">
            <w:pPr>
              <w:spacing w:line="254"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4239" w:type="dxa"/>
            <w:tcBorders>
              <w:top w:val="single" w:sz="4" w:space="0" w:color="000000"/>
              <w:left w:val="single" w:sz="4" w:space="0" w:color="000000"/>
              <w:bottom w:val="single" w:sz="4" w:space="0" w:color="000000"/>
              <w:right w:val="single" w:sz="4" w:space="0" w:color="000000"/>
            </w:tcBorders>
            <w:vAlign w:val="center"/>
          </w:tcPr>
          <w:p w:rsidR="00E67687" w:rsidRDefault="006D67BC">
            <w:pPr>
              <w:spacing w:line="254" w:lineRule="auto"/>
              <w:ind w:right="757"/>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E67687" w:rsidRDefault="006D67BC">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67687" w:rsidRDefault="00E67687">
      <w:pPr>
        <w:ind w:left="709" w:right="757"/>
        <w:jc w:val="both"/>
        <w:rPr>
          <w:rFonts w:ascii="Palatino Linotype" w:hAnsi="Palatino Linotype" w:cs="Arial"/>
          <w:i/>
          <w:sz w:val="22"/>
          <w:szCs w:val="22"/>
          <w:lang w:eastAsia="es-MX"/>
        </w:rPr>
      </w:pPr>
    </w:p>
    <w:p w:rsidR="00E67687" w:rsidRDefault="006D67BC">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E67687" w:rsidRDefault="00E67687">
      <w:pPr>
        <w:spacing w:line="360" w:lineRule="auto"/>
        <w:ind w:left="709" w:right="757"/>
        <w:jc w:val="both"/>
        <w:rPr>
          <w:rFonts w:ascii="Palatino Linotype" w:hAnsi="Palatino Linotype" w:cs="Arial"/>
          <w:sz w:val="22"/>
          <w:szCs w:val="22"/>
          <w:lang w:eastAsia="es-MX"/>
        </w:rPr>
      </w:pPr>
    </w:p>
    <w:p w:rsidR="00E67687" w:rsidRDefault="006D67BC">
      <w:pPr>
        <w:pStyle w:val="Prrafodelista"/>
        <w:widowControl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w:t>
      </w:r>
      <w:r>
        <w:rPr>
          <w:rFonts w:ascii="Palatino Linotype" w:hAnsi="Palatino Linotype"/>
        </w:rPr>
        <w:lastRenderedPageBreak/>
        <w:t xml:space="preserve">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67687" w:rsidRDefault="00E67687">
      <w:pPr>
        <w:pStyle w:val="Prrafodelista"/>
        <w:widowControl w:val="0"/>
        <w:spacing w:line="360" w:lineRule="auto"/>
        <w:ind w:left="0"/>
        <w:jc w:val="both"/>
        <w:rPr>
          <w:rFonts w:ascii="Palatino Linotype" w:hAnsi="Palatino Linotype" w:cs="Arial"/>
        </w:rPr>
      </w:pPr>
    </w:p>
    <w:p w:rsidR="00E67687" w:rsidRDefault="006D67BC">
      <w:pPr>
        <w:pStyle w:val="Prrafodelista"/>
        <w:widowControl w:val="0"/>
        <w:spacing w:line="360" w:lineRule="auto"/>
        <w:ind w:left="0"/>
        <w:jc w:val="both"/>
        <w:rPr>
          <w:rFonts w:ascii="Palatino Linotype" w:hAnsi="Palatino Linotype" w:cs="Arial"/>
        </w:rPr>
      </w:pPr>
      <w:r>
        <w:rPr>
          <w:rFonts w:ascii="Palatino Linotype" w:hAnsi="Palatino Linotype"/>
        </w:rPr>
        <w:t xml:space="preserve">Precisado lo anterior, entre los datos que de manera enunciativa más no limitativa, pudieran contenerse en </w:t>
      </w:r>
      <w:r>
        <w:rPr>
          <w:rFonts w:ascii="Palatino Linotype" w:eastAsia="Arial Unicode MS" w:hAnsi="Palatino Linotype" w:cs="Arial"/>
        </w:rPr>
        <w:t xml:space="preserve">la </w:t>
      </w:r>
      <w:r>
        <w:rPr>
          <w:rFonts w:ascii="Palatino Linotype" w:eastAsia="Arial Unicode MS" w:hAnsi="Palatino Linotype" w:cs="Arial"/>
          <w:b/>
        </w:rPr>
        <w:t xml:space="preserve">nómina general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w:t>
      </w:r>
      <w:r>
        <w:rPr>
          <w:rFonts w:ascii="Palatino Linotype" w:hAnsi="Palatino Linotype"/>
        </w:rPr>
        <w:t xml:space="preserve">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E67687" w:rsidRDefault="00E67687">
      <w:pPr>
        <w:pStyle w:val="Prrafodelista"/>
        <w:widowControl w:val="0"/>
        <w:spacing w:line="360" w:lineRule="auto"/>
        <w:ind w:left="0"/>
        <w:jc w:val="both"/>
        <w:rPr>
          <w:rFonts w:ascii="Palatino Linotype" w:hAnsi="Palatino Linotype" w:cs="Arial"/>
        </w:rPr>
      </w:pPr>
    </w:p>
    <w:p w:rsidR="00E67687" w:rsidRDefault="006D67BC">
      <w:pPr>
        <w:pStyle w:val="Prrafodelista"/>
        <w:widowControl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w:t>
      </w:r>
      <w:r>
        <w:rPr>
          <w:rFonts w:ascii="Palatino Linotype" w:hAnsi="Palatino Linotype" w:cs="Arial"/>
          <w:lang w:eastAsia="es-MX"/>
        </w:rPr>
        <w:lastRenderedPageBreak/>
        <w:t xml:space="preserve">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E67687" w:rsidRDefault="00E67687">
      <w:pPr>
        <w:pStyle w:val="Prrafodelista"/>
        <w:widowControl w:val="0"/>
        <w:spacing w:line="360" w:lineRule="auto"/>
        <w:ind w:left="0"/>
        <w:jc w:val="both"/>
        <w:rPr>
          <w:rFonts w:ascii="Palatino Linotype" w:hAnsi="Palatino Linotype"/>
        </w:rPr>
      </w:pPr>
    </w:p>
    <w:p w:rsidR="00E67687" w:rsidRDefault="006D67BC">
      <w:pPr>
        <w:pStyle w:val="Prrafodelista"/>
        <w:widowControl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E67687" w:rsidRDefault="00E67687">
      <w:pPr>
        <w:pStyle w:val="Prrafodelista"/>
        <w:widowControl w:val="0"/>
        <w:spacing w:line="360" w:lineRule="auto"/>
        <w:ind w:left="0"/>
        <w:jc w:val="both"/>
        <w:rPr>
          <w:rFonts w:ascii="Palatino Linotype" w:hAnsi="Palatino Linotype"/>
          <w:b/>
          <w:bCs/>
          <w:color w:val="000000"/>
        </w:rPr>
      </w:pPr>
    </w:p>
    <w:p w:rsidR="00E67687" w:rsidRDefault="006D67BC">
      <w:pPr>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única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E67687" w:rsidRDefault="00E67687">
      <w:pPr>
        <w:ind w:left="709" w:right="709"/>
        <w:jc w:val="both"/>
        <w:rPr>
          <w:rFonts w:ascii="Palatino Linotype" w:hAnsi="Palatino Linotype" w:cs="Arial"/>
          <w:bCs/>
          <w:i/>
          <w:sz w:val="22"/>
        </w:rPr>
      </w:pPr>
    </w:p>
    <w:p w:rsidR="00E67687" w:rsidRDefault="006D67BC">
      <w:pPr>
        <w:ind w:left="709" w:right="709"/>
        <w:jc w:val="both"/>
        <w:rPr>
          <w:rFonts w:ascii="Palatino Linotype" w:hAnsi="Palatino Linotype" w:cs="Arial"/>
          <w:bCs/>
          <w:i/>
          <w:sz w:val="22"/>
        </w:rPr>
      </w:pPr>
      <w:r>
        <w:rPr>
          <w:rFonts w:ascii="Palatino Linotype" w:hAnsi="Palatino Linotype" w:cs="Arial"/>
          <w:bCs/>
          <w:i/>
          <w:sz w:val="22"/>
        </w:rPr>
        <w:t>Resoluciones:</w:t>
      </w:r>
    </w:p>
    <w:p w:rsidR="00E67687" w:rsidRDefault="00E67687">
      <w:pPr>
        <w:ind w:left="709" w:right="709"/>
        <w:jc w:val="both"/>
        <w:rPr>
          <w:rFonts w:ascii="Palatino Linotype" w:hAnsi="Palatino Linotype" w:cs="Arial"/>
          <w:bCs/>
          <w:i/>
          <w:sz w:val="22"/>
        </w:rPr>
      </w:pPr>
    </w:p>
    <w:p w:rsidR="00E67687" w:rsidRDefault="006D67BC">
      <w:pPr>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E67687" w:rsidRDefault="006D67BC">
      <w:pPr>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E67687" w:rsidRDefault="006D67BC">
      <w:pPr>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E67687" w:rsidRDefault="00E67687">
      <w:pPr>
        <w:ind w:left="709" w:right="709"/>
        <w:jc w:val="both"/>
        <w:rPr>
          <w:rFonts w:ascii="Palatino Linotype" w:hAnsi="Palatino Linotype" w:cs="Arial"/>
          <w:sz w:val="22"/>
        </w:rPr>
      </w:pPr>
    </w:p>
    <w:p w:rsidR="00E67687" w:rsidRDefault="006D67BC">
      <w:pPr>
        <w:ind w:left="709" w:right="709"/>
        <w:jc w:val="both"/>
        <w:rPr>
          <w:rFonts w:ascii="Palatino Linotype" w:hAnsi="Palatino Linotype" w:cs="Arial"/>
          <w:sz w:val="22"/>
        </w:rPr>
      </w:pPr>
      <w:r>
        <w:rPr>
          <w:rFonts w:ascii="Palatino Linotype" w:hAnsi="Palatino Linotype" w:cs="Arial"/>
          <w:sz w:val="22"/>
        </w:rPr>
        <w:t>(Énfasis añadido)</w:t>
      </w:r>
    </w:p>
    <w:p w:rsidR="00E67687" w:rsidRDefault="00E67687">
      <w:pPr>
        <w:spacing w:line="360" w:lineRule="auto"/>
        <w:ind w:left="709" w:right="709"/>
        <w:jc w:val="both"/>
        <w:rPr>
          <w:rFonts w:ascii="Palatino Linotype" w:hAnsi="Palatino Linotype" w:cs="Arial"/>
          <w:sz w:val="22"/>
        </w:rPr>
      </w:pPr>
    </w:p>
    <w:p w:rsidR="00E67687" w:rsidRDefault="006D67BC">
      <w:pPr>
        <w:pStyle w:val="Prrafodelista"/>
        <w:widowControl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w:t>
      </w:r>
      <w:r>
        <w:rPr>
          <w:rFonts w:ascii="Palatino Linotype" w:hAnsi="Palatino Linotype" w:cs="Arial"/>
          <w:lang w:eastAsia="es-MX"/>
        </w:rPr>
        <w:lastRenderedPageBreak/>
        <w:t xml:space="preserve">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E67687" w:rsidRDefault="006D67BC">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67687" w:rsidRDefault="00E67687">
      <w:pPr>
        <w:pStyle w:val="Prrafodelista"/>
        <w:widowControl w:val="0"/>
        <w:spacing w:line="360" w:lineRule="auto"/>
        <w:ind w:left="0"/>
        <w:jc w:val="both"/>
        <w:rPr>
          <w:rFonts w:ascii="Palatino Linotype" w:hAnsi="Palatino Linotype" w:cs="Arial"/>
          <w:lang w:eastAsia="es-MX"/>
        </w:rPr>
      </w:pPr>
    </w:p>
    <w:p w:rsidR="00E67687" w:rsidRDefault="006D67BC">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E67687" w:rsidRDefault="00E67687">
      <w:pPr>
        <w:pStyle w:val="Prrafodelista"/>
        <w:widowControl w:val="0"/>
        <w:spacing w:line="360" w:lineRule="auto"/>
        <w:ind w:left="0"/>
        <w:jc w:val="both"/>
        <w:rPr>
          <w:rFonts w:ascii="Palatino Linotype" w:hAnsi="Palatino Linotype" w:cs="Arial"/>
          <w:lang w:eastAsia="es-MX"/>
        </w:rPr>
      </w:pPr>
    </w:p>
    <w:p w:rsidR="00E67687" w:rsidRDefault="006D67BC">
      <w:pPr>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E67687" w:rsidRDefault="00E67687">
      <w:pPr>
        <w:ind w:left="709" w:right="709"/>
        <w:jc w:val="both"/>
        <w:rPr>
          <w:rFonts w:ascii="Palatino Linotype" w:hAnsi="Palatino Linotype" w:cs="Arial,Bold"/>
          <w:b/>
          <w:bCs/>
          <w:i/>
          <w:sz w:val="22"/>
          <w:lang w:eastAsia="es-MX"/>
        </w:rPr>
      </w:pPr>
    </w:p>
    <w:p w:rsidR="00E67687" w:rsidRDefault="006D67BC">
      <w:pPr>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E67687" w:rsidRDefault="00E67687">
      <w:pPr>
        <w:spacing w:line="360" w:lineRule="auto"/>
        <w:ind w:left="709" w:right="709"/>
        <w:jc w:val="both"/>
        <w:rPr>
          <w:rFonts w:ascii="Palatino Linotype" w:hAnsi="Palatino Linotype" w:cs="Arial"/>
          <w:i/>
          <w:sz w:val="22"/>
          <w:lang w:eastAsia="es-MX"/>
        </w:rPr>
      </w:pPr>
    </w:p>
    <w:p w:rsidR="00E67687" w:rsidRDefault="006D67BC">
      <w:pPr>
        <w:pStyle w:val="Prrafodelista"/>
        <w:widowControl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E67687" w:rsidRDefault="00E67687">
      <w:pPr>
        <w:pStyle w:val="Prrafodelista"/>
        <w:widowControl w:val="0"/>
        <w:spacing w:line="360" w:lineRule="auto"/>
        <w:ind w:left="0"/>
        <w:jc w:val="both"/>
        <w:rPr>
          <w:rFonts w:ascii="Palatino Linotype" w:hAnsi="Palatino Linotype"/>
          <w:lang w:eastAsia="es-MX"/>
        </w:rPr>
      </w:pPr>
    </w:p>
    <w:p w:rsidR="00E67687" w:rsidRDefault="006D67BC">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E67687" w:rsidRDefault="006D67BC">
      <w:pPr>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E67687" w:rsidRDefault="00E67687">
      <w:pPr>
        <w:ind w:left="709" w:right="709"/>
        <w:jc w:val="both"/>
        <w:rPr>
          <w:rFonts w:ascii="Palatino Linotype" w:hAnsi="Palatino Linotype" w:cs="Arial"/>
          <w:bCs/>
          <w:i/>
          <w:sz w:val="22"/>
          <w:lang w:eastAsia="es-MX"/>
        </w:rPr>
      </w:pPr>
    </w:p>
    <w:p w:rsidR="00E67687" w:rsidRDefault="006D67BC">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E67687" w:rsidRDefault="006D67BC">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E67687" w:rsidRDefault="006D67BC">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E67687" w:rsidRDefault="006D67BC">
      <w:pPr>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E67687" w:rsidRDefault="00E67687">
      <w:pPr>
        <w:ind w:left="709" w:right="709"/>
        <w:jc w:val="both"/>
        <w:rPr>
          <w:rFonts w:ascii="Palatino Linotype" w:hAnsi="Palatino Linotype" w:cs="Arial"/>
          <w:sz w:val="22"/>
        </w:rPr>
      </w:pPr>
    </w:p>
    <w:p w:rsidR="00E67687" w:rsidRDefault="006D67BC">
      <w:pPr>
        <w:ind w:left="709" w:right="709"/>
        <w:jc w:val="both"/>
        <w:rPr>
          <w:rFonts w:ascii="Palatino Linotype" w:hAnsi="Palatino Linotype" w:cs="Arial"/>
          <w:sz w:val="22"/>
        </w:rPr>
      </w:pPr>
      <w:r>
        <w:rPr>
          <w:rFonts w:ascii="Palatino Linotype" w:hAnsi="Palatino Linotype" w:cs="Arial"/>
          <w:sz w:val="22"/>
        </w:rPr>
        <w:t>(Énfasis añadido)</w:t>
      </w:r>
    </w:p>
    <w:p w:rsidR="00E67687" w:rsidRDefault="00E67687">
      <w:pPr>
        <w:spacing w:line="360" w:lineRule="auto"/>
        <w:ind w:left="709" w:right="709"/>
        <w:jc w:val="both"/>
        <w:rPr>
          <w:rFonts w:ascii="Palatino Linotype" w:hAnsi="Palatino Linotype" w:cs="Arial"/>
          <w:sz w:val="22"/>
        </w:rPr>
      </w:pPr>
    </w:p>
    <w:p w:rsidR="00E67687" w:rsidRDefault="006D67BC">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E67687" w:rsidRDefault="00E67687">
      <w:pPr>
        <w:pStyle w:val="Prrafodelista"/>
        <w:widowControl w:val="0"/>
        <w:spacing w:line="360" w:lineRule="auto"/>
        <w:ind w:left="0"/>
        <w:jc w:val="both"/>
        <w:rPr>
          <w:rFonts w:ascii="Palatino Linotype" w:hAnsi="Palatino Linotype" w:cs="Arial"/>
          <w:lang w:eastAsia="es-MX"/>
        </w:rPr>
      </w:pPr>
    </w:p>
    <w:p w:rsidR="00E67687" w:rsidRDefault="006D67BC">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lastRenderedPageBreak/>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w:t>
      </w:r>
      <w:r>
        <w:rPr>
          <w:rFonts w:ascii="Palatino Linotype" w:hAnsi="Palatino Linotype" w:cs="Arial"/>
          <w:lang w:eastAsia="es-MX"/>
        </w:rPr>
        <w:t>por</w:t>
      </w:r>
      <w:r>
        <w:rPr>
          <w:rFonts w:ascii="Palatino Linotype" w:hAnsi="Palatino Linotype" w:cs="Arial"/>
        </w:rPr>
        <w:t xml:space="preserve">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E67687" w:rsidRDefault="00E67687">
      <w:pPr>
        <w:pStyle w:val="Prrafodelista"/>
        <w:widowControl w:val="0"/>
        <w:spacing w:line="360" w:lineRule="auto"/>
        <w:ind w:left="0"/>
        <w:jc w:val="both"/>
        <w:rPr>
          <w:rFonts w:ascii="Palatino Linotype" w:hAnsi="Palatino Linotype" w:cs="Arial"/>
          <w:lang w:eastAsia="es-MX"/>
        </w:rPr>
      </w:pPr>
    </w:p>
    <w:p w:rsidR="00E67687" w:rsidRDefault="006D67BC">
      <w:pPr>
        <w:spacing w:line="360" w:lineRule="auto"/>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E67687" w:rsidRDefault="00E67687">
      <w:pPr>
        <w:spacing w:line="360" w:lineRule="auto"/>
        <w:jc w:val="both"/>
        <w:rPr>
          <w:rFonts w:ascii="Palatino Linotype" w:hAnsi="Palatino Linotype" w:cs="Arial"/>
          <w:lang w:eastAsia="es-MX"/>
        </w:rPr>
      </w:pPr>
    </w:p>
    <w:p w:rsidR="00E67687" w:rsidRDefault="006D67BC">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E67687" w:rsidRDefault="00E67687">
      <w:pPr>
        <w:spacing w:line="360" w:lineRule="auto"/>
        <w:jc w:val="both"/>
        <w:rPr>
          <w:rFonts w:ascii="Palatino Linotype" w:hAnsi="Palatino Linotype" w:cs="Arial"/>
          <w:lang w:eastAsia="es-MX"/>
        </w:rPr>
      </w:pPr>
    </w:p>
    <w:p w:rsidR="00E67687" w:rsidRDefault="006D67BC">
      <w:pPr>
        <w:ind w:left="709" w:right="757"/>
        <w:jc w:val="both"/>
        <w:rPr>
          <w:rFonts w:ascii="Palatino Linotype" w:hAnsi="Palatino Linotype" w:cs="Arial"/>
          <w:b/>
          <w:bCs/>
          <w:i/>
          <w:sz w:val="22"/>
        </w:rPr>
      </w:pPr>
      <w:r>
        <w:rPr>
          <w:rFonts w:ascii="Palatino Linotype" w:hAnsi="Palatino Linotype" w:cs="Arial"/>
          <w:bCs/>
          <w:i/>
          <w:sz w:val="22"/>
        </w:rPr>
        <w:t>“</w:t>
      </w:r>
      <w:r>
        <w:rPr>
          <w:rFonts w:ascii="Palatino Linotype" w:hAnsi="Palatino Linotype" w:cs="Arial"/>
          <w:b/>
          <w:bCs/>
          <w:i/>
          <w:sz w:val="22"/>
        </w:rPr>
        <w:t xml:space="preserve">ARTICULO 84. </w:t>
      </w:r>
      <w:r>
        <w:rPr>
          <w:rFonts w:ascii="Palatino Linotype" w:hAnsi="Palatino Linotype" w:cs="Arial"/>
          <w:b/>
          <w:bCs/>
          <w:i/>
          <w:sz w:val="22"/>
          <w:u w:val="single"/>
        </w:rPr>
        <w:t>Sólo podrán hacerse retenciones, descuentos o deducciones al sueldo de los servidores públicos por concepto de</w:t>
      </w:r>
      <w:r>
        <w:rPr>
          <w:rFonts w:ascii="Palatino Linotype" w:hAnsi="Palatino Linotype" w:cs="Arial"/>
          <w:b/>
          <w:bCs/>
          <w:i/>
          <w:sz w:val="22"/>
        </w:rPr>
        <w:t>:</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i/>
          <w:sz w:val="22"/>
          <w:lang w:eastAsia="es-MX"/>
        </w:rPr>
      </w:pPr>
      <w:r>
        <w:rPr>
          <w:rFonts w:ascii="Palatino Linotype" w:hAnsi="Palatino Linotype" w:cs="Arial"/>
          <w:bCs/>
          <w:i/>
          <w:sz w:val="22"/>
        </w:rPr>
        <w:t xml:space="preserve">I. </w:t>
      </w:r>
      <w:r>
        <w:rPr>
          <w:rFonts w:ascii="Palatino Linotype" w:hAnsi="Palatino Linotype" w:cs="Arial"/>
          <w:i/>
          <w:sz w:val="22"/>
          <w:lang w:eastAsia="es-MX"/>
        </w:rPr>
        <w:t>Gravámenes fiscales relacionados con el sueldo;</w:t>
      </w:r>
    </w:p>
    <w:p w:rsidR="00E67687" w:rsidRDefault="00E67687">
      <w:pPr>
        <w:ind w:left="709" w:right="757"/>
        <w:jc w:val="both"/>
        <w:rPr>
          <w:rFonts w:ascii="Palatino Linotype" w:hAnsi="Palatino Linotype" w:cs="Arial"/>
          <w:b/>
          <w:i/>
          <w:sz w:val="22"/>
          <w:lang w:eastAsia="es-MX"/>
        </w:rPr>
      </w:pPr>
    </w:p>
    <w:p w:rsidR="00E67687" w:rsidRDefault="006D67BC">
      <w:pPr>
        <w:ind w:left="709" w:right="757"/>
        <w:jc w:val="both"/>
        <w:rPr>
          <w:rFonts w:ascii="Palatino Linotype" w:hAnsi="Palatino Linotype" w:cs="Arial"/>
          <w:i/>
          <w:sz w:val="22"/>
          <w:lang w:eastAsia="es-MX"/>
        </w:rPr>
      </w:pPr>
      <w:r>
        <w:rPr>
          <w:rFonts w:ascii="Palatino Linotype" w:hAnsi="Palatino Linotype" w:cs="Arial"/>
          <w:b/>
          <w:i/>
          <w:sz w:val="22"/>
          <w:lang w:eastAsia="es-MX"/>
        </w:rPr>
        <w:t xml:space="preserve">II. </w:t>
      </w:r>
      <w:r>
        <w:rPr>
          <w:rFonts w:ascii="Palatino Linotype" w:hAnsi="Palatino Linotype" w:cs="Arial"/>
          <w:b/>
          <w:i/>
          <w:sz w:val="22"/>
          <w:u w:val="single"/>
          <w:lang w:eastAsia="es-MX"/>
        </w:rPr>
        <w:t>Deudas contraídas con las instituciones públicas o dependencias</w:t>
      </w:r>
      <w:r>
        <w:rPr>
          <w:rFonts w:ascii="Palatino Linotype" w:hAnsi="Palatino Linotype" w:cs="Arial"/>
          <w:i/>
          <w:sz w:val="22"/>
          <w:lang w:eastAsia="es-MX"/>
        </w:rPr>
        <w:t xml:space="preserve"> por concepto de anticipos de sueldo, pagos hechos con exceso, errores o pérdidas debidamente comprobados;</w:t>
      </w:r>
    </w:p>
    <w:p w:rsidR="00E67687" w:rsidRDefault="00E67687">
      <w:pPr>
        <w:ind w:left="709" w:right="757"/>
        <w:jc w:val="both"/>
        <w:rPr>
          <w:rFonts w:ascii="Palatino Linotype" w:hAnsi="Palatino Linotype" w:cs="Arial"/>
          <w:b/>
          <w:i/>
          <w:sz w:val="22"/>
          <w:lang w:eastAsia="es-MX"/>
        </w:rPr>
      </w:pPr>
    </w:p>
    <w:p w:rsidR="00E67687" w:rsidRDefault="006D67BC">
      <w:pPr>
        <w:ind w:left="709" w:right="757"/>
        <w:jc w:val="both"/>
        <w:rPr>
          <w:rFonts w:ascii="Palatino Linotype" w:hAnsi="Palatino Linotype" w:cs="Arial"/>
          <w:bCs/>
          <w:i/>
          <w:sz w:val="22"/>
        </w:rPr>
      </w:pPr>
      <w:r>
        <w:rPr>
          <w:rFonts w:ascii="Palatino Linotype" w:hAnsi="Palatino Linotype" w:cs="Arial"/>
          <w:b/>
          <w:i/>
          <w:sz w:val="22"/>
          <w:lang w:eastAsia="es-MX"/>
        </w:rPr>
        <w:t xml:space="preserve">III. </w:t>
      </w:r>
      <w:r>
        <w:rPr>
          <w:rFonts w:ascii="Palatino Linotype" w:hAnsi="Palatino Linotype" w:cs="Arial"/>
          <w:b/>
          <w:i/>
          <w:sz w:val="22"/>
          <w:u w:val="single"/>
          <w:lang w:eastAsia="es-MX"/>
        </w:rPr>
        <w:t>Cuotas sindicales</w:t>
      </w:r>
      <w:r>
        <w:rPr>
          <w:rFonts w:ascii="Palatino Linotype" w:hAnsi="Palatino Linotype" w:cs="Arial"/>
          <w:bCs/>
          <w:i/>
          <w:sz w:val="22"/>
        </w:rPr>
        <w:t>;</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bCs/>
          <w:i/>
          <w:sz w:val="22"/>
        </w:rPr>
      </w:pPr>
      <w:r>
        <w:rPr>
          <w:rFonts w:ascii="Palatino Linotype" w:hAnsi="Palatino Linotype" w:cs="Arial"/>
          <w:bCs/>
          <w:i/>
          <w:sz w:val="22"/>
        </w:rPr>
        <w:t xml:space="preserve">IV. Cuotas de </w:t>
      </w:r>
      <w:r>
        <w:rPr>
          <w:rFonts w:ascii="Palatino Linotype" w:hAnsi="Palatino Linotype" w:cs="Arial"/>
          <w:i/>
          <w:sz w:val="22"/>
          <w:lang w:eastAsia="es-MX"/>
        </w:rPr>
        <w:t>aportación</w:t>
      </w:r>
      <w:r>
        <w:rPr>
          <w:rFonts w:ascii="Palatino Linotype" w:hAnsi="Palatino Linotype" w:cs="Arial"/>
          <w:bCs/>
          <w:i/>
          <w:sz w:val="22"/>
        </w:rPr>
        <w:t xml:space="preserve"> a fondos para la constitución de cooperativas y de cajas de ahorro, </w:t>
      </w:r>
      <w:r>
        <w:rPr>
          <w:rFonts w:ascii="Palatino Linotype" w:hAnsi="Palatino Linotype" w:cs="Arial"/>
          <w:i/>
          <w:sz w:val="22"/>
          <w:lang w:eastAsia="es-MX"/>
        </w:rPr>
        <w:t>siempre</w:t>
      </w:r>
      <w:r>
        <w:rPr>
          <w:rFonts w:ascii="Palatino Linotype" w:hAnsi="Palatino Linotype" w:cs="Arial"/>
          <w:bCs/>
          <w:i/>
          <w:sz w:val="22"/>
        </w:rPr>
        <w:t xml:space="preserve"> que el servidor público hubiese manifestado previamente, de manera expresa, su conformidad;</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bCs/>
          <w:i/>
          <w:sz w:val="22"/>
        </w:rPr>
      </w:pPr>
      <w:r>
        <w:rPr>
          <w:rFonts w:ascii="Palatino Linotype" w:hAnsi="Palatino Linotype" w:cs="Arial"/>
          <w:bCs/>
          <w:i/>
          <w:sz w:val="22"/>
        </w:rPr>
        <w:t xml:space="preserve">V. Descuentos ordenados por el Instituto de Seguridad Social del Estado de México y </w:t>
      </w:r>
      <w:r>
        <w:rPr>
          <w:rFonts w:ascii="Palatino Linotype" w:hAnsi="Palatino Linotype" w:cs="Arial"/>
          <w:i/>
          <w:sz w:val="22"/>
          <w:lang w:eastAsia="es-MX"/>
        </w:rPr>
        <w:t>Municipios</w:t>
      </w:r>
      <w:r>
        <w:rPr>
          <w:rFonts w:ascii="Palatino Linotype" w:hAnsi="Palatino Linotype" w:cs="Arial"/>
          <w:bCs/>
          <w:i/>
          <w:sz w:val="22"/>
        </w:rPr>
        <w:t>, con motivo de cuotas y obligaciones contraídas con éste por los servidores públicos;</w:t>
      </w:r>
    </w:p>
    <w:p w:rsidR="00E67687" w:rsidRDefault="00E67687">
      <w:pPr>
        <w:ind w:left="709" w:right="757"/>
        <w:jc w:val="both"/>
        <w:rPr>
          <w:rFonts w:ascii="Palatino Linotype" w:hAnsi="Palatino Linotype" w:cs="Arial"/>
          <w:b/>
          <w:bCs/>
          <w:i/>
          <w:sz w:val="22"/>
        </w:rPr>
      </w:pPr>
    </w:p>
    <w:p w:rsidR="00E67687" w:rsidRDefault="006D67BC">
      <w:pPr>
        <w:ind w:left="709" w:right="757"/>
        <w:jc w:val="both"/>
        <w:rPr>
          <w:rFonts w:ascii="Palatino Linotype" w:hAnsi="Palatino Linotype" w:cs="Arial"/>
          <w:b/>
          <w:bCs/>
          <w:i/>
          <w:sz w:val="22"/>
        </w:rPr>
      </w:pPr>
      <w:r>
        <w:rPr>
          <w:rFonts w:ascii="Palatino Linotype" w:hAnsi="Palatino Linotype" w:cs="Arial"/>
          <w:b/>
          <w:bCs/>
          <w:i/>
          <w:sz w:val="22"/>
        </w:rPr>
        <w:t xml:space="preserve">VI. </w:t>
      </w:r>
      <w:r>
        <w:rPr>
          <w:rFonts w:ascii="Palatino Linotype" w:hAnsi="Palatino Linotype" w:cs="Arial"/>
          <w:b/>
          <w:bCs/>
          <w:i/>
          <w:sz w:val="22"/>
          <w:u w:val="single"/>
        </w:rPr>
        <w:t>Obligaciones a cargo del servidor público con las que haya consentido</w:t>
      </w:r>
      <w:r>
        <w:rPr>
          <w:rFonts w:ascii="Palatino Linotype" w:hAnsi="Palatino Linotype" w:cs="Arial"/>
          <w:bCs/>
          <w:i/>
          <w:sz w:val="22"/>
        </w:rPr>
        <w:t>, derivadas de la adquisición o del uso de habitaciones consideradas como de interés social;</w:t>
      </w:r>
    </w:p>
    <w:p w:rsidR="00E67687" w:rsidRDefault="00E67687">
      <w:pPr>
        <w:ind w:left="709" w:right="757"/>
        <w:jc w:val="both"/>
        <w:rPr>
          <w:rFonts w:ascii="Palatino Linotype" w:hAnsi="Palatino Linotype" w:cs="Arial"/>
          <w:bCs/>
          <w:i/>
          <w:sz w:val="22"/>
        </w:rPr>
      </w:pPr>
    </w:p>
    <w:p w:rsidR="00E67687" w:rsidRDefault="006D67BC">
      <w:pPr>
        <w:ind w:left="709" w:right="757"/>
        <w:jc w:val="both"/>
        <w:rPr>
          <w:rFonts w:ascii="Palatino Linotype" w:hAnsi="Palatino Linotype" w:cs="Arial"/>
          <w:bCs/>
          <w:i/>
          <w:sz w:val="22"/>
        </w:rPr>
      </w:pPr>
      <w:r>
        <w:rPr>
          <w:rFonts w:ascii="Palatino Linotype" w:hAnsi="Palatino Linotype" w:cs="Arial"/>
          <w:bCs/>
          <w:i/>
          <w:sz w:val="22"/>
        </w:rPr>
        <w:t xml:space="preserve">VII. Faltas de </w:t>
      </w:r>
      <w:r>
        <w:rPr>
          <w:rFonts w:ascii="Palatino Linotype" w:hAnsi="Palatino Linotype" w:cs="Arial"/>
          <w:i/>
          <w:sz w:val="22"/>
          <w:lang w:eastAsia="es-MX"/>
        </w:rPr>
        <w:t>puntualidad</w:t>
      </w:r>
      <w:r>
        <w:rPr>
          <w:rFonts w:ascii="Palatino Linotype" w:hAnsi="Palatino Linotype" w:cs="Arial"/>
          <w:bCs/>
          <w:i/>
          <w:sz w:val="22"/>
        </w:rPr>
        <w:t xml:space="preserve"> o </w:t>
      </w:r>
      <w:r>
        <w:rPr>
          <w:rFonts w:ascii="Palatino Linotype" w:hAnsi="Palatino Linotype" w:cs="Arial"/>
          <w:i/>
          <w:sz w:val="22"/>
          <w:lang w:eastAsia="es-MX"/>
        </w:rPr>
        <w:t>de</w:t>
      </w:r>
      <w:r>
        <w:rPr>
          <w:rFonts w:ascii="Palatino Linotype" w:hAnsi="Palatino Linotype" w:cs="Arial"/>
          <w:bCs/>
          <w:i/>
          <w:sz w:val="22"/>
        </w:rPr>
        <w:t xml:space="preserve"> asistencia injustificadas;</w:t>
      </w:r>
    </w:p>
    <w:p w:rsidR="00E67687" w:rsidRDefault="00E67687">
      <w:pPr>
        <w:ind w:left="709" w:right="757"/>
        <w:jc w:val="both"/>
        <w:rPr>
          <w:rFonts w:ascii="Palatino Linotype" w:hAnsi="Palatino Linotype" w:cs="Arial"/>
          <w:b/>
          <w:bCs/>
          <w:i/>
          <w:sz w:val="22"/>
        </w:rPr>
      </w:pPr>
    </w:p>
    <w:p w:rsidR="00E67687" w:rsidRDefault="006D67BC">
      <w:pPr>
        <w:ind w:left="709" w:right="757"/>
        <w:jc w:val="both"/>
        <w:rPr>
          <w:rFonts w:ascii="Palatino Linotype" w:hAnsi="Palatino Linotype" w:cs="Arial"/>
          <w:bCs/>
          <w:i/>
          <w:sz w:val="22"/>
        </w:rPr>
      </w:pPr>
      <w:r>
        <w:rPr>
          <w:rFonts w:ascii="Palatino Linotype" w:hAnsi="Palatino Linotype" w:cs="Arial"/>
          <w:b/>
          <w:bCs/>
          <w:i/>
          <w:sz w:val="22"/>
        </w:rPr>
        <w:t xml:space="preserve">VIII. </w:t>
      </w:r>
      <w:r>
        <w:rPr>
          <w:rFonts w:ascii="Palatino Linotype" w:hAnsi="Palatino Linotype" w:cs="Arial"/>
          <w:b/>
          <w:bCs/>
          <w:i/>
          <w:sz w:val="22"/>
          <w:u w:val="single"/>
        </w:rPr>
        <w:t>Pensiones alimenticias ordenadas por la autoridad judicial</w:t>
      </w:r>
      <w:r>
        <w:rPr>
          <w:rFonts w:ascii="Palatino Linotype" w:hAnsi="Palatino Linotype" w:cs="Arial"/>
          <w:b/>
          <w:bCs/>
          <w:i/>
          <w:sz w:val="22"/>
        </w:rPr>
        <w:t>;</w:t>
      </w:r>
      <w:r>
        <w:rPr>
          <w:rFonts w:ascii="Palatino Linotype" w:hAnsi="Palatino Linotype" w:cs="Arial"/>
          <w:bCs/>
          <w:i/>
          <w:sz w:val="22"/>
        </w:rPr>
        <w:t xml:space="preserve"> o</w:t>
      </w:r>
    </w:p>
    <w:p w:rsidR="00E67687" w:rsidRDefault="00E67687">
      <w:pPr>
        <w:ind w:left="709" w:right="757"/>
        <w:jc w:val="both"/>
        <w:rPr>
          <w:rFonts w:ascii="Palatino Linotype" w:hAnsi="Palatino Linotype" w:cs="Arial"/>
          <w:b/>
          <w:bCs/>
          <w:i/>
          <w:sz w:val="22"/>
        </w:rPr>
      </w:pPr>
    </w:p>
    <w:p w:rsidR="00E67687" w:rsidRDefault="006D67BC">
      <w:pPr>
        <w:ind w:left="709" w:right="757"/>
        <w:jc w:val="both"/>
        <w:rPr>
          <w:rFonts w:ascii="Palatino Linotype" w:hAnsi="Palatino Linotype" w:cs="Arial"/>
          <w:b/>
          <w:bCs/>
          <w:i/>
          <w:sz w:val="22"/>
        </w:rPr>
      </w:pPr>
      <w:r>
        <w:rPr>
          <w:rFonts w:ascii="Palatino Linotype" w:hAnsi="Palatino Linotype" w:cs="Arial"/>
          <w:b/>
          <w:bCs/>
          <w:i/>
          <w:sz w:val="22"/>
        </w:rPr>
        <w:t xml:space="preserve">IX. </w:t>
      </w:r>
      <w:r>
        <w:rPr>
          <w:rFonts w:ascii="Palatino Linotype" w:hAnsi="Palatino Linotype" w:cs="Arial"/>
          <w:b/>
          <w:bCs/>
          <w:i/>
          <w:sz w:val="22"/>
          <w:u w:val="single"/>
        </w:rPr>
        <w:t>Cualquier otro convenido con instituciones de servicios y aceptado por el servidor público</w:t>
      </w:r>
      <w:r>
        <w:rPr>
          <w:rFonts w:ascii="Palatino Linotype" w:hAnsi="Palatino Linotype" w:cs="Arial"/>
          <w:b/>
          <w:bCs/>
          <w:i/>
          <w:sz w:val="22"/>
        </w:rPr>
        <w:t>.</w:t>
      </w:r>
    </w:p>
    <w:p w:rsidR="00E67687" w:rsidRDefault="00E67687">
      <w:pPr>
        <w:ind w:left="709" w:right="757"/>
        <w:jc w:val="both"/>
        <w:rPr>
          <w:rFonts w:ascii="Palatino Linotype" w:hAnsi="Palatino Linotype" w:cs="Arial"/>
          <w:b/>
          <w:bCs/>
          <w:i/>
          <w:sz w:val="22"/>
        </w:rPr>
      </w:pPr>
    </w:p>
    <w:p w:rsidR="00E67687" w:rsidRDefault="006D67BC">
      <w:pPr>
        <w:ind w:left="709" w:right="757"/>
        <w:jc w:val="both"/>
        <w:rPr>
          <w:rFonts w:ascii="Palatino Linotype" w:hAnsi="Palatino Linotype" w:cs="Arial"/>
          <w:sz w:val="22"/>
        </w:rPr>
      </w:pPr>
      <w:r>
        <w:rPr>
          <w:rFonts w:ascii="Palatino Linotype" w:hAnsi="Palatino Linotype" w:cs="Arial"/>
          <w:bCs/>
          <w:i/>
          <w:sz w:val="22"/>
        </w:rPr>
        <w:t xml:space="preserve">El monto total de las retenciones, descuentos o deducciones no podrá exceder del 30% de la remuneración total, </w:t>
      </w:r>
      <w:r>
        <w:rPr>
          <w:rFonts w:ascii="Palatino Linotype" w:hAnsi="Palatino Linotype" w:cs="Arial"/>
          <w:i/>
          <w:sz w:val="22"/>
          <w:lang w:eastAsia="es-MX"/>
        </w:rPr>
        <w:t>excepto</w:t>
      </w:r>
      <w:r>
        <w:rPr>
          <w:rFonts w:ascii="Palatino Linotype" w:hAnsi="Palatino Linotype" w:cs="Arial"/>
          <w:bCs/>
          <w:i/>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lang w:eastAsia="es-MX"/>
        </w:rPr>
        <w:t>ajustará</w:t>
      </w:r>
      <w:r>
        <w:rPr>
          <w:rFonts w:ascii="Palatino Linotype" w:hAnsi="Palatino Linotype" w:cs="Arial"/>
          <w:bCs/>
          <w:i/>
          <w:sz w:val="22"/>
        </w:rPr>
        <w:t xml:space="preserve"> a lo determinado por la autoridad judicial.”</w:t>
      </w:r>
    </w:p>
    <w:p w:rsidR="00E67687" w:rsidRDefault="00E67687">
      <w:pPr>
        <w:ind w:left="709" w:right="757"/>
        <w:jc w:val="both"/>
        <w:rPr>
          <w:rFonts w:ascii="Palatino Linotype" w:hAnsi="Palatino Linotype" w:cs="Arial"/>
          <w:sz w:val="22"/>
        </w:rPr>
      </w:pPr>
    </w:p>
    <w:p w:rsidR="00E67687" w:rsidRDefault="006D67BC">
      <w:pPr>
        <w:ind w:left="709" w:right="757"/>
        <w:jc w:val="both"/>
        <w:rPr>
          <w:rFonts w:ascii="Palatino Linotype" w:hAnsi="Palatino Linotype" w:cs="Arial"/>
          <w:sz w:val="22"/>
        </w:rPr>
      </w:pPr>
      <w:r>
        <w:rPr>
          <w:rFonts w:ascii="Palatino Linotype" w:hAnsi="Palatino Linotype" w:cs="Arial"/>
          <w:sz w:val="22"/>
        </w:rPr>
        <w:t>(Énfasis añadido)</w:t>
      </w:r>
    </w:p>
    <w:p w:rsidR="00E67687" w:rsidRDefault="00E67687">
      <w:pPr>
        <w:spacing w:line="360" w:lineRule="auto"/>
        <w:ind w:left="709" w:right="709"/>
        <w:jc w:val="both"/>
        <w:rPr>
          <w:rFonts w:ascii="Palatino Linotype" w:hAnsi="Palatino Linotype" w:cs="Arial"/>
          <w:sz w:val="22"/>
        </w:rPr>
      </w:pPr>
    </w:p>
    <w:p w:rsidR="00E67687" w:rsidRDefault="006D67BC">
      <w:pPr>
        <w:spacing w:line="360" w:lineRule="auto"/>
        <w:jc w:val="both"/>
        <w:rPr>
          <w:rFonts w:ascii="Palatino Linotype" w:hAnsi="Palatino Linotype" w:cs="Arial"/>
          <w:lang w:eastAsia="es-MX"/>
        </w:rPr>
      </w:pPr>
      <w:r>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xml:space="preserve">. De este modo, descuentos por </w:t>
      </w:r>
      <w:r>
        <w:rPr>
          <w:rFonts w:ascii="Palatino Linotype" w:hAnsi="Palatino Linotype" w:cs="Arial"/>
        </w:rPr>
        <w:lastRenderedPageBreak/>
        <w:t xml:space="preserve">pensiones alimenticias o créditos adquiridos con instituciones privadas o públicas, pero que fueron contraídas en forma individual, son información que debe clasificarse como confidencial, por tratarse de </w:t>
      </w:r>
      <w:r>
        <w:rPr>
          <w:rFonts w:ascii="Palatino Linotype" w:hAnsi="Palatino Linotype" w:cs="Arial"/>
          <w:b/>
        </w:rPr>
        <w:t>información privada</w:t>
      </w:r>
      <w:r>
        <w:rPr>
          <w:rFonts w:ascii="Palatino Linotype" w:hAnsi="Palatino Linotype" w:cs="Arial"/>
        </w:rPr>
        <w:t xml:space="preserve">, </w:t>
      </w:r>
      <w:r>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E67687" w:rsidRDefault="00E67687">
      <w:pPr>
        <w:spacing w:line="360" w:lineRule="auto"/>
        <w:jc w:val="both"/>
        <w:rPr>
          <w:rFonts w:ascii="Palatino Linotype" w:hAnsi="Palatino Linotype" w:cs="Arial"/>
          <w:lang w:eastAsia="es-MX"/>
        </w:rPr>
      </w:pPr>
    </w:p>
    <w:p w:rsidR="00E67687" w:rsidRDefault="006D67BC">
      <w:pPr>
        <w:spacing w:line="360" w:lineRule="auto"/>
        <w:jc w:val="both"/>
        <w:rPr>
          <w:rFonts w:ascii="Palatino Linotype" w:hAnsi="Palatino Linotype" w:cs="Arial"/>
        </w:rPr>
      </w:pPr>
      <w:r>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E67687" w:rsidRDefault="00E67687">
      <w:pPr>
        <w:spacing w:line="360" w:lineRule="auto"/>
        <w:jc w:val="both"/>
        <w:rPr>
          <w:rFonts w:ascii="Palatino Linotype" w:hAnsi="Palatino Linotype" w:cs="Arial"/>
        </w:rPr>
      </w:pPr>
    </w:p>
    <w:p w:rsidR="00E67687" w:rsidRDefault="006D67BC">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E67687" w:rsidRDefault="00E67687">
      <w:pPr>
        <w:spacing w:line="360" w:lineRule="auto"/>
        <w:jc w:val="both"/>
        <w:rPr>
          <w:rFonts w:ascii="Palatino Linotype" w:hAnsi="Palatino Linotype" w:cs="Arial"/>
        </w:rPr>
      </w:pPr>
    </w:p>
    <w:p w:rsidR="00E67687" w:rsidRDefault="006D67BC">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E67687" w:rsidRDefault="00E67687">
      <w:pPr>
        <w:pStyle w:val="Textoindependiente2"/>
        <w:spacing w:after="0" w:line="360" w:lineRule="auto"/>
        <w:contextualSpacing/>
        <w:jc w:val="both"/>
        <w:rPr>
          <w:rFonts w:ascii="Palatino Linotype" w:hAnsi="Palatino Linotype" w:cs="Arial"/>
          <w:i/>
        </w:rPr>
      </w:pPr>
    </w:p>
    <w:p w:rsidR="00E67687" w:rsidRDefault="006D67BC">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67687" w:rsidRDefault="00E67687">
      <w:pPr>
        <w:spacing w:line="360" w:lineRule="auto"/>
        <w:jc w:val="both"/>
        <w:rPr>
          <w:rFonts w:ascii="Palatino Linotype" w:hAnsi="Palatino Linotype" w:cs="Arial"/>
        </w:rPr>
      </w:pPr>
    </w:p>
    <w:p w:rsidR="00E67687" w:rsidRDefault="006D67BC">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67687" w:rsidRDefault="00E67687">
      <w:pPr>
        <w:spacing w:line="360" w:lineRule="auto"/>
        <w:jc w:val="both"/>
        <w:rPr>
          <w:rFonts w:ascii="Palatino Linotype" w:hAnsi="Palatino Linotype" w:cs="Arial"/>
        </w:rPr>
      </w:pPr>
    </w:p>
    <w:p w:rsidR="00E67687" w:rsidRDefault="006D67BC">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E67687" w:rsidRDefault="00E67687">
      <w:pPr>
        <w:pStyle w:val="Textoindependiente2"/>
        <w:spacing w:after="0" w:line="360" w:lineRule="auto"/>
        <w:contextualSpacing/>
        <w:jc w:val="both"/>
        <w:rPr>
          <w:rFonts w:ascii="Palatino Linotype" w:hAnsi="Palatino Linotype" w:cs="Arial"/>
          <w:i/>
        </w:rPr>
      </w:pPr>
    </w:p>
    <w:p w:rsidR="00E67687" w:rsidRDefault="006D67BC">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67687" w:rsidRDefault="00E67687">
      <w:pPr>
        <w:spacing w:line="360" w:lineRule="auto"/>
        <w:jc w:val="both"/>
        <w:rPr>
          <w:rFonts w:ascii="Palatino Linotype" w:hAnsi="Palatino Linotype" w:cs="Arial"/>
        </w:rPr>
      </w:pPr>
    </w:p>
    <w:p w:rsidR="00E67687" w:rsidRDefault="006D67BC">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67687" w:rsidRDefault="00E67687">
      <w:pPr>
        <w:spacing w:line="360" w:lineRule="auto"/>
        <w:jc w:val="both"/>
        <w:rPr>
          <w:rFonts w:ascii="Palatino Linotype" w:hAnsi="Palatino Linotype" w:cs="Arial"/>
          <w:lang w:val="es-ES"/>
        </w:rPr>
      </w:pPr>
    </w:p>
    <w:p w:rsidR="00E67687" w:rsidRDefault="006D67BC">
      <w:pPr>
        <w:spacing w:line="360" w:lineRule="auto"/>
        <w:jc w:val="both"/>
        <w:rPr>
          <w:rFonts w:ascii="Palatino Linotype" w:hAnsi="Palatino Linotype" w:cs="Arial"/>
          <w:lang w:val="es-ES"/>
        </w:rPr>
      </w:pPr>
      <w:r>
        <w:rPr>
          <w:rFonts w:ascii="Palatino Linotype" w:eastAsia="Calibri" w:hAnsi="Palatino Linotype"/>
          <w:szCs w:val="22"/>
          <w:lang w:eastAsia="en-US"/>
        </w:rPr>
        <w:t xml:space="preserve">Finalmente, no pasa desapercibido del análisis de esta Autoridad que </w:t>
      </w:r>
      <w:r>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dejó visibles datos personales susceptibles de ser clasificados como confidenciales, en el documento remitido en la respuesta; tales como la CURP, Clave ISSEMYM y Actas Circunstanciadas de servidores públicos mediante el Informe Justificado; </w:t>
      </w:r>
      <w:r>
        <w:rPr>
          <w:rFonts w:ascii="Palatino Linotype" w:hAnsi="Palatino Linotype"/>
        </w:rPr>
        <w:t xml:space="preserve">por lo que, esta Autoridad estima que lo procedente es </w:t>
      </w:r>
      <w:r>
        <w:rPr>
          <w:rFonts w:ascii="Palatino Linotype" w:eastAsia="Calibri" w:hAnsi="Palatino Linotype" w:cs="Arial"/>
          <w:b/>
        </w:rPr>
        <w:t>ordenar dar vista al Titular de la Contraloría Interna y Órgano de Control y Vigilancia; así como, al Titular de la Dirección de Protección de Datos de este Instituto</w:t>
      </w:r>
      <w:r>
        <w:rPr>
          <w:rFonts w:ascii="Palatino Linotype" w:eastAsia="Calibri" w:hAnsi="Palatino Linotype" w:cs="Arial"/>
        </w:rPr>
        <w:t xml:space="preserve">, con fundamento en el artículo 23 ,fracciones XI, XII y XIII del Reglamento Interior del Instituto de Transparencia, Acceso a la Información Pública y Protección de Datos Personales del Estado de México y Municipios; para que resuelvan lo conducente y determinen en su </w:t>
      </w:r>
      <w:r>
        <w:rPr>
          <w:rFonts w:ascii="Palatino Linotype" w:eastAsia="Calibri" w:hAnsi="Palatino Linotype" w:cs="Arial"/>
        </w:rPr>
        <w:lastRenderedPageBreak/>
        <w:t>caso el grado de responsabilidad en el incumplimiento de las obligaciones establecidas en la misma.</w:t>
      </w:r>
    </w:p>
    <w:p w:rsidR="00E67687" w:rsidRDefault="00E67687">
      <w:pPr>
        <w:spacing w:line="360" w:lineRule="auto"/>
        <w:jc w:val="both"/>
        <w:rPr>
          <w:rFonts w:ascii="Palatino Linotype" w:hAnsi="Palatino Linotype" w:cs="Arial"/>
          <w:lang w:val="es-ES"/>
        </w:rPr>
      </w:pPr>
    </w:p>
    <w:p w:rsidR="00E67687" w:rsidRDefault="006D67BC">
      <w:pPr>
        <w:spacing w:line="360" w:lineRule="auto"/>
        <w:jc w:val="both"/>
        <w:rPr>
          <w:rFonts w:ascii="Palatino Linotype" w:hAnsi="Palatino Linotype" w:cs="Arial"/>
          <w:lang w:val="es-ES"/>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E67687" w:rsidRDefault="00E67687">
      <w:pPr>
        <w:widowControl w:val="0"/>
        <w:spacing w:line="360" w:lineRule="auto"/>
        <w:jc w:val="both"/>
        <w:rPr>
          <w:rFonts w:ascii="Palatino Linotype" w:eastAsia="Calibri" w:hAnsi="Palatino Linotype" w:cs="Arial"/>
        </w:rPr>
      </w:pP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E67687" w:rsidRDefault="00E67687">
      <w:pPr>
        <w:spacing w:line="360" w:lineRule="auto"/>
        <w:jc w:val="center"/>
        <w:rPr>
          <w:rFonts w:ascii="Palatino Linotype" w:eastAsia="Calibri" w:hAnsi="Palatino Linotype" w:cs="Arial"/>
          <w:b/>
          <w:sz w:val="28"/>
        </w:rPr>
      </w:pPr>
    </w:p>
    <w:p w:rsidR="00E67687" w:rsidRDefault="006D67BC">
      <w:pPr>
        <w:spacing w:line="360" w:lineRule="auto"/>
        <w:jc w:val="center"/>
        <w:rPr>
          <w:rFonts w:ascii="Palatino Linotype" w:eastAsia="Calibri" w:hAnsi="Palatino Linotype" w:cs="Arial"/>
          <w:b/>
          <w:sz w:val="28"/>
          <w:lang w:val="pt-BR"/>
        </w:rPr>
      </w:pPr>
      <w:r>
        <w:rPr>
          <w:rFonts w:ascii="Palatino Linotype" w:eastAsia="Calibri" w:hAnsi="Palatino Linotype" w:cs="Arial"/>
          <w:b/>
          <w:sz w:val="28"/>
          <w:lang w:val="pt-BR"/>
        </w:rPr>
        <w:t>R E S U E L V E</w:t>
      </w:r>
    </w:p>
    <w:p w:rsidR="00E67687" w:rsidRDefault="00E67687">
      <w:pPr>
        <w:spacing w:line="360" w:lineRule="auto"/>
        <w:jc w:val="center"/>
        <w:rPr>
          <w:rFonts w:ascii="Palatino Linotype" w:eastAsia="Calibri" w:hAnsi="Palatino Linotype" w:cs="Arial"/>
          <w:b/>
          <w:sz w:val="28"/>
          <w:lang w:val="pt-BR"/>
        </w:rPr>
      </w:pP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b/>
          <w:sz w:val="28"/>
          <w:lang w:val="pt-BR"/>
        </w:rPr>
        <w:t>PRIMERO</w:t>
      </w:r>
      <w:r>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parcialmente 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E67687" w:rsidRDefault="00E67687">
      <w:pPr>
        <w:spacing w:line="360" w:lineRule="auto"/>
        <w:jc w:val="both"/>
        <w:rPr>
          <w:rFonts w:ascii="Palatino Linotype" w:eastAsia="Calibri" w:hAnsi="Palatino Linotype" w:cs="Arial"/>
        </w:rPr>
      </w:pP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MODIFICA</w:t>
      </w:r>
      <w:r>
        <w:rPr>
          <w:rFonts w:ascii="Palatino Linotype" w:eastAsia="Calibri" w:hAnsi="Palatino Linotype" w:cs="Arial"/>
        </w:rPr>
        <w:t xml:space="preserve"> 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bCs/>
        </w:rPr>
        <w:t xml:space="preserve">00148/TLALNEPA/IP/2020 </w:t>
      </w:r>
      <w:r>
        <w:rPr>
          <w:rFonts w:ascii="Palatino Linotype" w:eastAsia="Calibri" w:hAnsi="Palatino Linotype" w:cs="Arial"/>
        </w:rPr>
        <w:t xml:space="preserve">y se le ordena en términos del </w:t>
      </w:r>
      <w:r>
        <w:rPr>
          <w:rFonts w:ascii="Palatino Linotype" w:eastAsia="Calibri" w:hAnsi="Palatino Linotype" w:cs="Arial"/>
        </w:rPr>
        <w:lastRenderedPageBreak/>
        <w:t xml:space="preserve">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de ser procedente en </w:t>
      </w:r>
      <w:r>
        <w:rPr>
          <w:rFonts w:ascii="Palatino Linotype" w:eastAsia="Calibri" w:hAnsi="Palatino Linotype" w:cs="Arial"/>
          <w:b/>
        </w:rPr>
        <w:t>versión pública</w:t>
      </w:r>
      <w:r>
        <w:rPr>
          <w:rFonts w:ascii="Palatino Linotype" w:eastAsia="Calibri" w:hAnsi="Palatino Linotype" w:cs="Arial"/>
        </w:rPr>
        <w:t>, respecto de la información que se remite al Órgano Superior de Fiscalización correspondiente al mes de diciembre de 2019,</w:t>
      </w:r>
      <w:r>
        <w:rPr>
          <w:rFonts w:ascii="Palatino Linotype" w:eastAsia="Calibri" w:hAnsi="Palatino Linotype" w:cs="Arial"/>
          <w:b/>
        </w:rPr>
        <w:t xml:space="preserve"> </w:t>
      </w:r>
      <w:r>
        <w:rPr>
          <w:rFonts w:ascii="Palatino Linotype" w:eastAsia="Calibri" w:hAnsi="Palatino Linotype" w:cs="Arial"/>
        </w:rPr>
        <w:t>en el formato en que se encuentre,</w:t>
      </w:r>
      <w:r>
        <w:rPr>
          <w:rFonts w:ascii="Palatino Linotype" w:eastAsia="Calibri" w:hAnsi="Palatino Linotype" w:cs="Arial"/>
          <w:b/>
        </w:rPr>
        <w:t xml:space="preserve"> </w:t>
      </w:r>
      <w:r>
        <w:rPr>
          <w:rFonts w:ascii="Palatino Linotype" w:eastAsia="Calibri" w:hAnsi="Palatino Linotype" w:cs="Arial"/>
        </w:rPr>
        <w:t>lo siguiente:</w:t>
      </w:r>
    </w:p>
    <w:p w:rsidR="00E67687" w:rsidRDefault="00E67687">
      <w:pPr>
        <w:spacing w:line="360" w:lineRule="auto"/>
        <w:jc w:val="both"/>
        <w:rPr>
          <w:rFonts w:ascii="Palatino Linotype" w:eastAsia="Calibri" w:hAnsi="Palatino Linotype" w:cs="Arial"/>
        </w:rPr>
      </w:pPr>
    </w:p>
    <w:p w:rsidR="00E67687" w:rsidRDefault="006D67BC">
      <w:pPr>
        <w:pStyle w:val="Prrafodelista"/>
        <w:numPr>
          <w:ilvl w:val="0"/>
          <w:numId w:val="4"/>
        </w:numPr>
        <w:ind w:right="757"/>
        <w:jc w:val="both"/>
        <w:rPr>
          <w:rFonts w:ascii="Palatino Linotype" w:eastAsia="Calibri" w:hAnsi="Palatino Linotype" w:cs="Arial"/>
          <w:i/>
          <w:sz w:val="22"/>
          <w:szCs w:val="22"/>
        </w:rPr>
      </w:pPr>
      <w:r>
        <w:rPr>
          <w:rFonts w:ascii="Palatino Linotype" w:eastAsia="Calibri" w:hAnsi="Palatino Linotype" w:cs="Arial"/>
          <w:i/>
          <w:sz w:val="22"/>
          <w:szCs w:val="22"/>
        </w:rPr>
        <w:t>El inventario de Bienes Muebles de Bajo Costo;</w:t>
      </w:r>
    </w:p>
    <w:p w:rsidR="00E67687" w:rsidRDefault="006D67BC">
      <w:pPr>
        <w:pStyle w:val="Prrafodelista"/>
        <w:numPr>
          <w:ilvl w:val="0"/>
          <w:numId w:val="4"/>
        </w:numPr>
        <w:ind w:right="757"/>
        <w:jc w:val="both"/>
        <w:rPr>
          <w:rFonts w:ascii="Palatino Linotype" w:eastAsia="Calibri" w:hAnsi="Palatino Linotype" w:cs="Arial"/>
          <w:i/>
          <w:sz w:val="22"/>
          <w:szCs w:val="22"/>
        </w:rPr>
      </w:pPr>
      <w:r>
        <w:rPr>
          <w:rFonts w:ascii="Palatino Linotype" w:eastAsia="Calibri" w:hAnsi="Palatino Linotype" w:cs="Arial"/>
          <w:i/>
          <w:sz w:val="22"/>
          <w:szCs w:val="22"/>
        </w:rPr>
        <w:t>Hoja de Trabajo para la Conciliación Físico Contable de los Bienes Muebles e Inmuebles;</w:t>
      </w:r>
    </w:p>
    <w:p w:rsidR="00E67687" w:rsidRDefault="006D67BC">
      <w:pPr>
        <w:pStyle w:val="Prrafodelista"/>
        <w:numPr>
          <w:ilvl w:val="0"/>
          <w:numId w:val="4"/>
        </w:numPr>
        <w:ind w:right="757"/>
        <w:jc w:val="both"/>
        <w:rPr>
          <w:rFonts w:ascii="Palatino Linotype" w:eastAsia="Calibri" w:hAnsi="Palatino Linotype" w:cs="Arial"/>
          <w:i/>
          <w:sz w:val="22"/>
          <w:szCs w:val="22"/>
        </w:rPr>
      </w:pPr>
      <w:r>
        <w:rPr>
          <w:rFonts w:ascii="Palatino Linotype" w:eastAsia="Calibri" w:hAnsi="Palatino Linotype" w:cs="Arial"/>
          <w:i/>
          <w:sz w:val="22"/>
          <w:szCs w:val="22"/>
        </w:rPr>
        <w:t>Conciliación Físico-Contable del Inventario de Bienes Muebles; y,</w:t>
      </w:r>
    </w:p>
    <w:p w:rsidR="00E67687" w:rsidRDefault="006D67BC">
      <w:pPr>
        <w:pStyle w:val="Prrafodelista"/>
        <w:numPr>
          <w:ilvl w:val="0"/>
          <w:numId w:val="4"/>
        </w:numPr>
        <w:ind w:right="757"/>
        <w:jc w:val="both"/>
        <w:rPr>
          <w:rFonts w:ascii="Palatino Linotype" w:eastAsia="Calibri" w:hAnsi="Palatino Linotype" w:cs="Arial"/>
          <w:i/>
          <w:sz w:val="22"/>
          <w:szCs w:val="22"/>
        </w:rPr>
      </w:pPr>
      <w:r>
        <w:rPr>
          <w:rFonts w:ascii="Palatino Linotype" w:eastAsia="Calibri" w:hAnsi="Palatino Linotype" w:cs="Arial"/>
          <w:i/>
          <w:sz w:val="22"/>
          <w:szCs w:val="22"/>
        </w:rPr>
        <w:t>Actas del Comité y Anexos donde presenten los resultados del Levantamiento Físico de Bienes Muebles e Inmuebles.</w:t>
      </w:r>
    </w:p>
    <w:p w:rsidR="00E67687" w:rsidRDefault="00E67687">
      <w:pPr>
        <w:ind w:left="709" w:right="757"/>
        <w:jc w:val="both"/>
        <w:rPr>
          <w:rFonts w:ascii="Palatino Linotype" w:eastAsia="Calibri" w:hAnsi="Palatino Linotype" w:cs="Arial"/>
          <w:i/>
          <w:sz w:val="22"/>
          <w:szCs w:val="22"/>
        </w:rPr>
      </w:pPr>
    </w:p>
    <w:p w:rsidR="00E67687" w:rsidRDefault="006D67BC">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Debiendo notificar al</w:t>
      </w:r>
      <w:r>
        <w:rPr>
          <w:rFonts w:ascii="Palatino Linotype" w:eastAsia="Calibri" w:hAnsi="Palatino Linotype" w:cs="Arial"/>
          <w:b/>
          <w:i/>
          <w:sz w:val="22"/>
          <w:szCs w:val="22"/>
        </w:rPr>
        <w:t xml:space="preserve"> RECURRENTE</w:t>
      </w:r>
      <w:r>
        <w:rPr>
          <w:rFonts w:ascii="Palatino Linotype" w:eastAsia="Calibri" w:hAnsi="Palatino Linotype" w:cs="Arial"/>
          <w:i/>
          <w:sz w:val="22"/>
          <w:szCs w:val="22"/>
        </w:rPr>
        <w:t xml:space="preserve"> el Acuerdo de Clasificación de la información que emita el Comité de Transparencia con motivo de la versión pública</w:t>
      </w:r>
      <w:r>
        <w:rPr>
          <w:rFonts w:ascii="Palatino Linotype" w:eastAsia="Calibri" w:hAnsi="Palatino Linotype" w:cs="Arial"/>
          <w:b/>
          <w:i/>
          <w:sz w:val="22"/>
          <w:szCs w:val="22"/>
        </w:rPr>
        <w:t>.</w:t>
      </w:r>
      <w:r>
        <w:rPr>
          <w:rFonts w:ascii="Palatino Linotype" w:eastAsia="Calibri" w:hAnsi="Palatino Linotype" w:cs="Arial"/>
          <w:i/>
          <w:sz w:val="22"/>
          <w:szCs w:val="22"/>
        </w:rPr>
        <w:t>”</w:t>
      </w:r>
    </w:p>
    <w:p w:rsidR="00E67687" w:rsidRDefault="00E67687">
      <w:pPr>
        <w:spacing w:line="360" w:lineRule="auto"/>
        <w:jc w:val="both"/>
        <w:rPr>
          <w:rFonts w:ascii="Palatino Linotype" w:eastAsia="Calibri" w:hAnsi="Palatino Linotype" w:cs="Arial"/>
        </w:rPr>
      </w:pP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w:t>
      </w:r>
      <w:r>
        <w:rPr>
          <w:rFonts w:ascii="Palatino Linotype" w:eastAsia="Calibri" w:hAnsi="Palatino Linotype" w:cs="Arial"/>
          <w:b/>
        </w:rPr>
        <w:t>Notifíquese</w:t>
      </w:r>
      <w:r>
        <w:rPr>
          <w:rFonts w:ascii="Palatino Linotype" w:eastAsia="Calibri" w:hAnsi="Palatino Linotype" w:cs="Arial"/>
        </w:rPr>
        <w:t xml:space="preserv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rPr>
        <w:t xml:space="preserve"> </w:t>
      </w:r>
    </w:p>
    <w:p w:rsidR="00E67687" w:rsidRDefault="006D67BC">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CUARTO.</w:t>
      </w:r>
      <w:r>
        <w:rPr>
          <w:rFonts w:ascii="Palatino Linotype" w:hAnsi="Palatino Linotype"/>
          <w:lang w:eastAsia="es-ES_tradnl"/>
        </w:rPr>
        <w:t xml:space="preserve"> 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b/>
          <w:sz w:val="28"/>
        </w:rPr>
        <w:lastRenderedPageBreak/>
        <w:t>QUINTO</w:t>
      </w:r>
      <w:r>
        <w:rPr>
          <w:rFonts w:ascii="Palatino Linotype" w:eastAsia="Calibri" w:hAnsi="Palatino Linotype" w:cs="Arial"/>
        </w:rPr>
        <w:t xml:space="preserve">. </w:t>
      </w:r>
      <w:r>
        <w:rPr>
          <w:rFonts w:ascii="Palatino Linotype" w:eastAsia="Calibri" w:hAnsi="Palatino Linotype" w:cs="Arial"/>
          <w:b/>
        </w:rPr>
        <w:t>Notifíquese</w:t>
      </w:r>
      <w:r>
        <w:rPr>
          <w:rFonts w:ascii="Palatino Linotype" w:eastAsia="Calibri" w:hAnsi="Palatino Linotype" w:cs="Arial"/>
        </w:rPr>
        <w:t xml:space="preserve"> al</w:t>
      </w:r>
      <w:r>
        <w:rPr>
          <w:rFonts w:ascii="Palatino Linotype" w:eastAsia="Calibri" w:hAnsi="Palatino Linotype" w:cs="Arial"/>
          <w:b/>
        </w:rPr>
        <w:t xml:space="preserve"> RECURRENTE</w:t>
      </w:r>
      <w:r>
        <w:rPr>
          <w:rFonts w:ascii="Palatino Linotype" w:eastAsia="Calibri" w:hAnsi="Palatino Linotype" w:cs="Arial"/>
        </w:rPr>
        <w:t xml:space="preserve"> la presente resolución.</w:t>
      </w:r>
    </w:p>
    <w:p w:rsidR="00E67687" w:rsidRDefault="00E67687">
      <w:pPr>
        <w:spacing w:line="360" w:lineRule="auto"/>
        <w:jc w:val="both"/>
        <w:rPr>
          <w:rFonts w:ascii="Palatino Linotype" w:eastAsia="Calibri" w:hAnsi="Palatino Linotype" w:cs="Arial"/>
        </w:rPr>
      </w:pPr>
    </w:p>
    <w:p w:rsidR="00E67687" w:rsidRDefault="006D67BC">
      <w:pPr>
        <w:spacing w:line="360" w:lineRule="auto"/>
        <w:jc w:val="both"/>
        <w:rPr>
          <w:rFonts w:ascii="Palatino Linotype" w:eastAsia="Calibri" w:hAnsi="Palatino Linotype" w:cs="Arial"/>
        </w:rPr>
      </w:pPr>
      <w:r>
        <w:rPr>
          <w:rFonts w:ascii="Palatino Linotype" w:eastAsia="Calibri" w:hAnsi="Palatino Linotype" w:cs="Arial"/>
          <w:b/>
          <w:sz w:val="28"/>
        </w:rPr>
        <w:t>SEXTO</w:t>
      </w:r>
      <w:r>
        <w:rPr>
          <w:rFonts w:ascii="Palatino Linotype" w:eastAsia="Calibri" w:hAnsi="Palatino Linotype" w:cs="Arial"/>
        </w:rPr>
        <w:t xml:space="preserve">. </w:t>
      </w:r>
      <w:r>
        <w:rPr>
          <w:rFonts w:ascii="Palatino Linotype" w:eastAsia="Calibri" w:hAnsi="Palatino Linotype" w:cs="Arial"/>
          <w:b/>
        </w:rPr>
        <w:t>Hágase del conocimiento</w:t>
      </w:r>
      <w:r>
        <w:rPr>
          <w:rFonts w:ascii="Palatino Linotype" w:eastAsia="Calibri" w:hAnsi="Palatino Linotype" w:cs="Arial"/>
        </w:rPr>
        <w:t xml:space="preserve"> del</w:t>
      </w:r>
      <w:r>
        <w:rPr>
          <w:rFonts w:ascii="Palatino Linotype" w:eastAsia="Calibri" w:hAnsi="Palatino Linotype" w:cs="Arial"/>
          <w:b/>
        </w:rPr>
        <w:t xml:space="preserve">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E67687" w:rsidRDefault="00E67687">
      <w:pPr>
        <w:spacing w:line="360" w:lineRule="auto"/>
        <w:jc w:val="both"/>
        <w:rPr>
          <w:rFonts w:ascii="Palatino Linotype" w:eastAsia="Calibri" w:hAnsi="Palatino Linotype" w:cs="Arial"/>
        </w:rPr>
      </w:pPr>
    </w:p>
    <w:p w:rsidR="00E67687" w:rsidRDefault="006D67BC">
      <w:pPr>
        <w:spacing w:line="360" w:lineRule="auto"/>
        <w:jc w:val="both"/>
        <w:rPr>
          <w:rFonts w:ascii="Palatino Linotype" w:hAnsi="Palatino Linotype"/>
          <w:color w:val="222222"/>
          <w:szCs w:val="17"/>
          <w:lang w:eastAsia="es-ES_tradnl"/>
        </w:rPr>
      </w:pPr>
      <w:r>
        <w:rPr>
          <w:rFonts w:ascii="Palatino Linotype" w:hAnsi="Palatino Linotype"/>
          <w:b/>
          <w:color w:val="222222"/>
          <w:sz w:val="28"/>
          <w:lang w:eastAsia="es-MX"/>
        </w:rPr>
        <w:t>SÉPTIMO.</w:t>
      </w:r>
      <w:r>
        <w:rPr>
          <w:rFonts w:ascii="Palatino Linotype" w:hAnsi="Palatino Linotype"/>
          <w:color w:val="222222"/>
          <w:sz w:val="28"/>
          <w:lang w:eastAsia="es-MX"/>
        </w:rPr>
        <w:t xml:space="preserve"> </w:t>
      </w:r>
      <w:r>
        <w:rPr>
          <w:rFonts w:ascii="Palatino Linotype" w:hAnsi="Palatino Linotype"/>
          <w:b/>
          <w:color w:val="222222"/>
          <w:szCs w:val="17"/>
          <w:lang w:eastAsia="es-ES_tradnl"/>
        </w:rPr>
        <w:t xml:space="preserve">Gírese oficio </w:t>
      </w:r>
      <w:r>
        <w:rPr>
          <w:rFonts w:ascii="Palatino Linotype" w:hAnsi="Palatino Linotype"/>
          <w:color w:val="222222"/>
          <w:szCs w:val="17"/>
          <w:lang w:eastAsia="es-ES_tradnl"/>
        </w:rPr>
        <w:t>al Titular de la Contraloría Interna y Órgano de Control y Vigilancia de este Instituto con fundamento en el artículo 190 de la Ley de Transparencia y Acceso a la Información Pública del Estado de México y Municipios, así como, al Titular de la Dirección de Protección de Datos Personales, en atención al artículo 82, fracción XXVII de la Ley de Protección de Datos Personales del Estado de México y Municipios.</w:t>
      </w:r>
    </w:p>
    <w:p w:rsidR="00E67687" w:rsidRDefault="00E67687">
      <w:pPr>
        <w:spacing w:line="360" w:lineRule="auto"/>
        <w:jc w:val="both"/>
        <w:rPr>
          <w:rFonts w:ascii="Palatino Linotype" w:eastAsia="Calibri" w:hAnsi="Palatino Linotype" w:cs="Arial"/>
        </w:rPr>
      </w:pPr>
    </w:p>
    <w:p w:rsidR="00E67687" w:rsidRDefault="006D67BC">
      <w:pPr>
        <w:widowControl w:val="0"/>
        <w:tabs>
          <w:tab w:val="left" w:pos="1701"/>
        </w:tabs>
        <w:spacing w:beforeAutospacing="1" w:afterAutospacing="1" w:line="360" w:lineRule="auto"/>
        <w:contextualSpacing/>
        <w:jc w:val="both"/>
        <w:rPr>
          <w:rFonts w:ascii="Palatino Linotype" w:hAnsi="Palatino Linotype"/>
          <w:szCs w:val="17"/>
          <w:lang w:eastAsia="es-ES_tradnl"/>
        </w:rPr>
      </w:pPr>
      <w:r>
        <w:rPr>
          <w:rFonts w:ascii="Palatino Linotype" w:eastAsiaTheme="minorHAnsi" w:hAnsi="Palatino Linotype" w:cs="Arial"/>
          <w:lang w:eastAsia="en-US"/>
        </w:rPr>
        <w:t>ASÍ LO RESUELVE, POR UNANIMIDAD DE VOTOS EL PLENO DEL</w:t>
      </w:r>
      <w:r>
        <w:rPr>
          <w:rFonts w:ascii="Palatino Linotype" w:eastAsia="Arial Unicode MS" w:hAnsi="Palatino Linotype" w:cs="Arial"/>
          <w:lang w:eastAsia="en-US"/>
        </w:rPr>
        <w:t xml:space="preserve"> INSTITUTO DE </w:t>
      </w:r>
      <w:r>
        <w:rPr>
          <w:rFonts w:ascii="Palatino Linotype" w:eastAsiaTheme="minorHAnsi" w:hAnsi="Palatino Linotype" w:cstheme="minorBidi"/>
          <w:lang w:eastAsia="en-US"/>
        </w:rPr>
        <w:t>TRANSPARENCIA</w:t>
      </w:r>
      <w:r>
        <w:rPr>
          <w:rFonts w:ascii="Palatino Linotype" w:eastAsia="Arial Unicode MS" w:hAnsi="Palatino Linotype" w:cs="Arial"/>
          <w:lang w:eastAsia="en-US"/>
        </w:rPr>
        <w:t>, ACCESO A LA INFORMACIÓN PÚBLICA Y PROTECCIÓN DE DATOS PERSONALES DEL ESTADO DE MÉXICO Y MUNICIPIOS</w:t>
      </w:r>
      <w:r>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Pr>
          <w:rFonts w:ascii="Palatino Linotype" w:eastAsiaTheme="minorHAnsi" w:hAnsi="Palatino Linotype" w:cs="Arial"/>
          <w:shd w:val="clear" w:color="auto" w:fill="FFFFFF"/>
          <w:lang w:eastAsia="en-US"/>
        </w:rPr>
        <w:t xml:space="preserve"> LA DÉCIMA CUARTA </w:t>
      </w:r>
      <w:r>
        <w:rPr>
          <w:rFonts w:ascii="Palatino Linotype" w:eastAsiaTheme="minorHAnsi" w:hAnsi="Palatino Linotype" w:cs="Arial"/>
          <w:lang w:eastAsia="en-US"/>
        </w:rPr>
        <w:t xml:space="preserve">SESIÓN ORDINARIA CELEBRADA EL DÍA DIECINUEVE DE </w:t>
      </w:r>
      <w:r w:rsidR="005E43C3">
        <w:rPr>
          <w:rFonts w:ascii="Palatino Linotype" w:eastAsiaTheme="minorHAnsi" w:hAnsi="Palatino Linotype" w:cs="Arial"/>
          <w:lang w:eastAsia="en-US"/>
        </w:rPr>
        <w:t>AGOSTO DE</w:t>
      </w:r>
      <w:r>
        <w:rPr>
          <w:rFonts w:ascii="Palatino Linotype" w:eastAsiaTheme="minorHAnsi" w:hAnsi="Palatino Linotype" w:cs="Arial"/>
          <w:lang w:eastAsia="en-US"/>
        </w:rPr>
        <w:t xml:space="preserve"> DOS MIL VEINTE, ANTE EL SECRETARIO TÉCNICO DEL PLENO, ALEXIS TAPIA RAMÍREZ.</w:t>
      </w:r>
    </w:p>
    <w:tbl>
      <w:tblPr>
        <w:tblW w:w="10365" w:type="dxa"/>
        <w:jc w:val="center"/>
        <w:tblLook w:val="04A0" w:firstRow="1" w:lastRow="0" w:firstColumn="1" w:lastColumn="0" w:noHBand="0" w:noVBand="1"/>
      </w:tblPr>
      <w:tblGrid>
        <w:gridCol w:w="5182"/>
        <w:gridCol w:w="5183"/>
      </w:tblGrid>
      <w:tr w:rsidR="00E67687">
        <w:trPr>
          <w:jc w:val="center"/>
        </w:trPr>
        <w:tc>
          <w:tcPr>
            <w:tcW w:w="10364" w:type="dxa"/>
            <w:gridSpan w:val="2"/>
          </w:tcPr>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r>
              <w:rPr>
                <w:rFonts w:ascii="Palatino Linotype" w:hAnsi="Palatino Linotype" w:cs="Arial"/>
                <w:b/>
              </w:rPr>
              <w:t>Zulema Martínez Sánchez</w:t>
            </w:r>
          </w:p>
          <w:p w:rsidR="00E67687" w:rsidRDefault="006D67BC">
            <w:pPr>
              <w:spacing w:line="276" w:lineRule="auto"/>
              <w:jc w:val="center"/>
              <w:rPr>
                <w:rFonts w:ascii="Palatino Linotype" w:hAnsi="Palatino Linotype" w:cs="Arial"/>
                <w:b/>
              </w:rPr>
            </w:pPr>
            <w:r>
              <w:rPr>
                <w:rFonts w:ascii="Palatino Linotype" w:hAnsi="Palatino Linotype" w:cs="Arial"/>
              </w:rPr>
              <w:t>Comisionada Presidenta</w:t>
            </w:r>
          </w:p>
          <w:p w:rsidR="00E67687" w:rsidRDefault="006D67BC">
            <w:pPr>
              <w:spacing w:line="276" w:lineRule="auto"/>
              <w:jc w:val="center"/>
              <w:rPr>
                <w:rFonts w:ascii="Palatino Linotype" w:hAnsi="Palatino Linotype" w:cs="Arial"/>
                <w:b/>
              </w:rPr>
            </w:pPr>
            <w:r>
              <w:rPr>
                <w:rFonts w:ascii="Palatino Linotype" w:hAnsi="Palatino Linotype" w:cs="Arial"/>
                <w:b/>
              </w:rPr>
              <w:t xml:space="preserve">(RÚBRICA) </w:t>
            </w:r>
          </w:p>
        </w:tc>
      </w:tr>
      <w:tr w:rsidR="00E67687">
        <w:trPr>
          <w:jc w:val="center"/>
        </w:trPr>
        <w:tc>
          <w:tcPr>
            <w:tcW w:w="5182" w:type="dxa"/>
          </w:tcPr>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r>
              <w:rPr>
                <w:rFonts w:ascii="Palatino Linotype" w:hAnsi="Palatino Linotype" w:cs="Arial"/>
                <w:b/>
              </w:rPr>
              <w:t>Eva Abaid Yapur</w:t>
            </w:r>
          </w:p>
          <w:p w:rsidR="00E67687" w:rsidRDefault="006D67BC">
            <w:pPr>
              <w:spacing w:line="276" w:lineRule="auto"/>
              <w:jc w:val="center"/>
              <w:rPr>
                <w:rFonts w:ascii="Palatino Linotype" w:hAnsi="Palatino Linotype" w:cs="Arial"/>
              </w:rPr>
            </w:pPr>
            <w:r>
              <w:rPr>
                <w:rFonts w:ascii="Palatino Linotype" w:hAnsi="Palatino Linotype" w:cs="Arial"/>
              </w:rPr>
              <w:t>Comisionada</w:t>
            </w:r>
          </w:p>
          <w:p w:rsidR="00E67687" w:rsidRDefault="006D67BC">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r>
              <w:rPr>
                <w:rFonts w:ascii="Palatino Linotype" w:hAnsi="Palatino Linotype" w:cs="Arial"/>
                <w:b/>
              </w:rPr>
              <w:t>José Guadalupe Luna Hernández</w:t>
            </w:r>
          </w:p>
          <w:p w:rsidR="00E67687" w:rsidRDefault="006D67BC">
            <w:pPr>
              <w:spacing w:line="276" w:lineRule="auto"/>
              <w:jc w:val="center"/>
              <w:rPr>
                <w:rFonts w:ascii="Palatino Linotype" w:hAnsi="Palatino Linotype" w:cs="Arial"/>
              </w:rPr>
            </w:pPr>
            <w:r>
              <w:rPr>
                <w:rFonts w:ascii="Palatino Linotype" w:hAnsi="Palatino Linotype" w:cs="Arial"/>
              </w:rPr>
              <w:t>Comisionado</w:t>
            </w:r>
          </w:p>
          <w:p w:rsidR="00E67687" w:rsidRDefault="006D67BC">
            <w:pPr>
              <w:spacing w:line="276" w:lineRule="auto"/>
              <w:jc w:val="center"/>
              <w:rPr>
                <w:rFonts w:ascii="Palatino Linotype" w:hAnsi="Palatino Linotype" w:cs="Arial"/>
                <w:b/>
              </w:rPr>
            </w:pPr>
            <w:r>
              <w:rPr>
                <w:rFonts w:ascii="Palatino Linotype" w:hAnsi="Palatino Linotype" w:cs="Arial"/>
                <w:b/>
              </w:rPr>
              <w:t>(RÚBRICA)</w:t>
            </w:r>
          </w:p>
        </w:tc>
      </w:tr>
      <w:tr w:rsidR="00E67687">
        <w:trPr>
          <w:jc w:val="center"/>
        </w:trPr>
        <w:tc>
          <w:tcPr>
            <w:tcW w:w="5182" w:type="dxa"/>
          </w:tcPr>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E67687">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r>
              <w:rPr>
                <w:rFonts w:ascii="Palatino Linotype" w:hAnsi="Palatino Linotype" w:cs="Arial"/>
                <w:b/>
              </w:rPr>
              <w:t>Javier Martínez Cruz</w:t>
            </w:r>
          </w:p>
          <w:p w:rsidR="00E67687" w:rsidRDefault="006D67BC">
            <w:pPr>
              <w:spacing w:line="276" w:lineRule="auto"/>
              <w:jc w:val="center"/>
              <w:rPr>
                <w:rFonts w:ascii="Palatino Linotype" w:hAnsi="Palatino Linotype" w:cs="Arial"/>
              </w:rPr>
            </w:pPr>
            <w:r>
              <w:rPr>
                <w:rFonts w:ascii="Palatino Linotype" w:hAnsi="Palatino Linotype" w:cs="Arial"/>
              </w:rPr>
              <w:t>Comisionado</w:t>
            </w:r>
          </w:p>
          <w:p w:rsidR="00E67687" w:rsidRDefault="006D67BC" w:rsidP="005E43C3">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E67687" w:rsidP="005E43C3">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bookmarkStart w:id="0" w:name="_GoBack"/>
            <w:r>
              <w:rPr>
                <w:rFonts w:ascii="Palatino Linotype" w:hAnsi="Palatino Linotype" w:cs="Arial"/>
                <w:b/>
              </w:rPr>
              <w:t>Luis</w:t>
            </w:r>
            <w:bookmarkEnd w:id="0"/>
            <w:r>
              <w:rPr>
                <w:rFonts w:ascii="Palatino Linotype" w:hAnsi="Palatino Linotype" w:cs="Arial"/>
                <w:b/>
              </w:rPr>
              <w:t xml:space="preserve"> Gustavo Parra Noriega </w:t>
            </w:r>
          </w:p>
          <w:p w:rsidR="00E67687" w:rsidRDefault="006D67BC">
            <w:pPr>
              <w:spacing w:line="276" w:lineRule="auto"/>
              <w:jc w:val="center"/>
              <w:rPr>
                <w:rFonts w:ascii="Palatino Linotype" w:hAnsi="Palatino Linotype" w:cs="Arial"/>
              </w:rPr>
            </w:pPr>
            <w:r>
              <w:rPr>
                <w:rFonts w:ascii="Palatino Linotype" w:hAnsi="Palatino Linotype" w:cs="Arial"/>
              </w:rPr>
              <w:t>Comisionado</w:t>
            </w:r>
          </w:p>
          <w:p w:rsidR="00E67687" w:rsidRDefault="006D67BC" w:rsidP="005E43C3">
            <w:pPr>
              <w:spacing w:line="276" w:lineRule="auto"/>
              <w:jc w:val="center"/>
              <w:rPr>
                <w:rFonts w:ascii="Palatino Linotype" w:hAnsi="Palatino Linotype" w:cs="Arial"/>
                <w:b/>
              </w:rPr>
            </w:pPr>
            <w:r>
              <w:rPr>
                <w:rFonts w:ascii="Palatino Linotype" w:hAnsi="Palatino Linotype" w:cs="Arial"/>
                <w:b/>
              </w:rPr>
              <w:t>(RÚBRICA)</w:t>
            </w:r>
          </w:p>
        </w:tc>
      </w:tr>
      <w:tr w:rsidR="00E67687">
        <w:trPr>
          <w:jc w:val="center"/>
        </w:trPr>
        <w:tc>
          <w:tcPr>
            <w:tcW w:w="10364" w:type="dxa"/>
            <w:gridSpan w:val="2"/>
          </w:tcPr>
          <w:p w:rsidR="005E43C3" w:rsidRDefault="005E43C3">
            <w:pPr>
              <w:spacing w:line="276" w:lineRule="auto"/>
              <w:jc w:val="center"/>
              <w:rPr>
                <w:rFonts w:ascii="Palatino Linotype" w:hAnsi="Palatino Linotype" w:cs="Arial"/>
                <w:b/>
              </w:rPr>
            </w:pPr>
          </w:p>
          <w:p w:rsidR="005E43C3" w:rsidRDefault="005E43C3">
            <w:pPr>
              <w:spacing w:line="276" w:lineRule="auto"/>
              <w:jc w:val="center"/>
              <w:rPr>
                <w:rFonts w:ascii="Palatino Linotype" w:hAnsi="Palatino Linotype" w:cs="Arial"/>
                <w:b/>
              </w:rPr>
            </w:pPr>
          </w:p>
          <w:p w:rsidR="005E43C3" w:rsidRDefault="005E43C3">
            <w:pPr>
              <w:spacing w:line="276" w:lineRule="auto"/>
              <w:jc w:val="center"/>
              <w:rPr>
                <w:rFonts w:ascii="Palatino Linotype" w:hAnsi="Palatino Linotype" w:cs="Arial"/>
                <w:b/>
              </w:rPr>
            </w:pPr>
          </w:p>
          <w:p w:rsidR="005E43C3" w:rsidRDefault="005E43C3">
            <w:pPr>
              <w:spacing w:line="276" w:lineRule="auto"/>
              <w:jc w:val="center"/>
              <w:rPr>
                <w:rFonts w:ascii="Palatino Linotype" w:hAnsi="Palatino Linotype" w:cs="Arial"/>
                <w:b/>
              </w:rPr>
            </w:pPr>
          </w:p>
          <w:p w:rsidR="005E43C3" w:rsidRDefault="005E43C3">
            <w:pPr>
              <w:spacing w:line="276" w:lineRule="auto"/>
              <w:jc w:val="center"/>
              <w:rPr>
                <w:rFonts w:ascii="Palatino Linotype" w:hAnsi="Palatino Linotype" w:cs="Arial"/>
                <w:b/>
              </w:rPr>
            </w:pPr>
          </w:p>
          <w:p w:rsidR="00E67687" w:rsidRDefault="006D67BC">
            <w:pPr>
              <w:spacing w:line="276" w:lineRule="auto"/>
              <w:jc w:val="center"/>
              <w:rPr>
                <w:rFonts w:ascii="Palatino Linotype" w:hAnsi="Palatino Linotype" w:cs="Arial"/>
                <w:b/>
              </w:rPr>
            </w:pPr>
            <w:r>
              <w:rPr>
                <w:rFonts w:ascii="Palatino Linotype" w:hAnsi="Palatino Linotype" w:cs="Arial"/>
                <w:b/>
              </w:rPr>
              <w:t>Alexis Tapia Ramírez</w:t>
            </w:r>
          </w:p>
          <w:p w:rsidR="00E67687" w:rsidRDefault="006D67BC">
            <w:pPr>
              <w:spacing w:line="276" w:lineRule="auto"/>
              <w:jc w:val="center"/>
              <w:rPr>
                <w:rFonts w:ascii="Palatino Linotype" w:hAnsi="Palatino Linotype" w:cs="Arial"/>
              </w:rPr>
            </w:pPr>
            <w:r>
              <w:rPr>
                <w:rFonts w:ascii="Palatino Linotype" w:hAnsi="Palatino Linotype" w:cs="Arial"/>
              </w:rPr>
              <w:t>Secretario Técnico del Pleno</w:t>
            </w:r>
          </w:p>
          <w:p w:rsidR="00E67687" w:rsidRDefault="006D67BC" w:rsidP="005E43C3">
            <w:pPr>
              <w:spacing w:line="276" w:lineRule="auto"/>
              <w:jc w:val="center"/>
              <w:rPr>
                <w:rFonts w:ascii="Palatino Linotype" w:hAnsi="Palatino Linotype" w:cs="Arial"/>
              </w:rPr>
            </w:pPr>
            <w:r>
              <w:rPr>
                <w:rFonts w:ascii="Palatino Linotype" w:hAnsi="Palatino Linotype" w:cs="Arial"/>
                <w:b/>
              </w:rPr>
              <w:t>(RÚBRICA)</w:t>
            </w:r>
          </w:p>
        </w:tc>
      </w:tr>
    </w:tbl>
    <w:p w:rsidR="00E67687" w:rsidRDefault="006D67BC">
      <w:pPr>
        <w:jc w:val="both"/>
        <w:rPr>
          <w:rFonts w:ascii="Palatino Linotype" w:hAnsi="Palatino Linotype" w:cs="Arial"/>
          <w:sz w:val="22"/>
        </w:rPr>
      </w:pPr>
      <w:r>
        <w:rPr>
          <w:rFonts w:ascii="Palatino Linotype" w:hAnsi="Palatino Linotype" w:cs="Arial"/>
          <w:sz w:val="22"/>
        </w:rPr>
        <w:t xml:space="preserve">Esta hoja corresponde a la resolución de fecha diecinueve de agosto de dos mil veinte, emitida en el recurso de revisión número 01197/INFOEM/IP/RR/2020.  </w:t>
      </w:r>
    </w:p>
    <w:p w:rsidR="00E67687" w:rsidRDefault="006D67BC">
      <w:pPr>
        <w:jc w:val="both"/>
      </w:pPr>
      <w:r>
        <w:rPr>
          <w:rFonts w:ascii="Palatino Linotype" w:hAnsi="Palatino Linotype" w:cs="Arial"/>
          <w:sz w:val="22"/>
        </w:rPr>
        <w:t>YSM/LGMJ</w:t>
      </w:r>
    </w:p>
    <w:sectPr w:rsidR="00E67687">
      <w:headerReference w:type="default" r:id="rId23"/>
      <w:footerReference w:type="default" r:id="rId24"/>
      <w:headerReference w:type="first" r:id="rId25"/>
      <w:footerReference w:type="first" r:id="rId2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C39" w:rsidRDefault="00F23C39">
      <w:r>
        <w:separator/>
      </w:r>
    </w:p>
  </w:endnote>
  <w:endnote w:type="continuationSeparator" w:id="0">
    <w:p w:rsidR="00F23C39" w:rsidRDefault="00F2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87" w:rsidRDefault="006D67BC">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F5F25">
      <w:rPr>
        <w:rFonts w:ascii="Palatino Linotype" w:hAnsi="Palatino Linotype" w:cs="Arial"/>
        <w:bCs/>
        <w:noProof/>
        <w:sz w:val="22"/>
        <w:szCs w:val="22"/>
      </w:rPr>
      <w:t>44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F5F25">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87" w:rsidRDefault="006D67BC">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F5F2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F5F25">
      <w:rPr>
        <w:rFonts w:ascii="Palatino Linotype" w:hAnsi="Palatino Linotype" w:cs="Arial"/>
        <w:bCs/>
        <w:noProof/>
        <w:sz w:val="22"/>
        <w:szCs w:val="22"/>
      </w:rPr>
      <w:t>44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C39" w:rsidRDefault="00F23C39">
      <w:pPr>
        <w:rPr>
          <w:sz w:val="12"/>
        </w:rPr>
      </w:pPr>
      <w:r>
        <w:separator/>
      </w:r>
    </w:p>
  </w:footnote>
  <w:footnote w:type="continuationSeparator" w:id="0">
    <w:p w:rsidR="00F23C39" w:rsidRDefault="00F23C39">
      <w:pPr>
        <w:rPr>
          <w:sz w:val="12"/>
        </w:rPr>
      </w:pPr>
      <w:r>
        <w:continuationSeparator/>
      </w:r>
    </w:p>
  </w:footnote>
  <w:footnote w:id="1">
    <w:p w:rsidR="00E67687" w:rsidRDefault="006D67BC">
      <w:pPr>
        <w:pStyle w:val="Textonotapie"/>
        <w:jc w:val="both"/>
        <w:rPr>
          <w:rFonts w:ascii="Palatino Linotype" w:hAnsi="Palatino Linotype"/>
          <w:sz w:val="16"/>
          <w:szCs w:val="16"/>
        </w:rPr>
      </w:pPr>
      <w:r>
        <w:rPr>
          <w:rStyle w:val="Caracteresdenotaalpie"/>
        </w:rPr>
        <w:footnoteRef/>
      </w:r>
      <w:r>
        <w:t xml:space="preserve"> </w:t>
      </w:r>
      <w:r>
        <w:rPr>
          <w:rFonts w:ascii="Palatino Linotype" w:hAnsi="Palatino Linotype"/>
          <w:b/>
          <w:sz w:val="16"/>
          <w:szCs w:val="16"/>
        </w:rPr>
        <w:t xml:space="preserve">Artículo 2.- </w:t>
      </w:r>
      <w:r>
        <w:rPr>
          <w:rFonts w:ascii="Palatino Linotype" w:hAnsi="Palatino Linotype"/>
          <w:b/>
          <w:sz w:val="16"/>
          <w:szCs w:val="16"/>
          <w:u w:val="single"/>
        </w:rPr>
        <w:t>Para los efectos de la presente Ley, se entenderá por</w:t>
      </w:r>
      <w:r>
        <w:rPr>
          <w:rFonts w:ascii="Palatino Linotype" w:hAnsi="Palatino Linotype"/>
          <w:sz w:val="16"/>
          <w:szCs w:val="16"/>
        </w:rPr>
        <w:t>:</w:t>
      </w:r>
    </w:p>
    <w:p w:rsidR="00E67687" w:rsidRDefault="006D67BC">
      <w:pPr>
        <w:pStyle w:val="Textonotapie"/>
        <w:jc w:val="both"/>
        <w:rPr>
          <w:rFonts w:ascii="Palatino Linotype" w:hAnsi="Palatino Linotype"/>
          <w:sz w:val="16"/>
          <w:szCs w:val="16"/>
        </w:rPr>
      </w:pPr>
      <w:r>
        <w:rPr>
          <w:rFonts w:ascii="Palatino Linotype" w:hAnsi="Palatino Linotype"/>
          <w:sz w:val="16"/>
          <w:szCs w:val="16"/>
        </w:rPr>
        <w:t>…</w:t>
      </w:r>
    </w:p>
    <w:p w:rsidR="00E67687" w:rsidRDefault="006D67BC">
      <w:pPr>
        <w:pStyle w:val="Textonotapie"/>
        <w:jc w:val="both"/>
        <w:rPr>
          <w:rFonts w:ascii="Palatino Linotype" w:hAnsi="Palatino Linotype"/>
          <w:sz w:val="16"/>
          <w:szCs w:val="16"/>
        </w:rPr>
      </w:pPr>
      <w:r>
        <w:rPr>
          <w:rFonts w:ascii="Palatino Linotype" w:hAnsi="Palatino Linotype"/>
          <w:b/>
          <w:sz w:val="16"/>
          <w:szCs w:val="16"/>
        </w:rPr>
        <w:t>XI. Informe Mensual</w:t>
      </w:r>
      <w:r>
        <w:rPr>
          <w:rFonts w:ascii="Palatino Linotype" w:hAnsi="Palatino Linotype"/>
          <w:sz w:val="16"/>
          <w:szCs w:val="16"/>
        </w:rPr>
        <w:t xml:space="preserve">: </w:t>
      </w:r>
      <w:r>
        <w:rPr>
          <w:rFonts w:ascii="Palatino Linotype" w:hAnsi="Palatino Linotype"/>
          <w:b/>
          <w:sz w:val="16"/>
          <w:szCs w:val="16"/>
          <w:u w:val="single"/>
        </w:rPr>
        <w:t>Al documento que mensualmente envían para su análisis al Órgano Superior de Fiscalización de la Legislatura, las Tesorerías Municipales</w:t>
      </w:r>
      <w:r>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87" w:rsidRDefault="006D67B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0" behindDoc="1" locked="0" layoutInCell="1" allowOverlap="1">
          <wp:simplePos x="0" y="0"/>
          <wp:positionH relativeFrom="column">
            <wp:align>center</wp:align>
          </wp:positionH>
          <wp:positionV relativeFrom="margin">
            <wp:align>center</wp:align>
          </wp:positionV>
          <wp:extent cx="6858635" cy="9144635"/>
          <wp:effectExtent l="0" t="0" r="0" b="0"/>
          <wp:wrapNone/>
          <wp:docPr id="13"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5"/>
      <w:gridCol w:w="2555"/>
      <w:gridCol w:w="3724"/>
    </w:tblGrid>
    <w:tr w:rsidR="00E67687">
      <w:tc>
        <w:tcPr>
          <w:tcW w:w="3255" w:type="dxa"/>
          <w:vMerge w:val="restart"/>
        </w:tcPr>
        <w:p w:rsidR="00E67687" w:rsidRDefault="006D67B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E67687" w:rsidRDefault="006D67BC">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01197/INFOEM/IP/RR/2020</w:t>
          </w:r>
        </w:p>
      </w:tc>
    </w:tr>
    <w:tr w:rsidR="00E67687">
      <w:tc>
        <w:tcPr>
          <w:tcW w:w="3255" w:type="dxa"/>
          <w:vMerge/>
        </w:tcPr>
        <w:p w:rsidR="00E67687" w:rsidRDefault="00E67687">
          <w:pPr>
            <w:rPr>
              <w:rFonts w:ascii="Palatino Linotype" w:hAnsi="Palatino Linotype"/>
              <w:b/>
              <w:sz w:val="22"/>
              <w:szCs w:val="22"/>
              <w:lang w:val="es-ES_tradnl"/>
            </w:rPr>
          </w:pPr>
        </w:p>
      </w:tc>
      <w:tc>
        <w:tcPr>
          <w:tcW w:w="2555"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E67687" w:rsidRDefault="006D67BC">
          <w:pPr>
            <w:ind w:left="34" w:right="-107"/>
            <w:jc w:val="both"/>
            <w:rPr>
              <w:rFonts w:ascii="Palatino Linotype" w:hAnsi="Palatino Linotype"/>
              <w:b/>
              <w:sz w:val="22"/>
              <w:szCs w:val="22"/>
            </w:rPr>
          </w:pPr>
          <w:r>
            <w:rPr>
              <w:rFonts w:ascii="Palatino Linotype" w:hAnsi="Palatino Linotype"/>
              <w:b/>
              <w:sz w:val="22"/>
              <w:szCs w:val="22"/>
            </w:rPr>
            <w:t>Ayuntamiento de Tlalnepantla de Baz</w:t>
          </w:r>
        </w:p>
      </w:tc>
    </w:tr>
    <w:tr w:rsidR="00E67687">
      <w:trPr>
        <w:trHeight w:val="228"/>
      </w:trPr>
      <w:tc>
        <w:tcPr>
          <w:tcW w:w="3255" w:type="dxa"/>
          <w:vMerge/>
        </w:tcPr>
        <w:p w:rsidR="00E67687" w:rsidRDefault="00E67687">
          <w:pPr>
            <w:rPr>
              <w:rFonts w:ascii="Palatino Linotype" w:hAnsi="Palatino Linotype"/>
              <w:b/>
              <w:sz w:val="22"/>
              <w:szCs w:val="22"/>
              <w:lang w:val="es-ES_tradnl"/>
            </w:rPr>
          </w:pPr>
        </w:p>
      </w:tc>
      <w:tc>
        <w:tcPr>
          <w:tcW w:w="2555"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E67687" w:rsidRDefault="006D67B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67687" w:rsidRDefault="00E6768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87" w:rsidRDefault="006D67BC">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1" behindDoc="1" locked="0" layoutInCell="1" allowOverlap="1">
          <wp:simplePos x="0" y="0"/>
          <wp:positionH relativeFrom="column">
            <wp:align>center</wp:align>
          </wp:positionH>
          <wp:positionV relativeFrom="margin">
            <wp:align>center</wp:align>
          </wp:positionV>
          <wp:extent cx="6858635" cy="9144635"/>
          <wp:effectExtent l="0" t="0" r="0" b="0"/>
          <wp:wrapNone/>
          <wp:docPr id="1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9"/>
      <w:gridCol w:w="3691"/>
    </w:tblGrid>
    <w:tr w:rsidR="00E67687">
      <w:tc>
        <w:tcPr>
          <w:tcW w:w="4250" w:type="dxa"/>
          <w:vMerge w:val="restart"/>
          <w:shd w:val="clear" w:color="auto" w:fill="auto"/>
        </w:tcPr>
        <w:p w:rsidR="00E67687" w:rsidRDefault="006D67B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rsidR="00E67687" w:rsidRDefault="006D67BC">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01197/INFOEM/IP/RR/2019</w:t>
          </w:r>
        </w:p>
      </w:tc>
    </w:tr>
    <w:tr w:rsidR="00E67687">
      <w:tc>
        <w:tcPr>
          <w:tcW w:w="4250" w:type="dxa"/>
          <w:vMerge/>
          <w:shd w:val="clear" w:color="auto" w:fill="auto"/>
        </w:tcPr>
        <w:p w:rsidR="00E67687" w:rsidRDefault="00E67687">
          <w:pPr>
            <w:rPr>
              <w:rFonts w:ascii="Palatino Linotype" w:hAnsi="Palatino Linotype"/>
              <w:b/>
              <w:sz w:val="22"/>
              <w:szCs w:val="22"/>
              <w:lang w:val="es-ES_tradnl"/>
            </w:rPr>
          </w:pPr>
        </w:p>
      </w:tc>
      <w:tc>
        <w:tcPr>
          <w:tcW w:w="2549"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rsidR="00E67687" w:rsidRDefault="004F5F25" w:rsidP="004F5F25">
          <w:pPr>
            <w:ind w:left="34" w:right="-107"/>
            <w:jc w:val="both"/>
            <w:rPr>
              <w:rFonts w:ascii="Palatino Linotype" w:hAnsi="Palatino Linotype"/>
              <w:b/>
              <w:sz w:val="22"/>
              <w:szCs w:val="22"/>
            </w:rPr>
          </w:pPr>
          <w:r>
            <w:rPr>
              <w:rFonts w:ascii="Palatino Linotype" w:hAnsi="Palatino Linotype"/>
              <w:b/>
              <w:sz w:val="22"/>
              <w:szCs w:val="22"/>
            </w:rPr>
            <w:t>Xxxx Xxxx</w:t>
          </w:r>
          <w:r w:rsidR="006D67BC">
            <w:rPr>
              <w:rFonts w:ascii="Palatino Linotype" w:hAnsi="Palatino Linotype"/>
              <w:b/>
              <w:sz w:val="22"/>
              <w:szCs w:val="22"/>
            </w:rPr>
            <w:t xml:space="preserve"> </w:t>
          </w:r>
          <w:r>
            <w:rPr>
              <w:rFonts w:ascii="Palatino Linotype" w:hAnsi="Palatino Linotype"/>
              <w:b/>
              <w:sz w:val="22"/>
              <w:szCs w:val="22"/>
            </w:rPr>
            <w:t>Xxxxxx</w:t>
          </w:r>
          <w:r w:rsidR="006D67BC">
            <w:rPr>
              <w:rFonts w:ascii="Palatino Linotype" w:hAnsi="Palatino Linotype"/>
              <w:b/>
              <w:sz w:val="22"/>
              <w:szCs w:val="22"/>
            </w:rPr>
            <w:t xml:space="preserve"> </w:t>
          </w:r>
          <w:r>
            <w:rPr>
              <w:rFonts w:ascii="Palatino Linotype" w:hAnsi="Palatino Linotype"/>
              <w:b/>
              <w:sz w:val="22"/>
              <w:szCs w:val="22"/>
            </w:rPr>
            <w:t>Xxxxxx</w:t>
          </w:r>
        </w:p>
      </w:tc>
    </w:tr>
    <w:tr w:rsidR="00E67687">
      <w:trPr>
        <w:trHeight w:val="228"/>
      </w:trPr>
      <w:tc>
        <w:tcPr>
          <w:tcW w:w="4250" w:type="dxa"/>
          <w:vMerge/>
          <w:shd w:val="clear" w:color="auto" w:fill="auto"/>
        </w:tcPr>
        <w:p w:rsidR="00E67687" w:rsidRDefault="00E67687">
          <w:pPr>
            <w:rPr>
              <w:rFonts w:ascii="Palatino Linotype" w:hAnsi="Palatino Linotype"/>
              <w:b/>
              <w:sz w:val="22"/>
              <w:szCs w:val="22"/>
              <w:lang w:val="es-ES_tradnl"/>
            </w:rPr>
          </w:pPr>
        </w:p>
      </w:tc>
      <w:tc>
        <w:tcPr>
          <w:tcW w:w="2549"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rsidR="00E67687" w:rsidRDefault="006D67BC">
          <w:pPr>
            <w:ind w:left="34" w:right="-107"/>
            <w:jc w:val="both"/>
            <w:rPr>
              <w:rFonts w:ascii="Palatino Linotype" w:hAnsi="Palatino Linotype"/>
              <w:b/>
              <w:sz w:val="22"/>
              <w:szCs w:val="22"/>
            </w:rPr>
          </w:pPr>
          <w:r>
            <w:rPr>
              <w:rFonts w:ascii="Palatino Linotype" w:hAnsi="Palatino Linotype"/>
              <w:b/>
              <w:sz w:val="22"/>
              <w:szCs w:val="22"/>
            </w:rPr>
            <w:t>Ayuntamiento de Tlalnepantla de Baz</w:t>
          </w:r>
        </w:p>
      </w:tc>
    </w:tr>
    <w:tr w:rsidR="00E67687">
      <w:tc>
        <w:tcPr>
          <w:tcW w:w="4250" w:type="dxa"/>
          <w:vMerge/>
          <w:shd w:val="clear" w:color="auto" w:fill="auto"/>
        </w:tcPr>
        <w:p w:rsidR="00E67687" w:rsidRDefault="00E67687">
          <w:pPr>
            <w:rPr>
              <w:rFonts w:ascii="Palatino Linotype" w:hAnsi="Palatino Linotype"/>
              <w:b/>
              <w:sz w:val="22"/>
              <w:szCs w:val="22"/>
              <w:lang w:val="es-ES_tradnl"/>
            </w:rPr>
          </w:pPr>
        </w:p>
      </w:tc>
      <w:tc>
        <w:tcPr>
          <w:tcW w:w="2549" w:type="dxa"/>
          <w:shd w:val="clear" w:color="auto" w:fill="auto"/>
        </w:tcPr>
        <w:p w:rsidR="00E67687" w:rsidRDefault="006D67B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rsidR="00E67687" w:rsidRDefault="006D67B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E67687" w:rsidRDefault="00E67687">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3D250E"/>
    <w:multiLevelType w:val="multilevel"/>
    <w:tmpl w:val="8FF63C5A"/>
    <w:lvl w:ilvl="0">
      <w:start w:val="1"/>
      <w:numFmt w:val="ordinalText"/>
      <w:suff w:val="space"/>
      <w:lvlText w:val="%1."/>
      <w:lvlJc w:val="left"/>
      <w:pPr>
        <w:ind w:left="644"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E62308"/>
    <w:multiLevelType w:val="multilevel"/>
    <w:tmpl w:val="425C4CD0"/>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0C14603"/>
    <w:multiLevelType w:val="multilevel"/>
    <w:tmpl w:val="6130DF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37036B7"/>
    <w:multiLevelType w:val="multilevel"/>
    <w:tmpl w:val="99F25882"/>
    <w:lvl w:ilvl="0">
      <w:start w:val="1"/>
      <w:numFmt w:val="decimal"/>
      <w:lvlText w:val="%1)"/>
      <w:lvlJc w:val="left"/>
      <w:pPr>
        <w:ind w:left="1211" w:hanging="360"/>
      </w:pPr>
      <w:rPr>
        <w:b/>
        <w:i/>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7E46153F"/>
    <w:multiLevelType w:val="multilevel"/>
    <w:tmpl w:val="AE02105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687"/>
    <w:rsid w:val="004F5F25"/>
    <w:rsid w:val="005E43C3"/>
    <w:rsid w:val="006D67BC"/>
    <w:rsid w:val="00E67687"/>
    <w:rsid w:val="00F23C39"/>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A1684-6BF1-478D-A0FF-F2DC5919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4BC0-EBC0-43D7-84FD-8F3F4C3D9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8564</Words>
  <Characters>47102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A cid</cp:lastModifiedBy>
  <cp:revision>2</cp:revision>
  <cp:lastPrinted>2020-01-22T19:55:00Z</cp:lastPrinted>
  <dcterms:created xsi:type="dcterms:W3CDTF">2020-08-26T23:59:00Z</dcterms:created>
  <dcterms:modified xsi:type="dcterms:W3CDTF">2020-08-26T23:59:00Z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