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9A0763"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9A0763">
        <w:rPr>
          <w:rFonts w:ascii="Palatino Linotype" w:hAnsi="Palatino Linotype"/>
          <w:b/>
        </w:rPr>
        <w:t>LÍNEAS ARGUMENTATIVAS.</w:t>
      </w:r>
    </w:p>
    <w:p w14:paraId="2EF5EAC7" w14:textId="77777777" w:rsidR="00943B9C" w:rsidRPr="009A0763" w:rsidRDefault="00943B9C" w:rsidP="00943B9C">
      <w:pPr>
        <w:spacing w:before="240" w:after="360" w:line="360" w:lineRule="auto"/>
        <w:contextualSpacing/>
        <w:jc w:val="both"/>
        <w:rPr>
          <w:rFonts w:ascii="Palatino Linotype" w:hAnsi="Palatino Linotype"/>
        </w:rPr>
      </w:pPr>
      <w:r w:rsidRPr="009A0763">
        <w:rPr>
          <w:rFonts w:ascii="Palatino Linotype" w:hAnsi="Palatino Linotype"/>
          <w:b/>
        </w:rPr>
        <w:t>DEBERES DE LAS AUTORIDADES.</w:t>
      </w:r>
      <w:r w:rsidRPr="009A0763">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A0763" w:rsidRDefault="00943B9C" w:rsidP="00943B9C">
      <w:pPr>
        <w:spacing w:before="240" w:after="360" w:line="360" w:lineRule="auto"/>
        <w:contextualSpacing/>
        <w:jc w:val="both"/>
        <w:rPr>
          <w:rFonts w:ascii="Palatino Linotype" w:hAnsi="Palatino Linotype"/>
        </w:rPr>
      </w:pPr>
    </w:p>
    <w:p w14:paraId="4FA3DA89" w14:textId="77777777" w:rsidR="00943B9C" w:rsidRPr="009A0763" w:rsidRDefault="00943B9C" w:rsidP="00943B9C">
      <w:pPr>
        <w:spacing w:line="360" w:lineRule="auto"/>
        <w:jc w:val="both"/>
        <w:rPr>
          <w:rFonts w:ascii="Palatino Linotype" w:eastAsia="Calibri" w:hAnsi="Palatino Linotype"/>
        </w:rPr>
      </w:pPr>
      <w:r w:rsidRPr="009A0763">
        <w:rPr>
          <w:rFonts w:ascii="Palatino Linotype" w:eastAsia="Calibri" w:hAnsi="Palatino Linotype"/>
          <w:b/>
        </w:rPr>
        <w:t>DE LA GARANTÍA DE PROPORCIONAR LA INFORMACIÓN PÚBLICA GUBERNAMENTAL.</w:t>
      </w:r>
      <w:r w:rsidRPr="009A0763">
        <w:rPr>
          <w:rFonts w:ascii="Palatino Linotype" w:eastAsia="Calibri" w:hAnsi="Palatino Linotype"/>
        </w:rPr>
        <w:t xml:space="preserve"> Los sujetos obligados tienen el deber de entregar la información solicitada en los términos en los que esta fue generada, poseída o administrada.</w:t>
      </w:r>
    </w:p>
    <w:p w14:paraId="5C0393FB" w14:textId="77777777" w:rsidR="00943B9C" w:rsidRPr="009A0763" w:rsidRDefault="00943B9C" w:rsidP="00943B9C">
      <w:pPr>
        <w:spacing w:before="240" w:after="360" w:line="360" w:lineRule="auto"/>
        <w:contextualSpacing/>
        <w:jc w:val="both"/>
        <w:rPr>
          <w:rFonts w:ascii="Palatino Linotype" w:hAnsi="Palatino Linotype"/>
        </w:rPr>
      </w:pPr>
    </w:p>
    <w:p w14:paraId="523F9699" w14:textId="0D61AFD1" w:rsidR="00B0144D" w:rsidRPr="009A0763" w:rsidRDefault="00B0144D" w:rsidP="00B0144D">
      <w:pPr>
        <w:spacing w:line="360" w:lineRule="auto"/>
        <w:jc w:val="both"/>
        <w:rPr>
          <w:rFonts w:ascii="Palatino Linotype" w:hAnsi="Palatino Linotype" w:cs="Arial"/>
        </w:rPr>
      </w:pPr>
    </w:p>
    <w:p w14:paraId="42C21874" w14:textId="77777777" w:rsidR="00AC22B5" w:rsidRPr="009A0763" w:rsidRDefault="00AC22B5" w:rsidP="00B0144D">
      <w:pPr>
        <w:spacing w:line="360" w:lineRule="auto"/>
        <w:jc w:val="both"/>
        <w:rPr>
          <w:rFonts w:ascii="Palatino Linotype" w:hAnsi="Palatino Linotype" w:cs="Arial"/>
        </w:rPr>
      </w:pPr>
    </w:p>
    <w:p w14:paraId="2B30FCD3" w14:textId="77777777" w:rsidR="00AC22B5" w:rsidRPr="009A0763" w:rsidRDefault="00AC22B5" w:rsidP="00B0144D">
      <w:pPr>
        <w:spacing w:line="360" w:lineRule="auto"/>
        <w:jc w:val="both"/>
        <w:rPr>
          <w:rFonts w:ascii="Palatino Linotype" w:hAnsi="Palatino Linotype" w:cs="Arial"/>
        </w:rPr>
      </w:pPr>
    </w:p>
    <w:p w14:paraId="115FE699" w14:textId="77777777" w:rsidR="00AC22B5" w:rsidRPr="009A0763" w:rsidRDefault="00AC22B5" w:rsidP="00B0144D">
      <w:pPr>
        <w:spacing w:line="360" w:lineRule="auto"/>
        <w:jc w:val="both"/>
        <w:rPr>
          <w:rFonts w:ascii="Palatino Linotype" w:hAnsi="Palatino Linotype" w:cs="Arial"/>
        </w:rPr>
      </w:pPr>
    </w:p>
    <w:p w14:paraId="271E3B0C" w14:textId="77777777" w:rsidR="00AC22B5" w:rsidRPr="009A0763" w:rsidRDefault="00AC22B5" w:rsidP="00B0144D">
      <w:pPr>
        <w:spacing w:line="360" w:lineRule="auto"/>
        <w:jc w:val="both"/>
        <w:rPr>
          <w:rFonts w:ascii="Palatino Linotype" w:hAnsi="Palatino Linotype" w:cs="Arial"/>
        </w:rPr>
      </w:pPr>
    </w:p>
    <w:p w14:paraId="0023DA9A" w14:textId="13E06EBD" w:rsidR="002F7480" w:rsidRPr="009A0763" w:rsidRDefault="002F7480" w:rsidP="00943B9C">
      <w:pPr>
        <w:spacing w:before="240" w:after="240" w:line="360" w:lineRule="auto"/>
        <w:jc w:val="both"/>
        <w:rPr>
          <w:rFonts w:ascii="Palatino Linotype" w:hAnsi="Palatino Linotype"/>
          <w:b/>
          <w:u w:val="single"/>
        </w:rPr>
      </w:pPr>
      <w:r w:rsidRPr="009A0763">
        <w:rPr>
          <w:rFonts w:ascii="Palatino Linotype" w:hAnsi="Palatino Linotype"/>
        </w:rPr>
        <w:t xml:space="preserve">  </w:t>
      </w:r>
      <w:r w:rsidR="008632C8" w:rsidRPr="009A0763">
        <w:rPr>
          <w:rFonts w:ascii="Palatino Linotype" w:eastAsia="MS Mincho" w:hAnsi="Palatino Linotype" w:cs="Arial"/>
        </w:rPr>
        <w:t xml:space="preserve"> </w:t>
      </w:r>
    </w:p>
    <w:p w14:paraId="65652C33" w14:textId="77777777" w:rsidR="00BB03D0" w:rsidRPr="009A0763" w:rsidRDefault="00BB03D0" w:rsidP="001E74A5">
      <w:pPr>
        <w:spacing w:line="360" w:lineRule="auto"/>
        <w:jc w:val="center"/>
        <w:rPr>
          <w:rFonts w:ascii="Palatino Linotype" w:hAnsi="Palatino Linotype"/>
          <w:b/>
          <w:u w:val="single"/>
        </w:rPr>
      </w:pPr>
    </w:p>
    <w:p w14:paraId="31137936" w14:textId="302D1D0F" w:rsidR="00BC61B2" w:rsidRPr="009A0763" w:rsidRDefault="00A20B1F" w:rsidP="001E74A5">
      <w:pPr>
        <w:spacing w:line="360" w:lineRule="auto"/>
        <w:jc w:val="center"/>
        <w:rPr>
          <w:rFonts w:ascii="Palatino Linotype" w:hAnsi="Palatino Linotype"/>
          <w:b/>
          <w:u w:val="single"/>
        </w:rPr>
      </w:pPr>
      <w:r w:rsidRPr="009A0763">
        <w:rPr>
          <w:rFonts w:ascii="Palatino Linotype" w:hAnsi="Palatino Linotype"/>
          <w:b/>
          <w:u w:val="single"/>
        </w:rPr>
        <w:t>ÍNDICE</w:t>
      </w:r>
    </w:p>
    <w:sdt>
      <w:sdtPr>
        <w:rPr>
          <w:rFonts w:ascii="Palatino Linotype" w:eastAsia="Times New Roman" w:hAnsi="Palatino Linotype" w:cs="Times New Roman"/>
          <w:lang w:val="es-ES" w:eastAsia="es-ES_tradnl"/>
        </w:rPr>
        <w:id w:val="-1245946457"/>
        <w:docPartObj>
          <w:docPartGallery w:val="Table of Contents"/>
          <w:docPartUnique/>
        </w:docPartObj>
      </w:sdtPr>
      <w:sdtEndPr>
        <w:rPr>
          <w:b/>
          <w:bCs/>
        </w:rPr>
      </w:sdtEndPr>
      <w:sdtContent>
        <w:p w14:paraId="6EAAC8AE" w14:textId="77777777" w:rsidR="00D707F7" w:rsidRPr="009A0763" w:rsidRDefault="00DA7E2F" w:rsidP="00D707F7">
          <w:pPr>
            <w:pStyle w:val="TDC1"/>
            <w:ind w:left="0"/>
            <w:rPr>
              <w:noProof/>
              <w:sz w:val="22"/>
              <w:szCs w:val="22"/>
              <w:lang w:val="es-MX" w:eastAsia="es-MX"/>
            </w:rPr>
          </w:pPr>
          <w:r w:rsidRPr="009A0763">
            <w:rPr>
              <w:rFonts w:ascii="Palatino Linotype" w:eastAsiaTheme="majorEastAsia" w:hAnsi="Palatino Linotype" w:cstheme="majorBidi"/>
              <w:b/>
              <w:lang w:val="es-MX" w:eastAsia="es-MX"/>
            </w:rPr>
            <w:fldChar w:fldCharType="begin"/>
          </w:r>
          <w:r w:rsidRPr="009A0763">
            <w:rPr>
              <w:rFonts w:ascii="Palatino Linotype" w:hAnsi="Palatino Linotype"/>
              <w:b/>
            </w:rPr>
            <w:instrText xml:space="preserve"> TOC \o "1-3" \h \z \u </w:instrText>
          </w:r>
          <w:r w:rsidRPr="009A0763">
            <w:rPr>
              <w:rFonts w:ascii="Palatino Linotype" w:eastAsiaTheme="majorEastAsia" w:hAnsi="Palatino Linotype" w:cstheme="majorBidi"/>
              <w:b/>
              <w:lang w:val="es-MX" w:eastAsia="es-MX"/>
            </w:rPr>
            <w:fldChar w:fldCharType="separate"/>
          </w:r>
          <w:hyperlink w:anchor="_Toc35535690" w:history="1">
            <w:r w:rsidR="00D707F7" w:rsidRPr="009A0763">
              <w:rPr>
                <w:rStyle w:val="Hipervnculo"/>
                <w:b/>
                <w:noProof/>
              </w:rPr>
              <w:t>ANTECEDENTES</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_Toc35535690 \h </w:instrText>
            </w:r>
            <w:r w:rsidR="00D707F7" w:rsidRPr="009A0763">
              <w:rPr>
                <w:noProof/>
                <w:webHidden/>
              </w:rPr>
            </w:r>
            <w:r w:rsidR="00D707F7" w:rsidRPr="009A0763">
              <w:rPr>
                <w:noProof/>
                <w:webHidden/>
              </w:rPr>
              <w:fldChar w:fldCharType="separate"/>
            </w:r>
            <w:r w:rsidR="00D707F7" w:rsidRPr="009A0763">
              <w:rPr>
                <w:noProof/>
                <w:webHidden/>
              </w:rPr>
              <w:t>4</w:t>
            </w:r>
            <w:r w:rsidR="00D707F7" w:rsidRPr="009A0763">
              <w:rPr>
                <w:noProof/>
                <w:webHidden/>
              </w:rPr>
              <w:fldChar w:fldCharType="end"/>
            </w:r>
          </w:hyperlink>
        </w:p>
        <w:p w14:paraId="7F44A4E9" w14:textId="77777777" w:rsidR="00D707F7" w:rsidRPr="009A0763" w:rsidRDefault="00DF394C" w:rsidP="00D707F7">
          <w:pPr>
            <w:pStyle w:val="TDC1"/>
            <w:ind w:left="0"/>
            <w:rPr>
              <w:noProof/>
              <w:sz w:val="22"/>
              <w:szCs w:val="22"/>
              <w:lang w:val="es-MX" w:eastAsia="es-MX"/>
            </w:rPr>
          </w:pPr>
          <w:hyperlink w:anchor="_Toc35535693" w:history="1">
            <w:r w:rsidR="00D707F7" w:rsidRPr="009A0763">
              <w:rPr>
                <w:rStyle w:val="Hipervnculo"/>
                <w:b/>
                <w:noProof/>
              </w:rPr>
              <w:t>CONSIDERANDO</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_Toc35535693 \h </w:instrText>
            </w:r>
            <w:r w:rsidR="00D707F7" w:rsidRPr="009A0763">
              <w:rPr>
                <w:noProof/>
                <w:webHidden/>
              </w:rPr>
            </w:r>
            <w:r w:rsidR="00D707F7" w:rsidRPr="009A0763">
              <w:rPr>
                <w:noProof/>
                <w:webHidden/>
              </w:rPr>
              <w:fldChar w:fldCharType="separate"/>
            </w:r>
            <w:r w:rsidR="00D707F7" w:rsidRPr="009A0763">
              <w:rPr>
                <w:noProof/>
                <w:webHidden/>
              </w:rPr>
              <w:t>7</w:t>
            </w:r>
            <w:r w:rsidR="00D707F7" w:rsidRPr="009A0763">
              <w:rPr>
                <w:noProof/>
                <w:webHidden/>
              </w:rPr>
              <w:fldChar w:fldCharType="end"/>
            </w:r>
          </w:hyperlink>
        </w:p>
        <w:p w14:paraId="07776FDD" w14:textId="77777777" w:rsidR="00D707F7" w:rsidRPr="009A0763" w:rsidRDefault="00DF394C" w:rsidP="00D707F7">
          <w:pPr>
            <w:pStyle w:val="TDC2"/>
            <w:tabs>
              <w:tab w:val="clear" w:pos="9676"/>
            </w:tabs>
            <w:rPr>
              <w:noProof/>
              <w:sz w:val="22"/>
              <w:szCs w:val="22"/>
              <w:lang w:val="es-MX" w:eastAsia="es-MX"/>
            </w:rPr>
          </w:pPr>
          <w:hyperlink w:anchor="_Toc35535694" w:history="1">
            <w:r w:rsidR="00D707F7" w:rsidRPr="009A0763">
              <w:rPr>
                <w:rStyle w:val="Hipervnculo"/>
                <w:rFonts w:ascii="Palatino Linotype" w:hAnsi="Palatino Linotype"/>
                <w:b/>
                <w:noProof/>
              </w:rPr>
              <w:t>PRIMERO. De la competencia</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_Toc35535694 \h </w:instrText>
            </w:r>
            <w:r w:rsidR="00D707F7" w:rsidRPr="009A0763">
              <w:rPr>
                <w:noProof/>
                <w:webHidden/>
              </w:rPr>
            </w:r>
            <w:r w:rsidR="00D707F7" w:rsidRPr="009A0763">
              <w:rPr>
                <w:noProof/>
                <w:webHidden/>
              </w:rPr>
              <w:fldChar w:fldCharType="separate"/>
            </w:r>
            <w:r w:rsidR="00D707F7" w:rsidRPr="009A0763">
              <w:rPr>
                <w:noProof/>
                <w:webHidden/>
              </w:rPr>
              <w:t>7</w:t>
            </w:r>
            <w:r w:rsidR="00D707F7" w:rsidRPr="009A0763">
              <w:rPr>
                <w:noProof/>
                <w:webHidden/>
              </w:rPr>
              <w:fldChar w:fldCharType="end"/>
            </w:r>
          </w:hyperlink>
        </w:p>
        <w:p w14:paraId="0C0B3673" w14:textId="77777777" w:rsidR="00D707F7" w:rsidRPr="009A0763" w:rsidRDefault="00DF394C" w:rsidP="00D707F7">
          <w:pPr>
            <w:pStyle w:val="TDC2"/>
            <w:tabs>
              <w:tab w:val="clear" w:pos="9676"/>
            </w:tabs>
            <w:rPr>
              <w:noProof/>
              <w:sz w:val="22"/>
              <w:szCs w:val="22"/>
              <w:lang w:val="es-MX" w:eastAsia="es-MX"/>
            </w:rPr>
          </w:pPr>
          <w:hyperlink w:anchor="_Toc35535695" w:history="1">
            <w:r w:rsidR="00D707F7" w:rsidRPr="009A0763">
              <w:rPr>
                <w:rStyle w:val="Hipervnculo"/>
                <w:rFonts w:ascii="Palatino Linotype" w:hAnsi="Palatino Linotype"/>
                <w:b/>
                <w:noProof/>
              </w:rPr>
              <w:t>SEGUNDO. De la oportunidad y procedencia.</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_Toc35535695 \h </w:instrText>
            </w:r>
            <w:r w:rsidR="00D707F7" w:rsidRPr="009A0763">
              <w:rPr>
                <w:noProof/>
                <w:webHidden/>
              </w:rPr>
            </w:r>
            <w:r w:rsidR="00D707F7" w:rsidRPr="009A0763">
              <w:rPr>
                <w:noProof/>
                <w:webHidden/>
              </w:rPr>
              <w:fldChar w:fldCharType="separate"/>
            </w:r>
            <w:r w:rsidR="00D707F7" w:rsidRPr="009A0763">
              <w:rPr>
                <w:noProof/>
                <w:webHidden/>
              </w:rPr>
              <w:t>8</w:t>
            </w:r>
            <w:r w:rsidR="00D707F7" w:rsidRPr="009A0763">
              <w:rPr>
                <w:noProof/>
                <w:webHidden/>
              </w:rPr>
              <w:fldChar w:fldCharType="end"/>
            </w:r>
          </w:hyperlink>
        </w:p>
        <w:p w14:paraId="25347FFE" w14:textId="77777777" w:rsidR="00D707F7" w:rsidRPr="009A0763" w:rsidRDefault="00DF394C">
          <w:pPr>
            <w:pStyle w:val="TDC1"/>
            <w:rPr>
              <w:noProof/>
              <w:sz w:val="22"/>
              <w:szCs w:val="22"/>
              <w:lang w:val="es-MX" w:eastAsia="es-MX"/>
            </w:rPr>
          </w:pPr>
          <w:hyperlink w:anchor="_Toc35535696" w:history="1">
            <w:r w:rsidR="00D707F7" w:rsidRPr="009A0763">
              <w:rPr>
                <w:rStyle w:val="Hipervnculo"/>
                <w:b/>
                <w:noProof/>
              </w:rPr>
              <w:t xml:space="preserve">TERCERO. Del planteamiento de la </w:t>
            </w:r>
            <w:r w:rsidR="00D707F7" w:rsidRPr="009A0763">
              <w:rPr>
                <w:rStyle w:val="Hipervnculo"/>
                <w:b/>
                <w:i/>
                <w:noProof/>
              </w:rPr>
              <w:t>Litis</w:t>
            </w:r>
            <w:r w:rsidR="00D707F7" w:rsidRPr="009A0763">
              <w:rPr>
                <w:rStyle w:val="Hipervnculo"/>
                <w:b/>
                <w:noProof/>
              </w:rPr>
              <w:t>.</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_Toc35535696 \h </w:instrText>
            </w:r>
            <w:r w:rsidR="00D707F7" w:rsidRPr="009A0763">
              <w:rPr>
                <w:noProof/>
                <w:webHidden/>
              </w:rPr>
            </w:r>
            <w:r w:rsidR="00D707F7" w:rsidRPr="009A0763">
              <w:rPr>
                <w:noProof/>
                <w:webHidden/>
              </w:rPr>
              <w:fldChar w:fldCharType="separate"/>
            </w:r>
            <w:r w:rsidR="00D707F7" w:rsidRPr="009A0763">
              <w:rPr>
                <w:noProof/>
                <w:webHidden/>
              </w:rPr>
              <w:t>8</w:t>
            </w:r>
            <w:r w:rsidR="00D707F7" w:rsidRPr="009A0763">
              <w:rPr>
                <w:noProof/>
                <w:webHidden/>
              </w:rPr>
              <w:fldChar w:fldCharType="end"/>
            </w:r>
          </w:hyperlink>
        </w:p>
        <w:p w14:paraId="6A1EFF2C" w14:textId="77777777" w:rsidR="00D707F7" w:rsidRPr="009A0763" w:rsidRDefault="00DF394C">
          <w:pPr>
            <w:pStyle w:val="TDC1"/>
            <w:rPr>
              <w:noProof/>
              <w:sz w:val="22"/>
              <w:szCs w:val="22"/>
              <w:lang w:val="es-MX" w:eastAsia="es-MX"/>
            </w:rPr>
          </w:pPr>
          <w:hyperlink w:anchor="_Toc35535697" w:history="1">
            <w:r w:rsidR="00D707F7" w:rsidRPr="009A0763">
              <w:rPr>
                <w:rStyle w:val="Hipervnculo"/>
                <w:b/>
                <w:noProof/>
              </w:rPr>
              <w:t>CUARTO. Del estudio y resolución del asunto.</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_Toc35535697 \h </w:instrText>
            </w:r>
            <w:r w:rsidR="00D707F7" w:rsidRPr="009A0763">
              <w:rPr>
                <w:noProof/>
                <w:webHidden/>
              </w:rPr>
            </w:r>
            <w:r w:rsidR="00D707F7" w:rsidRPr="009A0763">
              <w:rPr>
                <w:noProof/>
                <w:webHidden/>
              </w:rPr>
              <w:fldChar w:fldCharType="separate"/>
            </w:r>
            <w:r w:rsidR="00D707F7" w:rsidRPr="009A0763">
              <w:rPr>
                <w:noProof/>
                <w:webHidden/>
              </w:rPr>
              <w:t>9</w:t>
            </w:r>
            <w:r w:rsidR="00D707F7" w:rsidRPr="009A0763">
              <w:rPr>
                <w:noProof/>
                <w:webHidden/>
              </w:rPr>
              <w:fldChar w:fldCharType="end"/>
            </w:r>
          </w:hyperlink>
        </w:p>
        <w:p w14:paraId="42303B43" w14:textId="77777777" w:rsidR="00D707F7" w:rsidRPr="009A0763" w:rsidRDefault="00DF394C">
          <w:pPr>
            <w:pStyle w:val="TDC2"/>
            <w:rPr>
              <w:noProof/>
              <w:sz w:val="22"/>
              <w:szCs w:val="22"/>
              <w:lang w:val="es-MX" w:eastAsia="es-MX"/>
            </w:rPr>
          </w:pPr>
          <w:hyperlink w:anchor="_Toc35535698" w:history="1">
            <w:r w:rsidR="00D707F7" w:rsidRPr="009A0763">
              <w:rPr>
                <w:rStyle w:val="Hipervnculo"/>
                <w:rFonts w:ascii="Palatino Linotype" w:hAnsi="Palatino Linotype"/>
                <w:b/>
                <w:noProof/>
              </w:rPr>
              <w:t>SEXTO. De la versión pública</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_Toc35535698 \h </w:instrText>
            </w:r>
            <w:r w:rsidR="00D707F7" w:rsidRPr="009A0763">
              <w:rPr>
                <w:noProof/>
                <w:webHidden/>
              </w:rPr>
            </w:r>
            <w:r w:rsidR="00D707F7" w:rsidRPr="009A0763">
              <w:rPr>
                <w:noProof/>
                <w:webHidden/>
              </w:rPr>
              <w:fldChar w:fldCharType="separate"/>
            </w:r>
            <w:r w:rsidR="00D707F7" w:rsidRPr="009A0763">
              <w:rPr>
                <w:noProof/>
                <w:webHidden/>
              </w:rPr>
              <w:t>32</w:t>
            </w:r>
            <w:r w:rsidR="00D707F7" w:rsidRPr="009A0763">
              <w:rPr>
                <w:noProof/>
                <w:webHidden/>
              </w:rPr>
              <w:fldChar w:fldCharType="end"/>
            </w:r>
          </w:hyperlink>
        </w:p>
        <w:p w14:paraId="1625C855" w14:textId="77777777" w:rsidR="00D707F7" w:rsidRPr="009A0763" w:rsidRDefault="00DF394C" w:rsidP="00D707F7">
          <w:pPr>
            <w:pStyle w:val="TDC1"/>
            <w:ind w:left="0"/>
            <w:rPr>
              <w:noProof/>
              <w:sz w:val="22"/>
              <w:szCs w:val="22"/>
              <w:lang w:val="es-MX" w:eastAsia="es-MX"/>
            </w:rPr>
          </w:pPr>
          <w:hyperlink w:anchor="_Toc35535702" w:history="1">
            <w:r w:rsidR="00D707F7" w:rsidRPr="009A0763">
              <w:rPr>
                <w:rStyle w:val="Hipervnculo"/>
                <w:b/>
                <w:noProof/>
              </w:rPr>
              <w:t>R E S O L U T I V O S</w:t>
            </w:r>
            <w:r w:rsidR="00D707F7" w:rsidRPr="009A0763">
              <w:rPr>
                <w:noProof/>
                <w:webHidden/>
              </w:rPr>
              <w:tab/>
            </w:r>
            <w:r w:rsidR="00D707F7" w:rsidRPr="009A0763">
              <w:rPr>
                <w:noProof/>
                <w:webHidden/>
              </w:rPr>
              <w:fldChar w:fldCharType="begin"/>
            </w:r>
            <w:r w:rsidR="00D707F7" w:rsidRPr="009A0763">
              <w:rPr>
                <w:noProof/>
                <w:webHidden/>
              </w:rPr>
              <w:instrText xml:space="preserve"> PAGEREF _Toc35535702 \h </w:instrText>
            </w:r>
            <w:r w:rsidR="00D707F7" w:rsidRPr="009A0763">
              <w:rPr>
                <w:noProof/>
                <w:webHidden/>
              </w:rPr>
            </w:r>
            <w:r w:rsidR="00D707F7" w:rsidRPr="009A0763">
              <w:rPr>
                <w:noProof/>
                <w:webHidden/>
              </w:rPr>
              <w:fldChar w:fldCharType="separate"/>
            </w:r>
            <w:r w:rsidR="00D707F7" w:rsidRPr="009A0763">
              <w:rPr>
                <w:noProof/>
                <w:webHidden/>
              </w:rPr>
              <w:t>44</w:t>
            </w:r>
            <w:r w:rsidR="00D707F7" w:rsidRPr="009A0763">
              <w:rPr>
                <w:noProof/>
                <w:webHidden/>
              </w:rPr>
              <w:fldChar w:fldCharType="end"/>
            </w:r>
          </w:hyperlink>
        </w:p>
        <w:p w14:paraId="2416AEAB" w14:textId="51426476" w:rsidR="00100B8B" w:rsidRPr="009A0763" w:rsidRDefault="00DA7E2F" w:rsidP="00C91E6F">
          <w:pPr>
            <w:spacing w:line="480" w:lineRule="auto"/>
            <w:rPr>
              <w:rFonts w:ascii="Palatino Linotype" w:hAnsi="Palatino Linotype"/>
            </w:rPr>
          </w:pPr>
          <w:r w:rsidRPr="009A0763">
            <w:rPr>
              <w:rFonts w:ascii="Palatino Linotype" w:hAnsi="Palatino Linotype"/>
              <w:b/>
              <w:bCs/>
              <w:lang w:val="es-ES"/>
            </w:rPr>
            <w:fldChar w:fldCharType="end"/>
          </w:r>
        </w:p>
      </w:sdtContent>
    </w:sdt>
    <w:p w14:paraId="18E6F21E" w14:textId="77777777" w:rsidR="00A206F7" w:rsidRPr="009A0763"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9A0763"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9A0763"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9A0763" w:rsidRDefault="00AC22B5" w:rsidP="00440800">
      <w:pPr>
        <w:tabs>
          <w:tab w:val="left" w:pos="3465"/>
        </w:tabs>
        <w:spacing w:before="240" w:after="360" w:line="360" w:lineRule="auto"/>
        <w:jc w:val="both"/>
        <w:rPr>
          <w:rFonts w:ascii="Palatino Linotype" w:hAnsi="Palatino Linotype"/>
        </w:rPr>
      </w:pPr>
    </w:p>
    <w:p w14:paraId="73F7F940" w14:textId="1E1BD05C" w:rsidR="00662C69" w:rsidRPr="009A0763" w:rsidRDefault="009B11D6" w:rsidP="00440800">
      <w:pPr>
        <w:tabs>
          <w:tab w:val="left" w:pos="3465"/>
        </w:tabs>
        <w:spacing w:before="240" w:after="360" w:line="360" w:lineRule="auto"/>
        <w:jc w:val="both"/>
        <w:rPr>
          <w:rFonts w:ascii="Palatino Linotype" w:hAnsi="Palatino Linotype"/>
        </w:rPr>
      </w:pPr>
      <w:r w:rsidRPr="009A0763">
        <w:rPr>
          <w:rFonts w:ascii="Palatino Linotype" w:hAnsi="Palatino Linotype"/>
        </w:rPr>
        <w:lastRenderedPageBreak/>
        <w:t>R</w:t>
      </w:r>
      <w:r w:rsidR="00662C69" w:rsidRPr="009A0763">
        <w:rPr>
          <w:rFonts w:ascii="Palatino Linotype" w:hAnsi="Palatino Linotype"/>
        </w:rPr>
        <w:t>esolución del Pleno del Instituto de Transparencia, Acceso a la Información Pública y Protección de Datos Personales del Estado de México y Mun</w:t>
      </w:r>
      <w:r w:rsidR="000D5A1D" w:rsidRPr="009A0763">
        <w:rPr>
          <w:rFonts w:ascii="Palatino Linotype" w:hAnsi="Palatino Linotype"/>
        </w:rPr>
        <w:t>icipios, con</w:t>
      </w:r>
      <w:r w:rsidR="00662C69" w:rsidRPr="009A0763">
        <w:rPr>
          <w:rFonts w:ascii="Palatino Linotype" w:hAnsi="Palatino Linotype"/>
        </w:rPr>
        <w:t xml:space="preserve"> </w:t>
      </w:r>
      <w:r w:rsidR="00485DB6" w:rsidRPr="009A0763">
        <w:rPr>
          <w:rFonts w:ascii="Palatino Linotype" w:hAnsi="Palatino Linotype"/>
        </w:rPr>
        <w:t xml:space="preserve">domicilio </w:t>
      </w:r>
      <w:r w:rsidR="00662C69" w:rsidRPr="009A0763">
        <w:rPr>
          <w:rFonts w:ascii="Palatino Linotype" w:hAnsi="Palatino Linotype"/>
        </w:rPr>
        <w:t xml:space="preserve">en </w:t>
      </w:r>
      <w:r w:rsidR="00AC22B5" w:rsidRPr="009A0763">
        <w:rPr>
          <w:rFonts w:ascii="Palatino Linotype" w:hAnsi="Palatino Linotype"/>
        </w:rPr>
        <w:t>Metepec</w:t>
      </w:r>
      <w:r w:rsidR="00662C69" w:rsidRPr="009A0763">
        <w:rPr>
          <w:rFonts w:ascii="Palatino Linotype" w:hAnsi="Palatino Linotype"/>
        </w:rPr>
        <w:t xml:space="preserve">, Estado de México; de </w:t>
      </w:r>
      <w:r w:rsidR="000D5A1D" w:rsidRPr="009A0763">
        <w:rPr>
          <w:rFonts w:ascii="Palatino Linotype" w:hAnsi="Palatino Linotype"/>
        </w:rPr>
        <w:t>fecha</w:t>
      </w:r>
      <w:r w:rsidR="00D666F6" w:rsidRPr="009A0763">
        <w:rPr>
          <w:rFonts w:ascii="Palatino Linotype" w:hAnsi="Palatino Linotype"/>
        </w:rPr>
        <w:t xml:space="preserve"> </w:t>
      </w:r>
      <w:r w:rsidR="009A0763">
        <w:rPr>
          <w:rFonts w:ascii="Palatino Linotype" w:hAnsi="Palatino Linotype"/>
        </w:rPr>
        <w:t xml:space="preserve">dos </w:t>
      </w:r>
      <w:r w:rsidR="00662C69" w:rsidRPr="009A0763">
        <w:rPr>
          <w:rFonts w:ascii="Palatino Linotype" w:hAnsi="Palatino Linotype"/>
        </w:rPr>
        <w:t xml:space="preserve">de </w:t>
      </w:r>
      <w:r w:rsidR="00D666F6" w:rsidRPr="009A0763">
        <w:rPr>
          <w:rFonts w:ascii="Palatino Linotype" w:hAnsi="Palatino Linotype"/>
        </w:rPr>
        <w:t xml:space="preserve">septiembre </w:t>
      </w:r>
      <w:r w:rsidR="001E74A5" w:rsidRPr="009A0763">
        <w:rPr>
          <w:rFonts w:ascii="Palatino Linotype" w:hAnsi="Palatino Linotype"/>
        </w:rPr>
        <w:t xml:space="preserve"> </w:t>
      </w:r>
      <w:r w:rsidR="00662C69" w:rsidRPr="009A0763">
        <w:rPr>
          <w:rFonts w:ascii="Palatino Linotype" w:hAnsi="Palatino Linotype"/>
        </w:rPr>
        <w:t xml:space="preserve">de dos mil </w:t>
      </w:r>
      <w:r w:rsidR="00222AAA" w:rsidRPr="009A0763">
        <w:rPr>
          <w:rFonts w:ascii="Palatino Linotype" w:hAnsi="Palatino Linotype"/>
        </w:rPr>
        <w:t>veinte</w:t>
      </w:r>
      <w:r w:rsidR="00662C69" w:rsidRPr="009A0763">
        <w:rPr>
          <w:rFonts w:ascii="Palatino Linotype" w:hAnsi="Palatino Linotype"/>
        </w:rPr>
        <w:t>.</w:t>
      </w:r>
    </w:p>
    <w:p w14:paraId="02C1324E" w14:textId="5B45BADA" w:rsidR="00662C69" w:rsidRPr="009A0763" w:rsidRDefault="00662C69" w:rsidP="001E74A5">
      <w:pPr>
        <w:spacing w:before="240" w:after="360" w:line="360" w:lineRule="auto"/>
        <w:jc w:val="both"/>
        <w:rPr>
          <w:rFonts w:ascii="Palatino Linotype" w:hAnsi="Palatino Linotype"/>
          <w:b/>
        </w:rPr>
      </w:pPr>
      <w:r w:rsidRPr="009A0763">
        <w:rPr>
          <w:rFonts w:ascii="Palatino Linotype" w:hAnsi="Palatino Linotype"/>
          <w:b/>
        </w:rPr>
        <w:t>VISTO</w:t>
      </w:r>
      <w:r w:rsidRPr="009A0763">
        <w:rPr>
          <w:rFonts w:ascii="Palatino Linotype" w:hAnsi="Palatino Linotype"/>
        </w:rPr>
        <w:t xml:space="preserve"> el expediente electrónico for</w:t>
      </w:r>
      <w:r w:rsidR="00D37494" w:rsidRPr="009A0763">
        <w:rPr>
          <w:rFonts w:ascii="Palatino Linotype" w:hAnsi="Palatino Linotype"/>
        </w:rPr>
        <w:t>mado con motivo del</w:t>
      </w:r>
      <w:r w:rsidRPr="009A0763">
        <w:rPr>
          <w:rFonts w:ascii="Palatino Linotype" w:hAnsi="Palatino Linotype"/>
        </w:rPr>
        <w:t xml:space="preserve"> recurso de revisión </w:t>
      </w:r>
      <w:r w:rsidR="007D1A30" w:rsidRPr="009A0763">
        <w:rPr>
          <w:rFonts w:ascii="Palatino Linotype" w:hAnsi="Palatino Linotype"/>
          <w:b/>
        </w:rPr>
        <w:t>0176</w:t>
      </w:r>
      <w:r w:rsidR="0051659D" w:rsidRPr="009A0763">
        <w:rPr>
          <w:rFonts w:ascii="Palatino Linotype" w:hAnsi="Palatino Linotype"/>
          <w:b/>
        </w:rPr>
        <w:t>8/INFOEM/IP/RR/2020</w:t>
      </w:r>
      <w:r w:rsidR="004F3DEB" w:rsidRPr="009A0763">
        <w:rPr>
          <w:rFonts w:ascii="Palatino Linotype" w:hAnsi="Palatino Linotype"/>
          <w:b/>
        </w:rPr>
        <w:t>,</w:t>
      </w:r>
      <w:r w:rsidR="00335BFE" w:rsidRPr="009A0763">
        <w:rPr>
          <w:rFonts w:ascii="Palatino Linotype" w:hAnsi="Palatino Linotype" w:cs="Arial"/>
          <w:b/>
          <w:bCs/>
        </w:rPr>
        <w:t xml:space="preserve"> </w:t>
      </w:r>
      <w:r w:rsidRPr="009A0763">
        <w:rPr>
          <w:rFonts w:ascii="Palatino Linotype" w:hAnsi="Palatino Linotype"/>
        </w:rPr>
        <w:t>promovido por</w:t>
      </w:r>
      <w:r w:rsidR="00311C3D" w:rsidRPr="009A0763">
        <w:rPr>
          <w:rFonts w:ascii="Palatino Linotype" w:hAnsi="Palatino Linotype"/>
        </w:rPr>
        <w:t xml:space="preserve"> </w:t>
      </w:r>
      <w:bookmarkStart w:id="0" w:name="_GoBack"/>
      <w:bookmarkEnd w:id="0"/>
      <w:r w:rsidR="001F4839" w:rsidRPr="001F4839">
        <w:rPr>
          <w:rFonts w:ascii="Palatino Linotype" w:hAnsi="Palatino Linotype"/>
          <w:b/>
          <w:highlight w:val="black"/>
        </w:rPr>
        <w:t>----------------------</w:t>
      </w:r>
      <w:r w:rsidR="004512AB" w:rsidRPr="009A0763">
        <w:rPr>
          <w:rFonts w:ascii="Palatino Linotype" w:hAnsi="Palatino Linotype"/>
        </w:rPr>
        <w:t xml:space="preserve"> </w:t>
      </w:r>
      <w:r w:rsidR="007D1A30" w:rsidRPr="009A0763">
        <w:rPr>
          <w:rFonts w:ascii="Palatino Linotype" w:hAnsi="Palatino Linotype"/>
        </w:rPr>
        <w:t xml:space="preserve">a través </w:t>
      </w:r>
      <w:r w:rsidR="001E7E27" w:rsidRPr="009A0763">
        <w:rPr>
          <w:rFonts w:ascii="Palatino Linotype" w:hAnsi="Palatino Linotype"/>
        </w:rPr>
        <w:t>del Sistema de Acceso a la Información Mexiquense (SAIMEX)</w:t>
      </w:r>
      <w:r w:rsidR="007521DE" w:rsidRPr="009A0763">
        <w:rPr>
          <w:rFonts w:ascii="Palatino Linotype" w:hAnsi="Palatino Linotype"/>
        </w:rPr>
        <w:t xml:space="preserve">, </w:t>
      </w:r>
      <w:r w:rsidR="0064508B" w:rsidRPr="009A0763">
        <w:rPr>
          <w:rFonts w:ascii="Palatino Linotype" w:hAnsi="Palatino Linotype"/>
        </w:rPr>
        <w:t xml:space="preserve">a quien </w:t>
      </w:r>
      <w:r w:rsidR="00A05D06" w:rsidRPr="009A0763">
        <w:rPr>
          <w:rFonts w:ascii="Palatino Linotype" w:hAnsi="Palatino Linotype"/>
        </w:rPr>
        <w:t xml:space="preserve">en </w:t>
      </w:r>
      <w:r w:rsidR="00E64EAF" w:rsidRPr="009A0763">
        <w:rPr>
          <w:rFonts w:ascii="Palatino Linotype" w:hAnsi="Palatino Linotype"/>
        </w:rPr>
        <w:t>lo sucesivo</w:t>
      </w:r>
      <w:r w:rsidR="00A05D06" w:rsidRPr="009A0763">
        <w:rPr>
          <w:rFonts w:ascii="Palatino Linotype" w:hAnsi="Palatino Linotype"/>
        </w:rPr>
        <w:t xml:space="preserve"> se </w:t>
      </w:r>
      <w:r w:rsidR="007521DE" w:rsidRPr="009A0763">
        <w:rPr>
          <w:rFonts w:ascii="Palatino Linotype" w:hAnsi="Palatino Linotype"/>
        </w:rPr>
        <w:t xml:space="preserve">le </w:t>
      </w:r>
      <w:r w:rsidR="00A05D06" w:rsidRPr="009A0763">
        <w:rPr>
          <w:rFonts w:ascii="Palatino Linotype" w:hAnsi="Palatino Linotype"/>
        </w:rPr>
        <w:t>identificará como</w:t>
      </w:r>
      <w:r w:rsidR="00FF0139" w:rsidRPr="009A0763">
        <w:rPr>
          <w:rFonts w:ascii="Palatino Linotype" w:hAnsi="Palatino Linotype"/>
        </w:rPr>
        <w:t xml:space="preserve"> </w:t>
      </w:r>
      <w:r w:rsidR="0051659D" w:rsidRPr="009A0763">
        <w:rPr>
          <w:rFonts w:ascii="Palatino Linotype" w:hAnsi="Palatino Linotype"/>
        </w:rPr>
        <w:t>e</w:t>
      </w:r>
      <w:r w:rsidR="0064508B" w:rsidRPr="009A0763">
        <w:rPr>
          <w:rFonts w:ascii="Palatino Linotype" w:hAnsi="Palatino Linotype"/>
        </w:rPr>
        <w:t>l</w:t>
      </w:r>
      <w:r w:rsidR="0004427A" w:rsidRPr="009A0763">
        <w:rPr>
          <w:rFonts w:ascii="Palatino Linotype" w:hAnsi="Palatino Linotype"/>
          <w:b/>
        </w:rPr>
        <w:t xml:space="preserve"> </w:t>
      </w:r>
      <w:r w:rsidRPr="009A0763">
        <w:rPr>
          <w:rFonts w:ascii="Palatino Linotype" w:hAnsi="Palatino Linotype" w:cs="Arial"/>
          <w:b/>
        </w:rPr>
        <w:t>RECURRENTE</w:t>
      </w:r>
      <w:r w:rsidRPr="009A0763">
        <w:rPr>
          <w:rFonts w:ascii="Palatino Linotype" w:hAnsi="Palatino Linotype" w:cs="Arial"/>
        </w:rPr>
        <w:t xml:space="preserve">, en contra </w:t>
      </w:r>
      <w:r w:rsidR="000D5A1D" w:rsidRPr="009A0763">
        <w:rPr>
          <w:rFonts w:ascii="Palatino Linotype" w:hAnsi="Palatino Linotype" w:cs="Arial"/>
        </w:rPr>
        <w:t xml:space="preserve">de </w:t>
      </w:r>
      <w:r w:rsidR="00843908" w:rsidRPr="009A0763">
        <w:rPr>
          <w:rFonts w:ascii="Palatino Linotype" w:hAnsi="Palatino Linotype" w:cs="Arial"/>
        </w:rPr>
        <w:t>la respuesta de</w:t>
      </w:r>
      <w:r w:rsidR="007D1A30" w:rsidRPr="009A0763">
        <w:rPr>
          <w:rFonts w:ascii="Palatino Linotype" w:hAnsi="Palatino Linotype" w:cs="Arial"/>
        </w:rPr>
        <w:t xml:space="preserve"> la</w:t>
      </w:r>
      <w:r w:rsidR="00F378CB" w:rsidRPr="009A0763">
        <w:rPr>
          <w:rFonts w:ascii="Palatino Linotype" w:hAnsi="Palatino Linotype" w:cs="Arial"/>
        </w:rPr>
        <w:t xml:space="preserve"> </w:t>
      </w:r>
      <w:r w:rsidR="007D1A30" w:rsidRPr="009A0763">
        <w:rPr>
          <w:rFonts w:ascii="Palatino Linotype" w:hAnsi="Palatino Linotype" w:cs="Arial"/>
          <w:b/>
        </w:rPr>
        <w:t>Secretaría de Seguridad</w:t>
      </w:r>
      <w:r w:rsidR="004F3DEB" w:rsidRPr="009A0763">
        <w:rPr>
          <w:rFonts w:ascii="Palatino Linotype" w:hAnsi="Palatino Linotype" w:cs="Arial"/>
          <w:b/>
        </w:rPr>
        <w:t>,</w:t>
      </w:r>
      <w:r w:rsidR="0036073F" w:rsidRPr="009A0763">
        <w:rPr>
          <w:rFonts w:ascii="Palatino Linotype" w:hAnsi="Palatino Linotype"/>
          <w:b/>
        </w:rPr>
        <w:t xml:space="preserve"> </w:t>
      </w:r>
      <w:r w:rsidR="00F378CB" w:rsidRPr="009A0763">
        <w:rPr>
          <w:rFonts w:ascii="Palatino Linotype" w:hAnsi="Palatino Linotype"/>
        </w:rPr>
        <w:t xml:space="preserve">en lo sucesivo </w:t>
      </w:r>
      <w:r w:rsidR="0081425E" w:rsidRPr="009A0763">
        <w:rPr>
          <w:rFonts w:ascii="Palatino Linotype" w:hAnsi="Palatino Linotype"/>
        </w:rPr>
        <w:t>e</w:t>
      </w:r>
      <w:r w:rsidRPr="009A0763">
        <w:rPr>
          <w:rFonts w:ascii="Palatino Linotype" w:hAnsi="Palatino Linotype"/>
        </w:rPr>
        <w:t>l</w:t>
      </w:r>
      <w:r w:rsidRPr="009A0763">
        <w:rPr>
          <w:rFonts w:ascii="Palatino Linotype" w:hAnsi="Palatino Linotype"/>
          <w:b/>
        </w:rPr>
        <w:t xml:space="preserve"> SUJETO OBLIGADO</w:t>
      </w:r>
      <w:r w:rsidRPr="009A0763">
        <w:rPr>
          <w:rFonts w:ascii="Palatino Linotype" w:hAnsi="Palatino Linotype"/>
        </w:rPr>
        <w:t xml:space="preserve">, </w:t>
      </w:r>
      <w:r w:rsidR="004D71C0" w:rsidRPr="009A0763">
        <w:rPr>
          <w:rFonts w:ascii="Palatino Linotype" w:hAnsi="Palatino Linotype"/>
        </w:rPr>
        <w:t xml:space="preserve">por lo que </w:t>
      </w:r>
      <w:r w:rsidRPr="009A0763">
        <w:rPr>
          <w:rFonts w:ascii="Palatino Linotype" w:hAnsi="Palatino Linotype"/>
        </w:rPr>
        <w:t>se procede a dictar la presente resolución, con base en los siguientes:</w:t>
      </w:r>
    </w:p>
    <w:p w14:paraId="769E1410" w14:textId="5740327F" w:rsidR="00587366" w:rsidRPr="009A0763" w:rsidRDefault="00662C69" w:rsidP="001E74A5">
      <w:pPr>
        <w:pStyle w:val="Ttulo1"/>
        <w:spacing w:line="360" w:lineRule="auto"/>
        <w:jc w:val="center"/>
        <w:rPr>
          <w:b/>
          <w:szCs w:val="24"/>
        </w:rPr>
      </w:pPr>
      <w:bookmarkStart w:id="1" w:name="_Toc461555884"/>
      <w:bookmarkStart w:id="2" w:name="_Toc466371847"/>
      <w:bookmarkStart w:id="3" w:name="_Toc35535690"/>
      <w:r w:rsidRPr="009A0763">
        <w:rPr>
          <w:b/>
          <w:szCs w:val="24"/>
        </w:rPr>
        <w:t>ANTECEDENTES</w:t>
      </w:r>
      <w:bookmarkEnd w:id="1"/>
      <w:bookmarkEnd w:id="2"/>
      <w:bookmarkEnd w:id="3"/>
    </w:p>
    <w:p w14:paraId="402A4C0A" w14:textId="656FBB19" w:rsidR="00D9392E" w:rsidRPr="009A0763"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A0763">
        <w:rPr>
          <w:rFonts w:ascii="Palatino Linotype" w:eastAsia="Calibri" w:hAnsi="Palatino Linotype" w:cs="Arial"/>
          <w:lang w:val="es-ES"/>
        </w:rPr>
        <w:t xml:space="preserve">El día </w:t>
      </w:r>
      <w:r w:rsidR="007D1A30" w:rsidRPr="009A0763">
        <w:rPr>
          <w:rFonts w:ascii="Palatino Linotype" w:eastAsia="Calibri" w:hAnsi="Palatino Linotype" w:cs="Arial"/>
          <w:lang w:val="es-ES"/>
        </w:rPr>
        <w:t>veintisiete</w:t>
      </w:r>
      <w:r w:rsidRPr="009A0763">
        <w:rPr>
          <w:rFonts w:ascii="Palatino Linotype" w:eastAsia="Calibri" w:hAnsi="Palatino Linotype" w:cs="Arial"/>
          <w:lang w:val="es-ES"/>
        </w:rPr>
        <w:t xml:space="preserve"> (</w:t>
      </w:r>
      <w:r w:rsidR="007D1A30" w:rsidRPr="009A0763">
        <w:rPr>
          <w:rFonts w:ascii="Palatino Linotype" w:eastAsia="Calibri" w:hAnsi="Palatino Linotype" w:cs="Arial"/>
          <w:lang w:val="es-ES"/>
        </w:rPr>
        <w:t>27</w:t>
      </w:r>
      <w:r w:rsidRPr="009A0763">
        <w:rPr>
          <w:rFonts w:ascii="Palatino Linotype" w:eastAsia="Calibri" w:hAnsi="Palatino Linotype" w:cs="Arial"/>
          <w:lang w:val="es-ES"/>
        </w:rPr>
        <w:t xml:space="preserve">) de </w:t>
      </w:r>
      <w:r w:rsidR="006D7F3D" w:rsidRPr="009A0763">
        <w:rPr>
          <w:rFonts w:ascii="Palatino Linotype" w:eastAsia="Calibri" w:hAnsi="Palatino Linotype" w:cs="Arial"/>
          <w:lang w:val="es-ES"/>
        </w:rPr>
        <w:t>febre</w:t>
      </w:r>
      <w:r w:rsidR="00DA3F4B" w:rsidRPr="009A0763">
        <w:rPr>
          <w:rFonts w:ascii="Palatino Linotype" w:eastAsia="Calibri" w:hAnsi="Palatino Linotype" w:cs="Arial"/>
          <w:lang w:val="es-ES"/>
        </w:rPr>
        <w:t>ro de dos mil veinte</w:t>
      </w:r>
      <w:r w:rsidRPr="009A0763">
        <w:rPr>
          <w:rFonts w:ascii="Palatino Linotype" w:hAnsi="Palatino Linotype"/>
          <w:b/>
        </w:rPr>
        <w:t xml:space="preserve">, </w:t>
      </w:r>
      <w:r w:rsidRPr="009A0763">
        <w:rPr>
          <w:rFonts w:ascii="Palatino Linotype" w:eastAsia="Calibri" w:hAnsi="Palatino Linotype" w:cs="Arial"/>
          <w:lang w:val="es-ES"/>
        </w:rPr>
        <w:t>se presentó</w:t>
      </w:r>
      <w:r w:rsidR="00223D1A" w:rsidRPr="009A0763">
        <w:rPr>
          <w:rFonts w:ascii="Palatino Linotype" w:eastAsia="Calibri" w:hAnsi="Palatino Linotype" w:cs="Arial"/>
          <w:lang w:val="es-ES"/>
        </w:rPr>
        <w:t xml:space="preserve"> ante </w:t>
      </w:r>
      <w:r w:rsidR="0081425E" w:rsidRPr="009A0763">
        <w:rPr>
          <w:rFonts w:ascii="Palatino Linotype" w:eastAsia="Calibri" w:hAnsi="Palatino Linotype" w:cs="Arial"/>
          <w:lang w:val="es-ES"/>
        </w:rPr>
        <w:t>e</w:t>
      </w:r>
      <w:r w:rsidRPr="009A0763">
        <w:rPr>
          <w:rFonts w:ascii="Palatino Linotype" w:eastAsia="Calibri" w:hAnsi="Palatino Linotype" w:cs="Arial"/>
          <w:lang w:val="es-ES"/>
        </w:rPr>
        <w:t xml:space="preserve">l </w:t>
      </w:r>
      <w:r w:rsidRPr="009A0763">
        <w:rPr>
          <w:rFonts w:ascii="Palatino Linotype" w:eastAsia="Calibri" w:hAnsi="Palatino Linotype" w:cs="Arial"/>
          <w:b/>
          <w:lang w:val="es-ES"/>
        </w:rPr>
        <w:t>SUJETO OBLIGADO</w:t>
      </w:r>
      <w:r w:rsidRPr="009A0763">
        <w:rPr>
          <w:rFonts w:ascii="Palatino Linotype" w:eastAsia="Calibri" w:hAnsi="Palatino Linotype" w:cs="Arial"/>
        </w:rPr>
        <w:t xml:space="preserve"> vía </w:t>
      </w:r>
      <w:r w:rsidR="00DA3F4B" w:rsidRPr="009A0763">
        <w:rPr>
          <w:rFonts w:ascii="Palatino Linotype" w:eastAsia="Calibri" w:hAnsi="Palatino Linotype" w:cs="Arial"/>
          <w:lang w:val="es-ES"/>
        </w:rPr>
        <w:t>SAIMEX</w:t>
      </w:r>
      <w:r w:rsidRPr="009A0763">
        <w:rPr>
          <w:rFonts w:ascii="Palatino Linotype" w:eastAsia="Calibri" w:hAnsi="Palatino Linotype" w:cs="Arial"/>
          <w:lang w:val="es-ES"/>
        </w:rPr>
        <w:t>, la solicitud de información pública registrad</w:t>
      </w:r>
      <w:r w:rsidR="0081425E" w:rsidRPr="009A0763">
        <w:rPr>
          <w:rFonts w:ascii="Palatino Linotype" w:eastAsia="Calibri" w:hAnsi="Palatino Linotype" w:cs="Arial"/>
          <w:lang w:val="es-ES"/>
        </w:rPr>
        <w:t>a</w:t>
      </w:r>
      <w:r w:rsidRPr="009A0763">
        <w:rPr>
          <w:rFonts w:ascii="Palatino Linotype" w:eastAsia="Calibri" w:hAnsi="Palatino Linotype" w:cs="Arial"/>
          <w:lang w:val="es-ES"/>
        </w:rPr>
        <w:t xml:space="preserve"> con </w:t>
      </w:r>
      <w:r w:rsidR="0081425E" w:rsidRPr="009A0763">
        <w:rPr>
          <w:rFonts w:ascii="Palatino Linotype" w:eastAsia="Calibri" w:hAnsi="Palatino Linotype" w:cs="Arial"/>
          <w:lang w:val="es-ES"/>
        </w:rPr>
        <w:t>e</w:t>
      </w:r>
      <w:r w:rsidRPr="009A0763">
        <w:rPr>
          <w:rFonts w:ascii="Palatino Linotype" w:eastAsia="Calibri" w:hAnsi="Palatino Linotype" w:cs="Arial"/>
          <w:lang w:val="es-ES"/>
        </w:rPr>
        <w:t>l</w:t>
      </w:r>
      <w:r w:rsidR="0081425E" w:rsidRPr="009A0763">
        <w:rPr>
          <w:rFonts w:ascii="Palatino Linotype" w:eastAsia="Calibri" w:hAnsi="Palatino Linotype" w:cs="Arial"/>
          <w:lang w:val="es-ES"/>
        </w:rPr>
        <w:t xml:space="preserve"> número</w:t>
      </w:r>
      <w:r w:rsidR="004D71C0" w:rsidRPr="009A0763">
        <w:rPr>
          <w:rFonts w:ascii="Palatino Linotype" w:hAnsi="Palatino Linotype"/>
          <w:b/>
          <w:bCs/>
          <w:color w:val="000000" w:themeColor="text1"/>
        </w:rPr>
        <w:t xml:space="preserve"> </w:t>
      </w:r>
      <w:r w:rsidR="007D1A30" w:rsidRPr="009A0763">
        <w:rPr>
          <w:rFonts w:ascii="Palatino Linotype" w:hAnsi="Palatino Linotype"/>
          <w:b/>
          <w:bCs/>
          <w:color w:val="000000" w:themeColor="text1"/>
        </w:rPr>
        <w:t>00107/SSEM/IP/2020</w:t>
      </w:r>
      <w:r w:rsidRPr="009A0763">
        <w:rPr>
          <w:rFonts w:ascii="Palatino Linotype" w:eastAsia="Calibri" w:hAnsi="Palatino Linotype" w:cs="Arial"/>
          <w:lang w:val="es-ES"/>
        </w:rPr>
        <w:t xml:space="preserve"> mediante la cual </w:t>
      </w:r>
      <w:r w:rsidR="00A133FA" w:rsidRPr="009A0763">
        <w:rPr>
          <w:rFonts w:ascii="Palatino Linotype" w:eastAsia="Calibri" w:hAnsi="Palatino Linotype" w:cs="Arial"/>
          <w:lang w:val="es-ES"/>
        </w:rPr>
        <w:t xml:space="preserve">se </w:t>
      </w:r>
      <w:r w:rsidRPr="009A0763">
        <w:rPr>
          <w:rFonts w:ascii="Palatino Linotype" w:eastAsia="Calibri" w:hAnsi="Palatino Linotype" w:cs="Arial"/>
          <w:lang w:val="es-ES"/>
        </w:rPr>
        <w:t>solicitó</w:t>
      </w:r>
      <w:r w:rsidR="00A16B32" w:rsidRPr="009A0763">
        <w:rPr>
          <w:rFonts w:ascii="Palatino Linotype" w:eastAsia="Calibri" w:hAnsi="Palatino Linotype" w:cs="Arial"/>
          <w:lang w:val="es-ES"/>
        </w:rPr>
        <w:t xml:space="preserve"> </w:t>
      </w:r>
      <w:r w:rsidR="00646BEE" w:rsidRPr="009A0763">
        <w:rPr>
          <w:rFonts w:ascii="Palatino Linotype" w:eastAsia="Calibri" w:hAnsi="Palatino Linotype" w:cs="Arial"/>
          <w:lang w:val="es-ES"/>
        </w:rPr>
        <w:t>la</w:t>
      </w:r>
      <w:r w:rsidR="00A16B32" w:rsidRPr="009A0763">
        <w:rPr>
          <w:rFonts w:ascii="Palatino Linotype" w:eastAsia="Calibri" w:hAnsi="Palatino Linotype" w:cs="Arial"/>
          <w:lang w:val="es-ES"/>
        </w:rPr>
        <w:t xml:space="preserve"> siguiente</w:t>
      </w:r>
      <w:r w:rsidR="00646BEE" w:rsidRPr="009A0763">
        <w:rPr>
          <w:rFonts w:ascii="Palatino Linotype" w:eastAsia="Calibri" w:hAnsi="Palatino Linotype" w:cs="Arial"/>
          <w:lang w:val="es-ES"/>
        </w:rPr>
        <w:t xml:space="preserve"> información</w:t>
      </w:r>
      <w:r w:rsidRPr="009A0763">
        <w:rPr>
          <w:rFonts w:ascii="Palatino Linotype" w:eastAsia="Calibri" w:hAnsi="Palatino Linotype" w:cs="Arial"/>
          <w:lang w:val="es-ES"/>
        </w:rPr>
        <w:t>:</w:t>
      </w:r>
    </w:p>
    <w:p w14:paraId="056CC9CF" w14:textId="77777777" w:rsidR="004512AB" w:rsidRPr="009A0763"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35EFD289" w:rsidR="004512AB" w:rsidRPr="009A0763"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9A0763">
        <w:rPr>
          <w:rFonts w:ascii="Palatino Linotype" w:eastAsia="Calibri" w:hAnsi="Palatino Linotype" w:cs="Arial"/>
          <w:i/>
          <w:lang w:val="es-ES"/>
        </w:rPr>
        <w:t>“</w:t>
      </w:r>
      <w:proofErr w:type="gramStart"/>
      <w:r w:rsidR="007511F0" w:rsidRPr="009A0763">
        <w:rPr>
          <w:rFonts w:ascii="Palatino Linotype" w:eastAsia="Calibri" w:hAnsi="Palatino Linotype" w:cs="Arial"/>
          <w:i/>
          <w:lang w:val="es-ES"/>
        </w:rPr>
        <w:t>Es la Secretaría de Seguridad a través de la Policía Estatal o alguna otra área, la facultada para detener vehículos e inspeccionar si estos cuentan con el permiso o dictamen al que hace alusión el articulo 145 ter del Código Penal del Estado de México?</w:t>
      </w:r>
      <w:proofErr w:type="gramEnd"/>
      <w:r w:rsidR="007511F0" w:rsidRPr="009A0763">
        <w:rPr>
          <w:rFonts w:ascii="Palatino Linotype" w:eastAsia="Calibri" w:hAnsi="Palatino Linotype" w:cs="Arial"/>
          <w:i/>
          <w:lang w:val="es-ES"/>
        </w:rPr>
        <w:t xml:space="preserve"> </w:t>
      </w:r>
      <w:proofErr w:type="gramStart"/>
      <w:r w:rsidR="007511F0" w:rsidRPr="009A0763">
        <w:rPr>
          <w:rFonts w:ascii="Palatino Linotype" w:eastAsia="Calibri" w:hAnsi="Palatino Linotype" w:cs="Arial"/>
          <w:i/>
          <w:lang w:val="es-ES"/>
        </w:rPr>
        <w:t>Que dependencia es la emisora del dictamen al que hace referencia el Articulo 145 Ter del Código Penal del Estado de México?</w:t>
      </w:r>
      <w:proofErr w:type="gramEnd"/>
    </w:p>
    <w:p w14:paraId="3986AF97" w14:textId="77777777" w:rsidR="004512AB" w:rsidRPr="009A0763" w:rsidRDefault="004512AB" w:rsidP="004512AB">
      <w:pPr>
        <w:pStyle w:val="Prrafodelista"/>
        <w:spacing w:line="360" w:lineRule="auto"/>
        <w:ind w:left="851" w:right="34"/>
        <w:jc w:val="both"/>
        <w:rPr>
          <w:rFonts w:ascii="Palatino Linotype" w:hAnsi="Palatino Linotype"/>
        </w:rPr>
      </w:pPr>
    </w:p>
    <w:p w14:paraId="50BB2322" w14:textId="43C2B109" w:rsidR="00BC2CF8" w:rsidRPr="009A0763" w:rsidRDefault="00BC2CF8" w:rsidP="00DA3F4B">
      <w:pPr>
        <w:pStyle w:val="Prrafodelista"/>
        <w:numPr>
          <w:ilvl w:val="0"/>
          <w:numId w:val="4"/>
        </w:numPr>
        <w:spacing w:line="360" w:lineRule="auto"/>
        <w:ind w:left="851" w:right="34"/>
        <w:jc w:val="both"/>
        <w:rPr>
          <w:rFonts w:ascii="Palatino Linotype" w:hAnsi="Palatino Linotype"/>
        </w:rPr>
      </w:pPr>
      <w:r w:rsidRPr="009A0763">
        <w:rPr>
          <w:rFonts w:ascii="Palatino Linotype" w:eastAsia="Times New Roman" w:hAnsi="Palatino Linotype" w:cs="Arial"/>
          <w:lang w:val="es-ES"/>
        </w:rPr>
        <w:lastRenderedPageBreak/>
        <w:t>Se eligió como modalidad de entrega de la información</w:t>
      </w:r>
      <w:r w:rsidRPr="009A0763">
        <w:rPr>
          <w:rFonts w:ascii="Palatino Linotype" w:hAnsi="Palatino Linotype"/>
        </w:rPr>
        <w:t xml:space="preserve">: </w:t>
      </w:r>
      <w:r w:rsidR="00DA3F4B" w:rsidRPr="009A0763">
        <w:rPr>
          <w:rFonts w:ascii="Palatino Linotype" w:hAnsi="Palatino Linotype"/>
        </w:rPr>
        <w:t>A través del SAIMEX</w:t>
      </w:r>
    </w:p>
    <w:p w14:paraId="62DC6BA6" w14:textId="77777777" w:rsidR="007F76E9" w:rsidRPr="009A0763" w:rsidRDefault="007F76E9" w:rsidP="007F76E9">
      <w:pPr>
        <w:pStyle w:val="Prrafodelista"/>
        <w:spacing w:line="360" w:lineRule="auto"/>
        <w:ind w:left="851" w:right="34"/>
        <w:jc w:val="both"/>
        <w:rPr>
          <w:rFonts w:ascii="Palatino Linotype" w:hAnsi="Palatino Linotype"/>
        </w:rPr>
      </w:pPr>
    </w:p>
    <w:p w14:paraId="2B3F3C3F" w14:textId="058B0860" w:rsidR="00C90ADB" w:rsidRPr="009A0763"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A0763">
        <w:rPr>
          <w:rFonts w:ascii="Palatino Linotype" w:hAnsi="Palatino Linotype" w:cs="Arial"/>
          <w:color w:val="000000" w:themeColor="text1"/>
        </w:rPr>
        <w:t>El día</w:t>
      </w:r>
      <w:r w:rsidR="007F76E9" w:rsidRPr="009A0763">
        <w:rPr>
          <w:rFonts w:ascii="Palatino Linotype" w:hAnsi="Palatino Linotype" w:cs="Arial"/>
          <w:color w:val="000000" w:themeColor="text1"/>
        </w:rPr>
        <w:t xml:space="preserve"> </w:t>
      </w:r>
      <w:r w:rsidR="007511F0" w:rsidRPr="009A0763">
        <w:rPr>
          <w:rFonts w:ascii="Palatino Linotype" w:hAnsi="Palatino Linotype" w:cs="Arial"/>
          <w:color w:val="000000" w:themeColor="text1"/>
        </w:rPr>
        <w:t>veintitrés</w:t>
      </w:r>
      <w:r w:rsidR="007F76E9" w:rsidRPr="009A0763">
        <w:rPr>
          <w:rFonts w:ascii="Palatino Linotype" w:hAnsi="Palatino Linotype" w:cs="Arial"/>
          <w:color w:val="000000" w:themeColor="text1"/>
        </w:rPr>
        <w:t xml:space="preserve"> (</w:t>
      </w:r>
      <w:r w:rsidR="00E86BA5" w:rsidRPr="009A0763">
        <w:rPr>
          <w:rFonts w:ascii="Palatino Linotype" w:hAnsi="Palatino Linotype" w:cs="Arial"/>
          <w:color w:val="000000" w:themeColor="text1"/>
        </w:rPr>
        <w:t>2</w:t>
      </w:r>
      <w:r w:rsidR="007511F0" w:rsidRPr="009A0763">
        <w:rPr>
          <w:rFonts w:ascii="Palatino Linotype" w:hAnsi="Palatino Linotype" w:cs="Arial"/>
          <w:color w:val="000000" w:themeColor="text1"/>
        </w:rPr>
        <w:t>3</w:t>
      </w:r>
      <w:r w:rsidR="007F76E9" w:rsidRPr="009A0763">
        <w:rPr>
          <w:rFonts w:ascii="Palatino Linotype" w:hAnsi="Palatino Linotype" w:cs="Arial"/>
          <w:color w:val="000000" w:themeColor="text1"/>
        </w:rPr>
        <w:t xml:space="preserve">) </w:t>
      </w:r>
      <w:r w:rsidR="00C90ADB" w:rsidRPr="009A0763">
        <w:rPr>
          <w:rFonts w:ascii="Palatino Linotype" w:hAnsi="Palatino Linotype" w:cs="Arial"/>
          <w:color w:val="000000" w:themeColor="text1"/>
        </w:rPr>
        <w:t xml:space="preserve">de </w:t>
      </w:r>
      <w:r w:rsidR="00FA4835" w:rsidRPr="009A0763">
        <w:rPr>
          <w:rFonts w:ascii="Palatino Linotype" w:hAnsi="Palatino Linotype" w:cs="Arial"/>
          <w:color w:val="000000" w:themeColor="text1"/>
        </w:rPr>
        <w:t>marz</w:t>
      </w:r>
      <w:r w:rsidR="00C90ADB" w:rsidRPr="009A0763">
        <w:rPr>
          <w:rFonts w:ascii="Palatino Linotype" w:hAnsi="Palatino Linotype" w:cs="Arial"/>
          <w:color w:val="000000" w:themeColor="text1"/>
        </w:rPr>
        <w:t xml:space="preserve">o de dos mil veinte, el </w:t>
      </w:r>
      <w:r w:rsidR="00C90ADB" w:rsidRPr="009A0763">
        <w:rPr>
          <w:rFonts w:ascii="Palatino Linotype" w:hAnsi="Palatino Linotype" w:cs="Arial"/>
          <w:b/>
          <w:color w:val="000000" w:themeColor="text1"/>
        </w:rPr>
        <w:t>SUJETO OBLIGADO,</w:t>
      </w:r>
      <w:r w:rsidR="00C90ADB" w:rsidRPr="009A0763">
        <w:rPr>
          <w:rFonts w:ascii="Palatino Linotype" w:hAnsi="Palatino Linotype" w:cs="Arial"/>
          <w:color w:val="000000" w:themeColor="text1"/>
        </w:rPr>
        <w:t xml:space="preserve"> dio respuesta a </w:t>
      </w:r>
      <w:r w:rsidR="007F76E9" w:rsidRPr="009A0763">
        <w:rPr>
          <w:rFonts w:ascii="Palatino Linotype" w:hAnsi="Palatino Linotype" w:cs="Arial"/>
          <w:color w:val="000000" w:themeColor="text1"/>
        </w:rPr>
        <w:t>la</w:t>
      </w:r>
      <w:r w:rsidRPr="009A0763">
        <w:rPr>
          <w:rFonts w:ascii="Palatino Linotype" w:hAnsi="Palatino Linotype" w:cs="Arial"/>
          <w:color w:val="000000" w:themeColor="text1"/>
        </w:rPr>
        <w:t xml:space="preserve"> solicitud</w:t>
      </w:r>
      <w:r w:rsidR="007F76E9" w:rsidRPr="009A0763">
        <w:rPr>
          <w:rFonts w:ascii="Palatino Linotype" w:hAnsi="Palatino Linotype" w:cs="Arial"/>
          <w:color w:val="000000" w:themeColor="text1"/>
        </w:rPr>
        <w:t xml:space="preserve"> de información, a </w:t>
      </w:r>
      <w:r w:rsidR="00C90ADB" w:rsidRPr="009A0763">
        <w:rPr>
          <w:rFonts w:ascii="Palatino Linotype" w:hAnsi="Palatino Linotype" w:cs="Arial"/>
          <w:color w:val="000000" w:themeColor="text1"/>
        </w:rPr>
        <w:t xml:space="preserve">través </w:t>
      </w:r>
      <w:r w:rsidR="007F76E9" w:rsidRPr="009A0763">
        <w:rPr>
          <w:rFonts w:ascii="Palatino Linotype" w:hAnsi="Palatino Linotype" w:cs="Arial"/>
          <w:color w:val="000000" w:themeColor="text1"/>
        </w:rPr>
        <w:t>de</w:t>
      </w:r>
      <w:r w:rsidRPr="009A0763">
        <w:rPr>
          <w:rFonts w:ascii="Palatino Linotype" w:hAnsi="Palatino Linotype" w:cs="Arial"/>
          <w:color w:val="000000" w:themeColor="text1"/>
        </w:rPr>
        <w:t xml:space="preserve">l siguiente </w:t>
      </w:r>
      <w:r w:rsidR="00E86BA5" w:rsidRPr="009A0763">
        <w:rPr>
          <w:rFonts w:ascii="Palatino Linotype" w:hAnsi="Palatino Linotype" w:cs="Arial"/>
          <w:color w:val="000000" w:themeColor="text1"/>
        </w:rPr>
        <w:t>archivo</w:t>
      </w:r>
      <w:r w:rsidR="00FA4835" w:rsidRPr="009A0763">
        <w:rPr>
          <w:rFonts w:ascii="Palatino Linotype" w:hAnsi="Palatino Linotype" w:cs="Arial"/>
          <w:color w:val="000000" w:themeColor="text1"/>
        </w:rPr>
        <w:t xml:space="preserve"> electrónico</w:t>
      </w:r>
      <w:r w:rsidR="00C90ADB" w:rsidRPr="009A0763">
        <w:rPr>
          <w:rFonts w:ascii="Palatino Linotype" w:hAnsi="Palatino Linotype" w:cs="Arial"/>
          <w:color w:val="000000" w:themeColor="text1"/>
        </w:rPr>
        <w:t>:</w:t>
      </w:r>
    </w:p>
    <w:p w14:paraId="6737AA64" w14:textId="77777777" w:rsidR="00E86BA5" w:rsidRPr="009A0763" w:rsidRDefault="00E86BA5" w:rsidP="00E86BA5">
      <w:pPr>
        <w:pStyle w:val="Prrafodelista"/>
        <w:tabs>
          <w:tab w:val="left" w:pos="0"/>
        </w:tabs>
        <w:spacing w:line="360" w:lineRule="auto"/>
        <w:ind w:left="0" w:right="49"/>
        <w:jc w:val="both"/>
        <w:rPr>
          <w:rFonts w:ascii="Palatino Linotype" w:hAnsi="Palatino Linotype" w:cs="Arial"/>
          <w:i/>
          <w:color w:val="000000" w:themeColor="text1"/>
        </w:rPr>
      </w:pPr>
    </w:p>
    <w:p w14:paraId="0DA3396A" w14:textId="1188A525" w:rsidR="00D666F6" w:rsidRPr="009A0763" w:rsidRDefault="007511F0" w:rsidP="004F5874">
      <w:pPr>
        <w:pStyle w:val="Prrafodelista"/>
        <w:numPr>
          <w:ilvl w:val="0"/>
          <w:numId w:val="4"/>
        </w:numPr>
        <w:tabs>
          <w:tab w:val="left" w:pos="0"/>
        </w:tabs>
        <w:spacing w:line="360" w:lineRule="auto"/>
        <w:ind w:left="720" w:right="49"/>
        <w:jc w:val="both"/>
        <w:rPr>
          <w:rFonts w:ascii="Palatino Linotype" w:hAnsi="Palatino Linotype" w:cs="Arial"/>
          <w:b/>
          <w:color w:val="000000" w:themeColor="text1"/>
          <w:sz w:val="22"/>
          <w:lang w:val="es-MX"/>
        </w:rPr>
      </w:pPr>
      <w:r w:rsidRPr="009A0763">
        <w:rPr>
          <w:rFonts w:ascii="Palatino Linotype" w:hAnsi="Palatino Linotype" w:cs="Arial"/>
          <w:b/>
          <w:color w:val="000000" w:themeColor="text1"/>
          <w:sz w:val="22"/>
          <w:lang w:val="es-MX"/>
        </w:rPr>
        <w:t>0107 RESPUESTA.pdf</w:t>
      </w:r>
      <w:r w:rsidR="00E86BA5" w:rsidRPr="009A0763">
        <w:rPr>
          <w:rFonts w:ascii="Palatino Linotype" w:hAnsi="Palatino Linotype" w:cs="Arial"/>
          <w:b/>
          <w:color w:val="000000" w:themeColor="text1"/>
          <w:sz w:val="22"/>
          <w:lang w:val="es-MX"/>
        </w:rPr>
        <w:t xml:space="preserve">, </w:t>
      </w:r>
      <w:r w:rsidR="00E86BA5" w:rsidRPr="009A0763">
        <w:rPr>
          <w:rFonts w:ascii="Palatino Linotype" w:hAnsi="Palatino Linotype" w:cs="Arial"/>
          <w:color w:val="000000" w:themeColor="text1"/>
          <w:sz w:val="22"/>
          <w:lang w:val="es-MX"/>
        </w:rPr>
        <w:t xml:space="preserve">cuyo contenido corresponde al </w:t>
      </w:r>
      <w:r w:rsidR="00D666F6" w:rsidRPr="009A0763">
        <w:rPr>
          <w:rFonts w:ascii="Palatino Linotype" w:hAnsi="Palatino Linotype" w:cs="Arial"/>
          <w:color w:val="000000" w:themeColor="text1"/>
          <w:sz w:val="22"/>
          <w:lang w:val="es-MX"/>
        </w:rPr>
        <w:t>escrito de fecha 18 de marzo de dos mil veinte, suscrito por la Maestra Larissa Leon Arce, Titular de la Unidad de Transparencia de la Secretaría de Seguridad, mediante el cual da respuesta a la solicitud de información en los siguientes términos:</w:t>
      </w:r>
    </w:p>
    <w:p w14:paraId="6DDD74B0" w14:textId="77777777" w:rsidR="00D504AE" w:rsidRPr="009A0763" w:rsidRDefault="00D504AE" w:rsidP="00D504AE">
      <w:pPr>
        <w:pStyle w:val="Prrafodelista"/>
        <w:tabs>
          <w:tab w:val="left" w:pos="0"/>
        </w:tabs>
        <w:spacing w:line="360" w:lineRule="auto"/>
        <w:ind w:left="1004" w:right="49"/>
        <w:jc w:val="both"/>
        <w:rPr>
          <w:rFonts w:ascii="Palatino Linotype" w:hAnsi="Palatino Linotype" w:cs="Arial"/>
          <w:b/>
          <w:color w:val="000000" w:themeColor="text1"/>
          <w:sz w:val="22"/>
          <w:lang w:val="es-MX"/>
        </w:rPr>
      </w:pPr>
    </w:p>
    <w:p w14:paraId="24D061AB" w14:textId="63D27035" w:rsidR="007511F0" w:rsidRPr="009A0763" w:rsidRDefault="00D666F6" w:rsidP="004F5874">
      <w:pPr>
        <w:tabs>
          <w:tab w:val="left" w:pos="0"/>
        </w:tabs>
        <w:spacing w:line="360" w:lineRule="auto"/>
        <w:ind w:left="1080" w:right="49"/>
        <w:jc w:val="both"/>
        <w:rPr>
          <w:rFonts w:ascii="Palatino Linotype" w:hAnsi="Palatino Linotype" w:cs="Arial"/>
          <w:i/>
          <w:color w:val="000000" w:themeColor="text1"/>
          <w:sz w:val="20"/>
          <w:szCs w:val="20"/>
          <w:lang w:val="es-MX"/>
        </w:rPr>
      </w:pPr>
      <w:r w:rsidRPr="009A0763">
        <w:rPr>
          <w:rFonts w:ascii="Palatino Linotype" w:hAnsi="Palatino Linotype" w:cs="Arial"/>
          <w:i/>
          <w:color w:val="000000" w:themeColor="text1"/>
          <w:sz w:val="20"/>
          <w:szCs w:val="20"/>
          <w:lang w:val="es-MX"/>
        </w:rPr>
        <w:t>“En cumplimiento a lo que establecen los artículo 1, 4, 6, 16, 17 y 45 de la Ley General de Transparencia y Acceso a la Información Pública, así como 1,2,7,8, 11, 50,52,53 fracciones II, V, VI y XII, 58 y 59 fracción I de la Ley de Transparencia y Acceso a la Información Pública del Estado de México y Municipios, se informa:</w:t>
      </w:r>
    </w:p>
    <w:p w14:paraId="1B278D3A" w14:textId="77777777" w:rsidR="00D504AE" w:rsidRPr="009A0763" w:rsidRDefault="00D504AE" w:rsidP="004F5874">
      <w:pPr>
        <w:tabs>
          <w:tab w:val="left" w:pos="0"/>
        </w:tabs>
        <w:spacing w:line="360" w:lineRule="auto"/>
        <w:ind w:left="1080" w:right="49"/>
        <w:jc w:val="both"/>
        <w:rPr>
          <w:rFonts w:ascii="Palatino Linotype" w:hAnsi="Palatino Linotype" w:cs="Arial"/>
          <w:i/>
          <w:color w:val="000000" w:themeColor="text1"/>
          <w:sz w:val="20"/>
          <w:szCs w:val="20"/>
          <w:lang w:val="es-MX"/>
        </w:rPr>
      </w:pPr>
    </w:p>
    <w:p w14:paraId="11E4B447" w14:textId="00109613" w:rsidR="00D666F6" w:rsidRPr="009A0763" w:rsidRDefault="00D666F6" w:rsidP="004F5874">
      <w:pPr>
        <w:tabs>
          <w:tab w:val="left" w:pos="0"/>
        </w:tabs>
        <w:spacing w:line="360" w:lineRule="auto"/>
        <w:ind w:left="1080" w:right="49"/>
        <w:jc w:val="both"/>
        <w:rPr>
          <w:rFonts w:ascii="Palatino Linotype" w:hAnsi="Palatino Linotype" w:cs="Arial"/>
          <w:i/>
          <w:color w:val="000000" w:themeColor="text1"/>
          <w:sz w:val="20"/>
          <w:szCs w:val="20"/>
          <w:lang w:val="es-MX"/>
        </w:rPr>
      </w:pPr>
      <w:r w:rsidRPr="009A0763">
        <w:rPr>
          <w:rFonts w:ascii="Palatino Linotype" w:hAnsi="Palatino Linotype" w:cs="Arial"/>
          <w:i/>
          <w:color w:val="000000" w:themeColor="text1"/>
          <w:sz w:val="20"/>
          <w:szCs w:val="20"/>
          <w:lang w:val="es-MX"/>
        </w:rPr>
        <w:t>La policía de Tránsito de la Secretaría de Seguridad del Estado de México no es la fscultada para detener vehículos e inspeccionar si es que cuentan con el permiso de distribución de agua potable o dictamen de factibilidad correspondiente, ya que el Reglamento de Tránsito no lo contempla en su tabla de infracciones, sanciones y medidas de seguridad.</w:t>
      </w:r>
    </w:p>
    <w:p w14:paraId="175A1492" w14:textId="75D3EB52" w:rsidR="00D666F6" w:rsidRPr="009A0763" w:rsidRDefault="00D666F6" w:rsidP="004F5874">
      <w:pPr>
        <w:tabs>
          <w:tab w:val="left" w:pos="0"/>
        </w:tabs>
        <w:spacing w:line="360" w:lineRule="auto"/>
        <w:ind w:left="1080" w:right="49"/>
        <w:jc w:val="both"/>
        <w:rPr>
          <w:rFonts w:ascii="Palatino Linotype" w:hAnsi="Palatino Linotype" w:cs="Arial"/>
          <w:i/>
          <w:color w:val="000000" w:themeColor="text1"/>
          <w:sz w:val="20"/>
          <w:szCs w:val="20"/>
          <w:lang w:val="es-MX"/>
        </w:rPr>
      </w:pPr>
    </w:p>
    <w:p w14:paraId="5DF79ED2" w14:textId="1BF8EE1E" w:rsidR="00D666F6" w:rsidRPr="009A0763" w:rsidRDefault="00D666F6" w:rsidP="004F5874">
      <w:pPr>
        <w:tabs>
          <w:tab w:val="left" w:pos="0"/>
        </w:tabs>
        <w:spacing w:line="360" w:lineRule="auto"/>
        <w:ind w:left="1080" w:right="49"/>
        <w:jc w:val="both"/>
        <w:rPr>
          <w:rFonts w:ascii="Palatino Linotype" w:hAnsi="Palatino Linotype" w:cs="Arial"/>
          <w:i/>
          <w:color w:val="000000" w:themeColor="text1"/>
          <w:sz w:val="20"/>
          <w:szCs w:val="20"/>
          <w:lang w:val="es-MX"/>
        </w:rPr>
      </w:pPr>
      <w:r w:rsidRPr="009A0763">
        <w:rPr>
          <w:rFonts w:ascii="Palatino Linotype" w:hAnsi="Palatino Linotype" w:cs="Arial"/>
          <w:i/>
          <w:color w:val="000000" w:themeColor="text1"/>
          <w:sz w:val="20"/>
          <w:szCs w:val="20"/>
          <w:lang w:val="es-MX"/>
        </w:rPr>
        <w:t>Lo anterior Usted lo podrá corroborar a través de la liga electrónica del Reglamento de Tránsito del Estado de México a saber: http//legislación.edomex.gob.mx/sites/legislación.edomex.gob.mx/files/pdf/rgl/vig/</w:t>
      </w:r>
      <w:r w:rsidR="00D504AE" w:rsidRPr="009A0763">
        <w:rPr>
          <w:rFonts w:ascii="Palatino Linotype" w:hAnsi="Palatino Linotype" w:cs="Arial"/>
          <w:i/>
          <w:color w:val="000000" w:themeColor="text1"/>
          <w:sz w:val="20"/>
          <w:szCs w:val="20"/>
          <w:lang w:val="es-MX"/>
        </w:rPr>
        <w:t>rglvig079.pdf</w:t>
      </w:r>
    </w:p>
    <w:p w14:paraId="37D3BAF5" w14:textId="41E837C3" w:rsidR="00D504AE" w:rsidRPr="009A0763" w:rsidRDefault="00D504AE" w:rsidP="004F5874">
      <w:pPr>
        <w:tabs>
          <w:tab w:val="left" w:pos="0"/>
        </w:tabs>
        <w:spacing w:line="360" w:lineRule="auto"/>
        <w:ind w:left="1080" w:right="49"/>
        <w:jc w:val="both"/>
        <w:rPr>
          <w:rFonts w:ascii="Palatino Linotype" w:hAnsi="Palatino Linotype" w:cs="Arial"/>
          <w:i/>
          <w:color w:val="000000" w:themeColor="text1"/>
          <w:sz w:val="20"/>
          <w:szCs w:val="20"/>
          <w:lang w:val="es-MX"/>
        </w:rPr>
      </w:pPr>
    </w:p>
    <w:p w14:paraId="04B00896" w14:textId="68965A0E" w:rsidR="00D504AE" w:rsidRPr="009A0763" w:rsidRDefault="00D504AE" w:rsidP="004F5874">
      <w:pPr>
        <w:tabs>
          <w:tab w:val="left" w:pos="0"/>
        </w:tabs>
        <w:spacing w:line="360" w:lineRule="auto"/>
        <w:ind w:left="1080" w:right="49"/>
        <w:jc w:val="both"/>
        <w:rPr>
          <w:rFonts w:ascii="Palatino Linotype" w:hAnsi="Palatino Linotype" w:cs="Arial"/>
          <w:i/>
          <w:color w:val="000000" w:themeColor="text1"/>
          <w:sz w:val="20"/>
          <w:szCs w:val="20"/>
          <w:lang w:val="es-MX"/>
        </w:rPr>
      </w:pPr>
      <w:r w:rsidRPr="009A0763">
        <w:rPr>
          <w:rFonts w:ascii="Palatino Linotype" w:hAnsi="Palatino Linotype" w:cs="Arial"/>
          <w:i/>
          <w:color w:val="000000" w:themeColor="text1"/>
          <w:sz w:val="20"/>
          <w:szCs w:val="20"/>
          <w:lang w:val="es-MX"/>
        </w:rPr>
        <w:t>Finalmente se hace de su conocimiento que coresponde a la Comisión de Agua del Estado de México proponer los dictámenes de factibilidad para el suministro de agua potable en la entidad.”</w:t>
      </w:r>
    </w:p>
    <w:p w14:paraId="175F92C9" w14:textId="5B2D0442" w:rsidR="00FA4835" w:rsidRPr="009A0763" w:rsidRDefault="00FA4835" w:rsidP="00D504AE">
      <w:pPr>
        <w:tabs>
          <w:tab w:val="left" w:pos="0"/>
        </w:tabs>
        <w:spacing w:line="360" w:lineRule="auto"/>
        <w:ind w:right="49"/>
        <w:jc w:val="both"/>
        <w:rPr>
          <w:rFonts w:ascii="Palatino Linotype" w:hAnsi="Palatino Linotype" w:cs="Arial"/>
          <w:b/>
          <w:color w:val="000000" w:themeColor="text1"/>
          <w:sz w:val="22"/>
          <w:lang w:val="es-MX"/>
        </w:rPr>
      </w:pPr>
    </w:p>
    <w:p w14:paraId="63ACDCD1" w14:textId="649F0000" w:rsidR="00CB3448" w:rsidRPr="009A0763"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A0763">
        <w:rPr>
          <w:rFonts w:ascii="Palatino Linotype" w:eastAsia="Times New Roman" w:hAnsi="Palatino Linotype" w:cs="Arial"/>
          <w:color w:val="000000" w:themeColor="text1"/>
          <w:lang w:val="es-ES"/>
        </w:rPr>
        <w:t xml:space="preserve">En fecha </w:t>
      </w:r>
      <w:r w:rsidR="006F2127" w:rsidRPr="009A0763">
        <w:rPr>
          <w:rFonts w:ascii="Palatino Linotype" w:eastAsia="Times New Roman" w:hAnsi="Palatino Linotype" w:cs="Arial"/>
          <w:color w:val="000000" w:themeColor="text1"/>
          <w:lang w:val="es-ES"/>
        </w:rPr>
        <w:t>veintiséis</w:t>
      </w:r>
      <w:r w:rsidR="00715488" w:rsidRPr="009A0763">
        <w:rPr>
          <w:rFonts w:ascii="Palatino Linotype" w:eastAsia="Times New Roman" w:hAnsi="Palatino Linotype" w:cs="Arial"/>
          <w:color w:val="000000" w:themeColor="text1"/>
          <w:lang w:val="es-ES"/>
        </w:rPr>
        <w:t xml:space="preserve"> </w:t>
      </w:r>
      <w:r w:rsidRPr="009A0763">
        <w:rPr>
          <w:rFonts w:ascii="Palatino Linotype" w:eastAsia="Times New Roman" w:hAnsi="Palatino Linotype" w:cs="Arial"/>
          <w:color w:val="000000" w:themeColor="text1"/>
          <w:lang w:val="es-ES"/>
        </w:rPr>
        <w:t>(</w:t>
      </w:r>
      <w:r w:rsidR="00E86BA5" w:rsidRPr="009A0763">
        <w:rPr>
          <w:rFonts w:ascii="Palatino Linotype" w:eastAsia="Times New Roman" w:hAnsi="Palatino Linotype" w:cs="Arial"/>
          <w:color w:val="000000" w:themeColor="text1"/>
          <w:lang w:val="es-ES"/>
        </w:rPr>
        <w:t>2</w:t>
      </w:r>
      <w:r w:rsidR="006F2127" w:rsidRPr="009A0763">
        <w:rPr>
          <w:rFonts w:ascii="Palatino Linotype" w:eastAsia="Times New Roman" w:hAnsi="Palatino Linotype" w:cs="Arial"/>
          <w:color w:val="000000" w:themeColor="text1"/>
          <w:lang w:val="es-ES"/>
        </w:rPr>
        <w:t>6</w:t>
      </w:r>
      <w:r w:rsidR="00DA3F4B" w:rsidRPr="009A0763">
        <w:rPr>
          <w:rFonts w:ascii="Palatino Linotype" w:eastAsia="Times New Roman" w:hAnsi="Palatino Linotype" w:cs="Arial"/>
          <w:color w:val="000000" w:themeColor="text1"/>
          <w:lang w:val="es-ES"/>
        </w:rPr>
        <w:t xml:space="preserve">) de </w:t>
      </w:r>
      <w:r w:rsidR="00646C7D" w:rsidRPr="009A0763">
        <w:rPr>
          <w:rFonts w:ascii="Palatino Linotype" w:eastAsia="Times New Roman" w:hAnsi="Palatino Linotype" w:cs="Arial"/>
          <w:color w:val="000000" w:themeColor="text1"/>
          <w:lang w:val="es-ES"/>
        </w:rPr>
        <w:t>marz</w:t>
      </w:r>
      <w:r w:rsidR="00372AE1" w:rsidRPr="009A0763">
        <w:rPr>
          <w:rFonts w:ascii="Palatino Linotype" w:eastAsia="Times New Roman" w:hAnsi="Palatino Linotype" w:cs="Arial"/>
          <w:color w:val="000000" w:themeColor="text1"/>
          <w:lang w:val="es-ES"/>
        </w:rPr>
        <w:t>o</w:t>
      </w:r>
      <w:r w:rsidRPr="009A0763">
        <w:rPr>
          <w:rFonts w:ascii="Palatino Linotype" w:eastAsia="Times New Roman" w:hAnsi="Palatino Linotype" w:cs="Arial"/>
          <w:color w:val="000000" w:themeColor="text1"/>
          <w:lang w:val="es-ES"/>
        </w:rPr>
        <w:t xml:space="preserve"> de</w:t>
      </w:r>
      <w:r w:rsidR="00C965D0" w:rsidRPr="009A0763">
        <w:rPr>
          <w:rFonts w:ascii="Palatino Linotype" w:eastAsia="Times New Roman" w:hAnsi="Palatino Linotype" w:cs="Arial"/>
          <w:color w:val="000000" w:themeColor="text1"/>
          <w:lang w:val="es-ES"/>
        </w:rPr>
        <w:t xml:space="preserve"> dos mil ve</w:t>
      </w:r>
      <w:r w:rsidR="00372AE1" w:rsidRPr="009A0763">
        <w:rPr>
          <w:rFonts w:ascii="Palatino Linotype" w:eastAsia="Times New Roman" w:hAnsi="Palatino Linotype" w:cs="Arial"/>
          <w:color w:val="000000" w:themeColor="text1"/>
          <w:lang w:val="es-ES"/>
        </w:rPr>
        <w:t>inte</w:t>
      </w:r>
      <w:r w:rsidRPr="009A0763">
        <w:rPr>
          <w:rFonts w:ascii="Palatino Linotype" w:eastAsia="Times New Roman" w:hAnsi="Palatino Linotype" w:cs="Arial"/>
          <w:color w:val="000000" w:themeColor="text1"/>
          <w:lang w:val="es-ES"/>
        </w:rPr>
        <w:t>, el particular interpuso el recurso de revisión en contra de la</w:t>
      </w:r>
      <w:r w:rsidR="00372AE1" w:rsidRPr="009A0763">
        <w:rPr>
          <w:rFonts w:ascii="Palatino Linotype" w:eastAsia="Times New Roman" w:hAnsi="Palatino Linotype" w:cs="Arial"/>
          <w:color w:val="000000" w:themeColor="text1"/>
          <w:lang w:val="es-ES"/>
        </w:rPr>
        <w:t xml:space="preserve"> </w:t>
      </w:r>
      <w:r w:rsidRPr="009A0763">
        <w:rPr>
          <w:rFonts w:ascii="Palatino Linotype" w:eastAsia="Times New Roman" w:hAnsi="Palatino Linotype" w:cs="Arial"/>
          <w:color w:val="000000" w:themeColor="text1"/>
          <w:lang w:val="es-ES"/>
        </w:rPr>
        <w:t>respuesta</w:t>
      </w:r>
      <w:r w:rsidR="00CD6BD3" w:rsidRPr="009A0763">
        <w:rPr>
          <w:rFonts w:ascii="Palatino Linotype" w:eastAsia="Times New Roman" w:hAnsi="Palatino Linotype" w:cs="Arial"/>
          <w:color w:val="000000" w:themeColor="text1"/>
          <w:lang w:val="es-ES"/>
        </w:rPr>
        <w:t xml:space="preserve">, </w:t>
      </w:r>
      <w:r w:rsidR="00646C7D" w:rsidRPr="009A0763">
        <w:rPr>
          <w:rFonts w:ascii="Palatino Linotype" w:eastAsia="Times New Roman" w:hAnsi="Palatino Linotype" w:cs="Arial"/>
          <w:color w:val="000000" w:themeColor="text1"/>
          <w:lang w:val="es-ES"/>
        </w:rPr>
        <w:t>señalando como</w:t>
      </w:r>
      <w:r w:rsidRPr="009A0763">
        <w:rPr>
          <w:rFonts w:ascii="Palatino Linotype" w:eastAsia="Times New Roman" w:hAnsi="Palatino Linotype" w:cs="Arial"/>
          <w:color w:val="000000" w:themeColor="text1"/>
          <w:lang w:val="es-ES"/>
        </w:rPr>
        <w:t>:</w:t>
      </w:r>
    </w:p>
    <w:p w14:paraId="1744C6A0" w14:textId="017C7CC4" w:rsidR="00CB3448" w:rsidRPr="009A0763" w:rsidRDefault="00CB3448" w:rsidP="00CB3448">
      <w:pPr>
        <w:spacing w:line="360" w:lineRule="auto"/>
        <w:ind w:right="34"/>
        <w:jc w:val="both"/>
        <w:rPr>
          <w:rFonts w:ascii="Palatino Linotype" w:hAnsi="Palatino Linotype"/>
          <w:b/>
        </w:rPr>
      </w:pPr>
    </w:p>
    <w:p w14:paraId="41517A7C" w14:textId="0022E986" w:rsidR="00585F00" w:rsidRPr="009A0763" w:rsidRDefault="00585F00" w:rsidP="006F2127">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9A0763">
        <w:rPr>
          <w:rStyle w:val="Ttulo2Car"/>
          <w:rFonts w:ascii="Palatino Linotype" w:hAnsi="Palatino Linotype"/>
          <w:b/>
          <w:color w:val="auto"/>
          <w:sz w:val="24"/>
          <w:szCs w:val="24"/>
        </w:rPr>
        <w:t>Acto impugnado</w:t>
      </w:r>
      <w:bookmarkEnd w:id="4"/>
      <w:r w:rsidR="00F95F7E" w:rsidRPr="009A0763">
        <w:rPr>
          <w:rStyle w:val="Ttulo2Car"/>
          <w:rFonts w:ascii="Palatino Linotype" w:hAnsi="Palatino Linotype"/>
          <w:b/>
          <w:color w:val="000000" w:themeColor="text1"/>
          <w:sz w:val="24"/>
          <w:szCs w:val="24"/>
        </w:rPr>
        <w:t xml:space="preserve">: </w:t>
      </w:r>
      <w:r w:rsidR="00F95F7E" w:rsidRPr="009A0763">
        <w:rPr>
          <w:rStyle w:val="Ttulo2Car"/>
          <w:rFonts w:ascii="Palatino Linotype" w:hAnsi="Palatino Linotype"/>
          <w:i/>
          <w:color w:val="000000" w:themeColor="text1"/>
          <w:sz w:val="24"/>
          <w:szCs w:val="24"/>
        </w:rPr>
        <w:t>“</w:t>
      </w:r>
      <w:r w:rsidR="006F2127" w:rsidRPr="009A0763">
        <w:rPr>
          <w:rStyle w:val="Ttulo2Car"/>
          <w:rFonts w:ascii="Palatino Linotype" w:hAnsi="Palatino Linotype"/>
          <w:i/>
          <w:color w:val="000000" w:themeColor="text1"/>
          <w:sz w:val="24"/>
          <w:szCs w:val="24"/>
        </w:rPr>
        <w:t>la respuesta de la secretaría de Seguridad</w:t>
      </w:r>
      <w:r w:rsidRPr="009A0763">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r w:rsidRPr="009A0763">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77EE1EDF" w:rsidR="00585F00" w:rsidRPr="009A0763" w:rsidRDefault="00585F00" w:rsidP="00585F00">
      <w:pPr>
        <w:ind w:left="851"/>
        <w:rPr>
          <w:rFonts w:ascii="Palatino Linotype" w:hAnsi="Palatino Linotype"/>
          <w:lang w:val="es-MX" w:eastAsia="en-US"/>
        </w:rPr>
      </w:pPr>
    </w:p>
    <w:p w14:paraId="16C1CD16" w14:textId="6034A8B0" w:rsidR="00585F00" w:rsidRPr="009A0763" w:rsidRDefault="00585F00" w:rsidP="006F2127">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471908127"/>
      <w:bookmarkStart w:id="73" w:name="_Toc491791301"/>
      <w:bookmarkStart w:id="74" w:name="_Toc496726171"/>
      <w:bookmarkStart w:id="75" w:name="_Toc497242135"/>
      <w:bookmarkStart w:id="76" w:name="_Toc497292518"/>
      <w:bookmarkStart w:id="77" w:name="_Toc498503717"/>
      <w:bookmarkStart w:id="78" w:name="_Toc499568661"/>
      <w:bookmarkStart w:id="79" w:name="_Toc499568694"/>
      <w:bookmarkStart w:id="80" w:name="_Toc499665453"/>
      <w:bookmarkStart w:id="81" w:name="_Toc499729820"/>
      <w:bookmarkStart w:id="82" w:name="_Toc499835025"/>
      <w:bookmarkStart w:id="83" w:name="_Toc499835836"/>
      <w:bookmarkStart w:id="84" w:name="_Toc499835859"/>
      <w:bookmarkStart w:id="85" w:name="_Toc500264538"/>
      <w:bookmarkStart w:id="86" w:name="_Toc503290276"/>
      <w:bookmarkStart w:id="87" w:name="_Toc524009638"/>
      <w:bookmarkStart w:id="88" w:name="_Toc524009673"/>
      <w:bookmarkStart w:id="89" w:name="_Toc524602721"/>
      <w:bookmarkStart w:id="90" w:name="_Toc526365280"/>
      <w:bookmarkStart w:id="91" w:name="_Toc526365338"/>
      <w:bookmarkStart w:id="92" w:name="_Toc530067665"/>
      <w:bookmarkStart w:id="93" w:name="_Toc530067693"/>
      <w:bookmarkStart w:id="94" w:name="_Toc530067940"/>
      <w:bookmarkStart w:id="95" w:name="_Toc530590421"/>
      <w:bookmarkStart w:id="96" w:name="_Toc530593952"/>
      <w:bookmarkStart w:id="97" w:name="_Toc531190249"/>
      <w:bookmarkStart w:id="98" w:name="_Toc531190296"/>
      <w:bookmarkStart w:id="99" w:name="_Toc534908209"/>
      <w:bookmarkStart w:id="100" w:name="_Toc534909345"/>
      <w:bookmarkStart w:id="101" w:name="_Toc535353306"/>
      <w:bookmarkStart w:id="102" w:name="_Toc535353792"/>
      <w:bookmarkStart w:id="103" w:name="_Toc18436352"/>
      <w:bookmarkStart w:id="104" w:name="_Toc18436386"/>
      <w:bookmarkStart w:id="105" w:name="_Toc18513478"/>
      <w:bookmarkStart w:id="106" w:name="_Toc18513504"/>
      <w:bookmarkStart w:id="107" w:name="_Toc18606802"/>
      <w:bookmarkStart w:id="108" w:name="_Toc19723537"/>
      <w:bookmarkStart w:id="109" w:name="_Toc20322796"/>
      <w:bookmarkStart w:id="110" w:name="_Toc20323053"/>
      <w:bookmarkStart w:id="111" w:name="_Toc20323182"/>
      <w:bookmarkStart w:id="112" w:name="_Toc20420592"/>
      <w:bookmarkStart w:id="113" w:name="_Toc20421580"/>
      <w:bookmarkStart w:id="114" w:name="_Toc21027317"/>
      <w:bookmarkStart w:id="115" w:name="_Toc22660653"/>
      <w:bookmarkStart w:id="116" w:name="_Toc22811624"/>
      <w:bookmarkStart w:id="117" w:name="_Toc26436016"/>
      <w:r w:rsidRPr="009A0763">
        <w:rPr>
          <w:rStyle w:val="Ttulo2Car"/>
          <w:rFonts w:ascii="Palatino Linotype" w:hAnsi="Palatino Linotype"/>
          <w:b/>
          <w:color w:val="000000" w:themeColor="text1"/>
          <w:sz w:val="24"/>
          <w:szCs w:val="24"/>
        </w:rPr>
        <w:t>Razones o Motivos de inconformidad:</w:t>
      </w:r>
      <w:bookmarkEnd w:id="61"/>
      <w:r w:rsidRPr="009A0763">
        <w:rPr>
          <w:rFonts w:ascii="Palatino Linotype" w:hAnsi="Palatino Linotype"/>
          <w:b/>
          <w:color w:val="000000" w:themeColor="text1"/>
          <w:sz w:val="24"/>
          <w:szCs w:val="24"/>
        </w:rPr>
        <w:t xml:space="preserve"> </w:t>
      </w:r>
      <w:r w:rsidRPr="009A0763">
        <w:rPr>
          <w:rFonts w:ascii="Palatino Linotype" w:hAnsi="Palatino Linotype"/>
          <w:i/>
          <w:color w:val="000000" w:themeColor="text1"/>
          <w:sz w:val="24"/>
          <w:szCs w:val="24"/>
        </w:rPr>
        <w:t>“</w:t>
      </w:r>
      <w:r w:rsidR="006F2127" w:rsidRPr="009A0763">
        <w:rPr>
          <w:rFonts w:ascii="Palatino Linotype" w:hAnsi="Palatino Linotype"/>
          <w:i/>
          <w:color w:val="000000" w:themeColor="text1"/>
          <w:sz w:val="24"/>
          <w:szCs w:val="24"/>
        </w:rPr>
        <w:t>hago transcripción de parte de la solicitud : Es la Secretaría de Seguridad a través de la Policía Estatal o alguna otra área, la facultada para detener vehículos e inspeccionar si estos cuentan con el permiso o dictamen al que hace alusión el articulo 145 ter del Código Penal del Estado de México? a lo anterior la secretaría contestó lo siguiente: "La Policía de Tránsito de la Secretaría de Seguridad del estado de México no es la facultada...." Por lo que se puede apreciar que la respuesta señala a una sola área o corporación de la Secretaría, lo que dejaría sin información suficiente sobre si pudiera ser otra área la facultada para realizar la acción consultada, poniendo por ejemplo de forma enunciativa a la Policía de Seguridad Pública; es por ello que se pregunto de manera general si corresponde a esa secretaría ejecutar esa detención e inspección.</w:t>
      </w:r>
      <w:r w:rsidRPr="009A0763">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r w:rsidRPr="009A0763">
        <w:rPr>
          <w:rFonts w:ascii="Palatino Linotype" w:hAnsi="Palatino Linotype"/>
          <w:i/>
          <w:color w:val="000000" w:themeColor="text1"/>
          <w:sz w:val="24"/>
          <w:szCs w:val="24"/>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96CE205" w14:textId="77777777" w:rsidR="00EB781A" w:rsidRPr="009A0763" w:rsidRDefault="00EB781A" w:rsidP="00EB781A">
      <w:pPr>
        <w:rPr>
          <w:rFonts w:ascii="Palatino Linotype" w:hAnsi="Palatino Linotype"/>
          <w:lang w:val="es-MX" w:eastAsia="en-US"/>
        </w:rPr>
      </w:pPr>
    </w:p>
    <w:p w14:paraId="40691D26" w14:textId="77777777" w:rsidR="00613A2D" w:rsidRPr="009A0763" w:rsidRDefault="00613A2D" w:rsidP="00613A2D">
      <w:pPr>
        <w:numPr>
          <w:ilvl w:val="0"/>
          <w:numId w:val="2"/>
        </w:numPr>
        <w:tabs>
          <w:tab w:val="left" w:pos="0"/>
        </w:tabs>
        <w:spacing w:line="360" w:lineRule="auto"/>
        <w:ind w:left="0" w:firstLine="0"/>
        <w:contextualSpacing/>
        <w:jc w:val="both"/>
        <w:rPr>
          <w:rFonts w:ascii="Palatino Linotype" w:hAnsi="Palatino Linotype" w:cs="Arial"/>
          <w:i/>
        </w:rPr>
      </w:pPr>
      <w:r w:rsidRPr="009A0763">
        <w:rPr>
          <w:rFonts w:ascii="Palatino Linotype" w:hAnsi="Palatino Linotype" w:cs="Arial"/>
          <w:lang w:val="es-ES"/>
        </w:rPr>
        <w:t xml:space="preserve">Se registró el recurso de revisión bajo el número de expediente al rubro indicado, </w:t>
      </w:r>
      <w:r w:rsidRPr="009A0763">
        <w:rPr>
          <w:rFonts w:ascii="Palatino Linotype" w:eastAsia="MS Mincho" w:hAnsi="Palatino Linotype" w:cs="Arial"/>
          <w:bCs/>
        </w:rPr>
        <w:t xml:space="preserve">con fundamento en lo dispuesto por el </w:t>
      </w:r>
      <w:r w:rsidRPr="009A0763">
        <w:rPr>
          <w:rFonts w:ascii="Palatino Linotype" w:eastAsia="Calibri" w:hAnsi="Palatino Linotype" w:cs="Arial"/>
          <w:lang w:val="es-ES"/>
        </w:rPr>
        <w:t xml:space="preserve">artículo 185 fracción I de la Ley de </w:t>
      </w:r>
      <w:r w:rsidRPr="009A0763">
        <w:rPr>
          <w:rFonts w:ascii="Palatino Linotype" w:eastAsia="Calibri" w:hAnsi="Palatino Linotype" w:cs="Arial"/>
          <w:lang w:val="es-ES"/>
        </w:rPr>
        <w:lastRenderedPageBreak/>
        <w:t xml:space="preserve">Transparencia y Acceso a la Información Pública del Estado de México y Municipios </w:t>
      </w:r>
      <w:r w:rsidRPr="009A0763">
        <w:rPr>
          <w:rFonts w:ascii="Palatino Linotype" w:hAnsi="Palatino Linotype" w:cs="Arial"/>
          <w:lang w:val="es-ES"/>
        </w:rPr>
        <w:t xml:space="preserve">se turnó al Comisionado José Guadalupe Luna Hernández, con el objeto de </w:t>
      </w:r>
      <w:r w:rsidRPr="009A0763">
        <w:rPr>
          <w:rFonts w:ascii="Palatino Linotype" w:hAnsi="Palatino Linotype" w:cs="Arial"/>
        </w:rPr>
        <w:t xml:space="preserve">su análisis. </w:t>
      </w:r>
    </w:p>
    <w:p w14:paraId="1B90243B" w14:textId="77777777" w:rsidR="00613A2D" w:rsidRPr="009A0763" w:rsidRDefault="00613A2D" w:rsidP="00613A2D">
      <w:pPr>
        <w:tabs>
          <w:tab w:val="left" w:pos="0"/>
        </w:tabs>
        <w:spacing w:line="360" w:lineRule="auto"/>
        <w:contextualSpacing/>
        <w:jc w:val="both"/>
        <w:rPr>
          <w:rFonts w:ascii="Palatino Linotype" w:hAnsi="Palatino Linotype" w:cs="Arial"/>
          <w:i/>
        </w:rPr>
      </w:pPr>
    </w:p>
    <w:p w14:paraId="03CAB4B8" w14:textId="664D1371" w:rsidR="00613A2D" w:rsidRPr="009A0763" w:rsidRDefault="00613A2D" w:rsidP="00613A2D">
      <w:pPr>
        <w:numPr>
          <w:ilvl w:val="0"/>
          <w:numId w:val="2"/>
        </w:numPr>
        <w:spacing w:line="360" w:lineRule="auto"/>
        <w:ind w:left="0" w:firstLine="0"/>
        <w:contextualSpacing/>
        <w:jc w:val="both"/>
        <w:rPr>
          <w:rFonts w:ascii="Palatino Linotype" w:eastAsia="Calibri" w:hAnsi="Palatino Linotype" w:cs="Arial"/>
          <w:lang w:val="es-ES"/>
        </w:rPr>
      </w:pPr>
      <w:r w:rsidRPr="009A076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siete (7) de agosto de dos mil veinte, puso a disposición de las partes el expediente electrónico </w:t>
      </w:r>
      <w:r w:rsidRPr="009A0763">
        <w:rPr>
          <w:rFonts w:ascii="Palatino Linotype" w:eastAsia="Calibri" w:hAnsi="Palatino Linotype" w:cs="Arial"/>
        </w:rPr>
        <w:t xml:space="preserve">vía </w:t>
      </w:r>
      <w:r w:rsidRPr="009A0763">
        <w:rPr>
          <w:rFonts w:ascii="Palatino Linotype" w:eastAsia="Calibri" w:hAnsi="Palatino Linotype" w:cs="Arial"/>
          <w:lang w:val="es-ES"/>
        </w:rPr>
        <w:t>Sistema de Acceso a la Información Mexiquense (</w:t>
      </w:r>
      <w:r w:rsidRPr="009A0763">
        <w:rPr>
          <w:rFonts w:ascii="Palatino Linotype" w:eastAsia="Calibri" w:hAnsi="Palatino Linotype" w:cs="Arial"/>
          <w:b/>
          <w:lang w:val="es-ES"/>
        </w:rPr>
        <w:t xml:space="preserve">SAIMEX) </w:t>
      </w:r>
      <w:r w:rsidRPr="009A076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A0763">
        <w:rPr>
          <w:rFonts w:ascii="Palatino Linotype" w:eastAsia="Calibri" w:hAnsi="Palatino Linotype" w:cs="Arial"/>
          <w:b/>
          <w:lang w:val="es-ES"/>
        </w:rPr>
        <w:t>SUJETO OBLIGADO</w:t>
      </w:r>
      <w:r w:rsidRPr="009A0763">
        <w:rPr>
          <w:rFonts w:ascii="Palatino Linotype" w:eastAsia="Calibri" w:hAnsi="Palatino Linotype" w:cs="Arial"/>
          <w:lang w:val="es-ES"/>
        </w:rPr>
        <w:t xml:space="preserve"> presentara el Informe Justificado procedente. </w:t>
      </w:r>
    </w:p>
    <w:p w14:paraId="12839CB0" w14:textId="77777777" w:rsidR="00613A2D" w:rsidRPr="009A0763" w:rsidRDefault="00613A2D" w:rsidP="00613A2D">
      <w:pPr>
        <w:spacing w:line="360" w:lineRule="auto"/>
        <w:contextualSpacing/>
        <w:jc w:val="both"/>
        <w:rPr>
          <w:rFonts w:ascii="Palatino Linotype" w:eastAsia="Calibri" w:hAnsi="Palatino Linotype" w:cs="Arial"/>
          <w:lang w:val="es-ES"/>
        </w:rPr>
      </w:pPr>
    </w:p>
    <w:p w14:paraId="5E1EB4FF" w14:textId="77777777" w:rsidR="00613A2D" w:rsidRPr="009A0763" w:rsidRDefault="00613A2D" w:rsidP="00613A2D">
      <w:pPr>
        <w:pStyle w:val="Prrafodelista"/>
        <w:numPr>
          <w:ilvl w:val="0"/>
          <w:numId w:val="2"/>
        </w:numPr>
        <w:spacing w:line="360" w:lineRule="auto"/>
        <w:ind w:left="0" w:firstLine="0"/>
        <w:jc w:val="both"/>
        <w:rPr>
          <w:rFonts w:ascii="Palatino Linotype" w:hAnsi="Palatino Linotype"/>
        </w:rPr>
      </w:pPr>
      <w:r w:rsidRPr="009A0763">
        <w:rPr>
          <w:rFonts w:ascii="Palatino Linotype" w:hAnsi="Palatino Linotype"/>
        </w:rPr>
        <w:t xml:space="preserve">Es de señalar que por su parte, el particular no manifestó algo que a su derecho conviniera, por su parte el </w:t>
      </w:r>
      <w:r w:rsidRPr="009A0763">
        <w:rPr>
          <w:rFonts w:ascii="Palatino Linotype" w:hAnsi="Palatino Linotype"/>
          <w:b/>
          <w:bCs/>
        </w:rPr>
        <w:t xml:space="preserve">SUJETO OBLIGADO </w:t>
      </w:r>
      <w:r w:rsidRPr="009A0763">
        <w:rPr>
          <w:rFonts w:ascii="Palatino Linotype" w:hAnsi="Palatino Linotype"/>
        </w:rPr>
        <w:t xml:space="preserve">rindió su informe justificado a través del siguiente archivo: </w:t>
      </w:r>
    </w:p>
    <w:p w14:paraId="323BE90C" w14:textId="216522B5" w:rsidR="00525D09" w:rsidRPr="009A0763" w:rsidRDefault="00525D09" w:rsidP="00525D09"/>
    <w:p w14:paraId="4F5D4A05" w14:textId="5AF53092" w:rsidR="00D52821" w:rsidRPr="009A0763" w:rsidRDefault="00525D09" w:rsidP="00D52821">
      <w:pPr>
        <w:pStyle w:val="Prrafodelista"/>
        <w:spacing w:line="360" w:lineRule="auto"/>
        <w:ind w:left="567" w:right="567"/>
        <w:jc w:val="both"/>
        <w:rPr>
          <w:rFonts w:ascii="Palatino Linotype" w:hAnsi="Palatino Linotype"/>
          <w:b/>
        </w:rPr>
      </w:pPr>
      <w:r w:rsidRPr="009A0763">
        <w:rPr>
          <w:rFonts w:ascii="Palatino Linotype" w:hAnsi="Palatino Linotype"/>
          <w:b/>
        </w:rPr>
        <w:t>informe justificado RR01768.pdf</w:t>
      </w:r>
      <w:r w:rsidR="00613A2D" w:rsidRPr="009A0763">
        <w:rPr>
          <w:rFonts w:ascii="Palatino Linotype" w:hAnsi="Palatino Linotype"/>
          <w:b/>
        </w:rPr>
        <w:t xml:space="preserve">. </w:t>
      </w:r>
      <w:r w:rsidR="00613A2D" w:rsidRPr="009A0763">
        <w:rPr>
          <w:rFonts w:ascii="Palatino Linotype" w:hAnsi="Palatino Linotype"/>
        </w:rPr>
        <w:t xml:space="preserve">Archivo en formato </w:t>
      </w:r>
      <w:proofErr w:type="spellStart"/>
      <w:r w:rsidRPr="009A0763">
        <w:rPr>
          <w:rFonts w:ascii="Palatino Linotype" w:hAnsi="Palatino Linotype"/>
        </w:rPr>
        <w:t>pdf</w:t>
      </w:r>
      <w:proofErr w:type="spellEnd"/>
      <w:r w:rsidR="00613A2D" w:rsidRPr="009A0763">
        <w:rPr>
          <w:rFonts w:ascii="Palatino Linotype" w:hAnsi="Palatino Linotype"/>
        </w:rPr>
        <w:t xml:space="preserve">, que contiene el oficio número </w:t>
      </w:r>
      <w:r w:rsidR="00D52821" w:rsidRPr="009A0763">
        <w:rPr>
          <w:rFonts w:ascii="Palatino Linotype" w:hAnsi="Palatino Linotype"/>
        </w:rPr>
        <w:t xml:space="preserve">20600101000000L/UIPPE/77/2020 de fecha once de agosto de dos mil veinte, suscrito por la Mtra. Larissa </w:t>
      </w:r>
      <w:r w:rsidR="00285BBA" w:rsidRPr="009A0763">
        <w:rPr>
          <w:rFonts w:ascii="Palatino Linotype" w:hAnsi="Palatino Linotype"/>
        </w:rPr>
        <w:t>León</w:t>
      </w:r>
      <w:r w:rsidR="00D52821" w:rsidRPr="009A0763">
        <w:rPr>
          <w:rFonts w:ascii="Palatino Linotype" w:hAnsi="Palatino Linotype"/>
        </w:rPr>
        <w:t xml:space="preserve"> Arce, Jefa de la UIPPE y Titular de la Unidad de Transparencia de la Secretaría de Seguridad.</w:t>
      </w:r>
    </w:p>
    <w:p w14:paraId="17E4F843" w14:textId="77777777" w:rsidR="00613A2D" w:rsidRPr="009A0763" w:rsidRDefault="00613A2D" w:rsidP="00613A2D">
      <w:pPr>
        <w:pStyle w:val="Prrafodelista"/>
        <w:spacing w:line="360" w:lineRule="auto"/>
        <w:ind w:left="0"/>
        <w:jc w:val="both"/>
        <w:rPr>
          <w:rFonts w:ascii="Palatino Linotype" w:hAnsi="Palatino Linotype"/>
        </w:rPr>
      </w:pPr>
    </w:p>
    <w:p w14:paraId="717213A9" w14:textId="00EF0BCE" w:rsidR="00613A2D" w:rsidRPr="009A0763" w:rsidRDefault="00613A2D" w:rsidP="004F5874">
      <w:pPr>
        <w:pStyle w:val="Prrafodelista"/>
        <w:numPr>
          <w:ilvl w:val="0"/>
          <w:numId w:val="2"/>
        </w:numPr>
        <w:spacing w:before="240" w:after="240" w:line="360" w:lineRule="auto"/>
        <w:ind w:left="0" w:firstLine="0"/>
        <w:jc w:val="both"/>
        <w:rPr>
          <w:rFonts w:ascii="Palatino Linotype" w:hAnsi="Palatino Linotype"/>
          <w:i/>
        </w:rPr>
      </w:pPr>
      <w:r w:rsidRPr="009A0763">
        <w:rPr>
          <w:rFonts w:ascii="Palatino Linotype" w:hAnsi="Palatino Linotype"/>
        </w:rPr>
        <w:lastRenderedPageBreak/>
        <w:t>El Comisionado Ponente decretó el cierre de instrucción</w:t>
      </w:r>
      <w:r w:rsidRPr="009A0763">
        <w:rPr>
          <w:rFonts w:ascii="Palatino Linotype" w:hAnsi="Palatino Linotype" w:cs="Arial"/>
        </w:rPr>
        <w:t xml:space="preserve"> </w:t>
      </w:r>
      <w:r w:rsidRPr="009A0763">
        <w:rPr>
          <w:rFonts w:ascii="Palatino Linotype" w:hAnsi="Palatino Linotype"/>
        </w:rPr>
        <w:t>mediante acuerdo de fecha veinti</w:t>
      </w:r>
      <w:r w:rsidR="00D52821" w:rsidRPr="009A0763">
        <w:rPr>
          <w:rFonts w:ascii="Palatino Linotype" w:hAnsi="Palatino Linotype"/>
        </w:rPr>
        <w:t xml:space="preserve">uno </w:t>
      </w:r>
      <w:r w:rsidRPr="009A0763">
        <w:rPr>
          <w:rFonts w:ascii="Palatino Linotype" w:hAnsi="Palatino Linotype"/>
        </w:rPr>
        <w:t xml:space="preserve"> (2</w:t>
      </w:r>
      <w:r w:rsidR="00D52821" w:rsidRPr="009A0763">
        <w:rPr>
          <w:rFonts w:ascii="Palatino Linotype" w:hAnsi="Palatino Linotype"/>
        </w:rPr>
        <w:t>1</w:t>
      </w:r>
      <w:r w:rsidRPr="009A0763">
        <w:rPr>
          <w:rFonts w:ascii="Palatino Linotype" w:hAnsi="Palatino Linotype"/>
        </w:rPr>
        <w:t xml:space="preserve">) de </w:t>
      </w:r>
      <w:r w:rsidR="00D52821" w:rsidRPr="009A0763">
        <w:rPr>
          <w:rFonts w:ascii="Palatino Linotype" w:hAnsi="Palatino Linotype"/>
        </w:rPr>
        <w:t xml:space="preserve">agosto de </w:t>
      </w:r>
      <w:r w:rsidRPr="009A0763">
        <w:rPr>
          <w:rFonts w:ascii="Palatino Linotype" w:hAnsi="Palatino Linotype"/>
        </w:rPr>
        <w:t xml:space="preserve">dos mil veinte, </w:t>
      </w:r>
      <w:r w:rsidRPr="009A0763">
        <w:rPr>
          <w:rFonts w:ascii="Palatino Linotype" w:hAnsi="Palatino Linotype" w:cs="Arial"/>
        </w:rPr>
        <w:t>por lo que, posterior a ello ordenó turnar el expediente a resolución, misma que ahora se pronuncia; y</w:t>
      </w:r>
    </w:p>
    <w:p w14:paraId="51E91971" w14:textId="4A8939B2" w:rsidR="00585F00" w:rsidRPr="009A0763" w:rsidRDefault="00585F00" w:rsidP="00585F00">
      <w:pPr>
        <w:pStyle w:val="Ttulo1"/>
        <w:jc w:val="center"/>
        <w:rPr>
          <w:b/>
          <w:szCs w:val="24"/>
        </w:rPr>
      </w:pPr>
      <w:bookmarkStart w:id="118" w:name="_Toc491791302"/>
      <w:bookmarkStart w:id="119" w:name="_Toc35535693"/>
      <w:r w:rsidRPr="009A0763">
        <w:rPr>
          <w:b/>
          <w:szCs w:val="24"/>
        </w:rPr>
        <w:t>CONSIDERANDO</w:t>
      </w:r>
      <w:bookmarkEnd w:id="118"/>
      <w:bookmarkEnd w:id="119"/>
    </w:p>
    <w:p w14:paraId="7681ED66" w14:textId="77777777" w:rsidR="00585F00" w:rsidRPr="009A0763" w:rsidRDefault="00585F00" w:rsidP="00585F00">
      <w:pPr>
        <w:rPr>
          <w:rFonts w:ascii="Palatino Linotype" w:hAnsi="Palatino Linotype"/>
          <w:lang w:val="es-MX" w:eastAsia="en-US"/>
        </w:rPr>
      </w:pPr>
    </w:p>
    <w:p w14:paraId="717D4ABA" w14:textId="77777777" w:rsidR="00585F00" w:rsidRPr="009A0763" w:rsidRDefault="00585F00" w:rsidP="00585F00">
      <w:pPr>
        <w:pStyle w:val="Ttulo2"/>
        <w:rPr>
          <w:rFonts w:ascii="Palatino Linotype" w:hAnsi="Palatino Linotype"/>
          <w:b/>
          <w:color w:val="auto"/>
          <w:sz w:val="24"/>
          <w:szCs w:val="24"/>
        </w:rPr>
      </w:pPr>
      <w:bookmarkStart w:id="120" w:name="_Toc491791303"/>
      <w:bookmarkStart w:id="121" w:name="_Toc35535694"/>
      <w:r w:rsidRPr="009A0763">
        <w:rPr>
          <w:rFonts w:ascii="Palatino Linotype" w:hAnsi="Palatino Linotype"/>
          <w:b/>
          <w:color w:val="auto"/>
          <w:sz w:val="24"/>
          <w:szCs w:val="24"/>
        </w:rPr>
        <w:t>PRIMERO. De la competencia</w:t>
      </w:r>
      <w:bookmarkEnd w:id="120"/>
      <w:bookmarkEnd w:id="121"/>
    </w:p>
    <w:p w14:paraId="6EA8B854" w14:textId="77777777" w:rsidR="00585F00" w:rsidRPr="009A0763" w:rsidRDefault="00585F00" w:rsidP="00585F00">
      <w:pPr>
        <w:rPr>
          <w:rFonts w:ascii="Palatino Linotype" w:hAnsi="Palatino Linotype"/>
          <w:lang w:val="es-MX" w:eastAsia="en-US"/>
        </w:rPr>
      </w:pPr>
    </w:p>
    <w:p w14:paraId="59B46AF8" w14:textId="58083497" w:rsidR="00585F00" w:rsidRPr="009A0763"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A076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0763">
        <w:rPr>
          <w:rFonts w:ascii="Palatino Linotype" w:eastAsia="Calibri" w:hAnsi="Palatino Linotype" w:cs="Times New Roman"/>
          <w:b/>
          <w:lang w:val="es-ES"/>
        </w:rPr>
        <w:t>Constitución Política de los Estados Unidos Mexicanos</w:t>
      </w:r>
      <w:r w:rsidRPr="009A0763">
        <w:rPr>
          <w:rFonts w:ascii="Palatino Linotype" w:eastAsia="Calibri" w:hAnsi="Palatino Linotype" w:cs="Times New Roman"/>
          <w:lang w:val="es-ES"/>
        </w:rPr>
        <w:t xml:space="preserve">; 5, párrafos vigésimo, vigésimo primero y vigésimo segundo fracciones IV y V de la </w:t>
      </w:r>
      <w:r w:rsidRPr="009A0763">
        <w:rPr>
          <w:rFonts w:ascii="Palatino Linotype" w:eastAsia="Calibri" w:hAnsi="Palatino Linotype" w:cs="Times New Roman"/>
          <w:b/>
          <w:lang w:val="es-ES"/>
        </w:rPr>
        <w:t>Constitución Política del Estado Libre y Soberano de México</w:t>
      </w:r>
      <w:r w:rsidRPr="009A0763">
        <w:rPr>
          <w:rFonts w:ascii="Palatino Linotype" w:eastAsia="Calibri" w:hAnsi="Palatino Linotype" w:cs="Times New Roman"/>
          <w:lang w:val="es-ES"/>
        </w:rPr>
        <w:t xml:space="preserve">; artículos 1, 2 fracción II, 13, 29, 36 fracciones I y II, 176, 178, 179, 181 párrafo tercero y 185 </w:t>
      </w:r>
      <w:r w:rsidRPr="009A0763">
        <w:rPr>
          <w:rFonts w:ascii="Palatino Linotype" w:eastAsia="Calibri" w:hAnsi="Palatino Linotype" w:cs="Arial"/>
          <w:lang w:val="es-ES"/>
        </w:rPr>
        <w:t xml:space="preserve">de la </w:t>
      </w:r>
      <w:r w:rsidRPr="009A0763">
        <w:rPr>
          <w:rFonts w:ascii="Palatino Linotype" w:eastAsia="Calibri" w:hAnsi="Palatino Linotype" w:cs="Arial"/>
          <w:b/>
          <w:lang w:val="es-ES"/>
        </w:rPr>
        <w:t>Ley de Transparencia y Acceso a la Información Pública del Estado de México y Municipios</w:t>
      </w:r>
      <w:r w:rsidRPr="009A0763">
        <w:rPr>
          <w:rFonts w:ascii="Palatino Linotype" w:eastAsia="Calibri" w:hAnsi="Palatino Linotype" w:cs="Arial"/>
          <w:lang w:val="es-ES"/>
        </w:rPr>
        <w:t xml:space="preserve">; ; y 10, 7, 9 fracciones I y XXIV, y 11 del </w:t>
      </w:r>
      <w:r w:rsidRPr="009A076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DD67BC4" w14:textId="77777777" w:rsidR="00D52821" w:rsidRPr="009A0763" w:rsidRDefault="00D52821" w:rsidP="00D52821">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A0763" w:rsidRDefault="00585F00" w:rsidP="00585F00">
      <w:pPr>
        <w:pStyle w:val="Ttulo2"/>
        <w:rPr>
          <w:rFonts w:ascii="Palatino Linotype" w:hAnsi="Palatino Linotype"/>
          <w:b/>
          <w:color w:val="auto"/>
          <w:sz w:val="24"/>
          <w:szCs w:val="24"/>
        </w:rPr>
      </w:pPr>
      <w:bookmarkStart w:id="122" w:name="_Toc491791304"/>
      <w:bookmarkStart w:id="123" w:name="_Toc35535695"/>
      <w:r w:rsidRPr="009A0763">
        <w:rPr>
          <w:rFonts w:ascii="Palatino Linotype" w:hAnsi="Palatino Linotype"/>
          <w:b/>
          <w:color w:val="auto"/>
          <w:sz w:val="24"/>
          <w:szCs w:val="24"/>
        </w:rPr>
        <w:t>SEGUNDO. De la oportunidad y procedencia.</w:t>
      </w:r>
      <w:bookmarkEnd w:id="122"/>
      <w:bookmarkEnd w:id="123"/>
    </w:p>
    <w:p w14:paraId="7CBA5E3B" w14:textId="77777777" w:rsidR="00CE2991" w:rsidRPr="009A0763" w:rsidRDefault="00CE2991" w:rsidP="00CE2991">
      <w:pPr>
        <w:rPr>
          <w:rFonts w:ascii="Palatino Linotype" w:hAnsi="Palatino Linotype"/>
          <w:lang w:val="es-MX" w:eastAsia="en-US"/>
        </w:rPr>
      </w:pPr>
    </w:p>
    <w:p w14:paraId="1285F5A3" w14:textId="5A0F2D63" w:rsidR="00262E4F" w:rsidRPr="009A0763" w:rsidRDefault="00262E4F" w:rsidP="00262E4F">
      <w:pPr>
        <w:pStyle w:val="Prrafodelista"/>
        <w:numPr>
          <w:ilvl w:val="0"/>
          <w:numId w:val="2"/>
        </w:numPr>
        <w:spacing w:line="360" w:lineRule="auto"/>
        <w:ind w:left="0" w:firstLine="0"/>
        <w:jc w:val="both"/>
        <w:rPr>
          <w:rFonts w:ascii="Palatino Linotype" w:hAnsi="Palatino Linotype"/>
        </w:rPr>
      </w:pPr>
      <w:bookmarkStart w:id="124" w:name="_Toc521431830"/>
      <w:bookmarkStart w:id="125" w:name="_Toc27653760"/>
      <w:r w:rsidRPr="009A0763">
        <w:rPr>
          <w:rFonts w:ascii="Palatino Linotype" w:eastAsia="Calibri" w:hAnsi="Palatino Linotype" w:cs="Arial"/>
        </w:rPr>
        <w:t xml:space="preserve">El medio de impugnación fue presentado a través del </w:t>
      </w:r>
      <w:r w:rsidRPr="009A0763">
        <w:rPr>
          <w:rFonts w:ascii="Palatino Linotype" w:eastAsia="Calibri" w:hAnsi="Palatino Linotype" w:cs="Arial"/>
          <w:b/>
        </w:rPr>
        <w:t>SAIMEX,</w:t>
      </w:r>
      <w:r w:rsidRPr="009A0763">
        <w:rPr>
          <w:rFonts w:ascii="Palatino Linotype" w:eastAsia="Calibri" w:hAnsi="Palatino Linotype" w:cs="Arial"/>
        </w:rPr>
        <w:t xml:space="preserve"> en el formato previamente aprobado para tal efecto y dentro del plazo legal de quince días hábiles </w:t>
      </w:r>
      <w:r w:rsidRPr="009A0763">
        <w:rPr>
          <w:rFonts w:ascii="Palatino Linotype" w:eastAsia="Calibri" w:hAnsi="Palatino Linotype" w:cs="Arial"/>
        </w:rPr>
        <w:lastRenderedPageBreak/>
        <w:t xml:space="preserve">otorgados; para el caso en particular es de señalar que el </w:t>
      </w:r>
      <w:r w:rsidRPr="009A0763">
        <w:rPr>
          <w:rFonts w:ascii="Palatino Linotype" w:eastAsia="Calibri" w:hAnsi="Palatino Linotype" w:cs="Arial"/>
          <w:b/>
        </w:rPr>
        <w:t>SUJETO OBLIGADO</w:t>
      </w:r>
      <w:r w:rsidRPr="009A0763">
        <w:rPr>
          <w:rFonts w:ascii="Palatino Linotype" w:eastAsia="Calibri" w:hAnsi="Palatino Linotype" w:cs="Arial"/>
        </w:rPr>
        <w:t xml:space="preserve"> en</w:t>
      </w:r>
      <w:r w:rsidR="0002415E" w:rsidRPr="009A0763">
        <w:rPr>
          <w:rFonts w:ascii="Palatino Linotype" w:eastAsia="Calibri" w:hAnsi="Palatino Linotype" w:cs="Arial"/>
        </w:rPr>
        <w:t xml:space="preserve">trego su respuesta </w:t>
      </w:r>
      <w:r w:rsidR="00B51D0F" w:rsidRPr="009A0763">
        <w:rPr>
          <w:rFonts w:ascii="Palatino Linotype" w:eastAsia="Calibri" w:hAnsi="Palatino Linotype" w:cs="Arial"/>
        </w:rPr>
        <w:t>e</w:t>
      </w:r>
      <w:r w:rsidR="00FA448D" w:rsidRPr="009A0763">
        <w:rPr>
          <w:rFonts w:ascii="Palatino Linotype" w:eastAsia="Calibri" w:hAnsi="Palatino Linotype" w:cs="Arial"/>
        </w:rPr>
        <w:t xml:space="preserve">l día </w:t>
      </w:r>
      <w:r w:rsidR="006F2127" w:rsidRPr="009A0763">
        <w:rPr>
          <w:rFonts w:ascii="Palatino Linotype" w:eastAsia="Calibri" w:hAnsi="Palatino Linotype" w:cs="Arial"/>
        </w:rPr>
        <w:t>veintitrés</w:t>
      </w:r>
      <w:r w:rsidR="0002415E" w:rsidRPr="009A0763">
        <w:rPr>
          <w:rFonts w:ascii="Palatino Linotype" w:eastAsia="Calibri" w:hAnsi="Palatino Linotype" w:cs="Arial"/>
        </w:rPr>
        <w:t xml:space="preserve"> (</w:t>
      </w:r>
      <w:r w:rsidR="00E86BA5" w:rsidRPr="009A0763">
        <w:rPr>
          <w:rFonts w:ascii="Palatino Linotype" w:eastAsia="Calibri" w:hAnsi="Palatino Linotype" w:cs="Arial"/>
        </w:rPr>
        <w:t>2</w:t>
      </w:r>
      <w:r w:rsidR="006F2127" w:rsidRPr="009A0763">
        <w:rPr>
          <w:rFonts w:ascii="Palatino Linotype" w:eastAsia="Calibri" w:hAnsi="Palatino Linotype" w:cs="Arial"/>
        </w:rPr>
        <w:t>3</w:t>
      </w:r>
      <w:r w:rsidR="0002415E" w:rsidRPr="009A0763">
        <w:rPr>
          <w:rFonts w:ascii="Palatino Linotype" w:eastAsia="Calibri" w:hAnsi="Palatino Linotype" w:cs="Arial"/>
        </w:rPr>
        <w:t>)</w:t>
      </w:r>
      <w:r w:rsidRPr="009A0763">
        <w:rPr>
          <w:rFonts w:ascii="Palatino Linotype" w:eastAsia="Calibri" w:hAnsi="Palatino Linotype" w:cs="Arial"/>
        </w:rPr>
        <w:t xml:space="preserve"> de </w:t>
      </w:r>
      <w:r w:rsidR="00E02679" w:rsidRPr="009A0763">
        <w:rPr>
          <w:rFonts w:ascii="Palatino Linotype" w:eastAsia="Calibri" w:hAnsi="Palatino Linotype" w:cs="Arial"/>
        </w:rPr>
        <w:t>marz</w:t>
      </w:r>
      <w:r w:rsidR="00292C6A" w:rsidRPr="009A0763">
        <w:rPr>
          <w:rFonts w:ascii="Palatino Linotype" w:eastAsia="Calibri" w:hAnsi="Palatino Linotype" w:cs="Arial"/>
        </w:rPr>
        <w:t>o</w:t>
      </w:r>
      <w:r w:rsidRPr="009A0763">
        <w:rPr>
          <w:rFonts w:ascii="Palatino Linotype" w:eastAsia="Calibri" w:hAnsi="Palatino Linotype" w:cs="Arial"/>
        </w:rPr>
        <w:t xml:space="preserve"> de dos mil </w:t>
      </w:r>
      <w:r w:rsidR="00B51D0F" w:rsidRPr="009A0763">
        <w:rPr>
          <w:rFonts w:ascii="Palatino Linotype" w:eastAsia="Calibri" w:hAnsi="Palatino Linotype" w:cs="Arial"/>
        </w:rPr>
        <w:t>veinte</w:t>
      </w:r>
      <w:r w:rsidR="00296F5B" w:rsidRPr="009A0763">
        <w:rPr>
          <w:rFonts w:ascii="Palatino Linotype" w:eastAsia="Calibri" w:hAnsi="Palatino Linotype" w:cs="Arial"/>
        </w:rPr>
        <w:t xml:space="preserve">; </w:t>
      </w:r>
      <w:r w:rsidRPr="009A0763">
        <w:rPr>
          <w:rFonts w:ascii="Palatino Linotype" w:hAnsi="Palatino Linotype" w:cs="Arial"/>
        </w:rPr>
        <w:t>en consecuencia, el ahora recurrente pres</w:t>
      </w:r>
      <w:r w:rsidR="00292C6A" w:rsidRPr="009A0763">
        <w:rPr>
          <w:rFonts w:ascii="Palatino Linotype" w:hAnsi="Palatino Linotype" w:cs="Arial"/>
        </w:rPr>
        <w:t>entó su inconformidad</w:t>
      </w:r>
      <w:r w:rsidR="0002415E" w:rsidRPr="009A0763">
        <w:rPr>
          <w:rFonts w:ascii="Palatino Linotype" w:hAnsi="Palatino Linotype" w:cs="Arial"/>
        </w:rPr>
        <w:t xml:space="preserve"> </w:t>
      </w:r>
      <w:r w:rsidR="00B51D0F" w:rsidRPr="009A0763">
        <w:rPr>
          <w:rFonts w:ascii="Palatino Linotype" w:hAnsi="Palatino Linotype" w:cs="Arial"/>
        </w:rPr>
        <w:t>e</w:t>
      </w:r>
      <w:r w:rsidR="00292C6A" w:rsidRPr="009A0763">
        <w:rPr>
          <w:rFonts w:ascii="Palatino Linotype" w:hAnsi="Palatino Linotype" w:cs="Arial"/>
        </w:rPr>
        <w:t xml:space="preserve">l día </w:t>
      </w:r>
      <w:r w:rsidR="006F2127" w:rsidRPr="009A0763">
        <w:rPr>
          <w:rFonts w:ascii="Palatino Linotype" w:hAnsi="Palatino Linotype" w:cs="Arial"/>
        </w:rPr>
        <w:t>veintiséis</w:t>
      </w:r>
      <w:r w:rsidR="0002415E" w:rsidRPr="009A0763">
        <w:rPr>
          <w:rFonts w:ascii="Palatino Linotype" w:hAnsi="Palatino Linotype" w:cs="Arial"/>
        </w:rPr>
        <w:t xml:space="preserve"> (</w:t>
      </w:r>
      <w:r w:rsidR="006F2127" w:rsidRPr="009A0763">
        <w:rPr>
          <w:rFonts w:ascii="Palatino Linotype" w:hAnsi="Palatino Linotype" w:cs="Arial"/>
        </w:rPr>
        <w:t>26</w:t>
      </w:r>
      <w:r w:rsidR="0002415E" w:rsidRPr="009A0763">
        <w:rPr>
          <w:rFonts w:ascii="Palatino Linotype" w:hAnsi="Palatino Linotype" w:cs="Arial"/>
        </w:rPr>
        <w:t xml:space="preserve">) </w:t>
      </w:r>
      <w:r w:rsidRPr="009A0763">
        <w:rPr>
          <w:rFonts w:ascii="Palatino Linotype" w:hAnsi="Palatino Linotype" w:cs="Arial"/>
        </w:rPr>
        <w:t xml:space="preserve">de </w:t>
      </w:r>
      <w:r w:rsidR="00B51D0F" w:rsidRPr="009A0763">
        <w:rPr>
          <w:rFonts w:ascii="Palatino Linotype" w:hAnsi="Palatino Linotype" w:cs="Arial"/>
        </w:rPr>
        <w:t>marz</w:t>
      </w:r>
      <w:r w:rsidRPr="009A0763">
        <w:rPr>
          <w:rFonts w:ascii="Palatino Linotype" w:hAnsi="Palatino Linotype" w:cs="Arial"/>
        </w:rPr>
        <w:t xml:space="preserve">o </w:t>
      </w:r>
      <w:r w:rsidR="0002415E" w:rsidRPr="009A0763">
        <w:rPr>
          <w:rFonts w:ascii="Palatino Linotype" w:hAnsi="Palatino Linotype" w:cs="Arial"/>
        </w:rPr>
        <w:t xml:space="preserve">de dos mil veinte; </w:t>
      </w:r>
      <w:r w:rsidR="00296F5B" w:rsidRPr="009A0763">
        <w:rPr>
          <w:rFonts w:ascii="Palatino Linotype" w:hAnsi="Palatino Linotype" w:cs="Arial"/>
        </w:rPr>
        <w:t xml:space="preserve">el cual con fundamento en el artículo 185 fracciones I, II y IV de la Ley de Transparencia y Acceso a la Información Pública del Estado de México y Municipios se admitió a trámite mediante acuerdo de fecha siete (7) de agosto de dos mil veinte, </w:t>
      </w:r>
      <w:r w:rsidR="0002415E" w:rsidRPr="009A0763">
        <w:rPr>
          <w:rFonts w:ascii="Palatino Linotype" w:hAnsi="Palatino Linotype" w:cs="Arial"/>
        </w:rPr>
        <w:t xml:space="preserve">por lo que </w:t>
      </w:r>
      <w:r w:rsidR="00B51D0F" w:rsidRPr="009A0763">
        <w:rPr>
          <w:rFonts w:ascii="Palatino Linotype" w:hAnsi="Palatino Linotype" w:cs="Arial"/>
        </w:rPr>
        <w:t>e</w:t>
      </w:r>
      <w:r w:rsidR="0002415E" w:rsidRPr="009A0763">
        <w:rPr>
          <w:rFonts w:ascii="Palatino Linotype" w:hAnsi="Palatino Linotype" w:cs="Arial"/>
        </w:rPr>
        <w:t>l</w:t>
      </w:r>
      <w:r w:rsidRPr="009A0763">
        <w:rPr>
          <w:rFonts w:ascii="Palatino Linotype" w:hAnsi="Palatino Linotype" w:cs="Arial"/>
        </w:rPr>
        <w:t xml:space="preserve"> medio de impugnación se encuentra</w:t>
      </w:r>
      <w:r w:rsidR="0002415E" w:rsidRPr="009A0763">
        <w:rPr>
          <w:rFonts w:ascii="Palatino Linotype" w:hAnsi="Palatino Linotype" w:cs="Arial"/>
        </w:rPr>
        <w:t>n</w:t>
      </w:r>
      <w:r w:rsidRPr="009A0763">
        <w:rPr>
          <w:rFonts w:ascii="Palatino Linotype" w:hAnsi="Palatino Linotype" w:cs="Arial"/>
        </w:rPr>
        <w:t xml:space="preserve"> dentro del lapso legalmente establecido para tal efecto. </w:t>
      </w:r>
    </w:p>
    <w:p w14:paraId="382D3001" w14:textId="77777777" w:rsidR="00262E4F" w:rsidRPr="009A0763" w:rsidRDefault="00262E4F" w:rsidP="00262E4F">
      <w:pPr>
        <w:pStyle w:val="Prrafodelista"/>
        <w:spacing w:line="360" w:lineRule="auto"/>
        <w:ind w:left="0"/>
        <w:jc w:val="both"/>
        <w:rPr>
          <w:rFonts w:ascii="Palatino Linotype" w:hAnsi="Palatino Linotype"/>
        </w:rPr>
      </w:pPr>
    </w:p>
    <w:p w14:paraId="38975C46" w14:textId="20D27A96" w:rsidR="00262E4F" w:rsidRPr="009A0763" w:rsidRDefault="00262E4F" w:rsidP="00262E4F">
      <w:pPr>
        <w:pStyle w:val="Prrafodelista"/>
        <w:numPr>
          <w:ilvl w:val="0"/>
          <w:numId w:val="2"/>
        </w:numPr>
        <w:spacing w:line="360" w:lineRule="auto"/>
        <w:ind w:left="0" w:firstLine="0"/>
        <w:jc w:val="both"/>
        <w:rPr>
          <w:rFonts w:ascii="Palatino Linotype" w:hAnsi="Palatino Linotype"/>
        </w:rPr>
      </w:pPr>
      <w:r w:rsidRPr="009A0763">
        <w:rPr>
          <w:rFonts w:ascii="Palatino Linotype" w:eastAsia="Calibri" w:hAnsi="Palatino Linotype" w:cs="Arial"/>
        </w:rPr>
        <w:t xml:space="preserve">Asimismo, el escrito contiene las formalidades previstas por el artículo 180 último párrafo de la Ley </w:t>
      </w:r>
      <w:r w:rsidR="00743767" w:rsidRPr="009A0763">
        <w:rPr>
          <w:rFonts w:ascii="Palatino Linotype" w:eastAsia="Calibri" w:hAnsi="Palatino Linotype" w:cs="Arial"/>
        </w:rPr>
        <w:t>de Transparencia y Acceso a la Información Pública del Estado de México y Municipios</w:t>
      </w:r>
      <w:r w:rsidRPr="009A0763">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21BBAEF7" w14:textId="77777777" w:rsidR="00262E4F" w:rsidRPr="009A0763" w:rsidRDefault="00262E4F" w:rsidP="00262E4F">
      <w:pPr>
        <w:pStyle w:val="Prrafodelista"/>
        <w:rPr>
          <w:rFonts w:ascii="Palatino Linotype" w:hAnsi="Palatino Linotype" w:cs="Arial"/>
          <w:szCs w:val="23"/>
        </w:rPr>
      </w:pPr>
    </w:p>
    <w:p w14:paraId="383402C9" w14:textId="77777777" w:rsidR="00262E4F" w:rsidRPr="009A0763" w:rsidRDefault="00262E4F" w:rsidP="00262E4F">
      <w:pPr>
        <w:pStyle w:val="Ttulo1"/>
        <w:spacing w:line="360" w:lineRule="auto"/>
        <w:rPr>
          <w:b/>
          <w:color w:val="000000" w:themeColor="text1"/>
          <w:szCs w:val="24"/>
        </w:rPr>
      </w:pPr>
      <w:bookmarkStart w:id="126" w:name="_Toc34246179"/>
      <w:bookmarkStart w:id="127" w:name="_Toc35535696"/>
      <w:r w:rsidRPr="009A0763">
        <w:rPr>
          <w:b/>
          <w:color w:val="000000" w:themeColor="text1"/>
          <w:szCs w:val="24"/>
        </w:rPr>
        <w:t xml:space="preserve">TERCERO. </w:t>
      </w:r>
      <w:bookmarkStart w:id="128" w:name="_Toc501021589"/>
      <w:bookmarkEnd w:id="124"/>
      <w:r w:rsidRPr="009A0763">
        <w:rPr>
          <w:b/>
          <w:color w:val="000000" w:themeColor="text1"/>
          <w:szCs w:val="24"/>
        </w:rPr>
        <w:t xml:space="preserve">Del planteamiento de la </w:t>
      </w:r>
      <w:r w:rsidRPr="009A0763">
        <w:rPr>
          <w:b/>
          <w:i/>
          <w:color w:val="000000" w:themeColor="text1"/>
          <w:szCs w:val="24"/>
        </w:rPr>
        <w:t>Litis</w:t>
      </w:r>
      <w:r w:rsidRPr="009A0763">
        <w:rPr>
          <w:b/>
          <w:color w:val="000000" w:themeColor="text1"/>
          <w:szCs w:val="24"/>
        </w:rPr>
        <w:t>.</w:t>
      </w:r>
      <w:bookmarkEnd w:id="125"/>
      <w:bookmarkEnd w:id="126"/>
      <w:bookmarkEnd w:id="127"/>
      <w:bookmarkEnd w:id="128"/>
    </w:p>
    <w:p w14:paraId="3E5BB6AE" w14:textId="77777777" w:rsidR="00262E4F" w:rsidRPr="009A0763" w:rsidRDefault="00262E4F" w:rsidP="00262E4F">
      <w:pPr>
        <w:rPr>
          <w:lang w:val="es-MX" w:eastAsia="en-US"/>
        </w:rPr>
      </w:pPr>
    </w:p>
    <w:p w14:paraId="5ECE3719" w14:textId="2A473D0D" w:rsidR="006F2127" w:rsidRPr="009A0763" w:rsidRDefault="00D52821" w:rsidP="00D52821">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9A0763">
        <w:rPr>
          <w:rFonts w:ascii="Palatino Linotype" w:eastAsia="MS Mincho" w:hAnsi="Palatino Linotype" w:cs="Times New Roman"/>
        </w:rPr>
        <w:t xml:space="preserve">De las constancias que obran en el expediente electrónico, se advierte que </w:t>
      </w:r>
      <w:r w:rsidR="006753F9" w:rsidRPr="009A0763">
        <w:rPr>
          <w:rFonts w:ascii="Palatino Linotype" w:eastAsia="MS Mincho" w:hAnsi="Palatino Linotype" w:cs="Times New Roman"/>
        </w:rPr>
        <w:t>el particular</w:t>
      </w:r>
      <w:r w:rsidRPr="009A0763">
        <w:rPr>
          <w:rFonts w:ascii="Palatino Linotype" w:eastAsia="MS Mincho" w:hAnsi="Palatino Linotype" w:cs="Times New Roman"/>
        </w:rPr>
        <w:t xml:space="preserve"> mediante solicitud de información vía Sistema de Acceso a la Información Mexiquense (SAIMEX) pidió al </w:t>
      </w:r>
      <w:r w:rsidRPr="009A0763">
        <w:rPr>
          <w:rFonts w:ascii="Palatino Linotype" w:eastAsia="MS Mincho" w:hAnsi="Palatino Linotype" w:cs="Times New Roman"/>
          <w:b/>
          <w:bCs/>
        </w:rPr>
        <w:t xml:space="preserve">SUJETO OBLIGADO </w:t>
      </w:r>
      <w:r w:rsidRPr="009A0763">
        <w:rPr>
          <w:rFonts w:ascii="Palatino Linotype" w:eastAsia="MS Mincho" w:hAnsi="Palatino Linotype" w:cs="Times New Roman"/>
        </w:rPr>
        <w:t xml:space="preserve">le proporcionara la información consistente en: </w:t>
      </w:r>
      <w:r w:rsidR="006F2127" w:rsidRPr="009A0763">
        <w:rPr>
          <w:rFonts w:ascii="Palatino Linotype" w:hAnsi="Palatino Linotype" w:cs="Arial"/>
        </w:rPr>
        <w:t>a) área facultada para detener vehículos e inspeccionar si cuentan con el dictamen al que hace alusión el artículo 145 ter del Código Penal del Estado de México</w:t>
      </w:r>
      <w:r w:rsidR="00C97111" w:rsidRPr="009A0763">
        <w:rPr>
          <w:rFonts w:ascii="Palatino Linotype" w:hAnsi="Palatino Linotype" w:cs="Arial"/>
        </w:rPr>
        <w:t xml:space="preserve"> y,</w:t>
      </w:r>
      <w:r w:rsidR="006F2127" w:rsidRPr="009A0763">
        <w:rPr>
          <w:rFonts w:ascii="Palatino Linotype" w:hAnsi="Palatino Linotype" w:cs="Arial"/>
        </w:rPr>
        <w:t xml:space="preserve"> b) Dependencia emisora del dictamen </w:t>
      </w:r>
      <w:r w:rsidR="00B538F7" w:rsidRPr="009A0763">
        <w:rPr>
          <w:rFonts w:ascii="Palatino Linotype" w:hAnsi="Palatino Linotype" w:cs="Arial"/>
        </w:rPr>
        <w:t>de referencia</w:t>
      </w:r>
      <w:r w:rsidR="00F15D5F" w:rsidRPr="009A0763">
        <w:rPr>
          <w:rFonts w:ascii="Palatino Linotype" w:hAnsi="Palatino Linotype" w:cs="Arial"/>
        </w:rPr>
        <w:t>.</w:t>
      </w:r>
    </w:p>
    <w:p w14:paraId="7A94CE35" w14:textId="77777777" w:rsidR="00D52821" w:rsidRPr="009A0763" w:rsidRDefault="00D52821" w:rsidP="00D52821">
      <w:pPr>
        <w:spacing w:line="360" w:lineRule="auto"/>
        <w:contextualSpacing/>
        <w:jc w:val="both"/>
        <w:rPr>
          <w:rFonts w:ascii="Palatino Linotype" w:hAnsi="Palatino Linotype" w:cs="Arial"/>
        </w:rPr>
      </w:pPr>
    </w:p>
    <w:p w14:paraId="6D8E9F26" w14:textId="35B5817D" w:rsidR="00F15D5F" w:rsidRPr="009A0763" w:rsidRDefault="00AB76E8" w:rsidP="003D3FA1">
      <w:pPr>
        <w:numPr>
          <w:ilvl w:val="0"/>
          <w:numId w:val="2"/>
        </w:numPr>
        <w:spacing w:line="360" w:lineRule="auto"/>
        <w:ind w:left="0" w:firstLine="0"/>
        <w:contextualSpacing/>
        <w:jc w:val="both"/>
        <w:rPr>
          <w:rFonts w:ascii="Palatino Linotype" w:hAnsi="Palatino Linotype" w:cs="Arial"/>
        </w:rPr>
      </w:pPr>
      <w:r w:rsidRPr="009A0763">
        <w:rPr>
          <w:rFonts w:ascii="Palatino Linotype" w:hAnsi="Palatino Linotype" w:cs="Arial"/>
        </w:rPr>
        <w:t xml:space="preserve">En </w:t>
      </w:r>
      <w:r w:rsidR="006753F9" w:rsidRPr="009A0763">
        <w:rPr>
          <w:rFonts w:ascii="Palatino Linotype" w:hAnsi="Palatino Linotype" w:cs="Arial"/>
        </w:rPr>
        <w:t xml:space="preserve">su </w:t>
      </w:r>
      <w:r w:rsidRPr="009A0763">
        <w:rPr>
          <w:rFonts w:ascii="Palatino Linotype" w:hAnsi="Palatino Linotype" w:cs="Arial"/>
        </w:rPr>
        <w:t>respuesta</w:t>
      </w:r>
      <w:r w:rsidR="00743767" w:rsidRPr="009A0763">
        <w:rPr>
          <w:rFonts w:ascii="Palatino Linotype" w:hAnsi="Palatino Linotype" w:cs="Arial"/>
        </w:rPr>
        <w:t xml:space="preserve">, </w:t>
      </w:r>
      <w:r w:rsidR="006753F9" w:rsidRPr="009A0763">
        <w:rPr>
          <w:rFonts w:ascii="Palatino Linotype" w:hAnsi="Palatino Linotype" w:cs="Arial"/>
        </w:rPr>
        <w:t>la</w:t>
      </w:r>
      <w:r w:rsidRPr="009A0763">
        <w:rPr>
          <w:rFonts w:ascii="Palatino Linotype" w:hAnsi="Palatino Linotype" w:cs="Arial"/>
        </w:rPr>
        <w:t xml:space="preserve"> Titular de la Unidad de Transparencia</w:t>
      </w:r>
      <w:r w:rsidR="006753F9" w:rsidRPr="009A0763">
        <w:rPr>
          <w:rFonts w:ascii="Palatino Linotype" w:hAnsi="Palatino Linotype" w:cs="Arial"/>
        </w:rPr>
        <w:t xml:space="preserve"> hizo del conocimiento</w:t>
      </w:r>
      <w:r w:rsidR="00743767" w:rsidRPr="009A0763">
        <w:rPr>
          <w:rFonts w:ascii="Palatino Linotype" w:hAnsi="Palatino Linotype" w:cs="Arial"/>
        </w:rPr>
        <w:t xml:space="preserve"> al hoy </w:t>
      </w:r>
      <w:r w:rsidR="00D52821" w:rsidRPr="009A0763">
        <w:rPr>
          <w:rFonts w:ascii="Palatino Linotype" w:hAnsi="Palatino Linotype" w:cs="Arial"/>
          <w:b/>
        </w:rPr>
        <w:t>RECURRENTE</w:t>
      </w:r>
      <w:r w:rsidR="00743767" w:rsidRPr="009A0763">
        <w:rPr>
          <w:rFonts w:ascii="Palatino Linotype" w:hAnsi="Palatino Linotype" w:cs="Arial"/>
        </w:rPr>
        <w:t xml:space="preserve"> que </w:t>
      </w:r>
      <w:r w:rsidR="00DB36C8" w:rsidRPr="009A0763">
        <w:rPr>
          <w:rFonts w:ascii="Palatino Linotype" w:hAnsi="Palatino Linotype" w:cs="Arial"/>
        </w:rPr>
        <w:t xml:space="preserve">la </w:t>
      </w:r>
      <w:r w:rsidR="00D52821" w:rsidRPr="009A0763">
        <w:rPr>
          <w:rFonts w:ascii="Palatino Linotype" w:hAnsi="Palatino Linotype" w:cs="Arial"/>
          <w:color w:val="000000" w:themeColor="text1"/>
        </w:rPr>
        <w:t>P</w:t>
      </w:r>
      <w:r w:rsidR="00D52821" w:rsidRPr="009A0763">
        <w:rPr>
          <w:rFonts w:ascii="Palatino Linotype" w:hAnsi="Palatino Linotype" w:cs="Arial"/>
          <w:color w:val="000000" w:themeColor="text1"/>
          <w:lang w:val="es-MX"/>
        </w:rPr>
        <w:t>olicía de Tránsito de la Secretaría de Seguridad del Estado de México no es la facultada para detener vehículos e inspeccionar si es que cuentan con el permiso de distribución de agua potable o dictamen de factibilidad correspondiente, ya que el Reglamento de Tránsito no lo contempla en su tabla de infracciones, sanciones y medidas de seguridad</w:t>
      </w:r>
      <w:r w:rsidR="003D3FA1" w:rsidRPr="009A0763">
        <w:rPr>
          <w:rFonts w:ascii="Palatino Linotype" w:hAnsi="Palatino Linotype" w:cs="Arial"/>
          <w:color w:val="000000" w:themeColor="text1"/>
          <w:lang w:val="es-MX"/>
        </w:rPr>
        <w:t xml:space="preserve">, lo cual  </w:t>
      </w:r>
      <w:r w:rsidR="003D3FA1" w:rsidRPr="009A0763">
        <w:rPr>
          <w:rFonts w:ascii="Palatino Linotype" w:hAnsi="Palatino Linotype" w:cs="Arial"/>
          <w:lang w:val="es-MX"/>
        </w:rPr>
        <w:t xml:space="preserve">podía </w:t>
      </w:r>
      <w:r w:rsidR="00D52821" w:rsidRPr="009A0763">
        <w:rPr>
          <w:rFonts w:ascii="Palatino Linotype" w:hAnsi="Palatino Linotype" w:cs="Arial"/>
          <w:color w:val="000000" w:themeColor="text1"/>
          <w:lang w:val="es-MX"/>
        </w:rPr>
        <w:t>corroborar</w:t>
      </w:r>
      <w:r w:rsidR="003D3FA1" w:rsidRPr="009A0763">
        <w:rPr>
          <w:rFonts w:ascii="Palatino Linotype" w:hAnsi="Palatino Linotype" w:cs="Arial"/>
          <w:color w:val="000000" w:themeColor="text1"/>
          <w:lang w:val="es-MX"/>
        </w:rPr>
        <w:t>se</w:t>
      </w:r>
      <w:r w:rsidR="00D52821" w:rsidRPr="009A0763">
        <w:rPr>
          <w:rFonts w:ascii="Palatino Linotype" w:hAnsi="Palatino Linotype" w:cs="Arial"/>
          <w:color w:val="000000" w:themeColor="text1"/>
          <w:lang w:val="es-MX"/>
        </w:rPr>
        <w:t xml:space="preserve"> a través de la liga electrónica del Reglamento de Tránsito del Estado de México a saber: http//legislación.edomex.gob.mx/sites/legislación.edomex.gob.mx/files/pdf/rgl/vig/rglvig079.pd</w:t>
      </w:r>
      <w:r w:rsidR="003D3FA1" w:rsidRPr="009A0763">
        <w:rPr>
          <w:rFonts w:ascii="Palatino Linotype" w:hAnsi="Palatino Linotype" w:cs="Arial"/>
          <w:color w:val="000000" w:themeColor="text1"/>
          <w:lang w:val="es-MX"/>
        </w:rPr>
        <w:t xml:space="preserve">f. Además hizo del conocimiento del </w:t>
      </w:r>
      <w:r w:rsidR="003D3FA1" w:rsidRPr="009A0763">
        <w:rPr>
          <w:rFonts w:ascii="Palatino Linotype" w:hAnsi="Palatino Linotype" w:cs="Arial"/>
          <w:b/>
          <w:color w:val="000000" w:themeColor="text1"/>
          <w:lang w:val="es-MX"/>
        </w:rPr>
        <w:t>RECURRENTE</w:t>
      </w:r>
      <w:r w:rsidR="003D3FA1" w:rsidRPr="009A0763">
        <w:rPr>
          <w:rFonts w:ascii="Palatino Linotype" w:hAnsi="Palatino Linotype" w:cs="Arial"/>
          <w:color w:val="000000" w:themeColor="text1"/>
          <w:lang w:val="es-MX"/>
        </w:rPr>
        <w:t xml:space="preserve"> </w:t>
      </w:r>
      <w:r w:rsidR="00D52821" w:rsidRPr="009A0763">
        <w:rPr>
          <w:rFonts w:ascii="Palatino Linotype" w:hAnsi="Palatino Linotype" w:cs="Arial"/>
          <w:color w:val="000000" w:themeColor="text1"/>
          <w:lang w:val="es-MX"/>
        </w:rPr>
        <w:t>que coresponde a la Comisión de Agua del Estado de México proponer los dictámenes de factibilidad para el suministro de agua potable en la entidad.</w:t>
      </w:r>
    </w:p>
    <w:p w14:paraId="19E00107" w14:textId="77777777" w:rsidR="003D3FA1" w:rsidRPr="009A0763" w:rsidRDefault="003D3FA1" w:rsidP="003D3FA1">
      <w:pPr>
        <w:spacing w:line="360" w:lineRule="auto"/>
        <w:contextualSpacing/>
        <w:jc w:val="both"/>
        <w:rPr>
          <w:rFonts w:ascii="Palatino Linotype" w:hAnsi="Palatino Linotype" w:cs="Arial"/>
        </w:rPr>
      </w:pPr>
    </w:p>
    <w:p w14:paraId="75D34C73" w14:textId="41722C2C" w:rsidR="006753F9" w:rsidRPr="009A0763" w:rsidRDefault="00F15D5F" w:rsidP="00B538F7">
      <w:pPr>
        <w:numPr>
          <w:ilvl w:val="0"/>
          <w:numId w:val="2"/>
        </w:numPr>
        <w:spacing w:line="360" w:lineRule="auto"/>
        <w:ind w:left="0" w:firstLine="0"/>
        <w:contextualSpacing/>
        <w:jc w:val="both"/>
        <w:rPr>
          <w:rFonts w:ascii="Palatino Linotype" w:hAnsi="Palatino Linotype" w:cs="Arial"/>
        </w:rPr>
      </w:pPr>
      <w:r w:rsidRPr="009A0763">
        <w:rPr>
          <w:rFonts w:ascii="Palatino Linotype" w:hAnsi="Palatino Linotype" w:cs="Arial"/>
        </w:rPr>
        <w:t xml:space="preserve">El </w:t>
      </w:r>
      <w:r w:rsidR="00AB76E8" w:rsidRPr="009A0763">
        <w:rPr>
          <w:rFonts w:ascii="Palatino Linotype" w:hAnsi="Palatino Linotype" w:cs="Arial"/>
        </w:rPr>
        <w:t>particular</w:t>
      </w:r>
      <w:r w:rsidRPr="009A0763">
        <w:rPr>
          <w:rFonts w:ascii="Palatino Linotype" w:hAnsi="Palatino Linotype" w:cs="Arial"/>
          <w:b/>
        </w:rPr>
        <w:t xml:space="preserve"> </w:t>
      </w:r>
      <w:r w:rsidRPr="009A0763">
        <w:rPr>
          <w:rFonts w:ascii="Palatino Linotype" w:hAnsi="Palatino Linotype" w:cs="Arial"/>
        </w:rPr>
        <w:t xml:space="preserve">inconforme con la respuesta, </w:t>
      </w:r>
      <w:r w:rsidR="006753F9" w:rsidRPr="009A0763">
        <w:rPr>
          <w:rFonts w:ascii="Palatino Linotype" w:hAnsi="Palatino Linotype" w:cs="Arial"/>
        </w:rPr>
        <w:t>señal</w:t>
      </w:r>
      <w:r w:rsidR="00525D09" w:rsidRPr="009A0763">
        <w:rPr>
          <w:rFonts w:ascii="Palatino Linotype" w:hAnsi="Palatino Linotype" w:cs="Arial"/>
        </w:rPr>
        <w:t>ó</w:t>
      </w:r>
      <w:r w:rsidR="00B13977" w:rsidRPr="009A0763">
        <w:rPr>
          <w:rFonts w:ascii="Palatino Linotype" w:hAnsi="Palatino Linotype" w:cs="Arial"/>
        </w:rPr>
        <w:t xml:space="preserve"> </w:t>
      </w:r>
      <w:r w:rsidR="006753F9" w:rsidRPr="009A0763">
        <w:rPr>
          <w:rFonts w:ascii="Palatino Linotype" w:hAnsi="Palatino Linotype" w:cs="Arial"/>
        </w:rPr>
        <w:t xml:space="preserve">como razones o motivos de inconformidad </w:t>
      </w:r>
      <w:r w:rsidR="00B13977" w:rsidRPr="009A0763">
        <w:rPr>
          <w:rFonts w:ascii="Palatino Linotype" w:hAnsi="Palatino Linotype" w:cs="Arial"/>
        </w:rPr>
        <w:t xml:space="preserve">que </w:t>
      </w:r>
      <w:r w:rsidR="00DB36C8" w:rsidRPr="009A0763">
        <w:rPr>
          <w:rFonts w:ascii="Palatino Linotype" w:hAnsi="Palatino Linotype" w:cs="Arial"/>
        </w:rPr>
        <w:t xml:space="preserve">la respuesta </w:t>
      </w:r>
      <w:r w:rsidR="006753F9" w:rsidRPr="009A0763">
        <w:rPr>
          <w:rFonts w:ascii="Palatino Linotype" w:hAnsi="Palatino Linotype" w:cs="Arial"/>
        </w:rPr>
        <w:t xml:space="preserve">señala a una </w:t>
      </w:r>
      <w:r w:rsidR="00A43D6C" w:rsidRPr="009A0763">
        <w:rPr>
          <w:rFonts w:ascii="Palatino Linotype" w:hAnsi="Palatino Linotype" w:cs="Arial"/>
        </w:rPr>
        <w:t>sola</w:t>
      </w:r>
      <w:r w:rsidR="00DB36C8" w:rsidRPr="009A0763">
        <w:rPr>
          <w:rFonts w:ascii="Palatino Linotype" w:hAnsi="Palatino Linotype" w:cs="Arial"/>
        </w:rPr>
        <w:t xml:space="preserve"> área o corporación de la Secretaría, lo </w:t>
      </w:r>
      <w:r w:rsidR="00CE6F8D" w:rsidRPr="009A0763">
        <w:rPr>
          <w:rFonts w:ascii="Palatino Linotype" w:hAnsi="Palatino Linotype" w:cs="Arial"/>
        </w:rPr>
        <w:t>que</w:t>
      </w:r>
      <w:r w:rsidR="006753F9" w:rsidRPr="009A0763">
        <w:rPr>
          <w:rFonts w:ascii="Palatino Linotype" w:hAnsi="Palatino Linotype" w:cs="Arial"/>
        </w:rPr>
        <w:t xml:space="preserve"> dejaría sin información suficiente sobre si pudiera ser otra área la facultada para realizar la acción consultada.</w:t>
      </w:r>
    </w:p>
    <w:p w14:paraId="73EB6877" w14:textId="77777777" w:rsidR="00A43D6C" w:rsidRPr="009A0763" w:rsidRDefault="00A43D6C" w:rsidP="006753F9">
      <w:pPr>
        <w:rPr>
          <w:rFonts w:ascii="Palatino Linotype" w:hAnsi="Palatino Linotype" w:cs="Arial"/>
        </w:rPr>
      </w:pPr>
    </w:p>
    <w:p w14:paraId="08A02390" w14:textId="506CB841" w:rsidR="00D52821" w:rsidRPr="009A0763" w:rsidRDefault="003D3FA1" w:rsidP="00B538F7">
      <w:pPr>
        <w:numPr>
          <w:ilvl w:val="0"/>
          <w:numId w:val="2"/>
        </w:numPr>
        <w:spacing w:line="360" w:lineRule="auto"/>
        <w:ind w:left="0" w:firstLine="0"/>
        <w:contextualSpacing/>
        <w:jc w:val="both"/>
        <w:rPr>
          <w:rFonts w:ascii="Palatino Linotype" w:hAnsi="Palatino Linotype" w:cs="Arial"/>
        </w:rPr>
      </w:pPr>
      <w:r w:rsidRPr="009A0763">
        <w:rPr>
          <w:rFonts w:ascii="Palatino Linotype" w:hAnsi="Palatino Linotype" w:cs="Arial"/>
        </w:rPr>
        <w:t xml:space="preserve">Posteriormente, el </w:t>
      </w:r>
      <w:r w:rsidRPr="009A0763">
        <w:rPr>
          <w:rFonts w:ascii="Palatino Linotype" w:hAnsi="Palatino Linotype" w:cs="Arial"/>
          <w:b/>
        </w:rPr>
        <w:t>SUJETO OBLIGADO</w:t>
      </w:r>
      <w:r w:rsidRPr="009A0763">
        <w:rPr>
          <w:rFonts w:ascii="Palatino Linotype" w:hAnsi="Palatino Linotype" w:cs="Arial"/>
        </w:rPr>
        <w:t xml:space="preserve"> mediante informe justificado refirió lo siguiente: </w:t>
      </w:r>
      <w:r w:rsidRPr="009A0763">
        <w:rPr>
          <w:rFonts w:ascii="Palatino Linotype" w:hAnsi="Palatino Linotype" w:cs="Arial"/>
          <w:i/>
        </w:rPr>
        <w:t>“…Este Sujeto Obligado CONFIRMA la respuesta otorgada al ahora recurrente conforme a los cuestionamientos planteados en su solicitud de Información…”</w:t>
      </w:r>
    </w:p>
    <w:p w14:paraId="0E2461FF" w14:textId="77777777" w:rsidR="003D3FA1" w:rsidRPr="009A0763" w:rsidRDefault="003D3FA1" w:rsidP="003D3FA1">
      <w:pPr>
        <w:pStyle w:val="Prrafodelista"/>
        <w:rPr>
          <w:rFonts w:ascii="Palatino Linotype" w:hAnsi="Palatino Linotype" w:cs="Arial"/>
        </w:rPr>
      </w:pPr>
    </w:p>
    <w:p w14:paraId="5EFDE647" w14:textId="5AB2BAE7" w:rsidR="003D3FA1" w:rsidRPr="009A0763" w:rsidRDefault="003D3FA1" w:rsidP="003D3FA1">
      <w:pPr>
        <w:pStyle w:val="Prrafodelista"/>
        <w:numPr>
          <w:ilvl w:val="0"/>
          <w:numId w:val="2"/>
        </w:numPr>
        <w:tabs>
          <w:tab w:val="left" w:pos="66"/>
          <w:tab w:val="left" w:pos="142"/>
        </w:tabs>
        <w:spacing w:line="360" w:lineRule="auto"/>
        <w:ind w:left="0" w:right="49" w:firstLine="0"/>
        <w:jc w:val="both"/>
        <w:rPr>
          <w:rFonts w:ascii="Palatino Linotype" w:eastAsia="MS Mincho" w:hAnsi="Palatino Linotype" w:cs="Times New Roman"/>
        </w:rPr>
      </w:pPr>
      <w:r w:rsidRPr="009A0763">
        <w:rPr>
          <w:rFonts w:ascii="Palatino Linotype" w:hAnsi="Palatino Linotype"/>
        </w:rPr>
        <w:lastRenderedPageBreak/>
        <w:t xml:space="preserve">Es por todo lo anterior, que se procede al estudio de las actuaciones contenidas en el expediente electrónico con la finalidad de determinar si el </w:t>
      </w:r>
      <w:r w:rsidR="004F5874" w:rsidRPr="009A0763">
        <w:rPr>
          <w:rFonts w:ascii="Palatino Linotype" w:hAnsi="Palatino Linotype"/>
          <w:b/>
          <w:bCs/>
        </w:rPr>
        <w:t xml:space="preserve">SUJETO OBLIGADO </w:t>
      </w:r>
      <w:r w:rsidRPr="009A0763">
        <w:rPr>
          <w:rFonts w:ascii="Palatino Linotype" w:hAnsi="Palatino Linotype"/>
        </w:rPr>
        <w:t xml:space="preserve">a través de su respuesta e informe justificado colmó lo solicitado por el recurrente o, por el contrario, ordenar la entrega de la información. </w:t>
      </w:r>
    </w:p>
    <w:p w14:paraId="125A4C68" w14:textId="4C2E481F" w:rsidR="003D3FA1" w:rsidRPr="009A0763" w:rsidRDefault="003D3FA1" w:rsidP="003D3FA1">
      <w:pPr>
        <w:pStyle w:val="Prrafodelista"/>
        <w:tabs>
          <w:tab w:val="left" w:pos="66"/>
          <w:tab w:val="left" w:pos="142"/>
        </w:tabs>
        <w:spacing w:line="360" w:lineRule="auto"/>
        <w:ind w:left="0" w:right="49"/>
        <w:jc w:val="both"/>
        <w:rPr>
          <w:rFonts w:ascii="Palatino Linotype" w:eastAsia="MS Mincho" w:hAnsi="Palatino Linotype" w:cs="Times New Roman"/>
        </w:rPr>
      </w:pPr>
    </w:p>
    <w:p w14:paraId="1A9A1B33" w14:textId="77777777" w:rsidR="003D3FA1" w:rsidRPr="009A0763" w:rsidRDefault="003D3FA1" w:rsidP="003D3FA1">
      <w:pPr>
        <w:keepNext/>
        <w:keepLines/>
        <w:spacing w:line="360" w:lineRule="auto"/>
        <w:outlineLvl w:val="0"/>
        <w:rPr>
          <w:rFonts w:ascii="Palatino Linotype" w:eastAsia="MS Gothic" w:hAnsi="Palatino Linotype" w:cstheme="majorBidi"/>
          <w:b/>
        </w:rPr>
      </w:pPr>
      <w:bookmarkStart w:id="129" w:name="_Toc35260969"/>
      <w:r w:rsidRPr="009A0763">
        <w:rPr>
          <w:rFonts w:ascii="Palatino Linotype" w:eastAsia="MS Gothic" w:hAnsi="Palatino Linotype" w:cstheme="majorBidi"/>
          <w:b/>
        </w:rPr>
        <w:t>CUARTO. Del estudio y resolución del recurso de revisión.</w:t>
      </w:r>
      <w:bookmarkEnd w:id="129"/>
    </w:p>
    <w:p w14:paraId="25123C5C" w14:textId="77777777" w:rsidR="003D3FA1" w:rsidRPr="009A0763" w:rsidRDefault="003D3FA1" w:rsidP="003D3FA1">
      <w:pPr>
        <w:keepNext/>
        <w:keepLines/>
        <w:spacing w:line="360" w:lineRule="auto"/>
        <w:outlineLvl w:val="0"/>
        <w:rPr>
          <w:rFonts w:ascii="Palatino Linotype" w:eastAsia="MS Mincho" w:hAnsi="Palatino Linotype"/>
          <w:b/>
        </w:rPr>
      </w:pPr>
    </w:p>
    <w:p w14:paraId="47A25E2D" w14:textId="77777777" w:rsidR="003D3FA1" w:rsidRPr="009A0763" w:rsidRDefault="003D3FA1" w:rsidP="003D3FA1">
      <w:pPr>
        <w:pStyle w:val="Prrafodelista"/>
        <w:numPr>
          <w:ilvl w:val="0"/>
          <w:numId w:val="2"/>
        </w:numPr>
        <w:tabs>
          <w:tab w:val="left" w:pos="66"/>
        </w:tabs>
        <w:spacing w:line="360" w:lineRule="auto"/>
        <w:ind w:left="0" w:firstLine="0"/>
        <w:jc w:val="both"/>
        <w:rPr>
          <w:rFonts w:ascii="Palatino Linotype" w:eastAsia="MS Mincho" w:hAnsi="Palatino Linotype" w:cs="Arial"/>
          <w:i/>
        </w:rPr>
      </w:pPr>
      <w:r w:rsidRPr="009A0763">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9A0763">
        <w:rPr>
          <w:rFonts w:ascii="Palatino Linotype" w:eastAsia="Calibri" w:hAnsi="Palatino Linotype" w:cs="Arial"/>
          <w:lang w:val="es-ES"/>
        </w:rPr>
        <w:t>Ley de Transparencia y Acceso a la Información Pública del Estado de México y Municipios</w:t>
      </w:r>
      <w:r w:rsidRPr="009A0763">
        <w:rPr>
          <w:rFonts w:ascii="Palatino Linotype" w:eastAsia="Times New Roman" w:hAnsi="Palatino Linotype" w:cs="Arial"/>
          <w:lang w:val="es-ES" w:eastAsia="es-MX"/>
        </w:rPr>
        <w:t>.</w:t>
      </w:r>
    </w:p>
    <w:p w14:paraId="3B03CC80" w14:textId="77777777" w:rsidR="003D3FA1" w:rsidRPr="009A0763" w:rsidRDefault="003D3FA1" w:rsidP="003D3FA1">
      <w:pPr>
        <w:pStyle w:val="Prrafodelista"/>
        <w:tabs>
          <w:tab w:val="left" w:pos="66"/>
        </w:tabs>
        <w:spacing w:line="360" w:lineRule="auto"/>
        <w:ind w:left="0"/>
        <w:jc w:val="both"/>
        <w:rPr>
          <w:rFonts w:ascii="Palatino Linotype" w:eastAsia="MS Mincho" w:hAnsi="Palatino Linotype" w:cs="Arial"/>
          <w:i/>
        </w:rPr>
      </w:pPr>
    </w:p>
    <w:p w14:paraId="1BC91069" w14:textId="77777777" w:rsidR="003D3FA1" w:rsidRPr="009A0763" w:rsidRDefault="003D3FA1" w:rsidP="003D3FA1">
      <w:pPr>
        <w:pStyle w:val="Prrafodelista"/>
        <w:keepNext/>
        <w:keepLines/>
        <w:spacing w:line="360" w:lineRule="auto"/>
        <w:ind w:left="0"/>
        <w:outlineLvl w:val="0"/>
        <w:rPr>
          <w:rFonts w:ascii="Palatino Linotype" w:eastAsia="MS Gothic" w:hAnsi="Palatino Linotype" w:cstheme="majorBidi"/>
          <w:b/>
        </w:rPr>
      </w:pPr>
      <w:bookmarkStart w:id="130" w:name="_Toc35260970"/>
      <w:r w:rsidRPr="009A0763">
        <w:rPr>
          <w:rFonts w:ascii="Palatino Linotype" w:eastAsia="MS Gothic" w:hAnsi="Palatino Linotype" w:cstheme="majorBidi"/>
          <w:b/>
        </w:rPr>
        <w:t>I. Fuente Obligacional.</w:t>
      </w:r>
      <w:bookmarkEnd w:id="130"/>
      <w:r w:rsidRPr="009A0763">
        <w:rPr>
          <w:rFonts w:ascii="Palatino Linotype" w:eastAsia="MS Gothic" w:hAnsi="Palatino Linotype" w:cstheme="majorBidi"/>
          <w:b/>
        </w:rPr>
        <w:t xml:space="preserve"> </w:t>
      </w:r>
    </w:p>
    <w:p w14:paraId="0B8751AE" w14:textId="77777777" w:rsidR="003D3FA1" w:rsidRPr="009A0763" w:rsidRDefault="003D3FA1" w:rsidP="003D3FA1">
      <w:pPr>
        <w:spacing w:line="360" w:lineRule="auto"/>
        <w:rPr>
          <w:rFonts w:ascii="Palatino Linotype" w:eastAsia="MS Mincho" w:hAnsi="Palatino Linotype"/>
        </w:rPr>
      </w:pPr>
    </w:p>
    <w:p w14:paraId="61554944" w14:textId="77777777"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rPr>
      </w:pPr>
      <w:r w:rsidRPr="009A0763">
        <w:rPr>
          <w:rFonts w:ascii="Palatino Linotype" w:eastAsia="MS Mincho" w:hAnsi="Palatino Linotype"/>
        </w:rPr>
        <w:t xml:space="preserve">El Derecho de Acceso a la Información Pública es un Derecho Humano reconocido en el Pacto de Derechos Civiles y Políticos en su artículo 19.2; en la Convención Americana sobre Derechos Humanos en su </w:t>
      </w:r>
      <w:r w:rsidRPr="009A0763">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1FE8935E" w14:textId="77777777" w:rsidR="003D3FA1" w:rsidRPr="009A0763" w:rsidRDefault="003D3FA1" w:rsidP="003D3FA1">
      <w:pPr>
        <w:spacing w:line="360" w:lineRule="auto"/>
        <w:ind w:right="49"/>
        <w:contextualSpacing/>
        <w:jc w:val="both"/>
        <w:rPr>
          <w:rFonts w:ascii="Palatino Linotype" w:eastAsia="MS Mincho" w:hAnsi="Palatino Linotype"/>
        </w:rPr>
      </w:pPr>
    </w:p>
    <w:p w14:paraId="386A3293" w14:textId="24BCCF1F"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rPr>
      </w:pPr>
      <w:r w:rsidRPr="009A0763">
        <w:rPr>
          <w:rFonts w:ascii="Palatino Linotype" w:eastAsia="MS Mincho" w:hAnsi="Palatino Linotype"/>
        </w:rPr>
        <w:lastRenderedPageBreak/>
        <w:t xml:space="preserve">El </w:t>
      </w:r>
      <w:r w:rsidR="004F5874" w:rsidRPr="009A0763">
        <w:rPr>
          <w:rFonts w:ascii="Palatino Linotype" w:eastAsia="MS Mincho" w:hAnsi="Palatino Linotype"/>
          <w:b/>
        </w:rPr>
        <w:t>SUJETO OBLIGADO</w:t>
      </w:r>
      <w:r w:rsidR="004F5874" w:rsidRPr="009A0763">
        <w:rPr>
          <w:rFonts w:ascii="Palatino Linotype" w:eastAsia="MS Mincho" w:hAnsi="Palatino Linotype"/>
        </w:rPr>
        <w:t xml:space="preserve"> </w:t>
      </w:r>
      <w:r w:rsidRPr="009A0763">
        <w:rPr>
          <w:rFonts w:ascii="Palatino Linotype" w:eastAsia="MS Mincho" w:hAnsi="Palatino Linotype"/>
        </w:rPr>
        <w:t xml:space="preserve">debe ser cuidadoso del debido cumplimiento de las obligaciones constitucionales que se le imponen </w:t>
      </w:r>
      <w:r w:rsidRPr="009A0763">
        <w:rPr>
          <w:rFonts w:ascii="Palatino Linotype" w:eastAsia="MS Mincho" w:hAnsi="Palatino Linotype" w:cstheme="majorBidi"/>
        </w:rPr>
        <w:t>según lo dispone el tercer párrafo del artículo primero de la Constitución Política de los Estados Unidos Mexicanos</w:t>
      </w:r>
      <w:r w:rsidRPr="009A0763">
        <w:rPr>
          <w:rFonts w:ascii="Palatino Linotype" w:eastAsia="MS Mincho" w:hAnsi="Palatino Linotype" w:cstheme="majorBidi"/>
          <w:b/>
        </w:rPr>
        <w:t xml:space="preserve"> </w:t>
      </w:r>
      <w:r w:rsidRPr="009A0763">
        <w:rPr>
          <w:rFonts w:ascii="Palatino Linotype" w:eastAsia="MS Mincho" w:hAnsi="Palatino Linotype" w:cstheme="majorBidi"/>
        </w:rPr>
        <w:t xml:space="preserve">al señalar la obligación de </w:t>
      </w:r>
      <w:r w:rsidRPr="009A0763">
        <w:rPr>
          <w:rFonts w:ascii="Palatino Linotype" w:eastAsia="MS Mincho" w:hAnsi="Palatino Linotype" w:cstheme="majorBidi"/>
          <w:i/>
        </w:rPr>
        <w:t xml:space="preserve">“promover, respetar, proteger y garantizar los derechos humanos”, </w:t>
      </w:r>
      <w:r w:rsidRPr="009A0763">
        <w:rPr>
          <w:rFonts w:ascii="Palatino Linotype" w:eastAsia="MS Mincho" w:hAnsi="Palatino Linotype" w:cstheme="majorBidi"/>
        </w:rPr>
        <w:t>entre los cuales se encuentra dicho derecho.</w:t>
      </w:r>
    </w:p>
    <w:p w14:paraId="5D22F86F" w14:textId="77777777" w:rsidR="003D3FA1" w:rsidRPr="009A0763" w:rsidRDefault="003D3FA1" w:rsidP="003D3FA1">
      <w:pPr>
        <w:spacing w:line="360" w:lineRule="auto"/>
        <w:ind w:right="49"/>
        <w:contextualSpacing/>
        <w:jc w:val="both"/>
        <w:rPr>
          <w:rFonts w:ascii="Palatino Linotype" w:eastAsia="MS Mincho" w:hAnsi="Palatino Linotype" w:cstheme="majorBidi"/>
          <w:i/>
        </w:rPr>
      </w:pPr>
    </w:p>
    <w:p w14:paraId="21A19BA9" w14:textId="77777777"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cstheme="majorBidi"/>
          <w:i/>
          <w:lang w:val="es-ES"/>
        </w:rPr>
      </w:pPr>
      <w:r w:rsidRPr="009A0763">
        <w:rPr>
          <w:rFonts w:ascii="Palatino Linotype" w:eastAsia="MS Mincho" w:hAnsi="Palatino Linotype" w:cstheme="majorBidi"/>
        </w:rPr>
        <w:t xml:space="preserve">Por cuanto hace al contenido del artículo 6 segundo párrafo, apartado A. fracción I </w:t>
      </w:r>
      <w:r w:rsidRPr="009A0763">
        <w:rPr>
          <w:rFonts w:ascii="Palatino Linotype" w:eastAsia="MS Mincho" w:hAnsi="Palatino Linotype" w:cstheme="majorBidi"/>
          <w:lang w:val="es-ES"/>
        </w:rPr>
        <w:t xml:space="preserve">de la Constitución Política de los Estados Unidos Mexicanos el cual establece </w:t>
      </w:r>
      <w:r w:rsidRPr="009A0763">
        <w:rPr>
          <w:rFonts w:ascii="Palatino Linotype" w:eastAsia="MS Mincho" w:hAnsi="Palatino Linotype" w:cstheme="majorBidi"/>
        </w:rPr>
        <w:t xml:space="preserve">que </w:t>
      </w:r>
      <w:r w:rsidRPr="009A0763">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9A0763">
        <w:rPr>
          <w:rFonts w:ascii="Palatino Linotype" w:eastAsia="MS Mincho" w:hAnsi="Palatino Linotype" w:cstheme="majorBidi"/>
          <w:b/>
          <w:i/>
          <w:lang w:val="es-ES"/>
        </w:rPr>
        <w:t>es pública</w:t>
      </w:r>
      <w:r w:rsidRPr="009A0763">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DD53FF" w14:textId="77777777" w:rsidR="003D3FA1" w:rsidRPr="009A0763" w:rsidRDefault="003D3FA1" w:rsidP="003D3FA1">
      <w:pPr>
        <w:spacing w:line="360" w:lineRule="auto"/>
        <w:ind w:right="49"/>
        <w:contextualSpacing/>
        <w:jc w:val="both"/>
        <w:rPr>
          <w:rFonts w:ascii="Palatino Linotype" w:eastAsia="MS Mincho" w:hAnsi="Palatino Linotype" w:cstheme="majorBidi"/>
          <w:i/>
          <w:lang w:val="es-ES"/>
        </w:rPr>
      </w:pPr>
    </w:p>
    <w:p w14:paraId="78EC40EA" w14:textId="77777777"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cstheme="majorBidi"/>
          <w:i/>
        </w:rPr>
      </w:pPr>
      <w:r w:rsidRPr="009A0763">
        <w:rPr>
          <w:rFonts w:ascii="Palatino Linotype" w:eastAsia="MS Mincho" w:hAnsi="Palatino Linotype" w:cstheme="majorBidi"/>
        </w:rPr>
        <w:t xml:space="preserve">Luego entonces, el acceso a la información pública es el derecho humano por medio del cual se puede solicitar información pública que </w:t>
      </w:r>
      <w:r w:rsidRPr="009A0763">
        <w:rPr>
          <w:rFonts w:ascii="Palatino Linotype" w:eastAsia="MS Mincho" w:hAnsi="Palatino Linotype" w:cstheme="majorBidi"/>
          <w:i/>
        </w:rPr>
        <w:t>generen, administren o posean las autoridades</w:t>
      </w:r>
      <w:r w:rsidRPr="009A0763">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1A8344B3" w14:textId="77777777" w:rsidR="003D3FA1" w:rsidRPr="009A0763" w:rsidRDefault="003D3FA1" w:rsidP="003D3FA1">
      <w:pPr>
        <w:spacing w:line="360" w:lineRule="auto"/>
        <w:ind w:right="49"/>
        <w:contextualSpacing/>
        <w:jc w:val="both"/>
        <w:rPr>
          <w:rFonts w:ascii="Palatino Linotype" w:eastAsia="MS Mincho" w:hAnsi="Palatino Linotype" w:cstheme="majorBidi"/>
          <w:i/>
        </w:rPr>
      </w:pPr>
    </w:p>
    <w:p w14:paraId="38EF4BE3" w14:textId="77777777"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rPr>
      </w:pPr>
      <w:r w:rsidRPr="009A0763">
        <w:rPr>
          <w:rFonts w:ascii="Palatino Linotype" w:eastAsia="MS Mincho" w:hAnsi="Palatino Linotype"/>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14:paraId="4F3F1A88" w14:textId="77777777" w:rsidR="003D3FA1" w:rsidRPr="009A0763" w:rsidRDefault="003D3FA1" w:rsidP="003D3FA1">
      <w:pPr>
        <w:spacing w:line="360" w:lineRule="auto"/>
        <w:ind w:right="49"/>
        <w:contextualSpacing/>
        <w:jc w:val="both"/>
        <w:rPr>
          <w:rFonts w:ascii="Palatino Linotype" w:eastAsia="MS Mincho" w:hAnsi="Palatino Linotype"/>
        </w:rPr>
      </w:pPr>
    </w:p>
    <w:p w14:paraId="42E9AFCB" w14:textId="77777777"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i/>
        </w:rPr>
      </w:pPr>
      <w:r w:rsidRPr="009A0763">
        <w:rPr>
          <w:rFonts w:ascii="Palatino Linotype" w:eastAsia="MS Mincho" w:hAnsi="Palatino Linotype"/>
        </w:rPr>
        <w:t xml:space="preserve">De acuerdo con el artículo 4 de la Ley en la materia, señala que </w:t>
      </w:r>
      <w:r w:rsidRPr="009A0763">
        <w:rPr>
          <w:rFonts w:ascii="Palatino Linotype" w:eastAsia="MS Mincho" w:hAnsi="Palatino Linotype"/>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A09D72A" w14:textId="77777777" w:rsidR="003D3FA1" w:rsidRPr="009A0763" w:rsidRDefault="003D3FA1" w:rsidP="003D3FA1">
      <w:pPr>
        <w:spacing w:line="360" w:lineRule="auto"/>
        <w:ind w:right="49"/>
        <w:contextualSpacing/>
        <w:jc w:val="both"/>
        <w:rPr>
          <w:rFonts w:ascii="Palatino Linotype" w:eastAsia="MS Mincho" w:hAnsi="Palatino Linotype"/>
          <w:i/>
        </w:rPr>
      </w:pPr>
    </w:p>
    <w:p w14:paraId="069026A0" w14:textId="77777777"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rPr>
      </w:pPr>
      <w:r w:rsidRPr="009A0763">
        <w:rPr>
          <w:rFonts w:ascii="Palatino Linotype" w:eastAsia="MS Mincho" w:hAnsi="Palatino Linotype"/>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63267CB9" w14:textId="77777777" w:rsidR="003D3FA1" w:rsidRPr="009A0763" w:rsidRDefault="003D3FA1" w:rsidP="003D3FA1">
      <w:pPr>
        <w:pStyle w:val="Prrafodelista"/>
        <w:spacing w:line="360" w:lineRule="auto"/>
        <w:rPr>
          <w:rFonts w:ascii="Palatino Linotype" w:eastAsia="MS Mincho" w:hAnsi="Palatino Linotype" w:cs="Times New Roman"/>
        </w:rPr>
      </w:pPr>
    </w:p>
    <w:p w14:paraId="568BB2AD" w14:textId="33B6EAE4"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rPr>
      </w:pPr>
      <w:r w:rsidRPr="009A0763">
        <w:rPr>
          <w:rFonts w:ascii="Palatino Linotype" w:eastAsia="MS Mincho" w:hAnsi="Palatino Linotype"/>
        </w:rPr>
        <w:lastRenderedPageBreak/>
        <w:t>Por lo que, toda la información que sea generada, poseída y administrada por el</w:t>
      </w:r>
      <w:r w:rsidRPr="009A0763">
        <w:rPr>
          <w:rFonts w:ascii="Palatino Linotype" w:eastAsia="MS Mincho" w:hAnsi="Palatino Linotype"/>
          <w:b/>
        </w:rPr>
        <w:t xml:space="preserve"> </w:t>
      </w:r>
      <w:r w:rsidR="004F5874" w:rsidRPr="009A0763">
        <w:rPr>
          <w:rFonts w:ascii="Palatino Linotype" w:eastAsia="MS Mincho" w:hAnsi="Palatino Linotype"/>
          <w:b/>
        </w:rPr>
        <w:t>SUJETO OBLIGADO</w:t>
      </w:r>
      <w:r w:rsidRPr="009A0763">
        <w:rPr>
          <w:rFonts w:ascii="Palatino Linotype" w:eastAsia="MS Mincho" w:hAnsi="Palatino Linotype"/>
          <w:b/>
        </w:rPr>
        <w:t>,</w:t>
      </w:r>
      <w:r w:rsidRPr="009A0763">
        <w:rPr>
          <w:rFonts w:ascii="Palatino Linotype" w:eastAsia="MS Mincho" w:hAnsi="Palatino Linotype"/>
        </w:rPr>
        <w:t xml:space="preserve"> es pública y accesible de manera permanente a cualquier persona, privilegiando en todo momento el principio de “máxima publicidad” de la misma. </w:t>
      </w:r>
    </w:p>
    <w:p w14:paraId="48527F26" w14:textId="77777777" w:rsidR="003D3FA1" w:rsidRPr="009A0763" w:rsidRDefault="003D3FA1" w:rsidP="003D3FA1">
      <w:pPr>
        <w:spacing w:line="360" w:lineRule="auto"/>
        <w:ind w:right="49"/>
        <w:contextualSpacing/>
        <w:jc w:val="both"/>
        <w:rPr>
          <w:rFonts w:ascii="Palatino Linotype" w:eastAsia="MS Mincho" w:hAnsi="Palatino Linotype"/>
        </w:rPr>
      </w:pPr>
    </w:p>
    <w:p w14:paraId="1FE4A8A7" w14:textId="77777777" w:rsidR="003D3FA1" w:rsidRPr="009A0763" w:rsidRDefault="003D3FA1" w:rsidP="003D3FA1">
      <w:pPr>
        <w:keepNext/>
        <w:keepLines/>
        <w:spacing w:line="360" w:lineRule="auto"/>
        <w:outlineLvl w:val="0"/>
        <w:rPr>
          <w:rFonts w:ascii="Palatino Linotype" w:eastAsia="MS Gothic" w:hAnsi="Palatino Linotype" w:cstheme="majorBidi"/>
          <w:b/>
        </w:rPr>
      </w:pPr>
      <w:bookmarkStart w:id="131" w:name="_Toc35260971"/>
      <w:r w:rsidRPr="009A0763">
        <w:rPr>
          <w:rFonts w:ascii="Palatino Linotype" w:eastAsia="MS Gothic" w:hAnsi="Palatino Linotype" w:cstheme="majorBidi"/>
          <w:b/>
        </w:rPr>
        <w:t>II. De la información solicitada y la respuesta del Sujeto Obligado.</w:t>
      </w:r>
      <w:bookmarkEnd w:id="131"/>
      <w:r w:rsidRPr="009A0763">
        <w:rPr>
          <w:rFonts w:ascii="Palatino Linotype" w:eastAsia="MS Gothic" w:hAnsi="Palatino Linotype" w:cstheme="majorBidi"/>
          <w:b/>
        </w:rPr>
        <w:t xml:space="preserve"> </w:t>
      </w:r>
    </w:p>
    <w:p w14:paraId="2226CBF6" w14:textId="77777777" w:rsidR="003D3FA1" w:rsidRPr="009A0763" w:rsidRDefault="003D3FA1" w:rsidP="003D3FA1">
      <w:pPr>
        <w:spacing w:line="360" w:lineRule="auto"/>
        <w:ind w:right="49"/>
        <w:contextualSpacing/>
        <w:jc w:val="both"/>
        <w:rPr>
          <w:rFonts w:ascii="Palatino Linotype" w:eastAsia="MS Mincho" w:hAnsi="Palatino Linotype"/>
        </w:rPr>
      </w:pPr>
    </w:p>
    <w:p w14:paraId="456B662C" w14:textId="2F66B47D" w:rsidR="003D3FA1" w:rsidRPr="009A0763" w:rsidRDefault="003D3FA1" w:rsidP="003D3FA1">
      <w:pPr>
        <w:numPr>
          <w:ilvl w:val="0"/>
          <w:numId w:val="2"/>
        </w:numPr>
        <w:spacing w:line="360" w:lineRule="auto"/>
        <w:ind w:left="0" w:right="49" w:firstLine="0"/>
        <w:contextualSpacing/>
        <w:jc w:val="both"/>
        <w:rPr>
          <w:rFonts w:ascii="Palatino Linotype" w:eastAsia="MS Mincho" w:hAnsi="Palatino Linotype"/>
        </w:rPr>
      </w:pPr>
      <w:r w:rsidRPr="009A0763">
        <w:rPr>
          <w:rFonts w:ascii="Palatino Linotype" w:eastAsia="MS Mincho" w:hAnsi="Palatino Linotype"/>
        </w:rPr>
        <w:t xml:space="preserve">Para proceder al análisis del presente asunto, es necesario recapitular lo que el particular solicitó del </w:t>
      </w:r>
      <w:r w:rsidR="004F5874" w:rsidRPr="009A0763">
        <w:rPr>
          <w:rFonts w:ascii="Palatino Linotype" w:eastAsia="MS Mincho" w:hAnsi="Palatino Linotype"/>
          <w:b/>
        </w:rPr>
        <w:t xml:space="preserve">SUJETO OBLIGADO </w:t>
      </w:r>
      <w:r w:rsidRPr="009A0763">
        <w:rPr>
          <w:rFonts w:ascii="Palatino Linotype" w:eastAsia="MS Mincho" w:hAnsi="Palatino Linotype"/>
        </w:rPr>
        <w:t xml:space="preserve">siendo lo siguiente: </w:t>
      </w:r>
    </w:p>
    <w:p w14:paraId="443B7C9A" w14:textId="77777777" w:rsidR="003D3FA1" w:rsidRPr="009A0763" w:rsidRDefault="003D3FA1" w:rsidP="003D3FA1">
      <w:pPr>
        <w:pStyle w:val="Prrafodelista"/>
        <w:tabs>
          <w:tab w:val="left" w:pos="142"/>
        </w:tabs>
        <w:spacing w:line="360" w:lineRule="auto"/>
        <w:ind w:left="0" w:right="49"/>
        <w:jc w:val="both"/>
        <w:rPr>
          <w:rFonts w:ascii="Palatino Linotype" w:eastAsia="MS Mincho" w:hAnsi="Palatino Linotype" w:cs="Times New Roman"/>
        </w:rPr>
      </w:pPr>
    </w:p>
    <w:p w14:paraId="5371CFB4" w14:textId="75E57033" w:rsidR="003D3FA1" w:rsidRPr="009A0763" w:rsidRDefault="003D3FA1" w:rsidP="003D3FA1">
      <w:pPr>
        <w:pStyle w:val="Prrafodelista"/>
        <w:numPr>
          <w:ilvl w:val="0"/>
          <w:numId w:val="40"/>
        </w:numPr>
        <w:spacing w:line="360" w:lineRule="auto"/>
        <w:ind w:left="567" w:right="567" w:firstLine="0"/>
        <w:jc w:val="both"/>
        <w:rPr>
          <w:rFonts w:ascii="Palatino Linotype" w:hAnsi="Palatino Linotype"/>
          <w:b/>
          <w:bCs/>
          <w:color w:val="000000"/>
        </w:rPr>
      </w:pPr>
      <w:r w:rsidRPr="009A0763">
        <w:rPr>
          <w:rFonts w:ascii="Palatino Linotype" w:hAnsi="Palatino Linotype"/>
          <w:b/>
          <w:bCs/>
          <w:color w:val="000000"/>
        </w:rPr>
        <w:t>Es la Secretaría de Seguridad a través de la Policía Estatal o alguna otra área, la fa</w:t>
      </w:r>
      <w:r w:rsidR="00C27A4C" w:rsidRPr="009A0763">
        <w:rPr>
          <w:rFonts w:ascii="Palatino Linotype" w:hAnsi="Palatino Linotype"/>
          <w:b/>
          <w:bCs/>
          <w:color w:val="000000"/>
        </w:rPr>
        <w:t>c</w:t>
      </w:r>
      <w:r w:rsidRPr="009A0763">
        <w:rPr>
          <w:rFonts w:ascii="Palatino Linotype" w:hAnsi="Palatino Linotype"/>
          <w:b/>
          <w:bCs/>
          <w:color w:val="000000"/>
        </w:rPr>
        <w:t>ultada para deten</w:t>
      </w:r>
      <w:r w:rsidR="00C27A4C" w:rsidRPr="009A0763">
        <w:rPr>
          <w:rFonts w:ascii="Palatino Linotype" w:hAnsi="Palatino Linotype"/>
          <w:b/>
          <w:bCs/>
          <w:color w:val="000000"/>
        </w:rPr>
        <w:t>e</w:t>
      </w:r>
      <w:r w:rsidRPr="009A0763">
        <w:rPr>
          <w:rFonts w:ascii="Palatino Linotype" w:hAnsi="Palatino Linotype"/>
          <w:b/>
          <w:bCs/>
          <w:color w:val="000000"/>
        </w:rPr>
        <w:t>r vehículos e inspeccionar si estos cuentan con el permiso o dictamen al que hace alusión el artículo 145 ter del Código Penal del Estado de México.</w:t>
      </w:r>
    </w:p>
    <w:p w14:paraId="7E0E4584" w14:textId="77777777" w:rsidR="006753F9" w:rsidRPr="009A0763" w:rsidRDefault="006753F9" w:rsidP="006753F9">
      <w:pPr>
        <w:pStyle w:val="Prrafodelista"/>
        <w:spacing w:line="360" w:lineRule="auto"/>
        <w:ind w:left="567" w:right="567"/>
        <w:jc w:val="both"/>
        <w:rPr>
          <w:rFonts w:ascii="Palatino Linotype" w:hAnsi="Palatino Linotype"/>
          <w:b/>
          <w:bCs/>
          <w:color w:val="000000"/>
        </w:rPr>
      </w:pPr>
    </w:p>
    <w:p w14:paraId="04378093" w14:textId="5E4A21EB" w:rsidR="003D3FA1" w:rsidRPr="009A0763" w:rsidRDefault="003D3FA1" w:rsidP="003D3FA1">
      <w:pPr>
        <w:pStyle w:val="Prrafodelista"/>
        <w:numPr>
          <w:ilvl w:val="0"/>
          <w:numId w:val="40"/>
        </w:numPr>
        <w:spacing w:line="360" w:lineRule="auto"/>
        <w:ind w:left="567" w:right="567" w:firstLine="0"/>
        <w:jc w:val="both"/>
        <w:rPr>
          <w:rFonts w:ascii="Palatino Linotype" w:hAnsi="Palatino Linotype"/>
          <w:b/>
          <w:bCs/>
          <w:color w:val="000000"/>
        </w:rPr>
      </w:pPr>
      <w:r w:rsidRPr="009A0763">
        <w:rPr>
          <w:rFonts w:ascii="Palatino Linotype" w:hAnsi="Palatino Linotype"/>
          <w:b/>
          <w:bCs/>
          <w:color w:val="000000"/>
        </w:rPr>
        <w:t>Qué dependencia es la emisora del dictamen al que hace referencia el artículo 145 Ter del Código Penal del Estado de México.</w:t>
      </w:r>
    </w:p>
    <w:p w14:paraId="4D83E73E" w14:textId="77777777" w:rsidR="003D3FA1" w:rsidRPr="009A0763" w:rsidRDefault="003D3FA1" w:rsidP="003D3FA1">
      <w:pPr>
        <w:pStyle w:val="Prrafodelista"/>
        <w:spacing w:line="360" w:lineRule="auto"/>
        <w:ind w:left="1418" w:right="567"/>
        <w:jc w:val="both"/>
        <w:rPr>
          <w:rFonts w:ascii="Palatino Linotype" w:hAnsi="Palatino Linotype"/>
          <w:b/>
          <w:iCs/>
          <w:color w:val="000000"/>
        </w:rPr>
      </w:pPr>
    </w:p>
    <w:p w14:paraId="43AE08E7" w14:textId="77BA5A59" w:rsidR="00C27A4C" w:rsidRPr="009A0763" w:rsidRDefault="00C27A4C" w:rsidP="00C27A4C">
      <w:pPr>
        <w:numPr>
          <w:ilvl w:val="0"/>
          <w:numId w:val="2"/>
        </w:numPr>
        <w:spacing w:line="360" w:lineRule="auto"/>
        <w:ind w:left="0" w:firstLine="0"/>
        <w:contextualSpacing/>
        <w:jc w:val="both"/>
        <w:rPr>
          <w:rFonts w:ascii="Palatino Linotype" w:hAnsi="Palatino Linotype"/>
          <w:b/>
          <w:iCs/>
          <w:color w:val="000000"/>
        </w:rPr>
      </w:pPr>
      <w:r w:rsidRPr="009A0763">
        <w:rPr>
          <w:rFonts w:ascii="Palatino Linotype" w:eastAsia="MS Mincho" w:hAnsi="Palatino Linotype" w:cs="Arial"/>
        </w:rPr>
        <w:t>Por lo que hace a la primera parte de su solicitud (inciso a) del párrafo anterior), e</w:t>
      </w:r>
      <w:r w:rsidR="003D3FA1" w:rsidRPr="009A0763">
        <w:rPr>
          <w:rFonts w:ascii="Palatino Linotype" w:eastAsia="MS Mincho" w:hAnsi="Palatino Linotype" w:cs="Arial"/>
        </w:rPr>
        <w:t xml:space="preserve">l </w:t>
      </w:r>
      <w:r w:rsidR="003D3FA1" w:rsidRPr="009A0763">
        <w:rPr>
          <w:rFonts w:ascii="Palatino Linotype" w:eastAsia="MS Mincho" w:hAnsi="Palatino Linotype" w:cs="Arial"/>
          <w:b/>
        </w:rPr>
        <w:t>SUJETO OBLIGADO</w:t>
      </w:r>
      <w:r w:rsidR="003D3FA1" w:rsidRPr="009A0763">
        <w:rPr>
          <w:rFonts w:ascii="Palatino Linotype" w:eastAsia="MS Mincho" w:hAnsi="Palatino Linotype" w:cs="Arial"/>
        </w:rPr>
        <w:t xml:space="preserve">  refirió en </w:t>
      </w:r>
      <w:r w:rsidRPr="009A0763">
        <w:rPr>
          <w:rFonts w:ascii="Palatino Linotype" w:eastAsia="MS Mincho" w:hAnsi="Palatino Linotype" w:cs="Arial"/>
        </w:rPr>
        <w:t xml:space="preserve">su </w:t>
      </w:r>
      <w:r w:rsidR="003D3FA1" w:rsidRPr="009A0763">
        <w:rPr>
          <w:rFonts w:ascii="Palatino Linotype" w:eastAsia="MS Mincho" w:hAnsi="Palatino Linotype" w:cs="Arial"/>
        </w:rPr>
        <w:t xml:space="preserve">respuesta </w:t>
      </w:r>
      <w:r w:rsidRPr="009A0763">
        <w:rPr>
          <w:rFonts w:ascii="Palatino Linotype" w:hAnsi="Palatino Linotype"/>
          <w:iCs/>
          <w:color w:val="000000"/>
        </w:rPr>
        <w:t xml:space="preserve">que </w:t>
      </w:r>
      <w:r w:rsidRPr="009A0763">
        <w:rPr>
          <w:rFonts w:ascii="Palatino Linotype" w:hAnsi="Palatino Linotype" w:cs="Arial"/>
          <w:color w:val="000000" w:themeColor="text1"/>
        </w:rPr>
        <w:t>l</w:t>
      </w:r>
      <w:r w:rsidRPr="009A0763">
        <w:rPr>
          <w:rFonts w:ascii="Palatino Linotype" w:hAnsi="Palatino Linotype" w:cs="Arial"/>
          <w:color w:val="000000" w:themeColor="text1"/>
          <w:lang w:val="es-MX"/>
        </w:rPr>
        <w:t xml:space="preserve">a </w:t>
      </w:r>
      <w:r w:rsidR="006753F9" w:rsidRPr="009A0763">
        <w:rPr>
          <w:rFonts w:ascii="Palatino Linotype" w:hAnsi="Palatino Linotype" w:cs="Arial"/>
          <w:color w:val="000000" w:themeColor="text1"/>
          <w:lang w:val="es-MX"/>
        </w:rPr>
        <w:t>P</w:t>
      </w:r>
      <w:r w:rsidRPr="009A0763">
        <w:rPr>
          <w:rFonts w:ascii="Palatino Linotype" w:hAnsi="Palatino Linotype" w:cs="Arial"/>
          <w:color w:val="000000" w:themeColor="text1"/>
          <w:lang w:val="es-MX"/>
        </w:rPr>
        <w:t xml:space="preserve">olicía de Tránsito de la Secretaría de Seguridad del Estado de México </w:t>
      </w:r>
      <w:r w:rsidRPr="009A0763">
        <w:rPr>
          <w:rFonts w:ascii="Palatino Linotype" w:hAnsi="Palatino Linotype" w:cs="Arial"/>
          <w:b/>
          <w:color w:val="000000" w:themeColor="text1"/>
          <w:lang w:val="es-MX"/>
        </w:rPr>
        <w:t>no es la f</w:t>
      </w:r>
      <w:r w:rsidR="006753F9" w:rsidRPr="009A0763">
        <w:rPr>
          <w:rFonts w:ascii="Palatino Linotype" w:hAnsi="Palatino Linotype" w:cs="Arial"/>
          <w:b/>
          <w:color w:val="000000" w:themeColor="text1"/>
          <w:lang w:val="es-MX"/>
        </w:rPr>
        <w:t>a</w:t>
      </w:r>
      <w:r w:rsidRPr="009A0763">
        <w:rPr>
          <w:rFonts w:ascii="Palatino Linotype" w:hAnsi="Palatino Linotype" w:cs="Arial"/>
          <w:b/>
          <w:color w:val="000000" w:themeColor="text1"/>
          <w:lang w:val="es-MX"/>
        </w:rPr>
        <w:t>cultada</w:t>
      </w:r>
      <w:r w:rsidRPr="009A0763">
        <w:rPr>
          <w:rFonts w:ascii="Palatino Linotype" w:hAnsi="Palatino Linotype" w:cs="Arial"/>
          <w:color w:val="000000" w:themeColor="text1"/>
          <w:lang w:val="es-MX"/>
        </w:rPr>
        <w:t xml:space="preserve"> para detener vehículos e inspeccionar si es que cuentan con el permiso de distribución de agua </w:t>
      </w:r>
      <w:r w:rsidRPr="009A0763">
        <w:rPr>
          <w:rFonts w:ascii="Palatino Linotype" w:hAnsi="Palatino Linotype" w:cs="Arial"/>
          <w:color w:val="000000" w:themeColor="text1"/>
          <w:lang w:val="es-MX"/>
        </w:rPr>
        <w:lastRenderedPageBreak/>
        <w:t xml:space="preserve">potable o dictamen de factibilidad correspondiente, ya que el Reglamento de Tránsito no lo contempla en su tabla de infracciones, sanciones y medidas de seguridad, lo cual podía ser corroborado a través de la liga electrónica del Reglamento de Tránsito del Estado de México a saber: http//legislación.edomex.gob.mx/sites/legislación.edomex.gob.mx/files/pdf/rgl/vig/rglvig079.pdf. Respecto de la segunda parte de su solicitud de información (inciso b) del párrafo anterior), el </w:t>
      </w:r>
      <w:r w:rsidRPr="009A0763">
        <w:rPr>
          <w:rFonts w:ascii="Palatino Linotype" w:hAnsi="Palatino Linotype" w:cs="Arial"/>
          <w:b/>
          <w:color w:val="000000" w:themeColor="text1"/>
          <w:lang w:val="es-MX"/>
        </w:rPr>
        <w:t>SUJETO OBLIGADO</w:t>
      </w:r>
      <w:r w:rsidRPr="009A0763">
        <w:rPr>
          <w:rFonts w:ascii="Palatino Linotype" w:hAnsi="Palatino Linotype" w:cs="Arial"/>
          <w:color w:val="000000" w:themeColor="text1"/>
          <w:lang w:val="es-MX"/>
        </w:rPr>
        <w:t xml:space="preserve"> le hizo del conocimiento del </w:t>
      </w:r>
      <w:r w:rsidRPr="009A0763">
        <w:rPr>
          <w:rFonts w:ascii="Palatino Linotype" w:hAnsi="Palatino Linotype" w:cs="Arial"/>
          <w:b/>
          <w:color w:val="000000" w:themeColor="text1"/>
          <w:lang w:val="es-MX"/>
        </w:rPr>
        <w:t>RECURRENTE</w:t>
      </w:r>
      <w:r w:rsidRPr="009A0763">
        <w:rPr>
          <w:rFonts w:ascii="Palatino Linotype" w:hAnsi="Palatino Linotype" w:cs="Arial"/>
          <w:color w:val="000000" w:themeColor="text1"/>
          <w:lang w:val="es-MX"/>
        </w:rPr>
        <w:t xml:space="preserve"> que coresponde a </w:t>
      </w:r>
      <w:r w:rsidRPr="009A0763">
        <w:rPr>
          <w:rFonts w:ascii="Palatino Linotype" w:hAnsi="Palatino Linotype" w:cs="Arial"/>
          <w:b/>
          <w:color w:val="000000" w:themeColor="text1"/>
          <w:lang w:val="es-MX"/>
        </w:rPr>
        <w:t>la Comisión de Agua del Estado de México proponer los dictámenes de factibilidad para el suministro de agua potable e</w:t>
      </w:r>
      <w:r w:rsidRPr="009A0763">
        <w:rPr>
          <w:rFonts w:ascii="Palatino Linotype" w:hAnsi="Palatino Linotype" w:cs="Arial"/>
          <w:color w:val="000000" w:themeColor="text1"/>
          <w:lang w:val="es-MX"/>
        </w:rPr>
        <w:t>n la entidad.</w:t>
      </w:r>
    </w:p>
    <w:p w14:paraId="711096D0" w14:textId="77777777" w:rsidR="003D3FA1" w:rsidRPr="009A0763" w:rsidRDefault="003D3FA1" w:rsidP="003D3FA1">
      <w:pPr>
        <w:spacing w:line="360" w:lineRule="auto"/>
        <w:contextualSpacing/>
        <w:jc w:val="both"/>
        <w:rPr>
          <w:rFonts w:ascii="Palatino Linotype" w:hAnsi="Palatino Linotype"/>
          <w:b/>
          <w:iCs/>
          <w:color w:val="000000"/>
        </w:rPr>
      </w:pPr>
    </w:p>
    <w:p w14:paraId="7EC8DD02" w14:textId="2DC32082" w:rsidR="00352407" w:rsidRPr="009A0763" w:rsidRDefault="003D3FA1" w:rsidP="00C27A4C">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Asimismo, en atención a lo vertido por el </w:t>
      </w:r>
      <w:r w:rsidR="00525D09" w:rsidRPr="009A0763">
        <w:rPr>
          <w:rFonts w:ascii="Palatino Linotype" w:hAnsi="Palatino Linotype"/>
          <w:b/>
          <w:iCs/>
          <w:color w:val="000000"/>
        </w:rPr>
        <w:t>RECURRENTE</w:t>
      </w:r>
      <w:r w:rsidR="00525D09" w:rsidRPr="009A0763">
        <w:rPr>
          <w:rFonts w:ascii="Palatino Linotype" w:hAnsi="Palatino Linotype"/>
          <w:iCs/>
          <w:color w:val="000000"/>
        </w:rPr>
        <w:t xml:space="preserve"> </w:t>
      </w:r>
      <w:r w:rsidRPr="009A0763">
        <w:rPr>
          <w:rFonts w:ascii="Palatino Linotype" w:hAnsi="Palatino Linotype"/>
          <w:iCs/>
          <w:color w:val="000000"/>
        </w:rPr>
        <w:t xml:space="preserve">mediante recurso de revisión, el </w:t>
      </w:r>
      <w:r w:rsidR="004F5874" w:rsidRPr="009A0763">
        <w:rPr>
          <w:rFonts w:ascii="Palatino Linotype" w:hAnsi="Palatino Linotype"/>
          <w:b/>
          <w:iCs/>
          <w:color w:val="000000"/>
        </w:rPr>
        <w:t xml:space="preserve">SUJETO OBLIGADO </w:t>
      </w:r>
      <w:r w:rsidRPr="009A0763">
        <w:rPr>
          <w:rFonts w:ascii="Palatino Linotype" w:hAnsi="Palatino Linotype"/>
          <w:iCs/>
          <w:color w:val="000000"/>
        </w:rPr>
        <w:t xml:space="preserve">a través de su informe justificado, </w:t>
      </w:r>
      <w:r w:rsidR="00C27A4C" w:rsidRPr="009A0763">
        <w:rPr>
          <w:rFonts w:ascii="Palatino Linotype" w:hAnsi="Palatino Linotype"/>
          <w:iCs/>
          <w:color w:val="000000"/>
        </w:rPr>
        <w:t>en primer término confirmo la respuesta otorgada al hoy recurrente conforme a los cuestionamie</w:t>
      </w:r>
      <w:r w:rsidR="00352407" w:rsidRPr="009A0763">
        <w:rPr>
          <w:rFonts w:ascii="Palatino Linotype" w:hAnsi="Palatino Linotype"/>
          <w:iCs/>
          <w:color w:val="000000"/>
        </w:rPr>
        <w:t>n</w:t>
      </w:r>
      <w:r w:rsidR="00C27A4C" w:rsidRPr="009A0763">
        <w:rPr>
          <w:rFonts w:ascii="Palatino Linotype" w:hAnsi="Palatino Linotype"/>
          <w:iCs/>
          <w:color w:val="000000"/>
        </w:rPr>
        <w:t>tos hechos</w:t>
      </w:r>
      <w:r w:rsidR="00352407" w:rsidRPr="009A0763">
        <w:rPr>
          <w:rFonts w:ascii="Palatino Linotype" w:hAnsi="Palatino Linotype"/>
          <w:iCs/>
          <w:color w:val="000000"/>
        </w:rPr>
        <w:t>.</w:t>
      </w:r>
    </w:p>
    <w:p w14:paraId="7AD38584" w14:textId="77777777" w:rsidR="00352407" w:rsidRPr="009A0763" w:rsidRDefault="00352407" w:rsidP="00352407">
      <w:pPr>
        <w:pStyle w:val="Prrafodelista"/>
        <w:rPr>
          <w:rFonts w:ascii="Palatino Linotype" w:hAnsi="Palatino Linotype"/>
          <w:iCs/>
          <w:color w:val="000000"/>
          <w:lang w:val="es-US"/>
        </w:rPr>
      </w:pPr>
    </w:p>
    <w:p w14:paraId="39A490D3" w14:textId="5143636A" w:rsidR="00A902A7" w:rsidRPr="009A0763" w:rsidRDefault="00C27A4C" w:rsidP="00D30740">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Por lo que hace al primer</w:t>
      </w:r>
      <w:r w:rsidR="006753F9" w:rsidRPr="009A0763">
        <w:rPr>
          <w:rFonts w:ascii="Palatino Linotype" w:hAnsi="Palatino Linotype"/>
          <w:iCs/>
          <w:color w:val="000000"/>
        </w:rPr>
        <w:t>o</w:t>
      </w:r>
      <w:r w:rsidRPr="009A0763">
        <w:rPr>
          <w:rFonts w:ascii="Palatino Linotype" w:hAnsi="Palatino Linotype"/>
          <w:iCs/>
          <w:color w:val="000000"/>
        </w:rPr>
        <w:t xml:space="preserve"> de estos cuestionamientos consistente </w:t>
      </w:r>
      <w:r w:rsidR="00525D09" w:rsidRPr="009A0763">
        <w:rPr>
          <w:rFonts w:ascii="Palatino Linotype" w:hAnsi="Palatino Linotype"/>
          <w:iCs/>
          <w:color w:val="000000"/>
        </w:rPr>
        <w:t>en</w:t>
      </w:r>
      <w:r w:rsidRPr="009A0763">
        <w:rPr>
          <w:rFonts w:ascii="Palatino Linotype" w:hAnsi="Palatino Linotype"/>
          <w:iCs/>
          <w:color w:val="000000"/>
        </w:rPr>
        <w:t xml:space="preserve"> si </w:t>
      </w:r>
      <w:r w:rsidR="00525D09" w:rsidRPr="009A0763">
        <w:rPr>
          <w:rFonts w:ascii="Palatino Linotype" w:hAnsi="Palatino Linotype"/>
          <w:iCs/>
          <w:color w:val="000000"/>
        </w:rPr>
        <w:t xml:space="preserve">el </w:t>
      </w:r>
      <w:r w:rsidR="00525D09" w:rsidRPr="009A0763">
        <w:rPr>
          <w:rFonts w:ascii="Palatino Linotype" w:hAnsi="Palatino Linotype"/>
          <w:b/>
          <w:iCs/>
          <w:color w:val="000000"/>
        </w:rPr>
        <w:t>SUEJTO OBLIGADO</w:t>
      </w:r>
      <w:r w:rsidR="00525D09" w:rsidRPr="009A0763">
        <w:rPr>
          <w:rFonts w:ascii="Palatino Linotype" w:hAnsi="Palatino Linotype"/>
          <w:iCs/>
          <w:color w:val="000000"/>
        </w:rPr>
        <w:t xml:space="preserve"> </w:t>
      </w:r>
      <w:r w:rsidRPr="009A0763">
        <w:rPr>
          <w:rFonts w:ascii="Palatino Linotype" w:hAnsi="Palatino Linotype"/>
          <w:iCs/>
          <w:color w:val="000000"/>
        </w:rPr>
        <w:t>a través de la Policía Estatal o alguna otra área</w:t>
      </w:r>
      <w:r w:rsidR="00525D09" w:rsidRPr="009A0763">
        <w:rPr>
          <w:rFonts w:ascii="Palatino Linotype" w:hAnsi="Palatino Linotype"/>
          <w:iCs/>
          <w:color w:val="000000"/>
        </w:rPr>
        <w:t xml:space="preserve"> es</w:t>
      </w:r>
      <w:r w:rsidRPr="009A0763">
        <w:rPr>
          <w:rFonts w:ascii="Palatino Linotype" w:hAnsi="Palatino Linotype"/>
          <w:iCs/>
          <w:color w:val="000000"/>
        </w:rPr>
        <w:t xml:space="preserve"> la facultada para detener vehículos e inspeccionar si estos cuentan con el permiso o dictamen al que hace alusión el artículo 145 ter del Código Penal del Estado de México, el </w:t>
      </w:r>
      <w:r w:rsidRPr="009A0763">
        <w:rPr>
          <w:rFonts w:ascii="Palatino Linotype" w:hAnsi="Palatino Linotype"/>
          <w:b/>
          <w:iCs/>
          <w:color w:val="000000"/>
        </w:rPr>
        <w:t>SUJETO OBLIGADO</w:t>
      </w:r>
      <w:r w:rsidRPr="009A0763">
        <w:rPr>
          <w:rFonts w:ascii="Palatino Linotype" w:hAnsi="Palatino Linotype"/>
          <w:iCs/>
          <w:color w:val="000000"/>
        </w:rPr>
        <w:t xml:space="preserve">, reitera que no está facultada para detener vehículos e inspeccionar si es que cuenta con el permiso de distribución de agua potable o </w:t>
      </w:r>
      <w:r w:rsidRPr="009A0763">
        <w:rPr>
          <w:rFonts w:ascii="Palatino Linotype" w:hAnsi="Palatino Linotype"/>
          <w:iCs/>
          <w:color w:val="000000"/>
        </w:rPr>
        <w:lastRenderedPageBreak/>
        <w:t>dictamen de factibilidad correspondiente, ya que el Reglamento de Tránsito no lo contempla en su tabla de infracciones, sanciones y medidas de seguridad</w:t>
      </w:r>
      <w:r w:rsidR="00A902A7" w:rsidRPr="009A0763">
        <w:rPr>
          <w:rFonts w:ascii="Palatino Linotype" w:hAnsi="Palatino Linotype"/>
          <w:iCs/>
          <w:color w:val="000000"/>
        </w:rPr>
        <w:t xml:space="preserve">. </w:t>
      </w:r>
    </w:p>
    <w:p w14:paraId="0B5DF16C" w14:textId="77777777" w:rsidR="0022366A" w:rsidRPr="009A0763" w:rsidRDefault="0022366A" w:rsidP="0022366A">
      <w:pPr>
        <w:pStyle w:val="Prrafodelista"/>
        <w:rPr>
          <w:rFonts w:ascii="Palatino Linotype" w:hAnsi="Palatino Linotype"/>
          <w:iCs/>
          <w:color w:val="000000"/>
        </w:rPr>
      </w:pPr>
    </w:p>
    <w:p w14:paraId="2E038537" w14:textId="64FDE7B9" w:rsidR="0022366A" w:rsidRPr="009A0763" w:rsidRDefault="003B5831" w:rsidP="0022366A">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lang w:val="es-ES_tradnl"/>
        </w:rPr>
        <w:t>Derivado de</w:t>
      </w:r>
      <w:r w:rsidRPr="009A0763">
        <w:rPr>
          <w:rFonts w:ascii="Palatino Linotype" w:hAnsi="Palatino Linotype"/>
          <w:iCs/>
          <w:color w:val="000000"/>
        </w:rPr>
        <w:t xml:space="preserve"> las razones o motivos de inconformidad expresadas por el </w:t>
      </w:r>
      <w:r w:rsidRPr="009A0763">
        <w:rPr>
          <w:rFonts w:ascii="Palatino Linotype" w:hAnsi="Palatino Linotype"/>
          <w:b/>
          <w:iCs/>
          <w:color w:val="000000"/>
        </w:rPr>
        <w:t>RECURRENTE</w:t>
      </w:r>
      <w:r w:rsidRPr="009A0763">
        <w:rPr>
          <w:rFonts w:ascii="Palatino Linotype" w:hAnsi="Palatino Linotype"/>
          <w:iCs/>
          <w:color w:val="000000"/>
        </w:rPr>
        <w:t xml:space="preserve"> respecto de que en la respuesta otorgada señala a una sola área o corporación de la Secretaría, lo que lo deja sin información suficiente obre si pudiera ser otra área la facultada para realizar la acción consultada,</w:t>
      </w:r>
      <w:r w:rsidR="0022366A" w:rsidRPr="009A0763">
        <w:rPr>
          <w:rFonts w:ascii="Palatino Linotype" w:hAnsi="Palatino Linotype"/>
          <w:iCs/>
          <w:color w:val="000000"/>
        </w:rPr>
        <w:t xml:space="preserve"> </w:t>
      </w:r>
      <w:r w:rsidR="006753F9" w:rsidRPr="009A0763">
        <w:rPr>
          <w:rFonts w:ascii="Palatino Linotype" w:hAnsi="Palatino Linotype"/>
          <w:iCs/>
          <w:color w:val="000000"/>
        </w:rPr>
        <w:t xml:space="preserve">el </w:t>
      </w:r>
      <w:r w:rsidR="006753F9" w:rsidRPr="009A0763">
        <w:rPr>
          <w:rFonts w:ascii="Palatino Linotype" w:hAnsi="Palatino Linotype"/>
          <w:b/>
          <w:iCs/>
          <w:color w:val="000000"/>
        </w:rPr>
        <w:t>SUJETO OBLIGADO</w:t>
      </w:r>
      <w:r w:rsidR="006753F9" w:rsidRPr="009A0763">
        <w:rPr>
          <w:rFonts w:ascii="Palatino Linotype" w:hAnsi="Palatino Linotype"/>
          <w:iCs/>
          <w:color w:val="000000"/>
        </w:rPr>
        <w:t xml:space="preserve"> </w:t>
      </w:r>
      <w:r w:rsidR="0022366A" w:rsidRPr="009A0763">
        <w:rPr>
          <w:rFonts w:ascii="Palatino Linotype" w:hAnsi="Palatino Linotype"/>
          <w:iCs/>
          <w:color w:val="000000"/>
        </w:rPr>
        <w:t>en su informe justificado</w:t>
      </w:r>
      <w:r w:rsidR="006753F9" w:rsidRPr="009A0763">
        <w:rPr>
          <w:rFonts w:ascii="Palatino Linotype" w:hAnsi="Palatino Linotype"/>
          <w:iCs/>
          <w:color w:val="000000"/>
        </w:rPr>
        <w:t xml:space="preserve">, </w:t>
      </w:r>
      <w:r w:rsidR="0022366A" w:rsidRPr="009A0763">
        <w:rPr>
          <w:rFonts w:ascii="Palatino Linotype" w:hAnsi="Palatino Linotype"/>
          <w:iCs/>
          <w:color w:val="000000"/>
        </w:rPr>
        <w:t xml:space="preserve">hace del conocimiento </w:t>
      </w:r>
      <w:r w:rsidRPr="009A0763">
        <w:rPr>
          <w:rFonts w:ascii="Palatino Linotype" w:hAnsi="Palatino Linotype"/>
          <w:iCs/>
          <w:color w:val="000000"/>
        </w:rPr>
        <w:t>del</w:t>
      </w:r>
      <w:r w:rsidR="006753F9" w:rsidRPr="009A0763">
        <w:rPr>
          <w:rFonts w:ascii="Palatino Linotype" w:hAnsi="Palatino Linotype"/>
          <w:iCs/>
          <w:color w:val="000000"/>
        </w:rPr>
        <w:t xml:space="preserve"> </w:t>
      </w:r>
      <w:r w:rsidR="006753F9" w:rsidRPr="009A0763">
        <w:rPr>
          <w:rFonts w:ascii="Palatino Linotype" w:hAnsi="Palatino Linotype"/>
          <w:b/>
          <w:iCs/>
          <w:color w:val="000000"/>
        </w:rPr>
        <w:t>RECURRENTE</w:t>
      </w:r>
      <w:r w:rsidR="006753F9" w:rsidRPr="009A0763">
        <w:rPr>
          <w:rFonts w:ascii="Palatino Linotype" w:hAnsi="Palatino Linotype"/>
          <w:iCs/>
          <w:color w:val="000000"/>
        </w:rPr>
        <w:t xml:space="preserve"> </w:t>
      </w:r>
      <w:r w:rsidR="0022366A" w:rsidRPr="009A0763">
        <w:rPr>
          <w:rFonts w:ascii="Palatino Linotype" w:hAnsi="Palatino Linotype"/>
          <w:iCs/>
          <w:color w:val="000000"/>
        </w:rPr>
        <w:t>que l</w:t>
      </w:r>
      <w:r w:rsidR="006753F9" w:rsidRPr="009A0763">
        <w:rPr>
          <w:rFonts w:ascii="Palatino Linotype" w:hAnsi="Palatino Linotype"/>
          <w:iCs/>
          <w:color w:val="000000"/>
        </w:rPr>
        <w:t xml:space="preserve">a </w:t>
      </w:r>
      <w:r w:rsidR="0022366A" w:rsidRPr="009A0763">
        <w:rPr>
          <w:rFonts w:ascii="Palatino Linotype" w:hAnsi="Palatino Linotype"/>
          <w:iCs/>
          <w:color w:val="000000"/>
        </w:rPr>
        <w:t>Secretaría de Seguridad del Estado de México para el estudio y planeación y despacho de los asuntos de su competencia, así como para atender las funciones de control y evaluación que le corresponden se auxilia de diversas unidades admin</w:t>
      </w:r>
      <w:r w:rsidR="006753F9" w:rsidRPr="009A0763">
        <w:rPr>
          <w:rFonts w:ascii="Palatino Linotype" w:hAnsi="Palatino Linotype"/>
          <w:iCs/>
          <w:color w:val="000000"/>
        </w:rPr>
        <w:t>i</w:t>
      </w:r>
      <w:r w:rsidR="0022366A" w:rsidRPr="009A0763">
        <w:rPr>
          <w:rFonts w:ascii="Palatino Linotype" w:hAnsi="Palatino Linotype"/>
          <w:iCs/>
          <w:color w:val="000000"/>
        </w:rPr>
        <w:t>strativas que enlista en su informe justificado y que atendiendo a las funciones de cada Unidad Administ</w:t>
      </w:r>
      <w:r w:rsidR="006753F9" w:rsidRPr="009A0763">
        <w:rPr>
          <w:rFonts w:ascii="Palatino Linotype" w:hAnsi="Palatino Linotype"/>
          <w:iCs/>
          <w:color w:val="000000"/>
        </w:rPr>
        <w:t>r</w:t>
      </w:r>
      <w:r w:rsidR="0022366A" w:rsidRPr="009A0763">
        <w:rPr>
          <w:rFonts w:ascii="Palatino Linotype" w:hAnsi="Palatino Linotype"/>
          <w:iCs/>
          <w:color w:val="000000"/>
        </w:rPr>
        <w:t>ativa de la Secretaría de Seguridad ninguna tiene la facultad de detener vehículos (pipas) e inspeccionarlos con la finalidad de saber si estos cuentan con el permiso de distribución o de factibilidad correspondiente, por no ser parte de sus funciones, lo cual se pude corroborar en el Reglam</w:t>
      </w:r>
      <w:r w:rsidR="004E1DF7" w:rsidRPr="009A0763">
        <w:rPr>
          <w:rFonts w:ascii="Palatino Linotype" w:hAnsi="Palatino Linotype"/>
          <w:iCs/>
          <w:color w:val="000000"/>
        </w:rPr>
        <w:t>e</w:t>
      </w:r>
      <w:r w:rsidR="0022366A" w:rsidRPr="009A0763">
        <w:rPr>
          <w:rFonts w:ascii="Palatino Linotype" w:hAnsi="Palatino Linotype"/>
          <w:iCs/>
          <w:color w:val="000000"/>
        </w:rPr>
        <w:t>nto In</w:t>
      </w:r>
      <w:r w:rsidR="004E1DF7" w:rsidRPr="009A0763">
        <w:rPr>
          <w:rFonts w:ascii="Palatino Linotype" w:hAnsi="Palatino Linotype"/>
          <w:iCs/>
          <w:color w:val="000000"/>
        </w:rPr>
        <w:t>t</w:t>
      </w:r>
      <w:r w:rsidR="0022366A" w:rsidRPr="009A0763">
        <w:rPr>
          <w:rFonts w:ascii="Palatino Linotype" w:hAnsi="Palatino Linotype"/>
          <w:iCs/>
          <w:color w:val="000000"/>
        </w:rPr>
        <w:t>erior de la Secretaría de Seguridad.</w:t>
      </w:r>
    </w:p>
    <w:p w14:paraId="02BE3D5A" w14:textId="77777777" w:rsidR="0022366A" w:rsidRPr="009A0763" w:rsidRDefault="0022366A" w:rsidP="0022366A">
      <w:pPr>
        <w:spacing w:line="360" w:lineRule="auto"/>
        <w:contextualSpacing/>
        <w:jc w:val="both"/>
        <w:rPr>
          <w:rFonts w:ascii="Palatino Linotype" w:hAnsi="Palatino Linotype"/>
          <w:iCs/>
          <w:color w:val="000000"/>
        </w:rPr>
      </w:pPr>
    </w:p>
    <w:p w14:paraId="39148459" w14:textId="77777777" w:rsidR="0022366A" w:rsidRPr="009A0763" w:rsidRDefault="0022366A" w:rsidP="0022366A">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Respecto del cuestionamiento consistente en cuál es la dependencia emisora del dictamen al que hace referencia el artículo 145 Ter del Código Penal del Estado de México, el sujeto obligado reitera que la autoridad facultada para proponer los dictámenes de factibilidad para el suministro de agua potable es la Comisión de Agua del Estado de México, tal y como lo establece los artículos 14, 19, fracción IV y </w:t>
      </w:r>
      <w:r w:rsidRPr="009A0763">
        <w:rPr>
          <w:rFonts w:ascii="Palatino Linotype" w:hAnsi="Palatino Linotype"/>
          <w:iCs/>
          <w:color w:val="000000"/>
        </w:rPr>
        <w:lastRenderedPageBreak/>
        <w:t>22 fracción XIII del Reglamento Interior de la Comisión del Agua del Estado de México.</w:t>
      </w:r>
    </w:p>
    <w:p w14:paraId="732551F3" w14:textId="77777777" w:rsidR="00A902A7" w:rsidRPr="009A0763" w:rsidRDefault="00A902A7" w:rsidP="0022366A">
      <w:pPr>
        <w:spacing w:line="360" w:lineRule="auto"/>
        <w:contextualSpacing/>
        <w:jc w:val="both"/>
        <w:rPr>
          <w:rFonts w:ascii="Palatino Linotype" w:hAnsi="Palatino Linotype"/>
          <w:iCs/>
          <w:color w:val="000000"/>
        </w:rPr>
      </w:pPr>
    </w:p>
    <w:p w14:paraId="4EA43897" w14:textId="64C054AE" w:rsidR="00A902A7" w:rsidRPr="009A0763" w:rsidRDefault="00A902A7" w:rsidP="00A902A7">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Aunado a lo anterior, el </w:t>
      </w:r>
      <w:r w:rsidR="003B5831" w:rsidRPr="009A0763">
        <w:rPr>
          <w:rFonts w:ascii="Palatino Linotype" w:hAnsi="Palatino Linotype"/>
          <w:b/>
          <w:iCs/>
          <w:color w:val="000000"/>
        </w:rPr>
        <w:t>SUJETO OBLIGADO</w:t>
      </w:r>
      <w:r w:rsidR="003B5831" w:rsidRPr="009A0763">
        <w:rPr>
          <w:rFonts w:ascii="Palatino Linotype" w:hAnsi="Palatino Linotype"/>
          <w:iCs/>
          <w:color w:val="000000"/>
        </w:rPr>
        <w:t xml:space="preserve"> </w:t>
      </w:r>
      <w:r w:rsidRPr="009A0763">
        <w:rPr>
          <w:rFonts w:ascii="Palatino Linotype" w:hAnsi="Palatino Linotype"/>
          <w:iCs/>
          <w:color w:val="000000"/>
        </w:rPr>
        <w:t xml:space="preserve">señala en su Informe Justificado que la Comisión del Agua del Estado de México, tiene por objeto normar la explotación, uso, aprovechamiento, administración, control y suministro de las aguas de jurisdicción estatal y municipal y sus bienes inherentes, para la prestación de los servicios de agua potable, drenaje y alcantarillado, saneamiento, y tratamiento de aguas residuales, su reúso y la disposición final de sus productos resultantes. Para lo cual transcribe el contenido de los artículos 18 fracción VIII, 34 Ter y 151 de la Ley del Agua del Estado de México y los artículos 19 fracción IV del Reglamento Interior de la Comisión de Agua del Estado de México y por ende reitera que </w:t>
      </w:r>
      <w:r w:rsidR="00D30740" w:rsidRPr="009A0763">
        <w:rPr>
          <w:rFonts w:ascii="Palatino Linotype" w:hAnsi="Palatino Linotype"/>
          <w:iCs/>
          <w:color w:val="000000"/>
        </w:rPr>
        <w:t>como parte de las funciones del sujeto obligado no le corresponde realizar detenciones a vehículos (pipas) con la finalidad de verificar si éstas cuentan con el permiso de distribución o dictamen de factibilidad correspondiente.</w:t>
      </w:r>
    </w:p>
    <w:p w14:paraId="68268BA1" w14:textId="77777777" w:rsidR="00A902A7" w:rsidRPr="009A0763" w:rsidRDefault="00A902A7" w:rsidP="00A902A7">
      <w:pPr>
        <w:pStyle w:val="Prrafodelista"/>
        <w:rPr>
          <w:rFonts w:ascii="Palatino Linotype" w:hAnsi="Palatino Linotype"/>
          <w:iCs/>
          <w:color w:val="000000"/>
        </w:rPr>
      </w:pPr>
    </w:p>
    <w:p w14:paraId="3F11F3C6" w14:textId="77777777" w:rsidR="00352407" w:rsidRPr="009A0763" w:rsidRDefault="00352407" w:rsidP="00352407">
      <w:pPr>
        <w:pStyle w:val="Prrafodelista"/>
        <w:rPr>
          <w:rFonts w:ascii="Palatino Linotype" w:hAnsi="Palatino Linotype"/>
          <w:iCs/>
          <w:color w:val="000000"/>
        </w:rPr>
      </w:pPr>
    </w:p>
    <w:p w14:paraId="0FF9F0A7" w14:textId="4309E3EE" w:rsidR="00C85E67" w:rsidRPr="009A0763" w:rsidRDefault="00352407" w:rsidP="00C85E67">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Derivado del análisis </w:t>
      </w:r>
      <w:r w:rsidR="006753F9" w:rsidRPr="009A0763">
        <w:rPr>
          <w:rFonts w:ascii="Palatino Linotype" w:hAnsi="Palatino Linotype"/>
          <w:iCs/>
          <w:color w:val="000000"/>
        </w:rPr>
        <w:t xml:space="preserve">hecho </w:t>
      </w:r>
      <w:r w:rsidRPr="009A0763">
        <w:rPr>
          <w:rFonts w:ascii="Palatino Linotype" w:hAnsi="Palatino Linotype"/>
          <w:iCs/>
          <w:color w:val="000000"/>
        </w:rPr>
        <w:t>a l</w:t>
      </w:r>
      <w:r w:rsidR="006753F9" w:rsidRPr="009A0763">
        <w:rPr>
          <w:rFonts w:ascii="Palatino Linotype" w:hAnsi="Palatino Linotype"/>
          <w:iCs/>
          <w:color w:val="000000"/>
        </w:rPr>
        <w:t>a</w:t>
      </w:r>
      <w:r w:rsidRPr="009A0763">
        <w:rPr>
          <w:rFonts w:ascii="Palatino Linotype" w:hAnsi="Palatino Linotype"/>
          <w:iCs/>
          <w:color w:val="000000"/>
        </w:rPr>
        <w:t xml:space="preserve"> solicitud de información, la respuesta y el informe justificado, respecto de cuál es la dependencia emisora del dictamen al que hace referencia el artículo 145 Ter del Código Penal del Estado de México, conviene en primer término cita</w:t>
      </w:r>
      <w:r w:rsidR="00C85E67" w:rsidRPr="009A0763">
        <w:rPr>
          <w:rFonts w:ascii="Palatino Linotype" w:hAnsi="Palatino Linotype"/>
          <w:iCs/>
          <w:color w:val="000000"/>
        </w:rPr>
        <w:t>r</w:t>
      </w:r>
      <w:r w:rsidRPr="009A0763">
        <w:rPr>
          <w:rFonts w:ascii="Palatino Linotype" w:hAnsi="Palatino Linotype"/>
          <w:iCs/>
          <w:color w:val="000000"/>
        </w:rPr>
        <w:t xml:space="preserve"> el artículo 145 Ter del Código Penal del Estado de México, que a la letra dice:</w:t>
      </w:r>
    </w:p>
    <w:p w14:paraId="6D7A0A35" w14:textId="77777777" w:rsidR="00C85E67" w:rsidRPr="009A0763" w:rsidRDefault="00C85E67" w:rsidP="00C85E67">
      <w:pPr>
        <w:spacing w:line="360" w:lineRule="auto"/>
        <w:contextualSpacing/>
        <w:jc w:val="both"/>
        <w:rPr>
          <w:rFonts w:ascii="Palatino Linotype" w:hAnsi="Palatino Linotype"/>
          <w:iCs/>
          <w:color w:val="000000"/>
        </w:rPr>
      </w:pPr>
    </w:p>
    <w:p w14:paraId="36FFE52F" w14:textId="7DE690E8" w:rsidR="00C85E67" w:rsidRPr="009A0763" w:rsidRDefault="00C85E67" w:rsidP="00C85E67">
      <w:pPr>
        <w:spacing w:line="360" w:lineRule="auto"/>
        <w:ind w:left="720"/>
        <w:contextualSpacing/>
        <w:jc w:val="both"/>
        <w:rPr>
          <w:rFonts w:ascii="Palatino Linotype" w:hAnsi="Palatino Linotype"/>
          <w:i/>
          <w:sz w:val="20"/>
          <w:szCs w:val="20"/>
        </w:rPr>
      </w:pPr>
      <w:r w:rsidRPr="009A0763">
        <w:rPr>
          <w:rFonts w:ascii="Palatino Linotype" w:hAnsi="Palatino Linotype"/>
          <w:b/>
          <w:i/>
          <w:sz w:val="20"/>
          <w:szCs w:val="20"/>
        </w:rPr>
        <w:lastRenderedPageBreak/>
        <w:t>Artículo 145 Ter.-</w:t>
      </w:r>
      <w:r w:rsidRPr="009A0763">
        <w:rPr>
          <w:rFonts w:ascii="Palatino Linotype" w:hAnsi="Palatino Linotype"/>
          <w:i/>
          <w:sz w:val="20"/>
          <w:szCs w:val="20"/>
        </w:rPr>
        <w:t xml:space="preserve"> A quien distribuya agua potable a través de pipa, sin contar con el permiso de distribución o dictamen de factibilidad correspondiente, expedidos por la autoridad competente, se le impondrán de dos a seis años de prisión y de cincuenta a doscientos días multa. </w:t>
      </w:r>
    </w:p>
    <w:p w14:paraId="01CB4093" w14:textId="77777777" w:rsidR="00352407" w:rsidRPr="009A0763" w:rsidRDefault="00352407" w:rsidP="00C85E67">
      <w:pPr>
        <w:rPr>
          <w:rFonts w:ascii="Palatino Linotype" w:hAnsi="Palatino Linotype"/>
          <w:iCs/>
          <w:color w:val="000000"/>
        </w:rPr>
      </w:pPr>
    </w:p>
    <w:p w14:paraId="7925C217" w14:textId="3893F134" w:rsidR="00C85E67" w:rsidRPr="009A0763" w:rsidRDefault="00352407" w:rsidP="00C85E67">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De lo anterior se advierte que </w:t>
      </w:r>
      <w:r w:rsidR="00C85E67" w:rsidRPr="009A0763">
        <w:rPr>
          <w:rFonts w:ascii="Palatino Linotype" w:hAnsi="Palatino Linotype"/>
          <w:iCs/>
          <w:color w:val="000000"/>
        </w:rPr>
        <w:t xml:space="preserve">quien distribuya agua potable a través de pipa deberá contar con el permiso de distribución o el dictamen de factibilidad correspondiente, de lo contrario se le impondrán de dos a seis años de prisión y de cincuenta a doscientos días multa.  </w:t>
      </w:r>
    </w:p>
    <w:p w14:paraId="1E9933AE" w14:textId="77777777" w:rsidR="00C85E67" w:rsidRPr="009A0763" w:rsidRDefault="00C85E67" w:rsidP="00C85E67">
      <w:pPr>
        <w:spacing w:line="360" w:lineRule="auto"/>
        <w:contextualSpacing/>
        <w:jc w:val="both"/>
        <w:rPr>
          <w:rFonts w:ascii="Palatino Linotype" w:hAnsi="Palatino Linotype"/>
          <w:iCs/>
          <w:color w:val="000000"/>
        </w:rPr>
      </w:pPr>
    </w:p>
    <w:p w14:paraId="466297E8" w14:textId="127CD69F" w:rsidR="00C85E67" w:rsidRPr="009A0763" w:rsidRDefault="005D73E8" w:rsidP="00C85E67">
      <w:pPr>
        <w:numPr>
          <w:ilvl w:val="0"/>
          <w:numId w:val="2"/>
        </w:numPr>
        <w:spacing w:line="360" w:lineRule="auto"/>
        <w:ind w:left="0" w:firstLine="0"/>
        <w:contextualSpacing/>
        <w:jc w:val="both"/>
        <w:rPr>
          <w:rFonts w:ascii="Palatino Linotype" w:eastAsiaTheme="minorEastAsia" w:hAnsi="Palatino Linotype" w:cstheme="minorBidi"/>
          <w:iCs/>
          <w:color w:val="000000"/>
          <w:lang w:val="es-ES_tradnl" w:eastAsia="es-ES"/>
        </w:rPr>
      </w:pPr>
      <w:r w:rsidRPr="009A0763">
        <w:rPr>
          <w:rFonts w:ascii="Palatino Linotype" w:hAnsi="Palatino Linotype"/>
        </w:rPr>
        <w:t>Ahora bien, el artículo 6, fracciones XXXIV Bis</w:t>
      </w:r>
      <w:r w:rsidR="008278CC" w:rsidRPr="009A0763">
        <w:rPr>
          <w:rFonts w:ascii="Palatino Linotype" w:hAnsi="Palatino Linotype"/>
        </w:rPr>
        <w:t>, XXXVI Ter</w:t>
      </w:r>
      <w:r w:rsidRPr="009A0763">
        <w:rPr>
          <w:rFonts w:ascii="Palatino Linotype" w:hAnsi="Palatino Linotype"/>
        </w:rPr>
        <w:t xml:space="preserve"> y LI Bis</w:t>
      </w:r>
      <w:r w:rsidR="003B5831" w:rsidRPr="009A0763">
        <w:rPr>
          <w:rFonts w:ascii="Palatino Linotype" w:hAnsi="Palatino Linotype"/>
        </w:rPr>
        <w:t xml:space="preserve"> de la Ley del Agua del Estado de México</w:t>
      </w:r>
      <w:r w:rsidRPr="009A0763">
        <w:rPr>
          <w:rFonts w:ascii="Palatino Linotype" w:hAnsi="Palatino Linotype"/>
        </w:rPr>
        <w:t>, señala que p</w:t>
      </w:r>
      <w:r w:rsidR="00C85E67" w:rsidRPr="009A0763">
        <w:rPr>
          <w:rFonts w:ascii="Palatino Linotype" w:hAnsi="Palatino Linotype"/>
        </w:rPr>
        <w:t>ara efectos de</w:t>
      </w:r>
      <w:r w:rsidRPr="009A0763">
        <w:rPr>
          <w:rFonts w:ascii="Palatino Linotype" w:hAnsi="Palatino Linotype"/>
        </w:rPr>
        <w:t xml:space="preserve"> </w:t>
      </w:r>
      <w:r w:rsidR="003B5831" w:rsidRPr="009A0763">
        <w:rPr>
          <w:rFonts w:ascii="Palatino Linotype" w:hAnsi="Palatino Linotype"/>
        </w:rPr>
        <w:t xml:space="preserve">dicho ordenamiento legal </w:t>
      </w:r>
      <w:r w:rsidR="00C85E67" w:rsidRPr="009A0763">
        <w:rPr>
          <w:rFonts w:ascii="Palatino Linotype" w:hAnsi="Palatino Linotype"/>
        </w:rPr>
        <w:t>se entenderá por</w:t>
      </w:r>
      <w:r w:rsidRPr="009A0763">
        <w:rPr>
          <w:rFonts w:ascii="Palatino Linotype" w:hAnsi="Palatino Linotype"/>
        </w:rPr>
        <w:t xml:space="preserve"> distribución de agua a través de pipa la entrega de agua potable o tratada por el consumidor a través de pipas; </w:t>
      </w:r>
      <w:r w:rsidR="002E7F4C" w:rsidRPr="009A0763">
        <w:rPr>
          <w:rFonts w:ascii="Palatino Linotype" w:hAnsi="Palatino Linotype"/>
        </w:rPr>
        <w:t>la evaluación técnica de factibilidad de distribución de agua es el</w:t>
      </w:r>
      <w:r w:rsidR="003B5831" w:rsidRPr="009A0763">
        <w:rPr>
          <w:rFonts w:ascii="Palatino Linotype" w:hAnsi="Palatino Linotype"/>
        </w:rPr>
        <w:t xml:space="preserve"> </w:t>
      </w:r>
      <w:r w:rsidR="002E7F4C" w:rsidRPr="009A0763">
        <w:rPr>
          <w:rFonts w:ascii="Palatino Linotype" w:hAnsi="Palatino Linotype"/>
        </w:rPr>
        <w:t xml:space="preserve">análisis efectuado por la Comisión  del Agua para la distribución de agua potable y tratada a través de pipas </w:t>
      </w:r>
      <w:r w:rsidRPr="009A0763">
        <w:rPr>
          <w:rFonts w:ascii="Palatino Linotype" w:hAnsi="Palatino Linotype"/>
        </w:rPr>
        <w:t>y por permiso de distribución</w:t>
      </w:r>
      <w:r w:rsidR="003B5831" w:rsidRPr="009A0763">
        <w:rPr>
          <w:rFonts w:ascii="Palatino Linotype" w:hAnsi="Palatino Linotype"/>
        </w:rPr>
        <w:t xml:space="preserve"> se entenderá como</w:t>
      </w:r>
      <w:r w:rsidRPr="009A0763">
        <w:rPr>
          <w:rFonts w:ascii="Palatino Linotype" w:hAnsi="Palatino Linotype"/>
        </w:rPr>
        <w:t xml:space="preserve"> la autorización que se otorga previo al cumplimiento de los requisitos que se establece la Ley del Agua del Estado de México y su Reglamento, la Comisión, los municipios o los organismos operadores, según corresponda, a personas física o jurídica colectiva, para la distribución de agua a través de pipas, como a continuación se muestra:</w:t>
      </w:r>
    </w:p>
    <w:p w14:paraId="217C1EEA" w14:textId="77777777" w:rsidR="005D73E8" w:rsidRPr="009A0763" w:rsidRDefault="005D73E8" w:rsidP="005D73E8">
      <w:pPr>
        <w:pStyle w:val="Prrafodelista"/>
        <w:rPr>
          <w:rFonts w:ascii="Palatino Linotype" w:hAnsi="Palatino Linotype"/>
          <w:iCs/>
          <w:color w:val="000000"/>
        </w:rPr>
      </w:pPr>
    </w:p>
    <w:p w14:paraId="0B721EDC" w14:textId="295190FA" w:rsidR="005D73E8" w:rsidRPr="009A0763" w:rsidRDefault="005D73E8" w:rsidP="005D73E8">
      <w:pPr>
        <w:ind w:left="630"/>
        <w:jc w:val="both"/>
        <w:rPr>
          <w:rFonts w:ascii="Palatino Linotype" w:hAnsi="Palatino Linotype"/>
          <w:i/>
          <w:sz w:val="21"/>
          <w:szCs w:val="21"/>
        </w:rPr>
      </w:pPr>
      <w:r w:rsidRPr="009A0763">
        <w:rPr>
          <w:rFonts w:ascii="Palatino Linotype" w:hAnsi="Palatino Linotype"/>
          <w:b/>
          <w:i/>
          <w:sz w:val="21"/>
          <w:szCs w:val="21"/>
        </w:rPr>
        <w:t>Artículo 6.-</w:t>
      </w:r>
      <w:r w:rsidRPr="009A0763">
        <w:rPr>
          <w:rFonts w:ascii="Palatino Linotype" w:hAnsi="Palatino Linotype"/>
          <w:i/>
          <w:sz w:val="21"/>
          <w:szCs w:val="21"/>
        </w:rPr>
        <w:t xml:space="preserve"> Para efectos de esta Ley se entenderá por:</w:t>
      </w:r>
    </w:p>
    <w:p w14:paraId="5C3CBF1A" w14:textId="77777777" w:rsidR="005D73E8" w:rsidRPr="009A0763" w:rsidRDefault="005D73E8" w:rsidP="005D73E8">
      <w:pPr>
        <w:spacing w:line="360" w:lineRule="auto"/>
        <w:ind w:left="630"/>
        <w:contextualSpacing/>
        <w:jc w:val="both"/>
        <w:rPr>
          <w:rFonts w:ascii="Palatino Linotype" w:eastAsiaTheme="minorEastAsia" w:hAnsi="Palatino Linotype" w:cstheme="minorBidi"/>
          <w:i/>
          <w:iCs/>
          <w:color w:val="000000"/>
          <w:sz w:val="21"/>
          <w:szCs w:val="21"/>
          <w:lang w:eastAsia="es-ES"/>
        </w:rPr>
      </w:pPr>
    </w:p>
    <w:p w14:paraId="0A47DD2F" w14:textId="6D75DA27" w:rsidR="005D73E8" w:rsidRPr="009A0763" w:rsidRDefault="00C85E67" w:rsidP="005D73E8">
      <w:pPr>
        <w:ind w:left="630"/>
        <w:jc w:val="both"/>
        <w:rPr>
          <w:rFonts w:ascii="Palatino Linotype" w:hAnsi="Palatino Linotype"/>
          <w:i/>
          <w:sz w:val="21"/>
          <w:szCs w:val="21"/>
        </w:rPr>
      </w:pPr>
      <w:r w:rsidRPr="009A0763">
        <w:rPr>
          <w:rFonts w:ascii="Palatino Linotype" w:hAnsi="Palatino Linotype"/>
          <w:b/>
          <w:i/>
          <w:sz w:val="21"/>
          <w:szCs w:val="21"/>
        </w:rPr>
        <w:lastRenderedPageBreak/>
        <w:t>XXXIV Bis.</w:t>
      </w:r>
      <w:r w:rsidRPr="009A0763">
        <w:rPr>
          <w:rFonts w:ascii="Palatino Linotype" w:hAnsi="Palatino Linotype"/>
          <w:i/>
          <w:sz w:val="21"/>
          <w:szCs w:val="21"/>
        </w:rPr>
        <w:t xml:space="preserve"> </w:t>
      </w:r>
      <w:r w:rsidRPr="009A0763">
        <w:rPr>
          <w:rFonts w:ascii="Palatino Linotype" w:hAnsi="Palatino Linotype"/>
          <w:b/>
          <w:i/>
          <w:sz w:val="21"/>
          <w:szCs w:val="21"/>
        </w:rPr>
        <w:t>Distribución de agua a través de pipas:</w:t>
      </w:r>
      <w:r w:rsidRPr="009A0763">
        <w:rPr>
          <w:rFonts w:ascii="Palatino Linotype" w:hAnsi="Palatino Linotype"/>
          <w:i/>
          <w:sz w:val="21"/>
          <w:szCs w:val="21"/>
        </w:rPr>
        <w:t xml:space="preserve"> Entrega de agua potable o tratada al consumidor a través de pipas;</w:t>
      </w:r>
    </w:p>
    <w:p w14:paraId="5D3EED99" w14:textId="77777777" w:rsidR="008278CC" w:rsidRPr="009A0763" w:rsidRDefault="008278CC" w:rsidP="005D73E8">
      <w:pPr>
        <w:ind w:left="630"/>
        <w:jc w:val="both"/>
        <w:rPr>
          <w:rFonts w:ascii="Palatino Linotype" w:hAnsi="Palatino Linotype"/>
          <w:i/>
          <w:sz w:val="21"/>
          <w:szCs w:val="21"/>
        </w:rPr>
      </w:pPr>
    </w:p>
    <w:p w14:paraId="47E669CE" w14:textId="77777777" w:rsidR="008278CC" w:rsidRPr="009A0763" w:rsidRDefault="008278CC" w:rsidP="008278CC">
      <w:pPr>
        <w:ind w:left="630"/>
        <w:rPr>
          <w:rFonts w:ascii="Palatino Linotype" w:hAnsi="Palatino Linotype"/>
          <w:i/>
          <w:sz w:val="21"/>
          <w:szCs w:val="21"/>
        </w:rPr>
      </w:pPr>
      <w:r w:rsidRPr="009A0763">
        <w:rPr>
          <w:rFonts w:ascii="Palatino Linotype" w:hAnsi="Palatino Linotype"/>
          <w:b/>
          <w:i/>
          <w:sz w:val="21"/>
          <w:szCs w:val="21"/>
        </w:rPr>
        <w:t>XXXVI Ter. Evaluación técnica de factibilidad de distribución de agua:</w:t>
      </w:r>
      <w:r w:rsidRPr="009A0763">
        <w:rPr>
          <w:rFonts w:ascii="Palatino Linotype" w:hAnsi="Palatino Linotype"/>
          <w:i/>
          <w:sz w:val="21"/>
          <w:szCs w:val="21"/>
        </w:rPr>
        <w:t xml:space="preserve"> Al análisis efectuado por la Comisión para la distribución de agua potable y tratada a través de pipas;</w:t>
      </w:r>
    </w:p>
    <w:p w14:paraId="656D62FE" w14:textId="77777777" w:rsidR="005D73E8" w:rsidRPr="009A0763" w:rsidRDefault="005D73E8" w:rsidP="002E7F4C">
      <w:pPr>
        <w:jc w:val="both"/>
        <w:rPr>
          <w:rFonts w:ascii="Palatino Linotype" w:hAnsi="Palatino Linotype"/>
          <w:i/>
          <w:sz w:val="21"/>
          <w:szCs w:val="21"/>
        </w:rPr>
      </w:pPr>
    </w:p>
    <w:p w14:paraId="2DA52773" w14:textId="01FD1724" w:rsidR="00C85E67" w:rsidRPr="009A0763" w:rsidRDefault="00C85E67" w:rsidP="005D73E8">
      <w:pPr>
        <w:ind w:left="630"/>
        <w:jc w:val="both"/>
        <w:rPr>
          <w:rFonts w:ascii="Palatino Linotype" w:hAnsi="Palatino Linotype"/>
          <w:i/>
          <w:sz w:val="21"/>
          <w:szCs w:val="21"/>
        </w:rPr>
      </w:pPr>
      <w:r w:rsidRPr="009A0763">
        <w:rPr>
          <w:rFonts w:ascii="Palatino Linotype" w:hAnsi="Palatino Linotype"/>
          <w:b/>
          <w:i/>
          <w:sz w:val="21"/>
          <w:szCs w:val="21"/>
        </w:rPr>
        <w:t>LI Bis</w:t>
      </w:r>
      <w:r w:rsidRPr="009A0763">
        <w:rPr>
          <w:rFonts w:ascii="Palatino Linotype" w:hAnsi="Palatino Linotype"/>
          <w:i/>
          <w:sz w:val="21"/>
          <w:szCs w:val="21"/>
        </w:rPr>
        <w:t xml:space="preserve">. </w:t>
      </w:r>
      <w:r w:rsidRPr="009A0763">
        <w:rPr>
          <w:rFonts w:ascii="Palatino Linotype" w:hAnsi="Palatino Linotype"/>
          <w:b/>
          <w:i/>
          <w:sz w:val="21"/>
          <w:szCs w:val="21"/>
        </w:rPr>
        <w:t>Permiso de Distribución:</w:t>
      </w:r>
      <w:r w:rsidRPr="009A0763">
        <w:rPr>
          <w:rFonts w:ascii="Palatino Linotype" w:hAnsi="Palatino Linotype"/>
          <w:i/>
          <w:sz w:val="21"/>
          <w:szCs w:val="21"/>
        </w:rPr>
        <w:t xml:space="preserve"> Autorización que otorgan previo al cumplimiento de los requisitos que se establecen en la presente Ley y su Reglamento, la Comisión, los municipios o los organismos operadores, según corresponda, a personas física o jurídica colectiva, para la distribución de agua a través de pipas;</w:t>
      </w:r>
    </w:p>
    <w:p w14:paraId="50A3E21A" w14:textId="77777777" w:rsidR="00C85E67" w:rsidRPr="009A0763" w:rsidRDefault="00C85E67" w:rsidP="00C85E67">
      <w:pPr>
        <w:pStyle w:val="Prrafodelista"/>
        <w:rPr>
          <w:rFonts w:ascii="Palatino Linotype" w:hAnsi="Palatino Linotype"/>
          <w:iCs/>
          <w:color w:val="000000"/>
          <w:lang w:val="es-US"/>
        </w:rPr>
      </w:pPr>
    </w:p>
    <w:p w14:paraId="458D85D9" w14:textId="6F5F1DE3" w:rsidR="006B6963" w:rsidRPr="009A0763" w:rsidRDefault="002E7F4C" w:rsidP="005D73E8">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rPr>
        <w:t>De lo anterior se advierte que las personas físicas y jurídicas colectivas que  distribuyan agua potable o tratada al consumidor a través de pipas deberán contar con el permiso de distribución, autorización que se les otorga previo al cumplimiento de los requisitos establecidos en la Ley del Agua del Estado de México; y contar con la evaluación técnica de factibilidad de distribución de agua</w:t>
      </w:r>
      <w:r w:rsidR="006B6963" w:rsidRPr="009A0763">
        <w:rPr>
          <w:rFonts w:ascii="Palatino Linotype" w:hAnsi="Palatino Linotype"/>
        </w:rPr>
        <w:t xml:space="preserve"> que es el análisi efectuado por la Comisión de Agua.</w:t>
      </w:r>
    </w:p>
    <w:p w14:paraId="2F0A80DB" w14:textId="77777777" w:rsidR="00CC205D" w:rsidRPr="009A0763" w:rsidRDefault="00CC205D" w:rsidP="00CC205D">
      <w:pPr>
        <w:spacing w:line="360" w:lineRule="auto"/>
        <w:contextualSpacing/>
        <w:jc w:val="both"/>
        <w:rPr>
          <w:rFonts w:ascii="Palatino Linotype" w:hAnsi="Palatino Linotype"/>
        </w:rPr>
      </w:pPr>
    </w:p>
    <w:p w14:paraId="4DEC7880" w14:textId="03D799AD" w:rsidR="006B6963" w:rsidRPr="009A0763" w:rsidRDefault="00352407" w:rsidP="006B6963">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iCs/>
          <w:color w:val="000000"/>
        </w:rPr>
        <w:t xml:space="preserve">Ahora bien, </w:t>
      </w:r>
      <w:r w:rsidR="002E7F4C" w:rsidRPr="009A0763">
        <w:rPr>
          <w:rFonts w:ascii="Palatino Linotype" w:hAnsi="Palatino Linotype"/>
          <w:iCs/>
          <w:color w:val="000000"/>
        </w:rPr>
        <w:t xml:space="preserve">el artículo 150 Ter de la Ley del Agua del Estado de México establece que </w:t>
      </w:r>
      <w:r w:rsidR="002E7F4C" w:rsidRPr="009A0763">
        <w:rPr>
          <w:rFonts w:ascii="Palatino Linotype" w:hAnsi="Palatino Linotype"/>
        </w:rPr>
        <w:t>e</w:t>
      </w:r>
      <w:r w:rsidR="005D73E8" w:rsidRPr="009A0763">
        <w:rPr>
          <w:rFonts w:ascii="Palatino Linotype" w:hAnsi="Palatino Linotype"/>
        </w:rPr>
        <w:t>l Permiso de Distribución que otorgue la Comisión</w:t>
      </w:r>
      <w:r w:rsidR="002E7F4C" w:rsidRPr="009A0763">
        <w:rPr>
          <w:rFonts w:ascii="Palatino Linotype" w:hAnsi="Palatino Linotype"/>
        </w:rPr>
        <w:t xml:space="preserve"> de Agua </w:t>
      </w:r>
      <w:r w:rsidR="005D73E8" w:rsidRPr="009A0763">
        <w:rPr>
          <w:rFonts w:ascii="Palatino Linotype" w:hAnsi="Palatino Linotype"/>
        </w:rPr>
        <w:t>autoriza la entrega al consumidor en todo el territorio del Estado y el que expidan las autoridades municipales se circunscribe a su competencia territorial y tendrá una vigencia de un año calendario, el cual podrá renovarse por un plazo igual al de su expedición mediante el cumplimiento de los requisitos solicitados para el otorgamiento del mismo. El permiso que otorgue la Comisión</w:t>
      </w:r>
      <w:r w:rsidR="002E7F4C" w:rsidRPr="009A0763">
        <w:rPr>
          <w:rFonts w:ascii="Palatino Linotype" w:hAnsi="Palatino Linotype"/>
        </w:rPr>
        <w:t xml:space="preserve"> del Agua</w:t>
      </w:r>
      <w:r w:rsidR="005D73E8" w:rsidRPr="009A0763">
        <w:rPr>
          <w:rFonts w:ascii="Palatino Linotype" w:hAnsi="Palatino Linotype"/>
        </w:rPr>
        <w:t xml:space="preserve"> no autoriza el abastecimiento en fuentes operadas y administradas por autoridades municipales. El Permiso de Distribución solo ampara una pipa.</w:t>
      </w:r>
    </w:p>
    <w:p w14:paraId="012F26CB" w14:textId="77777777" w:rsidR="006B6963" w:rsidRPr="009A0763" w:rsidRDefault="006B6963" w:rsidP="006B6963">
      <w:pPr>
        <w:spacing w:line="360" w:lineRule="auto"/>
        <w:contextualSpacing/>
        <w:jc w:val="both"/>
        <w:rPr>
          <w:rFonts w:ascii="Palatino Linotype" w:hAnsi="Palatino Linotype"/>
        </w:rPr>
      </w:pPr>
    </w:p>
    <w:p w14:paraId="221AD026" w14:textId="39BEFF91" w:rsidR="006B6963" w:rsidRPr="009A0763" w:rsidRDefault="006B6963" w:rsidP="006B6963">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rPr>
        <w:t>Por su parte el artículo 150 Quáter de la Ley del Agua del Estado de México, enlista los requisitos para obtener el Permiso de Distribución. Asimismo el artículo 150</w:t>
      </w:r>
      <w:r w:rsidR="00CC205D" w:rsidRPr="009A0763">
        <w:rPr>
          <w:rFonts w:ascii="Palatino Linotype" w:hAnsi="Palatino Linotype"/>
        </w:rPr>
        <w:t xml:space="preserve"> </w:t>
      </w:r>
      <w:r w:rsidR="005D73E8" w:rsidRPr="009A0763">
        <w:rPr>
          <w:rFonts w:ascii="Palatino Linotype" w:hAnsi="Palatino Linotype"/>
        </w:rPr>
        <w:t>Quinquies</w:t>
      </w:r>
      <w:r w:rsidRPr="009A0763">
        <w:rPr>
          <w:rFonts w:ascii="Palatino Linotype" w:hAnsi="Palatino Linotype"/>
        </w:rPr>
        <w:t xml:space="preserve"> del mismo ordenamiento legal establece que l</w:t>
      </w:r>
      <w:r w:rsidR="005D73E8" w:rsidRPr="009A0763">
        <w:rPr>
          <w:rFonts w:ascii="Palatino Linotype" w:hAnsi="Palatino Linotype"/>
        </w:rPr>
        <w:t>a Comisión</w:t>
      </w:r>
      <w:r w:rsidRPr="009A0763">
        <w:rPr>
          <w:rFonts w:ascii="Palatino Linotype" w:hAnsi="Palatino Linotype"/>
        </w:rPr>
        <w:t xml:space="preserve"> del Agua</w:t>
      </w:r>
      <w:r w:rsidR="005D73E8" w:rsidRPr="009A0763">
        <w:rPr>
          <w:rFonts w:ascii="Palatino Linotype" w:hAnsi="Palatino Linotype"/>
        </w:rPr>
        <w:t xml:space="preserve">, los municipios y los organismos operadores tendrán a su cargo una base de datos de los Permisos de Distribución que otorguen, así como los datos y documentación relativa a los propietarios y a las pipas. </w:t>
      </w:r>
      <w:r w:rsidRPr="009A0763">
        <w:rPr>
          <w:rFonts w:ascii="Palatino Linotype" w:hAnsi="Palatino Linotype"/>
        </w:rPr>
        <w:t>Dicha</w:t>
      </w:r>
      <w:r w:rsidR="005D73E8" w:rsidRPr="009A0763">
        <w:rPr>
          <w:rFonts w:ascii="Palatino Linotype" w:hAnsi="Palatino Linotype"/>
        </w:rPr>
        <w:t xml:space="preserve"> lista de los distribuidores acreditados deberá ser publicada en el Periódico Oficial “Gaceta del Gobierno”, en términos del Reglamento</w:t>
      </w:r>
      <w:r w:rsidRPr="009A0763">
        <w:rPr>
          <w:rFonts w:ascii="Palatino Linotype" w:hAnsi="Palatino Linotype"/>
        </w:rPr>
        <w:t xml:space="preserve"> de la Ley del Agua</w:t>
      </w:r>
      <w:r w:rsidR="005D73E8" w:rsidRPr="009A0763">
        <w:rPr>
          <w:rFonts w:ascii="Palatino Linotype" w:hAnsi="Palatino Linotype"/>
        </w:rPr>
        <w:t xml:space="preserve">. </w:t>
      </w:r>
    </w:p>
    <w:p w14:paraId="79AFFC78" w14:textId="77777777" w:rsidR="006B6963" w:rsidRPr="009A0763" w:rsidRDefault="006B6963" w:rsidP="006B6963">
      <w:pPr>
        <w:pStyle w:val="Prrafodelista"/>
        <w:rPr>
          <w:rFonts w:ascii="Palatino Linotype" w:hAnsi="Palatino Linotype"/>
        </w:rPr>
      </w:pPr>
    </w:p>
    <w:p w14:paraId="4817B436" w14:textId="77777777" w:rsidR="00357E4A" w:rsidRPr="009A0763" w:rsidRDefault="006B6963" w:rsidP="00357E4A">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lang w:val="es-ES_tradnl"/>
        </w:rPr>
        <w:t xml:space="preserve">Corolario a lo anterior el </w:t>
      </w:r>
      <w:r w:rsidRPr="009A0763">
        <w:rPr>
          <w:rFonts w:ascii="Palatino Linotype" w:hAnsi="Palatino Linotype"/>
        </w:rPr>
        <w:t>a</w:t>
      </w:r>
      <w:r w:rsidR="005D73E8" w:rsidRPr="009A0763">
        <w:rPr>
          <w:rFonts w:ascii="Palatino Linotype" w:hAnsi="Palatino Linotype"/>
        </w:rPr>
        <w:t>rtículo 150 Sexies</w:t>
      </w:r>
      <w:r w:rsidRPr="009A0763">
        <w:rPr>
          <w:rFonts w:ascii="Palatino Linotype" w:hAnsi="Palatino Linotype"/>
        </w:rPr>
        <w:t xml:space="preserve"> de la Ley del Agua del Estado de México establece que e</w:t>
      </w:r>
      <w:r w:rsidR="005D73E8" w:rsidRPr="009A0763">
        <w:rPr>
          <w:rFonts w:ascii="Palatino Linotype" w:hAnsi="Palatino Linotype"/>
        </w:rPr>
        <w:t xml:space="preserve">l permisionario de distribución tiene </w:t>
      </w:r>
      <w:r w:rsidRPr="009A0763">
        <w:rPr>
          <w:rFonts w:ascii="Palatino Linotype" w:hAnsi="Palatino Linotype"/>
        </w:rPr>
        <w:t xml:space="preserve">entre sus </w:t>
      </w:r>
      <w:r w:rsidR="005D73E8" w:rsidRPr="009A0763">
        <w:rPr>
          <w:rFonts w:ascii="Palatino Linotype" w:hAnsi="Palatino Linotype"/>
        </w:rPr>
        <w:t xml:space="preserve">obligaciones </w:t>
      </w:r>
      <w:r w:rsidRPr="009A0763">
        <w:rPr>
          <w:rFonts w:ascii="Palatino Linotype" w:hAnsi="Palatino Linotype"/>
        </w:rPr>
        <w:t>la de p</w:t>
      </w:r>
      <w:r w:rsidR="005D73E8" w:rsidRPr="009A0763">
        <w:rPr>
          <w:rFonts w:ascii="Palatino Linotype" w:hAnsi="Palatino Linotype"/>
        </w:rPr>
        <w:t>resentar el Permiso de Distribución y la evaluación técnica de factibilidad de distribución de agua, así como la de agua, drenaje, alcantarillado y tratamiento de aguas residuales cada vez que le sea requerido por la autoridad correspondiente</w:t>
      </w:r>
      <w:r w:rsidRPr="009A0763">
        <w:rPr>
          <w:rFonts w:ascii="Palatino Linotype" w:hAnsi="Palatino Linotype"/>
        </w:rPr>
        <w:t>.</w:t>
      </w:r>
    </w:p>
    <w:p w14:paraId="50696318" w14:textId="77777777" w:rsidR="00357E4A" w:rsidRPr="009A0763" w:rsidRDefault="00357E4A" w:rsidP="00357E4A">
      <w:pPr>
        <w:pStyle w:val="Prrafodelista"/>
        <w:rPr>
          <w:rFonts w:ascii="Palatino Linotype" w:hAnsi="Palatino Linotype"/>
        </w:rPr>
      </w:pPr>
    </w:p>
    <w:p w14:paraId="5E76ADED" w14:textId="682284CB" w:rsidR="00357E4A" w:rsidRPr="009A0763" w:rsidRDefault="006B6963" w:rsidP="00357E4A">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lang w:val="es-ES_tradnl"/>
        </w:rPr>
        <w:t xml:space="preserve">El artículo </w:t>
      </w:r>
      <w:r w:rsidR="005D73E8" w:rsidRPr="009A0763">
        <w:rPr>
          <w:rFonts w:ascii="Palatino Linotype" w:hAnsi="Palatino Linotype"/>
        </w:rPr>
        <w:t>151</w:t>
      </w:r>
      <w:r w:rsidRPr="009A0763">
        <w:rPr>
          <w:rFonts w:ascii="Palatino Linotype" w:hAnsi="Palatino Linotype"/>
        </w:rPr>
        <w:t xml:space="preserve"> del multicitado ordenamiento legal señala que las </w:t>
      </w:r>
      <w:r w:rsidR="005D73E8" w:rsidRPr="009A0763">
        <w:rPr>
          <w:rFonts w:ascii="Palatino Linotype" w:hAnsi="Palatino Linotype"/>
        </w:rPr>
        <w:t xml:space="preserve">autoridades del agua están facultadas para ordenar la práctica de visitas de verificación y/o inspección, a fin de comprobar que los usuarios, concesionarios o permisionarios, y los terceros con ellos relacionados, cumplen con las disposiciones de </w:t>
      </w:r>
      <w:r w:rsidR="00357E4A" w:rsidRPr="009A0763">
        <w:rPr>
          <w:rFonts w:ascii="Palatino Linotype" w:hAnsi="Palatino Linotype"/>
        </w:rPr>
        <w:t xml:space="preserve">la </w:t>
      </w:r>
      <w:r w:rsidR="005D73E8" w:rsidRPr="009A0763">
        <w:rPr>
          <w:rFonts w:ascii="Palatino Linotype" w:hAnsi="Palatino Linotype"/>
        </w:rPr>
        <w:t>Ley</w:t>
      </w:r>
      <w:r w:rsidR="00357E4A" w:rsidRPr="009A0763">
        <w:rPr>
          <w:rFonts w:ascii="Palatino Linotype" w:hAnsi="Palatino Linotype"/>
        </w:rPr>
        <w:t xml:space="preserve"> del Agua del Estado de México y </w:t>
      </w:r>
      <w:r w:rsidR="005D73E8" w:rsidRPr="009A0763">
        <w:rPr>
          <w:rFonts w:ascii="Palatino Linotype" w:hAnsi="Palatino Linotype"/>
        </w:rPr>
        <w:t xml:space="preserve"> su Reglamento y demás disposiciones que les sean aplicables.</w:t>
      </w:r>
    </w:p>
    <w:p w14:paraId="2216F09D" w14:textId="77777777" w:rsidR="00357E4A" w:rsidRPr="009A0763" w:rsidRDefault="00357E4A" w:rsidP="00357E4A">
      <w:pPr>
        <w:pStyle w:val="Prrafodelista"/>
        <w:rPr>
          <w:rFonts w:ascii="Palatino Linotype" w:hAnsi="Palatino Linotype"/>
        </w:rPr>
      </w:pPr>
    </w:p>
    <w:p w14:paraId="32A42458" w14:textId="77777777" w:rsidR="00357E4A" w:rsidRPr="009A0763" w:rsidRDefault="00357E4A" w:rsidP="00357E4A">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rPr>
        <w:lastRenderedPageBreak/>
        <w:t>El artículo 155 de la Ley del Agua del Estado de México establece que c</w:t>
      </w:r>
      <w:r w:rsidR="005D73E8" w:rsidRPr="009A0763">
        <w:rPr>
          <w:rFonts w:ascii="Palatino Linotype" w:hAnsi="Palatino Linotype"/>
        </w:rPr>
        <w:t>onstituye</w:t>
      </w:r>
      <w:r w:rsidRPr="009A0763">
        <w:rPr>
          <w:rFonts w:ascii="Palatino Linotype" w:hAnsi="Palatino Linotype"/>
        </w:rPr>
        <w:t xml:space="preserve"> una infracción </w:t>
      </w:r>
      <w:r w:rsidR="005D73E8" w:rsidRPr="009A0763">
        <w:rPr>
          <w:rFonts w:ascii="Palatino Linotype" w:hAnsi="Palatino Linotype"/>
        </w:rPr>
        <w:t xml:space="preserve">a </w:t>
      </w:r>
      <w:r w:rsidRPr="009A0763">
        <w:rPr>
          <w:rFonts w:ascii="Palatino Linotype" w:hAnsi="Palatino Linotype"/>
        </w:rPr>
        <w:t xml:space="preserve">dicho ordenamiento legal la de incumplir las obligaciones derivadas del título de concesión, del convenio de asignación o de los permisos otorgados en los términos de la referida ley  y </w:t>
      </w:r>
      <w:r w:rsidR="005D73E8" w:rsidRPr="009A0763">
        <w:rPr>
          <w:rFonts w:ascii="Palatino Linotype" w:hAnsi="Palatino Linotype"/>
        </w:rPr>
        <w:t>serán sancionadas por las autoridades del agua, en el ámbito de su competencia</w:t>
      </w:r>
      <w:r w:rsidRPr="009A0763">
        <w:rPr>
          <w:rFonts w:ascii="Palatino Linotype" w:hAnsi="Palatino Linotype"/>
        </w:rPr>
        <w:t>.</w:t>
      </w:r>
    </w:p>
    <w:p w14:paraId="5B9D8DE6" w14:textId="77777777" w:rsidR="00352407" w:rsidRPr="009A0763" w:rsidRDefault="00352407" w:rsidP="00352407">
      <w:pPr>
        <w:spacing w:line="360" w:lineRule="auto"/>
        <w:contextualSpacing/>
        <w:jc w:val="both"/>
        <w:rPr>
          <w:rFonts w:ascii="Palatino Linotype" w:hAnsi="Palatino Linotype"/>
          <w:iCs/>
          <w:color w:val="000000"/>
        </w:rPr>
      </w:pPr>
    </w:p>
    <w:p w14:paraId="01A749F8" w14:textId="1B186EBE" w:rsidR="00357E4A" w:rsidRPr="009A0763" w:rsidRDefault="00357E4A" w:rsidP="00352407">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El artículo 3 de la Ley del Agua del Estado de México establece quienes son las autoridades del agua, como sigue:</w:t>
      </w:r>
    </w:p>
    <w:p w14:paraId="7EACD649" w14:textId="54A314FD" w:rsidR="00A7552B" w:rsidRPr="009A0763" w:rsidRDefault="00357E4A" w:rsidP="00A7552B">
      <w:pPr>
        <w:ind w:left="900"/>
        <w:rPr>
          <w:rFonts w:ascii="Palatino Linotype" w:hAnsi="Palatino Linotype"/>
          <w:i/>
          <w:sz w:val="21"/>
          <w:szCs w:val="21"/>
        </w:rPr>
      </w:pPr>
      <w:r w:rsidRPr="009A0763">
        <w:rPr>
          <w:rFonts w:ascii="Palatino Linotype" w:hAnsi="Palatino Linotype"/>
          <w:b/>
          <w:i/>
          <w:sz w:val="21"/>
          <w:szCs w:val="21"/>
        </w:rPr>
        <w:t>Artículo 3.-</w:t>
      </w:r>
      <w:r w:rsidRPr="009A0763">
        <w:rPr>
          <w:rFonts w:ascii="Palatino Linotype" w:hAnsi="Palatino Linotype"/>
          <w:i/>
          <w:sz w:val="21"/>
          <w:szCs w:val="21"/>
        </w:rPr>
        <w:t xml:space="preserve"> La aplicación de esta Ley corresponde, en el ámbito competencial respectivo, a las siguientes autoridades:</w:t>
      </w:r>
    </w:p>
    <w:p w14:paraId="0F68FF5C" w14:textId="77777777" w:rsidR="00A7552B" w:rsidRPr="009A0763" w:rsidRDefault="00A7552B" w:rsidP="00A7552B">
      <w:pPr>
        <w:ind w:left="900"/>
        <w:rPr>
          <w:rFonts w:ascii="Palatino Linotype" w:hAnsi="Palatino Linotype"/>
          <w:i/>
          <w:sz w:val="21"/>
          <w:szCs w:val="21"/>
        </w:rPr>
      </w:pPr>
    </w:p>
    <w:p w14:paraId="390992CD" w14:textId="3F51A740" w:rsidR="00A7552B" w:rsidRPr="009A0763" w:rsidRDefault="00357E4A" w:rsidP="00A7552B">
      <w:pPr>
        <w:pStyle w:val="Prrafodelista"/>
        <w:numPr>
          <w:ilvl w:val="0"/>
          <w:numId w:val="42"/>
        </w:numPr>
        <w:ind w:left="1440" w:hanging="450"/>
        <w:rPr>
          <w:rFonts w:ascii="Palatino Linotype" w:hAnsi="Palatino Linotype"/>
          <w:i/>
          <w:sz w:val="21"/>
          <w:szCs w:val="21"/>
        </w:rPr>
      </w:pPr>
      <w:r w:rsidRPr="009A0763">
        <w:rPr>
          <w:rFonts w:ascii="Palatino Linotype" w:hAnsi="Palatino Linotype"/>
          <w:i/>
          <w:sz w:val="21"/>
          <w:szCs w:val="21"/>
        </w:rPr>
        <w:t>El Gobernador del Estado;</w:t>
      </w:r>
    </w:p>
    <w:p w14:paraId="54ACADC8" w14:textId="77777777" w:rsidR="00A7552B" w:rsidRPr="009A0763" w:rsidRDefault="00357E4A" w:rsidP="00A7552B">
      <w:pPr>
        <w:pStyle w:val="Prrafodelista"/>
        <w:numPr>
          <w:ilvl w:val="0"/>
          <w:numId w:val="42"/>
        </w:numPr>
        <w:ind w:left="1440" w:hanging="450"/>
        <w:rPr>
          <w:rFonts w:ascii="Palatino Linotype" w:hAnsi="Palatino Linotype"/>
          <w:i/>
          <w:sz w:val="21"/>
          <w:szCs w:val="21"/>
        </w:rPr>
      </w:pPr>
      <w:r w:rsidRPr="009A0763">
        <w:rPr>
          <w:rFonts w:ascii="Palatino Linotype" w:hAnsi="Palatino Linotype"/>
          <w:i/>
          <w:sz w:val="21"/>
          <w:szCs w:val="21"/>
        </w:rPr>
        <w:t xml:space="preserve">El Secretario de Obra Pública; </w:t>
      </w:r>
    </w:p>
    <w:p w14:paraId="5FA2933F" w14:textId="7C8FD94B" w:rsidR="00A7552B" w:rsidRPr="009A0763" w:rsidRDefault="00357E4A" w:rsidP="00A7552B">
      <w:pPr>
        <w:pStyle w:val="Prrafodelista"/>
        <w:numPr>
          <w:ilvl w:val="0"/>
          <w:numId w:val="42"/>
        </w:numPr>
        <w:ind w:left="1440" w:hanging="450"/>
        <w:rPr>
          <w:rFonts w:ascii="Palatino Linotype" w:hAnsi="Palatino Linotype"/>
          <w:i/>
          <w:sz w:val="21"/>
          <w:szCs w:val="21"/>
        </w:rPr>
      </w:pPr>
      <w:r w:rsidRPr="009A0763">
        <w:rPr>
          <w:rFonts w:ascii="Palatino Linotype" w:hAnsi="Palatino Linotype"/>
          <w:i/>
          <w:sz w:val="21"/>
          <w:szCs w:val="21"/>
        </w:rPr>
        <w:t xml:space="preserve">El Vocal Ejecutivo de la Comisión; </w:t>
      </w:r>
    </w:p>
    <w:p w14:paraId="0D8C25AC" w14:textId="7E0F7A24" w:rsidR="00A7552B" w:rsidRPr="009A0763" w:rsidRDefault="00357E4A" w:rsidP="00A7552B">
      <w:pPr>
        <w:pStyle w:val="Prrafodelista"/>
        <w:numPr>
          <w:ilvl w:val="0"/>
          <w:numId w:val="42"/>
        </w:numPr>
        <w:ind w:left="1440" w:hanging="450"/>
        <w:rPr>
          <w:rFonts w:ascii="Palatino Linotype" w:hAnsi="Palatino Linotype"/>
          <w:i/>
          <w:sz w:val="21"/>
          <w:szCs w:val="21"/>
        </w:rPr>
      </w:pPr>
      <w:r w:rsidRPr="009A0763">
        <w:rPr>
          <w:rFonts w:ascii="Palatino Linotype" w:hAnsi="Palatino Linotype"/>
          <w:i/>
          <w:sz w:val="21"/>
          <w:szCs w:val="21"/>
        </w:rPr>
        <w:t xml:space="preserve">El Comisionado Presidente de la Comisión Técnica; </w:t>
      </w:r>
    </w:p>
    <w:p w14:paraId="66CE8AC2" w14:textId="6E36C86E" w:rsidR="00A7552B" w:rsidRPr="009A0763" w:rsidRDefault="00357E4A" w:rsidP="00A7552B">
      <w:pPr>
        <w:pStyle w:val="Prrafodelista"/>
        <w:numPr>
          <w:ilvl w:val="0"/>
          <w:numId w:val="42"/>
        </w:numPr>
        <w:ind w:left="1440" w:hanging="450"/>
        <w:rPr>
          <w:rFonts w:ascii="Palatino Linotype" w:hAnsi="Palatino Linotype"/>
          <w:i/>
          <w:sz w:val="21"/>
          <w:szCs w:val="21"/>
        </w:rPr>
      </w:pPr>
      <w:r w:rsidRPr="009A0763">
        <w:rPr>
          <w:rFonts w:ascii="Palatino Linotype" w:hAnsi="Palatino Linotype"/>
          <w:i/>
          <w:sz w:val="21"/>
          <w:szCs w:val="21"/>
        </w:rPr>
        <w:t xml:space="preserve">Los Presidentes Municipales; y </w:t>
      </w:r>
    </w:p>
    <w:p w14:paraId="5D81BE6C" w14:textId="1AFCB9A5" w:rsidR="00A7552B" w:rsidRPr="009A0763" w:rsidRDefault="00357E4A" w:rsidP="00A7552B">
      <w:pPr>
        <w:pStyle w:val="Prrafodelista"/>
        <w:numPr>
          <w:ilvl w:val="0"/>
          <w:numId w:val="42"/>
        </w:numPr>
        <w:ind w:left="1440" w:hanging="450"/>
        <w:rPr>
          <w:rFonts w:ascii="Palatino Linotype" w:hAnsi="Palatino Linotype"/>
          <w:i/>
          <w:sz w:val="21"/>
          <w:szCs w:val="21"/>
        </w:rPr>
      </w:pPr>
      <w:r w:rsidRPr="009A0763">
        <w:rPr>
          <w:rFonts w:ascii="Palatino Linotype" w:hAnsi="Palatino Linotype"/>
          <w:i/>
          <w:sz w:val="21"/>
          <w:szCs w:val="21"/>
        </w:rPr>
        <w:t xml:space="preserve">Los organismos operadores. </w:t>
      </w:r>
    </w:p>
    <w:p w14:paraId="6C6AB4B2" w14:textId="77777777" w:rsidR="00A7552B" w:rsidRPr="009A0763" w:rsidRDefault="00A7552B" w:rsidP="00A7552B">
      <w:pPr>
        <w:pStyle w:val="Prrafodelista"/>
        <w:ind w:left="1440"/>
        <w:rPr>
          <w:rFonts w:ascii="Palatino Linotype" w:hAnsi="Palatino Linotype"/>
          <w:i/>
          <w:sz w:val="21"/>
          <w:szCs w:val="21"/>
        </w:rPr>
      </w:pPr>
    </w:p>
    <w:p w14:paraId="4A7EE885" w14:textId="1CAE15A9" w:rsidR="00357E4A" w:rsidRPr="009A0763" w:rsidRDefault="00357E4A" w:rsidP="00A7552B">
      <w:pPr>
        <w:ind w:left="900"/>
        <w:rPr>
          <w:rFonts w:ascii="Palatino Linotype" w:hAnsi="Palatino Linotype"/>
          <w:i/>
          <w:sz w:val="21"/>
          <w:szCs w:val="21"/>
        </w:rPr>
      </w:pPr>
      <w:r w:rsidRPr="009A0763">
        <w:rPr>
          <w:rFonts w:ascii="Palatino Linotype" w:hAnsi="Palatino Linotype"/>
          <w:i/>
          <w:sz w:val="21"/>
          <w:szCs w:val="21"/>
        </w:rPr>
        <w:t xml:space="preserve">Los grupos organizados de usuarios, así como los concesionarios y permisionarios que sean prestadores de los servicios, tendrán el carácter de autoridad únicamente para los efectos del Juicio de Amparo. </w:t>
      </w:r>
    </w:p>
    <w:p w14:paraId="09CD6353" w14:textId="77777777" w:rsidR="00357E4A" w:rsidRPr="009A0763" w:rsidRDefault="00357E4A" w:rsidP="00357E4A">
      <w:pPr>
        <w:pStyle w:val="Prrafodelista"/>
        <w:rPr>
          <w:rFonts w:ascii="Palatino Linotype" w:hAnsi="Palatino Linotype"/>
          <w:iCs/>
          <w:color w:val="000000"/>
        </w:rPr>
      </w:pPr>
    </w:p>
    <w:p w14:paraId="0C04CFE4" w14:textId="15B59C51" w:rsidR="00A7552B" w:rsidRPr="009A0763" w:rsidRDefault="00A7552B" w:rsidP="00A7552B">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iCs/>
          <w:color w:val="000000"/>
        </w:rPr>
        <w:t xml:space="preserve">De lo </w:t>
      </w:r>
      <w:r w:rsidR="00770C09" w:rsidRPr="009A0763">
        <w:rPr>
          <w:rFonts w:ascii="Palatino Linotype" w:hAnsi="Palatino Linotype"/>
          <w:iCs/>
          <w:color w:val="000000"/>
        </w:rPr>
        <w:t xml:space="preserve">anterior, </w:t>
      </w:r>
      <w:r w:rsidRPr="009A0763">
        <w:rPr>
          <w:rFonts w:ascii="Palatino Linotype" w:hAnsi="Palatino Linotype"/>
          <w:iCs/>
          <w:color w:val="000000"/>
        </w:rPr>
        <w:t xml:space="preserve"> se advierte que son estas autoridades enlistadas en el precepto legal citado las facultatas para ordenar la </w:t>
      </w:r>
      <w:r w:rsidRPr="009A0763">
        <w:rPr>
          <w:rFonts w:ascii="Palatino Linotype" w:hAnsi="Palatino Linotype"/>
        </w:rPr>
        <w:t xml:space="preserve">práctica de visitas de verificación y/o inspección, a fin de comprobar que los usuarios, concesionarios o permisionarios, y los terceros con ellos relacionados, cumplen con las disposiciones de la Ley del Agua del Estado de México y su Reglamento y demás disposiciones que les sean aplicables </w:t>
      </w:r>
      <w:r w:rsidRPr="009A0763">
        <w:rPr>
          <w:rFonts w:ascii="Palatino Linotype" w:hAnsi="Palatino Linotype"/>
        </w:rPr>
        <w:lastRenderedPageBreak/>
        <w:t>y sancionar en el ámbito de su competencia, el incumplimiento de las obligaciones establecidas en dichos ordenamiantos legales.</w:t>
      </w:r>
    </w:p>
    <w:p w14:paraId="6A2660AB" w14:textId="77777777" w:rsidR="00303171" w:rsidRPr="009A0763" w:rsidRDefault="00303171" w:rsidP="00303171">
      <w:pPr>
        <w:spacing w:line="360" w:lineRule="auto"/>
        <w:contextualSpacing/>
        <w:jc w:val="both"/>
        <w:rPr>
          <w:rFonts w:ascii="Palatino Linotype" w:hAnsi="Palatino Linotype"/>
        </w:rPr>
      </w:pPr>
    </w:p>
    <w:p w14:paraId="1E7B5056" w14:textId="32DA49EB" w:rsidR="00303171" w:rsidRPr="009A0763" w:rsidRDefault="00303171" w:rsidP="00732DAB">
      <w:pPr>
        <w:numPr>
          <w:ilvl w:val="0"/>
          <w:numId w:val="2"/>
        </w:numPr>
        <w:spacing w:line="360" w:lineRule="auto"/>
        <w:ind w:left="0" w:firstLine="0"/>
        <w:contextualSpacing/>
        <w:jc w:val="both"/>
        <w:rPr>
          <w:rFonts w:ascii="Palatino Linotype" w:hAnsi="Palatino Linotype"/>
        </w:rPr>
      </w:pPr>
      <w:r w:rsidRPr="009A0763">
        <w:rPr>
          <w:rFonts w:ascii="Palatino Linotype" w:hAnsi="Palatino Linotype"/>
        </w:rPr>
        <w:t xml:space="preserve">El </w:t>
      </w:r>
      <w:r w:rsidRPr="009A0763">
        <w:rPr>
          <w:rFonts w:ascii="Palatino Linotype" w:hAnsi="Palatino Linotype"/>
          <w:b/>
        </w:rPr>
        <w:t xml:space="preserve">SUJETO OBLIGADO </w:t>
      </w:r>
      <w:r w:rsidRPr="009A0763">
        <w:rPr>
          <w:rFonts w:ascii="Palatino Linotype" w:hAnsi="Palatino Linotype"/>
        </w:rPr>
        <w:t xml:space="preserve">tanto en su respuesta como su informe justificado señala que atendiendo a las funciones de cada Unidad Administrativa de la Secretaría de Seguridad ninguna tiene la facultad para detener vehículos (pipas) e inspeccionarlos con la finalidad de saber si estos cuentan con el permiso de distribución o dictamen de factibilidad correspondiente, por no ser parte de sus funciones, lo cual podía ser corroborados en el Reglamento Interior de la Secretaría de Seguridad y el Manual General de Organización de la Secrearía de Seguridad, cuyas direcciones electrónicas adjunta el </w:t>
      </w:r>
      <w:r w:rsidRPr="009A0763">
        <w:rPr>
          <w:rFonts w:ascii="Palatino Linotype" w:hAnsi="Palatino Linotype"/>
          <w:b/>
        </w:rPr>
        <w:t>SUJETO OBLIGADO</w:t>
      </w:r>
      <w:r w:rsidRPr="009A0763">
        <w:rPr>
          <w:rFonts w:ascii="Palatino Linotype" w:hAnsi="Palatino Linotype"/>
        </w:rPr>
        <w:t>, como sigue:</w:t>
      </w:r>
    </w:p>
    <w:p w14:paraId="5E1F2602" w14:textId="77777777" w:rsidR="00303171" w:rsidRPr="009A0763" w:rsidRDefault="00303171" w:rsidP="00732DAB">
      <w:pPr>
        <w:pStyle w:val="Prrafodelista"/>
        <w:spacing w:line="360" w:lineRule="auto"/>
        <w:rPr>
          <w:rFonts w:ascii="Palatino Linotype" w:hAnsi="Palatino Linotype"/>
        </w:rPr>
      </w:pPr>
    </w:p>
    <w:p w14:paraId="4675569B" w14:textId="77777777" w:rsidR="00303171" w:rsidRPr="009A0763" w:rsidRDefault="00DF394C" w:rsidP="00732DAB">
      <w:pPr>
        <w:spacing w:line="360" w:lineRule="auto"/>
        <w:rPr>
          <w:rFonts w:ascii="Palatino Linotype" w:hAnsi="Palatino Linotype"/>
        </w:rPr>
      </w:pPr>
      <w:hyperlink r:id="rId8" w:history="1">
        <w:r w:rsidR="00303171" w:rsidRPr="009A0763">
          <w:rPr>
            <w:rStyle w:val="Hipervnculo"/>
            <w:rFonts w:ascii="Palatino Linotype" w:hAnsi="Palatino Linotype"/>
          </w:rPr>
          <w:t>https://legislacion.edomex.gob.mx/sites/legislacion.edomex.gob.mx/files/files/pdf/rgl/vig/rglvig714.pdf</w:t>
        </w:r>
      </w:hyperlink>
    </w:p>
    <w:p w14:paraId="6E556C0D" w14:textId="1E885D3D" w:rsidR="00303171" w:rsidRPr="009A0763" w:rsidRDefault="00303171" w:rsidP="00732DAB">
      <w:pPr>
        <w:spacing w:line="360" w:lineRule="auto"/>
        <w:contextualSpacing/>
        <w:jc w:val="both"/>
        <w:rPr>
          <w:rFonts w:ascii="Palatino Linotype" w:hAnsi="Palatino Linotype"/>
        </w:rPr>
      </w:pPr>
    </w:p>
    <w:p w14:paraId="03BA6E24" w14:textId="77777777" w:rsidR="00273777" w:rsidRPr="009A0763" w:rsidRDefault="00DF394C" w:rsidP="00732DAB">
      <w:pPr>
        <w:spacing w:line="360" w:lineRule="auto"/>
        <w:rPr>
          <w:rFonts w:ascii="Palatino Linotype" w:hAnsi="Palatino Linotype"/>
        </w:rPr>
      </w:pPr>
      <w:hyperlink r:id="rId9" w:history="1">
        <w:r w:rsidR="00303171" w:rsidRPr="009A0763">
          <w:rPr>
            <w:rStyle w:val="Hipervnculo"/>
            <w:rFonts w:ascii="Palatino Linotype" w:hAnsi="Palatino Linotype"/>
          </w:rPr>
          <w:t>https://sseguridad.edomex.gob.mx/sites/sseguridad.edomex.gob.mx/files/files/marco%20juridico/08%20Manuales%20de%20organizacion/01-MANUAL%20GENERAL%20DE%20ORGANIZACI%C3%93N.PDF</w:t>
        </w:r>
      </w:hyperlink>
    </w:p>
    <w:p w14:paraId="1B50E04D" w14:textId="77777777" w:rsidR="00732DAB" w:rsidRPr="009A0763" w:rsidRDefault="00732DAB" w:rsidP="00732DAB">
      <w:pPr>
        <w:spacing w:line="360" w:lineRule="auto"/>
        <w:rPr>
          <w:rFonts w:ascii="Palatino Linotype" w:hAnsi="Palatino Linotype"/>
          <w:iCs/>
          <w:color w:val="000000"/>
        </w:rPr>
      </w:pPr>
    </w:p>
    <w:p w14:paraId="7C34C408" w14:textId="5CD3A953" w:rsidR="00273777" w:rsidRPr="009A0763" w:rsidRDefault="00273777" w:rsidP="00770C09">
      <w:pPr>
        <w:pStyle w:val="Prrafodelista"/>
        <w:numPr>
          <w:ilvl w:val="0"/>
          <w:numId w:val="2"/>
        </w:numPr>
        <w:spacing w:line="360" w:lineRule="auto"/>
        <w:ind w:left="360"/>
        <w:jc w:val="both"/>
        <w:rPr>
          <w:rFonts w:ascii="Palatino Linotype" w:hAnsi="Palatino Linotype"/>
        </w:rPr>
      </w:pPr>
      <w:r w:rsidRPr="009A0763">
        <w:rPr>
          <w:rFonts w:ascii="Palatino Linotype" w:hAnsi="Palatino Linotype"/>
          <w:iCs/>
          <w:color w:val="000000"/>
        </w:rPr>
        <w:t>De la verificación hecha a las direcciones electrónicas proporc</w:t>
      </w:r>
      <w:r w:rsidR="00732DAB" w:rsidRPr="009A0763">
        <w:rPr>
          <w:rFonts w:ascii="Palatino Linotype" w:hAnsi="Palatino Linotype"/>
          <w:iCs/>
          <w:color w:val="000000"/>
        </w:rPr>
        <w:t>i</w:t>
      </w:r>
      <w:r w:rsidRPr="009A0763">
        <w:rPr>
          <w:rFonts w:ascii="Palatino Linotype" w:hAnsi="Palatino Linotype"/>
          <w:iCs/>
          <w:color w:val="000000"/>
        </w:rPr>
        <w:t>onadas por el</w:t>
      </w:r>
      <w:r w:rsidR="00732DAB" w:rsidRPr="009A0763">
        <w:rPr>
          <w:rFonts w:ascii="Palatino Linotype" w:hAnsi="Palatino Linotype"/>
          <w:iCs/>
          <w:color w:val="000000"/>
        </w:rPr>
        <w:t xml:space="preserve"> </w:t>
      </w:r>
      <w:r w:rsidRPr="009A0763">
        <w:rPr>
          <w:rFonts w:ascii="Palatino Linotype" w:hAnsi="Palatino Linotype"/>
          <w:b/>
          <w:iCs/>
          <w:color w:val="000000"/>
        </w:rPr>
        <w:t xml:space="preserve">SUJETO OBLIGADO </w:t>
      </w:r>
      <w:r w:rsidRPr="009A0763">
        <w:rPr>
          <w:rFonts w:ascii="Palatino Linotype" w:hAnsi="Palatino Linotype"/>
          <w:iCs/>
          <w:color w:val="000000"/>
        </w:rPr>
        <w:t xml:space="preserve">se advierte que efectivamente direcciona a la consulta tanto del Reglamento Interior como el Manual de Organización de la Secretaría </w:t>
      </w:r>
      <w:r w:rsidRPr="009A0763">
        <w:rPr>
          <w:rFonts w:ascii="Palatino Linotype" w:hAnsi="Palatino Linotype"/>
          <w:iCs/>
          <w:color w:val="000000"/>
        </w:rPr>
        <w:lastRenderedPageBreak/>
        <w:t xml:space="preserve">de Seguridad, ordenamientos legales que establecen </w:t>
      </w:r>
      <w:r w:rsidRPr="009A0763">
        <w:rPr>
          <w:rFonts w:ascii="Palatino Linotype" w:hAnsi="Palatino Linotype"/>
        </w:rPr>
        <w:t>la organización, atribuciones, funcionamiento de la Secretaría de Seguridad.</w:t>
      </w:r>
    </w:p>
    <w:p w14:paraId="7D5C067E" w14:textId="724BFB5A" w:rsidR="00273777" w:rsidRPr="009A0763" w:rsidRDefault="00273777" w:rsidP="00273777"/>
    <w:p w14:paraId="67263705" w14:textId="21D3644D" w:rsidR="00273777" w:rsidRPr="009A0763" w:rsidRDefault="00273777" w:rsidP="00732DAB">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 Cabe destacar que el artículo 21 Bis de la Ley Orgánica de la Administraci</w:t>
      </w:r>
      <w:r w:rsidR="00732DAB" w:rsidRPr="009A0763">
        <w:rPr>
          <w:rFonts w:ascii="Palatino Linotype" w:hAnsi="Palatino Linotype"/>
          <w:iCs/>
          <w:color w:val="000000"/>
        </w:rPr>
        <w:t>ón</w:t>
      </w:r>
      <w:r w:rsidRPr="009A0763">
        <w:rPr>
          <w:rFonts w:ascii="Palatino Linotype" w:hAnsi="Palatino Linotype"/>
          <w:iCs/>
          <w:color w:val="000000"/>
        </w:rPr>
        <w:t xml:space="preserve"> Pública del Estado de México establece </w:t>
      </w:r>
      <w:r w:rsidR="00732DAB" w:rsidRPr="009A0763">
        <w:rPr>
          <w:rFonts w:ascii="Palatino Linotype" w:hAnsi="Palatino Linotype"/>
          <w:iCs/>
          <w:color w:val="000000"/>
        </w:rPr>
        <w:t>que la</w:t>
      </w:r>
      <w:r w:rsidRPr="009A0763">
        <w:rPr>
          <w:rFonts w:ascii="Palatino Linotype" w:hAnsi="Palatino Linotype"/>
        </w:rPr>
        <w:t xml:space="preserve"> Secretaría de Seguridad es la dependencia encargada de planear, formular, conducir, coordinar, ejecutar, supervisar y evaluar las políticas, programas y acciones en materia de seguridad pública</w:t>
      </w:r>
      <w:r w:rsidR="00732DAB" w:rsidRPr="009A0763">
        <w:rPr>
          <w:rFonts w:ascii="Palatino Linotype" w:hAnsi="Palatino Linotype"/>
        </w:rPr>
        <w:t>.</w:t>
      </w:r>
    </w:p>
    <w:p w14:paraId="59D86EBC" w14:textId="77777777" w:rsidR="00273777" w:rsidRPr="009A0763" w:rsidRDefault="00273777" w:rsidP="00732DAB">
      <w:pPr>
        <w:spacing w:line="360" w:lineRule="auto"/>
        <w:contextualSpacing/>
        <w:jc w:val="both"/>
        <w:rPr>
          <w:rFonts w:ascii="Palatino Linotype" w:hAnsi="Palatino Linotype"/>
          <w:iCs/>
          <w:color w:val="000000"/>
        </w:rPr>
      </w:pPr>
    </w:p>
    <w:p w14:paraId="55474B84" w14:textId="2A2D0FB7" w:rsidR="00352407" w:rsidRPr="009A0763" w:rsidRDefault="00732DAB" w:rsidP="00273777">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Derivado </w:t>
      </w:r>
      <w:r w:rsidR="00352407" w:rsidRPr="009A0763">
        <w:rPr>
          <w:rFonts w:ascii="Palatino Linotype" w:hAnsi="Palatino Linotype"/>
          <w:iCs/>
          <w:color w:val="000000"/>
        </w:rPr>
        <w:t xml:space="preserve">de lo anterior se advierte que </w:t>
      </w:r>
      <w:r w:rsidR="00770C09" w:rsidRPr="009A0763">
        <w:rPr>
          <w:rFonts w:ascii="Palatino Linotype" w:hAnsi="Palatino Linotype"/>
          <w:iCs/>
          <w:color w:val="000000"/>
        </w:rPr>
        <w:t xml:space="preserve">son las autoridades enlistadas en el artículo 3 </w:t>
      </w:r>
      <w:r w:rsidR="00352407" w:rsidRPr="009A0763">
        <w:rPr>
          <w:rFonts w:ascii="Palatino Linotype" w:hAnsi="Palatino Linotype"/>
          <w:iCs/>
          <w:color w:val="000000"/>
        </w:rPr>
        <w:t xml:space="preserve">la </w:t>
      </w:r>
      <w:r w:rsidR="00770C09" w:rsidRPr="009A0763">
        <w:rPr>
          <w:rFonts w:ascii="Palatino Linotype" w:hAnsi="Palatino Linotype"/>
          <w:iCs/>
          <w:color w:val="000000"/>
        </w:rPr>
        <w:t xml:space="preserve">Ley del Agua del Estado de México en el ámbito de sus respectivas competencias </w:t>
      </w:r>
      <w:r w:rsidRPr="009A0763">
        <w:rPr>
          <w:rFonts w:ascii="Palatino Linotype" w:hAnsi="Palatino Linotype"/>
          <w:iCs/>
          <w:color w:val="000000"/>
        </w:rPr>
        <w:t xml:space="preserve">para emitir el </w:t>
      </w:r>
      <w:r w:rsidR="00770C09" w:rsidRPr="009A0763">
        <w:rPr>
          <w:rFonts w:ascii="Palatino Linotype" w:hAnsi="Palatino Linotype"/>
        </w:rPr>
        <w:t xml:space="preserve">el Permiso de Distribución y la evaluación técnica de factibilidad de distribución de agua através de pipas, así como ordenar </w:t>
      </w:r>
      <w:r w:rsidR="00770C09" w:rsidRPr="009A0763">
        <w:rPr>
          <w:rFonts w:ascii="Palatino Linotype" w:hAnsi="Palatino Linotype"/>
          <w:iCs/>
          <w:color w:val="000000"/>
        </w:rPr>
        <w:t xml:space="preserve">la </w:t>
      </w:r>
      <w:r w:rsidR="00770C09" w:rsidRPr="009A0763">
        <w:rPr>
          <w:rFonts w:ascii="Palatino Linotype" w:hAnsi="Palatino Linotype"/>
        </w:rPr>
        <w:t>práctica de visitas de verificación y/o inspección, a fin de comprobar que los usuarios, concesionarios o permisionarios, y los terceros con ellos relacionados, cumplen con las disposiciones de la Ley del Agua del Estado de México y su Reglamento y en su caso, sancionar dicho incimplimiento.</w:t>
      </w:r>
    </w:p>
    <w:p w14:paraId="222E5EDE" w14:textId="77777777" w:rsidR="00352407" w:rsidRPr="009A0763" w:rsidRDefault="00352407" w:rsidP="00352407">
      <w:pPr>
        <w:pStyle w:val="Prrafodelista"/>
        <w:rPr>
          <w:rFonts w:ascii="Palatino Linotype" w:hAnsi="Palatino Linotype"/>
          <w:iCs/>
          <w:color w:val="000000"/>
        </w:rPr>
      </w:pPr>
    </w:p>
    <w:p w14:paraId="46C960BC" w14:textId="77777777" w:rsidR="003D3FA1" w:rsidRPr="009A0763" w:rsidRDefault="003D3FA1" w:rsidP="003D3FA1">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Es por lo anterior, que este Órgano Garante tiene por </w:t>
      </w:r>
      <w:r w:rsidRPr="009A0763">
        <w:rPr>
          <w:rFonts w:ascii="Palatino Linotype" w:hAnsi="Palatino Linotype"/>
          <w:b/>
          <w:iCs/>
          <w:color w:val="000000"/>
        </w:rPr>
        <w:t xml:space="preserve">colmado </w:t>
      </w:r>
      <w:r w:rsidRPr="009A0763">
        <w:rPr>
          <w:rFonts w:ascii="Palatino Linotype" w:hAnsi="Palatino Linotype"/>
          <w:iCs/>
          <w:color w:val="000000"/>
        </w:rPr>
        <w:t xml:space="preserve">el requerimiento de información.  </w:t>
      </w:r>
    </w:p>
    <w:p w14:paraId="3690D7C0" w14:textId="77777777" w:rsidR="003D3FA1" w:rsidRPr="009A0763" w:rsidRDefault="003D3FA1" w:rsidP="003D3FA1">
      <w:pPr>
        <w:spacing w:line="360" w:lineRule="auto"/>
        <w:contextualSpacing/>
        <w:jc w:val="both"/>
        <w:rPr>
          <w:rFonts w:ascii="Palatino Linotype" w:hAnsi="Palatino Linotype"/>
          <w:iCs/>
          <w:color w:val="000000"/>
        </w:rPr>
      </w:pPr>
    </w:p>
    <w:p w14:paraId="6DB1B737" w14:textId="3C53A48A" w:rsidR="003D3FA1" w:rsidRPr="009A0763" w:rsidRDefault="003D3FA1" w:rsidP="003D3FA1">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De igual manera, es pertinente mencionar que este Instituto no está facultado para pronunciarse sobre la veracidad de la información proporcionada por el </w:t>
      </w:r>
      <w:r w:rsidR="00770C09" w:rsidRPr="009A0763">
        <w:rPr>
          <w:rFonts w:ascii="Palatino Linotype" w:hAnsi="Palatino Linotype"/>
          <w:b/>
          <w:iCs/>
          <w:color w:val="000000"/>
        </w:rPr>
        <w:lastRenderedPageBreak/>
        <w:t>SUJETO OBLIGADO</w:t>
      </w:r>
      <w:r w:rsidRPr="009A0763">
        <w:rPr>
          <w:rFonts w:ascii="Palatino Linotype" w:hAnsi="Palatino Linotype"/>
          <w:iCs/>
          <w:color w:val="000000"/>
        </w:rPr>
        <w:t xml:space="preserve">, ello en virtud de que no existe precepto legal alguno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Nacional de Transparencia, Acceso a la Información y Protección de Datos Personales (INAI) que a la letra dice: </w:t>
      </w:r>
    </w:p>
    <w:p w14:paraId="55CEAA59" w14:textId="77777777" w:rsidR="003D3FA1" w:rsidRPr="009A0763" w:rsidRDefault="003D3FA1" w:rsidP="003D3FA1">
      <w:pPr>
        <w:spacing w:line="360" w:lineRule="auto"/>
        <w:contextualSpacing/>
        <w:jc w:val="both"/>
        <w:rPr>
          <w:rFonts w:ascii="Palatino Linotype" w:hAnsi="Palatino Linotype"/>
          <w:iCs/>
          <w:color w:val="000000"/>
        </w:rPr>
      </w:pPr>
    </w:p>
    <w:p w14:paraId="7469EB6D" w14:textId="77777777" w:rsidR="003D3FA1" w:rsidRPr="009A0763" w:rsidRDefault="003D3FA1" w:rsidP="003D3FA1">
      <w:pPr>
        <w:spacing w:line="360" w:lineRule="auto"/>
        <w:ind w:left="567" w:right="567"/>
        <w:contextualSpacing/>
        <w:jc w:val="both"/>
        <w:rPr>
          <w:rFonts w:ascii="Palatino Linotype" w:eastAsia="MS Mincho" w:hAnsi="Palatino Linotype"/>
          <w:iCs/>
        </w:rPr>
      </w:pPr>
      <w:r w:rsidRPr="009A0763">
        <w:rPr>
          <w:rFonts w:ascii="Palatino Linotype" w:eastAsia="MS Mincho" w:hAnsi="Palatino Linotype"/>
          <w:iCs/>
        </w:rPr>
        <w:t>“</w:t>
      </w:r>
      <w:r w:rsidRPr="009A0763">
        <w:rPr>
          <w:rFonts w:ascii="Palatino Linotype" w:eastAsia="MS Mincho" w:hAnsi="Palatino Linotype"/>
          <w:b/>
          <w:iCs/>
        </w:rPr>
        <w:t>El Instituto Federal de Acceso a la Información y Protección de Datos no cuenta con facultades para pronunciarse respecto de la veracidad de los documentos proporcionados por los Sujetos Obligados.</w:t>
      </w:r>
      <w:r w:rsidRPr="009A0763">
        <w:rPr>
          <w:rFonts w:ascii="Palatino Linotype" w:eastAsia="MS Mincho" w:hAnsi="Palatino Linotype"/>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w:t>
      </w:r>
      <w:r w:rsidRPr="009A0763">
        <w:rPr>
          <w:rFonts w:ascii="Palatino Linotype" w:eastAsia="MS Mincho" w:hAnsi="Palatino Linotype"/>
          <w:iCs/>
        </w:rPr>
        <w:lastRenderedPageBreak/>
        <w:t>al Instituto Federal de Acceso a la Información y Protección de Datos conocer, vía recurso revisión, al respecto.”</w:t>
      </w:r>
    </w:p>
    <w:p w14:paraId="1E799F4C" w14:textId="77777777" w:rsidR="003D3FA1" w:rsidRPr="009A0763" w:rsidRDefault="003D3FA1" w:rsidP="003D3FA1">
      <w:pPr>
        <w:spacing w:line="360" w:lineRule="auto"/>
        <w:ind w:left="567" w:right="567"/>
        <w:contextualSpacing/>
        <w:jc w:val="both"/>
        <w:rPr>
          <w:rFonts w:ascii="Palatino Linotype" w:eastAsia="MS Mincho" w:hAnsi="Palatino Linotype"/>
          <w:iCs/>
        </w:rPr>
      </w:pPr>
    </w:p>
    <w:p w14:paraId="3AE0F343" w14:textId="77777777" w:rsidR="003D3FA1" w:rsidRPr="009A0763" w:rsidRDefault="003D3FA1" w:rsidP="003D3FA1">
      <w:pPr>
        <w:spacing w:line="360" w:lineRule="auto"/>
        <w:ind w:left="567" w:right="567"/>
        <w:contextualSpacing/>
        <w:jc w:val="both"/>
        <w:rPr>
          <w:rFonts w:ascii="Palatino Linotype" w:eastAsia="MS Mincho" w:hAnsi="Palatino Linotype"/>
          <w:iCs/>
        </w:rPr>
      </w:pPr>
      <w:r w:rsidRPr="009A0763">
        <w:rPr>
          <w:rFonts w:ascii="Palatino Linotype" w:eastAsia="MS Mincho" w:hAnsi="Palatino Linotype"/>
          <w:iCs/>
        </w:rPr>
        <w:t>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62E12435" w14:textId="77777777" w:rsidR="003D3FA1" w:rsidRPr="009A0763" w:rsidRDefault="003D3FA1" w:rsidP="003D3FA1">
      <w:pPr>
        <w:spacing w:line="360" w:lineRule="auto"/>
        <w:contextualSpacing/>
        <w:jc w:val="both"/>
        <w:rPr>
          <w:rFonts w:ascii="Palatino Linotype" w:hAnsi="Palatino Linotype"/>
          <w:iCs/>
          <w:color w:val="000000"/>
        </w:rPr>
      </w:pPr>
    </w:p>
    <w:p w14:paraId="72370168" w14:textId="77777777" w:rsidR="003D3FA1" w:rsidRPr="009A0763" w:rsidRDefault="003D3FA1" w:rsidP="003D3FA1">
      <w:pPr>
        <w:numPr>
          <w:ilvl w:val="0"/>
          <w:numId w:val="2"/>
        </w:numPr>
        <w:spacing w:line="360" w:lineRule="auto"/>
        <w:ind w:left="0" w:firstLine="0"/>
        <w:contextualSpacing/>
        <w:jc w:val="both"/>
        <w:rPr>
          <w:rFonts w:ascii="Palatino Linotype" w:hAnsi="Palatino Linotype"/>
          <w:iCs/>
          <w:color w:val="000000"/>
        </w:rPr>
      </w:pPr>
      <w:r w:rsidRPr="009A0763">
        <w:rPr>
          <w:rFonts w:ascii="Palatino Linotype" w:hAnsi="Palatino Linotype"/>
          <w:iCs/>
          <w:color w:val="000000"/>
        </w:rPr>
        <w:t xml:space="preserve">Del mismo modo, es importante mencionar que de acuerdo con lo establecido por el artículo 12 de la Ley de Transparencia y Acceso a la Información Pública del Estado de México y Municipios, que a la letra refiere que: </w:t>
      </w:r>
    </w:p>
    <w:p w14:paraId="433DF229" w14:textId="77777777" w:rsidR="003D3FA1" w:rsidRPr="009A0763" w:rsidRDefault="003D3FA1" w:rsidP="003D3FA1">
      <w:pPr>
        <w:spacing w:line="360" w:lineRule="auto"/>
        <w:contextualSpacing/>
        <w:jc w:val="both"/>
        <w:rPr>
          <w:rFonts w:ascii="Palatino Linotype" w:hAnsi="Palatino Linotype"/>
          <w:iCs/>
          <w:color w:val="000000"/>
        </w:rPr>
      </w:pPr>
    </w:p>
    <w:p w14:paraId="3A7FE0A4" w14:textId="77777777" w:rsidR="003D3FA1" w:rsidRPr="009A0763" w:rsidRDefault="003D3FA1" w:rsidP="003D3FA1">
      <w:pPr>
        <w:pStyle w:val="Prrafodelista"/>
        <w:spacing w:line="360" w:lineRule="auto"/>
        <w:ind w:left="567" w:right="567"/>
        <w:jc w:val="both"/>
        <w:rPr>
          <w:rFonts w:ascii="Palatino Linotype" w:hAnsi="Palatino Linotype"/>
          <w:i/>
          <w:iCs/>
        </w:rPr>
      </w:pPr>
      <w:r w:rsidRPr="009A0763">
        <w:rPr>
          <w:rFonts w:ascii="Palatino Linotype" w:hAnsi="Palatino Linotype"/>
          <w:i/>
          <w:iCs/>
        </w:rPr>
        <w:t>“</w:t>
      </w:r>
      <w:r w:rsidRPr="009A0763">
        <w:rPr>
          <w:rFonts w:ascii="Palatino Linotype" w:hAnsi="Palatino Linotype"/>
          <w:b/>
          <w:bCs/>
          <w:i/>
          <w:iCs/>
        </w:rPr>
        <w:t>Artículo 12.</w:t>
      </w:r>
      <w:r w:rsidRPr="009A0763">
        <w:rPr>
          <w:rFonts w:ascii="Palatino Linotype" w:hAnsi="Palatino Linotype"/>
          <w:i/>
          <w:iCs/>
        </w:rPr>
        <w:t xml:space="preserve"> Quienes generen, recopilen, administren, manejen, procesen, archiven o conserven información pública serán responsables de la misma en los términos de las disposiciones jurídicas aplicables.</w:t>
      </w:r>
    </w:p>
    <w:p w14:paraId="56D9D3EF" w14:textId="77777777" w:rsidR="003D3FA1" w:rsidRPr="009A0763" w:rsidRDefault="003D3FA1" w:rsidP="003D3FA1">
      <w:pPr>
        <w:pStyle w:val="Prrafodelista"/>
        <w:spacing w:line="360" w:lineRule="auto"/>
        <w:ind w:left="567" w:right="567"/>
        <w:jc w:val="both"/>
        <w:rPr>
          <w:rFonts w:ascii="Palatino Linotype" w:hAnsi="Palatino Linotype"/>
          <w:i/>
          <w:iCs/>
          <w:sz w:val="16"/>
          <w:szCs w:val="16"/>
        </w:rPr>
      </w:pPr>
    </w:p>
    <w:p w14:paraId="7DA4684A" w14:textId="77777777" w:rsidR="003D3FA1" w:rsidRPr="009A0763" w:rsidRDefault="003D3FA1" w:rsidP="003D3FA1">
      <w:pPr>
        <w:pStyle w:val="Prrafodelista"/>
        <w:spacing w:line="360" w:lineRule="auto"/>
        <w:ind w:left="567" w:right="567"/>
        <w:jc w:val="both"/>
        <w:rPr>
          <w:rFonts w:ascii="Palatino Linotype" w:hAnsi="Palatino Linotype"/>
          <w:i/>
          <w:iCs/>
        </w:rPr>
      </w:pPr>
      <w:r w:rsidRPr="009A0763">
        <w:rPr>
          <w:rFonts w:ascii="Palatino Linotype" w:hAnsi="Palatino Linotype"/>
          <w:b/>
          <w:bCs/>
          <w:i/>
          <w:iC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9A0763">
        <w:rPr>
          <w:rFonts w:ascii="Palatino Linotype" w:hAnsi="Palatino Linotype"/>
          <w:b/>
          <w:bCs/>
          <w:i/>
          <w:iCs/>
        </w:rPr>
        <w:lastRenderedPageBreak/>
        <w:t>solicitante; no estarán obligados a generarla, resumirla, efectuar cálculos o practicar investigaciones</w:t>
      </w:r>
      <w:r w:rsidRPr="009A0763">
        <w:rPr>
          <w:rFonts w:ascii="Palatino Linotype" w:hAnsi="Palatino Linotype"/>
          <w:i/>
          <w:iCs/>
        </w:rPr>
        <w:t>”.</w:t>
      </w:r>
    </w:p>
    <w:p w14:paraId="2741D160" w14:textId="77777777" w:rsidR="003D3FA1" w:rsidRPr="009A0763" w:rsidRDefault="003D3FA1" w:rsidP="003D3FA1">
      <w:pPr>
        <w:spacing w:line="360" w:lineRule="auto"/>
        <w:contextualSpacing/>
        <w:jc w:val="both"/>
        <w:rPr>
          <w:rFonts w:ascii="Palatino Linotype" w:hAnsi="Palatino Linotype"/>
          <w:iCs/>
          <w:color w:val="000000"/>
        </w:rPr>
      </w:pPr>
    </w:p>
    <w:p w14:paraId="230A1855" w14:textId="77777777" w:rsidR="003D3FA1" w:rsidRPr="009A0763" w:rsidRDefault="003D3FA1" w:rsidP="003D3FA1">
      <w:pPr>
        <w:pStyle w:val="Prrafodelista"/>
        <w:numPr>
          <w:ilvl w:val="0"/>
          <w:numId w:val="2"/>
        </w:numPr>
        <w:spacing w:line="360" w:lineRule="auto"/>
        <w:ind w:left="0" w:firstLine="0"/>
        <w:jc w:val="both"/>
        <w:rPr>
          <w:rFonts w:ascii="Palatino Linotype" w:hAnsi="Palatino Linotype" w:cs="Arial"/>
          <w:i/>
        </w:rPr>
      </w:pPr>
      <w:r w:rsidRPr="009A0763">
        <w:rPr>
          <w:rFonts w:ascii="Palatino Linotype" w:hAnsi="Palatino Linotype" w:cs="Arial"/>
          <w:iCs/>
        </w:rPr>
        <w:t xml:space="preserve">Es entonces que, </w:t>
      </w:r>
      <w:r w:rsidRPr="009A0763">
        <w:rPr>
          <w:rFonts w:ascii="Palatino Linotype" w:eastAsia="MS Mincho" w:hAnsi="Palatino Linotype" w:cstheme="majorBidi"/>
        </w:rPr>
        <w:t xml:space="preserve">en términos del artículo </w:t>
      </w:r>
      <w:r w:rsidRPr="009A0763">
        <w:rPr>
          <w:rFonts w:ascii="Palatino Linotype" w:eastAsia="MS Mincho" w:hAnsi="Palatino Linotype" w:cstheme="majorBidi"/>
          <w:b/>
        </w:rPr>
        <w:t xml:space="preserve">186 </w:t>
      </w:r>
      <w:r w:rsidRPr="009A0763">
        <w:rPr>
          <w:rFonts w:ascii="Palatino Linotype" w:eastAsia="MS Mincho" w:hAnsi="Palatino Linotype" w:cstheme="majorBidi"/>
        </w:rPr>
        <w:t xml:space="preserve">fracción </w:t>
      </w:r>
      <w:r w:rsidRPr="009A0763">
        <w:rPr>
          <w:rFonts w:ascii="Palatino Linotype" w:eastAsia="MS Mincho" w:hAnsi="Palatino Linotype" w:cstheme="majorBidi"/>
          <w:b/>
        </w:rPr>
        <w:t xml:space="preserve">II </w:t>
      </w:r>
      <w:r w:rsidRPr="009A0763">
        <w:rPr>
          <w:rFonts w:ascii="Palatino Linotype" w:eastAsia="MS Mincho" w:hAnsi="Palatino Linotype" w:cstheme="majorBidi"/>
        </w:rPr>
        <w:t xml:space="preserve">de la </w:t>
      </w:r>
      <w:r w:rsidRPr="009A0763">
        <w:rPr>
          <w:rFonts w:ascii="Palatino Linotype" w:eastAsia="MS Mincho" w:hAnsi="Palatino Linotype" w:cstheme="majorBidi"/>
          <w:b/>
        </w:rPr>
        <w:t xml:space="preserve">Ley de Transparencia y Acceso a la Información Pública del Estado de México y Municipios </w:t>
      </w:r>
      <w:r w:rsidRPr="009A0763">
        <w:rPr>
          <w:rFonts w:ascii="Palatino Linotype" w:eastAsia="MS Mincho" w:hAnsi="Palatino Linotype" w:cstheme="majorBidi"/>
        </w:rPr>
        <w:t xml:space="preserve">este Pleno </w:t>
      </w:r>
      <w:r w:rsidRPr="009A0763">
        <w:rPr>
          <w:rFonts w:ascii="Palatino Linotype" w:eastAsia="MS Mincho" w:hAnsi="Palatino Linotype" w:cstheme="majorBidi"/>
          <w:b/>
        </w:rPr>
        <w:t>CONFIRMA</w:t>
      </w:r>
      <w:r w:rsidRPr="009A0763">
        <w:rPr>
          <w:rFonts w:ascii="Palatino Linotype" w:eastAsia="MS Mincho" w:hAnsi="Palatino Linotype" w:cstheme="majorBidi"/>
        </w:rPr>
        <w:t xml:space="preserve"> la respuesta emitida por el </w:t>
      </w:r>
      <w:r w:rsidRPr="009A0763">
        <w:rPr>
          <w:rFonts w:ascii="Palatino Linotype" w:eastAsia="MS Mincho" w:hAnsi="Palatino Linotype" w:cstheme="majorBidi"/>
          <w:b/>
        </w:rPr>
        <w:t xml:space="preserve">Sujeto Obligado, </w:t>
      </w:r>
      <w:r w:rsidRPr="009A0763">
        <w:rPr>
          <w:rFonts w:ascii="Palatino Linotype" w:eastAsia="MS Mincho" w:hAnsi="Palatino Linotype" w:cstheme="majorBidi"/>
        </w:rPr>
        <w:t>en el presente recurso de revisión.</w:t>
      </w:r>
    </w:p>
    <w:p w14:paraId="55544128" w14:textId="77777777" w:rsidR="003D3FA1" w:rsidRPr="009A0763" w:rsidRDefault="003D3FA1" w:rsidP="003D3FA1">
      <w:pPr>
        <w:spacing w:line="360" w:lineRule="auto"/>
        <w:ind w:right="49"/>
        <w:contextualSpacing/>
        <w:jc w:val="both"/>
        <w:rPr>
          <w:rFonts w:ascii="Palatino Linotype" w:eastAsia="MS Mincho" w:hAnsi="Palatino Linotype" w:cs="Arial"/>
          <w:i/>
        </w:rPr>
      </w:pPr>
    </w:p>
    <w:p w14:paraId="2362375D" w14:textId="62EF2F83" w:rsidR="003D3FA1" w:rsidRPr="009A0763" w:rsidRDefault="003D3FA1" w:rsidP="003D3FA1">
      <w:pPr>
        <w:numPr>
          <w:ilvl w:val="0"/>
          <w:numId w:val="2"/>
        </w:numPr>
        <w:spacing w:line="360" w:lineRule="auto"/>
        <w:ind w:left="0" w:firstLine="0"/>
        <w:contextualSpacing/>
        <w:jc w:val="both"/>
        <w:rPr>
          <w:rFonts w:ascii="Palatino Linotype" w:eastAsia="MS Mincho" w:hAnsi="Palatino Linotype" w:cs="Arial"/>
          <w:i/>
        </w:rPr>
      </w:pPr>
      <w:r w:rsidRPr="009A0763">
        <w:rPr>
          <w:rFonts w:ascii="Palatino Linotype" w:eastAsia="MS Mincho" w:hAnsi="Palatino Linotype" w:cstheme="majorBidi"/>
        </w:rPr>
        <w:t xml:space="preserve">Por lo anteriormente expuesto y fundado este </w:t>
      </w:r>
      <w:r w:rsidRPr="009A0763">
        <w:rPr>
          <w:rFonts w:ascii="Palatino Linotype" w:eastAsia="MS Mincho" w:hAnsi="Palatino Linotype" w:cstheme="majorBidi"/>
          <w:b/>
        </w:rPr>
        <w:t>ÓRGANO GARANTE</w:t>
      </w:r>
      <w:r w:rsidRPr="009A0763">
        <w:rPr>
          <w:rFonts w:ascii="Palatino Linotype" w:eastAsia="MS Mincho" w:hAnsi="Palatino Linotype" w:cstheme="majorBidi"/>
        </w:rPr>
        <w:t xml:space="preserve"> emite los siguientes.</w:t>
      </w:r>
    </w:p>
    <w:p w14:paraId="09F2B80A" w14:textId="77777777" w:rsidR="003D3FA1" w:rsidRPr="009A0763" w:rsidRDefault="003D3FA1" w:rsidP="003D3FA1">
      <w:pPr>
        <w:keepNext/>
        <w:keepLines/>
        <w:spacing w:line="360" w:lineRule="auto"/>
        <w:jc w:val="center"/>
        <w:outlineLvl w:val="0"/>
        <w:rPr>
          <w:rFonts w:ascii="Palatino Linotype" w:hAnsi="Palatino Linotype" w:cstheme="majorBidi"/>
          <w:b/>
        </w:rPr>
      </w:pPr>
      <w:bookmarkStart w:id="132" w:name="_Toc494366431"/>
      <w:bookmarkStart w:id="133" w:name="_Toc35260972"/>
      <w:r w:rsidRPr="009A0763">
        <w:rPr>
          <w:rFonts w:ascii="Palatino Linotype" w:hAnsi="Palatino Linotype" w:cstheme="majorBidi"/>
          <w:b/>
        </w:rPr>
        <w:t>R E S O L U T I V O S</w:t>
      </w:r>
      <w:bookmarkEnd w:id="132"/>
      <w:bookmarkEnd w:id="133"/>
    </w:p>
    <w:p w14:paraId="3F8B1586" w14:textId="77777777" w:rsidR="003D3FA1" w:rsidRPr="009A0763" w:rsidRDefault="003D3FA1" w:rsidP="003D3FA1">
      <w:pPr>
        <w:spacing w:line="360" w:lineRule="auto"/>
      </w:pPr>
    </w:p>
    <w:p w14:paraId="55C590DE" w14:textId="6AE07534" w:rsidR="003D3FA1" w:rsidRPr="009A0763" w:rsidRDefault="003D3FA1" w:rsidP="003D3FA1">
      <w:pPr>
        <w:spacing w:line="360" w:lineRule="auto"/>
        <w:jc w:val="both"/>
        <w:rPr>
          <w:rFonts w:ascii="Palatino Linotype" w:hAnsi="Palatino Linotype"/>
        </w:rPr>
      </w:pPr>
      <w:r w:rsidRPr="009A0763">
        <w:rPr>
          <w:rFonts w:ascii="Palatino Linotype" w:hAnsi="Palatino Linotype" w:cs="Arial"/>
          <w:b/>
        </w:rPr>
        <w:t xml:space="preserve">PRIMERO. </w:t>
      </w:r>
      <w:r w:rsidRPr="009A0763">
        <w:rPr>
          <w:rFonts w:ascii="Palatino Linotype" w:hAnsi="Palatino Linotype" w:cs="Arial"/>
        </w:rPr>
        <w:t>Resultan infundadas las</w:t>
      </w:r>
      <w:r w:rsidRPr="009A0763">
        <w:rPr>
          <w:rFonts w:ascii="Palatino Linotype" w:hAnsi="Palatino Linotype" w:cs="Arial"/>
          <w:b/>
        </w:rPr>
        <w:t xml:space="preserve"> </w:t>
      </w:r>
      <w:r w:rsidRPr="009A0763">
        <w:rPr>
          <w:rFonts w:ascii="Palatino Linotype" w:hAnsi="Palatino Linotype" w:cs="Arial"/>
          <w:lang w:val="es-ES"/>
        </w:rPr>
        <w:t xml:space="preserve">razones o motivos de inconformidad hechos valer </w:t>
      </w:r>
      <w:r w:rsidRPr="009A0763">
        <w:rPr>
          <w:rFonts w:ascii="Palatino Linotype" w:eastAsia="Calibri" w:hAnsi="Palatino Linotype" w:cs="Arial"/>
          <w:lang w:val="es-ES"/>
        </w:rPr>
        <w:t xml:space="preserve">en el recurso de revisión </w:t>
      </w:r>
      <w:r w:rsidRPr="009A0763">
        <w:rPr>
          <w:rFonts w:ascii="Palatino Linotype" w:hAnsi="Palatino Linotype"/>
          <w:b/>
        </w:rPr>
        <w:t>0</w:t>
      </w:r>
      <w:r w:rsidR="0022366A" w:rsidRPr="009A0763">
        <w:rPr>
          <w:rFonts w:ascii="Palatino Linotype" w:hAnsi="Palatino Linotype"/>
          <w:b/>
        </w:rPr>
        <w:t>1768</w:t>
      </w:r>
      <w:r w:rsidRPr="009A0763">
        <w:rPr>
          <w:rFonts w:ascii="Palatino Linotype" w:hAnsi="Palatino Linotype"/>
          <w:b/>
        </w:rPr>
        <w:t xml:space="preserve">/INFOEM/IP/RR/2020 </w:t>
      </w:r>
      <w:r w:rsidRPr="009A0763">
        <w:rPr>
          <w:rFonts w:ascii="Palatino Linotype" w:hAnsi="Palatino Linotype"/>
        </w:rPr>
        <w:t xml:space="preserve">en términos del </w:t>
      </w:r>
      <w:r w:rsidRPr="009A0763">
        <w:rPr>
          <w:rFonts w:ascii="Palatino Linotype" w:hAnsi="Palatino Linotype"/>
          <w:b/>
          <w:bCs/>
        </w:rPr>
        <w:t>Considerando</w:t>
      </w:r>
      <w:r w:rsidRPr="009A0763">
        <w:rPr>
          <w:rFonts w:ascii="Palatino Linotype" w:hAnsi="Palatino Linotype"/>
        </w:rPr>
        <w:t xml:space="preserve"> </w:t>
      </w:r>
      <w:r w:rsidRPr="009A0763">
        <w:rPr>
          <w:rFonts w:ascii="Palatino Linotype" w:hAnsi="Palatino Linotype"/>
          <w:b/>
        </w:rPr>
        <w:t>CUARTO de</w:t>
      </w:r>
      <w:r w:rsidRPr="009A0763">
        <w:rPr>
          <w:rFonts w:ascii="Palatino Linotype" w:hAnsi="Palatino Linotype"/>
        </w:rPr>
        <w:t xml:space="preserve"> la presente resolución. </w:t>
      </w:r>
    </w:p>
    <w:p w14:paraId="175370AA" w14:textId="77777777" w:rsidR="003D3FA1" w:rsidRPr="009A0763" w:rsidRDefault="003D3FA1" w:rsidP="003D3FA1">
      <w:pPr>
        <w:spacing w:line="360" w:lineRule="auto"/>
        <w:jc w:val="both"/>
        <w:rPr>
          <w:rFonts w:ascii="Palatino Linotype" w:hAnsi="Palatino Linotype"/>
        </w:rPr>
      </w:pPr>
    </w:p>
    <w:p w14:paraId="7715DF54" w14:textId="57E7D68A" w:rsidR="003D3FA1" w:rsidRPr="009A0763" w:rsidRDefault="003D3FA1" w:rsidP="003D3FA1">
      <w:pPr>
        <w:spacing w:line="360" w:lineRule="auto"/>
        <w:contextualSpacing/>
        <w:jc w:val="both"/>
        <w:rPr>
          <w:rFonts w:ascii="Palatino Linotype" w:eastAsia="Calibri" w:hAnsi="Palatino Linotype" w:cs="Arial"/>
          <w:b/>
        </w:rPr>
      </w:pPr>
      <w:r w:rsidRPr="009A0763">
        <w:rPr>
          <w:rFonts w:ascii="Palatino Linotype" w:eastAsia="Calibri" w:hAnsi="Palatino Linotype" w:cs="Arial"/>
          <w:b/>
          <w:bCs/>
          <w:lang w:val="es-ES"/>
        </w:rPr>
        <w:t xml:space="preserve">SEGUNDO. </w:t>
      </w:r>
      <w:r w:rsidRPr="009A0763">
        <w:rPr>
          <w:rFonts w:ascii="Palatino Linotype" w:eastAsia="Calibri" w:hAnsi="Palatino Linotype" w:cs="Arial"/>
          <w:lang w:val="es-ES"/>
        </w:rPr>
        <w:t xml:space="preserve">Se </w:t>
      </w:r>
      <w:r w:rsidRPr="009A0763">
        <w:rPr>
          <w:rFonts w:ascii="Palatino Linotype" w:eastAsia="Calibri" w:hAnsi="Palatino Linotype" w:cs="Arial"/>
          <w:b/>
          <w:lang w:val="es-ES"/>
        </w:rPr>
        <w:t xml:space="preserve">CONFIRMA </w:t>
      </w:r>
      <w:r w:rsidRPr="009A0763">
        <w:rPr>
          <w:rFonts w:ascii="Palatino Linotype" w:eastAsia="Calibri" w:hAnsi="Palatino Linotype" w:cs="Arial"/>
          <w:lang w:val="es-ES"/>
        </w:rPr>
        <w:t>la respuesta emitida por</w:t>
      </w:r>
      <w:r w:rsidR="0022366A" w:rsidRPr="009A0763">
        <w:rPr>
          <w:rFonts w:ascii="Palatino Linotype" w:eastAsia="Calibri" w:hAnsi="Palatino Linotype" w:cs="Arial"/>
          <w:lang w:val="es-ES"/>
        </w:rPr>
        <w:t xml:space="preserve"> la Secretaría de Seguridad </w:t>
      </w:r>
      <w:r w:rsidRPr="009A0763">
        <w:rPr>
          <w:rFonts w:ascii="Palatino Linotype" w:eastAsia="Calibri" w:hAnsi="Palatino Linotype" w:cs="Arial"/>
          <w:lang w:val="es-ES"/>
        </w:rPr>
        <w:t xml:space="preserve"> </w:t>
      </w:r>
      <w:bookmarkStart w:id="134" w:name="_Toc460947013"/>
      <w:r w:rsidRPr="009A0763">
        <w:rPr>
          <w:rFonts w:ascii="Palatino Linotype" w:eastAsia="Calibri" w:hAnsi="Palatino Linotype" w:cs="Arial"/>
        </w:rPr>
        <w:t xml:space="preserve">a la solicitud </w:t>
      </w:r>
      <w:r w:rsidRPr="009A0763">
        <w:rPr>
          <w:rFonts w:ascii="Palatino Linotype" w:eastAsia="Calibri" w:hAnsi="Palatino Linotype" w:cs="Arial"/>
          <w:b/>
        </w:rPr>
        <w:t>001</w:t>
      </w:r>
      <w:r w:rsidR="0022366A" w:rsidRPr="009A0763">
        <w:rPr>
          <w:rFonts w:ascii="Palatino Linotype" w:eastAsia="Calibri" w:hAnsi="Palatino Linotype" w:cs="Arial"/>
          <w:b/>
        </w:rPr>
        <w:t>07</w:t>
      </w:r>
      <w:r w:rsidRPr="009A0763">
        <w:rPr>
          <w:rFonts w:ascii="Palatino Linotype" w:eastAsia="Calibri" w:hAnsi="Palatino Linotype" w:cs="Arial"/>
          <w:b/>
        </w:rPr>
        <w:t>/</w:t>
      </w:r>
      <w:r w:rsidR="0022366A" w:rsidRPr="009A0763">
        <w:rPr>
          <w:rFonts w:ascii="Palatino Linotype" w:eastAsia="Calibri" w:hAnsi="Palatino Linotype" w:cs="Arial"/>
          <w:b/>
        </w:rPr>
        <w:t>SSEM</w:t>
      </w:r>
      <w:r w:rsidRPr="009A0763">
        <w:rPr>
          <w:rFonts w:ascii="Palatino Linotype" w:eastAsia="Calibri" w:hAnsi="Palatino Linotype" w:cs="Arial"/>
          <w:b/>
        </w:rPr>
        <w:t>/IP/20</w:t>
      </w:r>
      <w:r w:rsidR="0022366A" w:rsidRPr="009A0763">
        <w:rPr>
          <w:rFonts w:ascii="Palatino Linotype" w:eastAsia="Calibri" w:hAnsi="Palatino Linotype" w:cs="Arial"/>
          <w:b/>
        </w:rPr>
        <w:t>20</w:t>
      </w:r>
      <w:r w:rsidRPr="009A0763">
        <w:rPr>
          <w:rFonts w:ascii="Palatino Linotype" w:eastAsia="Calibri" w:hAnsi="Palatino Linotype" w:cs="Arial"/>
          <w:b/>
        </w:rPr>
        <w:t>.</w:t>
      </w:r>
    </w:p>
    <w:p w14:paraId="1D2594DA" w14:textId="77777777" w:rsidR="003D3FA1" w:rsidRPr="009A0763" w:rsidRDefault="003D3FA1" w:rsidP="003D3FA1">
      <w:pPr>
        <w:pStyle w:val="Prrafodelista"/>
        <w:tabs>
          <w:tab w:val="left" w:pos="426"/>
        </w:tabs>
        <w:spacing w:line="360" w:lineRule="auto"/>
        <w:ind w:left="0"/>
        <w:jc w:val="both"/>
        <w:rPr>
          <w:rFonts w:ascii="Palatino Linotype" w:eastAsia="MS Mincho" w:hAnsi="Palatino Linotype" w:cs="Arial"/>
          <w:color w:val="000000" w:themeColor="text1"/>
        </w:rPr>
      </w:pPr>
    </w:p>
    <w:bookmarkEnd w:id="134"/>
    <w:p w14:paraId="45CC2212" w14:textId="77777777" w:rsidR="003D3FA1" w:rsidRPr="009A0763" w:rsidRDefault="003D3FA1" w:rsidP="003D3FA1">
      <w:pPr>
        <w:tabs>
          <w:tab w:val="left" w:pos="8080"/>
        </w:tabs>
        <w:spacing w:line="360" w:lineRule="auto"/>
        <w:ind w:right="49"/>
        <w:contextualSpacing/>
        <w:jc w:val="both"/>
        <w:rPr>
          <w:rFonts w:ascii="Palatino Linotype" w:eastAsia="Palatino Linotype" w:hAnsi="Palatino Linotype" w:cs="Palatino Linotype"/>
          <w:b/>
        </w:rPr>
      </w:pPr>
      <w:r w:rsidRPr="009A0763">
        <w:rPr>
          <w:rFonts w:ascii="Palatino Linotype" w:eastAsia="Palatino Linotype" w:hAnsi="Palatino Linotype" w:cs="Palatino Linotype"/>
          <w:b/>
        </w:rPr>
        <w:t>TERCERO. REMÍTASE</w:t>
      </w:r>
      <w:r w:rsidRPr="009A0763">
        <w:rPr>
          <w:rFonts w:ascii="Palatino Linotype" w:eastAsia="Palatino Linotype" w:hAnsi="Palatino Linotype" w:cs="Palatino Linotype"/>
          <w:bCs/>
        </w:rPr>
        <w:t xml:space="preserve">, </w:t>
      </w:r>
      <w:r w:rsidRPr="009A0763">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A0763">
        <w:rPr>
          <w:rFonts w:ascii="Palatino Linotype" w:eastAsia="Palatino Linotype" w:hAnsi="Palatino Linotype" w:cs="Palatino Linotype"/>
          <w:b/>
        </w:rPr>
        <w:t>SUJETO OBLIGADO.</w:t>
      </w:r>
    </w:p>
    <w:p w14:paraId="4343F331" w14:textId="77777777" w:rsidR="003D3FA1" w:rsidRPr="009A0763" w:rsidRDefault="003D3FA1" w:rsidP="003D3FA1">
      <w:pPr>
        <w:tabs>
          <w:tab w:val="left" w:pos="8080"/>
        </w:tabs>
        <w:spacing w:line="360" w:lineRule="auto"/>
        <w:ind w:right="49"/>
        <w:contextualSpacing/>
        <w:jc w:val="both"/>
        <w:rPr>
          <w:rFonts w:ascii="Palatino Linotype" w:eastAsia="Palatino Linotype" w:hAnsi="Palatino Linotype" w:cs="Palatino Linotype"/>
          <w:b/>
        </w:rPr>
      </w:pPr>
    </w:p>
    <w:p w14:paraId="20D572CC" w14:textId="77777777" w:rsidR="003D3FA1" w:rsidRPr="009A0763" w:rsidRDefault="003D3FA1" w:rsidP="003D3FA1">
      <w:pPr>
        <w:shd w:val="clear" w:color="auto" w:fill="FFFFFF"/>
        <w:spacing w:line="360" w:lineRule="auto"/>
        <w:jc w:val="both"/>
        <w:rPr>
          <w:rFonts w:ascii="Palatino Linotype" w:hAnsi="Palatino Linotype"/>
        </w:rPr>
      </w:pPr>
      <w:r w:rsidRPr="009A0763">
        <w:rPr>
          <w:rFonts w:ascii="Palatino Linotype" w:hAnsi="Palatino Linotype" w:cs="Arial"/>
          <w:b/>
        </w:rPr>
        <w:t xml:space="preserve">CUARTO. </w:t>
      </w:r>
      <w:r w:rsidRPr="009A0763">
        <w:rPr>
          <w:rFonts w:ascii="Palatino Linotype" w:hAnsi="Palatino Linotype"/>
          <w:b/>
          <w:bCs/>
          <w:color w:val="222222"/>
          <w:lang w:val="es-ES"/>
        </w:rPr>
        <w:t>Notifíquese a</w:t>
      </w:r>
      <w:r w:rsidRPr="009A0763">
        <w:rPr>
          <w:rFonts w:ascii="Palatino Linotype" w:hAnsi="Palatino Linotype"/>
          <w:b/>
        </w:rPr>
        <w:t xml:space="preserve">l RECURRENTE </w:t>
      </w:r>
      <w:r w:rsidRPr="009A0763">
        <w:rPr>
          <w:rFonts w:ascii="Palatino Linotype" w:hAnsi="Palatino Linotype"/>
        </w:rPr>
        <w:t xml:space="preserve">la presente resolución. </w:t>
      </w:r>
    </w:p>
    <w:p w14:paraId="37A1C757" w14:textId="77777777" w:rsidR="003D3FA1" w:rsidRPr="009A0763" w:rsidRDefault="003D3FA1" w:rsidP="003D3FA1">
      <w:pPr>
        <w:shd w:val="clear" w:color="auto" w:fill="FFFFFF"/>
        <w:spacing w:line="360" w:lineRule="auto"/>
        <w:jc w:val="both"/>
        <w:rPr>
          <w:rFonts w:ascii="Palatino Linotype" w:hAnsi="Palatino Linotype"/>
        </w:rPr>
      </w:pPr>
    </w:p>
    <w:p w14:paraId="5469162B" w14:textId="77777777" w:rsidR="003D3FA1" w:rsidRPr="009A0763" w:rsidRDefault="003D3FA1" w:rsidP="003D3FA1">
      <w:pPr>
        <w:spacing w:line="360" w:lineRule="auto"/>
        <w:jc w:val="both"/>
        <w:rPr>
          <w:rFonts w:ascii="Palatino Linotype" w:eastAsia="MS Mincho" w:hAnsi="Palatino Linotype"/>
          <w:lang w:val="es-ES"/>
        </w:rPr>
      </w:pPr>
      <w:r w:rsidRPr="009A0763">
        <w:rPr>
          <w:rFonts w:ascii="Palatino Linotype" w:eastAsia="MS Mincho" w:hAnsi="Palatino Linotype"/>
          <w:b/>
        </w:rPr>
        <w:t>QUINTO.</w:t>
      </w:r>
      <w:r w:rsidRPr="009A0763">
        <w:rPr>
          <w:rFonts w:ascii="Palatino Linotype" w:eastAsia="MS Mincho" w:hAnsi="Palatino Linotype"/>
        </w:rPr>
        <w:t xml:space="preserve"> </w:t>
      </w:r>
      <w:r w:rsidRPr="009A0763">
        <w:rPr>
          <w:rFonts w:ascii="Palatino Linotype" w:eastAsia="MS Mincho" w:hAnsi="Palatino Linotype"/>
          <w:lang w:val="es-ES"/>
        </w:rPr>
        <w:t xml:space="preserve">Se hace del conocimiento del </w:t>
      </w:r>
      <w:r w:rsidRPr="009A0763">
        <w:rPr>
          <w:rFonts w:ascii="Palatino Linotype" w:eastAsia="MS Mincho" w:hAnsi="Palatino Linotype"/>
          <w:b/>
          <w:bCs/>
          <w:lang w:val="es-ES"/>
        </w:rPr>
        <w:t xml:space="preserve">RECURRENTE </w:t>
      </w:r>
      <w:r w:rsidRPr="009A076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A0763">
        <w:rPr>
          <w:rFonts w:ascii="Palatino Linotype" w:eastAsia="MS Mincho" w:hAnsi="Palatino Linotype"/>
          <w:bCs/>
          <w:lang w:val="es-ES"/>
        </w:rPr>
        <w:t>vía juicio de amparo</w:t>
      </w:r>
      <w:r w:rsidRPr="009A0763">
        <w:rPr>
          <w:rFonts w:ascii="Palatino Linotype" w:eastAsia="MS Mincho" w:hAnsi="Palatino Linotype"/>
          <w:lang w:val="es-ES"/>
        </w:rPr>
        <w:t> en los términos de las leyes aplicables.</w:t>
      </w:r>
    </w:p>
    <w:p w14:paraId="2691BB09" w14:textId="77777777" w:rsidR="003D3FA1" w:rsidRDefault="003D3FA1" w:rsidP="003D3FA1">
      <w:pPr>
        <w:pStyle w:val="Prrafodelista"/>
        <w:tabs>
          <w:tab w:val="left" w:pos="66"/>
          <w:tab w:val="left" w:pos="142"/>
        </w:tabs>
        <w:spacing w:line="360" w:lineRule="auto"/>
        <w:ind w:left="0" w:right="49"/>
        <w:jc w:val="both"/>
        <w:rPr>
          <w:rFonts w:ascii="Palatino Linotype" w:eastAsia="MS Mincho" w:hAnsi="Palatino Linotype" w:cs="Times New Roman"/>
        </w:rPr>
      </w:pPr>
    </w:p>
    <w:p w14:paraId="5B9E33C8" w14:textId="5F4DECAB" w:rsidR="009A0763" w:rsidRDefault="009A0763" w:rsidP="009A0763">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p w14:paraId="5F357511" w14:textId="03F81518" w:rsidR="009A0763" w:rsidRDefault="009A0763" w:rsidP="009A0763">
      <w:pPr>
        <w:pStyle w:val="Prrafodelista"/>
        <w:spacing w:line="360" w:lineRule="auto"/>
        <w:ind w:left="0"/>
        <w:jc w:val="both"/>
        <w:rPr>
          <w:rFonts w:ascii="Palatino Linotype" w:hAnsi="Palatino Linotype" w:cs="Arial"/>
          <w:color w:val="000000" w:themeColor="text1"/>
        </w:rPr>
      </w:pPr>
    </w:p>
    <w:p w14:paraId="20D8FF38" w14:textId="77777777" w:rsidR="009A0763" w:rsidRDefault="009A0763" w:rsidP="009A0763">
      <w:pPr>
        <w:pStyle w:val="Prrafodelista"/>
        <w:spacing w:line="360" w:lineRule="auto"/>
        <w:ind w:left="0"/>
        <w:jc w:val="both"/>
        <w:rPr>
          <w:rFonts w:ascii="Palatino Linotype" w:hAnsi="Palatino Linotype" w:cs="Arial"/>
          <w:color w:val="000000" w:themeColor="text1"/>
        </w:rPr>
      </w:pPr>
    </w:p>
    <w:p w14:paraId="55837DB3" w14:textId="77777777" w:rsidR="009A0763" w:rsidRDefault="009A0763" w:rsidP="009A0763">
      <w:pPr>
        <w:pStyle w:val="Prrafodelista"/>
        <w:spacing w:line="360" w:lineRule="auto"/>
        <w:ind w:left="0"/>
        <w:jc w:val="both"/>
        <w:rPr>
          <w:rFonts w:ascii="Palatino Linotype" w:hAnsi="Palatino Linotype" w:cs="Arial"/>
          <w:color w:val="000000" w:themeColor="text1"/>
        </w:rPr>
      </w:pPr>
    </w:p>
    <w:p w14:paraId="307A102C" w14:textId="77777777" w:rsidR="009A0763" w:rsidRDefault="009A0763" w:rsidP="009A0763">
      <w:pPr>
        <w:pStyle w:val="Prrafodelista"/>
        <w:spacing w:line="360" w:lineRule="auto"/>
        <w:ind w:left="0"/>
        <w:jc w:val="both"/>
        <w:rPr>
          <w:rFonts w:ascii="Palatino Linotype" w:hAnsi="Palatino Linotype" w:cs="Arial"/>
          <w:color w:val="000000" w:themeColor="text1"/>
        </w:rPr>
      </w:pPr>
    </w:p>
    <w:p w14:paraId="55CB4126" w14:textId="77777777" w:rsidR="009A0763" w:rsidRDefault="009A0763" w:rsidP="009A0763">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9A0763" w14:paraId="036D0ABE" w14:textId="77777777" w:rsidTr="009A0763">
        <w:trPr>
          <w:trHeight w:val="1807"/>
        </w:trPr>
        <w:tc>
          <w:tcPr>
            <w:tcW w:w="9299" w:type="dxa"/>
            <w:vAlign w:val="center"/>
          </w:tcPr>
          <w:p w14:paraId="1CF74987" w14:textId="77777777" w:rsidR="009A0763" w:rsidRDefault="009A0763">
            <w:pPr>
              <w:rPr>
                <w:rFonts w:asciiTheme="minorHAnsi" w:hAnsiTheme="minorHAnsi" w:cstheme="minorBidi"/>
              </w:rPr>
            </w:pP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A0763" w14:paraId="76801DF1" w14:textId="77777777">
              <w:trPr>
                <w:trHeight w:val="1807"/>
              </w:trPr>
              <w:tc>
                <w:tcPr>
                  <w:tcW w:w="9073" w:type="dxa"/>
                  <w:gridSpan w:val="2"/>
                  <w:vAlign w:val="center"/>
                </w:tcPr>
                <w:p w14:paraId="22F95EA4" w14:textId="77777777" w:rsidR="009A0763" w:rsidRDefault="009A0763">
                  <w:pPr>
                    <w:pStyle w:val="Prrafodelista"/>
                    <w:ind w:left="0"/>
                    <w:jc w:val="both"/>
                    <w:rPr>
                      <w:rFonts w:ascii="Palatino Linotype" w:hAnsi="Palatino Linotype" w:cs="Arial"/>
                      <w:color w:val="000000" w:themeColor="text1"/>
                    </w:rPr>
                  </w:pPr>
                </w:p>
                <w:p w14:paraId="53B07F30" w14:textId="77777777" w:rsidR="009A0763" w:rsidRDefault="009A0763">
                  <w:pPr>
                    <w:jc w:val="center"/>
                    <w:rPr>
                      <w:rFonts w:ascii="Palatino Linotype" w:hAnsi="Palatino Linotype"/>
                      <w:b/>
                      <w:color w:val="000000" w:themeColor="text1"/>
                    </w:rPr>
                  </w:pPr>
                  <w:r>
                    <w:rPr>
                      <w:rFonts w:ascii="Palatino Linotype" w:hAnsi="Palatino Linotype"/>
                      <w:b/>
                      <w:color w:val="000000" w:themeColor="text1"/>
                    </w:rPr>
                    <w:t>Zulema Martínez Sánchez</w:t>
                  </w:r>
                </w:p>
                <w:p w14:paraId="350C2476" w14:textId="77777777" w:rsidR="009A0763" w:rsidRDefault="009A0763">
                  <w:pPr>
                    <w:jc w:val="center"/>
                    <w:rPr>
                      <w:rFonts w:ascii="Palatino Linotype" w:hAnsi="Palatino Linotype" w:cstheme="minorBidi"/>
                      <w:color w:val="000000" w:themeColor="text1"/>
                    </w:rPr>
                  </w:pPr>
                  <w:r>
                    <w:rPr>
                      <w:rFonts w:ascii="Palatino Linotype" w:hAnsi="Palatino Linotype"/>
                      <w:color w:val="000000" w:themeColor="text1"/>
                    </w:rPr>
                    <w:t>Comisionada Presidenta</w:t>
                  </w:r>
                </w:p>
                <w:p w14:paraId="2DDF9C68"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(Rúbrica)</w:t>
                  </w:r>
                </w:p>
              </w:tc>
            </w:tr>
            <w:tr w:rsidR="009A0763" w14:paraId="119013A5" w14:textId="77777777">
              <w:trPr>
                <w:trHeight w:val="2156"/>
              </w:trPr>
              <w:tc>
                <w:tcPr>
                  <w:tcW w:w="4253" w:type="dxa"/>
                  <w:vAlign w:val="center"/>
                </w:tcPr>
                <w:p w14:paraId="2C09906D" w14:textId="77777777" w:rsidR="009A0763" w:rsidRDefault="009A0763">
                  <w:pPr>
                    <w:jc w:val="center"/>
                    <w:rPr>
                      <w:rFonts w:ascii="Palatino Linotype" w:hAnsi="Palatino Linotype"/>
                      <w:b/>
                      <w:color w:val="000000" w:themeColor="text1"/>
                    </w:rPr>
                  </w:pPr>
                </w:p>
                <w:p w14:paraId="05F67267" w14:textId="77777777" w:rsidR="009A0763" w:rsidRDefault="009A0763">
                  <w:pPr>
                    <w:jc w:val="center"/>
                    <w:rPr>
                      <w:rFonts w:ascii="Palatino Linotype" w:hAnsi="Palatino Linotype"/>
                      <w:b/>
                      <w:color w:val="000000" w:themeColor="text1"/>
                    </w:rPr>
                  </w:pPr>
                </w:p>
                <w:p w14:paraId="0A3C2EF0" w14:textId="77777777" w:rsidR="009A0763" w:rsidRDefault="009A0763">
                  <w:pPr>
                    <w:jc w:val="center"/>
                    <w:rPr>
                      <w:rFonts w:ascii="Palatino Linotype" w:hAnsi="Palatino Linotype"/>
                      <w:b/>
                      <w:color w:val="000000" w:themeColor="text1"/>
                    </w:rPr>
                  </w:pPr>
                </w:p>
                <w:p w14:paraId="5A8F93DC" w14:textId="77777777" w:rsidR="009A0763" w:rsidRDefault="009A0763">
                  <w:pPr>
                    <w:jc w:val="center"/>
                    <w:rPr>
                      <w:rFonts w:ascii="Palatino Linotype" w:hAnsi="Palatino Linotype"/>
                      <w:b/>
                      <w:color w:val="000000" w:themeColor="text1"/>
                    </w:rPr>
                  </w:pPr>
                  <w:r>
                    <w:rPr>
                      <w:rFonts w:ascii="Palatino Linotype" w:hAnsi="Palatino Linotype"/>
                      <w:b/>
                      <w:color w:val="000000" w:themeColor="text1"/>
                    </w:rPr>
                    <w:t>Eva Abaid Yapur</w:t>
                  </w:r>
                </w:p>
                <w:p w14:paraId="512852D6"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Comisionada</w:t>
                  </w:r>
                </w:p>
                <w:p w14:paraId="12FEB582"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(Rúbrica)</w:t>
                  </w:r>
                </w:p>
              </w:tc>
              <w:tc>
                <w:tcPr>
                  <w:tcW w:w="4820" w:type="dxa"/>
                  <w:vAlign w:val="center"/>
                </w:tcPr>
                <w:p w14:paraId="508606EE" w14:textId="77777777" w:rsidR="009A0763" w:rsidRDefault="009A0763">
                  <w:pPr>
                    <w:jc w:val="center"/>
                    <w:rPr>
                      <w:rFonts w:ascii="Palatino Linotype" w:hAnsi="Palatino Linotype"/>
                      <w:b/>
                      <w:color w:val="000000" w:themeColor="text1"/>
                    </w:rPr>
                  </w:pPr>
                </w:p>
                <w:p w14:paraId="40C4B5F9" w14:textId="77777777" w:rsidR="009A0763" w:rsidRDefault="009A0763">
                  <w:pPr>
                    <w:jc w:val="center"/>
                    <w:rPr>
                      <w:rFonts w:ascii="Palatino Linotype" w:hAnsi="Palatino Linotype"/>
                      <w:b/>
                      <w:color w:val="000000" w:themeColor="text1"/>
                    </w:rPr>
                  </w:pPr>
                </w:p>
                <w:p w14:paraId="41E16FF3" w14:textId="77777777" w:rsidR="009A0763" w:rsidRDefault="009A0763">
                  <w:pPr>
                    <w:jc w:val="center"/>
                    <w:rPr>
                      <w:rFonts w:ascii="Palatino Linotype" w:hAnsi="Palatino Linotype"/>
                      <w:b/>
                      <w:color w:val="000000" w:themeColor="text1"/>
                    </w:rPr>
                  </w:pPr>
                </w:p>
                <w:p w14:paraId="5585DF4E" w14:textId="77777777" w:rsidR="009A0763" w:rsidRDefault="009A0763">
                  <w:pPr>
                    <w:jc w:val="center"/>
                    <w:rPr>
                      <w:rFonts w:ascii="Palatino Linotype" w:hAnsi="Palatino Linotype"/>
                      <w:b/>
                      <w:color w:val="000000" w:themeColor="text1"/>
                    </w:rPr>
                  </w:pPr>
                  <w:r>
                    <w:rPr>
                      <w:rFonts w:ascii="Palatino Linotype" w:hAnsi="Palatino Linotype"/>
                      <w:b/>
                      <w:color w:val="000000" w:themeColor="text1"/>
                    </w:rPr>
                    <w:t>José Guadalupe Luna Hernández</w:t>
                  </w:r>
                </w:p>
                <w:p w14:paraId="0BD4A8FA"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Comisionado</w:t>
                  </w:r>
                </w:p>
                <w:p w14:paraId="78633909"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(Rúbrica)</w:t>
                  </w:r>
                </w:p>
              </w:tc>
            </w:tr>
            <w:tr w:rsidR="009A0763" w14:paraId="682B3677" w14:textId="77777777">
              <w:trPr>
                <w:trHeight w:val="2244"/>
              </w:trPr>
              <w:tc>
                <w:tcPr>
                  <w:tcW w:w="4253" w:type="dxa"/>
                  <w:vAlign w:val="center"/>
                </w:tcPr>
                <w:p w14:paraId="5F4E60B4" w14:textId="77777777" w:rsidR="009A0763" w:rsidRDefault="009A0763">
                  <w:pPr>
                    <w:jc w:val="center"/>
                    <w:rPr>
                      <w:rFonts w:ascii="Palatino Linotype" w:hAnsi="Palatino Linotype"/>
                      <w:b/>
                      <w:color w:val="000000" w:themeColor="text1"/>
                    </w:rPr>
                  </w:pPr>
                </w:p>
                <w:p w14:paraId="5CE0C955" w14:textId="77777777" w:rsidR="009A0763" w:rsidRDefault="009A0763">
                  <w:pPr>
                    <w:jc w:val="center"/>
                    <w:rPr>
                      <w:rFonts w:ascii="Palatino Linotype" w:hAnsi="Palatino Linotype"/>
                      <w:b/>
                      <w:color w:val="000000" w:themeColor="text1"/>
                    </w:rPr>
                  </w:pPr>
                </w:p>
                <w:p w14:paraId="3698A9F5" w14:textId="77777777" w:rsidR="009A0763" w:rsidRDefault="009A0763">
                  <w:pPr>
                    <w:jc w:val="center"/>
                    <w:rPr>
                      <w:rFonts w:ascii="Palatino Linotype" w:hAnsi="Palatino Linotype"/>
                      <w:b/>
                      <w:color w:val="000000" w:themeColor="text1"/>
                    </w:rPr>
                  </w:pPr>
                </w:p>
                <w:p w14:paraId="5521BC28" w14:textId="77777777" w:rsidR="009A0763" w:rsidRDefault="009A0763">
                  <w:pPr>
                    <w:jc w:val="center"/>
                    <w:rPr>
                      <w:rFonts w:ascii="Palatino Linotype" w:hAnsi="Palatino Linotype"/>
                      <w:b/>
                      <w:color w:val="000000" w:themeColor="text1"/>
                    </w:rPr>
                  </w:pPr>
                </w:p>
                <w:p w14:paraId="19BCDAF2" w14:textId="77777777" w:rsidR="009A0763" w:rsidRDefault="009A0763">
                  <w:pPr>
                    <w:jc w:val="center"/>
                    <w:rPr>
                      <w:rFonts w:ascii="Palatino Linotype" w:hAnsi="Palatino Linotype"/>
                      <w:b/>
                      <w:color w:val="000000" w:themeColor="text1"/>
                    </w:rPr>
                  </w:pPr>
                </w:p>
                <w:p w14:paraId="7D283F91" w14:textId="77777777" w:rsidR="009A0763" w:rsidRDefault="009A0763">
                  <w:pPr>
                    <w:jc w:val="center"/>
                    <w:rPr>
                      <w:rFonts w:ascii="Palatino Linotype" w:hAnsi="Palatino Linotype"/>
                      <w:b/>
                      <w:color w:val="000000" w:themeColor="text1"/>
                    </w:rPr>
                  </w:pPr>
                  <w:r>
                    <w:rPr>
                      <w:rFonts w:ascii="Palatino Linotype" w:hAnsi="Palatino Linotype"/>
                      <w:b/>
                      <w:color w:val="000000" w:themeColor="text1"/>
                    </w:rPr>
                    <w:t>Javier Martínez Cruz</w:t>
                  </w:r>
                </w:p>
                <w:p w14:paraId="0C1B8CB9"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Comisionado</w:t>
                  </w:r>
                </w:p>
                <w:p w14:paraId="17F2502E"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(Rúbrica)</w:t>
                  </w:r>
                </w:p>
              </w:tc>
              <w:tc>
                <w:tcPr>
                  <w:tcW w:w="4820" w:type="dxa"/>
                  <w:vAlign w:val="center"/>
                </w:tcPr>
                <w:p w14:paraId="45FAA650" w14:textId="77777777" w:rsidR="009A0763" w:rsidRDefault="009A0763">
                  <w:pPr>
                    <w:jc w:val="center"/>
                    <w:rPr>
                      <w:rFonts w:ascii="Palatino Linotype" w:hAnsi="Palatino Linotype"/>
                      <w:b/>
                      <w:color w:val="000000" w:themeColor="text1"/>
                    </w:rPr>
                  </w:pPr>
                </w:p>
                <w:p w14:paraId="3BCB2E58" w14:textId="77777777" w:rsidR="009A0763" w:rsidRDefault="009A0763">
                  <w:pPr>
                    <w:jc w:val="center"/>
                    <w:rPr>
                      <w:rFonts w:ascii="Palatino Linotype" w:hAnsi="Palatino Linotype"/>
                      <w:b/>
                      <w:color w:val="000000" w:themeColor="text1"/>
                    </w:rPr>
                  </w:pPr>
                </w:p>
                <w:p w14:paraId="7CBDB34B" w14:textId="77777777" w:rsidR="009A0763" w:rsidRDefault="009A0763">
                  <w:pPr>
                    <w:jc w:val="center"/>
                    <w:rPr>
                      <w:rFonts w:ascii="Palatino Linotype" w:hAnsi="Palatino Linotype"/>
                      <w:b/>
                      <w:color w:val="000000" w:themeColor="text1"/>
                    </w:rPr>
                  </w:pPr>
                </w:p>
                <w:p w14:paraId="2082CDE6" w14:textId="77777777" w:rsidR="009A0763" w:rsidRDefault="009A0763">
                  <w:pPr>
                    <w:jc w:val="center"/>
                    <w:rPr>
                      <w:rFonts w:ascii="Palatino Linotype" w:hAnsi="Palatino Linotype"/>
                      <w:b/>
                      <w:color w:val="000000" w:themeColor="text1"/>
                    </w:rPr>
                  </w:pPr>
                </w:p>
                <w:p w14:paraId="14942F79" w14:textId="77777777" w:rsidR="009A0763" w:rsidRDefault="009A0763">
                  <w:pPr>
                    <w:jc w:val="center"/>
                    <w:rPr>
                      <w:rFonts w:ascii="Palatino Linotype" w:hAnsi="Palatino Linotype"/>
                      <w:b/>
                      <w:color w:val="000000" w:themeColor="text1"/>
                    </w:rPr>
                  </w:pPr>
                </w:p>
                <w:p w14:paraId="13EDE5BD" w14:textId="77777777" w:rsidR="009A0763" w:rsidRDefault="009A0763">
                  <w:pPr>
                    <w:jc w:val="center"/>
                    <w:rPr>
                      <w:rFonts w:ascii="Palatino Linotype" w:hAnsi="Palatino Linotype" w:cstheme="minorBidi"/>
                      <w:b/>
                      <w:color w:val="000000" w:themeColor="text1"/>
                    </w:rPr>
                  </w:pPr>
                  <w:r>
                    <w:rPr>
                      <w:rFonts w:ascii="Palatino Linotype" w:hAnsi="Palatino Linotype"/>
                      <w:b/>
                      <w:color w:val="000000" w:themeColor="text1"/>
                    </w:rPr>
                    <w:t>Luis Gustavo Parra Noriega</w:t>
                  </w:r>
                </w:p>
                <w:p w14:paraId="289340A7"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Comisionado</w:t>
                  </w:r>
                </w:p>
                <w:p w14:paraId="34241AF7"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(Ausencia Justificada)</w:t>
                  </w:r>
                </w:p>
              </w:tc>
            </w:tr>
            <w:tr w:rsidR="009A0763" w14:paraId="729C48F8" w14:textId="77777777">
              <w:trPr>
                <w:trHeight w:val="1953"/>
              </w:trPr>
              <w:tc>
                <w:tcPr>
                  <w:tcW w:w="9073" w:type="dxa"/>
                  <w:gridSpan w:val="2"/>
                  <w:vAlign w:val="center"/>
                </w:tcPr>
                <w:p w14:paraId="5CD57109" w14:textId="77777777" w:rsidR="009A0763" w:rsidRDefault="009A0763">
                  <w:pPr>
                    <w:pStyle w:val="Prrafodelista"/>
                    <w:ind w:left="0"/>
                    <w:jc w:val="both"/>
                    <w:rPr>
                      <w:rFonts w:ascii="Palatino Linotype" w:hAnsi="Palatino Linotype"/>
                      <w:color w:val="000000" w:themeColor="text1"/>
                    </w:rPr>
                  </w:pPr>
                </w:p>
                <w:p w14:paraId="035E3F23" w14:textId="77777777" w:rsidR="009A0763" w:rsidRDefault="009A0763">
                  <w:pPr>
                    <w:pStyle w:val="Prrafodelista"/>
                    <w:ind w:left="0"/>
                    <w:jc w:val="both"/>
                    <w:rPr>
                      <w:rFonts w:ascii="Palatino Linotype" w:hAnsi="Palatino Linotype"/>
                      <w:color w:val="000000" w:themeColor="text1"/>
                    </w:rPr>
                  </w:pPr>
                </w:p>
                <w:p w14:paraId="4B7D49BE" w14:textId="77777777" w:rsidR="009A0763" w:rsidRDefault="009A0763">
                  <w:pPr>
                    <w:pStyle w:val="Prrafodelista"/>
                    <w:ind w:left="0"/>
                    <w:jc w:val="both"/>
                    <w:rPr>
                      <w:rFonts w:ascii="Palatino Linotype" w:hAnsi="Palatino Linotype"/>
                      <w:color w:val="000000" w:themeColor="text1"/>
                    </w:rPr>
                  </w:pPr>
                </w:p>
                <w:p w14:paraId="51A8E586" w14:textId="77777777" w:rsidR="009A0763" w:rsidRDefault="009A0763">
                  <w:pPr>
                    <w:pStyle w:val="Prrafodelista"/>
                    <w:ind w:left="0"/>
                    <w:jc w:val="both"/>
                    <w:rPr>
                      <w:rFonts w:ascii="Palatino Linotype" w:hAnsi="Palatino Linotype"/>
                      <w:color w:val="000000" w:themeColor="text1"/>
                    </w:rPr>
                  </w:pPr>
                </w:p>
                <w:p w14:paraId="577A2E47" w14:textId="77777777" w:rsidR="009A0763" w:rsidRDefault="009A0763">
                  <w:pPr>
                    <w:pStyle w:val="Prrafodelista"/>
                    <w:ind w:left="0"/>
                    <w:jc w:val="both"/>
                    <w:rPr>
                      <w:rFonts w:ascii="Palatino Linotype" w:hAnsi="Palatino Linotype"/>
                      <w:color w:val="000000" w:themeColor="text1"/>
                    </w:rPr>
                  </w:pPr>
                </w:p>
                <w:p w14:paraId="054E4984" w14:textId="77777777" w:rsidR="009A0763" w:rsidRDefault="009A0763">
                  <w:pPr>
                    <w:jc w:val="center"/>
                    <w:rPr>
                      <w:rFonts w:ascii="Palatino Linotype" w:hAnsi="Palatino Linotype"/>
                      <w:b/>
                      <w:color w:val="000000" w:themeColor="text1"/>
                    </w:rPr>
                  </w:pPr>
                  <w:r>
                    <w:rPr>
                      <w:rFonts w:ascii="Palatino Linotype" w:hAnsi="Palatino Linotype"/>
                      <w:b/>
                      <w:color w:val="000000" w:themeColor="text1"/>
                    </w:rPr>
                    <w:t>Alexis Tapia Ramírez</w:t>
                  </w:r>
                </w:p>
                <w:p w14:paraId="2766F9C3"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Secretario Técnico del Pleno</w:t>
                  </w:r>
                </w:p>
                <w:p w14:paraId="34887925" w14:textId="77777777" w:rsidR="009A0763" w:rsidRDefault="009A0763">
                  <w:pPr>
                    <w:jc w:val="center"/>
                    <w:rPr>
                      <w:rFonts w:ascii="Palatino Linotype" w:hAnsi="Palatino Linotype"/>
                      <w:color w:val="000000" w:themeColor="text1"/>
                    </w:rPr>
                  </w:pPr>
                  <w:r>
                    <w:rPr>
                      <w:rFonts w:ascii="Palatino Linotype" w:hAnsi="Palatino Linotype"/>
                      <w:color w:val="000000" w:themeColor="text1"/>
                    </w:rPr>
                    <w:t>(Rúbrica)</w:t>
                  </w:r>
                </w:p>
              </w:tc>
            </w:tr>
          </w:tbl>
          <w:p w14:paraId="70A84BB3" w14:textId="77777777" w:rsidR="009A0763" w:rsidRDefault="009A0763">
            <w:pPr>
              <w:spacing w:line="360" w:lineRule="auto"/>
              <w:jc w:val="center"/>
              <w:rPr>
                <w:rFonts w:ascii="Palatino Linotype" w:hAnsi="Palatino Linotype" w:cstheme="minorBidi"/>
                <w:color w:val="000000" w:themeColor="text1"/>
              </w:rPr>
            </w:pPr>
          </w:p>
        </w:tc>
      </w:tr>
    </w:tbl>
    <w:p w14:paraId="087372FD" w14:textId="7806D848" w:rsidR="00FC6D86" w:rsidRPr="009A0763" w:rsidRDefault="009A0763" w:rsidP="009A0763">
      <w:pPr>
        <w:pStyle w:val="Prrafodelista"/>
        <w:spacing w:before="240"/>
        <w:ind w:left="0"/>
        <w:jc w:val="both"/>
        <w:rPr>
          <w:lang w:eastAsia="en-US"/>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01768/INFOEM/IP/RR/2020</w:t>
      </w:r>
      <w:r>
        <w:rPr>
          <w:rFonts w:ascii="Palatino Linotype" w:hAnsi="Palatino Linotype" w:cs="Arial"/>
          <w:color w:val="000000" w:themeColor="text1"/>
        </w:rPr>
        <w:t>.</w:t>
      </w:r>
    </w:p>
    <w:sectPr w:rsidR="00FC6D86" w:rsidRPr="009A0763"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30962" w14:textId="77777777" w:rsidR="00DF394C" w:rsidRDefault="00DF394C" w:rsidP="00587366">
      <w:r>
        <w:separator/>
      </w:r>
    </w:p>
  </w:endnote>
  <w:endnote w:type="continuationSeparator" w:id="0">
    <w:p w14:paraId="03F82E2D" w14:textId="77777777" w:rsidR="00DF394C" w:rsidRDefault="00DF394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30740" w:rsidRPr="00883450" w:rsidRDefault="00D3074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0763">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0763">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D30740" w:rsidRDefault="00D307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D30740" w:rsidRPr="00883450" w:rsidRDefault="00D3074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A076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A0763" w:rsidRPr="009A0763">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D30740" w:rsidRPr="00883450" w:rsidRDefault="00D3074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DEF45" w14:textId="77777777" w:rsidR="00DF394C" w:rsidRDefault="00DF394C" w:rsidP="00587366">
      <w:r>
        <w:separator/>
      </w:r>
    </w:p>
  </w:footnote>
  <w:footnote w:type="continuationSeparator" w:id="0">
    <w:p w14:paraId="29945823" w14:textId="77777777" w:rsidR="00DF394C" w:rsidRDefault="00DF394C"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4455" w14:textId="0AD6FE84" w:rsidR="009A0763" w:rsidRDefault="00DF394C">
    <w:pPr>
      <w:pStyle w:val="Encabezado"/>
    </w:pPr>
    <w:r>
      <w:rPr>
        <w:noProof/>
        <w:lang w:val="es-MX" w:eastAsia="es-MX"/>
      </w:rPr>
      <w:pict w14:anchorId="74EEB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8938"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051DDA8B" w:rsidR="00D30740" w:rsidRDefault="00DF394C" w:rsidP="001C6012">
    <w:pPr>
      <w:pStyle w:val="Encabezado"/>
      <w:tabs>
        <w:tab w:val="clear" w:pos="4252"/>
        <w:tab w:val="clear" w:pos="8504"/>
        <w:tab w:val="left" w:pos="8460"/>
      </w:tabs>
    </w:pPr>
    <w:r>
      <w:rPr>
        <w:noProof/>
        <w:lang w:val="es-MX" w:eastAsia="es-MX"/>
      </w:rPr>
      <w:pict w14:anchorId="6555C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8939" o:spid="_x0000_s2050" type="#_x0000_t75" alt="resolución" style="position:absolute;margin-left:-84.65pt;margin-top:-136.9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r w:rsidR="00D30740">
      <w:tab/>
    </w:r>
  </w:p>
  <w:p w14:paraId="64F5F23E" w14:textId="390690E5" w:rsidR="00D30740" w:rsidRDefault="00D3074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30740" w:rsidRPr="00674A46" w14:paraId="07F2896E" w14:textId="77777777" w:rsidTr="0081485A">
      <w:trPr>
        <w:trHeight w:val="138"/>
        <w:jc w:val="right"/>
      </w:trPr>
      <w:tc>
        <w:tcPr>
          <w:tcW w:w="4253" w:type="dxa"/>
          <w:vAlign w:val="center"/>
        </w:tcPr>
        <w:p w14:paraId="4A5B1974" w14:textId="3B2AB4E0" w:rsidR="00D30740" w:rsidRPr="00674A46" w:rsidRDefault="00D3074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5C55911" w:rsidR="00D30740" w:rsidRPr="00674A46" w:rsidRDefault="00D30740" w:rsidP="0051659D">
          <w:pPr>
            <w:pStyle w:val="Encabezado"/>
            <w:rPr>
              <w:rFonts w:ascii="Palatino Linotype" w:hAnsi="Palatino Linotype"/>
              <w:b/>
              <w:sz w:val="22"/>
              <w:szCs w:val="22"/>
            </w:rPr>
          </w:pPr>
          <w:r>
            <w:rPr>
              <w:rFonts w:ascii="Palatino Linotype" w:hAnsi="Palatino Linotype" w:cs="Arial"/>
              <w:b/>
              <w:bCs/>
              <w:sz w:val="22"/>
              <w:szCs w:val="22"/>
              <w:lang w:eastAsia="es-MX"/>
            </w:rPr>
            <w:t>01768/INFOEM/IP/RR/2020</w:t>
          </w:r>
        </w:p>
      </w:tc>
    </w:tr>
    <w:tr w:rsidR="00D30740" w:rsidRPr="00674A46" w14:paraId="1B5D8690" w14:textId="77777777" w:rsidTr="0081485A">
      <w:trPr>
        <w:trHeight w:val="233"/>
        <w:jc w:val="right"/>
      </w:trPr>
      <w:tc>
        <w:tcPr>
          <w:tcW w:w="4253" w:type="dxa"/>
          <w:vAlign w:val="center"/>
        </w:tcPr>
        <w:p w14:paraId="3903F2C6" w14:textId="22D569F8" w:rsidR="00D30740" w:rsidRPr="00674A46" w:rsidRDefault="00D3074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0B34D27" w:rsidR="00D30740" w:rsidRPr="00B75F20" w:rsidRDefault="00D30740" w:rsidP="00926F75">
          <w:pPr>
            <w:pStyle w:val="Encabezado"/>
            <w:jc w:val="both"/>
            <w:rPr>
              <w:rFonts w:ascii="Palatino Linotype" w:hAnsi="Palatino Linotype"/>
              <w:b/>
              <w:sz w:val="22"/>
              <w:szCs w:val="22"/>
            </w:rPr>
          </w:pPr>
          <w:r w:rsidRPr="007D1A30">
            <w:rPr>
              <w:rFonts w:ascii="Palatino Linotype" w:hAnsi="Palatino Linotype"/>
              <w:b/>
              <w:bCs/>
              <w:color w:val="000000"/>
              <w:sz w:val="22"/>
              <w:szCs w:val="22"/>
            </w:rPr>
            <w:t>Secretaría de Seguridad</w:t>
          </w:r>
        </w:p>
      </w:tc>
    </w:tr>
    <w:tr w:rsidR="00D30740" w:rsidRPr="00674A46" w14:paraId="095EB01B" w14:textId="77777777" w:rsidTr="0081485A">
      <w:trPr>
        <w:trHeight w:val="321"/>
        <w:jc w:val="right"/>
      </w:trPr>
      <w:tc>
        <w:tcPr>
          <w:tcW w:w="4253" w:type="dxa"/>
          <w:vAlign w:val="center"/>
        </w:tcPr>
        <w:p w14:paraId="6E000A51" w14:textId="25DCC1C7" w:rsidR="00D30740" w:rsidRPr="00674A46" w:rsidRDefault="00D3074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30740" w:rsidRPr="00674A46" w:rsidRDefault="00D3074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30740" w:rsidRDefault="00D30740"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77BFB7E3" w:rsidR="00D30740" w:rsidRDefault="00DF394C" w:rsidP="00472C41">
    <w:pPr>
      <w:pStyle w:val="Encabezado"/>
      <w:tabs>
        <w:tab w:val="clear" w:pos="4252"/>
        <w:tab w:val="clear" w:pos="8504"/>
        <w:tab w:val="left" w:pos="3103"/>
      </w:tabs>
    </w:pPr>
    <w:r>
      <w:rPr>
        <w:noProof/>
        <w:lang w:val="es-MX" w:eastAsia="es-MX"/>
      </w:rPr>
      <w:pict w14:anchorId="10FE6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8937"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D3074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30740" w:rsidRPr="00674A46" w14:paraId="0A3256F2" w14:textId="77777777" w:rsidTr="006E6B65">
      <w:trPr>
        <w:trHeight w:val="138"/>
        <w:jc w:val="right"/>
      </w:trPr>
      <w:tc>
        <w:tcPr>
          <w:tcW w:w="3261" w:type="dxa"/>
          <w:vAlign w:val="center"/>
        </w:tcPr>
        <w:p w14:paraId="3D80769D" w14:textId="316F11F8" w:rsidR="00D30740" w:rsidRPr="00674A46" w:rsidRDefault="00D3074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D6B5A83" w:rsidR="00D30740" w:rsidRPr="00674A46" w:rsidRDefault="00D30740" w:rsidP="006D7F3D">
          <w:pPr>
            <w:pStyle w:val="Encabezado"/>
            <w:rPr>
              <w:rFonts w:ascii="Palatino Linotype" w:hAnsi="Palatino Linotype"/>
              <w:b/>
              <w:sz w:val="22"/>
              <w:szCs w:val="22"/>
            </w:rPr>
          </w:pPr>
          <w:r>
            <w:rPr>
              <w:rFonts w:ascii="Palatino Linotype" w:hAnsi="Palatino Linotype" w:cs="Arial"/>
              <w:b/>
              <w:bCs/>
              <w:sz w:val="22"/>
              <w:szCs w:val="22"/>
              <w:lang w:eastAsia="es-MX"/>
            </w:rPr>
            <w:t>01768/INFOEM/IP/RR/2020</w:t>
          </w:r>
        </w:p>
      </w:tc>
    </w:tr>
    <w:tr w:rsidR="00D30740" w:rsidRPr="00B75F20" w14:paraId="128C8B3C" w14:textId="77777777" w:rsidTr="006E6B65">
      <w:trPr>
        <w:trHeight w:val="233"/>
        <w:jc w:val="right"/>
      </w:trPr>
      <w:tc>
        <w:tcPr>
          <w:tcW w:w="3261" w:type="dxa"/>
          <w:vAlign w:val="center"/>
        </w:tcPr>
        <w:p w14:paraId="483E3371" w14:textId="66B1BC74" w:rsidR="00D30740" w:rsidRPr="00674A46" w:rsidRDefault="00D3074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87CC214" w:rsidR="00D30740" w:rsidRPr="00B75F20" w:rsidRDefault="001F4839" w:rsidP="009B42A1">
          <w:pPr>
            <w:pStyle w:val="Encabezado"/>
            <w:tabs>
              <w:tab w:val="clear" w:pos="4252"/>
              <w:tab w:val="clear" w:pos="8504"/>
              <w:tab w:val="left" w:pos="521"/>
            </w:tabs>
            <w:rPr>
              <w:rFonts w:ascii="Palatino Linotype" w:hAnsi="Palatino Linotype"/>
              <w:b/>
              <w:sz w:val="22"/>
              <w:szCs w:val="22"/>
            </w:rPr>
          </w:pPr>
          <w:r w:rsidRPr="001F4839">
            <w:rPr>
              <w:rFonts w:ascii="Palatino Linotype" w:hAnsi="Palatino Linotype"/>
              <w:b/>
              <w:sz w:val="22"/>
              <w:szCs w:val="22"/>
              <w:highlight w:val="black"/>
            </w:rPr>
            <w:t>---------------------</w:t>
          </w:r>
        </w:p>
      </w:tc>
    </w:tr>
    <w:tr w:rsidR="00D30740" w:rsidRPr="00674A46" w14:paraId="41BE0704" w14:textId="77777777" w:rsidTr="006E6B65">
      <w:trPr>
        <w:trHeight w:val="321"/>
        <w:jc w:val="right"/>
      </w:trPr>
      <w:tc>
        <w:tcPr>
          <w:tcW w:w="3261" w:type="dxa"/>
          <w:vAlign w:val="center"/>
        </w:tcPr>
        <w:p w14:paraId="34C64148" w14:textId="10C6C8A9" w:rsidR="00D30740" w:rsidRPr="00674A46" w:rsidRDefault="00D3074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118CC87" w:rsidR="00D30740" w:rsidRPr="00674A46" w:rsidRDefault="00D30740" w:rsidP="005C3414">
          <w:pPr>
            <w:pStyle w:val="Encabezado"/>
            <w:jc w:val="both"/>
            <w:rPr>
              <w:rFonts w:ascii="Palatino Linotype" w:hAnsi="Palatino Linotype"/>
              <w:b/>
              <w:sz w:val="22"/>
              <w:szCs w:val="22"/>
            </w:rPr>
          </w:pPr>
          <w:r w:rsidRPr="007D1A30">
            <w:rPr>
              <w:rFonts w:ascii="Palatino Linotype" w:hAnsi="Palatino Linotype"/>
              <w:b/>
              <w:bCs/>
              <w:color w:val="000000"/>
              <w:sz w:val="22"/>
              <w:szCs w:val="22"/>
            </w:rPr>
            <w:t>Secretaría de Seguridad</w:t>
          </w:r>
        </w:p>
      </w:tc>
    </w:tr>
    <w:tr w:rsidR="00D30740" w:rsidRPr="00674A46" w14:paraId="0C8B6193" w14:textId="77777777" w:rsidTr="006E6B65">
      <w:trPr>
        <w:trHeight w:val="321"/>
        <w:jc w:val="right"/>
      </w:trPr>
      <w:tc>
        <w:tcPr>
          <w:tcW w:w="3261" w:type="dxa"/>
          <w:vAlign w:val="center"/>
        </w:tcPr>
        <w:p w14:paraId="321FFAFF" w14:textId="40E5A678" w:rsidR="00D30740" w:rsidRPr="00674A46" w:rsidRDefault="00D3074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30740" w:rsidRPr="00674A46" w:rsidRDefault="00D3074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30740" w:rsidRDefault="00D3074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E19F6"/>
    <w:multiLevelType w:val="hybridMultilevel"/>
    <w:tmpl w:val="CE90F7D0"/>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0BD751C"/>
    <w:multiLevelType w:val="hybridMultilevel"/>
    <w:tmpl w:val="23DE734C"/>
    <w:lvl w:ilvl="0" w:tplc="080A0017">
      <w:start w:val="1"/>
      <w:numFmt w:val="lowerLetter"/>
      <w:lvlText w:val="%1)"/>
      <w:lvlJc w:val="left"/>
      <w:pPr>
        <w:ind w:left="1647" w:hanging="360"/>
      </w:pPr>
      <w:rPr>
        <w:rFonts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7" w15:restartNumberingAfterBreak="0">
    <w:nsid w:val="34317490"/>
    <w:multiLevelType w:val="hybridMultilevel"/>
    <w:tmpl w:val="828254CC"/>
    <w:lvl w:ilvl="0" w:tplc="1C8A5F06">
      <w:start w:val="1"/>
      <w:numFmt w:val="decimal"/>
      <w:lvlText w:val="%1."/>
      <w:lvlJc w:val="left"/>
      <w:pPr>
        <w:ind w:left="207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896126"/>
    <w:multiLevelType w:val="hybridMultilevel"/>
    <w:tmpl w:val="039E1218"/>
    <w:lvl w:ilvl="0" w:tplc="86CCA26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3173CA"/>
    <w:multiLevelType w:val="hybridMultilevel"/>
    <w:tmpl w:val="6D642F1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32"/>
  </w:num>
  <w:num w:numId="4">
    <w:abstractNumId w:val="38"/>
  </w:num>
  <w:num w:numId="5">
    <w:abstractNumId w:val="19"/>
  </w:num>
  <w:num w:numId="6">
    <w:abstractNumId w:val="33"/>
  </w:num>
  <w:num w:numId="7">
    <w:abstractNumId w:val="3"/>
  </w:num>
  <w:num w:numId="8">
    <w:abstractNumId w:val="14"/>
  </w:num>
  <w:num w:numId="9">
    <w:abstractNumId w:val="10"/>
  </w:num>
  <w:num w:numId="10">
    <w:abstractNumId w:val="8"/>
  </w:num>
  <w:num w:numId="11">
    <w:abstractNumId w:val="22"/>
  </w:num>
  <w:num w:numId="12">
    <w:abstractNumId w:val="27"/>
  </w:num>
  <w:num w:numId="13">
    <w:abstractNumId w:val="2"/>
  </w:num>
  <w:num w:numId="14">
    <w:abstractNumId w:val="1"/>
  </w:num>
  <w:num w:numId="15">
    <w:abstractNumId w:val="11"/>
  </w:num>
  <w:num w:numId="16">
    <w:abstractNumId w:val="37"/>
  </w:num>
  <w:num w:numId="17">
    <w:abstractNumId w:val="34"/>
  </w:num>
  <w:num w:numId="18">
    <w:abstractNumId w:val="26"/>
  </w:num>
  <w:num w:numId="19">
    <w:abstractNumId w:val="30"/>
  </w:num>
  <w:num w:numId="20">
    <w:abstractNumId w:val="20"/>
  </w:num>
  <w:num w:numId="21">
    <w:abstractNumId w:val="35"/>
  </w:num>
  <w:num w:numId="22">
    <w:abstractNumId w:val="39"/>
  </w:num>
  <w:num w:numId="23">
    <w:abstractNumId w:val="24"/>
  </w:num>
  <w:num w:numId="24">
    <w:abstractNumId w:val="6"/>
  </w:num>
  <w:num w:numId="25">
    <w:abstractNumId w:val="13"/>
  </w:num>
  <w:num w:numId="26">
    <w:abstractNumId w:val="36"/>
  </w:num>
  <w:num w:numId="27">
    <w:abstractNumId w:val="28"/>
  </w:num>
  <w:num w:numId="28">
    <w:abstractNumId w:val="5"/>
  </w:num>
  <w:num w:numId="29">
    <w:abstractNumId w:val="7"/>
  </w:num>
  <w:num w:numId="30">
    <w:abstractNumId w:val="25"/>
  </w:num>
  <w:num w:numId="31">
    <w:abstractNumId w:val="15"/>
  </w:num>
  <w:num w:numId="32">
    <w:abstractNumId w:val="4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9"/>
  </w:num>
  <w:num w:numId="37">
    <w:abstractNumId w:val="31"/>
  </w:num>
  <w:num w:numId="38">
    <w:abstractNumId w:val="9"/>
  </w:num>
  <w:num w:numId="39">
    <w:abstractNumId w:val="12"/>
  </w:num>
  <w:num w:numId="40">
    <w:abstractNumId w:val="16"/>
  </w:num>
  <w:num w:numId="41">
    <w:abstractNumId w:val="23"/>
  </w:num>
  <w:num w:numId="4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D1F"/>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6D1B"/>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2BE"/>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483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66A"/>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77"/>
    <w:rsid w:val="00273786"/>
    <w:rsid w:val="00273C37"/>
    <w:rsid w:val="0027430D"/>
    <w:rsid w:val="00274D35"/>
    <w:rsid w:val="00274F7F"/>
    <w:rsid w:val="00277A35"/>
    <w:rsid w:val="00280994"/>
    <w:rsid w:val="00280E67"/>
    <w:rsid w:val="00283749"/>
    <w:rsid w:val="00285BBA"/>
    <w:rsid w:val="002860E1"/>
    <w:rsid w:val="002871EB"/>
    <w:rsid w:val="002879B1"/>
    <w:rsid w:val="00290631"/>
    <w:rsid w:val="00290721"/>
    <w:rsid w:val="00292C6A"/>
    <w:rsid w:val="00293AAD"/>
    <w:rsid w:val="002940E2"/>
    <w:rsid w:val="00296F5B"/>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E7F4C"/>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17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2407"/>
    <w:rsid w:val="00353201"/>
    <w:rsid w:val="00355AEE"/>
    <w:rsid w:val="00355D3B"/>
    <w:rsid w:val="00357E4A"/>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5DC"/>
    <w:rsid w:val="00373EFE"/>
    <w:rsid w:val="0037428A"/>
    <w:rsid w:val="00375BD3"/>
    <w:rsid w:val="003762FD"/>
    <w:rsid w:val="00377CC8"/>
    <w:rsid w:val="00380B06"/>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39CC"/>
    <w:rsid w:val="003A6417"/>
    <w:rsid w:val="003A65FE"/>
    <w:rsid w:val="003A6A5A"/>
    <w:rsid w:val="003A7221"/>
    <w:rsid w:val="003A730E"/>
    <w:rsid w:val="003A7AED"/>
    <w:rsid w:val="003B2856"/>
    <w:rsid w:val="003B2A0D"/>
    <w:rsid w:val="003B39E2"/>
    <w:rsid w:val="003B45B6"/>
    <w:rsid w:val="003B50CD"/>
    <w:rsid w:val="003B55AD"/>
    <w:rsid w:val="003B565C"/>
    <w:rsid w:val="003B5831"/>
    <w:rsid w:val="003B6EB4"/>
    <w:rsid w:val="003B7421"/>
    <w:rsid w:val="003B7EC4"/>
    <w:rsid w:val="003C3086"/>
    <w:rsid w:val="003C462F"/>
    <w:rsid w:val="003C7282"/>
    <w:rsid w:val="003D00D5"/>
    <w:rsid w:val="003D01B4"/>
    <w:rsid w:val="003D16A8"/>
    <w:rsid w:val="003D181D"/>
    <w:rsid w:val="003D18D8"/>
    <w:rsid w:val="003D2015"/>
    <w:rsid w:val="003D20C4"/>
    <w:rsid w:val="003D3043"/>
    <w:rsid w:val="003D3C1A"/>
    <w:rsid w:val="003D3FA1"/>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404"/>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5DB"/>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1DF7"/>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5874"/>
    <w:rsid w:val="004F766F"/>
    <w:rsid w:val="004F78B7"/>
    <w:rsid w:val="004F7944"/>
    <w:rsid w:val="00500224"/>
    <w:rsid w:val="00502BB2"/>
    <w:rsid w:val="00503166"/>
    <w:rsid w:val="00503F93"/>
    <w:rsid w:val="005041C2"/>
    <w:rsid w:val="00504CDE"/>
    <w:rsid w:val="00504CEC"/>
    <w:rsid w:val="00504E8F"/>
    <w:rsid w:val="00505CA0"/>
    <w:rsid w:val="00506DDD"/>
    <w:rsid w:val="0050717A"/>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D09"/>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3E8"/>
    <w:rsid w:val="005D7A17"/>
    <w:rsid w:val="005E05EA"/>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3A2D"/>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01B"/>
    <w:rsid w:val="00674701"/>
    <w:rsid w:val="00674A46"/>
    <w:rsid w:val="006752B0"/>
    <w:rsid w:val="006753F9"/>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6963"/>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2DAB"/>
    <w:rsid w:val="00735234"/>
    <w:rsid w:val="007365AD"/>
    <w:rsid w:val="00740705"/>
    <w:rsid w:val="00741DC7"/>
    <w:rsid w:val="00742486"/>
    <w:rsid w:val="00743767"/>
    <w:rsid w:val="0074433B"/>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0C0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8CC"/>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6FA0"/>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0763"/>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02E"/>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D6C"/>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2E0A"/>
    <w:rsid w:val="00A633DD"/>
    <w:rsid w:val="00A6517F"/>
    <w:rsid w:val="00A65C4D"/>
    <w:rsid w:val="00A67428"/>
    <w:rsid w:val="00A70260"/>
    <w:rsid w:val="00A70CF3"/>
    <w:rsid w:val="00A7155E"/>
    <w:rsid w:val="00A71E76"/>
    <w:rsid w:val="00A746FD"/>
    <w:rsid w:val="00A74EDE"/>
    <w:rsid w:val="00A75396"/>
    <w:rsid w:val="00A7552B"/>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2A7"/>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4C"/>
    <w:rsid w:val="00C27ABF"/>
    <w:rsid w:val="00C3157F"/>
    <w:rsid w:val="00C315FB"/>
    <w:rsid w:val="00C317BD"/>
    <w:rsid w:val="00C31A00"/>
    <w:rsid w:val="00C32AF2"/>
    <w:rsid w:val="00C32E86"/>
    <w:rsid w:val="00C33279"/>
    <w:rsid w:val="00C336B9"/>
    <w:rsid w:val="00C37DED"/>
    <w:rsid w:val="00C41015"/>
    <w:rsid w:val="00C41EE1"/>
    <w:rsid w:val="00C437C3"/>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67"/>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111"/>
    <w:rsid w:val="00C97602"/>
    <w:rsid w:val="00CA1F79"/>
    <w:rsid w:val="00CA2022"/>
    <w:rsid w:val="00CA2A4E"/>
    <w:rsid w:val="00CA407B"/>
    <w:rsid w:val="00CA4422"/>
    <w:rsid w:val="00CA4F22"/>
    <w:rsid w:val="00CA6AAE"/>
    <w:rsid w:val="00CA709B"/>
    <w:rsid w:val="00CB0101"/>
    <w:rsid w:val="00CB12C8"/>
    <w:rsid w:val="00CB1684"/>
    <w:rsid w:val="00CB1B05"/>
    <w:rsid w:val="00CB3393"/>
    <w:rsid w:val="00CB3448"/>
    <w:rsid w:val="00CB3C69"/>
    <w:rsid w:val="00CB3C89"/>
    <w:rsid w:val="00CB3E21"/>
    <w:rsid w:val="00CB57BF"/>
    <w:rsid w:val="00CC0224"/>
    <w:rsid w:val="00CC053E"/>
    <w:rsid w:val="00CC205D"/>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6F8D"/>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1378"/>
    <w:rsid w:val="00D225CB"/>
    <w:rsid w:val="00D240B5"/>
    <w:rsid w:val="00D25A9F"/>
    <w:rsid w:val="00D2734A"/>
    <w:rsid w:val="00D276CF"/>
    <w:rsid w:val="00D30003"/>
    <w:rsid w:val="00D300EA"/>
    <w:rsid w:val="00D30114"/>
    <w:rsid w:val="00D306AB"/>
    <w:rsid w:val="00D30740"/>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4AE"/>
    <w:rsid w:val="00D506E8"/>
    <w:rsid w:val="00D509E4"/>
    <w:rsid w:val="00D52821"/>
    <w:rsid w:val="00D54BAA"/>
    <w:rsid w:val="00D55F9D"/>
    <w:rsid w:val="00D605FB"/>
    <w:rsid w:val="00D613AB"/>
    <w:rsid w:val="00D63990"/>
    <w:rsid w:val="00D63E87"/>
    <w:rsid w:val="00D65068"/>
    <w:rsid w:val="00D6518B"/>
    <w:rsid w:val="00D65243"/>
    <w:rsid w:val="00D658A1"/>
    <w:rsid w:val="00D666F6"/>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394C"/>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D3381F98-8E89-3243-837B-B1140A7C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3E8"/>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27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94850003">
      <w:bodyDiv w:val="1"/>
      <w:marLeft w:val="0"/>
      <w:marRight w:val="0"/>
      <w:marTop w:val="0"/>
      <w:marBottom w:val="0"/>
      <w:divBdr>
        <w:top w:val="none" w:sz="0" w:space="0" w:color="auto"/>
        <w:left w:val="none" w:sz="0" w:space="0" w:color="auto"/>
        <w:bottom w:val="none" w:sz="0" w:space="0" w:color="auto"/>
        <w:right w:val="none" w:sz="0" w:space="0" w:color="auto"/>
      </w:divBdr>
    </w:div>
    <w:div w:id="296373347">
      <w:bodyDiv w:val="1"/>
      <w:marLeft w:val="0"/>
      <w:marRight w:val="0"/>
      <w:marTop w:val="0"/>
      <w:marBottom w:val="0"/>
      <w:divBdr>
        <w:top w:val="none" w:sz="0" w:space="0" w:color="auto"/>
        <w:left w:val="none" w:sz="0" w:space="0" w:color="auto"/>
        <w:bottom w:val="none" w:sz="0" w:space="0" w:color="auto"/>
        <w:right w:val="none" w:sz="0" w:space="0" w:color="auto"/>
      </w:divBdr>
    </w:div>
    <w:div w:id="304284626">
      <w:bodyDiv w:val="1"/>
      <w:marLeft w:val="0"/>
      <w:marRight w:val="0"/>
      <w:marTop w:val="0"/>
      <w:marBottom w:val="0"/>
      <w:divBdr>
        <w:top w:val="none" w:sz="0" w:space="0" w:color="auto"/>
        <w:left w:val="none" w:sz="0" w:space="0" w:color="auto"/>
        <w:bottom w:val="none" w:sz="0" w:space="0" w:color="auto"/>
        <w:right w:val="none" w:sz="0" w:space="0" w:color="auto"/>
      </w:divBdr>
    </w:div>
    <w:div w:id="325674146">
      <w:bodyDiv w:val="1"/>
      <w:marLeft w:val="0"/>
      <w:marRight w:val="0"/>
      <w:marTop w:val="0"/>
      <w:marBottom w:val="0"/>
      <w:divBdr>
        <w:top w:val="none" w:sz="0" w:space="0" w:color="auto"/>
        <w:left w:val="none" w:sz="0" w:space="0" w:color="auto"/>
        <w:bottom w:val="none" w:sz="0" w:space="0" w:color="auto"/>
        <w:right w:val="none" w:sz="0" w:space="0" w:color="auto"/>
      </w:divBdr>
    </w:div>
    <w:div w:id="383140547">
      <w:bodyDiv w:val="1"/>
      <w:marLeft w:val="0"/>
      <w:marRight w:val="0"/>
      <w:marTop w:val="0"/>
      <w:marBottom w:val="0"/>
      <w:divBdr>
        <w:top w:val="none" w:sz="0" w:space="0" w:color="auto"/>
        <w:left w:val="none" w:sz="0" w:space="0" w:color="auto"/>
        <w:bottom w:val="none" w:sz="0" w:space="0" w:color="auto"/>
        <w:right w:val="none" w:sz="0" w:space="0" w:color="auto"/>
      </w:divBdr>
    </w:div>
    <w:div w:id="415253978">
      <w:bodyDiv w:val="1"/>
      <w:marLeft w:val="0"/>
      <w:marRight w:val="0"/>
      <w:marTop w:val="0"/>
      <w:marBottom w:val="0"/>
      <w:divBdr>
        <w:top w:val="none" w:sz="0" w:space="0" w:color="auto"/>
        <w:left w:val="none" w:sz="0" w:space="0" w:color="auto"/>
        <w:bottom w:val="none" w:sz="0" w:space="0" w:color="auto"/>
        <w:right w:val="none" w:sz="0" w:space="0" w:color="auto"/>
      </w:divBdr>
    </w:div>
    <w:div w:id="47634041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63677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584530472">
      <w:bodyDiv w:val="1"/>
      <w:marLeft w:val="0"/>
      <w:marRight w:val="0"/>
      <w:marTop w:val="0"/>
      <w:marBottom w:val="0"/>
      <w:divBdr>
        <w:top w:val="none" w:sz="0" w:space="0" w:color="auto"/>
        <w:left w:val="none" w:sz="0" w:space="0" w:color="auto"/>
        <w:bottom w:val="none" w:sz="0" w:space="0" w:color="auto"/>
        <w:right w:val="none" w:sz="0" w:space="0" w:color="auto"/>
      </w:divBdr>
    </w:div>
    <w:div w:id="594215709">
      <w:bodyDiv w:val="1"/>
      <w:marLeft w:val="0"/>
      <w:marRight w:val="0"/>
      <w:marTop w:val="0"/>
      <w:marBottom w:val="0"/>
      <w:divBdr>
        <w:top w:val="none" w:sz="0" w:space="0" w:color="auto"/>
        <w:left w:val="none" w:sz="0" w:space="0" w:color="auto"/>
        <w:bottom w:val="none" w:sz="0" w:space="0" w:color="auto"/>
        <w:right w:val="none" w:sz="0" w:space="0" w:color="auto"/>
      </w:divBdr>
    </w:div>
    <w:div w:id="676470194">
      <w:bodyDiv w:val="1"/>
      <w:marLeft w:val="0"/>
      <w:marRight w:val="0"/>
      <w:marTop w:val="0"/>
      <w:marBottom w:val="0"/>
      <w:divBdr>
        <w:top w:val="none" w:sz="0" w:space="0" w:color="auto"/>
        <w:left w:val="none" w:sz="0" w:space="0" w:color="auto"/>
        <w:bottom w:val="none" w:sz="0" w:space="0" w:color="auto"/>
        <w:right w:val="none" w:sz="0" w:space="0" w:color="auto"/>
      </w:divBdr>
    </w:div>
    <w:div w:id="81363887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153387">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56776521">
      <w:bodyDiv w:val="1"/>
      <w:marLeft w:val="0"/>
      <w:marRight w:val="0"/>
      <w:marTop w:val="0"/>
      <w:marBottom w:val="0"/>
      <w:divBdr>
        <w:top w:val="none" w:sz="0" w:space="0" w:color="auto"/>
        <w:left w:val="none" w:sz="0" w:space="0" w:color="auto"/>
        <w:bottom w:val="none" w:sz="0" w:space="0" w:color="auto"/>
        <w:right w:val="none" w:sz="0" w:space="0" w:color="auto"/>
      </w:divBdr>
    </w:div>
    <w:div w:id="1098984679">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185947202">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246722828">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22290758">
      <w:bodyDiv w:val="1"/>
      <w:marLeft w:val="0"/>
      <w:marRight w:val="0"/>
      <w:marTop w:val="0"/>
      <w:marBottom w:val="0"/>
      <w:divBdr>
        <w:top w:val="none" w:sz="0" w:space="0" w:color="auto"/>
        <w:left w:val="none" w:sz="0" w:space="0" w:color="auto"/>
        <w:bottom w:val="none" w:sz="0" w:space="0" w:color="auto"/>
        <w:right w:val="none" w:sz="0" w:space="0" w:color="auto"/>
      </w:divBdr>
    </w:div>
    <w:div w:id="1475678599">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05393430">
      <w:bodyDiv w:val="1"/>
      <w:marLeft w:val="0"/>
      <w:marRight w:val="0"/>
      <w:marTop w:val="0"/>
      <w:marBottom w:val="0"/>
      <w:divBdr>
        <w:top w:val="none" w:sz="0" w:space="0" w:color="auto"/>
        <w:left w:val="none" w:sz="0" w:space="0" w:color="auto"/>
        <w:bottom w:val="none" w:sz="0" w:space="0" w:color="auto"/>
        <w:right w:val="none" w:sz="0" w:space="0" w:color="auto"/>
      </w:divBdr>
    </w:div>
    <w:div w:id="1556163307">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1990204537">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rgl/vig/rglvig71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seguridad.edomex.gob.mx/sites/sseguridad.edomex.gob.mx/files/files/marco%20juridico/08%20Manuales%20de%20organizacion/01-MANUAL%20GENERAL%20DE%20ORGANIZACI%C3%93N.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2108-6EAC-D647-A6C7-DE8DF3E2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5508</Words>
  <Characters>29250</Characters>
  <Application>Microsoft Office Word</Application>
  <DocSecurity>0</DocSecurity>
  <Lines>696</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2019-01-16T02:59:00Z</cp:lastPrinted>
  <dcterms:created xsi:type="dcterms:W3CDTF">2020-08-27T20:37:00Z</dcterms:created>
  <dcterms:modified xsi:type="dcterms:W3CDTF">2020-10-16T05:57:00Z</dcterms:modified>
</cp:coreProperties>
</file>