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5D0" w:rsidRDefault="001916B7">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3E35D0" w:rsidRPr="004D584E" w:rsidRDefault="001916B7">
      <w:pPr>
        <w:spacing w:beforeAutospacing="1" w:afterAutospacing="1" w:line="360" w:lineRule="auto"/>
        <w:jc w:val="both"/>
        <w:rPr>
          <w:rFonts w:ascii="Palatino Linotype" w:hAnsi="Palatino Linotype"/>
        </w:rPr>
      </w:pPr>
      <w:r w:rsidRPr="004D584E">
        <w:rPr>
          <w:rFonts w:ascii="Palatino Linotype" w:hAnsi="Palatino Linotype"/>
          <w:b/>
        </w:rPr>
        <w:t>VISTO</w:t>
      </w:r>
      <w:r w:rsidRPr="004D584E">
        <w:rPr>
          <w:rFonts w:ascii="Palatino Linotype" w:hAnsi="Palatino Linotype"/>
        </w:rPr>
        <w:t xml:space="preserve"> el expediente formado con motivo del recurso de revisión</w:t>
      </w:r>
      <w:r w:rsidRPr="004D584E">
        <w:rPr>
          <w:rFonts w:ascii="Verdana" w:hAnsi="Verdana"/>
          <w:b/>
          <w:bCs/>
          <w:color w:val="FF0000"/>
        </w:rPr>
        <w:t xml:space="preserve"> </w:t>
      </w:r>
      <w:r w:rsidRPr="004D584E">
        <w:rPr>
          <w:rFonts w:ascii="Palatino Linotype" w:hAnsi="Palatino Linotype"/>
          <w:b/>
          <w:bCs/>
        </w:rPr>
        <w:t>00807/INFOEM/IP/RR/2020</w:t>
      </w:r>
      <w:r w:rsidRPr="004D584E">
        <w:rPr>
          <w:rFonts w:ascii="Palatino Linotype" w:hAnsi="Palatino Linotype"/>
        </w:rPr>
        <w:t>, promovido por el C.</w:t>
      </w:r>
      <w:r w:rsidR="004D584E" w:rsidRPr="004D584E">
        <w:rPr>
          <w:rFonts w:ascii="Palatino Linotype" w:hAnsi="Palatino Linotype"/>
          <w:b/>
          <w:lang w:val="es-ES_tradnl"/>
        </w:rPr>
        <w:t xml:space="preserve"> </w:t>
      </w:r>
      <w:r w:rsidR="004D584E" w:rsidRPr="004D584E">
        <w:rPr>
          <w:rFonts w:ascii="Palatino Linotype" w:hAnsi="Palatino Linotype"/>
          <w:b/>
          <w:lang w:val="es-ES_tradnl"/>
        </w:rPr>
        <w:t>XXXXXXXXXX XXXXXXXXX XXXXXX XXXXXX</w:t>
      </w:r>
      <w:r w:rsidRPr="004D584E">
        <w:rPr>
          <w:rFonts w:ascii="Palatino Linotype" w:hAnsi="Palatino Linotype" w:cs="Arial"/>
        </w:rPr>
        <w:t>, en lo sucesivo</w:t>
      </w:r>
      <w:r w:rsidRPr="004D584E">
        <w:rPr>
          <w:rFonts w:ascii="Palatino Linotype" w:hAnsi="Palatino Linotype" w:cs="Arial"/>
          <w:b/>
        </w:rPr>
        <w:t xml:space="preserve"> EL RECURRENTE</w:t>
      </w:r>
      <w:r w:rsidRPr="004D584E">
        <w:rPr>
          <w:rFonts w:ascii="Palatino Linotype" w:hAnsi="Palatino Linotype"/>
        </w:rPr>
        <w:t>, en contra de la respuesta emitida por la</w:t>
      </w:r>
      <w:r w:rsidRPr="004D584E">
        <w:t xml:space="preserve"> </w:t>
      </w:r>
      <w:r w:rsidRPr="004D584E">
        <w:rPr>
          <w:rFonts w:ascii="Palatino Linotype" w:hAnsi="Palatino Linotype"/>
          <w:b/>
        </w:rPr>
        <w:t>Secretaría de Movilidad</w:t>
      </w:r>
      <w:r w:rsidRPr="004D584E">
        <w:rPr>
          <w:rFonts w:ascii="Palatino Linotype" w:hAnsi="Palatino Linotype"/>
        </w:rPr>
        <w:t xml:space="preserve">, en lo sucesivo </w:t>
      </w:r>
      <w:r w:rsidRPr="004D584E">
        <w:rPr>
          <w:rFonts w:ascii="Palatino Linotype" w:hAnsi="Palatino Linotype"/>
          <w:b/>
        </w:rPr>
        <w:t>EL SUJETO OBLIGADO</w:t>
      </w:r>
      <w:r w:rsidRPr="004D584E">
        <w:rPr>
          <w:rFonts w:ascii="Palatino Linotype" w:hAnsi="Palatino Linotype"/>
        </w:rPr>
        <w:t xml:space="preserve">, se procede a dictar la presente resolución con base en lo siguiente: </w:t>
      </w:r>
    </w:p>
    <w:p w:rsidR="003E35D0" w:rsidRDefault="001916B7">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3E35D0" w:rsidRDefault="001916B7">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treinta de diciembre de dos mil diecinueve, pero al ser un día inhábil, se registró el ocho de enero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 solicitud de acceso a la información pública, a la que se le asignó el número</w:t>
      </w:r>
      <w:r>
        <w:rPr>
          <w:rFonts w:ascii="Verdana" w:hAnsi="Verdana"/>
          <w:b/>
          <w:bCs/>
          <w:color w:val="FF0000"/>
        </w:rPr>
        <w:t xml:space="preserve"> </w:t>
      </w:r>
      <w:r>
        <w:rPr>
          <w:rFonts w:ascii="Palatino Linotype" w:hAnsi="Palatino Linotype"/>
          <w:b/>
          <w:bCs/>
        </w:rPr>
        <w:t>00004/SM/IP/2020</w:t>
      </w:r>
      <w:r>
        <w:rPr>
          <w:rFonts w:ascii="Palatino Linotype" w:hAnsi="Palatino Linotype"/>
        </w:rPr>
        <w:t>, mediante la cual requirió lo siguiente:</w:t>
      </w:r>
    </w:p>
    <w:p w:rsidR="003E35D0" w:rsidRDefault="001916B7">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“Solicitud de información la cual deberá ser Fidedigna y verdadera. Saber cuales son los motivos y fundamentos para remitir un vehículo de transporte publico a corralon.” </w:t>
      </w:r>
      <w:r>
        <w:rPr>
          <w:rFonts w:ascii="Palatino Linotype" w:hAnsi="Palatino Linotype"/>
          <w:sz w:val="22"/>
          <w:szCs w:val="22"/>
        </w:rPr>
        <w:t>(Sic)</w:t>
      </w:r>
      <w:bookmarkStart w:id="0" w:name="_Ref531692384"/>
      <w:bookmarkStart w:id="1" w:name="_Ref516764469"/>
    </w:p>
    <w:p w:rsidR="003E35D0" w:rsidRDefault="001916B7">
      <w:pPr>
        <w:spacing w:before="160" w:after="160"/>
        <w:ind w:right="709"/>
        <w:jc w:val="both"/>
        <w:rPr>
          <w:rFonts w:ascii="Palatino Linotype" w:hAnsi="Palatino Linotype"/>
        </w:rPr>
      </w:pPr>
      <w:r>
        <w:rPr>
          <w:rFonts w:ascii="Palatino Linotype" w:hAnsi="Palatino Linotype"/>
          <w:b/>
        </w:rPr>
        <w:t>Modalidad de entrega:</w:t>
      </w:r>
      <w:r>
        <w:rPr>
          <w:rFonts w:ascii="Palatino Linotype" w:hAnsi="Palatino Linotype"/>
          <w:sz w:val="22"/>
          <w:szCs w:val="22"/>
        </w:rPr>
        <w:t xml:space="preserve"> </w:t>
      </w:r>
      <w:r>
        <w:rPr>
          <w:rFonts w:ascii="Palatino Linotype" w:hAnsi="Palatino Linotype"/>
        </w:rPr>
        <w:t xml:space="preserve">Vía </w:t>
      </w:r>
      <w:bookmarkEnd w:id="0"/>
      <w:bookmarkEnd w:id="1"/>
      <w:r>
        <w:rPr>
          <w:rFonts w:ascii="Palatino Linotype" w:hAnsi="Palatino Linotype"/>
        </w:rPr>
        <w:t>SAIMEX</w:t>
      </w:r>
    </w:p>
    <w:p w:rsidR="003E35D0" w:rsidRDefault="003E35D0">
      <w:pPr>
        <w:spacing w:before="160" w:after="160"/>
        <w:ind w:right="709"/>
        <w:jc w:val="both"/>
        <w:rPr>
          <w:rFonts w:ascii="Palatino Linotype" w:hAnsi="Palatino Linotype"/>
          <w:sz w:val="22"/>
          <w:szCs w:val="22"/>
        </w:rPr>
      </w:pPr>
    </w:p>
    <w:p w:rsidR="003E35D0" w:rsidRDefault="001916B7">
      <w:pPr>
        <w:pStyle w:val="Prrafodelista"/>
        <w:numPr>
          <w:ilvl w:val="0"/>
          <w:numId w:val="2"/>
        </w:numPr>
        <w:tabs>
          <w:tab w:val="left" w:pos="0"/>
        </w:tabs>
        <w:spacing w:line="360" w:lineRule="auto"/>
        <w:ind w:left="0" w:firstLine="0"/>
        <w:jc w:val="both"/>
        <w:rPr>
          <w:rFonts w:ascii="Palatino Linotype" w:hAnsi="Palatino Linotype" w:cs="Arial"/>
        </w:rPr>
      </w:pPr>
      <w:r>
        <w:rPr>
          <w:rFonts w:ascii="Palatino Linotype" w:hAnsi="Palatino Linotype" w:cs="Arial"/>
        </w:rPr>
        <w:t xml:space="preserve">En cumplimiento al artículo 162 de la Ley de Transparencia y Acceso a la Información Pública del Estado de México y Municipios, el ocho de enero de dos mil veinte, la Titular de la Unidad de Transparencia del </w:t>
      </w:r>
      <w:r>
        <w:rPr>
          <w:rFonts w:ascii="Palatino Linotype" w:hAnsi="Palatino Linotype" w:cs="Arial"/>
          <w:b/>
        </w:rPr>
        <w:t>SUJETO OBLIGADO</w:t>
      </w:r>
      <w:r>
        <w:rPr>
          <w:rFonts w:ascii="Palatino Linotype" w:hAnsi="Palatino Linotype" w:cs="Arial"/>
        </w:rPr>
        <w:t xml:space="preserve">, mediante </w:t>
      </w:r>
      <w:r>
        <w:rPr>
          <w:rFonts w:ascii="Palatino Linotype" w:hAnsi="Palatino Linotype" w:cs="Arial"/>
        </w:rPr>
        <w:lastRenderedPageBreak/>
        <w:t>los folios</w:t>
      </w:r>
      <w:r>
        <w:rPr>
          <w:rFonts w:ascii="Arial" w:hAnsi="Arial" w:cs="Arial"/>
          <w:b/>
          <w:bCs/>
          <w:color w:val="333333"/>
          <w:sz w:val="12"/>
          <w:szCs w:val="12"/>
          <w:shd w:val="clear" w:color="auto" w:fill="F7F7F8"/>
        </w:rPr>
        <w:t xml:space="preserve"> </w:t>
      </w:r>
      <w:r>
        <w:rPr>
          <w:rFonts w:ascii="Palatino Linotype" w:hAnsi="Palatino Linotype" w:cs="Arial"/>
          <w:b/>
          <w:bCs/>
        </w:rPr>
        <w:t xml:space="preserve">00004/SM/IP/2020/TSP/0001 </w:t>
      </w:r>
      <w:r>
        <w:rPr>
          <w:rFonts w:ascii="Palatino Linotype" w:hAnsi="Palatino Linotype" w:cs="Arial"/>
          <w:bCs/>
        </w:rPr>
        <w:t>y</w:t>
      </w:r>
      <w:r>
        <w:rPr>
          <w:rFonts w:ascii="Palatino Linotype" w:hAnsi="Palatino Linotype" w:cs="Arial"/>
          <w:b/>
          <w:bCs/>
        </w:rPr>
        <w:t xml:space="preserve"> 00004/SM/IP/2020/TSP/0002</w:t>
      </w:r>
      <w:r>
        <w:rPr>
          <w:rFonts w:ascii="Palatino Linotype" w:hAnsi="Palatino Linotype" w:cs="Arial"/>
        </w:rPr>
        <w:t xml:space="preserve"> </w:t>
      </w:r>
      <w:r>
        <w:rPr>
          <w:rFonts w:ascii="Palatino Linotype" w:hAnsi="Palatino Linotype"/>
          <w:bCs/>
        </w:rPr>
        <w:t>turnó el requerimiento de información a los Servidores Públicos Habilitados de la</w:t>
      </w:r>
      <w:r>
        <w:t xml:space="preserve"> </w:t>
      </w:r>
      <w:r>
        <w:rPr>
          <w:rFonts w:ascii="Palatino Linotype" w:hAnsi="Palatino Linotype"/>
          <w:bCs/>
        </w:rPr>
        <w:t>Dirección General de Asuntos Jurídicos e Igualdad de Género y de la Subsecretaría de Movilidad, a fin de colmar la solicitud de acceso a la información; tal y como, se aprecia en la imagen siguiente:</w:t>
      </w:r>
    </w:p>
    <w:p w:rsidR="003E35D0" w:rsidRDefault="001916B7">
      <w:pPr>
        <w:pStyle w:val="Prrafodelista"/>
        <w:tabs>
          <w:tab w:val="left" w:pos="0"/>
        </w:tabs>
        <w:spacing w:line="360" w:lineRule="auto"/>
        <w:ind w:left="0"/>
        <w:jc w:val="both"/>
        <w:rPr>
          <w:rFonts w:ascii="Palatino Linotype" w:hAnsi="Palatino Linotype" w:cs="Arial"/>
        </w:rPr>
      </w:pPr>
      <w:r>
        <w:rPr>
          <w:noProof/>
          <w:lang w:eastAsia="es-MX"/>
        </w:rPr>
        <w:drawing>
          <wp:inline distT="0" distB="0" distL="0" distR="0">
            <wp:extent cx="5772150" cy="97155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8"/>
                    <a:srcRect l="6961" t="32013" r="7408" b="54400"/>
                    <a:stretch>
                      <a:fillRect/>
                    </a:stretch>
                  </pic:blipFill>
                  <pic:spPr bwMode="auto">
                    <a:xfrm>
                      <a:off x="0" y="0"/>
                      <a:ext cx="5772150" cy="971550"/>
                    </a:xfrm>
                    <a:prstGeom prst="rect">
                      <a:avLst/>
                    </a:prstGeom>
                  </pic:spPr>
                </pic:pic>
              </a:graphicData>
            </a:graphic>
          </wp:inline>
        </w:drawing>
      </w:r>
    </w:p>
    <w:p w:rsidR="003E35D0" w:rsidRDefault="001916B7">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veintinueve de enero de dos mil veinte, </w:t>
      </w:r>
      <w:r>
        <w:rPr>
          <w:rFonts w:ascii="Palatino Linotype" w:hAnsi="Palatino Linotype" w:cs="Arial"/>
          <w:lang w:val="es-ES_tradnl"/>
        </w:rPr>
        <w:t>la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3E35D0" w:rsidRDefault="003E35D0">
      <w:pPr>
        <w:ind w:left="851" w:right="899"/>
        <w:jc w:val="both"/>
        <w:rPr>
          <w:rFonts w:ascii="Palatino Linotype" w:hAnsi="Palatino Linotype" w:cs="Arial"/>
          <w:i/>
          <w:sz w:val="22"/>
          <w:szCs w:val="22"/>
        </w:rPr>
      </w:pPr>
    </w:p>
    <w:p w:rsidR="003E35D0" w:rsidRDefault="001916B7">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E35D0" w:rsidRDefault="001916B7">
      <w:pPr>
        <w:ind w:left="851" w:right="899"/>
        <w:jc w:val="both"/>
        <w:rPr>
          <w:rFonts w:ascii="Palatino Linotype" w:hAnsi="Palatino Linotype" w:cs="Arial"/>
          <w:i/>
          <w:sz w:val="22"/>
          <w:szCs w:val="22"/>
        </w:rPr>
      </w:pPr>
      <w:r>
        <w:rPr>
          <w:rFonts w:ascii="Palatino Linotype" w:hAnsi="Palatino Linotype" w:cs="Arial"/>
          <w:i/>
          <w:sz w:val="22"/>
          <w:szCs w:val="22"/>
        </w:rPr>
        <w:t xml:space="preserve">En respuesta a su petición número 00004/SM/IP/2020, a través de la cual solicitó la siguiente información: “…Solicitud de información la cual deberá ser Fidedigna y verdadera. Saber cuales son los motivos y fundamentos para remitir un vehículo de transporte publico a corralon…” (sic); de conformidad con lo dispuesto en los artículos 6 apartado A, 8 y 16 de la Constitución Política de los Estados Unidos Mexicanos; 5 de la Constitución Política del Estado Libre y Soberaneo de México; 1, 2, 3, 15, 19 fracción XVI y 33 de la Ley Orgánica de la Administración Pública del Estado de México; 1, 2, 3, 5, 9 y 10 del Reglamento Interior de la Secretaría de Movilidad del Estado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hago de su conocimiento lo siguiente: El Subsecretario de Movilidad y el Director General de Asuntos Jurídicos </w:t>
      </w:r>
      <w:r>
        <w:rPr>
          <w:rFonts w:ascii="Palatino Linotype" w:hAnsi="Palatino Linotype" w:cs="Arial"/>
          <w:i/>
          <w:sz w:val="22"/>
          <w:szCs w:val="22"/>
        </w:rPr>
        <w:lastRenderedPageBreak/>
        <w:t xml:space="preserve">e Igualdad de Género, informaron a la que suscribe que en el ámbito de competencia de esta Secretaría de Movilidad, el fundamento legal para remitir un vehículo a un depósito vehicular (corralón), son los artículos 7.79 del Código Administrativo del Estado de México y el artículo 132 del Reglamento del Transporte Público y Servicios Conexos del Estado de México; y en segundo lugar, he de mencionar que son variados los motivos por los cuales se pueden remitir los vehículos de transporte público a un depósito vehicular, ya que como se podrá dar cuenta de la lectura que se sirva realizar a los artículos citados con antelación, se trata de una medida de seguridad que se puede imponer por flagrantes violaciones a cualquiera de las disposiciones previstas en el Código Administrativo y las disposiciones que de él emanen, como lo es el Reglamento citado con antelación. De esta manera y para el caso que nos ocupa, la flagrancia es definida por el diccionario de la Real Academia Española como un adjetivo que indica tal evidencia que no necesita pruebas, es decir, que la medida de seguridad consistente en la retención de un vehículo de transporte público se puede dar por una evidente violación a cualquier disposición del Código y del Reglamento de la materia, etc., sin importar la infracción cometida, en consecuencia, no es necesario enlistar todos los motivos que configuran una infracción a dichos ordenamientos legales, sino que basta con que se contravenga cualquiera de estos y que su infracción sea cometida en flagrancia para que se pueda ejecutar legalmente la retención y remisión de un vehículo de transporte público al depósito respectivo. No obstante lo anterior, se debe decir que, a pesar de que los motivos son numerosos, todos estos se encuentran inmersos en el Código Administrativo y el Reglamento del Transporte Público y Servicios Conexos, ambos del Estado de México, en consecuencia, el concesionario para ser considerado como tal, debe dar cumplimiento a diversas obligaciones, dentro de las cuales la primera es prestar el servicio en los términos del Libro Séptimo del Código Administrativo del Estado de México, del Reglamento del Transporte Público y Servicios Conexos del Estado de México y de la concesión respectiva, según lo dispone el artículo 7.26 del Código em comento. Finalmente, se hace extensivo a Usted que si su pretensión es conocer todos los motivos por los cuales se puede cometer una violación al Código y al Reglamento de la materia, deberá dar lectura en su integridad a ambos cuerpos normativos, pues sólo así podrá conocer todas las conductas u omisiones que se actualizan como infracción a los mismos. CÓDIGO ADMINISTRATIVO DEL ESTADO DE MÉXICO. Artículo 7.79.- Las autoridades podrán imponer como medida de seguridad, la retención del vehículo cuando se violen flagrantemente las disposiciones de este Libro y las disposiciones que de él emanen, o bien, cuando los vehículos no se encuentren en condiciones para la prestación del servicio público de transporte o pongan en peligro la seguridad de los usuarios del servicio o de terceros. Artículo 7.26.- Son obligaciones de los concesionarios y permisionarios: I. Prestar el </w:t>
      </w:r>
      <w:r>
        <w:rPr>
          <w:rFonts w:ascii="Palatino Linotype" w:hAnsi="Palatino Linotype" w:cs="Arial"/>
          <w:i/>
          <w:sz w:val="22"/>
          <w:szCs w:val="22"/>
        </w:rPr>
        <w:lastRenderedPageBreak/>
        <w:t>servicio en los términos del presente Libro, de su reglamento y de la concesión o permiso; REGLAMENTO DEL TRANSPORTE PÚBLICO Y SERVICIOS CONEXOS DEL ESTADO DE MÉXICO. ARTICULO 132.- La retención de vehículos de transporte público, se hará en los siguientes casos: I. Cuando exista flagrante violación del concesionario o permisionario que fuere propietario o poseedor del vehículo afecto al servicio, a cualquiera de las disposiciones previstas en el Código y este Reglamento. II. Cuando el vehículo se encuentre prestando servicio público de transporte sin concesión o permiso. III. Cuando el vehículo no se encuentre en condiciones para prestar el servicio o ponga en peligro la seguridad de los usuarios; se entenderán satisfechos los supuestos anteriores cuando el vehículo no satisfaga la norma técnica o no se hubieren cumplido las condiciones previstas en la bitácora de servicio. Por todo lo anteriormente expuesto,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más por el momento, le envío un cordial saludo.” (Sic)</w:t>
      </w:r>
    </w:p>
    <w:p w:rsidR="003E35D0" w:rsidRDefault="003E35D0">
      <w:pPr>
        <w:tabs>
          <w:tab w:val="left" w:pos="709"/>
        </w:tabs>
        <w:spacing w:line="360" w:lineRule="auto"/>
        <w:jc w:val="both"/>
        <w:rPr>
          <w:rFonts w:ascii="Palatino Linotype" w:hAnsi="Palatino Linotype" w:cs="Arial"/>
          <w:b/>
          <w:sz w:val="22"/>
          <w:szCs w:val="22"/>
        </w:rPr>
      </w:pPr>
    </w:p>
    <w:p w:rsidR="003E35D0" w:rsidRDefault="001916B7">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Inconforme </w:t>
      </w:r>
      <w:r>
        <w:rPr>
          <w:rFonts w:ascii="Palatino Linotype" w:hAnsi="Palatino Linotype" w:cs="Arial"/>
        </w:rPr>
        <w:t>con</w:t>
      </w:r>
      <w:r>
        <w:rPr>
          <w:rFonts w:ascii="Palatino Linotype" w:hAnsi="Palatino Linotype"/>
        </w:rPr>
        <w:t xml:space="preserve"> la respuesta proporcionada por el </w:t>
      </w:r>
      <w:r>
        <w:rPr>
          <w:rFonts w:ascii="Palatino Linotype" w:hAnsi="Palatino Linotype"/>
          <w:b/>
        </w:rPr>
        <w:t>SUJETO OBLIGADO</w:t>
      </w:r>
      <w:r>
        <w:rPr>
          <w:rFonts w:ascii="Palatino Linotype" w:hAnsi="Palatino Linotype"/>
        </w:rPr>
        <w:t xml:space="preserve">, en fecha veintinueve de enero de dos mil veinte, </w:t>
      </w:r>
      <w:r>
        <w:rPr>
          <w:rFonts w:ascii="Palatino Linotype" w:hAnsi="Palatino Linotype"/>
          <w:b/>
        </w:rPr>
        <w:t>EL RECURRENTE</w:t>
      </w:r>
      <w:r>
        <w:rPr>
          <w:rFonts w:ascii="Palatino Linotype" w:hAnsi="Palatino Linotype"/>
        </w:rPr>
        <w:t xml:space="preserve">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 xml:space="preserve">número </w:t>
      </w:r>
      <w:r>
        <w:rPr>
          <w:rFonts w:ascii="Palatino Linotype" w:hAnsi="Palatino Linotype" w:cs="Arial"/>
          <w:b/>
        </w:rPr>
        <w:t>00807/INFOEM/IP/RR/2020</w:t>
      </w:r>
      <w:r>
        <w:rPr>
          <w:rFonts w:ascii="Palatino Linotype" w:hAnsi="Palatino Linotype" w:cs="Arial"/>
        </w:rPr>
        <w:t>, en el que señaló como acto impugnado, lo siguiente:</w:t>
      </w:r>
    </w:p>
    <w:p w:rsidR="003E35D0" w:rsidRDefault="001916B7">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“El articulo 132 del reglamento de Transporte Publico y Servicios Conexos del Estado de México es AMBIGUO.”</w:t>
      </w:r>
      <w:r>
        <w:rPr>
          <w:rFonts w:ascii="Palatino Linotype" w:hAnsi="Palatino Linotype" w:cs="Arial"/>
          <w:sz w:val="22"/>
          <w:szCs w:val="22"/>
          <w:lang w:eastAsia="es-MX"/>
        </w:rPr>
        <w:t xml:space="preserve"> (Sic)</w:t>
      </w:r>
    </w:p>
    <w:p w:rsidR="003E35D0" w:rsidRDefault="001916B7">
      <w:pPr>
        <w:spacing w:beforeAutospacing="1" w:afterAutospacing="1" w:line="360" w:lineRule="auto"/>
        <w:jc w:val="both"/>
        <w:rPr>
          <w:rFonts w:ascii="Palatino Linotype" w:hAnsi="Palatino Linotype"/>
        </w:rPr>
      </w:pPr>
      <w:r>
        <w:rPr>
          <w:rFonts w:ascii="Palatino Linotype" w:hAnsi="Palatino Linotype" w:cs="Arial"/>
        </w:rPr>
        <w:lastRenderedPageBreak/>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3E35D0" w:rsidRDefault="001916B7">
      <w:pPr>
        <w:spacing w:beforeAutospacing="1" w:afterAutospacing="1"/>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“El articulo 132 del reglamento de Transporte Publico y Servicios Conexos del Estado de México es AMBIGUO así como si respuesta, por eso solicito que se me especifique cuales son las faltas que realmente ameriten la retención de los vehiculos de transporte publico, o saber si se aplican discrecionalmente y a criterios de los encargados de las visitas, por lo cual reitero que se enlisten las faltas que ameritan la retención del vehículo, por lo cual NO me doy satisfecho con su respuesta.”</w:t>
      </w:r>
      <w:r>
        <w:rPr>
          <w:rFonts w:ascii="Palatino Linotype" w:hAnsi="Palatino Linotype" w:cs="Arial"/>
          <w:sz w:val="22"/>
          <w:szCs w:val="22"/>
          <w:lang w:eastAsia="es-MX"/>
        </w:rPr>
        <w:t>(Sic)</w:t>
      </w:r>
    </w:p>
    <w:p w:rsidR="003E35D0" w:rsidRDefault="001916B7">
      <w:pPr>
        <w:widowControl w:val="0"/>
        <w:numPr>
          <w:ilvl w:val="0"/>
          <w:numId w:val="7"/>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w:t>
      </w:r>
      <w:r>
        <w:rPr>
          <w:rFonts w:ascii="Palatino Linotype" w:hAnsi="Palatino Linotype"/>
        </w:rPr>
        <w:t xml:space="preserve"> veintinueve de enero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3E35D0" w:rsidRDefault="001916B7">
      <w:pPr>
        <w:widowControl w:val="0"/>
        <w:numPr>
          <w:ilvl w:val="0"/>
          <w:numId w:val="7"/>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w:t>
      </w:r>
      <w:r>
        <w:rPr>
          <w:rFonts w:ascii="Palatino Linotype" w:hAnsi="Palatino Linotype"/>
        </w:rPr>
        <w:t xml:space="preserve"> cinco de febrero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3E35D0" w:rsidRDefault="001916B7">
      <w:pPr>
        <w:pStyle w:val="Prrafodelista"/>
        <w:widowControl w:val="0"/>
        <w:numPr>
          <w:ilvl w:val="0"/>
          <w:numId w:val="7"/>
        </w:numPr>
        <w:tabs>
          <w:tab w:val="left" w:pos="360"/>
        </w:tabs>
        <w:spacing w:line="360" w:lineRule="auto"/>
        <w:ind w:left="0" w:firstLine="0"/>
        <w:jc w:val="both"/>
        <w:rPr>
          <w:rFonts w:ascii="Palatino Linotype" w:hAnsi="Palatino Linotype" w:cs="Arial"/>
        </w:rPr>
      </w:pP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eastAsia="Arial Unicode MS" w:hAnsi="Palatino Linotype" w:cs="Arial"/>
        </w:rPr>
        <w:t xml:space="preserve">en fecha catorce de febrero de dos mil veinte, </w:t>
      </w:r>
      <w:r>
        <w:rPr>
          <w:rFonts w:ascii="Palatino Linotype" w:eastAsia="Arial Unicode MS" w:hAnsi="Palatino Linotype" w:cs="Arial"/>
          <w:b/>
          <w:color w:val="000000"/>
          <w:lang w:eastAsia="es-MX"/>
        </w:rPr>
        <w:t xml:space="preserve">EL SUJETO </w:t>
      </w:r>
      <w:r>
        <w:rPr>
          <w:rFonts w:ascii="Palatino Linotype" w:eastAsia="Arial Unicode MS" w:hAnsi="Palatino Linotype" w:cs="Arial"/>
          <w:b/>
          <w:color w:val="000000"/>
          <w:lang w:eastAsia="es-MX"/>
        </w:rPr>
        <w:lastRenderedPageBreak/>
        <w:t>OBLIGADO</w:t>
      </w:r>
      <w:r>
        <w:rPr>
          <w:rFonts w:ascii="Palatino Linotype" w:eastAsia="Arial Unicode MS" w:hAnsi="Palatino Linotype" w:cs="Arial"/>
        </w:rPr>
        <w:t xml:space="preserve"> </w:t>
      </w:r>
      <w:r>
        <w:rPr>
          <w:rFonts w:ascii="Palatino Linotype" w:hAnsi="Palatino Linotype"/>
          <w:lang w:val="es-ES_tradnl"/>
        </w:rPr>
        <w:t>rindió su Informe Justificado adjuntando el archivo electrónico</w:t>
      </w:r>
      <w:r>
        <w:t xml:space="preserve"> </w:t>
      </w:r>
      <w:r>
        <w:rPr>
          <w:rFonts w:ascii="Palatino Linotype" w:hAnsi="Palatino Linotype"/>
          <w:b/>
          <w:i/>
          <w:lang w:val="es-ES_tradnl"/>
        </w:rPr>
        <w:t xml:space="preserve">Informe Justificado Recurso de Revisión 00807_INFOEM_IP_RR_2020.pdf, </w:t>
      </w:r>
      <w:r>
        <w:rPr>
          <w:rFonts w:ascii="Palatino Linotype" w:hAnsi="Palatino Linotype"/>
          <w:lang w:val="es-ES_tradnl"/>
        </w:rPr>
        <w:t xml:space="preserve">mediante el cual, la </w:t>
      </w:r>
      <w:r>
        <w:rPr>
          <w:rFonts w:ascii="Palatino Linotype" w:hAnsi="Palatino Linotype"/>
        </w:rPr>
        <w:t>Jefa de la Unidad de Información, Planeación, Programación y Evaluación y Titular de la Unidad de Transparencia de la Secretaría de Movilidad, refirió que el fundamento legal para remitir un vehículo a un depósito vehicular (corralón), son los artículos 7.79 del Código Administrativo del Estado de México y el artículo 132 del Reglamento del Transporte Público y Servicios Conexos del Estado de México; y en segundo lugar, ha de mencionar que son variados los motivos por los cuales se pueden remitir los vehículos de transporte público a un depósito vehicular, se trata de una medida de seguridad que se puede imponer por flagrantes violaciones a cualquiera de las disposiciones previstas en el Código Administrativo y las disposiciones que de él emanen. Definió la flagrancia y enfatizó que, a pesar de que los motivos son numerosos, todos se encuentran inmersos en el Código Administrativo y el Reglamento del Transporte Público y Servicios Conexos, ambos del Estado de México, en consecuencia, el concesionario para ser considerado como tal, debe dar cumplimiento a diversas obligaciones, dentro de las cuales la primera es prestar el servicio en los términos del Libro Séptimo del Código Administrativo del Estado de México, del Reglamento del Transporte Público y Servicios Conexos del Estado de México y de la concesión respectiva, según lo dispone el artículo 7.26 del Código en  comento y finalmente manifestó que los casos por las cuales un vehículo puede ser remitido al depósito son las contempladas en el artículo 7.84 del Libreo Séptimo del Código Administrativo del Estado de México, ratificando así, su respuesta inicial.</w:t>
      </w:r>
    </w:p>
    <w:p w:rsidR="003E35D0" w:rsidRDefault="003E35D0">
      <w:pPr>
        <w:spacing w:line="360" w:lineRule="auto"/>
        <w:jc w:val="both"/>
        <w:rPr>
          <w:rFonts w:ascii="Palatino Linotype" w:hAnsi="Palatino Linotype" w:cs="Arial"/>
        </w:rPr>
      </w:pPr>
    </w:p>
    <w:p w:rsidR="003E35D0" w:rsidRDefault="001916B7">
      <w:pPr>
        <w:spacing w:line="360" w:lineRule="auto"/>
        <w:jc w:val="both"/>
        <w:rPr>
          <w:rFonts w:ascii="Palatino Linotype" w:eastAsia="Arial Unicode MS" w:hAnsi="Palatino Linotype" w:cs="Arial"/>
          <w:lang w:val="es-ES_tradnl"/>
        </w:rPr>
      </w:pPr>
      <w:r>
        <w:rPr>
          <w:rFonts w:ascii="Palatino Linotype" w:eastAsia="Arial Unicode MS" w:hAnsi="Palatino Linotype" w:cs="Arial"/>
        </w:rPr>
        <w:lastRenderedPageBreak/>
        <w:t>Atento a lo anterior y en razón a que</w:t>
      </w:r>
      <w:r>
        <w:rPr>
          <w:rFonts w:ascii="Palatino Linotype" w:eastAsia="Arial Unicode MS" w:hAnsi="Palatino Linotype" w:cs="Arial"/>
          <w:lang w:val="es-ES_tradnl"/>
        </w:rPr>
        <w:t xml:space="preserve">, no se actualizó lo dispuesto por la fracción III del artículo 185 de la Ley de Transparencia y Acceso a la Información Pública de Estado de México, el Informe Justificado, no fue puesto a la vista del </w:t>
      </w:r>
      <w:r>
        <w:rPr>
          <w:rFonts w:ascii="Palatino Linotype" w:eastAsia="Arial Unicode MS" w:hAnsi="Palatino Linotype" w:cs="Arial"/>
          <w:b/>
          <w:lang w:val="es-ES_tradnl"/>
        </w:rPr>
        <w:t>RECURRENTE</w:t>
      </w:r>
      <w:r>
        <w:rPr>
          <w:rFonts w:ascii="Palatino Linotype" w:eastAsia="Arial Unicode MS" w:hAnsi="Palatino Linotype" w:cs="Arial"/>
          <w:lang w:val="es-ES_tradnl"/>
        </w:rPr>
        <w:t>; sin embrago se plasman en este momento, de manera ilustrativa:</w:t>
      </w:r>
    </w:p>
    <w:p w:rsidR="003E35D0" w:rsidRDefault="004D584E">
      <w:pPr>
        <w:spacing w:line="360" w:lineRule="auto"/>
        <w:jc w:val="both"/>
        <w:rPr>
          <w:rFonts w:ascii="Palatino Linotype" w:eastAsia="Arial Unicode MS" w:hAnsi="Palatino Linotype" w:cs="Arial"/>
          <w:lang w:val="es-ES_tradnl"/>
        </w:rPr>
      </w:pPr>
      <w:r>
        <w:rPr>
          <w:noProof/>
          <w:lang w:eastAsia="es-MX"/>
        </w:rPr>
        <w:drawing>
          <wp:inline distT="0" distB="0" distL="0" distR="0" wp14:anchorId="231B5108" wp14:editId="170A5457">
            <wp:extent cx="5843751" cy="5747654"/>
            <wp:effectExtent l="0" t="0" r="508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4" t="1924" r="2357" b="2421"/>
                    <a:stretch/>
                  </pic:blipFill>
                  <pic:spPr bwMode="auto">
                    <a:xfrm>
                      <a:off x="0" y="0"/>
                      <a:ext cx="5869056" cy="5772543"/>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p w:rsidR="003E35D0" w:rsidRDefault="001916B7">
      <w:pPr>
        <w:spacing w:line="360" w:lineRule="auto"/>
        <w:jc w:val="both"/>
        <w:rPr>
          <w:rFonts w:ascii="Palatino Linotype" w:eastAsia="Arial Unicode MS" w:hAnsi="Palatino Linotype" w:cs="Arial"/>
          <w:lang w:val="es-ES_tradnl"/>
        </w:rPr>
      </w:pPr>
      <w:r>
        <w:rPr>
          <w:noProof/>
          <w:lang w:eastAsia="es-MX"/>
        </w:rPr>
        <w:lastRenderedPageBreak/>
        <w:drawing>
          <wp:inline distT="0" distB="0" distL="0" distR="0">
            <wp:extent cx="5851525" cy="7358380"/>
            <wp:effectExtent l="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pic:cNvPicPr>
                      <a:picLocks noChangeAspect="1" noChangeArrowheads="1"/>
                    </pic:cNvPicPr>
                  </pic:nvPicPr>
                  <pic:blipFill>
                    <a:blip r:embed="rId10"/>
                    <a:srcRect l="30787" t="19897" r="32318" b="13307"/>
                    <a:stretch>
                      <a:fillRect/>
                    </a:stretch>
                  </pic:blipFill>
                  <pic:spPr bwMode="auto">
                    <a:xfrm>
                      <a:off x="0" y="0"/>
                      <a:ext cx="5851525" cy="7358380"/>
                    </a:xfrm>
                    <a:prstGeom prst="rect">
                      <a:avLst/>
                    </a:prstGeom>
                  </pic:spPr>
                </pic:pic>
              </a:graphicData>
            </a:graphic>
          </wp:inline>
        </w:drawing>
      </w:r>
    </w:p>
    <w:p w:rsidR="003E35D0" w:rsidRDefault="001916B7">
      <w:pPr>
        <w:tabs>
          <w:tab w:val="center" w:pos="4252"/>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784215" cy="739013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1"/>
                    <a:srcRect l="31030" t="15851" r="31831" b="16772"/>
                    <a:stretch>
                      <a:fillRect/>
                    </a:stretch>
                  </pic:blipFill>
                  <pic:spPr bwMode="auto">
                    <a:xfrm>
                      <a:off x="0" y="0"/>
                      <a:ext cx="5784215" cy="7390130"/>
                    </a:xfrm>
                    <a:prstGeom prst="rect">
                      <a:avLst/>
                    </a:prstGeom>
                  </pic:spPr>
                </pic:pic>
              </a:graphicData>
            </a:graphic>
          </wp:inline>
        </w:drawing>
      </w:r>
    </w:p>
    <w:p w:rsidR="003E35D0" w:rsidRDefault="001916B7">
      <w:pPr>
        <w:tabs>
          <w:tab w:val="center" w:pos="4252"/>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787390" cy="7519670"/>
            <wp:effectExtent l="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pic:cNvPicPr>
                      <a:picLocks noChangeAspect="1" noChangeArrowheads="1"/>
                    </pic:cNvPicPr>
                  </pic:nvPicPr>
                  <pic:blipFill>
                    <a:blip r:embed="rId12"/>
                    <a:srcRect l="30842" t="18829" r="32385" b="13548"/>
                    <a:stretch>
                      <a:fillRect/>
                    </a:stretch>
                  </pic:blipFill>
                  <pic:spPr bwMode="auto">
                    <a:xfrm>
                      <a:off x="0" y="0"/>
                      <a:ext cx="5787390" cy="7519670"/>
                    </a:xfrm>
                    <a:prstGeom prst="rect">
                      <a:avLst/>
                    </a:prstGeom>
                  </pic:spPr>
                </pic:pic>
              </a:graphicData>
            </a:graphic>
          </wp:inline>
        </w:drawing>
      </w:r>
    </w:p>
    <w:p w:rsidR="003E35D0" w:rsidRDefault="001916B7">
      <w:pPr>
        <w:tabs>
          <w:tab w:val="center" w:pos="4252"/>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808345" cy="739013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3"/>
                    <a:srcRect l="30288" t="15861" r="31809" b="16521"/>
                    <a:stretch>
                      <a:fillRect/>
                    </a:stretch>
                  </pic:blipFill>
                  <pic:spPr bwMode="auto">
                    <a:xfrm>
                      <a:off x="0" y="0"/>
                      <a:ext cx="5808345" cy="7390130"/>
                    </a:xfrm>
                    <a:prstGeom prst="rect">
                      <a:avLst/>
                    </a:prstGeom>
                  </pic:spPr>
                </pic:pic>
              </a:graphicData>
            </a:graphic>
          </wp:inline>
        </w:drawing>
      </w:r>
    </w:p>
    <w:p w:rsidR="003E35D0" w:rsidRDefault="001916B7">
      <w:pPr>
        <w:tabs>
          <w:tab w:val="center" w:pos="4252"/>
          <w:tab w:val="left" w:pos="6237"/>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776595" cy="7487285"/>
            <wp:effectExtent l="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2"/>
                    <pic:cNvPicPr>
                      <a:picLocks noChangeAspect="1" noChangeArrowheads="1"/>
                    </pic:cNvPicPr>
                  </pic:nvPicPr>
                  <pic:blipFill>
                    <a:blip r:embed="rId14"/>
                    <a:srcRect l="30281" t="18578" r="32012" b="14296"/>
                    <a:stretch>
                      <a:fillRect/>
                    </a:stretch>
                  </pic:blipFill>
                  <pic:spPr bwMode="auto">
                    <a:xfrm>
                      <a:off x="0" y="0"/>
                      <a:ext cx="5776595" cy="7487285"/>
                    </a:xfrm>
                    <a:prstGeom prst="rect">
                      <a:avLst/>
                    </a:prstGeom>
                  </pic:spPr>
                </pic:pic>
              </a:graphicData>
            </a:graphic>
          </wp:inline>
        </w:drawing>
      </w:r>
    </w:p>
    <w:p w:rsidR="003E35D0" w:rsidRDefault="003E35D0">
      <w:pPr>
        <w:tabs>
          <w:tab w:val="center" w:pos="4252"/>
          <w:tab w:val="right" w:pos="8504"/>
        </w:tabs>
        <w:spacing w:line="360" w:lineRule="auto"/>
        <w:jc w:val="both"/>
        <w:rPr>
          <w:rFonts w:ascii="Palatino Linotype" w:eastAsia="MS Mincho" w:hAnsi="Palatino Linotype"/>
          <w:lang w:eastAsia="es-MX"/>
        </w:rPr>
      </w:pPr>
    </w:p>
    <w:p w:rsidR="003E35D0" w:rsidRDefault="001916B7">
      <w:pPr>
        <w:tabs>
          <w:tab w:val="center" w:pos="4252"/>
          <w:tab w:val="right" w:pos="8504"/>
        </w:tabs>
        <w:spacing w:line="360" w:lineRule="auto"/>
        <w:jc w:val="both"/>
        <w:rPr>
          <w:rFonts w:ascii="Palatino Linotype" w:eastAsia="MS Mincho" w:hAnsi="Palatino Linotype"/>
          <w:lang w:eastAsia="es-MX"/>
        </w:rPr>
      </w:pPr>
      <w:r>
        <w:rPr>
          <w:noProof/>
          <w:lang w:eastAsia="es-MX"/>
        </w:rPr>
        <w:drawing>
          <wp:inline distT="0" distB="0" distL="0" distR="0">
            <wp:extent cx="5765800" cy="7068185"/>
            <wp:effectExtent l="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pic:cNvPicPr>
                      <a:picLocks noChangeAspect="1" noChangeArrowheads="1"/>
                    </pic:cNvPicPr>
                  </pic:nvPicPr>
                  <pic:blipFill>
                    <a:blip r:embed="rId15"/>
                    <a:srcRect l="30842" t="26501" r="32388" b="6127"/>
                    <a:stretch>
                      <a:fillRect/>
                    </a:stretch>
                  </pic:blipFill>
                  <pic:spPr bwMode="auto">
                    <a:xfrm>
                      <a:off x="0" y="0"/>
                      <a:ext cx="5765800" cy="7068185"/>
                    </a:xfrm>
                    <a:prstGeom prst="rect">
                      <a:avLst/>
                    </a:prstGeom>
                  </pic:spPr>
                </pic:pic>
              </a:graphicData>
            </a:graphic>
          </wp:inline>
        </w:drawing>
      </w:r>
    </w:p>
    <w:p w:rsidR="003E35D0" w:rsidRDefault="001916B7">
      <w:pPr>
        <w:tabs>
          <w:tab w:val="center" w:pos="4252"/>
          <w:tab w:val="right" w:pos="8504"/>
        </w:tabs>
        <w:spacing w:line="360" w:lineRule="auto"/>
        <w:jc w:val="both"/>
        <w:rPr>
          <w:rFonts w:ascii="Palatino Linotype" w:eastAsia="Arial Unicode MS" w:hAnsi="Palatino Linotype" w:cs="Arial"/>
          <w:lang w:val="es-ES_tradnl"/>
        </w:rPr>
      </w:pPr>
      <w:r>
        <w:rPr>
          <w:rFonts w:ascii="Palatino Linotype" w:eastAsia="MS Mincho" w:hAnsi="Palatino Linotype"/>
          <w:lang w:eastAsia="es-MX"/>
        </w:rPr>
        <w:lastRenderedPageBreak/>
        <w:t xml:space="preserve">Por su parte, </w:t>
      </w:r>
      <w:r>
        <w:rPr>
          <w:rFonts w:ascii="Palatino Linotype" w:eastAsia="MS Mincho" w:hAnsi="Palatino Linotype"/>
          <w:b/>
          <w:lang w:eastAsia="es-MX"/>
        </w:rPr>
        <w:t xml:space="preserve">EL RECURRENTE </w:t>
      </w:r>
      <w:r>
        <w:rPr>
          <w:rFonts w:ascii="Palatino Linotype" w:eastAsia="MS Mincho" w:hAnsi="Palatino Linotype"/>
          <w:lang w:eastAsia="es-MX"/>
        </w:rPr>
        <w:t>no realizó manifiestación alguna,</w:t>
      </w:r>
      <w:r>
        <w:rPr>
          <w:rFonts w:ascii="Palatino Linotype" w:eastAsia="Arial Unicode MS" w:hAnsi="Palatino Linotype" w:cs="Arial"/>
          <w:lang w:val="es-ES_tradnl"/>
        </w:rPr>
        <w:t xml:space="preserve"> ni presentó pruebas o alegatos que a su derecho convinieran.</w:t>
      </w:r>
      <w:r>
        <w:rPr>
          <w:rFonts w:ascii="Palatino Linotype" w:hAnsi="Palatino Linotype"/>
        </w:rPr>
        <w:tab/>
      </w:r>
    </w:p>
    <w:p w:rsidR="003E35D0" w:rsidRDefault="001916B7">
      <w:pPr>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w:t>
      </w:r>
      <w:r w:rsidR="00C45F81">
        <w:rPr>
          <w:rFonts w:ascii="Palatino Linotype" w:hAnsi="Palatino Linotype" w:cs="Arial"/>
        </w:rPr>
        <w:t>tres de agosto</w:t>
      </w:r>
      <w:r>
        <w:rPr>
          <w:rFonts w:ascii="Palatino Linotype" w:hAnsi="Palatino Linotype" w:cs="Arial"/>
        </w:rPr>
        <w:t xml:space="preserve">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3E35D0" w:rsidRDefault="001916B7">
      <w:pPr>
        <w:numPr>
          <w:ilvl w:val="0"/>
          <w:numId w:val="2"/>
        </w:numPr>
        <w:tabs>
          <w:tab w:val="left" w:pos="426"/>
        </w:tabs>
        <w:spacing w:before="240" w:after="240" w:line="360" w:lineRule="auto"/>
        <w:ind w:left="0" w:firstLine="0"/>
        <w:jc w:val="both"/>
        <w:rPr>
          <w:rFonts w:ascii="Palatino Linotype" w:hAnsi="Palatino Linotype"/>
        </w:rPr>
      </w:pPr>
      <w:r>
        <w:rPr>
          <w:rFonts w:ascii="Palatino Linotype" w:hAnsi="Palatino Linotype" w:cs="Arial"/>
        </w:rPr>
        <w:t>El veinte de abril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bookmarkStart w:id="3" w:name="_Ref507070922"/>
      <w:bookmarkEnd w:id="3"/>
    </w:p>
    <w:p w:rsidR="003E35D0" w:rsidRDefault="001916B7">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3E35D0" w:rsidRDefault="001916B7">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w:t>
      </w:r>
      <w:r>
        <w:rPr>
          <w:rFonts w:ascii="Palatino Linotype" w:hAnsi="Palatino Linotype" w:cs="Arial"/>
        </w:rPr>
        <w:t>Transparencia</w:t>
      </w:r>
      <w:r>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Pr>
          <w:rFonts w:ascii="Palatino Linotype" w:eastAsia="Calibri" w:hAnsi="Palatino Linotype" w:cs="Arial"/>
        </w:rPr>
        <w:t xml:space="preserve">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rPr>
        <w:t xml:space="preserve">; y 9, fracciones I </w:t>
      </w:r>
      <w:r>
        <w:rPr>
          <w:rFonts w:ascii="Palatino Linotype" w:hAnsi="Palatino Linotype" w:cs="Arial"/>
        </w:rPr>
        <w:lastRenderedPageBreak/>
        <w:t>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3E35D0" w:rsidRDefault="001916B7">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w:t>
      </w:r>
      <w:r>
        <w:rPr>
          <w:rFonts w:ascii="Palatino Linotype" w:hAnsi="Palatino Linotype" w:cs="Arial"/>
          <w:b/>
          <w:color w:val="000000" w:themeColor="text1"/>
        </w:rPr>
        <w:t>Interés.</w:t>
      </w:r>
      <w:r>
        <w:rPr>
          <w:rFonts w:ascii="Palatino Linotype" w:hAnsi="Palatino Linotype" w:cs="Arial"/>
          <w:color w:val="000000" w:themeColor="text1"/>
        </w:rPr>
        <w:t xml:space="preserve"> El </w:t>
      </w:r>
      <w:r>
        <w:rPr>
          <w:rFonts w:ascii="Palatino Linotype" w:hAnsi="Palatino Linotype"/>
          <w:color w:val="000000" w:themeColor="text1"/>
        </w:rPr>
        <w:t>recurso</w:t>
      </w:r>
      <w:r>
        <w:rPr>
          <w:rFonts w:ascii="Palatino Linotype" w:hAnsi="Palatino Linotype" w:cs="Arial"/>
          <w:color w:val="000000" w:themeColor="text1"/>
        </w:rPr>
        <w:t xml:space="preserve"> de revisión fue </w:t>
      </w:r>
      <w:r>
        <w:rPr>
          <w:rFonts w:ascii="Palatino Linotype" w:hAnsi="Palatino Linotype"/>
          <w:color w:val="000000" w:themeColor="text1"/>
        </w:rPr>
        <w:t>interpuesto</w:t>
      </w:r>
      <w:r>
        <w:rPr>
          <w:rFonts w:ascii="Palatino Linotype" w:hAnsi="Palatino Linotype" w:cs="Arial"/>
          <w:color w:val="000000" w:themeColor="text1"/>
        </w:rPr>
        <w:t xml:space="preserve"> por parte legítima en atención a que fue </w:t>
      </w:r>
      <w:r>
        <w:rPr>
          <w:rFonts w:ascii="Palatino Linotype" w:hAnsi="Palatino Linotype"/>
          <w:color w:val="000000" w:themeColor="text1"/>
        </w:rPr>
        <w:t>presentado</w:t>
      </w:r>
      <w:r>
        <w:rPr>
          <w:rFonts w:ascii="Palatino Linotype" w:hAnsi="Palatino Linotype" w:cs="Arial"/>
          <w:color w:val="000000" w:themeColor="text1"/>
        </w:rPr>
        <w:t xml:space="preserve"> por </w:t>
      </w:r>
      <w:r>
        <w:rPr>
          <w:rFonts w:ascii="Palatino Linotype" w:hAnsi="Palatino Linotype" w:cs="Arial"/>
          <w:b/>
          <w:color w:val="000000" w:themeColor="text1"/>
        </w:rPr>
        <w:t>EL RECURRENTE</w:t>
      </w:r>
      <w:r>
        <w:rPr>
          <w:rFonts w:ascii="Palatino Linotype" w:hAnsi="Palatino Linotype" w:cs="Arial"/>
          <w:color w:val="000000" w:themeColor="text1"/>
        </w:rPr>
        <w:t xml:space="preserve">, quien </w:t>
      </w:r>
      <w:r>
        <w:rPr>
          <w:rFonts w:ascii="Palatino Linotype" w:hAnsi="Palatino Linotype"/>
          <w:color w:val="000000" w:themeColor="text1"/>
        </w:rPr>
        <w:t>formuló</w:t>
      </w:r>
      <w:r>
        <w:rPr>
          <w:rFonts w:ascii="Palatino Linotype" w:hAnsi="Palatino Linotype" w:cs="Arial"/>
          <w:color w:val="000000" w:themeColor="text1"/>
        </w:rPr>
        <w:t xml:space="preserve"> la solicitud de información pública </w:t>
      </w:r>
      <w:r>
        <w:rPr>
          <w:rFonts w:ascii="Palatino Linotype" w:hAnsi="Palatino Linotype"/>
          <w:color w:val="000000" w:themeColor="text1"/>
        </w:rPr>
        <w:t>número</w:t>
      </w:r>
      <w:r>
        <w:rPr>
          <w:rFonts w:ascii="Verdana" w:hAnsi="Verdana"/>
          <w:b/>
          <w:bCs/>
          <w:color w:val="FF0000"/>
        </w:rPr>
        <w:t xml:space="preserve"> </w:t>
      </w:r>
      <w:r>
        <w:rPr>
          <w:rFonts w:ascii="Palatino Linotype" w:hAnsi="Palatino Linotype"/>
          <w:b/>
          <w:bCs/>
          <w:color w:val="000000" w:themeColor="text1"/>
        </w:rPr>
        <w:t>00004/SM/IP/2020</w:t>
      </w:r>
      <w:r>
        <w:rPr>
          <w:rFonts w:ascii="Palatino Linotype" w:hAnsi="Palatino Linotype" w:cs="Arial"/>
          <w:color w:val="000000" w:themeColor="text1"/>
          <w:lang w:val="es-ES_tradnl"/>
        </w:rPr>
        <w:t>.</w:t>
      </w:r>
    </w:p>
    <w:p w:rsidR="003E35D0" w:rsidRDefault="001916B7">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3E35D0" w:rsidRDefault="003E35D0">
      <w:pPr>
        <w:ind w:left="851" w:right="902"/>
        <w:jc w:val="both"/>
        <w:rPr>
          <w:rFonts w:ascii="Palatino Linotype" w:eastAsiaTheme="minorEastAsia" w:hAnsi="Palatino Linotype" w:cs="Arial"/>
          <w:szCs w:val="20"/>
          <w:lang w:val="es-ES_tradnl"/>
        </w:rPr>
      </w:pPr>
    </w:p>
    <w:p w:rsidR="003E35D0" w:rsidRDefault="001916B7">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E35D0" w:rsidRDefault="001916B7">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E35D0" w:rsidRDefault="001916B7">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3E35D0" w:rsidRDefault="003E35D0">
      <w:pPr>
        <w:ind w:left="851" w:right="902"/>
        <w:jc w:val="both"/>
        <w:rPr>
          <w:rFonts w:ascii="Palatino Linotype" w:eastAsiaTheme="minorEastAsia" w:hAnsi="Palatino Linotype" w:cs="Arial"/>
          <w:szCs w:val="20"/>
          <w:lang w:val="es-ES_tradnl"/>
        </w:rPr>
      </w:pPr>
    </w:p>
    <w:p w:rsidR="003E35D0" w:rsidRDefault="001916B7">
      <w:pPr>
        <w:spacing w:line="360" w:lineRule="auto"/>
        <w:jc w:val="both"/>
        <w:rPr>
          <w:rFonts w:ascii="Palatino Linotype" w:hAnsi="Palatino Linotype" w:cs="Arial"/>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veintinueve de enero de dos mil veinte; </w:t>
      </w:r>
      <w:r>
        <w:rPr>
          <w:rFonts w:ascii="Palatino Linotype" w:hAnsi="Palatino Linotype" w:cs="Arial"/>
        </w:rPr>
        <w:t xml:space="preserve">en consecuencia, el </w:t>
      </w:r>
      <w:r>
        <w:rPr>
          <w:rFonts w:ascii="Palatino Linotype" w:hAnsi="Palatino Linotype" w:cs="Arial"/>
        </w:rPr>
        <w:lastRenderedPageBreak/>
        <w:t xml:space="preserve">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rPr>
          <w:rFonts w:ascii="Palatino Linotype" w:hAnsi="Palatino Linotype" w:cs="Arial"/>
          <w:b/>
        </w:rPr>
        <w:t xml:space="preserve"> treinta de enero al veinte de febrero de dos mil veinte</w:t>
      </w:r>
      <w:r>
        <w:rPr>
          <w:rFonts w:ascii="Palatino Linotype" w:hAnsi="Palatino Linotype" w:cs="Arial"/>
        </w:rPr>
        <w:t xml:space="preserve">, sin contemplar en el cómputo los días uno, dos, ocho, nueve, quince y dieciséis de febrero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así como el día tres de febrero de dos mil veinte, por suspensión de labores en el Instituto,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3E35D0" w:rsidRDefault="003E35D0">
      <w:pPr>
        <w:spacing w:line="360" w:lineRule="auto"/>
        <w:jc w:val="both"/>
        <w:rPr>
          <w:rFonts w:ascii="Palatino Linotype" w:hAnsi="Palatino Linotype"/>
        </w:rPr>
      </w:pPr>
    </w:p>
    <w:p w:rsidR="003E35D0" w:rsidRDefault="001916B7">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veintinueve de enero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3E35D0" w:rsidRDefault="003E35D0">
      <w:pPr>
        <w:spacing w:line="360" w:lineRule="auto"/>
        <w:jc w:val="both"/>
        <w:rPr>
          <w:rFonts w:ascii="Palatino Linotype" w:eastAsiaTheme="minorEastAsia" w:hAnsi="Palatino Linotype" w:cs="Arial"/>
          <w:lang w:val="es-ES_tradnl"/>
        </w:rPr>
      </w:pPr>
    </w:p>
    <w:p w:rsidR="003E35D0" w:rsidRDefault="001916B7">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szCs w:val="28"/>
        </w:rPr>
        <w:t xml:space="preserve">Procedibilidad. </w:t>
      </w:r>
      <w:r>
        <w:rPr>
          <w:rFonts w:ascii="Palatino Linotype" w:hAnsi="Palatino Linotype" w:cs="Arial"/>
        </w:rPr>
        <w:t>Del análisis efectuado, se advierte la procedibilidad del presente recurso de revisión, en razón de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r>
        <w:rPr>
          <w:rFonts w:ascii="Palatino Linotype" w:hAnsi="Palatino Linotype"/>
        </w:rPr>
        <w:t>.</w:t>
      </w:r>
    </w:p>
    <w:p w:rsidR="003E35D0" w:rsidRDefault="003E35D0">
      <w:pPr>
        <w:pStyle w:val="Prrafodelista"/>
        <w:widowControl w:val="0"/>
        <w:tabs>
          <w:tab w:val="left" w:pos="1701"/>
          <w:tab w:val="left" w:pos="1843"/>
        </w:tabs>
        <w:spacing w:line="360" w:lineRule="auto"/>
        <w:ind w:left="0"/>
        <w:jc w:val="both"/>
        <w:rPr>
          <w:rFonts w:ascii="Palatino Linotype" w:hAnsi="Palatino Linotype" w:cs="Arial"/>
        </w:rPr>
      </w:pPr>
    </w:p>
    <w:p w:rsidR="003E35D0" w:rsidRDefault="001916B7">
      <w:pPr>
        <w:pStyle w:val="Prrafodelista"/>
        <w:widowControl w:val="0"/>
        <w:numPr>
          <w:ilvl w:val="0"/>
          <w:numId w:val="1"/>
        </w:numPr>
        <w:tabs>
          <w:tab w:val="left" w:pos="1276"/>
        </w:tabs>
        <w:spacing w:line="360" w:lineRule="auto"/>
        <w:ind w:left="0" w:firstLine="0"/>
        <w:contextualSpacing/>
        <w:jc w:val="both"/>
        <w:rPr>
          <w:rFonts w:ascii="Palatino Linotype" w:hAnsi="Palatino Linotype" w:cs="Arial"/>
          <w:sz w:val="22"/>
          <w:szCs w:val="22"/>
          <w:lang w:eastAsia="es-MX"/>
        </w:rPr>
      </w:pPr>
      <w:bookmarkStart w:id="4" w:name="_Ref3465962"/>
      <w:r>
        <w:rPr>
          <w:rFonts w:ascii="Palatino Linotype" w:hAnsi="Palatino Linotype" w:cs="Arial"/>
          <w:b/>
        </w:rPr>
        <w:t>Estudio y resolución del asunto.</w:t>
      </w:r>
      <w:r>
        <w:rPr>
          <w:rFonts w:ascii="Palatino Linotype" w:hAnsi="Palatino Linotype" w:cs="Arial"/>
        </w:rPr>
        <w:t xml:space="preserve"> </w:t>
      </w:r>
      <w:bookmarkEnd w:id="4"/>
      <w:r>
        <w:rPr>
          <w:rFonts w:ascii="Palatino Linotype" w:hAnsi="Palatino Linotype" w:cs="Arial"/>
        </w:rPr>
        <w:t xml:space="preserve">Del análisis efectuado se advierte que el </w:t>
      </w:r>
      <w:r>
        <w:rPr>
          <w:rFonts w:ascii="Palatino Linotype" w:hAnsi="Palatino Linotype" w:cs="Arial"/>
        </w:rPr>
        <w:lastRenderedPageBreak/>
        <w:t>recurso de revisión de que se trata es procedente; toda vez, que se actualiza la hipótesis prevista en la fracción V del artículo 179 de la Ley de la materia, que a la letra indica:</w:t>
      </w:r>
    </w:p>
    <w:p w:rsidR="003E35D0" w:rsidRDefault="003E35D0">
      <w:pPr>
        <w:spacing w:line="276" w:lineRule="auto"/>
        <w:ind w:left="709" w:right="709"/>
        <w:jc w:val="both"/>
        <w:rPr>
          <w:rFonts w:ascii="Palatino Linotype" w:hAnsi="Palatino Linotype" w:cs="Arial"/>
          <w:bCs/>
          <w:i/>
          <w:sz w:val="22"/>
          <w:szCs w:val="22"/>
        </w:rPr>
      </w:pPr>
    </w:p>
    <w:p w:rsidR="003E35D0" w:rsidRDefault="001916B7">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3E35D0" w:rsidRDefault="001916B7">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3E35D0" w:rsidRDefault="001916B7">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V. La entrega de información incompleta;</w:t>
      </w:r>
    </w:p>
    <w:p w:rsidR="003E35D0" w:rsidRDefault="001916B7">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w:t>
      </w:r>
    </w:p>
    <w:p w:rsidR="003E35D0" w:rsidRDefault="003E35D0">
      <w:pPr>
        <w:spacing w:line="276" w:lineRule="auto"/>
        <w:ind w:left="709" w:right="709"/>
        <w:jc w:val="both"/>
        <w:rPr>
          <w:rFonts w:ascii="Palatino Linotype" w:hAnsi="Palatino Linotype" w:cs="Arial"/>
          <w:b/>
          <w:bCs/>
          <w:i/>
          <w:sz w:val="22"/>
          <w:szCs w:val="22"/>
        </w:rPr>
      </w:pPr>
    </w:p>
    <w:p w:rsidR="003E35D0" w:rsidRDefault="001916B7">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3E35D0" w:rsidRDefault="001916B7">
      <w:pPr>
        <w:widowControl w:val="0"/>
        <w:spacing w:before="200" w:after="200" w:line="360" w:lineRule="auto"/>
        <w:jc w:val="both"/>
        <w:rPr>
          <w:rFonts w:ascii="Palatino Linotype" w:hAnsi="Palatino Linotype" w:cs="Arial"/>
        </w:rPr>
      </w:pPr>
      <w:r>
        <w:rPr>
          <w:rFonts w:ascii="Palatino Linotype" w:hAnsi="Palatino Linotype" w:cs="Arial"/>
        </w:rPr>
        <w:t>El precepto legal antes citado, establece como supuestos de procedencia del recurso de revisión, la entrega de información incompleta, tal como señaló el hoy particular, al señalar la ambigüedad y su inconformarían con la respuesta, situación que se analizara más adelante.</w:t>
      </w:r>
    </w:p>
    <w:p w:rsidR="003E35D0" w:rsidRDefault="001916B7">
      <w:pPr>
        <w:widowControl w:val="0"/>
        <w:tabs>
          <w:tab w:val="left" w:pos="1701"/>
          <w:tab w:val="left" w:pos="1843"/>
        </w:tabs>
        <w:spacing w:beforeAutospacing="1" w:afterAutospacing="1" w:line="360" w:lineRule="auto"/>
        <w:contextualSpacing/>
        <w:jc w:val="both"/>
        <w:rPr>
          <w:rFonts w:ascii="Palatino Linotype" w:hAnsi="Palatino Linotype"/>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 solicitud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EL SAIMEX</w:t>
      </w:r>
      <w:r>
        <w:rPr>
          <w:rFonts w:ascii="Palatino Linotype" w:hAnsi="Palatino Linotype" w:cs="Arial"/>
        </w:rPr>
        <w:t>,</w:t>
      </w:r>
      <w:r>
        <w:rPr>
          <w:rFonts w:ascii="Palatino Linotype" w:hAnsi="Palatino Linotype"/>
        </w:rPr>
        <w:t xml:space="preserve"> lo siguiente:</w:t>
      </w:r>
    </w:p>
    <w:p w:rsidR="003E35D0" w:rsidRDefault="001916B7">
      <w:pPr>
        <w:pStyle w:val="Prrafodelista"/>
        <w:widowControl w:val="0"/>
        <w:numPr>
          <w:ilvl w:val="0"/>
          <w:numId w:val="5"/>
        </w:numPr>
        <w:tabs>
          <w:tab w:val="left" w:pos="1701"/>
          <w:tab w:val="left" w:pos="1843"/>
        </w:tabs>
        <w:spacing w:beforeAutospacing="1" w:afterAutospacing="1" w:line="360" w:lineRule="auto"/>
        <w:contextualSpacing/>
        <w:jc w:val="both"/>
        <w:rPr>
          <w:rFonts w:ascii="Palatino Linotype" w:hAnsi="Palatino Linotype" w:cs="Arial"/>
          <w:b/>
        </w:rPr>
      </w:pPr>
      <w:r>
        <w:rPr>
          <w:rFonts w:ascii="Palatino Linotype" w:hAnsi="Palatino Linotype" w:cs="Arial"/>
          <w:b/>
        </w:rPr>
        <w:t>Cuáles son los motivos y fundamentos para remitir un vehículo de transporte público al corralón.</w:t>
      </w:r>
    </w:p>
    <w:p w:rsidR="003E35D0" w:rsidRDefault="001916B7">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pretendió dar repuesta</w:t>
      </w:r>
      <w:r>
        <w:rPr>
          <w:rFonts w:ascii="Palatino Linotype" w:hAnsi="Palatino Linotype" w:cs="Arial"/>
          <w:b/>
        </w:rPr>
        <w:t xml:space="preserve"> </w:t>
      </w:r>
      <w:r>
        <w:rPr>
          <w:rFonts w:ascii="Palatino Linotype" w:hAnsi="Palatino Linotype" w:cs="Arial"/>
        </w:rPr>
        <w:t xml:space="preserve">a lo solicitado por el particular, describiendo lo señalado en el resultando </w:t>
      </w:r>
      <w:r>
        <w:rPr>
          <w:rFonts w:ascii="Palatino Linotype" w:hAnsi="Palatino Linotype" w:cs="Arial"/>
          <w:b/>
        </w:rPr>
        <w:t>III</w:t>
      </w:r>
      <w:r>
        <w:rPr>
          <w:rFonts w:ascii="Palatino Linotype" w:hAnsi="Palatino Linotype" w:cs="Arial"/>
        </w:rPr>
        <w:t>.</w:t>
      </w:r>
    </w:p>
    <w:p w:rsidR="003E35D0" w:rsidRDefault="003E35D0">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3E35D0" w:rsidRDefault="001916B7">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Inconforme con la respuesta,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szCs w:val="21"/>
        </w:rPr>
        <w:t>interponer</w:t>
      </w:r>
      <w:r>
        <w:rPr>
          <w:rFonts w:ascii="Palatino Linotype" w:hAnsi="Palatino Linotype" w:cs="Arial"/>
        </w:rPr>
        <w:t xml:space="preserve"> el </w:t>
      </w:r>
      <w:r>
        <w:rPr>
          <w:rFonts w:ascii="Palatino Linotype" w:hAnsi="Palatino Linotype" w:cs="Arial"/>
        </w:rPr>
        <w:lastRenderedPageBreak/>
        <w:t>presente recurso de revisión, señalando tanto en acto impugnado, así como en sus razones o motivos de inconformidad, que la respuesta es ambigua y que no se le había entregado en su totalidad.</w:t>
      </w:r>
    </w:p>
    <w:p w:rsidR="003E35D0" w:rsidRDefault="003E35D0">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3E35D0" w:rsidRDefault="001916B7">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Por otra parte, de las </w:t>
      </w:r>
      <w:r>
        <w:rPr>
          <w:rFonts w:ascii="Palatino Linotype" w:hAnsi="Palatino Linotype"/>
          <w:szCs w:val="21"/>
        </w:rPr>
        <w:t>constancias</w:t>
      </w:r>
      <w:r>
        <w:rPr>
          <w:rFonts w:ascii="Palatino Linotype" w:hAnsi="Palatino Linotype" w:cs="Arial"/>
        </w:rPr>
        <w:t xml:space="preserve">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RECURRENTE</w:t>
      </w:r>
      <w:r>
        <w:rPr>
          <w:rFonts w:ascii="Palatino Linotype" w:hAnsi="Palatino Linotype" w:cs="Arial"/>
        </w:rPr>
        <w:t xml:space="preserve"> no realizó manifestaciones o alegatos, ni ofreció los medios de prueba que a su derecho conviniera, mientras que </w:t>
      </w:r>
      <w:r>
        <w:rPr>
          <w:rFonts w:ascii="Palatino Linotype" w:hAnsi="Palatino Linotype" w:cs="Arial"/>
          <w:b/>
        </w:rPr>
        <w:t>EL SUJETO OBLIGADO</w:t>
      </w:r>
      <w:r>
        <w:rPr>
          <w:rFonts w:ascii="Palatino Linotype" w:hAnsi="Palatino Linotype" w:cs="Arial"/>
        </w:rPr>
        <w:t xml:space="preserve">, mediante Informe Justificado </w:t>
      </w:r>
      <w:r>
        <w:rPr>
          <w:rFonts w:ascii="Palatino Linotype" w:hAnsi="Palatino Linotype"/>
          <w:szCs w:val="21"/>
        </w:rPr>
        <w:t>ratificó su respuesta inicial.</w:t>
      </w:r>
    </w:p>
    <w:p w:rsidR="003E35D0" w:rsidRDefault="003E35D0">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3E35D0" w:rsidRDefault="001916B7">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rPr>
        <w:t xml:space="preserve">Bajo ese contexto, este Instituto analizó la totalidad de constancias que integran el expediente electrónico del </w:t>
      </w:r>
      <w:r>
        <w:rPr>
          <w:rFonts w:ascii="Palatino Linotype" w:hAnsi="Palatino Linotype"/>
          <w:b/>
        </w:rPr>
        <w:t>SAIMEX</w:t>
      </w:r>
      <w:r>
        <w:rPr>
          <w:rFonts w:ascii="Palatino Linotype" w:hAnsi="Palatino Linotype"/>
        </w:rPr>
        <w:t xml:space="preserve"> y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infundados</w:t>
      </w:r>
      <w:r>
        <w:rPr>
          <w:rFonts w:ascii="Palatino Linotype" w:hAnsi="Palatino Linotype"/>
        </w:rPr>
        <w:t xml:space="preserve">, </w:t>
      </w:r>
      <w:r>
        <w:rPr>
          <w:rFonts w:ascii="Palatino Linotype" w:hAnsi="Palatino Linotype" w:cs="Arial"/>
        </w:rPr>
        <w:t>de acuerdo a las consideraciones de hecho y de derecho que a continuación se desagregan.</w:t>
      </w:r>
    </w:p>
    <w:p w:rsidR="003E35D0" w:rsidRDefault="001916B7">
      <w:pPr>
        <w:spacing w:beforeAutospacing="1" w:afterAutospacing="1" w:line="360" w:lineRule="auto"/>
        <w:jc w:val="both"/>
        <w:rPr>
          <w:rFonts w:ascii="Palatino Linotype" w:eastAsia="Calibri" w:hAnsi="Palatino Linotype" w:cs="Arial"/>
        </w:rPr>
      </w:pPr>
      <w:r>
        <w:rPr>
          <w:rFonts w:ascii="Palatino Linotype" w:hAnsi="Palatino Linotype" w:cs="Arial"/>
          <w:lang w:val="es-ES"/>
        </w:rPr>
        <w:t>Precisado ello,</w:t>
      </w:r>
      <w:r>
        <w:rPr>
          <w:rFonts w:ascii="Palatino Linotype" w:hAnsi="Palatino Linotype"/>
          <w:lang w:val="es-ES"/>
        </w:rPr>
        <w:t xml:space="preserve"> se obvia el análisis de la competencia por parte del </w:t>
      </w:r>
      <w:r>
        <w:rPr>
          <w:rFonts w:ascii="Palatino Linotype" w:hAnsi="Palatino Linotype"/>
          <w:b/>
          <w:lang w:val="es-ES"/>
        </w:rPr>
        <w:t>SUJETO OBLIGADO</w:t>
      </w:r>
      <w:r>
        <w:rPr>
          <w:rFonts w:ascii="Palatino Linotype" w:hAnsi="Palatino Linotype"/>
          <w:lang w:val="es-ES"/>
        </w:rPr>
        <w:t>, para generar, administrar o poseer la información solicitada en el recurso que nos ocupa, dado que éste ha asumido la misma, mediante respuesta e Informe Justificado</w:t>
      </w:r>
      <w:r>
        <w:rPr>
          <w:rFonts w:ascii="Palatino Linotype" w:hAnsi="Palatino Linotype" w:cs="Arial"/>
          <w:b/>
          <w:color w:val="000000"/>
          <w:lang w:val="es-ES"/>
        </w:rPr>
        <w:t xml:space="preserve">; </w:t>
      </w:r>
      <w:r>
        <w:rPr>
          <w:rFonts w:ascii="Palatino Linotype" w:hAnsi="Palatino Linotype" w:cs="Arial"/>
          <w:color w:val="000000"/>
          <w:lang w:val="es-ES"/>
        </w:rPr>
        <w:t>por lo que</w:t>
      </w:r>
      <w:r>
        <w:rPr>
          <w:rFonts w:ascii="Palatino Linotype" w:hAnsi="Palatino Linotype" w:cs="Arial"/>
          <w:b/>
          <w:color w:val="000000"/>
          <w:lang w:val="es-ES"/>
        </w:rPr>
        <w:t xml:space="preserve">, </w:t>
      </w:r>
      <w:r>
        <w:rPr>
          <w:rFonts w:ascii="Palatino Linotype" w:hAnsi="Palatino Linotype" w:cs="Arial"/>
          <w:color w:val="000000"/>
          <w:lang w:val="es-ES"/>
        </w:rPr>
        <w:t>ante tales pronunciamientos se arriba a que genera, posee y administra la información requerida por el particular.</w:t>
      </w:r>
    </w:p>
    <w:p w:rsidR="003E35D0" w:rsidRDefault="001916B7">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w:t>
      </w:r>
      <w:r>
        <w:rPr>
          <w:rFonts w:ascii="Palatino Linotype" w:hAnsi="Palatino Linotype"/>
          <w:lang w:val="es-ES"/>
        </w:rPr>
        <w:lastRenderedPageBreak/>
        <w:t>de la Ley de Transparencia y Acceso a la Información Pública del Estado de México y Municipios, que literalmente establece:</w:t>
      </w:r>
    </w:p>
    <w:p w:rsidR="003E35D0" w:rsidRDefault="003E35D0">
      <w:pPr>
        <w:spacing w:line="360" w:lineRule="auto"/>
        <w:jc w:val="both"/>
        <w:rPr>
          <w:rFonts w:ascii="Palatino Linotype" w:hAnsi="Palatino Linotype"/>
          <w:lang w:val="es-ES"/>
        </w:rPr>
      </w:pPr>
    </w:p>
    <w:p w:rsidR="003E35D0" w:rsidRDefault="001916B7">
      <w:pPr>
        <w:ind w:left="851" w:right="899"/>
        <w:jc w:val="both"/>
        <w:rPr>
          <w:rFonts w:ascii="Palatino Linotype" w:hAnsi="Palatino Linotype"/>
          <w:i/>
          <w:sz w:val="22"/>
          <w:szCs w:val="22"/>
          <w:lang w:val="es-ES"/>
        </w:rPr>
      </w:pPr>
      <w:r>
        <w:rPr>
          <w:rFonts w:ascii="Palatino Linotype" w:hAnsi="Palatino Linotype"/>
          <w:b/>
          <w:i/>
          <w:sz w:val="22"/>
          <w:szCs w:val="22"/>
          <w:lang w:val="es-ES"/>
        </w:rPr>
        <w:t>“Artículo 12</w:t>
      </w:r>
      <w:r>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3E35D0" w:rsidRDefault="003E35D0">
      <w:pPr>
        <w:ind w:left="851" w:right="899"/>
        <w:jc w:val="both"/>
        <w:rPr>
          <w:rFonts w:ascii="Palatino Linotype" w:hAnsi="Palatino Linotype"/>
          <w:i/>
          <w:sz w:val="22"/>
          <w:szCs w:val="22"/>
          <w:lang w:val="es-ES"/>
        </w:rPr>
      </w:pPr>
    </w:p>
    <w:p w:rsidR="003E35D0" w:rsidRDefault="001916B7">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3E35D0" w:rsidRDefault="003E35D0">
      <w:pPr>
        <w:spacing w:line="360" w:lineRule="auto"/>
        <w:ind w:left="851" w:right="899"/>
        <w:jc w:val="both"/>
        <w:rPr>
          <w:rFonts w:ascii="Palatino Linotype" w:hAnsi="Palatino Linotype"/>
          <w:i/>
          <w:sz w:val="22"/>
          <w:szCs w:val="22"/>
          <w:lang w:val="es-ES"/>
        </w:rPr>
      </w:pPr>
    </w:p>
    <w:p w:rsidR="003E35D0" w:rsidRDefault="001916B7">
      <w:pPr>
        <w:spacing w:line="360" w:lineRule="auto"/>
        <w:jc w:val="both"/>
        <w:rPr>
          <w:rFonts w:ascii="Palatino Linotype" w:hAnsi="Palatino Linotype"/>
          <w:lang w:val="es-ES"/>
        </w:rPr>
      </w:pPr>
      <w:r>
        <w:rPr>
          <w:rFonts w:ascii="Palatino Linotype" w:hAnsi="Palatino Linotype"/>
          <w:lang w:val="es-ES"/>
        </w:rPr>
        <w:t xml:space="preserve">De hecho, el estudio de la naturaleza 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3E35D0" w:rsidRDefault="003E35D0">
      <w:pPr>
        <w:spacing w:line="360" w:lineRule="auto"/>
        <w:jc w:val="both"/>
        <w:rPr>
          <w:rFonts w:ascii="Palatino Linotype" w:hAnsi="Palatino Linotype"/>
          <w:lang w:val="es-ES"/>
        </w:rPr>
      </w:pPr>
    </w:p>
    <w:p w:rsidR="003E35D0" w:rsidRDefault="001916B7">
      <w:pPr>
        <w:spacing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mediante respuesta e Informe Justificado, a fin de dar atención a la solicitud planteada, este Instituto no está facultado para manifestarse sobre la veracidad de la información proporcionada, conforme al artículo 36 de la Ley de la Materia.</w:t>
      </w:r>
    </w:p>
    <w:p w:rsidR="003E35D0" w:rsidRDefault="001916B7">
      <w:pPr>
        <w:spacing w:beforeAutospacing="1" w:afterAutospacing="1" w:line="360" w:lineRule="auto"/>
        <w:jc w:val="both"/>
        <w:rPr>
          <w:rFonts w:ascii="Palatino Linotype" w:hAnsi="Palatino Linotype" w:cs="Arial"/>
        </w:rPr>
      </w:pPr>
      <w:r>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3E35D0" w:rsidRDefault="001916B7">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3E35D0" w:rsidRDefault="001916B7">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3E35D0" w:rsidRDefault="003E35D0">
      <w:pPr>
        <w:pStyle w:val="Prrafodelista"/>
        <w:widowControl w:val="0"/>
        <w:spacing w:line="360" w:lineRule="auto"/>
        <w:ind w:left="0"/>
        <w:jc w:val="both"/>
        <w:rPr>
          <w:rFonts w:ascii="Palatino Linotype" w:hAnsi="Palatino Linotype" w:cs="Arial"/>
        </w:rPr>
      </w:pPr>
    </w:p>
    <w:p w:rsidR="003E35D0" w:rsidRDefault="001916B7">
      <w:pPr>
        <w:widowControl w:val="0"/>
        <w:tabs>
          <w:tab w:val="left" w:pos="1701"/>
          <w:tab w:val="left" w:pos="1843"/>
        </w:tabs>
        <w:spacing w:beforeAutospacing="1" w:afterAutospacing="1" w:line="360" w:lineRule="auto"/>
        <w:jc w:val="both"/>
        <w:rPr>
          <w:rFonts w:ascii="Palatino Linotype" w:eastAsia="Calibri" w:hAnsi="Palatino Linotype" w:cstheme="minorBidi"/>
          <w:i/>
          <w:lang w:eastAsia="en-US"/>
        </w:rPr>
      </w:pPr>
      <w:r>
        <w:rPr>
          <w:rFonts w:ascii="Palatino Linotype" w:eastAsia="Calibri" w:hAnsi="Palatino Linotype" w:cstheme="minorBidi"/>
          <w:lang w:eastAsia="en-US"/>
        </w:rPr>
        <w:t>Ahora bien, es importante mencionar que el particular realizó su requerimiento en forma de pregunta; señalando</w:t>
      </w:r>
      <w:r>
        <w:t xml:space="preserve"> </w:t>
      </w:r>
      <w:r>
        <w:rPr>
          <w:i/>
        </w:rPr>
        <w:t>“cuáles son los motivos y fundamentos para remitir un vehículo de transporte público al corralón</w:t>
      </w:r>
      <w:r>
        <w:rPr>
          <w:rFonts w:ascii="Palatino Linotype" w:eastAsia="Calibri" w:hAnsi="Palatino Linotype" w:cstheme="minorBidi"/>
          <w:i/>
          <w:lang w:eastAsia="en-US"/>
        </w:rPr>
        <w:t>”,</w:t>
      </w:r>
      <w:r>
        <w:rPr>
          <w:rFonts w:ascii="Palatino Linotype" w:eastAsia="Calibri" w:hAnsi="Palatino Linotype" w:cstheme="minorBidi"/>
          <w:lang w:eastAsia="en-US"/>
        </w:rPr>
        <w:t xml:space="preserve"> no obstante a ello, el hoy</w:t>
      </w:r>
      <w:r>
        <w:rPr>
          <w:rFonts w:ascii="Palatino Linotype" w:eastAsia="Calibri" w:hAnsi="Palatino Linotype" w:cstheme="minorBidi"/>
          <w:b/>
          <w:lang w:eastAsia="en-US"/>
        </w:rPr>
        <w:t xml:space="preserve"> RECURRENTE</w:t>
      </w:r>
      <w:r>
        <w:rPr>
          <w:rFonts w:ascii="Palatino Linotype" w:eastAsia="Calibri" w:hAnsi="Palatino Linotype" w:cstheme="minorBidi"/>
          <w:lang w:eastAsia="en-US"/>
        </w:rPr>
        <w:t xml:space="preserve">, no es experto en la materia de acceso a la información pública; por ello, ésta autoridad suple la deficiencia en que incurre de conformidad con los artículos </w:t>
      </w:r>
      <w:r>
        <w:rPr>
          <w:rFonts w:ascii="Palatino Linotype" w:eastAsia="Calibri" w:hAnsi="Palatino Linotype" w:cs="Arial"/>
          <w:lang w:eastAsia="en-US"/>
        </w:rPr>
        <w:t xml:space="preserve">13 y 181, cuarto </w:t>
      </w:r>
      <w:r>
        <w:rPr>
          <w:rFonts w:ascii="Palatino Linotype" w:eastAsia="Calibri" w:hAnsi="Palatino Linotype" w:cs="Arial"/>
          <w:lang w:eastAsia="en-US"/>
        </w:rPr>
        <w:lastRenderedPageBreak/>
        <w:t xml:space="preserve">párrafo de la Ley de Transparencia y Acceso a la Información del Estado de México y Municipios </w:t>
      </w:r>
      <w:r>
        <w:rPr>
          <w:rFonts w:ascii="Palatino Linotype" w:eastAsia="Calibri" w:hAnsi="Palatino Linotype" w:cstheme="minorBidi"/>
          <w:lang w:eastAsia="en-US"/>
        </w:rPr>
        <w:t>y refiere que debió entregarse al particular, la expresión documental que satisfaga el requerimiento de información, privilegiando en todo momento el principio de máxima publicidad.</w:t>
      </w:r>
    </w:p>
    <w:p w:rsidR="003E35D0" w:rsidRDefault="001916B7">
      <w:pPr>
        <w:spacing w:before="240" w:after="240" w:line="360" w:lineRule="auto"/>
        <w:jc w:val="both"/>
        <w:rPr>
          <w:rFonts w:ascii="Palatino Linotype" w:eastAsiaTheme="minorHAnsi" w:hAnsi="Palatino Linotype" w:cs="Arial"/>
          <w:lang w:val="es-ES" w:eastAsia="en-US"/>
        </w:rPr>
      </w:pPr>
      <w:r>
        <w:rPr>
          <w:rFonts w:ascii="Palatino Linotype" w:eastAsiaTheme="minorHAnsi" w:hAnsi="Palatino Linotype" w:cstheme="minorBidi"/>
          <w:lang w:val="es-ES" w:eastAsia="en-US"/>
        </w:rPr>
        <w:t xml:space="preserve">Siendo necesario hacer hincapié que, </w:t>
      </w:r>
      <w:r>
        <w:rPr>
          <w:rFonts w:ascii="Palatino Linotype" w:eastAsiaTheme="minorHAnsi" w:hAnsi="Palatino Linotype" w:cs="Arial"/>
          <w:lang w:val="es-ES" w:eastAsia="en-U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Pr>
          <w:rFonts w:ascii="Palatino Linotype" w:eastAsiaTheme="minorHAnsi" w:hAnsi="Palatino Linotype" w:cs="Arial"/>
          <w:b/>
          <w:lang w:val="es-ES" w:eastAsia="en-US"/>
        </w:rPr>
        <w:t>expresión documental</w:t>
      </w:r>
      <w:r>
        <w:rPr>
          <w:rFonts w:ascii="Palatino Linotype" w:eastAsiaTheme="minorHAnsi" w:hAnsi="Palatino Linotype" w:cs="Arial"/>
          <w:lang w:val="es-ES" w:eastAsia="en-US"/>
        </w:rPr>
        <w:t>, deben atenderlas. Lo anterior, tiene apoyo en el criterio 16/17, emitido por el Pleno del INAI, el cual menciona lo siguiente:</w:t>
      </w:r>
    </w:p>
    <w:p w:rsidR="003E35D0" w:rsidRDefault="001916B7">
      <w:pPr>
        <w:spacing w:before="120" w:after="120"/>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b/>
          <w:i/>
          <w:sz w:val="22"/>
          <w:szCs w:val="22"/>
          <w:lang w:val="es-ES" w:eastAsia="en-US"/>
        </w:rPr>
        <w:t xml:space="preserve">Expresión documental. </w:t>
      </w:r>
      <w:r>
        <w:rPr>
          <w:rFonts w:ascii="Palatino Linotype" w:eastAsiaTheme="minorHAnsi" w:hAnsi="Palatino Linotype" w:cs="Arial"/>
          <w:i/>
          <w:sz w:val="22"/>
          <w:szCs w:val="22"/>
          <w:lang w:val="es-ES" w:eastAsia="en-U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3E35D0" w:rsidRDefault="001916B7">
      <w:pPr>
        <w:spacing w:before="120" w:after="120"/>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Resoluciones:</w:t>
      </w:r>
    </w:p>
    <w:p w:rsidR="003E35D0" w:rsidRDefault="001916B7">
      <w:pPr>
        <w:spacing w:before="120" w:after="120"/>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ab/>
        <w:t>RRA 0774/16. Secretaría de Salud. 31 de agosto de 2016. Por unanimidad. Comisionada Ponente María Patricia Kurczyn Villalobos.</w:t>
      </w:r>
    </w:p>
    <w:p w:rsidR="003E35D0" w:rsidRDefault="001916B7">
      <w:pPr>
        <w:spacing w:before="120" w:after="120"/>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ab/>
        <w:t xml:space="preserve">RRA 0143/17. Universidad Autónoma Agraria Antonio Narro. 22 de febrero de 2017. Por unanimidad. Comisionado Ponente Oscar Mauricio Guerra Ford. </w:t>
      </w:r>
    </w:p>
    <w:p w:rsidR="003E35D0" w:rsidRDefault="001916B7">
      <w:pPr>
        <w:spacing w:before="120" w:after="120"/>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ab/>
        <w:t>RRA 0540/17. Secretaría de Economía. 08 de marzo del 2017. Por unanimidad. Comisionado Ponente Francisco Javier Acuña Llamas.” (Sic)</w:t>
      </w:r>
    </w:p>
    <w:p w:rsidR="003E35D0" w:rsidRDefault="001916B7">
      <w:pPr>
        <w:spacing w:before="120" w:after="120"/>
        <w:ind w:left="567" w:right="618"/>
        <w:jc w:val="both"/>
        <w:rPr>
          <w:rFonts w:ascii="Palatino Linotype" w:eastAsiaTheme="minorHAnsi" w:hAnsi="Palatino Linotype" w:cs="Arial"/>
          <w:sz w:val="22"/>
          <w:szCs w:val="22"/>
          <w:lang w:val="es-ES" w:eastAsia="en-US"/>
        </w:rPr>
      </w:pPr>
      <w:r>
        <w:rPr>
          <w:rFonts w:ascii="Palatino Linotype" w:eastAsiaTheme="minorHAnsi" w:hAnsi="Palatino Linotype" w:cs="Arial"/>
          <w:sz w:val="22"/>
          <w:szCs w:val="22"/>
          <w:lang w:val="es-ES" w:eastAsia="en-US"/>
        </w:rPr>
        <w:t>(Énfasis añadido)</w:t>
      </w:r>
    </w:p>
    <w:p w:rsidR="003E35D0" w:rsidRDefault="001916B7">
      <w:pPr>
        <w:spacing w:beforeAutospacing="1" w:afterAutospacing="1" w:line="360" w:lineRule="auto"/>
        <w:jc w:val="both"/>
        <w:rPr>
          <w:rFonts w:ascii="Palatino Linotype" w:hAnsi="Palatino Linotype" w:cs="Arial"/>
        </w:rPr>
      </w:pPr>
      <w:r>
        <w:rPr>
          <w:rFonts w:ascii="Palatino Linotype" w:hAnsi="Palatino Linotype"/>
        </w:rPr>
        <w:t xml:space="preserve">Ahora bien, </w:t>
      </w:r>
      <w:r>
        <w:rPr>
          <w:rFonts w:ascii="Palatino Linotype" w:hAnsi="Palatino Linotype" w:cs="Arial"/>
        </w:rPr>
        <w:t xml:space="preserve">es importante resaltar que </w:t>
      </w:r>
      <w:r>
        <w:rPr>
          <w:rFonts w:ascii="Palatino Linotype" w:hAnsi="Palatino Linotype"/>
          <w:color w:val="212121"/>
        </w:rPr>
        <w:t xml:space="preserve">los Sujetos Obligados deben garantizar el derecho de acceso a la información de los particulares, proporcionando la información con la que cuentan, en el formato en que la misma obre en sus archivos; sin necesidad </w:t>
      </w:r>
      <w:r>
        <w:rPr>
          <w:rFonts w:ascii="Palatino Linotype" w:hAnsi="Palatino Linotype"/>
          <w:color w:val="212121"/>
        </w:rPr>
        <w:lastRenderedPageBreak/>
        <w:t>de elaborar documentos </w:t>
      </w:r>
      <w:r>
        <w:rPr>
          <w:rFonts w:ascii="Palatino Linotype" w:hAnsi="Palatino Linotype"/>
          <w:i/>
          <w:iCs/>
          <w:color w:val="212121"/>
        </w:rPr>
        <w:t>ad hoc </w:t>
      </w:r>
      <w:r>
        <w:rPr>
          <w:rFonts w:ascii="Palatino Linotype" w:hAnsi="Palatino Linotype"/>
          <w:color w:val="21212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3E35D0" w:rsidRDefault="001916B7">
      <w:pPr>
        <w:ind w:left="851" w:right="902"/>
        <w:jc w:val="both"/>
        <w:rPr>
          <w:rFonts w:ascii="Palatino Linotype" w:hAnsi="Palatino Linotype"/>
          <w:i/>
          <w:iCs/>
          <w:color w:val="212121"/>
          <w:sz w:val="22"/>
          <w:szCs w:val="22"/>
          <w:lang w:val="es-ES" w:eastAsia="es-MX"/>
        </w:rPr>
      </w:pPr>
      <w:r>
        <w:rPr>
          <w:rFonts w:ascii="Palatino Linotype" w:hAnsi="Palatino Linotype"/>
          <w:b/>
          <w:bCs/>
          <w:i/>
          <w:iCs/>
          <w:color w:val="212121"/>
          <w:sz w:val="22"/>
          <w:szCs w:val="22"/>
          <w:lang w:val="es-ES" w:eastAsia="es-MX"/>
        </w:rPr>
        <w:t>“No existe obligación de elaborar </w:t>
      </w:r>
      <w:r>
        <w:rPr>
          <w:rFonts w:ascii="Palatino Linotype" w:hAnsi="Palatino Linotype"/>
          <w:b/>
          <w:bCs/>
          <w:i/>
          <w:iCs/>
          <w:color w:val="212121"/>
          <w:spacing w:val="-3"/>
          <w:sz w:val="22"/>
          <w:szCs w:val="22"/>
          <w:lang w:val="es-ES" w:eastAsia="es-MX"/>
        </w:rPr>
        <w:t>d</w:t>
      </w:r>
      <w:r>
        <w:rPr>
          <w:rFonts w:ascii="Palatino Linotype" w:hAnsi="Palatino Linotype"/>
          <w:b/>
          <w:bCs/>
          <w:i/>
          <w:iCs/>
          <w:color w:val="212121"/>
          <w:sz w:val="22"/>
          <w:szCs w:val="22"/>
          <w:lang w:val="es-ES" w:eastAsia="es-MX"/>
        </w:rPr>
        <w:t>ocum</w:t>
      </w:r>
      <w:r>
        <w:rPr>
          <w:rFonts w:ascii="Palatino Linotype" w:hAnsi="Palatino Linotype"/>
          <w:b/>
          <w:bCs/>
          <w:i/>
          <w:iCs/>
          <w:color w:val="212121"/>
          <w:spacing w:val="1"/>
          <w:sz w:val="22"/>
          <w:szCs w:val="22"/>
          <w:lang w:val="es-ES" w:eastAsia="es-MX"/>
        </w:rPr>
        <w:t>e</w:t>
      </w:r>
      <w:r>
        <w:rPr>
          <w:rFonts w:ascii="Palatino Linotype" w:hAnsi="Palatino Linotype"/>
          <w:b/>
          <w:bCs/>
          <w:i/>
          <w:iCs/>
          <w:color w:val="212121"/>
          <w:sz w:val="22"/>
          <w:szCs w:val="22"/>
          <w:lang w:val="es-ES" w:eastAsia="es-MX"/>
        </w:rPr>
        <w:t>n</w:t>
      </w:r>
      <w:r>
        <w:rPr>
          <w:rFonts w:ascii="Palatino Linotype" w:hAnsi="Palatino Linotype"/>
          <w:b/>
          <w:bCs/>
          <w:i/>
          <w:iCs/>
          <w:color w:val="212121"/>
          <w:spacing w:val="-1"/>
          <w:sz w:val="22"/>
          <w:szCs w:val="22"/>
          <w:lang w:val="es-ES" w:eastAsia="es-MX"/>
        </w:rPr>
        <w:t>t</w:t>
      </w:r>
      <w:r>
        <w:rPr>
          <w:rFonts w:ascii="Palatino Linotype" w:hAnsi="Palatino Linotype"/>
          <w:b/>
          <w:bCs/>
          <w:i/>
          <w:iCs/>
          <w:color w:val="212121"/>
          <w:sz w:val="22"/>
          <w:szCs w:val="22"/>
          <w:lang w:val="es-ES" w:eastAsia="es-MX"/>
        </w:rPr>
        <w:t>os</w:t>
      </w:r>
      <w:r>
        <w:rPr>
          <w:rFonts w:ascii="Palatino Linotype" w:hAnsi="Palatino Linotype"/>
          <w:b/>
          <w:bCs/>
          <w:i/>
          <w:iCs/>
          <w:color w:val="212121"/>
          <w:spacing w:val="14"/>
          <w:sz w:val="22"/>
          <w:szCs w:val="22"/>
          <w:lang w:val="es-ES" w:eastAsia="es-MX"/>
        </w:rPr>
        <w:t> </w:t>
      </w:r>
      <w:r>
        <w:rPr>
          <w:rFonts w:ascii="Palatino Linotype" w:hAnsi="Palatino Linotype"/>
          <w:b/>
          <w:bCs/>
          <w:i/>
          <w:iCs/>
          <w:color w:val="212121"/>
          <w:spacing w:val="-1"/>
          <w:sz w:val="22"/>
          <w:szCs w:val="22"/>
          <w:lang w:val="es-ES" w:eastAsia="es-MX"/>
        </w:rPr>
        <w:t>ad </w:t>
      </w:r>
      <w:r>
        <w:rPr>
          <w:rFonts w:ascii="Palatino Linotype" w:hAnsi="Palatino Linotype"/>
          <w:b/>
          <w:bCs/>
          <w:i/>
          <w:iCs/>
          <w:color w:val="212121"/>
          <w:sz w:val="22"/>
          <w:szCs w:val="22"/>
          <w:lang w:val="es-ES" w:eastAsia="es-MX"/>
        </w:rPr>
        <w:t>hoc</w:t>
      </w:r>
      <w:r>
        <w:rPr>
          <w:rFonts w:ascii="Palatino Linotype" w:hAnsi="Palatino Linotype"/>
          <w:b/>
          <w:bCs/>
          <w:i/>
          <w:iCs/>
          <w:color w:val="212121"/>
          <w:spacing w:val="11"/>
          <w:sz w:val="22"/>
          <w:szCs w:val="22"/>
          <w:lang w:val="es-ES" w:eastAsia="es-MX"/>
        </w:rPr>
        <w:t> </w:t>
      </w:r>
      <w:r>
        <w:rPr>
          <w:rFonts w:ascii="Palatino Linotype" w:hAnsi="Palatino Linotype"/>
          <w:b/>
          <w:bCs/>
          <w:i/>
          <w:iCs/>
          <w:color w:val="212121"/>
          <w:sz w:val="22"/>
          <w:szCs w:val="22"/>
          <w:lang w:val="es-ES" w:eastAsia="es-MX"/>
        </w:rPr>
        <w:t>para</w:t>
      </w:r>
      <w:r>
        <w:rPr>
          <w:rFonts w:ascii="Palatino Linotype" w:hAnsi="Palatino Linotype"/>
          <w:b/>
          <w:bCs/>
          <w:i/>
          <w:iCs/>
          <w:color w:val="212121"/>
          <w:spacing w:val="10"/>
          <w:sz w:val="22"/>
          <w:szCs w:val="22"/>
          <w:lang w:val="es-ES" w:eastAsia="es-MX"/>
        </w:rPr>
        <w:t> </w:t>
      </w:r>
      <w:r>
        <w:rPr>
          <w:rFonts w:ascii="Palatino Linotype" w:hAnsi="Palatino Linotype"/>
          <w:b/>
          <w:bCs/>
          <w:i/>
          <w:iCs/>
          <w:color w:val="212121"/>
          <w:sz w:val="22"/>
          <w:szCs w:val="22"/>
          <w:lang w:val="es-ES" w:eastAsia="es-MX"/>
        </w:rPr>
        <w:t>atender las sol</w:t>
      </w:r>
      <w:r>
        <w:rPr>
          <w:rFonts w:ascii="Palatino Linotype" w:hAnsi="Palatino Linotype"/>
          <w:b/>
          <w:bCs/>
          <w:i/>
          <w:iCs/>
          <w:color w:val="212121"/>
          <w:spacing w:val="-2"/>
          <w:sz w:val="22"/>
          <w:szCs w:val="22"/>
          <w:lang w:val="es-ES" w:eastAsia="es-MX"/>
        </w:rPr>
        <w:t>i</w:t>
      </w:r>
      <w:r>
        <w:rPr>
          <w:rFonts w:ascii="Palatino Linotype" w:hAnsi="Palatino Linotype"/>
          <w:b/>
          <w:bCs/>
          <w:i/>
          <w:iCs/>
          <w:color w:val="212121"/>
          <w:spacing w:val="1"/>
          <w:sz w:val="22"/>
          <w:szCs w:val="22"/>
          <w:lang w:val="es-ES" w:eastAsia="es-MX"/>
        </w:rPr>
        <w:t>c</w:t>
      </w:r>
      <w:r>
        <w:rPr>
          <w:rFonts w:ascii="Palatino Linotype" w:hAnsi="Palatino Linotype"/>
          <w:b/>
          <w:bCs/>
          <w:i/>
          <w:iCs/>
          <w:color w:val="212121"/>
          <w:sz w:val="22"/>
          <w:szCs w:val="22"/>
          <w:lang w:val="es-ES" w:eastAsia="es-MX"/>
        </w:rPr>
        <w:t>itudes</w:t>
      </w:r>
      <w:r>
        <w:rPr>
          <w:rFonts w:ascii="Palatino Linotype" w:hAnsi="Palatino Linotype"/>
          <w:b/>
          <w:bCs/>
          <w:i/>
          <w:iCs/>
          <w:color w:val="212121"/>
          <w:spacing w:val="10"/>
          <w:sz w:val="22"/>
          <w:szCs w:val="22"/>
          <w:lang w:val="es-ES" w:eastAsia="es-MX"/>
        </w:rPr>
        <w:t> </w:t>
      </w:r>
      <w:r>
        <w:rPr>
          <w:rFonts w:ascii="Palatino Linotype" w:hAnsi="Palatino Linotype"/>
          <w:b/>
          <w:bCs/>
          <w:i/>
          <w:iCs/>
          <w:color w:val="212121"/>
          <w:sz w:val="22"/>
          <w:szCs w:val="22"/>
          <w:lang w:val="es-ES" w:eastAsia="es-MX"/>
        </w:rPr>
        <w:t>de</w:t>
      </w:r>
      <w:r>
        <w:rPr>
          <w:rFonts w:ascii="Palatino Linotype" w:hAnsi="Palatino Linotype"/>
          <w:b/>
          <w:bCs/>
          <w:i/>
          <w:iCs/>
          <w:color w:val="212121"/>
          <w:spacing w:val="9"/>
          <w:sz w:val="22"/>
          <w:szCs w:val="22"/>
          <w:lang w:val="es-ES" w:eastAsia="es-MX"/>
        </w:rPr>
        <w:t> </w:t>
      </w:r>
      <w:r>
        <w:rPr>
          <w:rFonts w:ascii="Palatino Linotype" w:hAnsi="Palatino Linotype"/>
          <w:b/>
          <w:bCs/>
          <w:i/>
          <w:iCs/>
          <w:color w:val="212121"/>
          <w:spacing w:val="1"/>
          <w:sz w:val="22"/>
          <w:szCs w:val="22"/>
          <w:lang w:val="es-ES" w:eastAsia="es-MX"/>
        </w:rPr>
        <w:t>ac</w:t>
      </w:r>
      <w:r>
        <w:rPr>
          <w:rFonts w:ascii="Palatino Linotype" w:hAnsi="Palatino Linotype"/>
          <w:b/>
          <w:bCs/>
          <w:i/>
          <w:iCs/>
          <w:color w:val="212121"/>
          <w:spacing w:val="-1"/>
          <w:sz w:val="22"/>
          <w:szCs w:val="22"/>
          <w:lang w:val="es-ES" w:eastAsia="es-MX"/>
        </w:rPr>
        <w:t>c</w:t>
      </w:r>
      <w:r>
        <w:rPr>
          <w:rFonts w:ascii="Palatino Linotype" w:hAnsi="Palatino Linotype"/>
          <w:b/>
          <w:bCs/>
          <w:i/>
          <w:iCs/>
          <w:color w:val="212121"/>
          <w:spacing w:val="1"/>
          <w:sz w:val="22"/>
          <w:szCs w:val="22"/>
          <w:lang w:val="es-ES" w:eastAsia="es-MX"/>
        </w:rPr>
        <w:t>es</w:t>
      </w:r>
      <w:r>
        <w:rPr>
          <w:rFonts w:ascii="Palatino Linotype" w:hAnsi="Palatino Linotype"/>
          <w:b/>
          <w:bCs/>
          <w:i/>
          <w:iCs/>
          <w:color w:val="212121"/>
          <w:sz w:val="22"/>
          <w:szCs w:val="22"/>
          <w:lang w:val="es-ES" w:eastAsia="es-MX"/>
        </w:rPr>
        <w:t>o</w:t>
      </w:r>
      <w:r>
        <w:rPr>
          <w:rFonts w:ascii="Palatino Linotype" w:hAnsi="Palatino Linotype"/>
          <w:b/>
          <w:bCs/>
          <w:i/>
          <w:iCs/>
          <w:color w:val="212121"/>
          <w:spacing w:val="11"/>
          <w:sz w:val="22"/>
          <w:szCs w:val="22"/>
          <w:lang w:val="es-ES" w:eastAsia="es-MX"/>
        </w:rPr>
        <w:t> </w:t>
      </w:r>
      <w:r>
        <w:rPr>
          <w:rFonts w:ascii="Palatino Linotype" w:hAnsi="Palatino Linotype"/>
          <w:b/>
          <w:bCs/>
          <w:i/>
          <w:iCs/>
          <w:color w:val="212121"/>
          <w:sz w:val="22"/>
          <w:szCs w:val="22"/>
          <w:lang w:val="es-ES" w:eastAsia="es-MX"/>
        </w:rPr>
        <w:t>a</w:t>
      </w:r>
      <w:r>
        <w:rPr>
          <w:rFonts w:ascii="Palatino Linotype" w:hAnsi="Palatino Linotype"/>
          <w:b/>
          <w:bCs/>
          <w:i/>
          <w:iCs/>
          <w:color w:val="212121"/>
          <w:spacing w:val="9"/>
          <w:sz w:val="22"/>
          <w:szCs w:val="22"/>
          <w:lang w:val="es-ES" w:eastAsia="es-MX"/>
        </w:rPr>
        <w:t> </w:t>
      </w:r>
      <w:r>
        <w:rPr>
          <w:rFonts w:ascii="Palatino Linotype" w:hAnsi="Palatino Linotype"/>
          <w:b/>
          <w:bCs/>
          <w:i/>
          <w:iCs/>
          <w:color w:val="212121"/>
          <w:sz w:val="22"/>
          <w:szCs w:val="22"/>
          <w:lang w:val="es-ES" w:eastAsia="es-MX"/>
        </w:rPr>
        <w:t>la</w:t>
      </w:r>
      <w:r>
        <w:rPr>
          <w:rFonts w:ascii="Palatino Linotype" w:hAnsi="Palatino Linotype"/>
          <w:b/>
          <w:bCs/>
          <w:i/>
          <w:iCs/>
          <w:color w:val="212121"/>
          <w:spacing w:val="10"/>
          <w:sz w:val="22"/>
          <w:szCs w:val="22"/>
          <w:lang w:val="es-ES" w:eastAsia="es-MX"/>
        </w:rPr>
        <w:t> </w:t>
      </w:r>
      <w:r>
        <w:rPr>
          <w:rFonts w:ascii="Palatino Linotype" w:hAnsi="Palatino Linotype"/>
          <w:b/>
          <w:bCs/>
          <w:i/>
          <w:iCs/>
          <w:color w:val="212121"/>
          <w:sz w:val="22"/>
          <w:szCs w:val="22"/>
          <w:lang w:val="es-ES" w:eastAsia="es-MX"/>
        </w:rPr>
        <w:t>informa</w:t>
      </w:r>
      <w:r>
        <w:rPr>
          <w:rFonts w:ascii="Palatino Linotype" w:hAnsi="Palatino Linotype"/>
          <w:b/>
          <w:bCs/>
          <w:i/>
          <w:iCs/>
          <w:color w:val="212121"/>
          <w:spacing w:val="1"/>
          <w:sz w:val="22"/>
          <w:szCs w:val="22"/>
          <w:lang w:val="es-ES" w:eastAsia="es-MX"/>
        </w:rPr>
        <w:t>c</w:t>
      </w:r>
      <w:r>
        <w:rPr>
          <w:rFonts w:ascii="Palatino Linotype" w:hAnsi="Palatino Linotype"/>
          <w:b/>
          <w:bCs/>
          <w:i/>
          <w:iCs/>
          <w:color w:val="212121"/>
          <w:sz w:val="22"/>
          <w:szCs w:val="22"/>
          <w:lang w:val="es-ES" w:eastAsia="es-MX"/>
        </w:rPr>
        <w:t>ió</w:t>
      </w:r>
      <w:r>
        <w:rPr>
          <w:rFonts w:ascii="Palatino Linotype" w:hAnsi="Palatino Linotype"/>
          <w:b/>
          <w:bCs/>
          <w:i/>
          <w:iCs/>
          <w:color w:val="212121"/>
          <w:spacing w:val="-2"/>
          <w:sz w:val="22"/>
          <w:szCs w:val="22"/>
          <w:lang w:val="es-ES" w:eastAsia="es-MX"/>
        </w:rPr>
        <w:t>n</w:t>
      </w:r>
      <w:r>
        <w:rPr>
          <w:rFonts w:ascii="Palatino Linotype" w:hAnsi="Palatino Linotype"/>
          <w:b/>
          <w:bCs/>
          <w:i/>
          <w:iCs/>
          <w:color w:val="212121"/>
          <w:sz w:val="22"/>
          <w:szCs w:val="22"/>
          <w:lang w:val="es-ES" w:eastAsia="es-MX"/>
        </w:rPr>
        <w:t>.</w:t>
      </w:r>
      <w:r>
        <w:rPr>
          <w:rFonts w:ascii="Palatino Linotype" w:hAnsi="Palatino Linotype"/>
          <w:b/>
          <w:bCs/>
          <w:i/>
          <w:iCs/>
          <w:color w:val="212121"/>
          <w:spacing w:val="18"/>
          <w:sz w:val="22"/>
          <w:szCs w:val="22"/>
          <w:lang w:val="es-ES" w:eastAsia="es-MX"/>
        </w:rPr>
        <w:t> </w:t>
      </w:r>
      <w:r>
        <w:rPr>
          <w:rFonts w:ascii="Palatino Linotype" w:hAnsi="Palatino Linotype"/>
          <w:i/>
          <w:iCs/>
          <w:color w:val="212121"/>
          <w:spacing w:val="18"/>
          <w:sz w:val="22"/>
          <w:szCs w:val="22"/>
          <w:lang w:val="es-ES" w:eastAsia="es-MX"/>
        </w:rPr>
        <w:t>L</w:t>
      </w:r>
      <w:r>
        <w:rPr>
          <w:rFonts w:ascii="Palatino Linotype" w:hAnsi="Palatino Linotype"/>
          <w:i/>
          <w:iCs/>
          <w:color w:val="212121"/>
          <w:spacing w:val="-1"/>
          <w:sz w:val="22"/>
          <w:szCs w:val="22"/>
          <w:lang w:val="es-ES" w:eastAsia="es-MX"/>
        </w:rPr>
        <w:t>os </w:t>
      </w:r>
      <w:r>
        <w:rPr>
          <w:rFonts w:ascii="Palatino Linotype" w:hAnsi="Palatino Linotype"/>
          <w:i/>
          <w:iCs/>
          <w:color w:val="212121"/>
          <w:spacing w:val="1"/>
          <w:sz w:val="22"/>
          <w:szCs w:val="22"/>
          <w:lang w:val="es-ES" w:eastAsia="es-MX"/>
        </w:rPr>
        <w:t>a</w:t>
      </w:r>
      <w:r>
        <w:rPr>
          <w:rFonts w:ascii="Palatino Linotype" w:hAnsi="Palatino Linotype"/>
          <w:i/>
          <w:iCs/>
          <w:color w:val="212121"/>
          <w:sz w:val="22"/>
          <w:szCs w:val="22"/>
          <w:lang w:val="es-ES" w:eastAsia="es-MX"/>
        </w:rPr>
        <w:t>rt</w:t>
      </w:r>
      <w:r>
        <w:rPr>
          <w:rFonts w:ascii="Palatino Linotype" w:hAnsi="Palatino Linotype"/>
          <w:i/>
          <w:iCs/>
          <w:color w:val="212121"/>
          <w:spacing w:val="-2"/>
          <w:sz w:val="22"/>
          <w:szCs w:val="22"/>
          <w:lang w:val="es-ES" w:eastAsia="es-MX"/>
        </w:rPr>
        <w:t>í</w:t>
      </w:r>
      <w:r>
        <w:rPr>
          <w:rFonts w:ascii="Palatino Linotype" w:hAnsi="Palatino Linotype"/>
          <w:i/>
          <w:iCs/>
          <w:color w:val="212121"/>
          <w:sz w:val="22"/>
          <w:szCs w:val="22"/>
          <w:lang w:val="es-ES" w:eastAsia="es-MX"/>
        </w:rPr>
        <w:t>c</w:t>
      </w:r>
      <w:r>
        <w:rPr>
          <w:rFonts w:ascii="Palatino Linotype" w:hAnsi="Palatino Linotype"/>
          <w:i/>
          <w:iCs/>
          <w:color w:val="212121"/>
          <w:spacing w:val="1"/>
          <w:sz w:val="22"/>
          <w:szCs w:val="22"/>
          <w:lang w:val="es-ES" w:eastAsia="es-MX"/>
        </w:rPr>
        <w:t>u</w:t>
      </w:r>
      <w:r>
        <w:rPr>
          <w:rFonts w:ascii="Palatino Linotype" w:hAnsi="Palatino Linotype"/>
          <w:i/>
          <w:iCs/>
          <w:color w:val="212121"/>
          <w:sz w:val="22"/>
          <w:szCs w:val="22"/>
          <w:lang w:val="es-ES" w:eastAsia="es-MX"/>
        </w:rPr>
        <w:t>los</w:t>
      </w:r>
      <w:r>
        <w:rPr>
          <w:rFonts w:ascii="Palatino Linotype" w:hAnsi="Palatino Linotype"/>
          <w:i/>
          <w:iCs/>
          <w:color w:val="212121"/>
          <w:spacing w:val="8"/>
          <w:sz w:val="22"/>
          <w:szCs w:val="22"/>
          <w:lang w:val="es-ES" w:eastAsia="es-MX"/>
        </w:rPr>
        <w:t> 129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z w:val="22"/>
          <w:szCs w:val="22"/>
          <w:lang w:val="es-ES" w:eastAsia="es-MX"/>
        </w:rPr>
        <w:t>la</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L</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y</w:t>
      </w:r>
      <w:r>
        <w:rPr>
          <w:rFonts w:ascii="Palatino Linotype" w:hAnsi="Palatino Linotype"/>
          <w:i/>
          <w:iCs/>
          <w:color w:val="212121"/>
          <w:spacing w:val="8"/>
          <w:sz w:val="22"/>
          <w:szCs w:val="22"/>
          <w:lang w:val="es-ES" w:eastAsia="es-MX"/>
        </w:rPr>
        <w:t> </w:t>
      </w:r>
      <w:r>
        <w:rPr>
          <w:rFonts w:ascii="Palatino Linotype" w:hAnsi="Palatino Linotype"/>
          <w:i/>
          <w:iCs/>
          <w:color w:val="212121"/>
          <w:sz w:val="22"/>
          <w:szCs w:val="22"/>
          <w:lang w:val="es-ES" w:eastAsia="es-MX"/>
        </w:rPr>
        <w:t>General</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pacing w:val="2"/>
          <w:sz w:val="22"/>
          <w:szCs w:val="22"/>
          <w:lang w:val="es-ES" w:eastAsia="es-MX"/>
        </w:rPr>
        <w:t>T</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a</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s</w:t>
      </w:r>
      <w:r>
        <w:rPr>
          <w:rFonts w:ascii="Palatino Linotype" w:hAnsi="Palatino Linotype"/>
          <w:i/>
          <w:iCs/>
          <w:color w:val="212121"/>
          <w:spacing w:val="1"/>
          <w:sz w:val="22"/>
          <w:szCs w:val="22"/>
          <w:lang w:val="es-ES" w:eastAsia="es-MX"/>
        </w:rPr>
        <w:t>pa</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e</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cia y Acc</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so</w:t>
      </w:r>
      <w:r>
        <w:rPr>
          <w:rFonts w:ascii="Palatino Linotype" w:hAnsi="Palatino Linotype"/>
          <w:i/>
          <w:iCs/>
          <w:color w:val="212121"/>
          <w:spacing w:val="3"/>
          <w:sz w:val="22"/>
          <w:szCs w:val="22"/>
          <w:lang w:val="es-ES" w:eastAsia="es-MX"/>
        </w:rPr>
        <w:t> </w:t>
      </w:r>
      <w:r>
        <w:rPr>
          <w:rFonts w:ascii="Palatino Linotype" w:hAnsi="Palatino Linotype"/>
          <w:i/>
          <w:iCs/>
          <w:color w:val="212121"/>
          <w:sz w:val="22"/>
          <w:szCs w:val="22"/>
          <w:lang w:val="es-ES" w:eastAsia="es-MX"/>
        </w:rPr>
        <w:t>a</w:t>
      </w:r>
      <w:r>
        <w:rPr>
          <w:rFonts w:ascii="Palatino Linotype" w:hAnsi="Palatino Linotype"/>
          <w:i/>
          <w:iCs/>
          <w:color w:val="212121"/>
          <w:spacing w:val="1"/>
          <w:sz w:val="22"/>
          <w:szCs w:val="22"/>
          <w:lang w:val="es-ES" w:eastAsia="es-MX"/>
        </w:rPr>
        <w:t> </w:t>
      </w:r>
      <w:r>
        <w:rPr>
          <w:rFonts w:ascii="Palatino Linotype" w:hAnsi="Palatino Linotype"/>
          <w:i/>
          <w:iCs/>
          <w:color w:val="212121"/>
          <w:sz w:val="22"/>
          <w:szCs w:val="22"/>
          <w:lang w:val="es-ES" w:eastAsia="es-MX"/>
        </w:rPr>
        <w:t>la I</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f</w:t>
      </w:r>
      <w:r>
        <w:rPr>
          <w:rFonts w:ascii="Palatino Linotype" w:hAnsi="Palatino Linotype"/>
          <w:i/>
          <w:iCs/>
          <w:color w:val="212121"/>
          <w:spacing w:val="1"/>
          <w:sz w:val="22"/>
          <w:szCs w:val="22"/>
          <w:lang w:val="es-ES" w:eastAsia="es-MX"/>
        </w:rPr>
        <w:t>o</w:t>
      </w:r>
      <w:r>
        <w:rPr>
          <w:rFonts w:ascii="Palatino Linotype" w:hAnsi="Palatino Linotype"/>
          <w:i/>
          <w:iCs/>
          <w:color w:val="212121"/>
          <w:spacing w:val="-3"/>
          <w:sz w:val="22"/>
          <w:szCs w:val="22"/>
          <w:lang w:val="es-ES" w:eastAsia="es-MX"/>
        </w:rPr>
        <w:t>r</w:t>
      </w:r>
      <w:r>
        <w:rPr>
          <w:rFonts w:ascii="Palatino Linotype" w:hAnsi="Palatino Linotype"/>
          <w:i/>
          <w:iCs/>
          <w:color w:val="212121"/>
          <w:spacing w:val="1"/>
          <w:sz w:val="22"/>
          <w:szCs w:val="22"/>
          <w:lang w:val="es-ES" w:eastAsia="es-MX"/>
        </w:rPr>
        <w:t>ma</w:t>
      </w:r>
      <w:r>
        <w:rPr>
          <w:rFonts w:ascii="Palatino Linotype" w:hAnsi="Palatino Linotype"/>
          <w:i/>
          <w:iCs/>
          <w:color w:val="212121"/>
          <w:sz w:val="22"/>
          <w:szCs w:val="22"/>
          <w:lang w:val="es-ES" w:eastAsia="es-MX"/>
        </w:rPr>
        <w:t>ci</w:t>
      </w:r>
      <w:r>
        <w:rPr>
          <w:rFonts w:ascii="Palatino Linotype" w:hAnsi="Palatino Linotype"/>
          <w:i/>
          <w:iCs/>
          <w:color w:val="212121"/>
          <w:spacing w:val="-2"/>
          <w:sz w:val="22"/>
          <w:szCs w:val="22"/>
          <w:lang w:val="es-ES" w:eastAsia="es-MX"/>
        </w:rPr>
        <w:t>ó</w:t>
      </w:r>
      <w:r>
        <w:rPr>
          <w:rFonts w:ascii="Palatino Linotype" w:hAnsi="Palatino Linotype"/>
          <w:i/>
          <w:iCs/>
          <w:color w:val="212121"/>
          <w:sz w:val="22"/>
          <w:szCs w:val="22"/>
          <w:lang w:val="es-ES" w:eastAsia="es-MX"/>
        </w:rPr>
        <w:t>n</w:t>
      </w:r>
      <w:r>
        <w:rPr>
          <w:rFonts w:ascii="Palatino Linotype" w:hAnsi="Palatino Linotype"/>
          <w:i/>
          <w:iCs/>
          <w:color w:val="212121"/>
          <w:spacing w:val="6"/>
          <w:sz w:val="22"/>
          <w:szCs w:val="22"/>
          <w:lang w:val="es-ES" w:eastAsia="es-MX"/>
        </w:rPr>
        <w:t> </w:t>
      </w:r>
      <w:r>
        <w:rPr>
          <w:rFonts w:ascii="Palatino Linotype" w:hAnsi="Palatino Linotype"/>
          <w:i/>
          <w:iCs/>
          <w:color w:val="212121"/>
          <w:spacing w:val="-2"/>
          <w:sz w:val="22"/>
          <w:szCs w:val="22"/>
          <w:lang w:val="es-ES" w:eastAsia="es-MX"/>
        </w:rPr>
        <w:t>P</w:t>
      </w:r>
      <w:r>
        <w:rPr>
          <w:rFonts w:ascii="Palatino Linotype" w:hAnsi="Palatino Linotype"/>
          <w:i/>
          <w:iCs/>
          <w:color w:val="212121"/>
          <w:spacing w:val="1"/>
          <w:sz w:val="22"/>
          <w:szCs w:val="22"/>
          <w:lang w:val="es-ES" w:eastAsia="es-MX"/>
        </w:rPr>
        <w:t>úb</w:t>
      </w:r>
      <w:r>
        <w:rPr>
          <w:rFonts w:ascii="Palatino Linotype" w:hAnsi="Palatino Linotype"/>
          <w:i/>
          <w:iCs/>
          <w:color w:val="212121"/>
          <w:sz w:val="22"/>
          <w:szCs w:val="22"/>
          <w:lang w:val="es-ES" w:eastAsia="es-MX"/>
        </w:rPr>
        <w:t>l</w:t>
      </w:r>
      <w:r>
        <w:rPr>
          <w:rFonts w:ascii="Palatino Linotype" w:hAnsi="Palatino Linotype"/>
          <w:i/>
          <w:iCs/>
          <w:color w:val="212121"/>
          <w:spacing w:val="-1"/>
          <w:sz w:val="22"/>
          <w:szCs w:val="22"/>
          <w:lang w:val="es-ES" w:eastAsia="es-MX"/>
        </w:rPr>
        <w:t>i</w:t>
      </w:r>
      <w:r>
        <w:rPr>
          <w:rFonts w:ascii="Palatino Linotype" w:hAnsi="Palatino Linotype"/>
          <w:i/>
          <w:iCs/>
          <w:color w:val="212121"/>
          <w:sz w:val="22"/>
          <w:szCs w:val="22"/>
          <w:lang w:val="es-ES" w:eastAsia="es-MX"/>
        </w:rPr>
        <w:t>ca y </w:t>
      </w:r>
      <w:r>
        <w:rPr>
          <w:rFonts w:ascii="Palatino Linotype" w:hAnsi="Palatino Linotype"/>
          <w:i/>
          <w:iCs/>
          <w:color w:val="212121"/>
          <w:spacing w:val="8"/>
          <w:sz w:val="22"/>
          <w:szCs w:val="22"/>
          <w:lang w:val="es-ES" w:eastAsia="es-MX"/>
        </w:rPr>
        <w:t>130, párrafo cuarto,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z w:val="22"/>
          <w:szCs w:val="22"/>
          <w:lang w:val="es-ES" w:eastAsia="es-MX"/>
        </w:rPr>
        <w:t>la</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L</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y</w:t>
      </w:r>
      <w:r>
        <w:rPr>
          <w:rFonts w:ascii="Palatino Linotype" w:hAnsi="Palatino Linotype"/>
          <w:i/>
          <w:iCs/>
          <w:color w:val="212121"/>
          <w:spacing w:val="8"/>
          <w:sz w:val="22"/>
          <w:szCs w:val="22"/>
          <w:lang w:val="es-ES" w:eastAsia="es-MX"/>
        </w:rPr>
        <w:t> </w:t>
      </w:r>
      <w:r>
        <w:rPr>
          <w:rFonts w:ascii="Palatino Linotype" w:hAnsi="Palatino Linotype"/>
          <w:i/>
          <w:iCs/>
          <w:color w:val="212121"/>
          <w:sz w:val="22"/>
          <w:szCs w:val="22"/>
          <w:lang w:val="es-ES" w:eastAsia="es-MX"/>
        </w:rPr>
        <w:t>Fe</w:t>
      </w:r>
      <w:r>
        <w:rPr>
          <w:rFonts w:ascii="Palatino Linotype" w:hAnsi="Palatino Linotype"/>
          <w:i/>
          <w:iCs/>
          <w:color w:val="212121"/>
          <w:spacing w:val="1"/>
          <w:sz w:val="22"/>
          <w:szCs w:val="22"/>
          <w:lang w:val="es-ES" w:eastAsia="es-MX"/>
        </w:rPr>
        <w:t>de</w:t>
      </w:r>
      <w:r>
        <w:rPr>
          <w:rFonts w:ascii="Palatino Linotype" w:hAnsi="Palatino Linotype"/>
          <w:i/>
          <w:iCs/>
          <w:color w:val="212121"/>
          <w:sz w:val="22"/>
          <w:szCs w:val="22"/>
          <w:lang w:val="es-ES" w:eastAsia="es-MX"/>
        </w:rPr>
        <w:t>ral</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pacing w:val="2"/>
          <w:sz w:val="22"/>
          <w:szCs w:val="22"/>
          <w:lang w:val="es-ES" w:eastAsia="es-MX"/>
        </w:rPr>
        <w:t>T</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a</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s</w:t>
      </w:r>
      <w:r>
        <w:rPr>
          <w:rFonts w:ascii="Palatino Linotype" w:hAnsi="Palatino Linotype"/>
          <w:i/>
          <w:iCs/>
          <w:color w:val="212121"/>
          <w:spacing w:val="1"/>
          <w:sz w:val="22"/>
          <w:szCs w:val="22"/>
          <w:lang w:val="es-ES" w:eastAsia="es-MX"/>
        </w:rPr>
        <w:t>pa</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e</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cia y Acc</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so</w:t>
      </w:r>
      <w:r>
        <w:rPr>
          <w:rFonts w:ascii="Palatino Linotype" w:hAnsi="Palatino Linotype"/>
          <w:i/>
          <w:iCs/>
          <w:color w:val="212121"/>
          <w:spacing w:val="3"/>
          <w:sz w:val="22"/>
          <w:szCs w:val="22"/>
          <w:lang w:val="es-ES" w:eastAsia="es-MX"/>
        </w:rPr>
        <w:t> </w:t>
      </w:r>
      <w:r>
        <w:rPr>
          <w:rFonts w:ascii="Palatino Linotype" w:hAnsi="Palatino Linotype"/>
          <w:i/>
          <w:iCs/>
          <w:color w:val="212121"/>
          <w:sz w:val="22"/>
          <w:szCs w:val="22"/>
          <w:lang w:val="es-ES" w:eastAsia="es-MX"/>
        </w:rPr>
        <w:t>a</w:t>
      </w:r>
      <w:r>
        <w:rPr>
          <w:rFonts w:ascii="Palatino Linotype" w:hAnsi="Palatino Linotype"/>
          <w:i/>
          <w:iCs/>
          <w:color w:val="212121"/>
          <w:spacing w:val="1"/>
          <w:sz w:val="22"/>
          <w:szCs w:val="22"/>
          <w:lang w:val="es-ES" w:eastAsia="es-MX"/>
        </w:rPr>
        <w:t> </w:t>
      </w:r>
      <w:r>
        <w:rPr>
          <w:rFonts w:ascii="Palatino Linotype" w:hAnsi="Palatino Linotype"/>
          <w:i/>
          <w:iCs/>
          <w:color w:val="212121"/>
          <w:sz w:val="22"/>
          <w:szCs w:val="22"/>
          <w:lang w:val="es-ES" w:eastAsia="es-MX"/>
        </w:rPr>
        <w:t>la I</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f</w:t>
      </w:r>
      <w:r>
        <w:rPr>
          <w:rFonts w:ascii="Palatino Linotype" w:hAnsi="Palatino Linotype"/>
          <w:i/>
          <w:iCs/>
          <w:color w:val="212121"/>
          <w:spacing w:val="1"/>
          <w:sz w:val="22"/>
          <w:szCs w:val="22"/>
          <w:lang w:val="es-ES" w:eastAsia="es-MX"/>
        </w:rPr>
        <w:t>o</w:t>
      </w:r>
      <w:r>
        <w:rPr>
          <w:rFonts w:ascii="Palatino Linotype" w:hAnsi="Palatino Linotype"/>
          <w:i/>
          <w:iCs/>
          <w:color w:val="212121"/>
          <w:spacing w:val="-3"/>
          <w:sz w:val="22"/>
          <w:szCs w:val="22"/>
          <w:lang w:val="es-ES" w:eastAsia="es-MX"/>
        </w:rPr>
        <w:t>r</w:t>
      </w:r>
      <w:r>
        <w:rPr>
          <w:rFonts w:ascii="Palatino Linotype" w:hAnsi="Palatino Linotype"/>
          <w:i/>
          <w:iCs/>
          <w:color w:val="212121"/>
          <w:spacing w:val="1"/>
          <w:sz w:val="22"/>
          <w:szCs w:val="22"/>
          <w:lang w:val="es-ES" w:eastAsia="es-MX"/>
        </w:rPr>
        <w:t>ma</w:t>
      </w:r>
      <w:r>
        <w:rPr>
          <w:rFonts w:ascii="Palatino Linotype" w:hAnsi="Palatino Linotype"/>
          <w:i/>
          <w:iCs/>
          <w:color w:val="212121"/>
          <w:sz w:val="22"/>
          <w:szCs w:val="22"/>
          <w:lang w:val="es-ES" w:eastAsia="es-MX"/>
        </w:rPr>
        <w:t>ci</w:t>
      </w:r>
      <w:r>
        <w:rPr>
          <w:rFonts w:ascii="Palatino Linotype" w:hAnsi="Palatino Linotype"/>
          <w:i/>
          <w:iCs/>
          <w:color w:val="212121"/>
          <w:spacing w:val="-2"/>
          <w:sz w:val="22"/>
          <w:szCs w:val="22"/>
          <w:lang w:val="es-ES" w:eastAsia="es-MX"/>
        </w:rPr>
        <w:t>ó</w:t>
      </w:r>
      <w:r>
        <w:rPr>
          <w:rFonts w:ascii="Palatino Linotype" w:hAnsi="Palatino Linotype"/>
          <w:i/>
          <w:iCs/>
          <w:color w:val="212121"/>
          <w:sz w:val="22"/>
          <w:szCs w:val="22"/>
          <w:lang w:val="es-ES" w:eastAsia="es-MX"/>
        </w:rPr>
        <w:t>n</w:t>
      </w:r>
      <w:r>
        <w:rPr>
          <w:rFonts w:ascii="Palatino Linotype" w:hAnsi="Palatino Linotype"/>
          <w:i/>
          <w:iCs/>
          <w:color w:val="212121"/>
          <w:spacing w:val="6"/>
          <w:sz w:val="22"/>
          <w:szCs w:val="22"/>
          <w:lang w:val="es-ES" w:eastAsia="es-MX"/>
        </w:rPr>
        <w:t> </w:t>
      </w:r>
      <w:r>
        <w:rPr>
          <w:rFonts w:ascii="Palatino Linotype" w:hAnsi="Palatino Linotype"/>
          <w:i/>
          <w:iCs/>
          <w:color w:val="212121"/>
          <w:spacing w:val="-2"/>
          <w:sz w:val="22"/>
          <w:szCs w:val="22"/>
          <w:lang w:val="es-ES" w:eastAsia="es-MX"/>
        </w:rPr>
        <w:t>P</w:t>
      </w:r>
      <w:r>
        <w:rPr>
          <w:rFonts w:ascii="Palatino Linotype" w:hAnsi="Palatino Linotype"/>
          <w:i/>
          <w:iCs/>
          <w:color w:val="212121"/>
          <w:spacing w:val="1"/>
          <w:sz w:val="22"/>
          <w:szCs w:val="22"/>
          <w:lang w:val="es-ES" w:eastAsia="es-MX"/>
        </w:rPr>
        <w:t>úb</w:t>
      </w:r>
      <w:r>
        <w:rPr>
          <w:rFonts w:ascii="Palatino Linotype" w:hAnsi="Palatino Linotype"/>
          <w:i/>
          <w:iCs/>
          <w:color w:val="212121"/>
          <w:sz w:val="22"/>
          <w:szCs w:val="22"/>
          <w:lang w:val="es-ES" w:eastAsia="es-MX"/>
        </w:rPr>
        <w:t>l</w:t>
      </w:r>
      <w:r>
        <w:rPr>
          <w:rFonts w:ascii="Palatino Linotype" w:hAnsi="Palatino Linotype"/>
          <w:i/>
          <w:iCs/>
          <w:color w:val="212121"/>
          <w:spacing w:val="-1"/>
          <w:sz w:val="22"/>
          <w:szCs w:val="22"/>
          <w:lang w:val="es-ES" w:eastAsia="es-MX"/>
        </w:rPr>
        <w:t>i</w:t>
      </w:r>
      <w:r>
        <w:rPr>
          <w:rFonts w:ascii="Palatino Linotype" w:hAnsi="Palatino Linotype"/>
          <w:i/>
          <w:iCs/>
          <w:color w:val="212121"/>
          <w:sz w:val="22"/>
          <w:szCs w:val="22"/>
          <w:lang w:val="es-ES" w:eastAsia="es-MX"/>
        </w:rPr>
        <w:t>ca, </w:t>
      </w:r>
      <w:r>
        <w:rPr>
          <w:rFonts w:ascii="Palatino Linotype" w:hAnsi="Palatino Linotype"/>
          <w:i/>
          <w:iCs/>
          <w:color w:val="212121"/>
          <w:spacing w:val="-1"/>
          <w:sz w:val="22"/>
          <w:szCs w:val="22"/>
          <w:lang w:val="es-ES" w:eastAsia="es-MX"/>
        </w:rPr>
        <w:t>señalan</w:t>
      </w:r>
      <w:r>
        <w:rPr>
          <w:rFonts w:ascii="Palatino Linotype" w:hAnsi="Palatino Linotype"/>
          <w:i/>
          <w:iCs/>
          <w:color w:val="212121"/>
          <w:spacing w:val="1"/>
          <w:sz w:val="22"/>
          <w:szCs w:val="22"/>
          <w:lang w:val="es-ES" w:eastAsia="es-MX"/>
        </w:rPr>
        <w:t> </w:t>
      </w:r>
      <w:r>
        <w:rPr>
          <w:rFonts w:ascii="Palatino Linotype" w:hAnsi="Palatino Linotype"/>
          <w:i/>
          <w:iCs/>
          <w:color w:val="212121"/>
          <w:spacing w:val="-1"/>
          <w:sz w:val="22"/>
          <w:szCs w:val="22"/>
          <w:lang w:val="es-ES" w:eastAsia="es-MX"/>
        </w:rPr>
        <w:t>q</w:t>
      </w:r>
      <w:r>
        <w:rPr>
          <w:rFonts w:ascii="Palatino Linotype" w:hAnsi="Palatino Linotype"/>
          <w:i/>
          <w:iCs/>
          <w:color w:val="212121"/>
          <w:spacing w:val="1"/>
          <w:sz w:val="22"/>
          <w:szCs w:val="22"/>
          <w:lang w:val="es-ES" w:eastAsia="es-MX"/>
        </w:rPr>
        <w:t>u</w:t>
      </w:r>
      <w:r>
        <w:rPr>
          <w:rFonts w:ascii="Palatino Linotype" w:hAnsi="Palatino Linotype"/>
          <w:i/>
          <w:iCs/>
          <w:color w:val="212121"/>
          <w:sz w:val="22"/>
          <w:szCs w:val="22"/>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3E35D0" w:rsidRDefault="003E35D0">
      <w:pPr>
        <w:ind w:left="851" w:right="902"/>
        <w:jc w:val="both"/>
        <w:rPr>
          <w:rFonts w:ascii="Palatino Linotype" w:hAnsi="Palatino Linotype" w:cs="Arial"/>
          <w:i/>
          <w:color w:val="000000"/>
          <w:sz w:val="22"/>
          <w:szCs w:val="22"/>
        </w:rPr>
      </w:pPr>
    </w:p>
    <w:p w:rsidR="003E35D0" w:rsidRDefault="001916B7">
      <w:pPr>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3E35D0" w:rsidRDefault="003E35D0">
      <w:pPr>
        <w:ind w:left="851" w:right="902"/>
        <w:jc w:val="both"/>
        <w:rPr>
          <w:rFonts w:ascii="Palatino Linotype" w:hAnsi="Palatino Linotype" w:cs="Arial"/>
          <w:i/>
          <w:color w:val="000000"/>
          <w:sz w:val="22"/>
          <w:szCs w:val="22"/>
        </w:rPr>
      </w:pPr>
    </w:p>
    <w:p w:rsidR="003E35D0" w:rsidRDefault="001916B7">
      <w:pPr>
        <w:ind w:left="851" w:right="902"/>
        <w:jc w:val="both"/>
        <w:rPr>
          <w:rFonts w:ascii="Palatino Linotype" w:hAnsi="Palatino Linotype" w:cs="Arial"/>
          <w:i/>
          <w:color w:val="000000"/>
          <w:sz w:val="22"/>
          <w:szCs w:val="22"/>
        </w:rPr>
      </w:pPr>
      <w:r>
        <w:rPr>
          <w:rFonts w:ascii="Symbol" w:eastAsia="Symbol" w:hAnsi="Symbol" w:cs="Symbol"/>
          <w:i/>
          <w:color w:val="000000"/>
          <w:sz w:val="22"/>
          <w:szCs w:val="22"/>
        </w:rPr>
        <w:t></w:t>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3E35D0" w:rsidRDefault="001916B7">
      <w:pPr>
        <w:ind w:left="851" w:right="902"/>
        <w:jc w:val="both"/>
        <w:rPr>
          <w:rFonts w:ascii="Palatino Linotype" w:hAnsi="Palatino Linotype" w:cs="Arial"/>
          <w:i/>
          <w:color w:val="000000"/>
          <w:sz w:val="22"/>
          <w:szCs w:val="22"/>
        </w:rPr>
      </w:pPr>
      <w:r>
        <w:rPr>
          <w:rFonts w:ascii="Symbol" w:eastAsia="Symbol" w:hAnsi="Symbol" w:cs="Symbol"/>
          <w:i/>
          <w:color w:val="000000"/>
          <w:sz w:val="22"/>
          <w:szCs w:val="22"/>
        </w:rPr>
        <w:t></w:t>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3E35D0" w:rsidRDefault="001916B7">
      <w:pPr>
        <w:ind w:left="851" w:right="902"/>
        <w:jc w:val="both"/>
        <w:rPr>
          <w:rFonts w:ascii="Palatino Linotype" w:hAnsi="Palatino Linotype" w:cs="Arial"/>
          <w:i/>
          <w:color w:val="000000"/>
          <w:sz w:val="22"/>
          <w:szCs w:val="22"/>
        </w:rPr>
      </w:pPr>
      <w:r>
        <w:rPr>
          <w:rFonts w:ascii="Symbol" w:eastAsia="Symbol" w:hAnsi="Symbol" w:cs="Symbol"/>
          <w:i/>
          <w:color w:val="000000"/>
          <w:sz w:val="22"/>
          <w:szCs w:val="22"/>
        </w:rPr>
        <w:t></w:t>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3E35D0" w:rsidRDefault="001916B7">
      <w:pPr>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(Sic)</w:t>
      </w:r>
    </w:p>
    <w:p w:rsidR="003E35D0" w:rsidRDefault="001916B7">
      <w:pPr>
        <w:spacing w:beforeAutospacing="1" w:afterAutospacing="1" w:line="360" w:lineRule="auto"/>
        <w:jc w:val="both"/>
        <w:rPr>
          <w:rFonts w:ascii="Palatino Linotype" w:hAnsi="Palatino Linotype"/>
        </w:rPr>
      </w:pPr>
      <w:r>
        <w:rPr>
          <w:rFonts w:ascii="Palatino Linotype" w:hAnsi="Palatino Linotype"/>
        </w:rPr>
        <w:t xml:space="preserve">Así, los Sujetos Obligados, están constreñidos a entregar la información; tal y como, la generan y obra en sus archivos; por lo que, debe entregar aquella que contenga </w:t>
      </w:r>
      <w:r>
        <w:rPr>
          <w:rFonts w:ascii="Palatino Linotype" w:hAnsi="Palatino Linotype"/>
          <w:b/>
        </w:rPr>
        <w:t>el mayor grado de desagregación</w:t>
      </w:r>
      <w:r>
        <w:rPr>
          <w:rFonts w:ascii="Palatino Linotype" w:hAnsi="Palatino Linotype"/>
        </w:rPr>
        <w:t xml:space="preserve"> posible; sin que, dicha situación conlleve a la realización de un documento en específico, es decir, debe entregase la información tal </w:t>
      </w:r>
      <w:r>
        <w:rPr>
          <w:rFonts w:ascii="Palatino Linotype" w:hAnsi="Palatino Linotype"/>
        </w:rPr>
        <w:lastRenderedPageBreak/>
        <w:t xml:space="preserve">como conste en sus archivos y en el estado en que se encuentren, salvo las excepciones de reserva y confidencialidad de la información. </w:t>
      </w:r>
    </w:p>
    <w:p w:rsidR="003E35D0" w:rsidRDefault="001916B7">
      <w:pPr>
        <w:spacing w:line="360" w:lineRule="auto"/>
        <w:jc w:val="both"/>
        <w:rPr>
          <w:rFonts w:ascii="Palatino Linotype" w:hAnsi="Palatino Linotype"/>
        </w:rPr>
      </w:pPr>
      <w:r>
        <w:rPr>
          <w:rFonts w:ascii="Palatino Linotype" w:hAnsi="Palatino Linotype" w:cs="Arial"/>
        </w:rPr>
        <w:t xml:space="preserve">Una vez precisado lo anterior, </w:t>
      </w:r>
      <w:r>
        <w:rPr>
          <w:rFonts w:ascii="Palatino Linotype" w:hAnsi="Palatino Linotype"/>
          <w:lang w:val="es-AR"/>
        </w:rPr>
        <w:t xml:space="preserve">es importante señalar </w:t>
      </w:r>
      <w:r>
        <w:rPr>
          <w:rFonts w:ascii="Palatino Linotype" w:hAnsi="Palatino Linotype" w:cs="Arial"/>
          <w:lang w:val="es-ES"/>
        </w:rPr>
        <w:t xml:space="preserve">que el particular </w:t>
      </w:r>
      <w:r>
        <w:rPr>
          <w:rFonts w:ascii="Palatino Linotype" w:hAnsi="Palatino Linotype"/>
          <w:lang w:val="es-ES"/>
        </w:rPr>
        <w:t xml:space="preserve">al momento de presentar su solicitud de acceso a la información, omitió precisar la temporalidad; sin embargo, </w:t>
      </w:r>
      <w:r>
        <w:rPr>
          <w:rFonts w:ascii="Palatino Linotype" w:hAnsi="Palatino Linotype" w:cs="Arial"/>
        </w:rPr>
        <w:t>es importante referir que los solicitantes de información no son expertos o especialistas en la materia, por lo que es deber de los Sujetos Obligados deben orientarlos o requerirlos para que indiquen otros elementos que complementen, corrijan o amplíen los datos proporcionados o bien, precisen la información, mediante la aclaración de la solicitud.</w:t>
      </w:r>
    </w:p>
    <w:p w:rsidR="003E35D0" w:rsidRDefault="003E35D0">
      <w:pPr>
        <w:spacing w:line="360" w:lineRule="auto"/>
        <w:contextualSpacing/>
        <w:jc w:val="both"/>
        <w:rPr>
          <w:rFonts w:ascii="Palatino Linotype" w:hAnsi="Palatino Linotype" w:cs="Arial"/>
        </w:rPr>
      </w:pPr>
    </w:p>
    <w:p w:rsidR="003E35D0" w:rsidRDefault="001916B7">
      <w:pPr>
        <w:spacing w:line="360" w:lineRule="auto"/>
        <w:contextualSpacing/>
        <w:jc w:val="both"/>
        <w:rPr>
          <w:rFonts w:ascii="Palatino Linotype" w:hAnsi="Palatino Linotype" w:cs="Arial"/>
          <w:color w:val="000000" w:themeColor="text1"/>
          <w:lang w:val="es-ES"/>
        </w:rPr>
      </w:pPr>
      <w:r>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Pr>
          <w:rFonts w:ascii="Palatino Linotype" w:hAnsi="Palatino Linotype"/>
        </w:rPr>
        <w:t xml:space="preserve">bajo el amparo del principio de máxima publicidad y pro persona; </w:t>
      </w:r>
      <w:r>
        <w:rPr>
          <w:rFonts w:ascii="Palatino Linotype" w:hAnsi="Palatino Linotype" w:cs="Arial"/>
          <w:color w:val="000000" w:themeColor="text1"/>
          <w:lang w:val="es-ES"/>
        </w:rPr>
        <w:t>determina que la información solicitada corresponderá a la generada, poseída o administrada vigente a la fecha de la solicitud, es decir, al 8 de enero de 2020.</w:t>
      </w:r>
    </w:p>
    <w:p w:rsidR="003E35D0" w:rsidRDefault="003E35D0">
      <w:pPr>
        <w:spacing w:line="360" w:lineRule="auto"/>
        <w:jc w:val="both"/>
        <w:rPr>
          <w:rFonts w:ascii="Palatino Linotype" w:eastAsia="Arial Unicode MS" w:hAnsi="Palatino Linotype" w:cs="Arial"/>
          <w:lang w:val="es-ES"/>
        </w:rPr>
      </w:pPr>
    </w:p>
    <w:p w:rsidR="003E35D0" w:rsidRDefault="001916B7">
      <w:pPr>
        <w:spacing w:line="360" w:lineRule="auto"/>
        <w:jc w:val="both"/>
        <w:rPr>
          <w:rFonts w:ascii="Palatino Linotype" w:hAnsi="Palatino Linotype" w:cs="Arial"/>
        </w:rPr>
      </w:pPr>
      <w:r>
        <w:rPr>
          <w:rFonts w:ascii="Palatino Linotype" w:hAnsi="Palatino Linotype" w:cs="Arial"/>
        </w:rPr>
        <w:t xml:space="preserve">Ahora bien, se advierte que las aseveraciones del particular, esgrimidos en sus motivos y razones de inconformidad, respecto a </w:t>
      </w:r>
      <w:r>
        <w:t>“</w:t>
      </w:r>
      <w:r>
        <w:rPr>
          <w:rFonts w:ascii="Palatino Linotype" w:hAnsi="Palatino Linotype" w:cs="Arial"/>
          <w:i/>
        </w:rPr>
        <w:t>saber si las faltas cometidas por vehículos del servicio público, se aplican discrecionalmente y a criterios de los encargados de las visitas”</w:t>
      </w:r>
      <w:r>
        <w:rPr>
          <w:rFonts w:ascii="Palatino Linotype" w:hAnsi="Palatino Linotype" w:cs="Arial"/>
        </w:rPr>
        <w:t xml:space="preserve">, corresponde a un nuevo requerimiento de información puesto que </w:t>
      </w:r>
      <w:r>
        <w:rPr>
          <w:rFonts w:ascii="Palatino Linotype" w:hAnsi="Palatino Linotype" w:cs="Arial"/>
          <w:b/>
        </w:rPr>
        <w:t>EL SUJETO OBLIGADO</w:t>
      </w:r>
      <w:r>
        <w:rPr>
          <w:rFonts w:ascii="Palatino Linotype" w:hAnsi="Palatino Linotype" w:cs="Arial"/>
        </w:rPr>
        <w:t>.</w:t>
      </w:r>
    </w:p>
    <w:p w:rsidR="003E35D0" w:rsidRDefault="003E35D0">
      <w:pPr>
        <w:spacing w:line="360" w:lineRule="auto"/>
        <w:jc w:val="both"/>
        <w:rPr>
          <w:rFonts w:ascii="Palatino Linotype" w:hAnsi="Palatino Linotype" w:cs="Arial"/>
        </w:rPr>
      </w:pPr>
    </w:p>
    <w:p w:rsidR="003E35D0" w:rsidRDefault="001916B7">
      <w:pPr>
        <w:spacing w:line="360" w:lineRule="auto"/>
        <w:jc w:val="both"/>
        <w:rPr>
          <w:rFonts w:ascii="Palatino Linotype" w:hAnsi="Palatino Linotype" w:cs="Arial"/>
          <w:i/>
        </w:rPr>
      </w:pPr>
      <w:r>
        <w:rPr>
          <w:rFonts w:ascii="Palatino Linotype" w:eastAsia="Arial Unicode MS" w:hAnsi="Palatino Linotype" w:cs="Arial"/>
          <w:lang w:val="es-ES"/>
        </w:rPr>
        <w:lastRenderedPageBreak/>
        <w:t>Así,</w:t>
      </w:r>
      <w:r>
        <w:rPr>
          <w:rFonts w:ascii="Palatino Linotype" w:hAnsi="Palatino Linotype"/>
          <w:color w:val="000000"/>
          <w:lang w:val="es-ES"/>
        </w:rPr>
        <w:t xml:space="preserve"> </w:t>
      </w:r>
      <w:r>
        <w:rPr>
          <w:rFonts w:ascii="Palatino Linotype" w:hAnsi="Palatino Linotype" w:cs="Arial"/>
          <w:lang w:val="es-ES"/>
        </w:rPr>
        <w:t xml:space="preserve">este Instituto observa que se trata de una petición adicional o </w:t>
      </w:r>
      <w:r>
        <w:rPr>
          <w:rFonts w:ascii="Palatino Linotype" w:hAnsi="Palatino Linotype" w:cs="Arial"/>
          <w:i/>
          <w:lang w:val="es-ES"/>
        </w:rPr>
        <w:t>plus petitio</w:t>
      </w:r>
      <w:r>
        <w:rPr>
          <w:rFonts w:ascii="Palatino Linotype" w:hAnsi="Palatino Linotype" w:cs="Arial"/>
          <w:lang w:val="es-ES"/>
        </w:rPr>
        <w:t xml:space="preserve">, en relación a la solicitud de información del </w:t>
      </w:r>
      <w:r>
        <w:rPr>
          <w:rFonts w:ascii="Palatino Linotype" w:hAnsi="Palatino Linotype" w:cs="Arial"/>
          <w:b/>
          <w:lang w:val="es-ES"/>
        </w:rPr>
        <w:t>RECURRENTE</w:t>
      </w:r>
      <w:r>
        <w:rPr>
          <w:rFonts w:ascii="Palatino Linotype" w:hAnsi="Palatino Linotype" w:cs="Arial"/>
          <w:lang w:val="es-ES"/>
        </w:rPr>
        <w:t xml:space="preserve">; esto es, adhiere información, que no había sido solicitada, pues de la solicitud primigenia no se advierte dicha manifestación par parte del particular; </w:t>
      </w:r>
      <w:r>
        <w:rPr>
          <w:rFonts w:ascii="Palatino Linotype" w:hAnsi="Palatino Linotype" w:cs="Arial"/>
          <w:lang w:val="es-ES" w:eastAsia="es-MX"/>
        </w:rPr>
        <w:t xml:space="preserve">pues éstos no fueron del conocimiento del </w:t>
      </w:r>
      <w:r>
        <w:rPr>
          <w:rFonts w:ascii="Palatino Linotype" w:hAnsi="Palatino Linotype" w:cs="Arial"/>
          <w:b/>
          <w:lang w:val="es-ES" w:eastAsia="es-MX"/>
        </w:rPr>
        <w:t>SUJETO OBLIGADO</w:t>
      </w:r>
      <w:r>
        <w:rPr>
          <w:rFonts w:ascii="Palatino Linotype" w:hAnsi="Palatino Linotype" w:cs="Arial"/>
          <w:lang w:val="es-ES" w:eastAsia="es-MX"/>
        </w:rPr>
        <w:t>, al momento de la solicitud de información primigenia, por lo que, no tuvo la oportunidad legal de analizarlas ni de pronunciarse sobre ellas.</w:t>
      </w:r>
    </w:p>
    <w:p w:rsidR="003E35D0" w:rsidRDefault="003E35D0">
      <w:pPr>
        <w:spacing w:line="360" w:lineRule="auto"/>
        <w:jc w:val="both"/>
        <w:rPr>
          <w:rFonts w:ascii="Palatino Linotype" w:hAnsi="Palatino Linotype" w:cs="Arial"/>
          <w:lang w:val="es-ES" w:eastAsia="es-MX"/>
        </w:rPr>
      </w:pPr>
    </w:p>
    <w:p w:rsidR="003E35D0" w:rsidRDefault="001916B7">
      <w:pPr>
        <w:spacing w:line="360" w:lineRule="auto"/>
        <w:jc w:val="both"/>
        <w:rPr>
          <w:rFonts w:ascii="Palatino Linotype" w:hAnsi="Palatino Linotype" w:cs="Arial"/>
          <w:lang w:val="es-ES" w:eastAsia="es-MX"/>
        </w:rPr>
      </w:pPr>
      <w:r>
        <w:rPr>
          <w:rFonts w:ascii="Palatino Linotype" w:hAnsi="Palatino Linotype" w:cs="Arial"/>
          <w:lang w:val="es-ES" w:eastAsia="es-MX"/>
        </w:rPr>
        <w:t>Sirve de apoyo por analogía la siguiente tesis jurisprudencial número VI. 2º. A. J/7, publicada en el Semanario Judicial de la Federación y su gaceta, bajo el número de registro 178,788:</w:t>
      </w:r>
    </w:p>
    <w:p w:rsidR="003E35D0" w:rsidRDefault="003E35D0">
      <w:pPr>
        <w:jc w:val="both"/>
        <w:rPr>
          <w:rFonts w:ascii="Palatino Linotype" w:hAnsi="Palatino Linotype" w:cs="Arial"/>
          <w:lang w:val="es-ES" w:eastAsia="es-MX"/>
        </w:rPr>
      </w:pPr>
    </w:p>
    <w:p w:rsidR="003E35D0" w:rsidRDefault="001916B7">
      <w:pPr>
        <w:ind w:left="851" w:right="901"/>
        <w:jc w:val="both"/>
        <w:rPr>
          <w:rFonts w:ascii="Palatino Linotype" w:hAnsi="Palatino Linotype" w:cs="Arial"/>
          <w:i/>
          <w:sz w:val="22"/>
          <w:szCs w:val="22"/>
          <w:lang w:val="es-ES"/>
        </w:rPr>
      </w:pPr>
      <w:r>
        <w:rPr>
          <w:rFonts w:ascii="Palatino Linotype" w:hAnsi="Palatino Linotype" w:cs="Arial"/>
          <w:sz w:val="22"/>
          <w:szCs w:val="22"/>
          <w:lang w:val="es-ES" w:eastAsia="es-MX"/>
        </w:rPr>
        <w:t>“</w:t>
      </w:r>
      <w:r>
        <w:rPr>
          <w:rFonts w:ascii="Palatino Linotype" w:hAnsi="Palatino Linotype" w:cs="Arial"/>
          <w:i/>
          <w:sz w:val="22"/>
          <w:szCs w:val="22"/>
          <w:lang w:val="es-ES"/>
        </w:rPr>
        <w:t xml:space="preserve">CONCEPTOS DE VIOLACIÓN EN EL AMPARO DIRECTO. </w:t>
      </w:r>
      <w:r>
        <w:rPr>
          <w:rFonts w:ascii="Palatino Linotype" w:hAnsi="Palatino Linotype" w:cs="Arial"/>
          <w:b/>
          <w:i/>
          <w:sz w:val="22"/>
          <w:szCs w:val="22"/>
          <w:lang w:val="es-ES"/>
        </w:rPr>
        <w:t xml:space="preserve">INOPERANCIA </w:t>
      </w:r>
      <w:r>
        <w:rPr>
          <w:rFonts w:ascii="Palatino Linotype" w:hAnsi="Palatino Linotype" w:cs="Arial"/>
          <w:b/>
          <w:i/>
          <w:sz w:val="22"/>
          <w:szCs w:val="22"/>
          <w:lang w:val="es-ES" w:eastAsia="es-MX"/>
        </w:rPr>
        <w:t>DE</w:t>
      </w:r>
      <w:r>
        <w:rPr>
          <w:rFonts w:ascii="Palatino Linotype" w:hAnsi="Palatino Linotype" w:cs="Arial"/>
          <w:b/>
          <w:i/>
          <w:sz w:val="22"/>
          <w:szCs w:val="22"/>
          <w:lang w:val="es-ES"/>
        </w:rPr>
        <w:t xml:space="preserve"> LOS QUE INTRODUCEN CUESTIONAMIENTOS NOVEDOSOS QUE NO FUERON PLANTEADOS EN EL JUICIO NATURAL</w:t>
      </w:r>
      <w:r>
        <w:rPr>
          <w:rFonts w:ascii="Palatino Linotype" w:hAnsi="Palatino Linotype" w:cs="Arial"/>
          <w:i/>
          <w:sz w:val="22"/>
          <w:szCs w:val="22"/>
          <w:lang w:val="es-ES"/>
        </w:rPr>
        <w:t xml:space="preserve">. </w:t>
      </w:r>
      <w:r>
        <w:rPr>
          <w:rFonts w:ascii="Palatino Linotype" w:hAnsi="Palatino Linotype" w:cs="Arial"/>
          <w:b/>
          <w:i/>
          <w:sz w:val="22"/>
          <w:szCs w:val="22"/>
          <w:lang w:val="es-ES"/>
        </w:rPr>
        <w:t>Si en los conceptos de violación se formulan argumentos que no se plantearon</w:t>
      </w:r>
      <w:r>
        <w:rPr>
          <w:rFonts w:ascii="Palatino Linotype" w:hAnsi="Palatino Linotype" w:cs="Arial"/>
          <w:i/>
          <w:sz w:val="22"/>
          <w:szCs w:val="22"/>
          <w:lang w:val="es-ES"/>
        </w:rPr>
        <w:t xml:space="preserve"> ante la Sala Fiscal que dictó la sentencia que constituye el acto reclamado, </w:t>
      </w:r>
      <w:r>
        <w:rPr>
          <w:rFonts w:ascii="Palatino Linotype" w:hAnsi="Palatino Linotype" w:cs="Arial"/>
          <w:b/>
          <w:i/>
          <w:sz w:val="22"/>
          <w:szCs w:val="22"/>
          <w:lang w:val="es-ES"/>
        </w:rPr>
        <w:t xml:space="preserve">los mismos son </w:t>
      </w:r>
      <w:r>
        <w:rPr>
          <w:rFonts w:ascii="Palatino Linotype" w:hAnsi="Palatino Linotype" w:cs="Arial"/>
          <w:i/>
          <w:sz w:val="22"/>
          <w:szCs w:val="22"/>
          <w:lang w:val="es-ES"/>
        </w:rPr>
        <w:t xml:space="preserve">inoperantes, toda vez que </w:t>
      </w:r>
      <w:r>
        <w:rPr>
          <w:rFonts w:ascii="Palatino Linotype" w:hAnsi="Palatino Linotype"/>
          <w:i/>
          <w:sz w:val="22"/>
          <w:szCs w:val="22"/>
          <w:lang w:val="es-ES"/>
        </w:rPr>
        <w:t>resultaría</w:t>
      </w:r>
      <w:r>
        <w:rPr>
          <w:rFonts w:ascii="Palatino Linotype" w:hAnsi="Palatino Linotype" w:cs="Arial"/>
          <w:i/>
          <w:sz w:val="22"/>
          <w:szCs w:val="22"/>
          <w:lang w:val="es-ES"/>
        </w:rPr>
        <w:t xml:space="preserve"> injustificado examinar la constitucionalidad de la sentencia combatida </w:t>
      </w:r>
      <w:r>
        <w:rPr>
          <w:rFonts w:ascii="Palatino Linotype" w:hAnsi="Palatino Linotype" w:cs="Arial"/>
          <w:b/>
          <w:i/>
          <w:sz w:val="22"/>
          <w:szCs w:val="22"/>
          <w:lang w:val="es-ES"/>
        </w:rPr>
        <w:t>a la luz de razonamientos que no conoció la autoridad responsable</w:t>
      </w:r>
      <w:r>
        <w:rPr>
          <w:rFonts w:ascii="Palatino Linotype" w:hAnsi="Palatino Linotype" w:cs="Arial"/>
          <w:i/>
          <w:sz w:val="22"/>
          <w:szCs w:val="22"/>
          <w:lang w:val="es-ES"/>
        </w:rPr>
        <w:t xml:space="preserve">, </w:t>
      </w:r>
      <w:r>
        <w:rPr>
          <w:rFonts w:ascii="Palatino Linotype" w:hAnsi="Palatino Linotype" w:cs="Arial"/>
          <w:b/>
          <w:i/>
          <w:sz w:val="22"/>
          <w:szCs w:val="22"/>
          <w:lang w:val="es-ES"/>
        </w:rPr>
        <w:t>pues como tales manifestaciones no formaron parte de la litis natural</w:t>
      </w:r>
      <w:r>
        <w:rPr>
          <w:rFonts w:ascii="Palatino Linotype" w:hAnsi="Palatino Linotype" w:cs="Arial"/>
          <w:i/>
          <w:sz w:val="22"/>
          <w:szCs w:val="22"/>
          <w:lang w:val="es-ES"/>
        </w:rPr>
        <w:t xml:space="preserve">, la Sala </w:t>
      </w:r>
      <w:r>
        <w:rPr>
          <w:rFonts w:ascii="Palatino Linotype" w:hAnsi="Palatino Linotype" w:cs="Arial"/>
          <w:b/>
          <w:i/>
          <w:sz w:val="22"/>
          <w:szCs w:val="22"/>
          <w:lang w:val="es-ES"/>
        </w:rPr>
        <w:t>no tuvo la oportunidad legal de analizarlas ni de pronunciarse sobre ellas</w:t>
      </w:r>
      <w:r>
        <w:rPr>
          <w:rFonts w:ascii="Palatino Linotype" w:hAnsi="Palatino Linotype" w:cs="Arial"/>
          <w:i/>
          <w:sz w:val="22"/>
          <w:szCs w:val="22"/>
          <w:lang w:val="es-ES"/>
        </w:rPr>
        <w:t>.</w:t>
      </w:r>
    </w:p>
    <w:p w:rsidR="003E35D0" w:rsidRDefault="001916B7">
      <w:pPr>
        <w:ind w:left="851" w:right="709"/>
        <w:jc w:val="both"/>
        <w:rPr>
          <w:rFonts w:ascii="Palatino Linotype" w:hAnsi="Palatino Linotype" w:cs="Arial"/>
          <w:i/>
          <w:sz w:val="22"/>
          <w:szCs w:val="22"/>
          <w:lang w:val="es-ES"/>
        </w:rPr>
      </w:pPr>
      <w:r>
        <w:rPr>
          <w:rFonts w:ascii="Palatino Linotype" w:hAnsi="Palatino Linotype" w:cs="Arial"/>
          <w:i/>
          <w:sz w:val="22"/>
          <w:szCs w:val="22"/>
          <w:lang w:val="es-ES"/>
        </w:rPr>
        <w:t>SEGUNDO TRIBUNAL COLEGIADO EN MATERIA ADMINISTRATIVA DEL SEXTO CIRCUITO.</w:t>
      </w:r>
    </w:p>
    <w:p w:rsidR="003E35D0" w:rsidRDefault="001916B7">
      <w:pPr>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Amparo directo 338/2001. Hilados de Lana, S.A. de C.V. 31 de octubre de 2001. Unanimidad de votos. Ponente: Amanda R. García González. Secretaria: Fernanda María Adela Talavera Díaz.</w:t>
      </w:r>
    </w:p>
    <w:p w:rsidR="003E35D0" w:rsidRDefault="001916B7">
      <w:pPr>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Amparo directo 20/2002. Afianzadora Insurgentes, S.A. de C.V. 14 de febrero de 2002. Unanimidad de votos. Ponente: Omar Losson Ovando. Secretaria: Elsa María López Luna.</w:t>
      </w:r>
    </w:p>
    <w:p w:rsidR="003E35D0" w:rsidRDefault="001916B7">
      <w:pPr>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Amparo directo 271/2002. Fianzas México Bital, S.A., Grupo Financiero Bital. 7 de noviembre de 2002. Unanimidad de votos. Ponente: Antonio Meza Alarcón. Secretario: Roberto Genchi Recinos.</w:t>
      </w:r>
    </w:p>
    <w:p w:rsidR="003E35D0" w:rsidRDefault="001916B7">
      <w:pPr>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lastRenderedPageBreak/>
        <w:t>Amparo directo 181/2003. Constructora y Arrendadora Paquime, S.A. de C.V. 5 de junio de 2003. Unanimidad de votos. Ponente: Omar Losson Ovando. Secretaria: Elsa María López Luna.</w:t>
      </w:r>
    </w:p>
    <w:p w:rsidR="003E35D0" w:rsidRDefault="001916B7">
      <w:pPr>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Amparo directo 137/2003. Oficentro Zanella, S.A. de C.V. 12 de junio de 2003. Unanimidad de votos. Ponente: Omar Losson Ovando. Secretaria: Elsa María López Luna.</w:t>
      </w:r>
    </w:p>
    <w:p w:rsidR="003E35D0" w:rsidRDefault="001916B7">
      <w:pPr>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Véase: Apéndice al Semanario Judicial de la Federación 1917-2000, Tomo III, Materia Administrativa, página 267, tesis 250, de rubro: "CONCEPTOS DE VIOLACIÓN EN EL AMPARO DIRECTO. INEFICACIA DE LOS ARGUMENTOS NO PROPUESTOS A LA SALA FISCAL RESPONSABLE."</w:t>
      </w:r>
    </w:p>
    <w:p w:rsidR="003E35D0" w:rsidRDefault="003E35D0">
      <w:pPr>
        <w:spacing w:beforeAutospacing="1" w:afterAutospacing="1" w:line="360" w:lineRule="auto"/>
        <w:ind w:right="51"/>
        <w:contextualSpacing/>
        <w:jc w:val="both"/>
        <w:rPr>
          <w:rFonts w:ascii="Palatino Linotype" w:hAnsi="Palatino Linotype" w:cs="Arial"/>
        </w:rPr>
      </w:pPr>
    </w:p>
    <w:p w:rsidR="003E35D0" w:rsidRDefault="001916B7">
      <w:pPr>
        <w:spacing w:beforeAutospacing="1" w:afterAutospacing="1" w:line="360" w:lineRule="auto"/>
        <w:contextualSpacing/>
        <w:jc w:val="both"/>
        <w:rPr>
          <w:rFonts w:ascii="Palatino Linotype" w:eastAsia="Calibri" w:hAnsi="Palatino Linotype" w:cs="Arial"/>
          <w:b/>
        </w:rPr>
      </w:pPr>
      <w:r>
        <w:rPr>
          <w:rFonts w:ascii="Palatino Linotype" w:eastAsia="Calibri" w:hAnsi="Palatino Linotype" w:cs="Arial"/>
        </w:rPr>
        <w:t xml:space="preserve">En este mismo orden de ideas, es importante desglosar la información solicitada, con la remitida en respuesta, a efecto de verificar si </w:t>
      </w:r>
      <w:r>
        <w:rPr>
          <w:rFonts w:ascii="Palatino Linotype" w:eastAsia="Calibri" w:hAnsi="Palatino Linotype" w:cs="Arial"/>
          <w:b/>
        </w:rPr>
        <w:t xml:space="preserve">EL SUJETO OBLIGADO </w:t>
      </w:r>
      <w:r>
        <w:rPr>
          <w:rFonts w:ascii="Palatino Linotype" w:eastAsia="Calibri" w:hAnsi="Palatino Linotype" w:cs="Arial"/>
        </w:rPr>
        <w:t>satisfizo el derecho de acceso a la información del ahora</w:t>
      </w:r>
      <w:r>
        <w:rPr>
          <w:rFonts w:ascii="Palatino Linotype" w:eastAsia="Calibri" w:hAnsi="Palatino Linotype" w:cs="Arial"/>
          <w:b/>
        </w:rPr>
        <w:t xml:space="preserve"> RECURRENTE.</w:t>
      </w:r>
    </w:p>
    <w:p w:rsidR="003E35D0" w:rsidRDefault="003E35D0">
      <w:pPr>
        <w:spacing w:beforeAutospacing="1" w:afterAutospacing="1" w:line="360" w:lineRule="auto"/>
        <w:contextualSpacing/>
        <w:jc w:val="both"/>
        <w:rPr>
          <w:rFonts w:ascii="Palatino Linotype" w:eastAsia="Calibri" w:hAnsi="Palatino Linotype" w:cs="Arial"/>
          <w:b/>
        </w:rPr>
      </w:pPr>
    </w:p>
    <w:p w:rsidR="003E35D0" w:rsidRDefault="001916B7">
      <w:pPr>
        <w:spacing w:beforeAutospacing="1" w:afterAutospacing="1" w:line="360" w:lineRule="auto"/>
        <w:contextualSpacing/>
        <w:jc w:val="both"/>
        <w:rPr>
          <w:rFonts w:ascii="Palatino Linotype" w:hAnsi="Palatino Linotype"/>
        </w:rPr>
      </w:pPr>
      <w:r>
        <w:rPr>
          <w:rFonts w:ascii="Palatino Linotype" w:eastAsia="Calibri" w:hAnsi="Palatino Linotype" w:cs="Arial"/>
        </w:rPr>
        <w:t xml:space="preserve">Así cabe recordar que, el particular, requirió del </w:t>
      </w:r>
      <w:r>
        <w:rPr>
          <w:rFonts w:ascii="Palatino Linotype" w:eastAsia="Calibri" w:hAnsi="Palatino Linotype" w:cs="Arial"/>
          <w:b/>
        </w:rPr>
        <w:t>SUJETO OBLIGADO</w:t>
      </w:r>
      <w:r>
        <w:rPr>
          <w:rFonts w:ascii="Palatino Linotype" w:eastAsia="Calibri" w:hAnsi="Palatino Linotype" w:cs="Arial"/>
        </w:rPr>
        <w:t>, “</w:t>
      </w:r>
      <w:r>
        <w:rPr>
          <w:rFonts w:ascii="Palatino Linotype" w:hAnsi="Palatino Linotype"/>
          <w:i/>
          <w:color w:val="000000"/>
        </w:rPr>
        <w:t>La expresión documental que contenga las infracciones para remitir un vehículo de transporte público al corralón”</w:t>
      </w:r>
      <w:r>
        <w:rPr>
          <w:rFonts w:ascii="Palatino Linotype" w:hAnsi="Palatino Linotype"/>
          <w:sz w:val="20"/>
          <w:szCs w:val="20"/>
        </w:rPr>
        <w:t xml:space="preserve"> Mediante respuesta e Informe Justificado, </w:t>
      </w:r>
      <w:r>
        <w:rPr>
          <w:rFonts w:ascii="Palatino Linotype" w:hAnsi="Palatino Linotype"/>
          <w:b/>
          <w:sz w:val="20"/>
          <w:szCs w:val="20"/>
        </w:rPr>
        <w:t>EL SUJETO OBLIGADO</w:t>
      </w:r>
      <w:r>
        <w:rPr>
          <w:rFonts w:ascii="Palatino Linotype" w:hAnsi="Palatino Linotype"/>
        </w:rPr>
        <w:t xml:space="preserve">, manifestó que el fundamento legal para remitir un vehículo a un depósito vehicular (corralón), se encuentra en los artículos 7.79 del Código Administrativo del Estado de México y el articulo 132 del reglamento del Transporte Público y Servicios Conexos del Estado de México; y en segundo lugar, manifestó que son variados los motivos por los cuales se pueden remitir los vehículos de transporte público a un depósito vehicular, ya que se trata de una medida de seguridad que se puede imponer por flagrantes violaciones a cualquiera de las disposiciones previstas en el Código Administrativo y las disposiciones que de él emanen. Definió la flagrancia y enfatizó que, a pesar de que los motivos son numerosos, todos se encuentran inmersos en el Código Administrativo y el Reglamento del Transporte Público y Servicios Conexos, ambos del Estado de </w:t>
      </w:r>
      <w:r>
        <w:rPr>
          <w:rFonts w:ascii="Palatino Linotype" w:hAnsi="Palatino Linotype"/>
        </w:rPr>
        <w:lastRenderedPageBreak/>
        <w:t>México, en consecuencia, el concesionario para ser considerado como tal, debe dar cumplimiento a diversas obligaciones, dentro de las cuales la primera es prestar el servicio en los términos del Libro Séptimo del Código Administrativo del Estado de México, del Reglamento del Transporte Público y Servicios Conexos del Estado de México y de la concesión respectiva, según lo dispone el artículo 7.26 del Código en  comento y finalmente manifestó que los casos por las cuales un vehículo puede ser remitido al depósito son las contempladas en el artículo 7.84 del Libreo Séptimo del Código Administrativo del Estado de México.</w:t>
      </w:r>
    </w:p>
    <w:p w:rsidR="003E35D0" w:rsidRDefault="003E35D0">
      <w:pPr>
        <w:spacing w:beforeAutospacing="1" w:afterAutospacing="1" w:line="360" w:lineRule="auto"/>
        <w:contextualSpacing/>
        <w:jc w:val="both"/>
        <w:rPr>
          <w:rFonts w:ascii="Palatino Linotype" w:hAnsi="Palatino Linotype"/>
        </w:rPr>
      </w:pPr>
    </w:p>
    <w:p w:rsidR="003E35D0" w:rsidRDefault="001916B7">
      <w:pPr>
        <w:spacing w:beforeAutospacing="1" w:afterAutospacing="1" w:line="360" w:lineRule="auto"/>
        <w:contextualSpacing/>
        <w:jc w:val="both"/>
        <w:rPr>
          <w:rFonts w:ascii="Palatino Linotype" w:hAnsi="Palatino Linotype"/>
        </w:rPr>
      </w:pPr>
      <w:r>
        <w:rPr>
          <w:rFonts w:ascii="Palatino Linotype" w:hAnsi="Palatino Linotype"/>
        </w:rPr>
        <w:t>Ateto a esto, conviene desglosar el contenido de los siguientes ordenamientos legales:</w:t>
      </w:r>
    </w:p>
    <w:p w:rsidR="003E35D0" w:rsidRDefault="00937CFB">
      <w:pPr>
        <w:spacing w:beforeAutospacing="1" w:afterAutospacing="1" w:line="360" w:lineRule="auto"/>
        <w:contextualSpacing/>
        <w:jc w:val="center"/>
        <w:rPr>
          <w:rFonts w:ascii="Palatino Linotype" w:hAnsi="Palatino Linotype"/>
          <w:b/>
          <w:sz w:val="22"/>
          <w:szCs w:val="22"/>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329564</wp:posOffset>
                </wp:positionH>
                <wp:positionV relativeFrom="paragraph">
                  <wp:posOffset>1520189</wp:posOffset>
                </wp:positionV>
                <wp:extent cx="5610225" cy="2676525"/>
                <wp:effectExtent l="38100" t="38100" r="66675" b="85725"/>
                <wp:wrapNone/>
                <wp:docPr id="18" name="Conector recto 18"/>
                <wp:cNvGraphicFramePr/>
                <a:graphic xmlns:a="http://schemas.openxmlformats.org/drawingml/2006/main">
                  <a:graphicData uri="http://schemas.microsoft.com/office/word/2010/wordprocessingShape">
                    <wps:wsp>
                      <wps:cNvCnPr/>
                      <wps:spPr>
                        <a:xfrm>
                          <a:off x="0" y="0"/>
                          <a:ext cx="5610225" cy="2676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15225C" id="Conector recto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95pt,119.7pt" to="467.7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" strokecolor="#4f81bd [3204]" strokeweight="2pt">
                <v:shadow on="t" color="black" opacity="24903f" origin=",.5" offset="0,.55556mm"/>
              </v:line>
            </w:pict>
          </mc:Fallback>
        </mc:AlternateContent>
      </w:r>
      <w:r w:rsidR="001916B7">
        <w:rPr>
          <w:noProof/>
          <w:lang w:eastAsia="es-MX"/>
        </w:rPr>
        <w:drawing>
          <wp:inline distT="0" distB="0" distL="0" distR="0">
            <wp:extent cx="5504815" cy="144145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pic:cNvPicPr>
                      <a:picLocks noChangeAspect="1" noChangeArrowheads="1"/>
                    </pic:cNvPicPr>
                  </pic:nvPicPr>
                  <pic:blipFill>
                    <a:blip r:embed="rId16"/>
                    <a:srcRect l="16447" t="17544" r="18765" b="53957"/>
                    <a:stretch>
                      <a:fillRect/>
                    </a:stretch>
                  </pic:blipFill>
                  <pic:spPr bwMode="auto">
                    <a:xfrm>
                      <a:off x="0" y="0"/>
                      <a:ext cx="5504815" cy="1441450"/>
                    </a:xfrm>
                    <a:prstGeom prst="rect">
                      <a:avLst/>
                    </a:prstGeom>
                  </pic:spPr>
                </pic:pic>
              </a:graphicData>
            </a:graphic>
          </wp:inline>
        </w:drawing>
      </w:r>
    </w:p>
    <w:p w:rsidR="003E35D0" w:rsidRDefault="00937CFB">
      <w:pPr>
        <w:spacing w:beforeAutospacing="1" w:afterAutospacing="1" w:line="360" w:lineRule="auto"/>
        <w:contextualSpacing/>
        <w:jc w:val="center"/>
        <w:rPr>
          <w:rFonts w:ascii="Palatino Linotype" w:hAnsi="Palatino Linotype"/>
          <w:b/>
          <w:sz w:val="22"/>
          <w:szCs w:val="22"/>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167640</wp:posOffset>
                </wp:positionH>
                <wp:positionV relativeFrom="paragraph">
                  <wp:posOffset>4899024</wp:posOffset>
                </wp:positionV>
                <wp:extent cx="5810250" cy="2409825"/>
                <wp:effectExtent l="38100" t="38100" r="76200" b="85725"/>
                <wp:wrapNone/>
                <wp:docPr id="19" name="Conector recto 19"/>
                <wp:cNvGraphicFramePr/>
                <a:graphic xmlns:a="http://schemas.openxmlformats.org/drawingml/2006/main">
                  <a:graphicData uri="http://schemas.microsoft.com/office/word/2010/wordprocessingShape">
                    <wps:wsp>
                      <wps:cNvCnPr/>
                      <wps:spPr>
                        <a:xfrm>
                          <a:off x="0" y="0"/>
                          <a:ext cx="5810250" cy="2409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84984F" id="Conector recto 1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2pt,385.75pt" to="470.7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" strokecolor="#4f81bd [3204]" strokeweight="2pt">
                <v:shadow on="t" color="black" opacity="24903f" origin=",.5" offset="0,.55556mm"/>
              </v:line>
            </w:pict>
          </mc:Fallback>
        </mc:AlternateContent>
      </w:r>
      <w:r w:rsidR="001916B7">
        <w:rPr>
          <w:noProof/>
          <w:lang w:eastAsia="es-MX"/>
        </w:rPr>
        <w:drawing>
          <wp:inline distT="0" distB="0" distL="0" distR="0">
            <wp:extent cx="5466080" cy="4787265"/>
            <wp:effectExtent l="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
                    <pic:cNvPicPr>
                      <a:picLocks noChangeAspect="1" noChangeArrowheads="1"/>
                    </pic:cNvPicPr>
                  </pic:nvPicPr>
                  <pic:blipFill>
                    <a:blip r:embed="rId17"/>
                    <a:srcRect l="19245" t="17328" r="21061" b="12953"/>
                    <a:stretch>
                      <a:fillRect/>
                    </a:stretch>
                  </pic:blipFill>
                  <pic:spPr bwMode="auto">
                    <a:xfrm>
                      <a:off x="0" y="0"/>
                      <a:ext cx="5466080" cy="4787265"/>
                    </a:xfrm>
                    <a:prstGeom prst="rect">
                      <a:avLst/>
                    </a:prstGeom>
                  </pic:spPr>
                </pic:pic>
              </a:graphicData>
            </a:graphic>
          </wp:inline>
        </w:drawing>
      </w:r>
    </w:p>
    <w:p w:rsidR="003E35D0" w:rsidRDefault="001916B7">
      <w:pPr>
        <w:spacing w:beforeAutospacing="1" w:afterAutospacing="1" w:line="360" w:lineRule="auto"/>
        <w:contextualSpacing/>
        <w:jc w:val="center"/>
        <w:rPr>
          <w:rFonts w:ascii="Palatino Linotype" w:hAnsi="Palatino Linotype"/>
          <w:b/>
          <w:sz w:val="22"/>
          <w:szCs w:val="22"/>
        </w:rPr>
      </w:pPr>
      <w:r>
        <w:rPr>
          <w:noProof/>
          <w:lang w:eastAsia="es-MX"/>
        </w:rPr>
        <w:lastRenderedPageBreak/>
        <w:drawing>
          <wp:inline distT="0" distB="0" distL="0" distR="0">
            <wp:extent cx="5353050" cy="7196455"/>
            <wp:effectExtent l="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pic:cNvPicPr>
                      <a:picLocks noChangeAspect="1" noChangeArrowheads="1"/>
                    </pic:cNvPicPr>
                  </pic:nvPicPr>
                  <pic:blipFill>
                    <a:blip r:embed="rId18"/>
                    <a:srcRect l="26479" t="17544" r="27642" b="9001"/>
                    <a:stretch>
                      <a:fillRect/>
                    </a:stretch>
                  </pic:blipFill>
                  <pic:spPr bwMode="auto">
                    <a:xfrm>
                      <a:off x="0" y="0"/>
                      <a:ext cx="5353050" cy="7196455"/>
                    </a:xfrm>
                    <a:prstGeom prst="rect">
                      <a:avLst/>
                    </a:prstGeom>
                  </pic:spPr>
                </pic:pic>
              </a:graphicData>
            </a:graphic>
          </wp:inline>
        </w:drawing>
      </w:r>
    </w:p>
    <w:p w:rsidR="003E35D0" w:rsidRDefault="001916B7">
      <w:pPr>
        <w:spacing w:beforeAutospacing="1" w:afterAutospacing="1" w:line="360" w:lineRule="auto"/>
        <w:contextualSpacing/>
        <w:jc w:val="center"/>
        <w:rPr>
          <w:rFonts w:ascii="Palatino Linotype" w:hAnsi="Palatino Linotype"/>
          <w:b/>
          <w:sz w:val="22"/>
          <w:szCs w:val="22"/>
        </w:rPr>
      </w:pPr>
      <w:r>
        <w:rPr>
          <w:noProof/>
          <w:lang w:eastAsia="es-MX"/>
        </w:rPr>
        <w:lastRenderedPageBreak/>
        <w:drawing>
          <wp:inline distT="0" distB="0" distL="0" distR="0">
            <wp:extent cx="5410200" cy="485775"/>
            <wp:effectExtent l="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7"/>
                    <pic:cNvPicPr>
                      <a:picLocks noChangeAspect="1" noChangeArrowheads="1"/>
                    </pic:cNvPicPr>
                  </pic:nvPicPr>
                  <pic:blipFill>
                    <a:blip r:embed="rId19"/>
                    <a:srcRect l="25656" t="68440" r="27642" b="25896"/>
                    <a:stretch>
                      <a:fillRect/>
                    </a:stretch>
                  </pic:blipFill>
                  <pic:spPr bwMode="auto">
                    <a:xfrm>
                      <a:off x="0" y="0"/>
                      <a:ext cx="5410200" cy="485775"/>
                    </a:xfrm>
                    <a:prstGeom prst="rect">
                      <a:avLst/>
                    </a:prstGeom>
                  </pic:spPr>
                </pic:pic>
              </a:graphicData>
            </a:graphic>
          </wp:inline>
        </w:drawing>
      </w:r>
    </w:p>
    <w:p w:rsidR="003E35D0" w:rsidRDefault="001916B7">
      <w:pPr>
        <w:pStyle w:val="Prrafodelista"/>
        <w:widowControl w:val="0"/>
        <w:spacing w:line="360" w:lineRule="auto"/>
        <w:ind w:left="0"/>
        <w:jc w:val="both"/>
        <w:rPr>
          <w:rFonts w:ascii="Palatino Linotype" w:hAnsi="Palatino Linotype" w:cs="Arial"/>
        </w:rPr>
      </w:pPr>
      <w:r>
        <w:rPr>
          <w:noProof/>
          <w:lang w:eastAsia="es-MX"/>
        </w:rPr>
        <w:drawing>
          <wp:inline distT="0" distB="0" distL="0" distR="0">
            <wp:extent cx="5695950" cy="2695575"/>
            <wp:effectExtent l="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pic:cNvPicPr>
                      <a:picLocks noChangeAspect="1" noChangeArrowheads="1"/>
                    </pic:cNvPicPr>
                  </pic:nvPicPr>
                  <pic:blipFill>
                    <a:blip r:embed="rId20"/>
                    <a:srcRect l="17768" t="18863" r="18599" b="36634"/>
                    <a:stretch>
                      <a:fillRect/>
                    </a:stretch>
                  </pic:blipFill>
                  <pic:spPr bwMode="auto">
                    <a:xfrm>
                      <a:off x="0" y="0"/>
                      <a:ext cx="5695950" cy="2695575"/>
                    </a:xfrm>
                    <a:prstGeom prst="rect">
                      <a:avLst/>
                    </a:prstGeom>
                  </pic:spPr>
                </pic:pic>
              </a:graphicData>
            </a:graphic>
          </wp:inline>
        </w:drawing>
      </w:r>
    </w:p>
    <w:p w:rsidR="003E35D0" w:rsidRDefault="001916B7">
      <w:pPr>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rPr>
        <w:t xml:space="preserve">En ese contexto, este Instituto analizó la totalidad de las constancias que integran el expediente electrónico del </w:t>
      </w:r>
      <w:r>
        <w:rPr>
          <w:rFonts w:ascii="Palatino Linotype" w:eastAsia="Calibri" w:hAnsi="Palatino Linotype" w:cs="Arial"/>
          <w:b/>
        </w:rPr>
        <w:t xml:space="preserve">SAIMEX, </w:t>
      </w:r>
      <w:r>
        <w:rPr>
          <w:rFonts w:ascii="Palatino Linotype" w:eastAsia="Calibri" w:hAnsi="Palatino Linotype" w:cs="Arial"/>
        </w:rPr>
        <w:t xml:space="preserve">y se concluye que </w:t>
      </w:r>
      <w:r>
        <w:rPr>
          <w:rFonts w:ascii="Palatino Linotype" w:eastAsia="Calibri" w:hAnsi="Palatino Linotype" w:cs="Arial"/>
          <w:b/>
        </w:rPr>
        <w:t>EL SUJETO OBLIGADO</w:t>
      </w:r>
      <w:r>
        <w:rPr>
          <w:rFonts w:ascii="Palatino Linotype" w:eastAsia="Calibri" w:hAnsi="Palatino Linotype" w:cs="Arial"/>
        </w:rPr>
        <w:t>, colmó el derecho de acceso a la información pública del particular, ya que se le hizo mención mediante respuesta e Informe Justificado, de las causas y motivos (infracciones) por las cuales un vehículo de transporte publicó, podría ser remitido a un depósito de vehículos (corralón), los cuales van desde, no contar con la debida concesión para operar como transporte público, hasta aumentar las tarifas autorizadas, e incluso se le hizo mención de los cuerpos normativos que lo contiene, y las sanciones aplicables a cada caso.</w:t>
      </w:r>
    </w:p>
    <w:p w:rsidR="003E35D0" w:rsidRDefault="001916B7">
      <w:pPr>
        <w:pStyle w:val="Prrafodelista"/>
        <w:widowControl w:val="0"/>
        <w:spacing w:before="200" w:after="200" w:line="360" w:lineRule="auto"/>
        <w:ind w:left="0"/>
        <w:jc w:val="both"/>
        <w:rPr>
          <w:rFonts w:ascii="Palatino Linotype" w:hAnsi="Palatino Linotype"/>
        </w:rPr>
      </w:pPr>
      <w:r>
        <w:rPr>
          <w:rFonts w:ascii="Palatino Linotype" w:hAnsi="Palatino Linotype" w:cs="Arial"/>
        </w:rPr>
        <w:t>En consecuencia, se advierte que a través de la respuesta proporcionada por</w:t>
      </w:r>
      <w:r>
        <w:rPr>
          <w:rFonts w:ascii="Palatino Linotype" w:hAnsi="Palatino Linotype" w:cs="Arial"/>
          <w:b/>
        </w:rPr>
        <w:t xml:space="preserve"> 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se colmó el derecho de acceso a la información pública del </w:t>
      </w:r>
      <w:r>
        <w:rPr>
          <w:rFonts w:ascii="Palatino Linotype" w:hAnsi="Palatino Linotype" w:cs="Arial"/>
        </w:rPr>
        <w:lastRenderedPageBreak/>
        <w:t xml:space="preserve">solicitante; </w:t>
      </w:r>
      <w:r>
        <w:rPr>
          <w:rFonts w:ascii="Palatino Linotype" w:hAnsi="Palatino Linotype"/>
        </w:rPr>
        <w:t xml:space="preserve">por ende, es claro que las razones o motivos de inconformidad hechos valer por </w:t>
      </w:r>
      <w:r>
        <w:rPr>
          <w:rFonts w:ascii="Palatino Linotype" w:hAnsi="Palatino Linotype"/>
          <w:b/>
        </w:rPr>
        <w:t>EL RECURRENTE</w:t>
      </w:r>
      <w:r>
        <w:rPr>
          <w:rFonts w:ascii="Palatino Linotype" w:hAnsi="Palatino Linotype"/>
        </w:rPr>
        <w:t xml:space="preserve"> devienen </w:t>
      </w:r>
      <w:r>
        <w:rPr>
          <w:rFonts w:ascii="Palatino Linotype" w:hAnsi="Palatino Linotype"/>
          <w:b/>
        </w:rPr>
        <w:t>infundados</w:t>
      </w:r>
      <w:r>
        <w:rPr>
          <w:rFonts w:ascii="Palatino Linotype" w:hAnsi="Palatino Linotype"/>
        </w:rPr>
        <w:t xml:space="preserve">; por lo que, lo procedente es </w:t>
      </w:r>
      <w:r>
        <w:rPr>
          <w:rFonts w:ascii="Palatino Linotype" w:hAnsi="Palatino Linotype"/>
          <w:b/>
        </w:rPr>
        <w:t xml:space="preserve">CONFIRMAR </w:t>
      </w:r>
      <w:r>
        <w:rPr>
          <w:rFonts w:ascii="Palatino Linotype" w:hAnsi="Palatino Linotype"/>
        </w:rPr>
        <w:t xml:space="preserve">la respuesta del </w:t>
      </w:r>
      <w:r>
        <w:rPr>
          <w:rFonts w:ascii="Palatino Linotype" w:hAnsi="Palatino Linotype"/>
          <w:b/>
        </w:rPr>
        <w:t>SUJETO OBLIGADO</w:t>
      </w:r>
      <w:r>
        <w:rPr>
          <w:rFonts w:ascii="Palatino Linotype" w:hAnsi="Palatino Linotype"/>
        </w:rPr>
        <w:t>.</w:t>
      </w:r>
    </w:p>
    <w:p w:rsidR="003E35D0" w:rsidRDefault="001916B7">
      <w:pPr>
        <w:spacing w:line="360" w:lineRule="auto"/>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segundo, vigésimo tercero y vigésimo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3E35D0" w:rsidRPr="00C45F81" w:rsidRDefault="003E35D0">
      <w:pPr>
        <w:spacing w:line="360" w:lineRule="auto"/>
        <w:jc w:val="center"/>
        <w:rPr>
          <w:rFonts w:ascii="Palatino Linotype" w:hAnsi="Palatino Linotype" w:cs="Arial"/>
          <w:b/>
          <w:spacing w:val="44"/>
          <w:sz w:val="28"/>
        </w:rPr>
      </w:pPr>
    </w:p>
    <w:p w:rsidR="003E35D0" w:rsidRDefault="001916B7">
      <w:pPr>
        <w:spacing w:line="360" w:lineRule="auto"/>
        <w:jc w:val="center"/>
        <w:rPr>
          <w:rFonts w:ascii="Palatino Linotype" w:eastAsia="Calibri" w:hAnsi="Palatino Linotype" w:cs="Arial"/>
        </w:rPr>
      </w:pPr>
      <w:r>
        <w:rPr>
          <w:rFonts w:ascii="Palatino Linotype" w:hAnsi="Palatino Linotype" w:cs="Arial"/>
          <w:b/>
          <w:spacing w:val="44"/>
          <w:sz w:val="28"/>
          <w:lang w:val="pt-BR"/>
        </w:rPr>
        <w:t>RESUELVE</w:t>
      </w:r>
    </w:p>
    <w:p w:rsidR="003E35D0" w:rsidRDefault="001916B7">
      <w:pPr>
        <w:pStyle w:val="Prrafodelista"/>
        <w:widowControl w:val="0"/>
        <w:numPr>
          <w:ilvl w:val="0"/>
          <w:numId w:val="3"/>
        </w:numPr>
        <w:tabs>
          <w:tab w:val="left" w:pos="1701"/>
        </w:tabs>
        <w:spacing w:line="360" w:lineRule="auto"/>
        <w:ind w:left="0" w:firstLine="0"/>
        <w:jc w:val="both"/>
        <w:rPr>
          <w:rFonts w:ascii="Palatino Linotype" w:hAnsi="Palatino Linotype" w:cs="Arial"/>
        </w:rPr>
      </w:pPr>
      <w:r>
        <w:rPr>
          <w:rFonts w:ascii="Palatino Linotype" w:hAnsi="Palatino Linotype" w:cs="Arial"/>
        </w:rPr>
        <w:t>Resultan</w:t>
      </w:r>
      <w:r>
        <w:rPr>
          <w:rFonts w:ascii="Palatino Linotype" w:hAnsi="Palatino Linotype" w:cs="Arial"/>
          <w:b/>
        </w:rPr>
        <w:t xml:space="preserve"> infundadas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eastAsia="Calibri" w:hAnsi="Palatino Linotype"/>
          <w:b/>
          <w:szCs w:val="22"/>
          <w:lang w:eastAsia="en-US"/>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3E35D0" w:rsidRDefault="003E35D0">
      <w:pPr>
        <w:pStyle w:val="Prrafodelista"/>
        <w:widowControl w:val="0"/>
        <w:tabs>
          <w:tab w:val="left" w:pos="1701"/>
        </w:tabs>
        <w:spacing w:line="360" w:lineRule="auto"/>
        <w:ind w:left="0"/>
        <w:jc w:val="both"/>
        <w:rPr>
          <w:rFonts w:ascii="Palatino Linotype" w:hAnsi="Palatino Linotype" w:cs="Arial"/>
        </w:rPr>
      </w:pPr>
    </w:p>
    <w:p w:rsidR="003E35D0" w:rsidRDefault="001916B7">
      <w:pPr>
        <w:pStyle w:val="Prrafodelista"/>
        <w:widowControl w:val="0"/>
        <w:numPr>
          <w:ilvl w:val="0"/>
          <w:numId w:val="3"/>
        </w:numPr>
        <w:tabs>
          <w:tab w:val="left" w:pos="1701"/>
        </w:tabs>
        <w:spacing w:line="360" w:lineRule="auto"/>
        <w:ind w:left="0" w:firstLine="0"/>
        <w:jc w:val="both"/>
        <w:rPr>
          <w:rFonts w:ascii="Palatino Linotype" w:hAnsi="Palatino Linotype" w:cs="Arial"/>
          <w:b/>
          <w:sz w:val="28"/>
          <w:szCs w:val="28"/>
        </w:rPr>
      </w:pPr>
      <w:r>
        <w:rPr>
          <w:rFonts w:ascii="Palatino Linotype" w:hAnsi="Palatino Linotype" w:cs="Arial"/>
        </w:rPr>
        <w:t xml:space="preserve">Se </w:t>
      </w:r>
      <w:r>
        <w:rPr>
          <w:rFonts w:ascii="Palatino Linotype" w:hAnsi="Palatino Linotype" w:cs="Arial"/>
          <w:b/>
        </w:rPr>
        <w:t>CONFIRMA</w:t>
      </w:r>
      <w:r>
        <w:rPr>
          <w:rFonts w:ascii="Palatino Linotype" w:hAnsi="Palatino Linotype" w:cs="Arial"/>
        </w:rPr>
        <w:t xml:space="preserve"> la respuesta otorgada por </w:t>
      </w:r>
      <w:r>
        <w:rPr>
          <w:rFonts w:ascii="Palatino Linotype" w:hAnsi="Palatino Linotype" w:cs="Arial"/>
          <w:b/>
        </w:rPr>
        <w:t xml:space="preserve">EL SUJETO OBLIGADO </w:t>
      </w:r>
      <w:r>
        <w:rPr>
          <w:rFonts w:ascii="Palatino Linotype" w:hAnsi="Palatino Linotype" w:cs="Arial"/>
        </w:rPr>
        <w:t>a la</w:t>
      </w:r>
      <w:r>
        <w:rPr>
          <w:rFonts w:ascii="Palatino Linotype" w:hAnsi="Palatino Linotype" w:cs="Arial"/>
          <w:b/>
        </w:rPr>
        <w:t xml:space="preserve"> </w:t>
      </w:r>
      <w:r>
        <w:rPr>
          <w:rFonts w:ascii="Palatino Linotype" w:hAnsi="Palatino Linotype" w:cs="Arial"/>
        </w:rPr>
        <w:t>solicitud de acceso a la información pública número</w:t>
      </w:r>
      <w:r>
        <w:rPr>
          <w:rFonts w:ascii="Verdana" w:hAnsi="Verdana"/>
          <w:b/>
          <w:bCs/>
          <w:color w:val="FF0000"/>
        </w:rPr>
        <w:t xml:space="preserve"> </w:t>
      </w:r>
      <w:r>
        <w:rPr>
          <w:rFonts w:ascii="Palatino Linotype" w:hAnsi="Palatino Linotype" w:cs="Arial"/>
          <w:b/>
          <w:bCs/>
        </w:rPr>
        <w:t>00004/SM/IP/2020.</w:t>
      </w:r>
    </w:p>
    <w:p w:rsidR="003E35D0" w:rsidRDefault="003E35D0">
      <w:pPr>
        <w:pStyle w:val="Prrafodelista"/>
        <w:widowControl w:val="0"/>
        <w:tabs>
          <w:tab w:val="left" w:pos="1701"/>
        </w:tabs>
        <w:spacing w:line="360" w:lineRule="auto"/>
        <w:ind w:left="0"/>
        <w:jc w:val="both"/>
        <w:rPr>
          <w:rFonts w:ascii="Palatino Linotype" w:hAnsi="Palatino Linotype" w:cs="Arial"/>
          <w:b/>
          <w:sz w:val="28"/>
          <w:szCs w:val="28"/>
        </w:rPr>
      </w:pPr>
    </w:p>
    <w:p w:rsidR="003E35D0" w:rsidRDefault="001916B7">
      <w:pPr>
        <w:pStyle w:val="Prrafodelista"/>
        <w:widowControl w:val="0"/>
        <w:numPr>
          <w:ilvl w:val="0"/>
          <w:numId w:val="3"/>
        </w:numPr>
        <w:tabs>
          <w:tab w:val="left" w:pos="1701"/>
        </w:tabs>
        <w:spacing w:line="360" w:lineRule="auto"/>
        <w:ind w:left="0" w:firstLine="0"/>
        <w:jc w:val="both"/>
        <w:rPr>
          <w:rFonts w:ascii="Palatino Linotype" w:hAnsi="Palatino Linotype"/>
          <w:highlight w:val="white"/>
        </w:rPr>
      </w:pPr>
      <w:r>
        <w:rPr>
          <w:rFonts w:ascii="Palatino Linotype" w:hAnsi="Palatino Linotype" w:cs="Arial"/>
          <w:b/>
          <w:lang w:val="es-ES_tradnl"/>
        </w:rPr>
        <w:t>Notifíquese</w:t>
      </w:r>
      <w:r>
        <w:rPr>
          <w:rFonts w:ascii="Palatino Linotype" w:hAnsi="Palatino Linotype" w:cs="Arial"/>
          <w:lang w:val="es-ES_tradnl"/>
        </w:rPr>
        <w:t xml:space="preserve"> la presente resolución a la Titular de la Unidad de Transparencia del </w:t>
      </w:r>
      <w:r>
        <w:rPr>
          <w:rFonts w:ascii="Palatino Linotype" w:hAnsi="Palatino Linotype" w:cs="Arial"/>
          <w:b/>
          <w:lang w:val="es-ES_tradnl"/>
        </w:rPr>
        <w:t>SUJETO OBLIGADO</w:t>
      </w:r>
      <w:r>
        <w:rPr>
          <w:rFonts w:ascii="Palatino Linotype" w:hAnsi="Palatino Linotype" w:cs="Arial"/>
          <w:lang w:val="es-ES_tradnl"/>
        </w:rPr>
        <w:t xml:space="preserve"> para su conocimiento.</w:t>
      </w:r>
    </w:p>
    <w:p w:rsidR="003E35D0" w:rsidRDefault="003E35D0">
      <w:pPr>
        <w:pStyle w:val="Prrafodelista"/>
        <w:widowControl w:val="0"/>
        <w:tabs>
          <w:tab w:val="left" w:pos="1701"/>
        </w:tabs>
        <w:spacing w:line="360" w:lineRule="auto"/>
        <w:ind w:left="0"/>
        <w:jc w:val="both"/>
        <w:rPr>
          <w:rFonts w:ascii="Palatino Linotype" w:hAnsi="Palatino Linotype"/>
          <w:highlight w:val="white"/>
        </w:rPr>
      </w:pPr>
    </w:p>
    <w:p w:rsidR="003E35D0" w:rsidRDefault="001916B7">
      <w:pPr>
        <w:pStyle w:val="Prrafodelista"/>
        <w:widowControl w:val="0"/>
        <w:numPr>
          <w:ilvl w:val="0"/>
          <w:numId w:val="3"/>
        </w:numPr>
        <w:tabs>
          <w:tab w:val="left" w:pos="1701"/>
        </w:tabs>
        <w:spacing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Notifíquese</w:t>
      </w:r>
      <w:r>
        <w:rPr>
          <w:rFonts w:ascii="Palatino Linotype" w:hAnsi="Palatino Linotype"/>
          <w:szCs w:val="17"/>
          <w:lang w:eastAsia="es-ES_tradnl"/>
        </w:rPr>
        <w:t xml:space="preserve"> al </w:t>
      </w:r>
      <w:r>
        <w:rPr>
          <w:rFonts w:ascii="Palatino Linotype" w:hAnsi="Palatino Linotype" w:cs="Arial"/>
          <w:b/>
        </w:rPr>
        <w:t>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rsidR="003E35D0" w:rsidRDefault="001916B7">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lastRenderedPageBreak/>
        <w:t>QUINTO</w:t>
      </w:r>
      <w:r>
        <w:rPr>
          <w:rFonts w:ascii="Palatino Linotype" w:eastAsia="Calibri" w:hAnsi="Palatino Linotype" w:cs="Arial"/>
        </w:rPr>
        <w:t xml:space="preserve">. Hágase del conocimiento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3E35D0" w:rsidRDefault="001916B7">
      <w:pPr>
        <w:spacing w:line="360" w:lineRule="auto"/>
        <w:jc w:val="both"/>
        <w:rPr>
          <w:rFonts w:ascii="Palatino Linotype" w:eastAsia="Calibri" w:hAnsi="Palatino Linotype" w:cs="Arial"/>
        </w:rPr>
      </w:pPr>
      <w:r>
        <w:rPr>
          <w:rFonts w:ascii="Palatino Linotype" w:hAnsi="Palatino Linotype" w:cs="Arial"/>
          <w:lang w:val="es-ES"/>
        </w:rPr>
        <w:t>ASÍ LO RESUELVE, POR UNANIMIDAD DE VOTOS EL PLENO DEL</w:t>
      </w:r>
      <w:r>
        <w:rPr>
          <w:rFonts w:ascii="Palatino Linotype" w:eastAsia="Arial Unicode MS" w:hAnsi="Palatino Linotype" w:cs="Arial"/>
          <w:lang w:val="es-ES"/>
        </w:rPr>
        <w:t xml:space="preserve"> INSTITUTO DE </w:t>
      </w:r>
      <w:r>
        <w:rPr>
          <w:rFonts w:ascii="Palatino Linotype" w:hAnsi="Palatino Linotype"/>
          <w:lang w:val="es-ES" w:eastAsia="en-US"/>
        </w:rPr>
        <w:t>TRANSPARENCIA</w:t>
      </w:r>
      <w:r>
        <w:rPr>
          <w:rFonts w:ascii="Palatino Linotype" w:eastAsia="Arial Unicode MS" w:hAnsi="Palatino Linotype" w:cs="Arial"/>
          <w:lang w:val="es-ES"/>
        </w:rPr>
        <w:t>, ACCESO A LA INFORMACIÓN PÚBLICA Y PROTECCIÓN DE DATOS PERSONALES DEL ESTADO DE MÉXICO Y MUNICIPIOS</w:t>
      </w:r>
      <w:r>
        <w:rPr>
          <w:rFonts w:ascii="Palatino Linotype" w:hAnsi="Palatino Linotype" w:cs="Arial"/>
          <w:lang w:val="es-ES"/>
        </w:rPr>
        <w:t xml:space="preserve">, CONFORMADO POR LOS COMISIONADOS ZULEMA MARTÍNEZ SÁNCHEZ; EVA ABAID YAPUR; JOSÉ GUADALUPE LUNA HERNÁNDEZ, JAVIER MARTÍNEZ CRUZ Y LUIS GUSTAVO PARRA NORIEGA; </w:t>
      </w:r>
      <w:r>
        <w:rPr>
          <w:rFonts w:ascii="Palatino Linotype" w:hAnsi="Palatino Linotype" w:cs="Arial"/>
          <w:shd w:val="clear" w:color="auto" w:fill="FFFFFF"/>
          <w:lang w:val="es-ES"/>
        </w:rPr>
        <w:t xml:space="preserve">EN LA DÉCIMA TERCERA </w:t>
      </w:r>
      <w:r>
        <w:rPr>
          <w:rFonts w:ascii="Palatino Linotype" w:hAnsi="Palatino Linotype" w:cs="Arial"/>
          <w:lang w:val="es-ES"/>
        </w:rPr>
        <w:t xml:space="preserve">SESIÓN ORDINARIA CELEBRADA EL </w:t>
      </w:r>
      <w:r>
        <w:rPr>
          <w:rFonts w:ascii="Palatino Linotype" w:hAnsi="Palatino Linotype" w:cs="Arial"/>
          <w:caps/>
          <w:lang w:val="es-ES"/>
        </w:rPr>
        <w:t>DOCE</w:t>
      </w:r>
      <w:r>
        <w:rPr>
          <w:rFonts w:ascii="Palatino Linotype" w:hAnsi="Palatino Linotype" w:cs="Arial"/>
          <w:lang w:val="es-ES"/>
        </w:rPr>
        <w:t xml:space="preserve"> DE AGOSTO DE DOS MIL VEINTE, ANTE EL SECRETARIO TÉCNICO DEL PLENO, </w:t>
      </w:r>
      <w:r>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9214" w:type="dxa"/>
        <w:jc w:val="center"/>
        <w:tblLook w:val="04A0" w:firstRow="1" w:lastRow="0" w:firstColumn="1" w:lastColumn="0" w:noHBand="0" w:noVBand="1"/>
      </w:tblPr>
      <w:tblGrid>
        <w:gridCol w:w="4757"/>
        <w:gridCol w:w="4457"/>
      </w:tblGrid>
      <w:tr w:rsidR="003E35D0">
        <w:trPr>
          <w:jc w:val="center"/>
        </w:trPr>
        <w:tc>
          <w:tcPr>
            <w:tcW w:w="9213" w:type="dxa"/>
            <w:gridSpan w:val="2"/>
            <w:shd w:val="clear" w:color="auto" w:fill="auto"/>
          </w:tcPr>
          <w:p w:rsidR="003E35D0" w:rsidRDefault="003E35D0">
            <w:pPr>
              <w:jc w:val="center"/>
              <w:rPr>
                <w:rFonts w:ascii="Palatino Linotype" w:hAnsi="Palatino Linotype" w:cs="Arial"/>
                <w:b/>
                <w:color w:val="000000" w:themeColor="text1"/>
                <w:lang w:val="es-ES_tradnl"/>
              </w:rPr>
            </w:pPr>
          </w:p>
          <w:p w:rsidR="003E35D0" w:rsidRDefault="003E35D0">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3E35D0" w:rsidRDefault="001916B7">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3E35D0">
        <w:trPr>
          <w:jc w:val="center"/>
        </w:trPr>
        <w:tc>
          <w:tcPr>
            <w:tcW w:w="4756" w:type="dxa"/>
            <w:shd w:val="clear" w:color="auto" w:fill="auto"/>
          </w:tcPr>
          <w:p w:rsidR="003E35D0" w:rsidRDefault="003E35D0">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rsidR="003E35D0" w:rsidRDefault="001916B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3E35D0" w:rsidRDefault="003E35D0">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3E35D0" w:rsidRDefault="001916B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3E35D0">
        <w:trPr>
          <w:jc w:val="center"/>
        </w:trPr>
        <w:tc>
          <w:tcPr>
            <w:tcW w:w="4756" w:type="dxa"/>
            <w:shd w:val="clear" w:color="auto" w:fill="auto"/>
          </w:tcPr>
          <w:p w:rsidR="003E35D0" w:rsidRDefault="003E35D0">
            <w:pPr>
              <w:jc w:val="center"/>
              <w:rPr>
                <w:rFonts w:ascii="Palatino Linotype" w:hAnsi="Palatino Linotype" w:cs="Arial"/>
                <w:b/>
                <w:color w:val="000000" w:themeColor="text1"/>
                <w:lang w:val="es-ES_tradnl"/>
              </w:rPr>
            </w:pPr>
          </w:p>
          <w:p w:rsidR="003E35D0" w:rsidRDefault="003E35D0">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3E35D0" w:rsidRDefault="001916B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3E35D0" w:rsidRDefault="001916B7">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3E35D0" w:rsidRDefault="003E35D0">
            <w:pPr>
              <w:jc w:val="center"/>
              <w:rPr>
                <w:rFonts w:ascii="Palatino Linotype" w:hAnsi="Palatino Linotype" w:cs="Arial"/>
                <w:b/>
                <w:color w:val="000000" w:themeColor="text1"/>
                <w:lang w:val="es-ES_tradnl"/>
              </w:rPr>
            </w:pPr>
          </w:p>
          <w:p w:rsidR="003E35D0" w:rsidRDefault="003E35D0">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3E35D0" w:rsidRDefault="001916B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3E35D0">
        <w:trPr>
          <w:jc w:val="center"/>
        </w:trPr>
        <w:tc>
          <w:tcPr>
            <w:tcW w:w="9213" w:type="dxa"/>
            <w:gridSpan w:val="2"/>
            <w:shd w:val="clear" w:color="auto" w:fill="auto"/>
          </w:tcPr>
          <w:p w:rsidR="003E35D0" w:rsidRDefault="003E35D0">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937CFB" w:rsidRDefault="00937CFB">
            <w:pPr>
              <w:jc w:val="center"/>
              <w:rPr>
                <w:rFonts w:ascii="Palatino Linotype" w:hAnsi="Palatino Linotype" w:cs="Arial"/>
                <w:b/>
                <w:color w:val="000000" w:themeColor="text1"/>
                <w:lang w:val="es-ES_tradnl"/>
              </w:rPr>
            </w:pPr>
          </w:p>
          <w:p w:rsidR="003E35D0" w:rsidRDefault="001916B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3E35D0" w:rsidRDefault="001916B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3E35D0" w:rsidRDefault="001916B7">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937CFB" w:rsidRDefault="00937CFB">
      <w:pPr>
        <w:jc w:val="both"/>
        <w:rPr>
          <w:rFonts w:ascii="Palatino Linotype" w:hAnsi="Palatino Linotype" w:cs="Arial"/>
          <w:sz w:val="22"/>
          <w:szCs w:val="22"/>
          <w:lang w:val="es-ES"/>
        </w:rPr>
      </w:pPr>
    </w:p>
    <w:p w:rsidR="00937CFB" w:rsidRDefault="00937CFB">
      <w:pPr>
        <w:jc w:val="both"/>
        <w:rPr>
          <w:rFonts w:ascii="Palatino Linotype" w:hAnsi="Palatino Linotype" w:cs="Arial"/>
          <w:sz w:val="22"/>
          <w:szCs w:val="22"/>
          <w:lang w:val="es-ES"/>
        </w:rPr>
      </w:pPr>
    </w:p>
    <w:p w:rsidR="00937CFB" w:rsidRDefault="00937CFB">
      <w:pPr>
        <w:jc w:val="both"/>
        <w:rPr>
          <w:rFonts w:ascii="Palatino Linotype" w:hAnsi="Palatino Linotype" w:cs="Arial"/>
          <w:sz w:val="22"/>
          <w:szCs w:val="22"/>
          <w:lang w:val="es-ES"/>
        </w:rPr>
      </w:pPr>
    </w:p>
    <w:p w:rsidR="003E35D0" w:rsidRDefault="001916B7">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doce de agosto de dos mil veinte, emitida en el recurso de revisión número 00807/INFOEM/IP/RR/2020. </w:t>
      </w:r>
    </w:p>
    <w:p w:rsidR="003E35D0" w:rsidRDefault="001916B7">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3E35D0">
      <w:headerReference w:type="default" r:id="rId21"/>
      <w:footerReference w:type="default" r:id="rId22"/>
      <w:headerReference w:type="first" r:id="rId23"/>
      <w:footerReference w:type="first" r:id="rId24"/>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EC7" w:rsidRDefault="00C24EC7">
      <w:r>
        <w:separator/>
      </w:r>
    </w:p>
  </w:endnote>
  <w:endnote w:type="continuationSeparator" w:id="0">
    <w:p w:rsidR="00C24EC7" w:rsidRDefault="00C2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5D0" w:rsidRDefault="001916B7">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4D584E">
      <w:rPr>
        <w:rFonts w:ascii="Palatino Linotype" w:hAnsi="Palatino Linotype" w:cs="Arial"/>
        <w:bCs/>
        <w:noProof/>
        <w:sz w:val="22"/>
        <w:szCs w:val="22"/>
      </w:rPr>
      <w:t>32</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4D584E">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5D0" w:rsidRDefault="001916B7">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4D584E">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4D584E">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EC7" w:rsidRDefault="00C24EC7">
      <w:r>
        <w:separator/>
      </w:r>
    </w:p>
  </w:footnote>
  <w:footnote w:type="continuationSeparator" w:id="0">
    <w:p w:rsidR="00C24EC7" w:rsidRDefault="00C24E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5D0" w:rsidRDefault="001916B7">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67" behindDoc="1" locked="0" layoutInCell="1" allowOverlap="1">
              <wp:simplePos x="0" y="0"/>
              <wp:positionH relativeFrom="column">
                <wp:align>center</wp:align>
              </wp:positionH>
              <wp:positionV relativeFrom="margin">
                <wp:align>center</wp:align>
              </wp:positionV>
              <wp:extent cx="6858635" cy="9144635"/>
              <wp:effectExtent l="0" t="0" r="0" b="0"/>
              <wp:wrapNone/>
              <wp:docPr id="14"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69.1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3E35D0">
      <w:tc>
        <w:tcPr>
          <w:tcW w:w="3260" w:type="dxa"/>
          <w:vMerge w:val="restart"/>
        </w:tcPr>
        <w:p w:rsidR="003E35D0" w:rsidRDefault="001916B7">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3E35D0" w:rsidRDefault="001916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3E35D0" w:rsidRDefault="001916B7">
          <w:pPr>
            <w:jc w:val="both"/>
            <w:rPr>
              <w:rFonts w:ascii="Palatino Linotype" w:hAnsi="Palatino Linotype"/>
              <w:b/>
              <w:sz w:val="22"/>
              <w:szCs w:val="22"/>
              <w:lang w:val="es-ES_tradnl"/>
            </w:rPr>
          </w:pPr>
          <w:r>
            <w:rPr>
              <w:rFonts w:ascii="Palatino Linotype" w:hAnsi="Palatino Linotype"/>
              <w:b/>
              <w:sz w:val="22"/>
              <w:szCs w:val="22"/>
              <w:lang w:val="es-ES_tradnl"/>
            </w:rPr>
            <w:t>0807/INFOEM/IP/RR/2020</w:t>
          </w:r>
        </w:p>
      </w:tc>
    </w:tr>
    <w:tr w:rsidR="003E35D0">
      <w:tc>
        <w:tcPr>
          <w:tcW w:w="3260" w:type="dxa"/>
          <w:vMerge/>
        </w:tcPr>
        <w:p w:rsidR="003E35D0" w:rsidRDefault="003E35D0">
          <w:pPr>
            <w:rPr>
              <w:rFonts w:ascii="Palatino Linotype" w:hAnsi="Palatino Linotype"/>
              <w:b/>
              <w:sz w:val="22"/>
              <w:szCs w:val="22"/>
              <w:lang w:val="es-ES_tradnl"/>
            </w:rPr>
          </w:pPr>
        </w:p>
      </w:tc>
      <w:tc>
        <w:tcPr>
          <w:tcW w:w="2551" w:type="dxa"/>
          <w:shd w:val="clear" w:color="auto" w:fill="auto"/>
        </w:tcPr>
        <w:p w:rsidR="003E35D0" w:rsidRDefault="001916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3E35D0" w:rsidRDefault="001916B7">
          <w:pPr>
            <w:jc w:val="both"/>
            <w:rPr>
              <w:rFonts w:ascii="Palatino Linotype" w:hAnsi="Palatino Linotype"/>
              <w:b/>
              <w:sz w:val="22"/>
              <w:szCs w:val="22"/>
            </w:rPr>
          </w:pPr>
          <w:r>
            <w:rPr>
              <w:rFonts w:ascii="Palatino Linotype" w:hAnsi="Palatino Linotype"/>
              <w:b/>
              <w:sz w:val="22"/>
              <w:szCs w:val="22"/>
            </w:rPr>
            <w:t>Secretaría de Movilidad</w:t>
          </w:r>
        </w:p>
      </w:tc>
    </w:tr>
    <w:tr w:rsidR="003E35D0">
      <w:trPr>
        <w:trHeight w:val="228"/>
      </w:trPr>
      <w:tc>
        <w:tcPr>
          <w:tcW w:w="3260" w:type="dxa"/>
          <w:vMerge/>
        </w:tcPr>
        <w:p w:rsidR="003E35D0" w:rsidRDefault="003E35D0">
          <w:pPr>
            <w:rPr>
              <w:rFonts w:ascii="Palatino Linotype" w:hAnsi="Palatino Linotype"/>
              <w:b/>
              <w:sz w:val="22"/>
              <w:szCs w:val="22"/>
              <w:lang w:val="es-ES_tradnl"/>
            </w:rPr>
          </w:pPr>
        </w:p>
      </w:tc>
      <w:tc>
        <w:tcPr>
          <w:tcW w:w="2551" w:type="dxa"/>
          <w:shd w:val="clear" w:color="auto" w:fill="auto"/>
        </w:tcPr>
        <w:p w:rsidR="003E35D0" w:rsidRDefault="001916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3E35D0" w:rsidRDefault="001916B7">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3E35D0" w:rsidRDefault="003E35D0">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5D0" w:rsidRDefault="001916B7">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6"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73.4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3E35D0">
      <w:tc>
        <w:tcPr>
          <w:tcW w:w="4252" w:type="dxa"/>
          <w:vMerge w:val="restart"/>
          <w:shd w:val="clear" w:color="auto" w:fill="auto"/>
        </w:tcPr>
        <w:p w:rsidR="003E35D0" w:rsidRDefault="001916B7">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3E35D0" w:rsidRDefault="001916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3E35D0" w:rsidRDefault="001916B7">
          <w:pPr>
            <w:jc w:val="both"/>
            <w:rPr>
              <w:rFonts w:ascii="Palatino Linotype" w:hAnsi="Palatino Linotype"/>
              <w:b/>
              <w:sz w:val="22"/>
              <w:szCs w:val="22"/>
              <w:lang w:val="es-ES_tradnl"/>
            </w:rPr>
          </w:pPr>
          <w:r>
            <w:rPr>
              <w:rFonts w:ascii="Palatino Linotype" w:hAnsi="Palatino Linotype"/>
              <w:b/>
              <w:bCs/>
              <w:sz w:val="22"/>
              <w:szCs w:val="22"/>
            </w:rPr>
            <w:t>00807/INFOEM/IP/RR/2020</w:t>
          </w:r>
        </w:p>
      </w:tc>
    </w:tr>
    <w:tr w:rsidR="003E35D0">
      <w:tc>
        <w:tcPr>
          <w:tcW w:w="4252" w:type="dxa"/>
          <w:vMerge/>
          <w:shd w:val="clear" w:color="auto" w:fill="auto"/>
        </w:tcPr>
        <w:p w:rsidR="003E35D0" w:rsidRDefault="003E35D0">
          <w:pPr>
            <w:rPr>
              <w:rFonts w:ascii="Palatino Linotype" w:hAnsi="Palatino Linotype"/>
              <w:b/>
              <w:sz w:val="22"/>
              <w:szCs w:val="22"/>
              <w:lang w:val="es-ES_tradnl"/>
            </w:rPr>
          </w:pPr>
        </w:p>
      </w:tc>
      <w:tc>
        <w:tcPr>
          <w:tcW w:w="2552" w:type="dxa"/>
          <w:shd w:val="clear" w:color="auto" w:fill="auto"/>
        </w:tcPr>
        <w:p w:rsidR="003E35D0" w:rsidRDefault="001916B7">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3E35D0" w:rsidRDefault="004D584E">
          <w:pPr>
            <w:jc w:val="both"/>
            <w:rPr>
              <w:rFonts w:ascii="Palatino Linotype" w:hAnsi="Palatino Linotype"/>
              <w:b/>
              <w:sz w:val="22"/>
              <w:szCs w:val="22"/>
              <w:lang w:val="es-ES_tradnl"/>
            </w:rPr>
          </w:pPr>
          <w:r>
            <w:rPr>
              <w:rFonts w:ascii="Palatino Linotype" w:hAnsi="Palatino Linotype"/>
              <w:b/>
              <w:sz w:val="22"/>
              <w:szCs w:val="22"/>
              <w:lang w:val="es-ES_tradnl"/>
            </w:rPr>
            <w:t>XXXXXXXXXX XXXXXXXXX XXXXXX XXXXXX</w:t>
          </w:r>
        </w:p>
      </w:tc>
    </w:tr>
    <w:tr w:rsidR="003E35D0">
      <w:trPr>
        <w:trHeight w:val="228"/>
      </w:trPr>
      <w:tc>
        <w:tcPr>
          <w:tcW w:w="4252" w:type="dxa"/>
          <w:vMerge/>
          <w:shd w:val="clear" w:color="auto" w:fill="auto"/>
        </w:tcPr>
        <w:p w:rsidR="003E35D0" w:rsidRDefault="003E35D0">
          <w:pPr>
            <w:rPr>
              <w:rFonts w:ascii="Palatino Linotype" w:hAnsi="Palatino Linotype"/>
              <w:b/>
              <w:sz w:val="22"/>
              <w:szCs w:val="22"/>
              <w:lang w:val="es-ES_tradnl"/>
            </w:rPr>
          </w:pPr>
        </w:p>
      </w:tc>
      <w:tc>
        <w:tcPr>
          <w:tcW w:w="2552" w:type="dxa"/>
          <w:shd w:val="clear" w:color="auto" w:fill="auto"/>
        </w:tcPr>
        <w:p w:rsidR="003E35D0" w:rsidRDefault="001916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3E35D0" w:rsidRDefault="001916B7">
          <w:pPr>
            <w:jc w:val="both"/>
            <w:rPr>
              <w:rFonts w:ascii="Palatino Linotype" w:hAnsi="Palatino Linotype"/>
              <w:b/>
              <w:sz w:val="22"/>
              <w:szCs w:val="22"/>
            </w:rPr>
          </w:pPr>
          <w:r>
            <w:rPr>
              <w:rFonts w:ascii="Palatino Linotype" w:hAnsi="Palatino Linotype"/>
              <w:b/>
              <w:sz w:val="22"/>
              <w:szCs w:val="22"/>
            </w:rPr>
            <w:t>Secretaría de Movilidad</w:t>
          </w:r>
        </w:p>
      </w:tc>
    </w:tr>
    <w:tr w:rsidR="003E35D0">
      <w:tc>
        <w:tcPr>
          <w:tcW w:w="4252" w:type="dxa"/>
          <w:vMerge/>
          <w:shd w:val="clear" w:color="auto" w:fill="auto"/>
        </w:tcPr>
        <w:p w:rsidR="003E35D0" w:rsidRDefault="003E35D0">
          <w:pPr>
            <w:rPr>
              <w:rFonts w:ascii="Palatino Linotype" w:hAnsi="Palatino Linotype"/>
              <w:b/>
              <w:sz w:val="22"/>
              <w:szCs w:val="22"/>
              <w:lang w:val="es-ES_tradnl"/>
            </w:rPr>
          </w:pPr>
        </w:p>
      </w:tc>
      <w:tc>
        <w:tcPr>
          <w:tcW w:w="2552" w:type="dxa"/>
          <w:shd w:val="clear" w:color="auto" w:fill="auto"/>
        </w:tcPr>
        <w:p w:rsidR="003E35D0" w:rsidRDefault="001916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3E35D0" w:rsidRDefault="001916B7">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3E35D0" w:rsidRDefault="003E35D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83FED"/>
    <w:multiLevelType w:val="multilevel"/>
    <w:tmpl w:val="1E700E92"/>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szCs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1" w15:restartNumberingAfterBreak="0">
    <w:nsid w:val="547B2D04"/>
    <w:multiLevelType w:val="multilevel"/>
    <w:tmpl w:val="3AEAA08E"/>
    <w:lvl w:ilvl="0">
      <w:start w:val="1"/>
      <w:numFmt w:val="upperRoman"/>
      <w:lvlText w:val="%1."/>
      <w:lvlJc w:val="left"/>
      <w:pPr>
        <w:ind w:left="720" w:hanging="360"/>
      </w:pPr>
      <w:rPr>
        <w:rFonts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3668AB"/>
    <w:multiLevelType w:val="multilevel"/>
    <w:tmpl w:val="F57672D2"/>
    <w:lvl w:ilvl="0">
      <w:start w:val="1"/>
      <w:numFmt w:val="ordinalText"/>
      <w:lvlText w:val="%1."/>
      <w:lvlJc w:val="left"/>
      <w:pPr>
        <w:ind w:left="720" w:hanging="360"/>
      </w:pPr>
      <w:rPr>
        <w:rFonts w:hint="default"/>
        <w:b/>
        <w: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B22335E"/>
    <w:multiLevelType w:val="multilevel"/>
    <w:tmpl w:val="A8568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4C6C64"/>
    <w:multiLevelType w:val="multilevel"/>
    <w:tmpl w:val="EF6214D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6ED2BA8"/>
    <w:multiLevelType w:val="multilevel"/>
    <w:tmpl w:val="FC80767C"/>
    <w:lvl w:ilvl="0">
      <w:start w:val="1"/>
      <w:numFmt w:val="bullet"/>
      <w:lvlText w:val=""/>
      <w:lvlJc w:val="left"/>
      <w:pPr>
        <w:ind w:left="1069" w:hanging="360"/>
      </w:pPr>
      <w:rPr>
        <w:rFonts w:ascii="Symbol" w:hAnsi="Symbol" w:cs="Symbol" w:hint="default"/>
        <w:color w:val="auto"/>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5D0"/>
    <w:rsid w:val="001916B7"/>
    <w:rsid w:val="003E35D0"/>
    <w:rsid w:val="004D584E"/>
    <w:rsid w:val="00937CFB"/>
    <w:rsid w:val="00AE5C63"/>
    <w:rsid w:val="00C24EC7"/>
    <w:rsid w:val="00C45F81"/>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67F4A-BB66-479A-B042-F8079AF0F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0.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C830F-0E5C-45E2-AE5E-B2C0884C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5816</Words>
  <Characters>31990</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37731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LUISITO</cp:lastModifiedBy>
  <cp:revision>2</cp:revision>
  <cp:lastPrinted>2020-01-22T19:55:00Z</cp:lastPrinted>
  <dcterms:created xsi:type="dcterms:W3CDTF">2020-08-26T21:09:00Z</dcterms:created>
  <dcterms:modified xsi:type="dcterms:W3CDTF">2020-08-26T21:09:00Z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