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072" w:rsidRDefault="00332F1C">
      <w:pPr>
        <w:spacing w:after="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cinco de agosto de dos mil veinte.</w:t>
      </w:r>
    </w:p>
    <w:p w:rsidR="004C3072" w:rsidRDefault="004C3072">
      <w:pPr>
        <w:spacing w:after="0" w:line="360" w:lineRule="auto"/>
        <w:jc w:val="both"/>
        <w:rPr>
          <w:rFonts w:ascii="Palatino Linotype" w:eastAsia="Palatino Linotype" w:hAnsi="Palatino Linotype" w:cs="Palatino Linotype"/>
          <w:sz w:val="24"/>
          <w:szCs w:val="24"/>
        </w:rPr>
      </w:pPr>
    </w:p>
    <w:p w:rsidR="004C3072" w:rsidRDefault="00332F1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VISTO el expediente formado con motivo del recurso de revisión </w:t>
      </w:r>
      <w:r>
        <w:rPr>
          <w:rFonts w:ascii="Palatino Linotype" w:eastAsia="Palatino Linotype" w:hAnsi="Palatino Linotype" w:cs="Palatino Linotype"/>
          <w:b/>
          <w:sz w:val="24"/>
          <w:szCs w:val="24"/>
        </w:rPr>
        <w:t>00707/INFOEM/IP/RR/2020,</w:t>
      </w:r>
      <w:r>
        <w:rPr>
          <w:rFonts w:ascii="Palatino Linotype" w:eastAsia="Palatino Linotype" w:hAnsi="Palatino Linotype" w:cs="Palatino Linotype"/>
          <w:sz w:val="24"/>
          <w:szCs w:val="24"/>
        </w:rPr>
        <w:t xml:space="preserve"> interpuesto por el C.</w:t>
      </w:r>
      <w:r>
        <w:rPr>
          <w:rFonts w:ascii="Palatino Linotype" w:eastAsia="Palatino Linotype" w:hAnsi="Palatino Linotype" w:cs="Palatino Linotype"/>
          <w:b/>
          <w:sz w:val="24"/>
          <w:szCs w:val="24"/>
        </w:rPr>
        <w:t xml:space="preserve"> </w:t>
      </w:r>
      <w:r w:rsidR="00770DD4" w:rsidRPr="00770DD4">
        <w:rPr>
          <w:rFonts w:ascii="Palatino Linotype" w:eastAsia="Palatino Linotype" w:hAnsi="Palatino Linotype" w:cs="Palatino Linotype"/>
          <w:b/>
          <w:sz w:val="24"/>
          <w:szCs w:val="24"/>
        </w:rPr>
        <w:t>XXXXX XXXXX XXXX</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del </w:t>
      </w:r>
      <w:r>
        <w:rPr>
          <w:rFonts w:ascii="Palatino Linotype" w:eastAsia="Palatino Linotype" w:hAnsi="Palatino Linotype" w:cs="Palatino Linotype"/>
          <w:b/>
          <w:sz w:val="24"/>
          <w:szCs w:val="24"/>
        </w:rPr>
        <w:t xml:space="preserve">Sistema de Transporte Masivo y Teleférico del Estado de México, </w:t>
      </w:r>
      <w:r>
        <w:rPr>
          <w:rFonts w:ascii="Palatino Linotype" w:eastAsia="Palatino Linotype" w:hAnsi="Palatino Linotype" w:cs="Palatino Linotype"/>
          <w:sz w:val="24"/>
          <w:szCs w:val="24"/>
        </w:rPr>
        <w:t xml:space="preserve">en lo sucesivo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se procede a dictar la presente resolución con base en lo siguiente:</w:t>
      </w:r>
    </w:p>
    <w:sdt>
      <w:sdtPr>
        <w:tag w:val="goog_rdk_0"/>
        <w:id w:val="121589824"/>
      </w:sdtPr>
      <w:sdtEndPr/>
      <w:sdtContent>
        <w:p w:rsidR="004C3072" w:rsidRPr="006E366A" w:rsidRDefault="00332F1C">
          <w:pPr>
            <w:spacing w:line="360" w:lineRule="auto"/>
            <w:jc w:val="center"/>
            <w:rPr>
              <w:rFonts w:ascii="Palatino Linotype" w:eastAsia="Palatino Linotype" w:hAnsi="Palatino Linotype" w:cs="Palatino Linotype"/>
              <w:b/>
              <w:sz w:val="24"/>
              <w:szCs w:val="24"/>
              <w:lang w:val="pt-BR"/>
            </w:rPr>
          </w:pPr>
          <w:r w:rsidRPr="006E366A">
            <w:rPr>
              <w:rFonts w:ascii="Palatino Linotype" w:eastAsia="Palatino Linotype" w:hAnsi="Palatino Linotype" w:cs="Palatino Linotype"/>
              <w:b/>
              <w:sz w:val="24"/>
              <w:szCs w:val="24"/>
              <w:lang w:val="pt-BR"/>
            </w:rPr>
            <w:t>R E S U L T A N D O</w:t>
          </w:r>
        </w:p>
      </w:sdtContent>
    </w:sdt>
    <w:p w:rsidR="004C3072" w:rsidRDefault="00332F1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I.</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fecha veintiséis de diciembre de dos mil dos mil diecinueve, que por ser día inhábil se registró el ocho de enero de dos mil veinte,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a través del Sistema de Acceso a la Información Mexiquense, en lo subsecuente </w:t>
      </w:r>
      <w:r>
        <w:rPr>
          <w:rFonts w:ascii="Palatino Linotype" w:eastAsia="Palatino Linotype" w:hAnsi="Palatino Linotype" w:cs="Palatino Linotype"/>
          <w:b/>
          <w:sz w:val="24"/>
          <w:szCs w:val="24"/>
        </w:rPr>
        <w:t>EL 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la solicitud de acceso a información pública, a la que se le asignó el número </w:t>
      </w:r>
      <w:r>
        <w:rPr>
          <w:rFonts w:ascii="Palatino Linotype" w:eastAsia="Palatino Linotype" w:hAnsi="Palatino Linotype" w:cs="Palatino Linotype"/>
          <w:b/>
          <w:sz w:val="24"/>
          <w:szCs w:val="24"/>
        </w:rPr>
        <w:t xml:space="preserve">00001/STMEM/IP/2020, </w:t>
      </w:r>
      <w:r>
        <w:rPr>
          <w:rFonts w:ascii="Palatino Linotype" w:eastAsia="Palatino Linotype" w:hAnsi="Palatino Linotype" w:cs="Palatino Linotype"/>
          <w:sz w:val="24"/>
          <w:szCs w:val="24"/>
        </w:rPr>
        <w:t>mediante la cual requirió lo siguiente:</w:t>
      </w:r>
    </w:p>
    <w:p w:rsidR="004C3072" w:rsidRDefault="004C3072">
      <w:pPr>
        <w:spacing w:line="360" w:lineRule="auto"/>
        <w:jc w:val="both"/>
        <w:rPr>
          <w:rFonts w:ascii="Palatino Linotype" w:eastAsia="Palatino Linotype" w:hAnsi="Palatino Linotype" w:cs="Palatino Linotype"/>
          <w:sz w:val="2"/>
          <w:szCs w:val="2"/>
        </w:rPr>
      </w:pPr>
    </w:p>
    <w:tbl>
      <w:tblPr>
        <w:tblStyle w:val="a"/>
        <w:tblW w:w="90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34"/>
      </w:tblGrid>
      <w:tr w:rsidR="004C3072">
        <w:trPr>
          <w:trHeight w:val="589"/>
        </w:trPr>
        <w:tc>
          <w:tcPr>
            <w:tcW w:w="2972" w:type="dxa"/>
            <w:shd w:val="clear" w:color="auto" w:fill="000000"/>
            <w:vAlign w:val="center"/>
          </w:tcPr>
          <w:p w:rsidR="004C3072" w:rsidRDefault="00332F1C">
            <w:pPr>
              <w:spacing w:line="360" w:lineRule="auto"/>
              <w:jc w:val="cente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Número de Solicitud</w:t>
            </w:r>
          </w:p>
        </w:tc>
        <w:tc>
          <w:tcPr>
            <w:tcW w:w="6034" w:type="dxa"/>
            <w:shd w:val="clear" w:color="auto" w:fill="000000"/>
            <w:vAlign w:val="center"/>
          </w:tcPr>
          <w:p w:rsidR="004C3072" w:rsidRDefault="00332F1C">
            <w:pPr>
              <w:tabs>
                <w:tab w:val="left" w:pos="1125"/>
              </w:tabs>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Contenido</w:t>
            </w:r>
          </w:p>
        </w:tc>
      </w:tr>
      <w:tr w:rsidR="004C3072">
        <w:trPr>
          <w:trHeight w:val="792"/>
        </w:trPr>
        <w:tc>
          <w:tcPr>
            <w:tcW w:w="2972" w:type="dxa"/>
            <w:vAlign w:val="center"/>
          </w:tcPr>
          <w:p w:rsidR="004C3072" w:rsidRDefault="00332F1C">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00001/STMEM/IP/2020</w:t>
            </w:r>
          </w:p>
        </w:tc>
        <w:tc>
          <w:tcPr>
            <w:tcW w:w="6034" w:type="dxa"/>
          </w:tcPr>
          <w:p w:rsidR="004C3072" w:rsidRDefault="00332F1C">
            <w:pPr>
              <w:spacing w:after="160"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“Deseo saber cuando quedara (fecha exacta por favor) habilitada la estación Rayito de sol para la nueva tuta del mexibus III, esta nueva ruta es UN CIRCUITO DE LA ESTACION DEL METRO </w:t>
            </w:r>
            <w:r>
              <w:rPr>
                <w:rFonts w:ascii="Palatino Linotype" w:eastAsia="Palatino Linotype" w:hAnsi="Palatino Linotype" w:cs="Palatino Linotype"/>
                <w:i/>
              </w:rPr>
              <w:lastRenderedPageBreak/>
              <w:t>PANTITLAN A LA ESTACION RAYITO DE SOL, ya que en la actualidad esta funcionando como servicio provisional hasta la estación de VICENTE VILLADA Conforme a la publicación del gobierno de ciudad Nezahualcóyotl, que adjunto link www.neza.gob.mx/boletines/2019/diciembre/238/boletin.php”</w:t>
            </w:r>
          </w:p>
        </w:tc>
      </w:tr>
    </w:tbl>
    <w:p w:rsidR="004C3072" w:rsidRDefault="004C3072">
      <w:pPr>
        <w:spacing w:after="0" w:line="360" w:lineRule="auto"/>
        <w:jc w:val="both"/>
        <w:rPr>
          <w:rFonts w:ascii="Palatino Linotype" w:eastAsia="Palatino Linotype" w:hAnsi="Palatino Linotype" w:cs="Palatino Linotype"/>
          <w:b/>
          <w:sz w:val="28"/>
          <w:szCs w:val="28"/>
        </w:rPr>
      </w:pPr>
    </w:p>
    <w:p w:rsidR="004C3072" w:rsidRDefault="00332F1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II.</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sz w:val="24"/>
          <w:szCs w:val="24"/>
        </w:rPr>
        <w:t>Por su parte el Titular de la Unidad de Transparencia en fecha quince de octubre de dos mil diecinueve, solicitó la información de mérito, como se aprecia en la imagen inserta a continuación:</w:t>
      </w:r>
    </w:p>
    <w:p w:rsidR="004C3072" w:rsidRDefault="00332F1C">
      <w:pPr>
        <w:spacing w:after="0" w:line="360" w:lineRule="auto"/>
        <w:jc w:val="both"/>
        <w:rPr>
          <w:rFonts w:ascii="Palatino Linotype" w:eastAsia="Palatino Linotype" w:hAnsi="Palatino Linotype" w:cs="Palatino Linotype"/>
          <w:sz w:val="24"/>
          <w:szCs w:val="24"/>
        </w:rPr>
      </w:pPr>
      <w:r>
        <w:rPr>
          <w:noProof/>
        </w:rPr>
        <w:drawing>
          <wp:inline distT="0" distB="0" distL="0" distR="0">
            <wp:extent cx="5581650" cy="1743075"/>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3069" t="25659" r="13612" b="56832"/>
                    <a:stretch>
                      <a:fillRect/>
                    </a:stretch>
                  </pic:blipFill>
                  <pic:spPr>
                    <a:xfrm>
                      <a:off x="0" y="0"/>
                      <a:ext cx="5581650" cy="1743075"/>
                    </a:xfrm>
                    <a:prstGeom prst="rect">
                      <a:avLst/>
                    </a:prstGeom>
                    <a:ln/>
                  </pic:spPr>
                </pic:pic>
              </a:graphicData>
            </a:graphic>
          </wp:inline>
        </w:drawing>
      </w:r>
    </w:p>
    <w:p w:rsidR="004C3072" w:rsidRDefault="004C3072">
      <w:pPr>
        <w:spacing w:after="0" w:line="360" w:lineRule="auto"/>
        <w:jc w:val="both"/>
        <w:rPr>
          <w:rFonts w:ascii="Palatino Linotype" w:eastAsia="Palatino Linotype" w:hAnsi="Palatino Linotype" w:cs="Palatino Linotype"/>
          <w:sz w:val="16"/>
          <w:szCs w:val="16"/>
        </w:rPr>
      </w:pPr>
    </w:p>
    <w:p w:rsidR="004C3072" w:rsidRDefault="00A828D5">
      <w:pPr>
        <w:spacing w:line="360" w:lineRule="auto"/>
        <w:jc w:val="both"/>
        <w:rPr>
          <w:rFonts w:ascii="Palatino Linotype" w:eastAsia="Palatino Linotype" w:hAnsi="Palatino Linotype" w:cs="Palatino Linotype"/>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-13335</wp:posOffset>
                </wp:positionH>
                <wp:positionV relativeFrom="paragraph">
                  <wp:posOffset>1501140</wp:posOffset>
                </wp:positionV>
                <wp:extent cx="5724525" cy="981075"/>
                <wp:effectExtent l="19050" t="19050" r="28575" b="28575"/>
                <wp:wrapNone/>
                <wp:docPr id="28" name="Conector recto de flecha 28"/>
                <wp:cNvGraphicFramePr/>
                <a:graphic xmlns:a="http://schemas.openxmlformats.org/drawingml/2006/main">
                  <a:graphicData uri="http://schemas.microsoft.com/office/word/2010/wordprocessingShape">
                    <wps:wsp>
                      <wps:cNvCnPr/>
                      <wps:spPr>
                        <a:xfrm>
                          <a:off x="0" y="0"/>
                          <a:ext cx="5724525" cy="981075"/>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3E3B71D9" id="_x0000_t32" coordsize="21600,21600" o:spt="32" o:oned="t" path="m,l21600,21600e" filled="f">
                <v:path arrowok="t" fillok="f" o:connecttype="none"/>
                <o:lock v:ext="edit" shapetype="t"/>
              </v:shapetype>
              <v:shape id="Conector recto de flecha 28" o:spid="_x0000_s1026" type="#_x0000_t32" style="position:absolute;margin-left:-1.05pt;margin-top:118.2pt;width:450.7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" strokecolor="#5b9bd5 [3204]" strokeweight="2.25pt">
                <v:stroke startarrowwidth="narrow" startarrowlength="short" endarrowwidth="narrow" endarrowlength="short" joinstyle="miter"/>
              </v:shape>
            </w:pict>
          </mc:Fallback>
        </mc:AlternateContent>
      </w:r>
      <w:r w:rsidR="00332F1C">
        <w:rPr>
          <w:rFonts w:ascii="Palatino Linotype" w:eastAsia="Palatino Linotype" w:hAnsi="Palatino Linotype" w:cs="Palatino Linotype"/>
          <w:sz w:val="24"/>
          <w:szCs w:val="24"/>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Director de Supervisión y Control, como se aprecia a continuación:</w:t>
      </w:r>
    </w:p>
    <w:p w:rsidR="004C3072" w:rsidRDefault="00332F1C">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38800" cy="413385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2064" t="27772" r="37881" b="12456"/>
                    <a:stretch>
                      <a:fillRect/>
                    </a:stretch>
                  </pic:blipFill>
                  <pic:spPr>
                    <a:xfrm>
                      <a:off x="0" y="0"/>
                      <a:ext cx="5638800" cy="4133850"/>
                    </a:xfrm>
                    <a:prstGeom prst="rect">
                      <a:avLst/>
                    </a:prstGeom>
                    <a:ln/>
                  </pic:spPr>
                </pic:pic>
              </a:graphicData>
            </a:graphic>
          </wp:inline>
        </w:drawing>
      </w:r>
    </w:p>
    <w:p w:rsidR="004C3072" w:rsidRDefault="00332F1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III. </w:t>
      </w:r>
      <w:r>
        <w:rPr>
          <w:rFonts w:ascii="Palatino Linotype" w:eastAsia="Palatino Linotype" w:hAnsi="Palatino Linotype" w:cs="Palatino Linotype"/>
          <w:sz w:val="24"/>
          <w:szCs w:val="24"/>
        </w:rPr>
        <w:t xml:space="preserve">De las constancias que obran en </w:t>
      </w:r>
      <w:r>
        <w:rPr>
          <w:rFonts w:ascii="Palatino Linotype" w:eastAsia="Palatino Linotype" w:hAnsi="Palatino Linotype" w:cs="Palatino Linotype"/>
          <w:b/>
          <w:sz w:val="24"/>
          <w:szCs w:val="24"/>
        </w:rPr>
        <w:t>EL SAIMEX,</w:t>
      </w:r>
      <w:r>
        <w:rPr>
          <w:rFonts w:ascii="Palatino Linotype" w:eastAsia="Palatino Linotype" w:hAnsi="Palatino Linotype" w:cs="Palatino Linotype"/>
          <w:sz w:val="24"/>
          <w:szCs w:val="24"/>
        </w:rPr>
        <w:t xml:space="preserve"> se advierte que en fecha catorce de enero de dos mil veinte,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xml:space="preserve"> dio respuesta a la solicitud de información, en los siguientes términos:</w:t>
      </w:r>
    </w:p>
    <w:p w:rsidR="004C3072" w:rsidRDefault="00332F1C">
      <w:pPr>
        <w:spacing w:after="0" w:line="276" w:lineRule="auto"/>
        <w:ind w:left="851" w:right="616"/>
        <w:jc w:val="right"/>
        <w:rPr>
          <w:rFonts w:ascii="Palatino Linotype" w:eastAsia="Palatino Linotype" w:hAnsi="Palatino Linotype" w:cs="Palatino Linotype"/>
          <w:i/>
        </w:rPr>
      </w:pPr>
      <w:r>
        <w:rPr>
          <w:rFonts w:ascii="Palatino Linotype" w:eastAsia="Palatino Linotype" w:hAnsi="Palatino Linotype" w:cs="Palatino Linotype"/>
          <w:i/>
        </w:rPr>
        <w:t>“Folio de la solicitud: 00001/STMEM/IP/2020</w:t>
      </w:r>
    </w:p>
    <w:p w:rsidR="004C3072" w:rsidRDefault="00332F1C">
      <w:pPr>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C3072" w:rsidRDefault="00332F1C">
      <w:pPr>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Estimado peticionario se envía respuesta en atención a su solicitud de información pública realizada a este Organismo.</w:t>
      </w:r>
    </w:p>
    <w:p w:rsidR="004C3072" w:rsidRDefault="00332F1C">
      <w:pPr>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4C3072" w:rsidRDefault="00332F1C">
      <w:pPr>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LIC. GONZALO LINAS COLIN”</w:t>
      </w:r>
    </w:p>
    <w:p w:rsidR="004C3072" w:rsidRDefault="004C3072">
      <w:pPr>
        <w:spacing w:after="0" w:line="276" w:lineRule="auto"/>
        <w:ind w:right="616"/>
        <w:jc w:val="both"/>
        <w:rPr>
          <w:rFonts w:ascii="Palatino Linotype" w:eastAsia="Palatino Linotype" w:hAnsi="Palatino Linotype" w:cs="Palatino Linotype"/>
          <w:i/>
        </w:rPr>
      </w:pPr>
    </w:p>
    <w:p w:rsidR="004C3072" w:rsidRDefault="00332F1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anexó dos archivos electrónicos denominados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Of. 014.pdf</w:t>
      </w:r>
      <w:r>
        <w:rPr>
          <w:rFonts w:ascii="Palatino Linotype" w:eastAsia="Palatino Linotype" w:hAnsi="Palatino Linotype" w:cs="Palatino Linotype"/>
          <w:i/>
          <w:sz w:val="24"/>
          <w:szCs w:val="24"/>
        </w:rPr>
        <w:t xml:space="preserve"> y </w:t>
      </w:r>
      <w:r>
        <w:rPr>
          <w:rFonts w:ascii="Palatino Linotype" w:eastAsia="Palatino Linotype" w:hAnsi="Palatino Linotype" w:cs="Palatino Linotype"/>
          <w:b/>
          <w:i/>
          <w:sz w:val="24"/>
          <w:szCs w:val="24"/>
        </w:rPr>
        <w:t>Respuesta 00001-STMEM-IP-2020.pdf</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los cuales no se insertan por ser del conocimiento de las partes; sin embargo, el primero de ellos contiene el oficio del Director de Supervisión y Control mediante el cual le señaló que es necesario una adecuación de retorno para las unidades, por lo que SITRAMYTEM en coordinación con la Junta de Caminos del Estado de México y obras Públicas del Municipio de Nezahualcóyotl, han realizados recorridos donde se va a ubicar el retorno, por lo que se está elaborando un proyecto ejecutivo y el segundo es el oficio del Titular de la Unidad de Transparencia en el que le señala al particular que adjuntó la respuesta a la solicitud de acceso a la información pública por parte del Servidor Público Habilitado Competente.</w:t>
      </w:r>
    </w:p>
    <w:p w:rsidR="004C3072" w:rsidRDefault="00332F1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IV. </w:t>
      </w:r>
      <w:r>
        <w:rPr>
          <w:rFonts w:ascii="Palatino Linotype" w:eastAsia="Palatino Linotype" w:hAnsi="Palatino Linotype" w:cs="Palatino Linotype"/>
          <w:sz w:val="24"/>
          <w:szCs w:val="24"/>
        </w:rPr>
        <w:t xml:space="preserve">Inconforme con la respuesta el veinticuatro de enero de dos mil veinte,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interpuso el recursos de revisión objeto del presente estudio, el cual fue registrado en </w:t>
      </w:r>
      <w:r>
        <w:rPr>
          <w:rFonts w:ascii="Palatino Linotype" w:eastAsia="Palatino Linotype" w:hAnsi="Palatino Linotype" w:cs="Palatino Linotype"/>
          <w:b/>
          <w:sz w:val="24"/>
          <w:szCs w:val="24"/>
        </w:rPr>
        <w:t>EL SAIMEX</w:t>
      </w:r>
      <w:r>
        <w:rPr>
          <w:rFonts w:ascii="Palatino Linotype" w:eastAsia="Palatino Linotype" w:hAnsi="Palatino Linotype" w:cs="Palatino Linotype"/>
          <w:sz w:val="24"/>
          <w:szCs w:val="24"/>
        </w:rPr>
        <w:t xml:space="preserve"> y se le asignó el número de expediente </w:t>
      </w:r>
      <w:r>
        <w:rPr>
          <w:rFonts w:ascii="Palatino Linotype" w:eastAsia="Palatino Linotype" w:hAnsi="Palatino Linotype" w:cs="Palatino Linotype"/>
          <w:sz w:val="24"/>
          <w:szCs w:val="24"/>
        </w:rPr>
        <w:br/>
      </w:r>
      <w:r>
        <w:rPr>
          <w:rFonts w:ascii="Palatino Linotype" w:eastAsia="Palatino Linotype" w:hAnsi="Palatino Linotype" w:cs="Palatino Linotype"/>
          <w:b/>
          <w:sz w:val="24"/>
          <w:szCs w:val="24"/>
        </w:rPr>
        <w:t>00707/INFOEM/IP/RR/2020</w:t>
      </w:r>
      <w:r>
        <w:rPr>
          <w:rFonts w:ascii="Palatino Linotype" w:eastAsia="Palatino Linotype" w:hAnsi="Palatino Linotype" w:cs="Palatino Linotype"/>
          <w:sz w:val="24"/>
          <w:szCs w:val="24"/>
        </w:rPr>
        <w:t>, en el que señaló como acto impugnado y razones o motivos de inconformidad lo siguiente:</w:t>
      </w:r>
    </w:p>
    <w:tbl>
      <w:tblPr>
        <w:tblStyle w:val="a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118"/>
        <w:gridCol w:w="3021"/>
      </w:tblGrid>
      <w:tr w:rsidR="004C3072">
        <w:trPr>
          <w:jc w:val="center"/>
        </w:trPr>
        <w:tc>
          <w:tcPr>
            <w:tcW w:w="2689" w:type="dxa"/>
            <w:shd w:val="clear" w:color="auto" w:fill="000000"/>
            <w:vAlign w:val="center"/>
          </w:tcPr>
          <w:p w:rsidR="004C3072" w:rsidRDefault="00332F1C">
            <w:pPr>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Número de Recurso</w:t>
            </w:r>
          </w:p>
        </w:tc>
        <w:tc>
          <w:tcPr>
            <w:tcW w:w="3118" w:type="dxa"/>
            <w:shd w:val="clear" w:color="auto" w:fill="000000"/>
            <w:vAlign w:val="center"/>
          </w:tcPr>
          <w:p w:rsidR="004C3072" w:rsidRDefault="00332F1C">
            <w:pPr>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Acto Impugnado</w:t>
            </w:r>
          </w:p>
        </w:tc>
        <w:tc>
          <w:tcPr>
            <w:tcW w:w="3021" w:type="dxa"/>
            <w:shd w:val="clear" w:color="auto" w:fill="000000"/>
            <w:vAlign w:val="center"/>
          </w:tcPr>
          <w:p w:rsidR="004C3072" w:rsidRDefault="00332F1C">
            <w:pPr>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Razones o motivos de inconformidad</w:t>
            </w:r>
          </w:p>
        </w:tc>
      </w:tr>
      <w:tr w:rsidR="004C3072">
        <w:trPr>
          <w:trHeight w:val="1384"/>
          <w:jc w:val="center"/>
        </w:trPr>
        <w:tc>
          <w:tcPr>
            <w:tcW w:w="2689" w:type="dxa"/>
          </w:tcPr>
          <w:p w:rsidR="004C3072" w:rsidRDefault="00332F1C">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00707/INFOEM/IP/RR/2019</w:t>
            </w:r>
          </w:p>
        </w:tc>
        <w:tc>
          <w:tcPr>
            <w:tcW w:w="3118" w:type="dxa"/>
          </w:tcPr>
          <w:p w:rsidR="004C3072" w:rsidRDefault="00332F1C">
            <w:pPr>
              <w:jc w:val="both"/>
              <w:rPr>
                <w:rFonts w:ascii="Palatino Linotype" w:eastAsia="Palatino Linotype" w:hAnsi="Palatino Linotype" w:cs="Palatino Linotype"/>
                <w:i/>
              </w:rPr>
            </w:pPr>
            <w:r>
              <w:rPr>
                <w:rFonts w:ascii="Palatino Linotype" w:eastAsia="Palatino Linotype" w:hAnsi="Palatino Linotype" w:cs="Palatino Linotype"/>
                <w:i/>
                <w:color w:val="000000"/>
              </w:rPr>
              <w:t>“No se respondió a la solicitud de información que solicite, por tal motivo me lleva a realizar otras preguntas: cuales son las etapas y fechas de las mismas para tener ya habilitado el RETORNO para la estación de RAYITO DE SOL 1. Alcances, cuando inician y terminan en establecer los alcances de la obra, cuando consideran gastarse? 2. Preliminares, cuando inician y terminan los estudios de topografía, mecánica de suelo, hidrología, geofísica? 3. Anteproyecto, cuando inician y terminan los Estudio de áreas (m2), Zonificación y Arquitectónica, Análisis de costos paramétricos? 4. Proyecto arquitectónico, cuando inician y terminan de establecer las formas, dimensiones, áreas, sistemas constructivos, características urbanas, etc? 5. Proyecto ejecutivo, cuando tienen el proyecto ejecutivo? 6. Ejecución de obra, cuando inician y terminas de ejecutar la obra ?”</w:t>
            </w:r>
          </w:p>
        </w:tc>
        <w:tc>
          <w:tcPr>
            <w:tcW w:w="3021" w:type="dxa"/>
          </w:tcPr>
          <w:p w:rsidR="004C3072" w:rsidRDefault="00332F1C">
            <w:pPr>
              <w:jc w:val="both"/>
              <w:rPr>
                <w:rFonts w:ascii="Palatino Linotype" w:eastAsia="Palatino Linotype" w:hAnsi="Palatino Linotype" w:cs="Palatino Linotype"/>
                <w:i/>
              </w:rPr>
            </w:pPr>
            <w:r>
              <w:rPr>
                <w:rFonts w:ascii="Palatino Linotype" w:eastAsia="Palatino Linotype" w:hAnsi="Palatino Linotype" w:cs="Palatino Linotype"/>
                <w:i/>
                <w:color w:val="000000"/>
              </w:rPr>
              <w:t>“Buen día, considero que la respuesta a mi pregunta no ha sido o no fue resuelta, puesto que mi pregunta es cuando quedará (fecha exacta) habilitada la estación Rayito de Sol para la nueva ruta del MEXIBUS III, y su respuesta fue que “….se esta elaborando el proyecto ejecutivo que incluya la protección de las instalaciones, con la finalidad de no afectar las líneas de agua y potable.” Entiendo y comprendo que para toda obra se debe realizar los estudios pertinentes a fin de no afectar a terceros, lo que no comprendo cómo es que inauguran un servicio (EXPRESS 3, del mexibus III), es más hasta las unidades de este nuevo circuito tienen rotulado CIRCUITO RAYITO DE SOL, cuando no se han realizado los estudios, proyectos y trabajos previos. De tal forma requiero, me apoyen en indicarme cuales son las etapas y fechas de las mismas para tener ya habilitado el RETORNO para la estación de RAYITO DE SOL 1. Alcances, cuando inician y terminan en establecer los alcances de la obra, cuando consideran gastarse? 2. Preliminares, cuando inician y terminan los estudios de topografía, mecánica de suelo, hidrología, geofísica? 3. Anteproyecto, cuando inician y terminan los Estudio de áreas (m2), Zonificación y Arquitectónica, Análisis de costos paramétricos? 4. Proyecto arquitectónico, cuando inician y terminan de establecer las formas, dimensiones, áreas, sistemas constructivos, características urbanas, etc? 5. Proyecto ejecutivo, cuando tienen el proyecto ejecutivo? 6. Ejecución de obra, cuando inician y terminas de ejecutar la obra ?”</w:t>
            </w:r>
          </w:p>
        </w:tc>
      </w:tr>
    </w:tbl>
    <w:p w:rsidR="004C3072" w:rsidRDefault="004C3072">
      <w:pPr>
        <w:rPr>
          <w:rFonts w:ascii="Palatino Linotype" w:eastAsia="Palatino Linotype" w:hAnsi="Palatino Linotype" w:cs="Palatino Linotype"/>
          <w:sz w:val="24"/>
          <w:szCs w:val="24"/>
        </w:rPr>
      </w:pPr>
    </w:p>
    <w:p w:rsidR="004C3072" w:rsidRDefault="00332F1C">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V. </w:t>
      </w:r>
      <w:r>
        <w:rPr>
          <w:rFonts w:ascii="Palatino Linotype" w:eastAsia="Palatino Linotype" w:hAnsi="Palatino Linotype" w:cs="Palatino Linotype"/>
          <w:sz w:val="24"/>
          <w:szCs w:val="24"/>
        </w:rPr>
        <w:t xml:space="preserve">El veinticuatro de enero de dos mil veinte, el recurso de revisión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el recurso de revisión a la Comisionada </w:t>
      </w:r>
      <w:r>
        <w:rPr>
          <w:rFonts w:ascii="Palatino Linotype" w:eastAsia="Palatino Linotype" w:hAnsi="Palatino Linotype" w:cs="Palatino Linotype"/>
          <w:b/>
          <w:sz w:val="24"/>
          <w:szCs w:val="24"/>
        </w:rPr>
        <w:t xml:space="preserve">EVA ABAID YAPUR, </w:t>
      </w:r>
      <w:r>
        <w:rPr>
          <w:rFonts w:ascii="Palatino Linotype" w:eastAsia="Palatino Linotype" w:hAnsi="Palatino Linotype" w:cs="Palatino Linotype"/>
          <w:sz w:val="24"/>
          <w:szCs w:val="24"/>
        </w:rPr>
        <w:t xml:space="preserve">a efecto de que decretaran su admisión o desechamiento. </w:t>
      </w:r>
    </w:p>
    <w:p w:rsidR="004C3072" w:rsidRDefault="004C3072">
      <w:pPr>
        <w:spacing w:line="360" w:lineRule="auto"/>
        <w:ind w:right="49"/>
        <w:jc w:val="both"/>
        <w:rPr>
          <w:rFonts w:ascii="Palatino Linotype" w:eastAsia="Palatino Linotype" w:hAnsi="Palatino Linotype" w:cs="Palatino Linotype"/>
          <w:sz w:val="8"/>
          <w:szCs w:val="8"/>
        </w:rPr>
      </w:pPr>
    </w:p>
    <w:p w:rsidR="004C3072" w:rsidRDefault="00332F1C">
      <w:pPr>
        <w:tabs>
          <w:tab w:val="center" w:pos="4252"/>
          <w:tab w:val="right" w:pos="8504"/>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V. </w:t>
      </w:r>
      <w:r>
        <w:rPr>
          <w:rFonts w:ascii="Palatino Linotype" w:eastAsia="Palatino Linotype" w:hAnsi="Palatino Linotype" w:cs="Palatino Linotype"/>
          <w:sz w:val="24"/>
          <w:szCs w:val="24"/>
        </w:rPr>
        <w:t>De las constancias de los expedientes electrónicos del</w:t>
      </w:r>
      <w:r>
        <w:rPr>
          <w:rFonts w:ascii="Palatino Linotype" w:eastAsia="Palatino Linotype" w:hAnsi="Palatino Linotype" w:cs="Palatino Linotype"/>
          <w:b/>
          <w:sz w:val="24"/>
          <w:szCs w:val="24"/>
        </w:rPr>
        <w:t xml:space="preserve"> SAIMEX</w:t>
      </w:r>
      <w:r>
        <w:rPr>
          <w:rFonts w:ascii="Palatino Linotype" w:eastAsia="Palatino Linotype" w:hAnsi="Palatino Linotype" w:cs="Palatino Linotype"/>
          <w:sz w:val="24"/>
          <w:szCs w:val="24"/>
        </w:rPr>
        <w:t xml:space="preserve">, se desprende que el treinta de enero de dos mil enero, se acordó la admisión a trámite del recurso de revisión que nos ocupan,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rindiera sus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Informes Justificados respectivamente.</w:t>
      </w:r>
    </w:p>
    <w:p w:rsidR="004C3072" w:rsidRDefault="00332F1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VI.</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cumplimiento a lo anterior, de las constancias del expediente electrónico del</w:t>
      </w:r>
      <w:r>
        <w:rPr>
          <w:rFonts w:ascii="Palatino Linotype" w:eastAsia="Palatino Linotype" w:hAnsi="Palatino Linotype" w:cs="Palatino Linotype"/>
          <w:b/>
          <w:sz w:val="24"/>
          <w:szCs w:val="24"/>
        </w:rPr>
        <w:t xml:space="preserve"> SAIMEX</w:t>
      </w:r>
      <w:r>
        <w:rPr>
          <w:rFonts w:ascii="Palatino Linotype" w:eastAsia="Palatino Linotype" w:hAnsi="Palatino Linotype" w:cs="Palatino Linotype"/>
          <w:sz w:val="24"/>
          <w:szCs w:val="24"/>
        </w:rPr>
        <w:t xml:space="preserve">, se observó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fue omiso en rendir el Informe Justificado.</w:t>
      </w:r>
    </w:p>
    <w:p w:rsidR="004C3072" w:rsidRDefault="00332F1C">
      <w:pPr>
        <w:tabs>
          <w:tab w:val="center" w:pos="4252"/>
          <w:tab w:val="right" w:pos="8504"/>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 xml:space="preserve">el seis de febrero de dos mil veinte realizó manifiestaciónes y presentó los alegatos que a su derecho convinieron, adjuntando dos archivos electrónicos los cuales son </w:t>
      </w:r>
      <w:r>
        <w:rPr>
          <w:rFonts w:ascii="Palatino Linotype" w:eastAsia="Palatino Linotype" w:hAnsi="Palatino Linotype" w:cs="Palatino Linotype"/>
          <w:b/>
          <w:i/>
          <w:sz w:val="24"/>
          <w:szCs w:val="24"/>
        </w:rPr>
        <w:t>Of. 014.pdf</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i/>
          <w:sz w:val="24"/>
          <w:szCs w:val="24"/>
        </w:rPr>
        <w:t>archivo de alegatos.docx</w:t>
      </w:r>
      <w:r>
        <w:rPr>
          <w:rFonts w:ascii="Palatino Linotype" w:eastAsia="Palatino Linotype" w:hAnsi="Palatino Linotype" w:cs="Palatino Linotype"/>
          <w:sz w:val="24"/>
          <w:szCs w:val="24"/>
        </w:rPr>
        <w:t xml:space="preserve">, los cuales contienes el primero el oficio del Director de Supervisión y Control remitido en respuesta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y el segundo son los argumentos expuestos en las razones y motivos de inconformidad.</w:t>
      </w:r>
    </w:p>
    <w:p w:rsidR="004C3072" w:rsidRDefault="004C3072">
      <w:pPr>
        <w:tabs>
          <w:tab w:val="center" w:pos="4252"/>
          <w:tab w:val="right" w:pos="8504"/>
        </w:tabs>
        <w:spacing w:after="0" w:line="360" w:lineRule="auto"/>
        <w:jc w:val="both"/>
        <w:rPr>
          <w:rFonts w:ascii="Palatino Linotype" w:eastAsia="Palatino Linotype" w:hAnsi="Palatino Linotype" w:cs="Palatino Linotype"/>
          <w:sz w:val="12"/>
          <w:szCs w:val="12"/>
        </w:rPr>
      </w:pPr>
    </w:p>
    <w:p w:rsidR="004C3072" w:rsidRDefault="00332F1C">
      <w:pPr>
        <w:tabs>
          <w:tab w:val="center" w:pos="4252"/>
          <w:tab w:val="right" w:pos="8504"/>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VII. </w:t>
      </w:r>
      <w:r>
        <w:rPr>
          <w:rFonts w:ascii="Palatino Linotype" w:eastAsia="Palatino Linotype" w:hAnsi="Palatino Linotype" w:cs="Palatino Linotype"/>
          <w:sz w:val="24"/>
          <w:szCs w:val="24"/>
        </w:rPr>
        <w:t xml:space="preserve">Una vez analizado el estado procesal que guarda el expediente, en fecha tres de agosto de dos mil veinte, la Comisionada </w:t>
      </w:r>
      <w:r>
        <w:rPr>
          <w:rFonts w:ascii="Palatino Linotype" w:eastAsia="Palatino Linotype" w:hAnsi="Palatino Linotype" w:cs="Palatino Linotype"/>
          <w:b/>
          <w:sz w:val="24"/>
          <w:szCs w:val="24"/>
        </w:rPr>
        <w:t xml:space="preserve">EVA ABAID YAPUR </w:t>
      </w:r>
      <w:r>
        <w:rPr>
          <w:rFonts w:ascii="Palatino Linotype" w:eastAsia="Palatino Linotype" w:hAnsi="Palatino Linotype" w:cs="Palatino Linotype"/>
          <w:sz w:val="24"/>
          <w:szCs w:val="24"/>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4C3072" w:rsidRDefault="004C3072">
      <w:pPr>
        <w:tabs>
          <w:tab w:val="center" w:pos="4252"/>
          <w:tab w:val="right" w:pos="8504"/>
        </w:tabs>
        <w:spacing w:after="0" w:line="360" w:lineRule="auto"/>
        <w:jc w:val="both"/>
        <w:rPr>
          <w:rFonts w:ascii="Palatino Linotype" w:eastAsia="Palatino Linotype" w:hAnsi="Palatino Linotype" w:cs="Palatino Linotype"/>
          <w:sz w:val="24"/>
          <w:szCs w:val="24"/>
        </w:rPr>
      </w:pPr>
    </w:p>
    <w:p w:rsidR="004C3072" w:rsidRDefault="00332F1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8"/>
          <w:szCs w:val="28"/>
        </w:rPr>
        <w:t>VIII.</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sz w:val="24"/>
          <w:szCs w:val="24"/>
        </w:rPr>
        <w:t>tres</w:t>
      </w:r>
      <w:r>
        <w:rPr>
          <w:rFonts w:ascii="Palatino Linotype" w:eastAsia="Palatino Linotype" w:hAnsi="Palatino Linotype" w:cs="Palatino Linotype"/>
          <w:color w:val="000000"/>
          <w:sz w:val="24"/>
          <w:szCs w:val="24"/>
        </w:rPr>
        <w:t xml:space="preserve"> de </w:t>
      </w:r>
      <w:r>
        <w:rPr>
          <w:rFonts w:ascii="Palatino Linotype" w:eastAsia="Palatino Linotype" w:hAnsi="Palatino Linotype" w:cs="Palatino Linotype"/>
          <w:sz w:val="24"/>
          <w:szCs w:val="24"/>
        </w:rPr>
        <w:t>agosto</w:t>
      </w:r>
      <w:r>
        <w:rPr>
          <w:rFonts w:ascii="Palatino Linotype" w:eastAsia="Palatino Linotype" w:hAnsi="Palatino Linotype" w:cs="Palatino Linotype"/>
          <w:color w:val="000000"/>
          <w:sz w:val="24"/>
          <w:szCs w:val="24"/>
        </w:rPr>
        <w:t xml:space="preserve"> de dos mil veinte, </w:t>
      </w:r>
      <w:r>
        <w:rPr>
          <w:rFonts w:ascii="Palatino Linotype" w:eastAsia="Palatino Linotype" w:hAnsi="Palatino Linotype" w:cs="Palatino Linotype"/>
          <w:color w:val="222222"/>
          <w:sz w:val="24"/>
          <w:szCs w:val="24"/>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eastAsia="Palatino Linotype" w:hAnsi="Palatino Linotype" w:cs="Palatino Linotype"/>
          <w:color w:val="000000"/>
          <w:sz w:val="24"/>
          <w:szCs w:val="24"/>
        </w:rPr>
        <w:t>; y</w:t>
      </w:r>
    </w:p>
    <w:p w:rsidR="004C3072" w:rsidRDefault="004C3072">
      <w:pPr>
        <w:tabs>
          <w:tab w:val="center" w:pos="4252"/>
          <w:tab w:val="right" w:pos="8504"/>
        </w:tabs>
        <w:spacing w:after="0" w:line="360" w:lineRule="auto"/>
        <w:jc w:val="both"/>
        <w:rPr>
          <w:rFonts w:ascii="Palatino Linotype" w:eastAsia="Palatino Linotype" w:hAnsi="Palatino Linotype" w:cs="Palatino Linotype"/>
          <w:sz w:val="24"/>
          <w:szCs w:val="24"/>
        </w:rPr>
      </w:pPr>
    </w:p>
    <w:p w:rsidR="004C3072" w:rsidRDefault="004C3072">
      <w:pPr>
        <w:spacing w:after="0" w:line="240" w:lineRule="auto"/>
        <w:jc w:val="center"/>
        <w:rPr>
          <w:rFonts w:ascii="Palatino Linotype" w:eastAsia="Palatino Linotype" w:hAnsi="Palatino Linotype" w:cs="Palatino Linotype"/>
          <w:b/>
          <w:sz w:val="24"/>
          <w:szCs w:val="24"/>
        </w:rPr>
      </w:pPr>
    </w:p>
    <w:sdt>
      <w:sdtPr>
        <w:tag w:val="goog_rdk_1"/>
        <w:id w:val="238605944"/>
      </w:sdtPr>
      <w:sdtEndPr/>
      <w:sdtContent>
        <w:p w:rsidR="004C3072" w:rsidRPr="006E366A" w:rsidRDefault="00332F1C">
          <w:pPr>
            <w:spacing w:after="0" w:line="240" w:lineRule="auto"/>
            <w:jc w:val="center"/>
            <w:rPr>
              <w:rFonts w:ascii="Palatino Linotype" w:eastAsia="Palatino Linotype" w:hAnsi="Palatino Linotype" w:cs="Palatino Linotype"/>
              <w:b/>
              <w:sz w:val="24"/>
              <w:szCs w:val="24"/>
              <w:lang w:val="pt-BR"/>
            </w:rPr>
          </w:pPr>
          <w:r w:rsidRPr="006E366A">
            <w:rPr>
              <w:rFonts w:ascii="Palatino Linotype" w:eastAsia="Palatino Linotype" w:hAnsi="Palatino Linotype" w:cs="Palatino Linotype"/>
              <w:b/>
              <w:sz w:val="24"/>
              <w:szCs w:val="24"/>
              <w:lang w:val="pt-BR"/>
            </w:rPr>
            <w:t>C O N S I D E R A N D O</w:t>
          </w:r>
        </w:p>
      </w:sdtContent>
    </w:sdt>
    <w:p w:rsidR="004C3072" w:rsidRPr="006E366A" w:rsidRDefault="004C3072">
      <w:pPr>
        <w:spacing w:after="0" w:line="240" w:lineRule="auto"/>
        <w:jc w:val="center"/>
        <w:rPr>
          <w:rFonts w:ascii="Palatino Linotype" w:eastAsia="Palatino Linotype" w:hAnsi="Palatino Linotype" w:cs="Palatino Linotype"/>
          <w:b/>
          <w:sz w:val="24"/>
          <w:szCs w:val="24"/>
          <w:lang w:val="pt-BR"/>
        </w:rPr>
      </w:pPr>
    </w:p>
    <w:p w:rsidR="004C3072" w:rsidRDefault="00332F1C">
      <w:pPr>
        <w:spacing w:after="0" w:line="360" w:lineRule="auto"/>
        <w:ind w:right="50"/>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i/>
          <w:sz w:val="24"/>
          <w:szCs w:val="24"/>
        </w:rPr>
        <w:t>Competencia</w:t>
      </w:r>
      <w:r>
        <w:rPr>
          <w:rFonts w:ascii="Palatino Linotype" w:eastAsia="Palatino Linotype" w:hAnsi="Palatino Linotype" w:cs="Palatino Linotype"/>
          <w:i/>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4C3072" w:rsidRDefault="004C3072">
      <w:pPr>
        <w:spacing w:after="0" w:line="360" w:lineRule="auto"/>
        <w:jc w:val="both"/>
        <w:rPr>
          <w:rFonts w:ascii="Palatino Linotype" w:eastAsia="Palatino Linotype" w:hAnsi="Palatino Linotype" w:cs="Palatino Linotype"/>
          <w:b/>
          <w:sz w:val="24"/>
          <w:szCs w:val="24"/>
        </w:rPr>
      </w:pPr>
    </w:p>
    <w:p w:rsidR="004C3072" w:rsidRDefault="00332F1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i/>
          <w:sz w:val="24"/>
          <w:szCs w:val="24"/>
        </w:rPr>
        <w:t>Interés.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El recurso de revisión fue interpuesto por parte legítima, en atención a que fue presentado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quien es la misma persona que formuló la solicitud de acceso a la información pública al </w:t>
      </w:r>
      <w:r>
        <w:rPr>
          <w:rFonts w:ascii="Palatino Linotype" w:eastAsia="Palatino Linotype" w:hAnsi="Palatino Linotype" w:cs="Palatino Linotype"/>
          <w:b/>
          <w:sz w:val="24"/>
          <w:szCs w:val="24"/>
        </w:rPr>
        <w:t>SUJETO OBLIGADO.</w:t>
      </w:r>
    </w:p>
    <w:p w:rsidR="004C3072" w:rsidRDefault="004C3072">
      <w:pPr>
        <w:spacing w:after="0" w:line="360" w:lineRule="auto"/>
        <w:ind w:right="49"/>
        <w:jc w:val="both"/>
        <w:rPr>
          <w:rFonts w:ascii="Palatino Linotype" w:eastAsia="Palatino Linotype" w:hAnsi="Palatino Linotype" w:cs="Palatino Linotype"/>
          <w:b/>
          <w:sz w:val="20"/>
          <w:szCs w:val="20"/>
        </w:rPr>
      </w:pPr>
    </w:p>
    <w:p w:rsidR="004C3072" w:rsidRDefault="00332F1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TERCERO. </w:t>
      </w:r>
      <w:r>
        <w:rPr>
          <w:rFonts w:ascii="Palatino Linotype" w:eastAsia="Palatino Linotype" w:hAnsi="Palatino Linotype" w:cs="Palatino Linotype"/>
          <w:b/>
          <w:i/>
          <w:sz w:val="24"/>
          <w:szCs w:val="24"/>
        </w:rPr>
        <w:t>Oportunidad.</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El recurso de revisión fue interpuesto dentro del plazo de quince días hábiles contados a partir del día siguiente al en que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 xml:space="preserve">tuvo conocimiento de las respuestas impugnadas, tal y como lo prevé el artículo 178 de la Ley de Transparencia y Acceso a la Información Pública del Estado de México y Municipios, que establece: </w:t>
      </w:r>
    </w:p>
    <w:p w:rsidR="004C3072" w:rsidRDefault="004C3072">
      <w:pPr>
        <w:spacing w:after="0" w:line="240" w:lineRule="auto"/>
        <w:ind w:left="851" w:right="899"/>
        <w:jc w:val="both"/>
        <w:rPr>
          <w:rFonts w:ascii="Palatino Linotype" w:eastAsia="Palatino Linotype" w:hAnsi="Palatino Linotype" w:cs="Palatino Linotype"/>
          <w:sz w:val="24"/>
          <w:szCs w:val="24"/>
        </w:rPr>
      </w:pPr>
    </w:p>
    <w:p w:rsidR="004C3072" w:rsidRDefault="00332F1C">
      <w:pPr>
        <w:tabs>
          <w:tab w:val="left" w:pos="8222"/>
        </w:tabs>
        <w:spacing w:after="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“Artículo 178.</w:t>
      </w:r>
      <w:r>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C3072" w:rsidRDefault="00332F1C">
      <w:pPr>
        <w:tabs>
          <w:tab w:val="left" w:pos="8222"/>
        </w:tabs>
        <w:spacing w:after="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C3072" w:rsidRDefault="00332F1C">
      <w:pPr>
        <w:tabs>
          <w:tab w:val="left" w:pos="8222"/>
        </w:tabs>
        <w:spacing w:after="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r>
        <w:rPr>
          <w:rFonts w:ascii="Palatino Linotype" w:eastAsia="Palatino Linotype" w:hAnsi="Palatino Linotype" w:cs="Palatino Linotype"/>
          <w:b/>
          <w:i/>
        </w:rPr>
        <w:t>”</w:t>
      </w:r>
    </w:p>
    <w:p w:rsidR="004C3072" w:rsidRDefault="004C3072">
      <w:pPr>
        <w:spacing w:after="0" w:line="240" w:lineRule="auto"/>
        <w:ind w:right="899"/>
        <w:jc w:val="both"/>
        <w:rPr>
          <w:rFonts w:ascii="Palatino Linotype" w:eastAsia="Palatino Linotype" w:hAnsi="Palatino Linotype" w:cs="Palatino Linotype"/>
          <w:sz w:val="24"/>
          <w:szCs w:val="24"/>
        </w:rPr>
      </w:pPr>
    </w:p>
    <w:p w:rsidR="004C3072" w:rsidRDefault="00332F1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Para efecto, se actualiza la hipótesis prevista en el precepto legal antes citado, en atención a que la respuesta impugnada en el recurso de revisión </w:t>
      </w:r>
      <w:r>
        <w:rPr>
          <w:rFonts w:ascii="Palatino Linotype" w:eastAsia="Palatino Linotype" w:hAnsi="Palatino Linotype" w:cs="Palatino Linotype"/>
          <w:b/>
          <w:color w:val="000000"/>
          <w:sz w:val="24"/>
          <w:szCs w:val="24"/>
        </w:rPr>
        <w:t xml:space="preserve">000707/INFOEM/IP/RR/2020, </w:t>
      </w:r>
      <w:r>
        <w:rPr>
          <w:rFonts w:ascii="Palatino Linotype" w:eastAsia="Palatino Linotype" w:hAnsi="Palatino Linotype" w:cs="Palatino Linotype"/>
          <w:color w:val="000000"/>
          <w:sz w:val="24"/>
          <w:szCs w:val="24"/>
        </w:rPr>
        <w:t xml:space="preserve">fue notificada al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 xml:space="preserve">catorce de enero de dos mil veinte, </w:t>
      </w:r>
      <w:r>
        <w:rPr>
          <w:rFonts w:ascii="Palatino Linotype" w:eastAsia="Palatino Linotype" w:hAnsi="Palatino Linotype" w:cs="Palatino Linotype"/>
          <w:color w:val="000000"/>
          <w:sz w:val="24"/>
          <w:szCs w:val="24"/>
        </w:rPr>
        <w:t>por lo que, el plazo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para presentar el recurso de revisión transcurrió del </w:t>
      </w:r>
      <w:r>
        <w:rPr>
          <w:rFonts w:ascii="Palatino Linotype" w:eastAsia="Palatino Linotype" w:hAnsi="Palatino Linotype" w:cs="Palatino Linotype"/>
          <w:b/>
          <w:color w:val="000000"/>
          <w:sz w:val="24"/>
          <w:szCs w:val="24"/>
        </w:rPr>
        <w:t xml:space="preserve">quince de enero al cinco de febrero de dos mil veinte; </w:t>
      </w:r>
      <w:r>
        <w:rPr>
          <w:rFonts w:ascii="Palatino Linotype" w:eastAsia="Palatino Linotype" w:hAnsi="Palatino Linotype" w:cs="Palatino Linotype"/>
          <w:color w:val="000000"/>
          <w:sz w:val="24"/>
          <w:szCs w:val="24"/>
        </w:rPr>
        <w:t>sin contemplar en el cómputo los días dieciocho, diecinueve, veinticinco y veintiséis de enero y uno y dos de febrero de dos mil veinte, por corresponder a sábados y domingos considerados como días inhábiles; en términos del artículo 3, fracción X de la Ley de Transparencia y Acceso a la Información Pública del Estado de México y Municipios; así como, el tres  de febrero de dos mil veinte, por ser día inhábil en términos del Calendario oficial publicado en el Periódico Oficial “Gaceta del Gobierno”, el diecinueve de diciembre de dos mil diecinueve.</w:t>
      </w:r>
    </w:p>
    <w:p w:rsidR="004C3072" w:rsidRDefault="004C307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4C3072" w:rsidRDefault="00332F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si el recurso de revisión que nos ocupa, se interpuso en fecha </w:t>
      </w:r>
      <w:r>
        <w:rPr>
          <w:rFonts w:ascii="Palatino Linotype" w:eastAsia="Palatino Linotype" w:hAnsi="Palatino Linotype" w:cs="Palatino Linotype"/>
          <w:b/>
          <w:u w:val="single"/>
        </w:rPr>
        <w:t>veinticuatro de enero de dos mil veinte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éste se encuentra dentro del margen temporal previsto en el precepto legal y, por tanto, es oportuno. </w:t>
      </w:r>
    </w:p>
    <w:p w:rsidR="004C3072" w:rsidRDefault="00332F1C">
      <w:pPr>
        <w:widowControl w:val="0"/>
        <w:pBdr>
          <w:top w:val="nil"/>
          <w:left w:val="nil"/>
          <w:bottom w:val="nil"/>
          <w:right w:val="nil"/>
          <w:between w:val="nil"/>
        </w:pBdr>
        <w:tabs>
          <w:tab w:val="left" w:pos="1418"/>
        </w:tabs>
        <w:spacing w:before="20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8"/>
          <w:szCs w:val="28"/>
        </w:rPr>
        <w:t xml:space="preserve">CUARTO. </w:t>
      </w:r>
      <w:r>
        <w:rPr>
          <w:rFonts w:ascii="Palatino Linotype" w:eastAsia="Palatino Linotype" w:hAnsi="Palatino Linotype" w:cs="Palatino Linotype"/>
          <w:b/>
          <w:i/>
          <w:color w:val="000000"/>
          <w:sz w:val="24"/>
          <w:szCs w:val="24"/>
        </w:rPr>
        <w:t xml:space="preserve">Procedibilidad. </w:t>
      </w:r>
      <w:r>
        <w:rPr>
          <w:rFonts w:ascii="Palatino Linotype" w:eastAsia="Palatino Linotype" w:hAnsi="Palatino Linotype" w:cs="Palatino Linotype"/>
          <w:color w:val="000000"/>
          <w:sz w:val="24"/>
          <w:szCs w:val="24"/>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b/>
          <w:color w:val="000000"/>
          <w:sz w:val="18"/>
          <w:szCs w:val="18"/>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i/>
          <w:color w:val="000000"/>
          <w:sz w:val="24"/>
          <w:szCs w:val="24"/>
        </w:rPr>
        <w:t>Estudio y resolución del asunto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Una vez determinada la vía sobre la que versará el presente recurso, y previa revisión del expediente electrónico formado en </w:t>
      </w:r>
      <w:r>
        <w:rPr>
          <w:rFonts w:ascii="Palatino Linotype" w:eastAsia="Palatino Linotype" w:hAnsi="Palatino Linotype" w:cs="Palatino Linotype"/>
          <w:b/>
          <w:color w:val="000000"/>
          <w:sz w:val="24"/>
          <w:szCs w:val="24"/>
        </w:rPr>
        <w:t>EL SAIMEX</w:t>
      </w:r>
      <w:r>
        <w:rPr>
          <w:rFonts w:ascii="Palatino Linotype" w:eastAsia="Palatino Linotype" w:hAnsi="Palatino Linotype" w:cs="Palatino Linotype"/>
          <w:color w:val="000000"/>
          <w:sz w:val="24"/>
          <w:szCs w:val="24"/>
        </w:rPr>
        <w:t xml:space="preserve"> con motivo de la solicitud de información y del recurso a que da origen, es conveniente analizar si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cumple con los requisitos y procedimientos del derecho de acceso a la información pública, por lo que, en primer término debemos recordar que la solicitud de información planteada por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vía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fue “</w:t>
      </w:r>
      <w:r>
        <w:rPr>
          <w:rFonts w:ascii="Palatino Linotype" w:eastAsia="Palatino Linotype" w:hAnsi="Palatino Linotype" w:cs="Palatino Linotype"/>
          <w:i/>
          <w:color w:val="000000"/>
        </w:rPr>
        <w:t xml:space="preserve">saber cuando quedara (fecha exacta por favor) habilitada la estación Rayito de sol para la nueva tuta del mexibus III, esta nueva ruta es UN CIRCUITO DE LA ESTACION DEL METRO PANTITLAN A LA ESTACION RAYITO DE SOL, ya que en la actualidad esta funcionando como servicio provisional hasta la estación de VICENTE VILLADA Conforme a la publicación del gobierno de ciudad Nezahualcóyotl, que adjunto link </w:t>
      </w:r>
      <w:hyperlink r:id="rId10">
        <w:r>
          <w:rPr>
            <w:rFonts w:ascii="Palatino Linotype" w:eastAsia="Palatino Linotype" w:hAnsi="Palatino Linotype" w:cs="Palatino Linotype"/>
            <w:i/>
            <w:color w:val="0000FF"/>
            <w:u w:val="single"/>
          </w:rPr>
          <w:t>www.neza.gob.mx/boletines/2019/diciembre/238/boletin.php</w:t>
        </w:r>
      </w:hyperlink>
      <w:hyperlink r:id="rId11">
        <w:r>
          <w:rPr>
            <w:rFonts w:ascii="Palatino Linotype" w:eastAsia="Palatino Linotype" w:hAnsi="Palatino Linotype" w:cs="Palatino Linotype"/>
            <w:color w:val="0000FF"/>
            <w:sz w:val="24"/>
            <w:szCs w:val="24"/>
            <w:u w:val="single"/>
          </w:rPr>
          <w:t>”(sic)</w:t>
        </w:r>
      </w:hyperlink>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Atento a lo anterior, la liga electrónica que señaló el particular contiene lo siguiente:</w:t>
      </w: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drawing>
          <wp:inline distT="0" distB="0" distL="0" distR="0">
            <wp:extent cx="5531325" cy="2901185"/>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241" t="9828" r="6336" b="10781"/>
                    <a:stretch>
                      <a:fillRect/>
                    </a:stretch>
                  </pic:blipFill>
                  <pic:spPr>
                    <a:xfrm>
                      <a:off x="0" y="0"/>
                      <a:ext cx="5531325" cy="290118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762000</wp:posOffset>
                </wp:positionH>
                <wp:positionV relativeFrom="paragraph">
                  <wp:posOffset>2603500</wp:posOffset>
                </wp:positionV>
                <wp:extent cx="4051935" cy="417830"/>
                <wp:effectExtent l="0" t="0" r="0" b="0"/>
                <wp:wrapNone/>
                <wp:docPr id="29" name="Rectángulo 29"/>
                <wp:cNvGraphicFramePr/>
                <a:graphic xmlns:a="http://schemas.openxmlformats.org/drawingml/2006/main">
                  <a:graphicData uri="http://schemas.microsoft.com/office/word/2010/wordprocessingShape">
                    <wps:wsp>
                      <wps:cNvSpPr/>
                      <wps:spPr>
                        <a:xfrm>
                          <a:off x="3334320" y="3585373"/>
                          <a:ext cx="4023360" cy="389255"/>
                        </a:xfrm>
                        <a:prstGeom prst="rect">
                          <a:avLst/>
                        </a:prstGeom>
                        <a:noFill/>
                        <a:ln w="28575" cap="flat" cmpd="sng">
                          <a:solidFill>
                            <a:srgbClr val="FF0000"/>
                          </a:solidFill>
                          <a:prstDash val="solid"/>
                          <a:miter lim="800000"/>
                          <a:headEnd type="none" w="sm" len="sm"/>
                          <a:tailEnd type="none" w="sm" len="sm"/>
                        </a:ln>
                      </wps:spPr>
                      <wps:txbx>
                        <w:txbxContent>
                          <w:p w:rsidR="004C3072" w:rsidRDefault="004C30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762000</wp:posOffset>
                </wp:positionH>
                <wp:positionV relativeFrom="paragraph">
                  <wp:posOffset>2603500</wp:posOffset>
                </wp:positionV>
                <wp:extent cx="4051935" cy="417830"/>
                <wp:effectExtent b="0" l="0" r="0" t="0"/>
                <wp:wrapNone/>
                <wp:docPr id="29"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4051935" cy="41783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3975100</wp:posOffset>
                </wp:positionH>
                <wp:positionV relativeFrom="paragraph">
                  <wp:posOffset>2120900</wp:posOffset>
                </wp:positionV>
                <wp:extent cx="1671955" cy="441960"/>
                <wp:effectExtent l="0" t="0" r="0" b="0"/>
                <wp:wrapNone/>
                <wp:docPr id="32" name="Rectángulo 32"/>
                <wp:cNvGraphicFramePr/>
                <a:graphic xmlns:a="http://schemas.openxmlformats.org/drawingml/2006/main">
                  <a:graphicData uri="http://schemas.microsoft.com/office/word/2010/wordprocessingShape">
                    <wps:wsp>
                      <wps:cNvSpPr/>
                      <wps:spPr>
                        <a:xfrm>
                          <a:off x="4524310" y="3573308"/>
                          <a:ext cx="1643380" cy="413385"/>
                        </a:xfrm>
                        <a:prstGeom prst="rect">
                          <a:avLst/>
                        </a:prstGeom>
                        <a:noFill/>
                        <a:ln w="28575" cap="flat" cmpd="sng">
                          <a:solidFill>
                            <a:srgbClr val="FF0000"/>
                          </a:solidFill>
                          <a:prstDash val="solid"/>
                          <a:miter lim="800000"/>
                          <a:headEnd type="none" w="sm" len="sm"/>
                          <a:tailEnd type="none" w="sm" len="sm"/>
                        </a:ln>
                      </wps:spPr>
                      <wps:txbx>
                        <w:txbxContent>
                          <w:p w:rsidR="004C3072" w:rsidRDefault="004C30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3975100</wp:posOffset>
                </wp:positionH>
                <wp:positionV relativeFrom="paragraph">
                  <wp:posOffset>2120900</wp:posOffset>
                </wp:positionV>
                <wp:extent cx="1671955" cy="441960"/>
                <wp:effectExtent b="0" l="0" r="0" t="0"/>
                <wp:wrapNone/>
                <wp:docPr id="32"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671955" cy="44196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266700</wp:posOffset>
                </wp:positionH>
                <wp:positionV relativeFrom="paragraph">
                  <wp:posOffset>3263900</wp:posOffset>
                </wp:positionV>
                <wp:extent cx="5600700" cy="3943350"/>
                <wp:effectExtent l="0" t="0" r="0" b="0"/>
                <wp:wrapNone/>
                <wp:docPr id="30" name="Conector recto de flecha 30"/>
                <wp:cNvGraphicFramePr/>
                <a:graphic xmlns:a="http://schemas.openxmlformats.org/drawingml/2006/main">
                  <a:graphicData uri="http://schemas.microsoft.com/office/word/2010/wordprocessingShape">
                    <wps:wsp>
                      <wps:cNvCnPr/>
                      <wps:spPr>
                        <a:xfrm>
                          <a:off x="2559938" y="1822613"/>
                          <a:ext cx="5572125" cy="3914775"/>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wp:posOffset>
                </wp:positionH>
                <wp:positionV relativeFrom="paragraph">
                  <wp:posOffset>3263900</wp:posOffset>
                </wp:positionV>
                <wp:extent cx="5600700" cy="3943350"/>
                <wp:effectExtent b="0" l="0" r="0" t="0"/>
                <wp:wrapNone/>
                <wp:docPr id="30"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600700" cy="3943350"/>
                        </a:xfrm>
                        <a:prstGeom prst="rect"/>
                        <a:ln/>
                      </pic:spPr>
                    </pic:pic>
                  </a:graphicData>
                </a:graphic>
              </wp:anchor>
            </w:drawing>
          </mc:Fallback>
        </mc:AlternateContent>
      </w: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drawing>
          <wp:inline distT="0" distB="0" distL="0" distR="0">
            <wp:extent cx="5677532" cy="4552292"/>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5384" t="13608" r="4772" b="43040"/>
                    <a:stretch>
                      <a:fillRect/>
                    </a:stretch>
                  </pic:blipFill>
                  <pic:spPr>
                    <a:xfrm>
                      <a:off x="0" y="0"/>
                      <a:ext cx="5677532" cy="4552292"/>
                    </a:xfrm>
                    <a:prstGeom prst="rect">
                      <a:avLst/>
                    </a:prstGeom>
                    <a:ln/>
                  </pic:spPr>
                </pic:pic>
              </a:graphicData>
            </a:graphic>
          </wp:inline>
        </w:drawing>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Bajo lo cual,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le manifestó que le anexó la respuesta del Director de Supervisión y Control, mediante un archivo electrónico como se desprende a continuación:</w:t>
      </w:r>
    </w:p>
    <w:p w:rsidR="004C3072" w:rsidRDefault="00332F1C">
      <w:pPr>
        <w:widowControl w:val="0"/>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Times New Roman" w:eastAsia="Times New Roman" w:hAnsi="Times New Roman" w:cs="Times New Roman"/>
          <w:noProof/>
          <w:color w:val="000000"/>
          <w:sz w:val="24"/>
          <w:szCs w:val="24"/>
        </w:rPr>
        <w:drawing>
          <wp:inline distT="0" distB="0" distL="0" distR="0">
            <wp:extent cx="5566937" cy="6130761"/>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4994" t="16632" r="34823" b="16075"/>
                    <a:stretch>
                      <a:fillRect/>
                    </a:stretch>
                  </pic:blipFill>
                  <pic:spPr>
                    <a:xfrm>
                      <a:off x="0" y="0"/>
                      <a:ext cx="5566937" cy="6130761"/>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406400</wp:posOffset>
                </wp:positionH>
                <wp:positionV relativeFrom="paragraph">
                  <wp:posOffset>3441700</wp:posOffset>
                </wp:positionV>
                <wp:extent cx="4688205" cy="1451610"/>
                <wp:effectExtent l="0" t="0" r="0" b="0"/>
                <wp:wrapNone/>
                <wp:docPr id="31" name="Rectángulo 31"/>
                <wp:cNvGraphicFramePr/>
                <a:graphic xmlns:a="http://schemas.openxmlformats.org/drawingml/2006/main">
                  <a:graphicData uri="http://schemas.microsoft.com/office/word/2010/wordprocessingShape">
                    <wps:wsp>
                      <wps:cNvSpPr/>
                      <wps:spPr>
                        <a:xfrm>
                          <a:off x="3016185" y="3068483"/>
                          <a:ext cx="4659630" cy="1423035"/>
                        </a:xfrm>
                        <a:prstGeom prst="rect">
                          <a:avLst/>
                        </a:prstGeom>
                        <a:noFill/>
                        <a:ln w="28575" cap="flat" cmpd="sng">
                          <a:solidFill>
                            <a:srgbClr val="FF0000"/>
                          </a:solidFill>
                          <a:prstDash val="solid"/>
                          <a:miter lim="800000"/>
                          <a:headEnd type="none" w="sm" len="sm"/>
                          <a:tailEnd type="none" w="sm" len="sm"/>
                        </a:ln>
                      </wps:spPr>
                      <wps:txbx>
                        <w:txbxContent>
                          <w:p w:rsidR="004C3072" w:rsidRDefault="004C30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wp:posOffset>
                </wp:positionH>
                <wp:positionV relativeFrom="paragraph">
                  <wp:posOffset>3441700</wp:posOffset>
                </wp:positionV>
                <wp:extent cx="4688205" cy="1451610"/>
                <wp:effectExtent b="0" l="0" r="0" t="0"/>
                <wp:wrapNone/>
                <wp:docPr id="31"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4688205" cy="1451610"/>
                        </a:xfrm>
                        <a:prstGeom prst="rect"/>
                        <a:ln/>
                      </pic:spPr>
                    </pic:pic>
                  </a:graphicData>
                </a:graphic>
              </wp:anchor>
            </w:drawing>
          </mc:Fallback>
        </mc:AlternateContent>
      </w:r>
    </w:p>
    <w:p w:rsidR="004C3072" w:rsidRDefault="004C3072">
      <w:pPr>
        <w:widowControl w:val="0"/>
        <w:pBdr>
          <w:top w:val="nil"/>
          <w:left w:val="nil"/>
          <w:bottom w:val="nil"/>
          <w:right w:val="nil"/>
          <w:between w:val="nil"/>
        </w:pBdr>
        <w:spacing w:after="0" w:line="360" w:lineRule="auto"/>
        <w:jc w:val="both"/>
        <w:rPr>
          <w:rFonts w:ascii="Verdana" w:eastAsia="Verdana" w:hAnsi="Verdana" w:cs="Verdana"/>
          <w:color w:val="000000"/>
          <w:sz w:val="18"/>
          <w:szCs w:val="18"/>
        </w:rPr>
      </w:pPr>
    </w:p>
    <w:p w:rsidR="004C3072" w:rsidRDefault="00332F1C">
      <w:pPr>
        <w:widowControl w:val="0"/>
        <w:pBdr>
          <w:top w:val="nil"/>
          <w:left w:val="nil"/>
          <w:bottom w:val="nil"/>
          <w:right w:val="nil"/>
          <w:between w:val="nil"/>
        </w:pBdr>
        <w:spacing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anterior, es que la particular se inconforma de la respuesta porque a su decir no le dan contestación a su solicitud de acceso a la información pública y señaló como razones y motivos de inconformidad entre otras cosas, que ahora requería conocer más información.</w:t>
      </w:r>
    </w:p>
    <w:p w:rsidR="004C3072" w:rsidRDefault="00332F1C">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lo expuesto, es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refirió que para poder funcionar la estación indició se requería realizar un retorno para unidades, con lo que no tenía fecha, ya que se deben realizar estudios, por lo que al darle contestación al particular lo cual constituye un hecho negativo. </w:t>
      </w:r>
    </w:p>
    <w:p w:rsidR="004C3072" w:rsidRDefault="00332F1C">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Esto es, si se considera el hecho negativo, es obvio que éste no puede fácticamente obrar en los archivos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ya que no puede probarse por ser lógica y materialmente imposible, en razón de no contar la información, no la posee, no administra, y no cuenta con la misma por no haberse generado a la fecha de la solicitud de la información. </w:t>
      </w:r>
    </w:p>
    <w:p w:rsidR="004C3072" w:rsidRDefault="00332F1C">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rsidR="004C3072" w:rsidRDefault="00332F1C">
      <w:pPr>
        <w:shd w:val="clear" w:color="auto" w:fill="FFFFFF"/>
        <w:spacing w:before="12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sz w:val="24"/>
          <w:szCs w:val="24"/>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Pr>
          <w:rFonts w:ascii="Palatino Linotype" w:eastAsia="Palatino Linotype" w:hAnsi="Palatino Linotype" w:cs="Palatino Linotype"/>
          <w:color w:val="222222"/>
          <w:sz w:val="24"/>
          <w:szCs w:val="24"/>
        </w:rPr>
        <w:t>:</w:t>
      </w:r>
    </w:p>
    <w:p w:rsidR="004C3072" w:rsidRDefault="00332F1C">
      <w:pPr>
        <w:shd w:val="clear" w:color="auto" w:fill="FFFFFF"/>
        <w:spacing w:after="0" w:line="276" w:lineRule="auto"/>
        <w:ind w:left="851"/>
        <w:jc w:val="both"/>
        <w:rPr>
          <w:rFonts w:ascii="Arial" w:eastAsia="Arial" w:hAnsi="Arial" w:cs="Arial"/>
          <w:color w:val="222222"/>
          <w:sz w:val="19"/>
          <w:szCs w:val="19"/>
        </w:rPr>
      </w:pPr>
      <w:r>
        <w:rPr>
          <w:rFonts w:ascii="Palatino Linotype" w:eastAsia="Palatino Linotype" w:hAnsi="Palatino Linotype" w:cs="Palatino Linotype"/>
          <w:color w:val="222222"/>
          <w:sz w:val="19"/>
          <w:szCs w:val="19"/>
        </w:rPr>
        <w:t> </w:t>
      </w:r>
      <w:r>
        <w:rPr>
          <w:rFonts w:ascii="Palatino Linotype" w:eastAsia="Palatino Linotype" w:hAnsi="Palatino Linotype" w:cs="Palatino Linotype"/>
          <w:b/>
          <w:i/>
          <w:color w:val="222222"/>
        </w:rPr>
        <w:t>“HECHOS NEGATIVOS, NO SON SUSCEPTIBLES DE DEMOSTRACIÓN.</w:t>
      </w:r>
    </w:p>
    <w:p w:rsidR="004C3072" w:rsidRDefault="00332F1C">
      <w:pPr>
        <w:shd w:val="clear" w:color="auto" w:fill="FFFFFF"/>
        <w:spacing w:after="0" w:line="276" w:lineRule="auto"/>
        <w:ind w:left="851" w:right="899"/>
        <w:jc w:val="both"/>
        <w:rPr>
          <w:rFonts w:ascii="Arial" w:eastAsia="Arial" w:hAnsi="Arial" w:cs="Arial"/>
          <w:color w:val="222222"/>
          <w:sz w:val="19"/>
          <w:szCs w:val="19"/>
        </w:rPr>
      </w:pPr>
      <w:r>
        <w:rPr>
          <w:rFonts w:ascii="Palatino Linotype" w:eastAsia="Palatino Linotype" w:hAnsi="Palatino Linotype" w:cs="Palatino Linotype"/>
          <w:i/>
          <w:color w:val="222222"/>
        </w:rPr>
        <w:t>Tratándose de un hecho negativo, el Juez no tiene por qué invocar prueba alguna de la que se desprenda, ya que es bien sabido que esta clase de hechos no son susceptibles de demostración.</w:t>
      </w:r>
    </w:p>
    <w:p w:rsidR="004C3072" w:rsidRDefault="00332F1C">
      <w:pPr>
        <w:shd w:val="clear" w:color="auto" w:fill="FFFFFF"/>
        <w:spacing w:after="0" w:line="276" w:lineRule="auto"/>
        <w:ind w:left="851" w:right="899"/>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Amparo en revisión 2022/61. José García Florín (Menor). 9 de octubre de 1961. Cinco votos. Ponente: José Rivera Pérez Campos.”</w:t>
      </w:r>
    </w:p>
    <w:p w:rsidR="004C3072" w:rsidRDefault="004C3072">
      <w:pPr>
        <w:shd w:val="clear" w:color="auto" w:fill="FFFFFF"/>
        <w:spacing w:line="276" w:lineRule="auto"/>
        <w:ind w:right="899"/>
        <w:jc w:val="both"/>
        <w:rPr>
          <w:rFonts w:ascii="Palatino Linotype" w:eastAsia="Palatino Linotype" w:hAnsi="Palatino Linotype" w:cs="Palatino Linotype"/>
          <w:i/>
          <w:color w:val="222222"/>
          <w:sz w:val="10"/>
          <w:szCs w:val="10"/>
        </w:rPr>
      </w:pPr>
    </w:p>
    <w:p w:rsidR="004C3072" w:rsidRDefault="00332F1C">
      <w:pPr>
        <w:shd w:val="clear" w:color="auto" w:fill="FFFFFF"/>
        <w:spacing w:line="360" w:lineRule="auto"/>
        <w:ind w:right="49"/>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De igual forma, es aplicable el criterio 7/2017, emitido en la Segunda Época por el Instituto Nacional de Transparencia, Acceso a la Información y Protección de Datos Personales, el cual señala lo siguiente:</w:t>
      </w:r>
    </w:p>
    <w:p w:rsidR="004C3072" w:rsidRDefault="00332F1C">
      <w:pPr>
        <w:shd w:val="clear" w:color="auto" w:fill="FFFFFF"/>
        <w:spacing w:after="0" w:line="276"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4C3072" w:rsidRDefault="00332F1C">
      <w:pPr>
        <w:shd w:val="clear" w:color="auto" w:fill="FFFFFF"/>
        <w:spacing w:after="0" w:line="276"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Resoluciones:</w:t>
      </w:r>
    </w:p>
    <w:p w:rsidR="004C3072" w:rsidRDefault="00332F1C">
      <w:pPr>
        <w:shd w:val="clear" w:color="auto" w:fill="FFFFFF"/>
        <w:spacing w:after="0" w:line="276"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i/>
          <w:color w:val="222222"/>
        </w:rPr>
        <w:tab/>
        <w:t>RRA 2959/16. Secretaría de Gobernación. 23 de noviembre de 2016. Por unanimidad. Comisionado Ponente Rosendoevgueni Monterrey Chepov.</w:t>
      </w:r>
    </w:p>
    <w:p w:rsidR="004C3072" w:rsidRDefault="00332F1C">
      <w:pPr>
        <w:shd w:val="clear" w:color="auto" w:fill="FFFFFF"/>
        <w:spacing w:after="0" w:line="276"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i/>
          <w:color w:val="222222"/>
        </w:rPr>
        <w:tab/>
        <w:t>RRA 3186/16. Petróleos Mexicanos. 13 de diciembre de 2016. Por unanimidad. Comisionado Ponente Francisco Javier Acuña Llamas.</w:t>
      </w:r>
    </w:p>
    <w:p w:rsidR="004C3072" w:rsidRDefault="00332F1C">
      <w:pPr>
        <w:shd w:val="clear" w:color="auto" w:fill="FFFFFF"/>
        <w:spacing w:after="0" w:line="276"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i/>
          <w:color w:val="222222"/>
        </w:rPr>
        <w:tab/>
        <w:t>RRA 4216/16. Cámara de Diputados. 05 de enero de 2017. Por unanimidad. Comisionada Ponente Areli Cano Guadiana.”</w:t>
      </w:r>
    </w:p>
    <w:p w:rsidR="004C3072" w:rsidRDefault="004C3072">
      <w:pPr>
        <w:spacing w:after="0" w:line="276" w:lineRule="auto"/>
        <w:jc w:val="both"/>
        <w:rPr>
          <w:rFonts w:ascii="Palatino Linotype" w:eastAsia="Palatino Linotype" w:hAnsi="Palatino Linotype" w:cs="Palatino Linotype"/>
          <w:sz w:val="14"/>
          <w:szCs w:val="14"/>
        </w:rPr>
      </w:pPr>
    </w:p>
    <w:p w:rsidR="004C3072" w:rsidRDefault="00332F1C">
      <w:pPr>
        <w:spacing w:line="360" w:lineRule="auto"/>
        <w:ind w:left="2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 </w:t>
      </w:r>
      <w:r>
        <w:rPr>
          <w:rFonts w:ascii="Palatino Linotype" w:eastAsia="Palatino Linotype" w:hAnsi="Palatino Linotype" w:cs="Palatino Linotype"/>
          <w:i/>
        </w:rPr>
        <w:t>Son objetivos de esta Ley:</w:t>
      </w: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rPr>
        <w:t>Establecer la competencia, operación y funcionamiento del Instituto, en materia de transparencia y acceso a la información;</w:t>
      </w: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Proveer lo necesario para garantizar a toda persona el derecho de acceso a la información pública, a través de procedimientos sencillos, expeditos, oportunos y gratuitos, determinando las bases mínimas sobre las cuales se regirán los mismos;</w:t>
      </w:r>
    </w:p>
    <w:p w:rsidR="004C3072" w:rsidRDefault="004C3072">
      <w:pPr>
        <w:spacing w:after="0" w:line="276" w:lineRule="auto"/>
        <w:ind w:left="851" w:right="902"/>
        <w:jc w:val="both"/>
        <w:rPr>
          <w:rFonts w:ascii="Palatino Linotype" w:eastAsia="Palatino Linotype" w:hAnsi="Palatino Linotype" w:cs="Palatino Linotype"/>
          <w:b/>
          <w:i/>
          <w:sz w:val="18"/>
          <w:szCs w:val="18"/>
        </w:rPr>
      </w:pP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150. </w:t>
      </w:r>
      <w:r>
        <w:rPr>
          <w:rFonts w:ascii="Palatino Linotype" w:eastAsia="Palatino Linotype" w:hAnsi="Palatino Linotype" w:cs="Palatino Linotype"/>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4C3072" w:rsidRDefault="004C3072">
      <w:pPr>
        <w:spacing w:after="0" w:line="276" w:lineRule="auto"/>
        <w:ind w:left="851" w:right="902"/>
        <w:jc w:val="both"/>
        <w:rPr>
          <w:rFonts w:ascii="Palatino Linotype" w:eastAsia="Palatino Linotype" w:hAnsi="Palatino Linotype" w:cs="Palatino Linotype"/>
          <w:i/>
        </w:rPr>
      </w:pP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173. </w:t>
      </w:r>
      <w:r>
        <w:rPr>
          <w:rFonts w:ascii="Palatino Linotype" w:eastAsia="Palatino Linotype" w:hAnsi="Palatino Linotype" w:cs="Palatino Linotype"/>
          <w:i/>
        </w:rPr>
        <w:t>Sin perjuicio de lo anteriormente establecido, el procedimiento de acceso a la información se rige por los siguientes principios:</w:t>
      </w: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rPr>
        <w:t>Simplicidad y rapidez;</w:t>
      </w: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Gratuidad del procedimiento; y</w:t>
      </w:r>
    </w:p>
    <w:p w:rsidR="004C3072" w:rsidRDefault="00332F1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i/>
        </w:rPr>
        <w:t>Auxilio y orientación a los particulares.”</w:t>
      </w:r>
    </w:p>
    <w:p w:rsidR="004C3072" w:rsidRDefault="004C3072">
      <w:pPr>
        <w:spacing w:after="0" w:line="276" w:lineRule="auto"/>
        <w:ind w:left="851" w:right="902"/>
        <w:jc w:val="both"/>
        <w:rPr>
          <w:rFonts w:ascii="Palatino Linotype" w:eastAsia="Palatino Linotype" w:hAnsi="Palatino Linotype" w:cs="Palatino Linotype"/>
          <w:i/>
          <w:sz w:val="18"/>
          <w:szCs w:val="18"/>
        </w:rPr>
      </w:pPr>
    </w:p>
    <w:p w:rsidR="004C3072" w:rsidRDefault="00332F1C">
      <w:pPr>
        <w:widowControl w:val="0"/>
        <w:pBdr>
          <w:top w:val="nil"/>
          <w:left w:val="nil"/>
          <w:bottom w:val="nil"/>
          <w:right w:val="nil"/>
          <w:between w:val="nil"/>
        </w:pBdr>
        <w:spacing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razón de lo anterior, y de conformidad con lo establecido en el artículo 12 párrafo segundo de la Ley de Transparencia y Acceso a la Información Pública del Estado de México y Municipios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sólo proporcionará la información que obra en sus archivos, y como se desprendió de la respuesta, no obra en sus archivos la evidencia documental correspondiente al no haber sido generada al momento de la solicitud de la misma; conllevando al requerimiento de información de un hecho futuro e incierto.</w:t>
      </w:r>
    </w:p>
    <w:p w:rsidR="004C3072" w:rsidRDefault="00332F1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es importante precisar que se actualiza la causal de improcedencia del artículo 192, fracción V de la Ley de la materia; ello en virtud, de que se considera que quedo sin materia el presente recurso de revisión en estudio.</w:t>
      </w:r>
    </w:p>
    <w:p w:rsidR="004C3072" w:rsidRDefault="00332F1C">
      <w:pPr>
        <w:spacing w:line="360" w:lineRule="auto"/>
        <w:jc w:val="both"/>
        <w:rPr>
          <w:rFonts w:ascii="Palatino Linotype" w:eastAsia="Palatino Linotype" w:hAnsi="Palatino Linotype" w:cs="Palatino Linotype"/>
          <w:sz w:val="2"/>
          <w:szCs w:val="2"/>
        </w:rPr>
      </w:pPr>
      <w:r>
        <w:rPr>
          <w:rFonts w:ascii="Palatino Linotype" w:eastAsia="Palatino Linotype" w:hAnsi="Palatino Linotype" w:cs="Palatino Linotype"/>
          <w:sz w:val="24"/>
          <w:szCs w:val="24"/>
        </w:rPr>
        <w:t xml:space="preserve">Esto es porque,  aunado a que el solicítate a  través de la interposición del recurso de revisión amplió la solicitud de acceso a la información pública refiriendo nuevos cuestionamientos en razón de la respuesta, aunado a que como se indicó se trata de información no generada. </w:t>
      </w:r>
    </w:p>
    <w:p w:rsidR="004C3072" w:rsidRDefault="00332F1C">
      <w:pPr>
        <w:widowControl w:val="0"/>
        <w:pBdr>
          <w:top w:val="nil"/>
          <w:left w:val="nil"/>
          <w:bottom w:val="nil"/>
          <w:right w:val="nil"/>
          <w:between w:val="nil"/>
        </w:pBdr>
        <w:spacing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 anterior es así, ya que señaló tanto en su acto impugnado y en las razones y motivos de inconformidad lo siguiente:</w:t>
      </w:r>
    </w:p>
    <w:p w:rsidR="004C3072" w:rsidRDefault="00332F1C">
      <w:pPr>
        <w:spacing w:before="280" w:after="28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i/>
        </w:rPr>
        <w:t xml:space="preserve">“. . .De tal forma requiero, me apoyen en indicarme cuales son las etapas y fechas de las mismas para tener ya habilitado el RETORNO para la estación de RAYITO DE SOL 1. Alcances, cuando inician y terminan en establecer los alcances de la obra, cuando consideran gastarse? 2. Preliminares, cuando inician y terminan los estudios de topografía, mecánica de suelo, hidrología, geofísica? 3. Anteproyecto, cuando inician y terminan los Estudio de áreas (m2), Zonificación y Arquitectónica, Análisis de costos paramétricos? 4. Proyecto arquitectónico, cuando inician y terminan de establecer las formas, dimensiones, áreas, sistemas constructivos, características urbanas, etc? 5. Proyecto ejecutivo, cuando tienen el proyecto ejecutivo? 6. Ejecución de obra, cuando inician y terminas de ejecutar la obra ?”, </w:t>
      </w:r>
      <w:r>
        <w:rPr>
          <w:rFonts w:ascii="Palatino Linotype" w:eastAsia="Palatino Linotype" w:hAnsi="Palatino Linotype" w:cs="Palatino Linotype"/>
          <w:sz w:val="24"/>
          <w:szCs w:val="24"/>
        </w:rPr>
        <w:t xml:space="preserve">por lo que, la solicitud aludida debe considerarse como una petición adicional o </w:t>
      </w:r>
      <w:r>
        <w:rPr>
          <w:rFonts w:ascii="Palatino Linotype" w:eastAsia="Palatino Linotype" w:hAnsi="Palatino Linotype" w:cs="Palatino Linotype"/>
          <w:b/>
          <w:i/>
          <w:sz w:val="24"/>
          <w:szCs w:val="24"/>
        </w:rPr>
        <w:t>plus petitio</w:t>
      </w:r>
      <w:r>
        <w:rPr>
          <w:rFonts w:ascii="Palatino Linotype" w:eastAsia="Palatino Linotype" w:hAnsi="Palatino Linotype" w:cs="Palatino Linotype"/>
          <w:sz w:val="24"/>
          <w:szCs w:val="24"/>
        </w:rPr>
        <w:t xml:space="preserve">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 decir, se trata de una nueva solicitud de información, puesto que no había sido previamente requerida, mediante su solicitud de información inicial, materia del presente recurso de revisión.</w:t>
      </w:r>
    </w:p>
    <w:p w:rsidR="004C3072" w:rsidRDefault="00332F1C">
      <w:pPr>
        <w:widowControl w:val="0"/>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esta forma, al realizarse una solicitud adicional a manera de razones o motivos de inconformidad, resulta </w:t>
      </w:r>
      <w:r>
        <w:rPr>
          <w:rFonts w:ascii="Palatino Linotype" w:eastAsia="Palatino Linotype" w:hAnsi="Palatino Linotype" w:cs="Palatino Linotype"/>
          <w:b/>
          <w:sz w:val="24"/>
          <w:szCs w:val="24"/>
        </w:rPr>
        <w:t>inoperante e inatendible</w:t>
      </w:r>
      <w:r>
        <w:rPr>
          <w:rFonts w:ascii="Palatino Linotype" w:eastAsia="Palatino Linotype" w:hAnsi="Palatino Linotype" w:cs="Palatino Linotype"/>
          <w:sz w:val="24"/>
          <w:szCs w:val="24"/>
        </w:rPr>
        <w:t xml:space="preserve">, esto es así, debido a que al ser argumentos que no se plantearon ante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que respondió a la solicitud de acceso a la información, respuesta que constituye el acto que se reclama o impugna; resultaría injustificado examinar tales argumentos pues éstos no fueron del conocimiento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al momento de dar respuesta a la solicitud de acceso a la información pública; por lo que, no tuvo la oportunidad legal de analizarlas ni de pronunciarse sobre ellas, sino hasta la interposición del recurso de revisión.</w:t>
      </w: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el criterio 01/17 emitido por el Instituto Nacional de Transparencia, Acceso a la Información y Protección de Datos Personales que a la letra señala:</w:t>
      </w:r>
    </w:p>
    <w:p w:rsidR="004C3072" w:rsidRDefault="004C3072">
      <w:pPr>
        <w:widowControl w:val="0"/>
        <w:pBdr>
          <w:top w:val="nil"/>
          <w:left w:val="nil"/>
          <w:bottom w:val="nil"/>
          <w:right w:val="nil"/>
          <w:between w:val="nil"/>
        </w:pBdr>
        <w:spacing w:after="120" w:line="360" w:lineRule="auto"/>
        <w:jc w:val="both"/>
        <w:rPr>
          <w:rFonts w:ascii="Palatino Linotype" w:eastAsia="Palatino Linotype" w:hAnsi="Palatino Linotype" w:cs="Palatino Linotype"/>
          <w:color w:val="000000"/>
          <w:sz w:val="8"/>
          <w:szCs w:val="8"/>
        </w:rPr>
      </w:pPr>
    </w:p>
    <w:p w:rsidR="004C3072" w:rsidRDefault="00332F1C">
      <w:pPr>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“Es improcedente ampliar las solicitudes de acceso a información, a través de la interposición del recurso de revisión. </w:t>
      </w:r>
      <w:r>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4C3072" w:rsidRDefault="00332F1C">
      <w:pPr>
        <w:spacing w:after="0" w:line="276" w:lineRule="auto"/>
        <w:ind w:left="851" w:right="760"/>
        <w:jc w:val="both"/>
        <w:rPr>
          <w:rFonts w:ascii="Palatino Linotype" w:eastAsia="Palatino Linotype" w:hAnsi="Palatino Linotype" w:cs="Palatino Linotype"/>
          <w:b/>
          <w:i/>
        </w:rPr>
      </w:pPr>
      <w:r>
        <w:rPr>
          <w:rFonts w:ascii="Palatino Linotype" w:eastAsia="Palatino Linotype" w:hAnsi="Palatino Linotype" w:cs="Palatino Linotype"/>
          <w:b/>
          <w:i/>
        </w:rPr>
        <w:t>Resoluciones:</w:t>
      </w:r>
    </w:p>
    <w:p w:rsidR="004C3072" w:rsidRDefault="00332F1C">
      <w:pPr>
        <w:pBdr>
          <w:top w:val="nil"/>
          <w:left w:val="nil"/>
          <w:bottom w:val="nil"/>
          <w:right w:val="nil"/>
          <w:between w:val="nil"/>
        </w:pBdr>
        <w:spacing w:after="0" w:line="276" w:lineRule="auto"/>
        <w:ind w:left="851"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0196/16.</w:t>
      </w:r>
      <w:r>
        <w:rPr>
          <w:rFonts w:ascii="Palatino Linotype" w:eastAsia="Palatino Linotype" w:hAnsi="Palatino Linotype" w:cs="Palatino Linotype"/>
          <w:i/>
          <w:color w:val="000000"/>
        </w:rPr>
        <w:t xml:space="preserve"> Secretaría de Agricultura, Ganadería, Desarrollo Rural, Pesca y Alimentación. 13 de julio de 2016. Por unanimidad. Comisionado Ponente Joel Salas Suárez.</w:t>
      </w:r>
    </w:p>
    <w:p w:rsidR="004C3072" w:rsidRDefault="00332F1C">
      <w:pPr>
        <w:pBdr>
          <w:top w:val="nil"/>
          <w:left w:val="nil"/>
          <w:bottom w:val="nil"/>
          <w:right w:val="nil"/>
          <w:between w:val="nil"/>
        </w:pBdr>
        <w:spacing w:after="0" w:line="276" w:lineRule="auto"/>
        <w:ind w:left="851"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RRA 0130/16. </w:t>
      </w:r>
      <w:r>
        <w:rPr>
          <w:rFonts w:ascii="Palatino Linotype" w:eastAsia="Palatino Linotype" w:hAnsi="Palatino Linotype" w:cs="Palatino Linotype"/>
          <w:i/>
          <w:color w:val="000000"/>
        </w:rPr>
        <w:t>Comisión Nacional del Agua. 09 de agosto de 2016. Por unanimidad. Comisionado Ponente María Patricia Kurczyn Villalobos.</w:t>
      </w:r>
    </w:p>
    <w:p w:rsidR="004C3072" w:rsidRDefault="00332F1C">
      <w:pPr>
        <w:pBdr>
          <w:top w:val="nil"/>
          <w:left w:val="nil"/>
          <w:bottom w:val="nil"/>
          <w:right w:val="nil"/>
          <w:between w:val="nil"/>
        </w:pBdr>
        <w:spacing w:after="0" w:line="276" w:lineRule="auto"/>
        <w:ind w:left="851"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0342/16.</w:t>
      </w:r>
      <w:r>
        <w:rPr>
          <w:rFonts w:ascii="Palatino Linotype" w:eastAsia="Palatino Linotype" w:hAnsi="Palatino Linotype" w:cs="Palatino Linotype"/>
          <w:i/>
          <w:color w:val="000000"/>
        </w:rPr>
        <w:t xml:space="preserve"> Colegio de Bachilleres. 24 de agosto de 2016. Por unanimidad. Comisionada Ponente Ximena Puente de la Mora.</w:t>
      </w:r>
    </w:p>
    <w:p w:rsidR="004C3072" w:rsidRDefault="004C3072">
      <w:pPr>
        <w:spacing w:after="0" w:line="276" w:lineRule="auto"/>
        <w:ind w:left="851" w:right="758"/>
        <w:jc w:val="both"/>
        <w:rPr>
          <w:rFonts w:ascii="Palatino Linotype" w:eastAsia="Palatino Linotype" w:hAnsi="Palatino Linotype" w:cs="Palatino Linotype"/>
          <w:b/>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expuesto, quedó probado que mediante la interposición del recurso de revisión el particular refiere nuevos cuestionamientos, por lo que encuadra en el supuesto de improcedencia señalado en párrafos que anteceden, por lo que se dejan a salvo los derechos del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a efecto de que realice una nueva solicitud de acceso a la información pública.</w:t>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12"/>
          <w:szCs w:val="12"/>
        </w:rPr>
      </w:pPr>
    </w:p>
    <w:p w:rsidR="004C3072" w:rsidRDefault="00A828D5">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24764</wp:posOffset>
                </wp:positionH>
                <wp:positionV relativeFrom="paragraph">
                  <wp:posOffset>596900</wp:posOffset>
                </wp:positionV>
                <wp:extent cx="5895975" cy="3314700"/>
                <wp:effectExtent l="19050" t="19050" r="28575" b="19050"/>
                <wp:wrapNone/>
                <wp:docPr id="1" name="Conector recto 1"/>
                <wp:cNvGraphicFramePr/>
                <a:graphic xmlns:a="http://schemas.openxmlformats.org/drawingml/2006/main">
                  <a:graphicData uri="http://schemas.microsoft.com/office/word/2010/wordprocessingShape">
                    <wps:wsp>
                      <wps:cNvCnPr/>
                      <wps:spPr>
                        <a:xfrm>
                          <a:off x="0" y="0"/>
                          <a:ext cx="5895975" cy="3314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09267"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47pt" to="466.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" strokecolor="#5b9bd5 [3204]" strokeweight="2.25pt">
                <v:stroke joinstyle="miter"/>
              </v:line>
            </w:pict>
          </mc:Fallback>
        </mc:AlternateContent>
      </w:r>
      <w:r w:rsidR="00332F1C">
        <w:rPr>
          <w:rFonts w:ascii="Palatino Linotype" w:eastAsia="Palatino Linotype" w:hAnsi="Palatino Linotype" w:cs="Palatino Linotype"/>
          <w:color w:val="000000"/>
          <w:sz w:val="24"/>
          <w:szCs w:val="24"/>
        </w:rPr>
        <w:t>Aunado a lo anterior, la información que refirió como alegatos en los que requiere información como se muestra a continuación:</w:t>
      </w: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drawing>
          <wp:inline distT="0" distB="0" distL="0" distR="0">
            <wp:extent cx="5616270" cy="4242232"/>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36490" t="25961" r="37372" b="11250"/>
                    <a:stretch>
                      <a:fillRect/>
                    </a:stretch>
                  </pic:blipFill>
                  <pic:spPr>
                    <a:xfrm>
                      <a:off x="0" y="0"/>
                      <a:ext cx="5616270" cy="4242232"/>
                    </a:xfrm>
                    <a:prstGeom prst="rect">
                      <a:avLst/>
                    </a:prstGeom>
                    <a:ln/>
                  </pic:spPr>
                </pic:pic>
              </a:graphicData>
            </a:graphic>
          </wp:inline>
        </w:drawing>
      </w: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Información la cual no obra en los archivos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ello porque se están realizando los estudios y demás trabajos que señaló la Autoridad, es que se tratan de hechos futuros e inciertos, los cuales no se pueden determinar ya que están supeditados a la conclusión de los mismos, lo que se, refuerza con la tesis aislada de la Suprema Corte de Justifica de la Nación, emitida por los Tribunales Colegiados de Circuito, Tesis: III.3o.C.13 K, Novena Época, Tomo V, Enero de 1997,  que a la letra señala:</w:t>
      </w:r>
    </w:p>
    <w:p w:rsidR="004C3072" w:rsidRDefault="00332F1C">
      <w:pPr>
        <w:spacing w:after="0" w:line="276" w:lineRule="auto"/>
        <w:ind w:left="851"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ACTOS FUTUROS E INCIERTOS. NO CONSTITUYEN MOTIVO MANIFIESTO E INDUDABLE DE IMPROCEDENCIA.</w:t>
      </w:r>
    </w:p>
    <w:p w:rsidR="004C3072" w:rsidRDefault="00332F1C">
      <w:pPr>
        <w:spacing w:after="0" w:line="276" w:lineRule="auto"/>
        <w:ind w:left="851"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actos futuros son aquellos cuya ejecución es remota, mas no pueden considerarse así los que, sin existir, es inminente su realización (</w:t>
      </w:r>
      <w:hyperlink r:id="rId20">
        <w:r>
          <w:rPr>
            <w:rFonts w:ascii="Palatino Linotype" w:eastAsia="Palatino Linotype" w:hAnsi="Palatino Linotype" w:cs="Palatino Linotype"/>
            <w:i/>
            <w:color w:val="0000FF"/>
            <w:u w:val="single"/>
          </w:rPr>
          <w:t>Jurisprudencia 73</w:t>
        </w:r>
      </w:hyperlink>
      <w:r>
        <w:rPr>
          <w:rFonts w:ascii="Palatino Linotype" w:eastAsia="Palatino Linotype" w:hAnsi="Palatino Linotype" w:cs="Palatino Linotype"/>
          <w:i/>
          <w:color w:val="000000"/>
        </w:rPr>
        <w:t>, Segunda Parte, del Apéndice 1917-1988, página 120 del Semanario Judicial de la Federación). Así, resulta indudable que para poder convencerse plenamente de que un acto es futuro e incierto, el juzgador debe tener a la vista las correspondientes constancias de las actuaciones, pues por muy lejana que parezca la ejecución de un acto puede suceder que la autoridad responsable ya haya ordenado que se lleve a cabo o esté a punto de hacerlo, o bien que aunque ésta lo niegue el afectado pueda demostrar lo contrario. Lo explicado conduce a concluir que por regla general no es factible desechar una demanda de amparo indirecto con el argumento de que los reclamados son actos futuros e inciertos, puesto que esa causa no constituye motivo manifiesto e indudable de improcedencia, ya que para ello se requiere que se reciban pruebas sobre el particular.</w:t>
      </w:r>
      <w:r>
        <w:rPr>
          <w:rFonts w:ascii="Palatino Linotype" w:eastAsia="Palatino Linotype" w:hAnsi="Palatino Linotype" w:cs="Palatino Linotype"/>
          <w:i/>
          <w:color w:val="000000"/>
        </w:rPr>
        <w:br/>
        <w:t>TERCER TRIBUNAL COLEGIADO EN MATERIA CIVIL DEL TERCER CIRCUITO.”</w:t>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16"/>
          <w:szCs w:val="16"/>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drawing>
          <wp:inline distT="0" distB="0" distL="0" distR="0">
            <wp:extent cx="5429250" cy="81915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38771" t="36526" r="38050" b="52975"/>
                    <a:stretch>
                      <a:fillRect/>
                    </a:stretch>
                  </pic:blipFill>
                  <pic:spPr>
                    <a:xfrm>
                      <a:off x="0" y="0"/>
                      <a:ext cx="5429250" cy="819150"/>
                    </a:xfrm>
                    <a:prstGeom prst="rect">
                      <a:avLst/>
                    </a:prstGeom>
                    <a:ln/>
                  </pic:spPr>
                </pic:pic>
              </a:graphicData>
            </a:graphic>
          </wp:inline>
        </w:drawing>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anterior, se desprende que lo manifestado por el particular es lo que señaló en las razones y motivos de inconformidad, mismos que ya se han analizados y de los que se desprende que ya han sido analizados como plus petitio.</w:t>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0"/>
          <w:szCs w:val="20"/>
        </w:rPr>
      </w:pPr>
    </w:p>
    <w:p w:rsidR="004C3072" w:rsidRDefault="00332F1C">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esta forma al quedar sin materia, toda vez que quedó asentado en el cuerpo de la presente resolución el particular realizó cuestionamientos adicionales al recurso objeto de la presente aunado a que se trata de información no generada al momento de requerir la información.</w:t>
      </w:r>
    </w:p>
    <w:p w:rsidR="004C3072" w:rsidRDefault="004C3072">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4C3072" w:rsidRDefault="00332F1C">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con fundamento en lo prescrito en los artículos 5, párrafos vigésimo segundo, vigésimo tercero y vigésimo cuarto,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sdt>
      <w:sdtPr>
        <w:tag w:val="goog_rdk_2"/>
        <w:id w:val="893551034"/>
      </w:sdtPr>
      <w:sdtEndPr/>
      <w:sdtContent>
        <w:p w:rsidR="004C3072" w:rsidRDefault="00332F1C">
          <w:pPr>
            <w:spacing w:before="36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sdtContent>
    </w:sdt>
    <w:p w:rsidR="004C3072" w:rsidRDefault="00332F1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222222"/>
          <w:sz w:val="24"/>
          <w:szCs w:val="24"/>
        </w:rPr>
        <w:t>PRIMERO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PRIMERO.</w:t>
      </w:r>
      <w:r>
        <w:rPr>
          <w:rFonts w:ascii="Palatino Linotype" w:eastAsia="Palatino Linotype" w:hAnsi="Palatino Linotype" w:cs="Palatino Linotype"/>
          <w:color w:val="000000"/>
          <w:sz w:val="24"/>
          <w:szCs w:val="24"/>
        </w:rPr>
        <w:t xml:space="preserve"> Se </w:t>
      </w:r>
      <w:r>
        <w:rPr>
          <w:rFonts w:ascii="Palatino Linotype" w:eastAsia="Palatino Linotype" w:hAnsi="Palatino Linotype" w:cs="Palatino Linotype"/>
          <w:b/>
          <w:color w:val="000000"/>
          <w:sz w:val="24"/>
          <w:szCs w:val="24"/>
        </w:rPr>
        <w:t xml:space="preserve">SOBRESEE </w:t>
      </w:r>
      <w:r>
        <w:rPr>
          <w:rFonts w:ascii="Palatino Linotype" w:eastAsia="Palatino Linotype" w:hAnsi="Palatino Linotype" w:cs="Palatino Linotype"/>
          <w:color w:val="000000"/>
          <w:sz w:val="24"/>
          <w:szCs w:val="24"/>
        </w:rPr>
        <w:t xml:space="preserve">en el recurso de revisión número 00707/INFOEM/IP/RR/2020 </w:t>
      </w:r>
      <w:r>
        <w:rPr>
          <w:rFonts w:ascii="Palatino Linotype" w:eastAsia="Palatino Linotype" w:hAnsi="Palatino Linotype" w:cs="Palatino Linotype"/>
          <w:b/>
          <w:color w:val="000000"/>
          <w:sz w:val="24"/>
          <w:szCs w:val="24"/>
        </w:rPr>
        <w:t xml:space="preserve">por quedarse sin materia </w:t>
      </w:r>
      <w:r>
        <w:rPr>
          <w:rFonts w:ascii="Palatino Linotype" w:eastAsia="Palatino Linotype" w:hAnsi="Palatino Linotype" w:cs="Palatino Linotype"/>
          <w:color w:val="000000"/>
          <w:sz w:val="24"/>
          <w:szCs w:val="24"/>
        </w:rPr>
        <w:t>en términos del Considerando QUINTO de la presente resolución.</w:t>
      </w:r>
    </w:p>
    <w:p w:rsidR="004C3072" w:rsidRDefault="00332F1C">
      <w:pPr>
        <w:widowControl w:val="0"/>
        <w:tabs>
          <w:tab w:val="left" w:pos="1701"/>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sz w:val="28"/>
          <w:szCs w:val="28"/>
          <w:highlight w:val="white"/>
        </w:rPr>
        <w:t>SEGUNDO.</w:t>
      </w:r>
      <w:r>
        <w:rPr>
          <w:rFonts w:ascii="Palatino Linotype" w:eastAsia="Palatino Linotype" w:hAnsi="Palatino Linotype" w:cs="Palatino Linotype"/>
          <w:b/>
          <w:color w:val="222222"/>
          <w:highlight w:val="white"/>
        </w:rPr>
        <w:t xml:space="preserve"> </w:t>
      </w:r>
      <w:r>
        <w:rPr>
          <w:rFonts w:ascii="Palatino Linotype" w:eastAsia="Palatino Linotype" w:hAnsi="Palatino Linotype" w:cs="Palatino Linotype"/>
          <w:b/>
          <w:color w:val="222222"/>
          <w:sz w:val="24"/>
          <w:szCs w:val="24"/>
          <w:highlight w:val="white"/>
        </w:rPr>
        <w:t xml:space="preserve">Notifíquese </w:t>
      </w:r>
      <w:r>
        <w:rPr>
          <w:rFonts w:ascii="Palatino Linotype" w:eastAsia="Palatino Linotype" w:hAnsi="Palatino Linotype" w:cs="Palatino Linotype"/>
          <w:color w:val="222222"/>
          <w:sz w:val="24"/>
          <w:szCs w:val="24"/>
          <w:highlight w:val="white"/>
        </w:rPr>
        <w:t xml:space="preserve">a la </w:t>
      </w:r>
      <w:r>
        <w:rPr>
          <w:rFonts w:ascii="Palatino Linotype" w:eastAsia="Palatino Linotype" w:hAnsi="Palatino Linotype" w:cs="Palatino Linotype"/>
          <w:sz w:val="24"/>
          <w:szCs w:val="24"/>
        </w:rPr>
        <w:t>Titular</w:t>
      </w:r>
      <w:r>
        <w:rPr>
          <w:rFonts w:ascii="Palatino Linotype" w:eastAsia="Palatino Linotype" w:hAnsi="Palatino Linotype" w:cs="Palatino Linotype"/>
          <w:color w:val="222222"/>
          <w:sz w:val="24"/>
          <w:szCs w:val="24"/>
          <w:highlight w:val="white"/>
        </w:rPr>
        <w:t xml:space="preserve"> de la Unidad de Transparencia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para su conocimiento.</w:t>
      </w:r>
      <w:r>
        <w:rPr>
          <w:rFonts w:ascii="Palatino Linotype" w:eastAsia="Palatino Linotype" w:hAnsi="Palatino Linotype" w:cs="Palatino Linotype"/>
          <w:color w:val="222222"/>
          <w:highlight w:val="white"/>
        </w:rPr>
        <w:t xml:space="preserve"> </w:t>
      </w:r>
    </w:p>
    <w:p w:rsidR="004C3072" w:rsidRDefault="00332F1C">
      <w:pPr>
        <w:widowControl w:val="0"/>
        <w:tabs>
          <w:tab w:val="left" w:pos="1560"/>
        </w:tabs>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222222"/>
          <w:sz w:val="28"/>
          <w:szCs w:val="28"/>
        </w:rPr>
        <w:t>TERCERO.</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b/>
          <w:color w:val="222222"/>
          <w:sz w:val="24"/>
          <w:szCs w:val="24"/>
        </w:rPr>
        <w:t>Notifíquese</w:t>
      </w:r>
      <w:r>
        <w:rPr>
          <w:rFonts w:ascii="Palatino Linotype" w:eastAsia="Palatino Linotype" w:hAnsi="Palatino Linotype" w:cs="Palatino Linotype"/>
          <w:color w:val="222222"/>
          <w:sz w:val="24"/>
          <w:szCs w:val="24"/>
        </w:rPr>
        <w:t xml:space="preserve"> a</w:t>
      </w:r>
      <w:r>
        <w:rPr>
          <w:rFonts w:ascii="Palatino Linotype" w:eastAsia="Palatino Linotype" w:hAnsi="Palatino Linotype" w:cs="Palatino Linotype"/>
          <w:b/>
          <w:color w:val="222222"/>
          <w:sz w:val="24"/>
          <w:szCs w:val="24"/>
        </w:rPr>
        <w:t>l RECURRENTE</w:t>
      </w:r>
      <w:r>
        <w:rPr>
          <w:rFonts w:ascii="Palatino Linotype" w:eastAsia="Palatino Linotype" w:hAnsi="Palatino Linotype" w:cs="Palatino Linotype"/>
          <w:color w:val="222222"/>
          <w:sz w:val="24"/>
          <w:szCs w:val="24"/>
        </w:rPr>
        <w:t xml:space="preserve"> la </w:t>
      </w:r>
      <w:r>
        <w:rPr>
          <w:rFonts w:ascii="Palatino Linotype" w:eastAsia="Palatino Linotype" w:hAnsi="Palatino Linotype" w:cs="Palatino Linotype"/>
          <w:sz w:val="24"/>
          <w:szCs w:val="24"/>
        </w:rPr>
        <w:t>presente</w:t>
      </w:r>
      <w:r>
        <w:rPr>
          <w:rFonts w:ascii="Palatino Linotype" w:eastAsia="Palatino Linotype" w:hAnsi="Palatino Linotype" w:cs="Palatino Linotype"/>
          <w:color w:val="222222"/>
          <w:sz w:val="24"/>
          <w:szCs w:val="24"/>
        </w:rPr>
        <w:t xml:space="preserve"> resolución, vía </w:t>
      </w:r>
      <w:r>
        <w:rPr>
          <w:rFonts w:ascii="Palatino Linotype" w:eastAsia="Palatino Linotype" w:hAnsi="Palatino Linotype" w:cs="Palatino Linotype"/>
          <w:b/>
          <w:color w:val="222222"/>
          <w:sz w:val="24"/>
          <w:szCs w:val="24"/>
        </w:rPr>
        <w:t>SAIMEX</w:t>
      </w:r>
      <w:r>
        <w:rPr>
          <w:rFonts w:ascii="Palatino Linotype" w:eastAsia="Palatino Linotype" w:hAnsi="Palatino Linotype" w:cs="Palatino Linotype"/>
          <w:color w:val="222222"/>
          <w:sz w:val="24"/>
          <w:szCs w:val="24"/>
        </w:rPr>
        <w:t>.</w:t>
      </w:r>
    </w:p>
    <w:p w:rsidR="004C3072" w:rsidRDefault="00332F1C">
      <w:pPr>
        <w:widowControl w:val="0"/>
        <w:tabs>
          <w:tab w:val="left" w:pos="1560"/>
        </w:tabs>
        <w:spacing w:before="24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b/>
          <w:color w:val="222222"/>
          <w:sz w:val="28"/>
          <w:szCs w:val="28"/>
        </w:rPr>
        <w:t>CUARTO.</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b/>
          <w:color w:val="222222"/>
          <w:sz w:val="24"/>
          <w:szCs w:val="24"/>
        </w:rPr>
        <w:t>Hágase del conocimiento</w:t>
      </w:r>
      <w:r>
        <w:rPr>
          <w:rFonts w:ascii="Palatino Linotype" w:eastAsia="Palatino Linotype" w:hAnsi="Palatino Linotype" w:cs="Palatino Linotype"/>
          <w:color w:val="222222"/>
          <w:sz w:val="24"/>
          <w:szCs w:val="24"/>
        </w:rPr>
        <w:t xml:space="preserve"> al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que de </w:t>
      </w:r>
      <w:r>
        <w:rPr>
          <w:rFonts w:ascii="Palatino Linotype" w:eastAsia="Palatino Linotype" w:hAnsi="Palatino Linotype" w:cs="Palatino Linotype"/>
          <w:sz w:val="24"/>
          <w:szCs w:val="24"/>
        </w:rPr>
        <w:t>conformidad</w:t>
      </w:r>
      <w:r>
        <w:rPr>
          <w:rFonts w:ascii="Palatino Linotype" w:eastAsia="Palatino Linotype" w:hAnsi="Palatino Linotype" w:cs="Palatino Linotype"/>
          <w:color w:val="222222"/>
          <w:sz w:val="24"/>
          <w:szCs w:val="24"/>
        </w:rPr>
        <w:t xml:space="preserve"> con lo establecido en el artículo 196 de la Ley de Transparencia y Acceso a la Información Pública del Estado de México y Municipios, podrá impugnarla vía Juicio de Amparo en los términos de las leyes aplicables.</w:t>
      </w:r>
    </w:p>
    <w:p w:rsidR="004C3072" w:rsidRDefault="00332F1C">
      <w:pPr>
        <w:widowControl w:val="0"/>
        <w:tabs>
          <w:tab w:val="left" w:pos="1560"/>
        </w:tabs>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sz w:val="24"/>
          <w:szCs w:val="24"/>
        </w:rPr>
        <w:t>Se dejan a salvo los derechos del particular a efecto de que realice la solic</w:t>
      </w:r>
      <w:bookmarkStart w:id="0" w:name="_GoBack"/>
      <w:bookmarkEnd w:id="0"/>
      <w:r>
        <w:rPr>
          <w:rFonts w:ascii="Palatino Linotype" w:eastAsia="Palatino Linotype" w:hAnsi="Palatino Linotype" w:cs="Palatino Linotype"/>
          <w:color w:val="222222"/>
          <w:sz w:val="24"/>
          <w:szCs w:val="24"/>
        </w:rPr>
        <w:t xml:space="preserve">itud de acceso a la información que considere pertinente ante </w:t>
      </w:r>
      <w:r>
        <w:rPr>
          <w:rFonts w:ascii="Palatino Linotype" w:eastAsia="Palatino Linotype" w:hAnsi="Palatino Linotype" w:cs="Palatino Linotype"/>
          <w:b/>
          <w:color w:val="222222"/>
          <w:sz w:val="24"/>
          <w:szCs w:val="24"/>
        </w:rPr>
        <w:t>EL SUJETO OBLIGADO</w:t>
      </w:r>
      <w:r>
        <w:rPr>
          <w:rFonts w:ascii="Palatino Linotype" w:eastAsia="Palatino Linotype" w:hAnsi="Palatino Linotype" w:cs="Palatino Linotype"/>
          <w:color w:val="222222"/>
          <w:sz w:val="24"/>
          <w:szCs w:val="24"/>
        </w:rPr>
        <w:t>.</w:t>
      </w:r>
    </w:p>
    <w:p w:rsidR="004C3072" w:rsidRDefault="00332F1C">
      <w:pPr>
        <w:widowControl w:val="0"/>
        <w:pBdr>
          <w:top w:val="nil"/>
          <w:left w:val="nil"/>
          <w:bottom w:val="nil"/>
          <w:right w:val="nil"/>
          <w:between w:val="nil"/>
        </w:pBdr>
        <w:tabs>
          <w:tab w:val="left" w:pos="1701"/>
          <w:tab w:val="left" w:pos="2268"/>
        </w:tabs>
        <w:spacing w:before="120" w:after="120" w:line="360" w:lineRule="auto"/>
        <w:jc w:val="both"/>
        <w:rPr>
          <w:rFonts w:ascii="Palatino Linotype" w:eastAsia="Palatino Linotype" w:hAnsi="Palatino Linotype" w:cs="Palatino Linotype"/>
          <w:color w:val="000000"/>
          <w:sz w:val="24"/>
          <w:szCs w:val="24"/>
        </w:rPr>
      </w:pPr>
      <w:bookmarkStart w:id="1" w:name="_heading=h.gjdgxs" w:colFirst="0" w:colLast="0"/>
      <w:bookmarkEnd w:id="1"/>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SEGUNDA SESIÓN ORDINARIA CELEBRADA EL CINCO DE AGOSTO DE DOS MIL VEINTE, ANTE EL SECRETARIO TÉCNICO DEL PLENO ALEXIS TAPIA RAMÍREZ.</w:t>
      </w:r>
    </w:p>
    <w:tbl>
      <w:tblPr>
        <w:tblStyle w:val="a1"/>
        <w:tblW w:w="10368" w:type="dxa"/>
        <w:jc w:val="center"/>
        <w:tblInd w:w="0" w:type="dxa"/>
        <w:tblLayout w:type="fixed"/>
        <w:tblLook w:val="0400" w:firstRow="0" w:lastRow="0" w:firstColumn="0" w:lastColumn="0" w:noHBand="0" w:noVBand="1"/>
      </w:tblPr>
      <w:tblGrid>
        <w:gridCol w:w="5184"/>
        <w:gridCol w:w="5184"/>
      </w:tblGrid>
      <w:tr w:rsidR="004C3072">
        <w:trPr>
          <w:jc w:val="center"/>
        </w:trPr>
        <w:tc>
          <w:tcPr>
            <w:tcW w:w="10368" w:type="dxa"/>
            <w:gridSpan w:val="2"/>
          </w:tcPr>
          <w:p w:rsidR="004C3072" w:rsidRDefault="004C3072" w:rsidP="00A828D5">
            <w:pPr>
              <w:spacing w:after="0"/>
              <w:jc w:val="center"/>
              <w:rPr>
                <w:rFonts w:ascii="Palatino Linotype" w:eastAsia="Palatino Linotype" w:hAnsi="Palatino Linotype" w:cs="Palatino Linotype"/>
                <w:b/>
              </w:rPr>
            </w:pPr>
          </w:p>
          <w:p w:rsidR="00A828D5" w:rsidRDefault="00A828D5" w:rsidP="00A828D5">
            <w:pPr>
              <w:spacing w:after="0"/>
              <w:jc w:val="center"/>
              <w:rPr>
                <w:rFonts w:ascii="Palatino Linotype" w:eastAsia="Palatino Linotype" w:hAnsi="Palatino Linotype" w:cs="Palatino Linotype"/>
                <w:b/>
              </w:rPr>
            </w:pPr>
          </w:p>
          <w:p w:rsidR="00A828D5" w:rsidRDefault="00A828D5" w:rsidP="00A828D5">
            <w:pPr>
              <w:spacing w:after="0"/>
              <w:jc w:val="center"/>
              <w:rPr>
                <w:rFonts w:ascii="Palatino Linotype" w:eastAsia="Palatino Linotype" w:hAnsi="Palatino Linotype" w:cs="Palatino Linotype"/>
                <w:b/>
              </w:rPr>
            </w:pPr>
          </w:p>
          <w:p w:rsidR="00A828D5" w:rsidRDefault="00A828D5" w:rsidP="00A828D5">
            <w:pPr>
              <w:spacing w:after="0"/>
              <w:jc w:val="center"/>
              <w:rPr>
                <w:rFonts w:ascii="Palatino Linotype" w:eastAsia="Palatino Linotype" w:hAnsi="Palatino Linotype" w:cs="Palatino Linotype"/>
                <w:b/>
              </w:rPr>
            </w:pPr>
          </w:p>
          <w:p w:rsidR="00A828D5" w:rsidRDefault="00A828D5" w:rsidP="00A828D5">
            <w:pPr>
              <w:spacing w:after="0"/>
              <w:jc w:val="center"/>
              <w:rPr>
                <w:rFonts w:ascii="Palatino Linotype" w:eastAsia="Palatino Linotype" w:hAnsi="Palatino Linotype" w:cs="Palatino Linotype"/>
                <w:b/>
              </w:rPr>
            </w:pPr>
          </w:p>
          <w:p w:rsidR="00A828D5" w:rsidRDefault="00A828D5" w:rsidP="00A828D5">
            <w:pPr>
              <w:spacing w:after="0"/>
              <w:jc w:val="center"/>
              <w:rPr>
                <w:rFonts w:ascii="Palatino Linotype" w:eastAsia="Palatino Linotype" w:hAnsi="Palatino Linotype" w:cs="Palatino Linotype"/>
                <w:b/>
              </w:rPr>
            </w:pPr>
          </w:p>
          <w:p w:rsidR="00A828D5" w:rsidRDefault="00A828D5" w:rsidP="00A828D5">
            <w:pPr>
              <w:spacing w:after="0"/>
              <w:jc w:val="center"/>
              <w:rPr>
                <w:rFonts w:ascii="Palatino Linotype" w:eastAsia="Palatino Linotype" w:hAnsi="Palatino Linotype" w:cs="Palatino Linotype"/>
                <w:b/>
              </w:rPr>
            </w:pP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rPr>
              <w:t>Comisionada Presidenta</w:t>
            </w: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4C3072">
        <w:trPr>
          <w:jc w:val="center"/>
        </w:trPr>
        <w:tc>
          <w:tcPr>
            <w:tcW w:w="5184" w:type="dxa"/>
          </w:tcPr>
          <w:p w:rsidR="004C3072" w:rsidRDefault="004C3072">
            <w:pPr>
              <w:spacing w:after="0"/>
              <w:jc w:val="center"/>
              <w:rPr>
                <w:rFonts w:ascii="Palatino Linotype" w:eastAsia="Palatino Linotype" w:hAnsi="Palatino Linotype" w:cs="Palatino Linotype"/>
                <w:b/>
              </w:rPr>
            </w:pPr>
          </w:p>
          <w:p w:rsidR="004C3072" w:rsidRDefault="004C3072">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Eva Abaid Yapur</w:t>
            </w:r>
          </w:p>
          <w:p w:rsidR="004C3072" w:rsidRDefault="00332F1C">
            <w:pPr>
              <w:spacing w:after="0"/>
              <w:jc w:val="center"/>
              <w:rPr>
                <w:rFonts w:ascii="Palatino Linotype" w:eastAsia="Palatino Linotype" w:hAnsi="Palatino Linotype" w:cs="Palatino Linotype"/>
              </w:rPr>
            </w:pPr>
            <w:r>
              <w:rPr>
                <w:rFonts w:ascii="Palatino Linotype" w:eastAsia="Palatino Linotype" w:hAnsi="Palatino Linotype" w:cs="Palatino Linotype"/>
              </w:rPr>
              <w:t>Comisionada</w:t>
            </w: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c>
          <w:tcPr>
            <w:tcW w:w="5184" w:type="dxa"/>
          </w:tcPr>
          <w:p w:rsidR="004C3072" w:rsidRDefault="004C3072">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4C3072" w:rsidRDefault="004C3072">
            <w:pPr>
              <w:spacing w:after="0"/>
              <w:jc w:val="center"/>
              <w:rPr>
                <w:rFonts w:ascii="Palatino Linotype" w:eastAsia="Palatino Linotype" w:hAnsi="Palatino Linotype" w:cs="Palatino Linotype"/>
                <w:b/>
              </w:rPr>
            </w:pP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José Guadalupe Luna Hernández</w:t>
            </w:r>
          </w:p>
          <w:p w:rsidR="004C3072" w:rsidRDefault="00332F1C">
            <w:pPr>
              <w:spacing w:after="0"/>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4C3072">
        <w:trPr>
          <w:jc w:val="center"/>
        </w:trPr>
        <w:tc>
          <w:tcPr>
            <w:tcW w:w="5184" w:type="dxa"/>
          </w:tcPr>
          <w:p w:rsidR="004C3072" w:rsidRDefault="004C3072">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4C3072" w:rsidRDefault="004C3072">
            <w:pPr>
              <w:spacing w:after="0"/>
              <w:jc w:val="center"/>
              <w:rPr>
                <w:rFonts w:ascii="Palatino Linotype" w:eastAsia="Palatino Linotype" w:hAnsi="Palatino Linotype" w:cs="Palatino Linotype"/>
                <w:b/>
              </w:rPr>
            </w:pP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Javier Martínez Cruz</w:t>
            </w:r>
          </w:p>
          <w:p w:rsidR="004C3072" w:rsidRDefault="00332F1C">
            <w:pPr>
              <w:spacing w:after="0"/>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c>
          <w:tcPr>
            <w:tcW w:w="5184" w:type="dxa"/>
          </w:tcPr>
          <w:p w:rsidR="004C3072" w:rsidRDefault="004C3072">
            <w:pPr>
              <w:spacing w:after="0"/>
              <w:jc w:val="center"/>
              <w:rPr>
                <w:rFonts w:ascii="Palatino Linotype" w:eastAsia="Palatino Linotype" w:hAnsi="Palatino Linotype" w:cs="Palatino Linotype"/>
                <w:b/>
              </w:rPr>
            </w:pPr>
          </w:p>
          <w:p w:rsidR="004C3072" w:rsidRDefault="004C3072">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Luis Gustavo Parra Noriega</w:t>
            </w:r>
          </w:p>
          <w:p w:rsidR="004C3072" w:rsidRDefault="00332F1C">
            <w:pPr>
              <w:spacing w:after="0"/>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4C3072">
        <w:trPr>
          <w:jc w:val="center"/>
        </w:trPr>
        <w:tc>
          <w:tcPr>
            <w:tcW w:w="10368" w:type="dxa"/>
            <w:gridSpan w:val="2"/>
          </w:tcPr>
          <w:p w:rsidR="004C3072" w:rsidRDefault="004C3072">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A828D5" w:rsidRDefault="00A828D5">
            <w:pPr>
              <w:spacing w:after="0"/>
              <w:jc w:val="center"/>
              <w:rPr>
                <w:rFonts w:ascii="Palatino Linotype" w:eastAsia="Palatino Linotype" w:hAnsi="Palatino Linotype" w:cs="Palatino Linotype"/>
                <w:b/>
              </w:rPr>
            </w:pPr>
          </w:p>
          <w:p w:rsidR="004C3072" w:rsidRDefault="004C3072">
            <w:pPr>
              <w:spacing w:after="0"/>
              <w:jc w:val="center"/>
              <w:rPr>
                <w:rFonts w:ascii="Palatino Linotype" w:eastAsia="Palatino Linotype" w:hAnsi="Palatino Linotype" w:cs="Palatino Linotype"/>
                <w:b/>
              </w:rPr>
            </w:pPr>
          </w:p>
          <w:p w:rsidR="004C3072" w:rsidRDefault="00332F1C">
            <w:pPr>
              <w:spacing w:after="0"/>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rsidR="004C3072" w:rsidRDefault="00332F1C">
            <w:pPr>
              <w:spacing w:after="0"/>
              <w:jc w:val="center"/>
              <w:rPr>
                <w:rFonts w:ascii="Palatino Linotype" w:eastAsia="Palatino Linotype" w:hAnsi="Palatino Linotype" w:cs="Palatino Linotype"/>
              </w:rPr>
            </w:pPr>
            <w:r>
              <w:rPr>
                <w:rFonts w:ascii="Palatino Linotype" w:eastAsia="Palatino Linotype" w:hAnsi="Palatino Linotype" w:cs="Palatino Linotype"/>
              </w:rPr>
              <w:t>Secretario Técnico del Pleno</w:t>
            </w:r>
          </w:p>
          <w:p w:rsidR="004C3072" w:rsidRDefault="00332F1C">
            <w:pPr>
              <w:spacing w:after="0"/>
              <w:jc w:val="center"/>
              <w:rPr>
                <w:rFonts w:ascii="Palatino Linotype" w:eastAsia="Palatino Linotype" w:hAnsi="Palatino Linotype" w:cs="Palatino Linotype"/>
              </w:rPr>
            </w:pPr>
            <w:r>
              <w:rPr>
                <w:rFonts w:ascii="Palatino Linotype" w:eastAsia="Palatino Linotype" w:hAnsi="Palatino Linotype" w:cs="Palatino Linotype"/>
                <w:b/>
              </w:rPr>
              <w:t>(RÚBRICA)</w:t>
            </w:r>
          </w:p>
        </w:tc>
      </w:tr>
    </w:tbl>
    <w:p w:rsidR="00A828D5" w:rsidRDefault="00A828D5">
      <w:pPr>
        <w:ind w:right="49"/>
        <w:jc w:val="both"/>
        <w:rPr>
          <w:rFonts w:ascii="Palatino Linotype" w:eastAsia="Palatino Linotype" w:hAnsi="Palatino Linotype" w:cs="Palatino Linotype"/>
          <w:sz w:val="20"/>
          <w:szCs w:val="20"/>
        </w:rPr>
      </w:pPr>
    </w:p>
    <w:p w:rsidR="00A828D5" w:rsidRDefault="00A828D5">
      <w:pPr>
        <w:ind w:right="49"/>
        <w:jc w:val="both"/>
        <w:rPr>
          <w:rFonts w:ascii="Palatino Linotype" w:eastAsia="Palatino Linotype" w:hAnsi="Palatino Linotype" w:cs="Palatino Linotype"/>
          <w:sz w:val="20"/>
          <w:szCs w:val="20"/>
        </w:rPr>
      </w:pPr>
    </w:p>
    <w:p w:rsidR="004C3072" w:rsidRDefault="00332F1C">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Esta hoja corresponde a la resolución del cinco de agosto de dos mil veinte, emitida en el recurso de revisión 00707/INFOEM/IP/RR/2020.</w:t>
      </w:r>
    </w:p>
    <w:p w:rsidR="004C3072" w:rsidRDefault="00332F1C">
      <w:pPr>
        <w:ind w:right="49"/>
        <w:jc w:val="both"/>
        <w:rPr>
          <w:rFonts w:ascii="Palatino Linotype" w:eastAsia="Palatino Linotype" w:hAnsi="Palatino Linotype" w:cs="Palatino Linotype"/>
        </w:rPr>
      </w:pPr>
      <w:r>
        <w:rPr>
          <w:rFonts w:ascii="Palatino Linotype" w:eastAsia="Palatino Linotype" w:hAnsi="Palatino Linotype" w:cs="Palatino Linotype"/>
          <w:sz w:val="20"/>
          <w:szCs w:val="20"/>
        </w:rPr>
        <w:t>YSM/LAGO</w:t>
      </w:r>
    </w:p>
    <w:sectPr w:rsidR="004C3072">
      <w:headerReference w:type="even" r:id="rId22"/>
      <w:headerReference w:type="default" r:id="rId23"/>
      <w:footerReference w:type="default" r:id="rId24"/>
      <w:headerReference w:type="first" r:id="rId25"/>
      <w:footerReference w:type="first" r:id="rId2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F1C" w:rsidRDefault="00332F1C">
      <w:pPr>
        <w:spacing w:after="0" w:line="240" w:lineRule="auto"/>
      </w:pPr>
      <w:r>
        <w:separator/>
      </w:r>
    </w:p>
  </w:endnote>
  <w:endnote w:type="continuationSeparator" w:id="0">
    <w:p w:rsidR="00332F1C" w:rsidRDefault="00332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072" w:rsidRDefault="00332F1C">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770DD4">
      <w:rPr>
        <w:rFonts w:ascii="Palatino Linotype" w:eastAsia="Palatino Linotype" w:hAnsi="Palatino Linotype" w:cs="Palatino Linotype"/>
        <w:noProof/>
        <w:color w:val="000000"/>
      </w:rPr>
      <w:t>23</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770DD4">
      <w:rPr>
        <w:rFonts w:ascii="Palatino Linotype" w:eastAsia="Palatino Linotype" w:hAnsi="Palatino Linotype" w:cs="Palatino Linotype"/>
        <w:noProof/>
        <w:color w:val="000000"/>
      </w:rPr>
      <w:t>24</w:t>
    </w:r>
    <w:r>
      <w:rPr>
        <w:rFonts w:ascii="Palatino Linotype" w:eastAsia="Palatino Linotype" w:hAnsi="Palatino Linotype" w:cs="Palatino Linotype"/>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072" w:rsidRDefault="00332F1C">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770DD4">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770DD4">
      <w:rPr>
        <w:rFonts w:ascii="Palatino Linotype" w:eastAsia="Palatino Linotype" w:hAnsi="Palatino Linotype" w:cs="Palatino Linotype"/>
        <w:noProof/>
        <w:color w:val="000000"/>
      </w:rPr>
      <w:t>24</w:t>
    </w:r>
    <w:r>
      <w:rPr>
        <w:rFonts w:ascii="Palatino Linotype" w:eastAsia="Palatino Linotype" w:hAnsi="Palatino Linotype" w:cs="Palatino Linotyp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F1C" w:rsidRDefault="00332F1C">
      <w:pPr>
        <w:spacing w:after="0" w:line="240" w:lineRule="auto"/>
      </w:pPr>
      <w:r>
        <w:separator/>
      </w:r>
    </w:p>
  </w:footnote>
  <w:footnote w:type="continuationSeparator" w:id="0">
    <w:p w:rsidR="00332F1C" w:rsidRDefault="00332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9E3" w:rsidRDefault="00770DD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343579"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072" w:rsidRDefault="00770DD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8"/>
        <w:szCs w:val="28"/>
      </w:rPr>
    </w:pPr>
    <w:r>
      <w:rPr>
        <w:rFonts w:ascii="Palatino Linotype" w:eastAsia="Palatino Linotype" w:hAnsi="Palatino Linotype" w:cs="Palatino Linotype"/>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343580"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E366A" w:rsidRPr="008F2CCC" w:rsidTr="00B15D87">
      <w:tc>
        <w:tcPr>
          <w:tcW w:w="3261" w:type="dxa"/>
          <w:vMerge w:val="restart"/>
        </w:tcPr>
        <w:p w:rsidR="006E366A" w:rsidRPr="008F2CCC" w:rsidRDefault="006E366A" w:rsidP="006E366A">
          <w:pPr>
            <w:rPr>
              <w:rFonts w:ascii="Palatino Linotype" w:hAnsi="Palatino Linotype"/>
              <w:b/>
              <w:lang w:val="es-ES_tradnl"/>
            </w:rPr>
          </w:pPr>
          <w:r>
            <w:rPr>
              <w:rFonts w:ascii="Palatino Linotype" w:hAnsi="Palatino Linotype"/>
              <w:noProof/>
              <w:sz w:val="28"/>
              <w:szCs w:val="28"/>
            </w:rPr>
            <w:drawing>
              <wp:inline distT="0" distB="0" distL="0" distR="0" wp14:anchorId="1189ACAB" wp14:editId="69B1D3CA">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6E366A" w:rsidRPr="00664658" w:rsidRDefault="006E366A" w:rsidP="006E366A">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722" w:type="dxa"/>
          <w:shd w:val="clear" w:color="auto" w:fill="auto"/>
          <w:vAlign w:val="center"/>
        </w:tcPr>
        <w:p w:rsidR="006E366A" w:rsidRDefault="006E366A" w:rsidP="006E366A">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00707/INFOEM/IP/RR/2020</w:t>
          </w:r>
        </w:p>
      </w:tc>
    </w:tr>
    <w:tr w:rsidR="006E366A" w:rsidRPr="008F2CCC" w:rsidTr="00B15D87">
      <w:tc>
        <w:tcPr>
          <w:tcW w:w="3261" w:type="dxa"/>
          <w:vMerge/>
        </w:tcPr>
        <w:p w:rsidR="006E366A" w:rsidRPr="008F2CCC" w:rsidRDefault="006E366A" w:rsidP="006E366A">
          <w:pPr>
            <w:rPr>
              <w:rFonts w:ascii="Palatino Linotype" w:hAnsi="Palatino Linotype"/>
              <w:b/>
              <w:lang w:val="es-ES_tradnl"/>
            </w:rPr>
          </w:pPr>
        </w:p>
      </w:tc>
      <w:tc>
        <w:tcPr>
          <w:tcW w:w="2551" w:type="dxa"/>
          <w:shd w:val="clear" w:color="auto" w:fill="auto"/>
        </w:tcPr>
        <w:p w:rsidR="006E366A" w:rsidRPr="00664658" w:rsidRDefault="006E366A" w:rsidP="006E366A">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722" w:type="dxa"/>
          <w:shd w:val="clear" w:color="auto" w:fill="auto"/>
          <w:vAlign w:val="center"/>
        </w:tcPr>
        <w:p w:rsidR="006E366A" w:rsidRDefault="006E366A" w:rsidP="006E366A">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Sistema de Transporte Masivo y Teleférico del Estado de México</w:t>
          </w:r>
        </w:p>
      </w:tc>
    </w:tr>
    <w:tr w:rsidR="006E366A" w:rsidRPr="008F2CCC" w:rsidTr="00B15D87">
      <w:trPr>
        <w:trHeight w:val="228"/>
      </w:trPr>
      <w:tc>
        <w:tcPr>
          <w:tcW w:w="3261" w:type="dxa"/>
          <w:vMerge/>
        </w:tcPr>
        <w:p w:rsidR="006E366A" w:rsidRPr="008F2CCC" w:rsidRDefault="006E366A" w:rsidP="006E366A">
          <w:pPr>
            <w:rPr>
              <w:rFonts w:ascii="Palatino Linotype" w:hAnsi="Palatino Linotype"/>
              <w:b/>
              <w:lang w:val="es-ES_tradnl"/>
            </w:rPr>
          </w:pPr>
        </w:p>
      </w:tc>
      <w:tc>
        <w:tcPr>
          <w:tcW w:w="2551" w:type="dxa"/>
          <w:shd w:val="clear" w:color="auto" w:fill="auto"/>
        </w:tcPr>
        <w:p w:rsidR="006E366A" w:rsidRPr="00664658" w:rsidRDefault="006E366A" w:rsidP="006E366A">
          <w:pPr>
            <w:rPr>
              <w:rFonts w:ascii="Palatino Linotype" w:hAnsi="Palatino Linotype"/>
              <w:b/>
              <w:lang w:val="es-ES_tradnl"/>
            </w:rPr>
          </w:pPr>
          <w:r>
            <w:rPr>
              <w:rFonts w:ascii="Palatino Linotype" w:hAnsi="Palatino Linotype"/>
              <w:b/>
              <w:lang w:val="es-ES_tradnl"/>
            </w:rPr>
            <w:t xml:space="preserve">Comisionada </w:t>
          </w:r>
          <w:r w:rsidRPr="00664658">
            <w:rPr>
              <w:rFonts w:ascii="Palatino Linotype" w:hAnsi="Palatino Linotype"/>
              <w:b/>
              <w:lang w:val="es-ES_tradnl"/>
            </w:rPr>
            <w:t>ponente:</w:t>
          </w:r>
        </w:p>
      </w:tc>
      <w:tc>
        <w:tcPr>
          <w:tcW w:w="3722" w:type="dxa"/>
          <w:shd w:val="clear" w:color="auto" w:fill="auto"/>
        </w:tcPr>
        <w:p w:rsidR="006E366A" w:rsidRPr="00664658" w:rsidRDefault="006E366A" w:rsidP="006E366A">
          <w:pPr>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6E366A" w:rsidRDefault="006E366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072" w:rsidRDefault="00770DD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8"/>
        <w:szCs w:val="28"/>
      </w:rPr>
    </w:pPr>
    <w:r>
      <w:rPr>
        <w:rFonts w:ascii="Palatino Linotype" w:eastAsia="Palatino Linotype" w:hAnsi="Palatino Linotype" w:cs="Palatino Linotype"/>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343578" o:spid="_x0000_s2049"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E366A" w:rsidRPr="008F2CCC" w:rsidTr="00B15D87">
      <w:tc>
        <w:tcPr>
          <w:tcW w:w="4253" w:type="dxa"/>
          <w:vMerge w:val="restart"/>
          <w:shd w:val="clear" w:color="auto" w:fill="auto"/>
        </w:tcPr>
        <w:p w:rsidR="006E366A" w:rsidRPr="008F2CCC" w:rsidRDefault="006E366A" w:rsidP="006E366A">
          <w:pPr>
            <w:rPr>
              <w:rFonts w:ascii="Palatino Linotype" w:hAnsi="Palatino Linotype"/>
              <w:b/>
              <w:lang w:val="es-ES_tradnl"/>
            </w:rPr>
          </w:pPr>
          <w:r>
            <w:rPr>
              <w:rFonts w:ascii="Palatino Linotype" w:hAnsi="Palatino Linotype"/>
              <w:noProof/>
              <w:sz w:val="28"/>
              <w:szCs w:val="28"/>
            </w:rPr>
            <w:drawing>
              <wp:inline distT="0" distB="0" distL="0" distR="0" wp14:anchorId="514FDA42" wp14:editId="7F74F0C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6E366A" w:rsidRPr="008F2CCC" w:rsidRDefault="006E366A" w:rsidP="006E366A">
          <w:pPr>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685" w:type="dxa"/>
          <w:shd w:val="clear" w:color="auto" w:fill="auto"/>
          <w:vAlign w:val="center"/>
        </w:tcPr>
        <w:p w:rsidR="006E366A" w:rsidRDefault="006E366A" w:rsidP="006E366A">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 xml:space="preserve">00707/INFOEM/IP/RR/2020 </w:t>
          </w:r>
        </w:p>
      </w:tc>
    </w:tr>
    <w:tr w:rsidR="006E366A" w:rsidRPr="008F2CCC" w:rsidTr="00B15D87">
      <w:tc>
        <w:tcPr>
          <w:tcW w:w="4253" w:type="dxa"/>
          <w:vMerge/>
          <w:shd w:val="clear" w:color="auto" w:fill="auto"/>
        </w:tcPr>
        <w:p w:rsidR="006E366A" w:rsidRPr="008F2CCC" w:rsidRDefault="006E366A" w:rsidP="006E366A">
          <w:pPr>
            <w:rPr>
              <w:rFonts w:ascii="Palatino Linotype" w:hAnsi="Palatino Linotype"/>
              <w:b/>
              <w:lang w:val="es-ES_tradnl"/>
            </w:rPr>
          </w:pPr>
        </w:p>
      </w:tc>
      <w:tc>
        <w:tcPr>
          <w:tcW w:w="2552" w:type="dxa"/>
          <w:shd w:val="clear" w:color="auto" w:fill="auto"/>
        </w:tcPr>
        <w:p w:rsidR="006E366A" w:rsidRPr="008F2CCC" w:rsidRDefault="006E366A" w:rsidP="006E366A">
          <w:pPr>
            <w:rPr>
              <w:rFonts w:ascii="Palatino Linotype" w:hAnsi="Palatino Linotype"/>
              <w:b/>
              <w:lang w:val="es-ES_tradnl"/>
            </w:rPr>
          </w:pPr>
          <w:r w:rsidRPr="008F2CCC">
            <w:rPr>
              <w:rFonts w:ascii="Palatino Linotype" w:hAnsi="Palatino Linotype"/>
              <w:b/>
              <w:lang w:val="es-ES_tradnl"/>
            </w:rPr>
            <w:t>Recurrente:</w:t>
          </w:r>
        </w:p>
      </w:tc>
      <w:tc>
        <w:tcPr>
          <w:tcW w:w="3685" w:type="dxa"/>
          <w:shd w:val="clear" w:color="auto" w:fill="auto"/>
          <w:vAlign w:val="center"/>
        </w:tcPr>
        <w:p w:rsidR="006E366A" w:rsidRDefault="00770DD4" w:rsidP="00770DD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XXXXX</w:t>
          </w:r>
          <w:r w:rsidR="006E366A">
            <w:rPr>
              <w:rFonts w:ascii="Palatino Linotype" w:eastAsia="Palatino Linotype" w:hAnsi="Palatino Linotype" w:cs="Palatino Linotype"/>
              <w:b/>
            </w:rPr>
            <w:t xml:space="preserve"> </w:t>
          </w:r>
          <w:r>
            <w:rPr>
              <w:rFonts w:ascii="Palatino Linotype" w:eastAsia="Palatino Linotype" w:hAnsi="Palatino Linotype" w:cs="Palatino Linotype"/>
              <w:b/>
            </w:rPr>
            <w:t>XXXXX</w:t>
          </w:r>
          <w:r w:rsidR="006E366A">
            <w:rPr>
              <w:rFonts w:ascii="Palatino Linotype" w:eastAsia="Palatino Linotype" w:hAnsi="Palatino Linotype" w:cs="Palatino Linotype"/>
              <w:b/>
            </w:rPr>
            <w:t xml:space="preserve"> </w:t>
          </w:r>
          <w:r>
            <w:rPr>
              <w:rFonts w:ascii="Palatino Linotype" w:eastAsia="Palatino Linotype" w:hAnsi="Palatino Linotype" w:cs="Palatino Linotype"/>
              <w:b/>
            </w:rPr>
            <w:t>XXXX</w:t>
          </w:r>
          <w:r w:rsidR="006E366A">
            <w:rPr>
              <w:rFonts w:ascii="Palatino Linotype" w:eastAsia="Palatino Linotype" w:hAnsi="Palatino Linotype" w:cs="Palatino Linotype"/>
              <w:b/>
            </w:rPr>
            <w:t xml:space="preserve"> </w:t>
          </w:r>
        </w:p>
      </w:tc>
    </w:tr>
    <w:tr w:rsidR="006E366A" w:rsidRPr="008F2CCC" w:rsidTr="00B15D87">
      <w:trPr>
        <w:trHeight w:val="228"/>
      </w:trPr>
      <w:tc>
        <w:tcPr>
          <w:tcW w:w="4253" w:type="dxa"/>
          <w:vMerge/>
          <w:shd w:val="clear" w:color="auto" w:fill="auto"/>
        </w:tcPr>
        <w:p w:rsidR="006E366A" w:rsidRPr="008F2CCC" w:rsidRDefault="006E366A" w:rsidP="006E366A">
          <w:pPr>
            <w:rPr>
              <w:rFonts w:ascii="Palatino Linotype" w:hAnsi="Palatino Linotype"/>
              <w:b/>
              <w:lang w:val="es-ES_tradnl"/>
            </w:rPr>
          </w:pPr>
        </w:p>
      </w:tc>
      <w:tc>
        <w:tcPr>
          <w:tcW w:w="2552" w:type="dxa"/>
          <w:shd w:val="clear" w:color="auto" w:fill="auto"/>
        </w:tcPr>
        <w:p w:rsidR="006E366A" w:rsidRPr="008F2CCC" w:rsidRDefault="006E366A" w:rsidP="006E366A">
          <w:pPr>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685" w:type="dxa"/>
          <w:shd w:val="clear" w:color="auto" w:fill="auto"/>
          <w:vAlign w:val="center"/>
        </w:tcPr>
        <w:p w:rsidR="006E366A" w:rsidRDefault="006E366A" w:rsidP="006E366A">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Sistema de Transporte Masivo y Teleférico del Estado de México</w:t>
          </w:r>
        </w:p>
      </w:tc>
    </w:tr>
    <w:tr w:rsidR="006E366A" w:rsidRPr="008F2CCC" w:rsidTr="00B15D87">
      <w:tc>
        <w:tcPr>
          <w:tcW w:w="4253" w:type="dxa"/>
          <w:vMerge/>
          <w:shd w:val="clear" w:color="auto" w:fill="auto"/>
        </w:tcPr>
        <w:p w:rsidR="006E366A" w:rsidRPr="008F2CCC" w:rsidRDefault="006E366A" w:rsidP="006E366A">
          <w:pPr>
            <w:rPr>
              <w:rFonts w:ascii="Palatino Linotype" w:hAnsi="Palatino Linotype"/>
              <w:b/>
              <w:lang w:val="es-ES_tradnl"/>
            </w:rPr>
          </w:pPr>
        </w:p>
      </w:tc>
      <w:tc>
        <w:tcPr>
          <w:tcW w:w="2552" w:type="dxa"/>
          <w:shd w:val="clear" w:color="auto" w:fill="auto"/>
        </w:tcPr>
        <w:p w:rsidR="006E366A" w:rsidRPr="008F2CCC" w:rsidRDefault="006E366A" w:rsidP="006E366A">
          <w:pPr>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685" w:type="dxa"/>
          <w:shd w:val="clear" w:color="auto" w:fill="auto"/>
        </w:tcPr>
        <w:p w:rsidR="006E366A" w:rsidRPr="008F2CCC" w:rsidRDefault="006E366A" w:rsidP="006E366A">
          <w:pPr>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6E366A" w:rsidRDefault="006E366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C2B9A"/>
    <w:multiLevelType w:val="multilevel"/>
    <w:tmpl w:val="D93A31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72"/>
    <w:rsid w:val="00332F1C"/>
    <w:rsid w:val="004C3072"/>
    <w:rsid w:val="006E366A"/>
    <w:rsid w:val="00770DD4"/>
    <w:rsid w:val="00A828D5"/>
    <w:rsid w:val="00C92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386166"/>
  <w15:docId w15:val="{542C3AF0-0D7C-4EA5-826C-82009B1F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973"/>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rPr>
  </w:style>
  <w:style w:type="character" w:customStyle="1" w:styleId="ANOTACIONCar">
    <w:name w:val="ANOTACION Car"/>
    <w:link w:val="ANOTACION"/>
    <w:locked/>
    <w:rsid w:val="0005206F"/>
    <w:rPr>
      <w:rFonts w:ascii="Times New Roman" w:eastAsia="Times New Roman" w:hAnsi="Times New Roman" w:cs="Times New Roman"/>
      <w:b/>
      <w:sz w:val="18"/>
      <w:szCs w:val="18"/>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jf.scjn.gob.mx/sjfsist/Paginas/DetalleGeneralV2.aspx?id=820031&amp;Clase=DetalleTesisB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za.gob.mx/boletines/2019/diciembre/238/boletin.ph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neza.gob.mx/boletines/2019/diciembre/238/boletin.ph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hLYUN+789gE5ZyuMB8VGCPt/ag==">AMUW2mUdZZ7SsLLH6WKrdHdMJB8NQZtIgHdRGWutFpSknMAwsggrqhDGn+x1eoFwPs2A14S2S/87LmnTlZ0GmIu2JHetor2CCiScaVvrQRs2/h2MNXu0fwdmet3j6RV9ey/ZUBE0OGKS4vOA1R8AuhxbZQoomJLbN/M3QOI1Nzl61L4xGyLkWAogsqWrBECLD53DNy8bkutT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4432</Words>
  <Characters>24377</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 usuario 2019</dc:creator>
  <cp:lastModifiedBy>luis alberto guadarrama olivares</cp:lastModifiedBy>
  <cp:revision>2</cp:revision>
  <dcterms:created xsi:type="dcterms:W3CDTF">2020-08-27T05:02:00Z</dcterms:created>
  <dcterms:modified xsi:type="dcterms:W3CDTF">2020-08-27T05:02:00Z</dcterms:modified>
</cp:coreProperties>
</file>