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A06" w:rsidRDefault="00616063">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de dos mil veinte.</w:t>
      </w:r>
    </w:p>
    <w:p w:rsidR="00880A06" w:rsidRDefault="00616063">
      <w:pPr>
        <w:spacing w:beforeAutospacing="1" w:afterAutospacing="1"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01462/INFOEM/IP/RR/2020</w:t>
      </w:r>
      <w:r>
        <w:rPr>
          <w:rFonts w:ascii="Palatino Linotype" w:hAnsi="Palatino Linotype"/>
        </w:rPr>
        <w:t xml:space="preserve">, promovido por el C. </w:t>
      </w:r>
      <w:r w:rsidR="001673B8">
        <w:rPr>
          <w:rFonts w:ascii="Palatino Linotype" w:hAnsi="Palatino Linotype"/>
          <w:b/>
        </w:rPr>
        <w:t>XXXX XXXXXX XXXXXX y/o XXXX XXXXXX XXXXXX</w:t>
      </w:r>
      <w:r>
        <w:rPr>
          <w:rFonts w:ascii="Palatino Linotype" w:hAnsi="Palatino Linotype" w:cs="Arial"/>
        </w:rPr>
        <w:t xml:space="preserve"> en lo sucesivo</w:t>
      </w:r>
      <w:r>
        <w:rPr>
          <w:rFonts w:ascii="Palatino Linotype" w:hAnsi="Palatino Linotype" w:cs="Arial"/>
          <w:b/>
        </w:rPr>
        <w:t xml:space="preserve"> EL RECURRENTE</w:t>
      </w:r>
      <w:r>
        <w:rPr>
          <w:rFonts w:ascii="Palatino Linotype" w:hAnsi="Palatino Linotype"/>
        </w:rPr>
        <w:t xml:space="preserve">, en contra de la respuesta emitida por el </w:t>
      </w:r>
      <w:r>
        <w:rPr>
          <w:rFonts w:ascii="Palatino Linotype" w:hAnsi="Palatino Linotype"/>
          <w:b/>
        </w:rPr>
        <w:t>Instituto Materno Infantil del Estad</w:t>
      </w:r>
      <w:r>
        <w:rPr>
          <w:rFonts w:ascii="Palatino Linotype" w:hAnsi="Palatino Linotype"/>
          <w:b/>
        </w:rPr>
        <w:t>o de México,</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880A06" w:rsidRDefault="00616063">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880A06" w:rsidRDefault="00616063">
      <w:pPr>
        <w:numPr>
          <w:ilvl w:val="0"/>
          <w:numId w:val="1"/>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veintiséis de febrero de dos mil veinte, </w:t>
      </w:r>
      <w:r>
        <w:rPr>
          <w:rFonts w:ascii="Palatino Linotype" w:hAnsi="Palatino Linotype" w:cs="Arial"/>
          <w:b/>
        </w:rPr>
        <w:t>EL RECURRENTE</w:t>
      </w:r>
      <w:r>
        <w:rPr>
          <w:rFonts w:ascii="Palatino Linotype" w:hAnsi="Palatino Linotype"/>
        </w:rPr>
        <w:t xml:space="preserve"> presentó </w:t>
      </w:r>
      <w:r>
        <w:rPr>
          <w:rFonts w:ascii="Palatino Linotype" w:hAnsi="Palatino Linotype" w:cs="Arial"/>
        </w:rPr>
        <w:t>a través de la Plataforma Nacional de Transparencia, v</w:t>
      </w:r>
      <w:r>
        <w:rPr>
          <w:rFonts w:ascii="Palatino Linotype" w:hAnsi="Palatino Linotype" w:cs="Arial"/>
        </w:rPr>
        <w:t xml:space="preserve">inculada al Sistema de Acceso a la Información Mexiquense, en lo subsecuente </w:t>
      </w:r>
      <w:r>
        <w:rPr>
          <w:rFonts w:ascii="Palatino Linotype" w:hAnsi="Palatino Linotype" w:cs="Arial"/>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la información pública, a la que se le asignó el número </w:t>
      </w:r>
      <w:r>
        <w:rPr>
          <w:rFonts w:ascii="Palatino Linotype" w:hAnsi="Palatino Linotype"/>
          <w:b/>
          <w:bCs/>
        </w:rPr>
        <w:t>00020/IMIEM/IP/2020</w:t>
      </w:r>
      <w:r>
        <w:rPr>
          <w:rFonts w:ascii="Palatino Linotype" w:hAnsi="Palatino Linotype"/>
        </w:rPr>
        <w:t>, mediante la cual requirió por dicha vía y</w:t>
      </w:r>
      <w:r>
        <w:rPr>
          <w:rFonts w:ascii="Palatino Linotype" w:hAnsi="Palatino Linotype"/>
        </w:rPr>
        <w:t xml:space="preserve"> por correo electrónico, lo siguiente:</w:t>
      </w:r>
    </w:p>
    <w:p w:rsidR="00880A06" w:rsidRDefault="00616063">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“Se requiere de la dependencia/entidad A.Cantidad/Número de CUENTAS DE CHEQUES que maneja la dependencia/entidad, señalando 1.Saldo promedio mensual por cada una de las cuentas, en el periodo enero 2019- enero 2020 (m</w:t>
      </w:r>
      <w:r>
        <w:rPr>
          <w:rFonts w:ascii="Palatino Linotype" w:hAnsi="Palatino Linotype" w:cs="Arial"/>
          <w:i/>
          <w:sz w:val="22"/>
          <w:szCs w:val="22"/>
        </w:rPr>
        <w:t>ensual). 2.Institución bancaria que maneja cada una de las cuentas. 3.Objeto de cada una de las cuentas (pago a nómina, dispersión de recursos para programas, pago a proveedores, recaudación, entre otros). 4.Tasa de interés mensual por cada una de las cuen</w:t>
      </w:r>
      <w:r>
        <w:rPr>
          <w:rFonts w:ascii="Palatino Linotype" w:hAnsi="Palatino Linotype" w:cs="Arial"/>
          <w:i/>
          <w:sz w:val="22"/>
          <w:szCs w:val="22"/>
        </w:rPr>
        <w:t xml:space="preserve">tas (productividad), precisando tasa bases (TIIE, CETE o cualquier otra), así como la rentabilidad. 5.Antigüedad de la cuenta. B.Cantidad/Número de CUENTAS DE </w:t>
      </w:r>
      <w:r>
        <w:rPr>
          <w:rFonts w:ascii="Palatino Linotype" w:hAnsi="Palatino Linotype" w:cs="Arial"/>
          <w:i/>
          <w:sz w:val="22"/>
          <w:szCs w:val="22"/>
        </w:rPr>
        <w:lastRenderedPageBreak/>
        <w:t>INVERSIÓN o equivalente, que maneja la dependencia/entidad, señalando 1.Saldo promedio mensual po</w:t>
      </w:r>
      <w:r>
        <w:rPr>
          <w:rFonts w:ascii="Palatino Linotype" w:hAnsi="Palatino Linotype" w:cs="Arial"/>
          <w:i/>
          <w:sz w:val="22"/>
          <w:szCs w:val="22"/>
        </w:rPr>
        <w:t>r cada una de las cuentas de inversión, en el periodo enero 2019- enero 2020 (mensual). 2.Institución financiera que maneja cada una de las cuentas de inversión. 3.Horizonte (plazo) de las inversiones. 4.Tasa promedio de interés mensual por cada una de las</w:t>
      </w:r>
      <w:r>
        <w:rPr>
          <w:rFonts w:ascii="Palatino Linotype" w:hAnsi="Palatino Linotype" w:cs="Arial"/>
          <w:i/>
          <w:sz w:val="22"/>
          <w:szCs w:val="22"/>
        </w:rPr>
        <w:t xml:space="preserve"> cuentas de inversión (productividad), precisando tasa bases/referencia (ejemplo TIIE, CETE o cualquier otra). 5.Antigüedad de la cuenta. C.Operaciones de DISPERSIÓN/PAGOS por canal (ventanilla y banca electrónica) 1.Número de operaciones por canal ventani</w:t>
      </w:r>
      <w:r>
        <w:rPr>
          <w:rFonts w:ascii="Palatino Linotype" w:hAnsi="Palatino Linotype" w:cs="Arial"/>
          <w:i/>
          <w:sz w:val="22"/>
          <w:szCs w:val="22"/>
        </w:rPr>
        <w:t>lla realizadas de enero 2019- enero 2020 (mensual). 2.Número de operaciones por canal electrónico realizadas de enero 2019- enero 2020 (mensual). 3.Costo vigente por operación por canal ventanilla realizadas de enero 2019- enero 2020 (mensual). 4.Costo vig</w:t>
      </w:r>
      <w:r>
        <w:rPr>
          <w:rFonts w:ascii="Palatino Linotype" w:hAnsi="Palatino Linotype" w:cs="Arial"/>
          <w:i/>
          <w:sz w:val="22"/>
          <w:szCs w:val="22"/>
        </w:rPr>
        <w:t xml:space="preserve">ente por operación por canal electrónico realizadas en el periodo enero 2019- enero 2020 (mensual). D.Operaciones de RECAUDACIÓN/COBROS por canal (ventanilla y banca electrónica) 1.Número de operaciones por canal ventanilla realizadas de enero 2019- enero </w:t>
      </w:r>
      <w:r>
        <w:rPr>
          <w:rFonts w:ascii="Palatino Linotype" w:hAnsi="Palatino Linotype" w:cs="Arial"/>
          <w:i/>
          <w:sz w:val="22"/>
          <w:szCs w:val="22"/>
        </w:rPr>
        <w:t>2020 (mensual).por institución bancaria 2.Número de operaciones por canal electrónico realizadas de enero 2019- enero 2020 (mensual). por institución bancaria 3.Costo vigente por operación por canal ventanilla realizadas de enero 2019- enero 2020 (mensual)</w:t>
      </w:r>
      <w:r>
        <w:rPr>
          <w:rFonts w:ascii="Palatino Linotype" w:hAnsi="Palatino Linotype" w:cs="Arial"/>
          <w:i/>
          <w:sz w:val="22"/>
          <w:szCs w:val="22"/>
        </w:rPr>
        <w:t xml:space="preserve">.por institución bancaria. 4.Costo vigente por operación por canal electrónico realizadas en el periodo enero 2019- enero 2020 (mensual). por institución bancaria. Cabe destacar que la información que se solicita no representa información confidencial y/o </w:t>
      </w:r>
      <w:r>
        <w:rPr>
          <w:rFonts w:ascii="Palatino Linotype" w:hAnsi="Palatino Linotype" w:cs="Arial"/>
          <w:i/>
          <w:sz w:val="22"/>
          <w:szCs w:val="22"/>
        </w:rPr>
        <w:t xml:space="preserve">reservada. A nivel federal, alrededor de 100 sujetos obligados nos otorgaron información vía solicitud o recurso de revisión.” </w:t>
      </w:r>
      <w:r>
        <w:rPr>
          <w:rFonts w:ascii="Palatino Linotype" w:hAnsi="Palatino Linotype"/>
          <w:sz w:val="22"/>
          <w:szCs w:val="22"/>
        </w:rPr>
        <w:t>(Sic)</w:t>
      </w:r>
      <w:bookmarkStart w:id="0" w:name="_Ref531692384"/>
      <w:bookmarkStart w:id="1" w:name="_Ref516764469"/>
    </w:p>
    <w:p w:rsidR="00880A06" w:rsidRDefault="00616063">
      <w:pPr>
        <w:numPr>
          <w:ilvl w:val="0"/>
          <w:numId w:val="1"/>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cs="Arial"/>
        </w:rPr>
        <w:t xml:space="preserve"> </w:t>
      </w:r>
      <w:r>
        <w:rPr>
          <w:rFonts w:ascii="Palatino Linotype" w:hAnsi="Palatino Linotype" w:cs="Arial"/>
          <w:szCs w:val="20"/>
        </w:rPr>
        <w:t xml:space="preserve">De las constancias que obran en el expediente electrónico del </w:t>
      </w:r>
      <w:r>
        <w:rPr>
          <w:rFonts w:ascii="Palatino Linotype" w:hAnsi="Palatino Linotype" w:cs="Arial"/>
          <w:b/>
          <w:szCs w:val="20"/>
        </w:rPr>
        <w:t>SAIMEX</w:t>
      </w:r>
      <w:r>
        <w:rPr>
          <w:rFonts w:ascii="Palatino Linotype" w:hAnsi="Palatino Linotype" w:cs="Arial"/>
          <w:szCs w:val="20"/>
        </w:rPr>
        <w:t>, en fecha veintisiete de febrero de dos mil veinte, e</w:t>
      </w:r>
      <w:r>
        <w:rPr>
          <w:rFonts w:ascii="Palatino Linotype" w:hAnsi="Palatino Linotype" w:cs="Arial"/>
          <w:szCs w:val="20"/>
        </w:rPr>
        <w:t>l Titular de la Unidad de Transparencia del</w:t>
      </w:r>
      <w:r>
        <w:rPr>
          <w:rFonts w:ascii="Palatino Linotype" w:hAnsi="Palatino Linotype" w:cs="Arial"/>
          <w:b/>
          <w:szCs w:val="20"/>
        </w:rPr>
        <w:t xml:space="preserve"> SUJETO OBLIGADO,</w:t>
      </w:r>
      <w:r>
        <w:rPr>
          <w:rFonts w:ascii="Palatino Linotype" w:hAnsi="Palatino Linotype" w:cs="Arial"/>
          <w:szCs w:val="20"/>
        </w:rPr>
        <w:t xml:space="preserve"> mediante el folio número </w:t>
      </w:r>
      <w:r>
        <w:rPr>
          <w:rFonts w:ascii="Palatino Linotype" w:hAnsi="Palatino Linotype"/>
          <w:b/>
          <w:bCs/>
        </w:rPr>
        <w:t>00020/IMIEM/IP/2020/TSP0001</w:t>
      </w:r>
      <w:r>
        <w:rPr>
          <w:rFonts w:ascii="Palatino Linotype" w:hAnsi="Palatino Linotype" w:cs="Arial"/>
          <w:szCs w:val="20"/>
        </w:rPr>
        <w:t>, turnó los requerimientos de información a la Subdirectora de Finanzas, en su calidad de Servidora Pública Habilitada</w:t>
      </w:r>
      <w:r>
        <w:rPr>
          <w:rStyle w:val="Ancladenotaalpie"/>
          <w:rFonts w:ascii="Palatino Linotype" w:hAnsi="Palatino Linotype" w:cs="Arial"/>
          <w:szCs w:val="20"/>
        </w:rPr>
        <w:footnoteReference w:id="1"/>
      </w:r>
      <w:r>
        <w:rPr>
          <w:rFonts w:ascii="Palatino Linotype" w:hAnsi="Palatino Linotype" w:cs="Arial"/>
          <w:szCs w:val="20"/>
        </w:rPr>
        <w:t xml:space="preserve">, a fin de colmar la </w:t>
      </w:r>
      <w:r>
        <w:rPr>
          <w:rFonts w:ascii="Palatino Linotype" w:hAnsi="Palatino Linotype" w:cs="Arial"/>
          <w:szCs w:val="20"/>
        </w:rPr>
        <w:t>solicitud de acceso a la información; tal y como, se aprecia en la siguiente imagen:</w:t>
      </w:r>
    </w:p>
    <w:p w:rsidR="00880A06" w:rsidRDefault="00616063">
      <w:pPr>
        <w:tabs>
          <w:tab w:val="left" w:pos="709"/>
        </w:tabs>
        <w:spacing w:beforeAutospacing="1" w:afterAutospacing="1" w:line="360" w:lineRule="auto"/>
        <w:jc w:val="both"/>
        <w:rPr>
          <w:rFonts w:ascii="Palatino Linotype" w:hAnsi="Palatino Linotype" w:cs="Arial"/>
        </w:rPr>
      </w:pPr>
      <w:r>
        <w:rPr>
          <w:noProof/>
          <w:lang w:eastAsia="es-MX"/>
        </w:rPr>
        <w:lastRenderedPageBreak/>
        <w:drawing>
          <wp:inline distT="0" distB="0" distL="0" distR="0">
            <wp:extent cx="5778500" cy="70231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8"/>
                    <a:srcRect l="17433" t="27832" r="17260" b="60710"/>
                    <a:stretch>
                      <a:fillRect/>
                    </a:stretch>
                  </pic:blipFill>
                  <pic:spPr bwMode="auto">
                    <a:xfrm>
                      <a:off x="0" y="0"/>
                      <a:ext cx="5778500" cy="702310"/>
                    </a:xfrm>
                    <a:prstGeom prst="rect">
                      <a:avLst/>
                    </a:prstGeom>
                  </pic:spPr>
                </pic:pic>
              </a:graphicData>
            </a:graphic>
          </wp:inline>
        </w:drawing>
      </w:r>
    </w:p>
    <w:p w:rsidR="00880A06" w:rsidRDefault="00616063">
      <w:pPr>
        <w:numPr>
          <w:ilvl w:val="0"/>
          <w:numId w:val="1"/>
        </w:numPr>
        <w:tabs>
          <w:tab w:val="left" w:pos="709"/>
        </w:tabs>
        <w:spacing w:beforeAutospacing="1" w:afterAutospacing="1" w:line="360" w:lineRule="auto"/>
        <w:ind w:left="0" w:firstLine="0"/>
        <w:jc w:val="both"/>
        <w:rPr>
          <w:rFonts w:ascii="Palatino Linotype" w:hAnsi="Palatino Linotype" w:cs="Arial"/>
        </w:rPr>
      </w:pPr>
      <w:r>
        <w:rPr>
          <w:rFonts w:ascii="Palatino Linotype" w:eastAsia="Calibri" w:hAnsi="Palatino Linotype"/>
          <w:szCs w:val="22"/>
          <w:lang w:eastAsia="en-US"/>
        </w:rPr>
        <w:t xml:space="preserve">Posteriormente, </w:t>
      </w:r>
      <w:r>
        <w:rPr>
          <w:rFonts w:ascii="Palatino Linotype" w:hAnsi="Palatino Linotype" w:cs="Arial"/>
        </w:rPr>
        <w:t xml:space="preserve">el día tres de marzo de dos mil veinte, </w:t>
      </w:r>
      <w:r>
        <w:rPr>
          <w:rFonts w:ascii="Palatino Linotype" w:hAnsi="Palatino Linotype" w:cs="Arial"/>
          <w:b/>
        </w:rPr>
        <w:t>EL SUJETO OBLIGADO</w:t>
      </w:r>
      <w:r>
        <w:rPr>
          <w:rFonts w:ascii="Palatino Linotype" w:hAnsi="Palatino Linotype" w:cs="Arial"/>
        </w:rPr>
        <w:t xml:space="preserve"> dio respuesta a la </w:t>
      </w:r>
      <w:r>
        <w:rPr>
          <w:rFonts w:ascii="Palatino Linotype" w:hAnsi="Palatino Linotype"/>
        </w:rPr>
        <w:t>solicitud</w:t>
      </w:r>
      <w:r>
        <w:rPr>
          <w:rFonts w:ascii="Palatino Linotype" w:hAnsi="Palatino Linotype" w:cs="Arial"/>
        </w:rPr>
        <w:t xml:space="preserve"> de </w:t>
      </w:r>
      <w:r>
        <w:rPr>
          <w:rFonts w:ascii="Palatino Linotype" w:hAnsi="Palatino Linotype"/>
        </w:rPr>
        <w:t>acceso</w:t>
      </w:r>
      <w:r>
        <w:rPr>
          <w:rFonts w:ascii="Palatino Linotype" w:hAnsi="Palatino Linotype" w:cs="Arial"/>
        </w:rPr>
        <w:t xml:space="preserve"> a la información pública requerida por </w:t>
      </w:r>
      <w:r>
        <w:rPr>
          <w:rFonts w:ascii="Palatino Linotype" w:hAnsi="Palatino Linotype" w:cs="Arial"/>
          <w:b/>
        </w:rPr>
        <w:t>EL RECURRENTE</w:t>
      </w:r>
      <w:r>
        <w:rPr>
          <w:rFonts w:ascii="Palatino Linotype" w:hAnsi="Palatino Linotype" w:cs="Arial"/>
        </w:rPr>
        <w:t>, e</w:t>
      </w:r>
      <w:r>
        <w:rPr>
          <w:rFonts w:ascii="Palatino Linotype" w:hAnsi="Palatino Linotype" w:cs="Arial"/>
        </w:rPr>
        <w:t>n los siguientes términos:</w:t>
      </w:r>
      <w:bookmarkEnd w:id="0"/>
      <w:bookmarkEnd w:id="1"/>
    </w:p>
    <w:p w:rsidR="00880A06" w:rsidRDefault="00616063">
      <w:pPr>
        <w:ind w:left="709" w:right="709"/>
        <w:jc w:val="both"/>
        <w:rPr>
          <w:rFonts w:ascii="Palatino Linotype" w:hAnsi="Palatino Linotype" w:cs="Arial"/>
          <w:i/>
          <w:sz w:val="22"/>
        </w:rPr>
      </w:pPr>
      <w:r>
        <w:rPr>
          <w:rFonts w:ascii="Palatino Linotype" w:hAnsi="Palatino Linotype" w:cs="Arial"/>
          <w:i/>
          <w:sz w:val="22"/>
        </w:rPr>
        <w:t>“En atención a su Solicitud de Información Pública, me permito informar lo siguiente: A) Cantidad/Número de CUENTAS DE CHEQUES que maneja la Dependencia, señalando: 1. Saldo promedio mensual por cada una de las cuentas, en el per</w:t>
      </w:r>
      <w:r>
        <w:rPr>
          <w:rFonts w:ascii="Palatino Linotype" w:hAnsi="Palatino Linotype" w:cs="Arial"/>
          <w:i/>
          <w:sz w:val="22"/>
        </w:rPr>
        <w:t>iodo enero 2019- enero 2020 (mensual) CUENTA SALDO PROMEDIO MENSUAL BANREGIO 1.8 MDP SANTANDER 1.5 MDP 2. Institución bancaria que maneja cada una de las cuentas • BANREGIO • SANTANDER 3. Objeto de cada una de las cuentas (pago a nómina, dispersión de recu</w:t>
      </w:r>
      <w:r>
        <w:rPr>
          <w:rFonts w:ascii="Palatino Linotype" w:hAnsi="Palatino Linotype" w:cs="Arial"/>
          <w:i/>
          <w:sz w:val="22"/>
        </w:rPr>
        <w:t>rsos para programas, pago a proveedores, recaudación, entre otros) • BANREGIO: Fondo fijo • SANTANDER: Cheques de nómina 4. Tasa de interés mensual por cada una de las cuentas (productividad), precisando tasa bases (TIIE, CETE o cualquier otra), así como l</w:t>
      </w:r>
      <w:r>
        <w:rPr>
          <w:rFonts w:ascii="Palatino Linotype" w:hAnsi="Palatino Linotype" w:cs="Arial"/>
          <w:i/>
          <w:sz w:val="22"/>
        </w:rPr>
        <w:t xml:space="preserve">a rentabilidad • BANREGIO: 90% de TIIE vigente • SANTANDER: 0.07% de acuerdo a contrato 5. Antigüedad de la cuenta • BANREGIO: desde septiembre de 2018 • SANTANDER: desde mayo de 2019 B) Cantidad/Número de CUENTAS DE INVERSIÓN o equivalente, que maneja la </w:t>
      </w:r>
      <w:r>
        <w:rPr>
          <w:rFonts w:ascii="Palatino Linotype" w:hAnsi="Palatino Linotype" w:cs="Arial"/>
          <w:i/>
          <w:sz w:val="22"/>
        </w:rPr>
        <w:t>Dependencia/entidad, señalando: 1. Saldo promedio mensual por cada una de las cuentas de inversión, en el periodo enero 2019- enero 2020 (mensual) CUENTA SALDO PROMEDIO MENSUAL BANORTE 19 MDP INTERACCIONES 14 MDP SCOTIABANK 1.35 MDP 2. Institución bancaria</w:t>
      </w:r>
      <w:r>
        <w:rPr>
          <w:rFonts w:ascii="Palatino Linotype" w:hAnsi="Palatino Linotype" w:cs="Arial"/>
          <w:i/>
          <w:sz w:val="22"/>
        </w:rPr>
        <w:t xml:space="preserve"> que maneja cada una de las cuentas de inversión • BANORTE • INTERACCIONES (BANORTE) • SCOTIABANK 3. Horizonte (plazo) de las inversiones • Mensual 4. Tasa promedio de interés mensual por cada una de las cuentas de inversión (productividad)precisando tasa </w:t>
      </w:r>
      <w:r>
        <w:rPr>
          <w:rFonts w:ascii="Palatino Linotype" w:hAnsi="Palatino Linotype" w:cs="Arial"/>
          <w:i/>
          <w:sz w:val="22"/>
        </w:rPr>
        <w:t>bases/referencia (ejemplo TIIE, CETE o cualquier otra) • BANORTE: 7.49%(tasa ponderada anual) basada en TIIE • INTERACCIONES (BANORTE): 7.49%(tasa ponderada anual) basada en TIIE • SCOTIABANK: 6.36 %(tasa ponderada anual) basada en TIIE 5. Antigüedad de la</w:t>
      </w:r>
      <w:r>
        <w:rPr>
          <w:rFonts w:ascii="Palatino Linotype" w:hAnsi="Palatino Linotype" w:cs="Arial"/>
          <w:i/>
          <w:sz w:val="22"/>
        </w:rPr>
        <w:t xml:space="preserve"> cuenta • BANORTE: 12 años • INTERACCIONES (BANORTE): 9 años • SCOTIABANK: 5 años C) Operaciones de DISPERSIÓN/PAGOS por canal (ventanilla y banca electrónica) 1. Número de operaciones por canal ventanilla realizadas de enero 2019-enero 2020 (mensual) • Ni</w:t>
      </w:r>
      <w:r>
        <w:rPr>
          <w:rFonts w:ascii="Palatino Linotype" w:hAnsi="Palatino Linotype" w:cs="Arial"/>
          <w:i/>
          <w:sz w:val="22"/>
        </w:rPr>
        <w:t xml:space="preserve">nguna 2. Número de operaciones por canal electrónico realizadas de enero </w:t>
      </w:r>
      <w:r>
        <w:rPr>
          <w:rFonts w:ascii="Palatino Linotype" w:hAnsi="Palatino Linotype" w:cs="Arial"/>
          <w:i/>
          <w:sz w:val="22"/>
        </w:rPr>
        <w:lastRenderedPageBreak/>
        <w:t>2019-enero 2020 (mensual) • Variable en un promedio mensual de 250 SPEI 3. Costo vigente por operación por canal ventanilla realizadas de enero 2019-enero 2020 (mensual) • No aplica 4</w:t>
      </w:r>
      <w:r>
        <w:rPr>
          <w:rFonts w:ascii="Palatino Linotype" w:hAnsi="Palatino Linotype" w:cs="Arial"/>
          <w:i/>
          <w:sz w:val="22"/>
        </w:rPr>
        <w:t>. Costo vigente por operación por canal electrónico realizadas en el periodo enero 2019-enero 2020 (mensual) • Sin costo D) Operaciones de RECAUDACIÓN/COBROS por canal (ventanilla y banca electrónica) 1. Número de operaciones por canal ventanilla realizada</w:t>
      </w:r>
      <w:r>
        <w:rPr>
          <w:rFonts w:ascii="Palatino Linotype" w:hAnsi="Palatino Linotype" w:cs="Arial"/>
          <w:i/>
          <w:sz w:val="22"/>
        </w:rPr>
        <w:t>s de enero 2019-enero 2020 (mensual) por institución bancaria. • Variable entre 24 y 30 operaciones 2. Número de operaciones por canal electrónico realizadas de enero 2019-enero 2020 (mensual) por institución bancaria • Variable entre 6 y 10 operaciones 3.</w:t>
      </w:r>
      <w:r>
        <w:rPr>
          <w:rFonts w:ascii="Palatino Linotype" w:hAnsi="Palatino Linotype" w:cs="Arial"/>
          <w:i/>
          <w:sz w:val="22"/>
        </w:rPr>
        <w:t xml:space="preserve"> Costo vigente por operación por canal ventanilla realizadas de enero 2019-enero 2020 (mensual) por institución bancaria • Sin costo 4. Costo vigente por operación por canal electrónico realizadas de enero 2019-enero 2020 (mensual) por institución bancaria</w:t>
      </w:r>
      <w:r>
        <w:rPr>
          <w:rFonts w:ascii="Palatino Linotype" w:hAnsi="Palatino Linotype" w:cs="Arial"/>
          <w:i/>
          <w:sz w:val="22"/>
        </w:rPr>
        <w:t xml:space="preserve"> • Sin costo.”</w:t>
      </w:r>
    </w:p>
    <w:p w:rsidR="00880A06" w:rsidRDefault="00616063">
      <w:pPr>
        <w:widowControl w:val="0"/>
        <w:numPr>
          <w:ilvl w:val="0"/>
          <w:numId w:val="9"/>
        </w:numPr>
        <w:tabs>
          <w:tab w:val="left" w:pos="0"/>
        </w:tabs>
        <w:spacing w:beforeAutospacing="1" w:afterAutospacing="1" w:line="360" w:lineRule="auto"/>
        <w:ind w:left="0" w:firstLine="0"/>
        <w:jc w:val="both"/>
        <w:rPr>
          <w:rFonts w:ascii="Palatino Linotype" w:hAnsi="Palatino Linotype" w:cs="Arial"/>
        </w:rPr>
      </w:pPr>
      <w:bookmarkStart w:id="2" w:name="_Ref507070922"/>
      <w:r>
        <w:rPr>
          <w:rFonts w:ascii="Palatino Linotype" w:hAnsi="Palatino Linotype"/>
        </w:rPr>
        <w:t xml:space="preserve">Inconforme con la respuesta del </w:t>
      </w:r>
      <w:r>
        <w:rPr>
          <w:rFonts w:ascii="Palatino Linotype" w:hAnsi="Palatino Linotype"/>
          <w:b/>
        </w:rPr>
        <w:t>SUJETO OBLIGADO</w:t>
      </w:r>
      <w:r>
        <w:rPr>
          <w:rFonts w:ascii="Palatino Linotype" w:hAnsi="Palatino Linotype"/>
        </w:rPr>
        <w:t xml:space="preserve">, en fecha seis de marzo de dos mil veinte, </w:t>
      </w:r>
      <w:r>
        <w:rPr>
          <w:rFonts w:ascii="Palatino Linotype" w:hAnsi="Palatino Linotype" w:cs="Arial"/>
          <w:b/>
        </w:rPr>
        <w:t>EL RECURRENTE</w:t>
      </w:r>
      <w:r>
        <w:rPr>
          <w:rFonts w:ascii="Palatino Linotype" w:hAnsi="Palatino Linotype"/>
        </w:rPr>
        <w:t>,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al que se le asignó el </w:t>
      </w:r>
      <w:r>
        <w:rPr>
          <w:rFonts w:ascii="Palatino Linotype" w:hAnsi="Palatino Linotype" w:cs="Arial"/>
        </w:rPr>
        <w:t>número al rubro citado, en el</w:t>
      </w:r>
      <w:r>
        <w:rPr>
          <w:rFonts w:ascii="Palatino Linotype" w:hAnsi="Palatino Linotype" w:cs="Arial"/>
        </w:rPr>
        <w:t xml:space="preserve"> que señaló como acto impugnado, lo siguiente:</w:t>
      </w:r>
      <w:bookmarkEnd w:id="2"/>
    </w:p>
    <w:p w:rsidR="00880A06" w:rsidRDefault="00616063">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w:t>
      </w:r>
      <w:r>
        <w:rPr>
          <w:rFonts w:ascii="Palatino Linotype" w:hAnsi="Palatino Linotype" w:cs="Arial"/>
          <w:i/>
          <w:sz w:val="22"/>
          <w:szCs w:val="22"/>
        </w:rPr>
        <w:t>Se recurre la respuesta otorgada, pedí la cantidad de cuentas y no me lo otorgan, tampoco me otorgan la información desglosada por cuenta, solicité que me otorgaran el objeto y los saldos por cuenta, es decir</w:t>
      </w:r>
      <w:r>
        <w:rPr>
          <w:rFonts w:ascii="Palatino Linotype" w:hAnsi="Palatino Linotype" w:cs="Arial"/>
          <w:i/>
          <w:sz w:val="22"/>
          <w:szCs w:val="22"/>
        </w:rPr>
        <w:t>, cuánto trae la cuenta de nómina, la de programas (indicando el nombre del programa) proveedores, etc.</w:t>
      </w:r>
      <w:r>
        <w:rPr>
          <w:rFonts w:ascii="Palatino Linotype" w:hAnsi="Palatino Linotype" w:cs="Arial"/>
          <w:i/>
          <w:sz w:val="22"/>
          <w:szCs w:val="22"/>
          <w:lang w:eastAsia="es-MX"/>
        </w:rPr>
        <w:t xml:space="preserve">” </w:t>
      </w:r>
      <w:r>
        <w:rPr>
          <w:rFonts w:ascii="Palatino Linotype" w:hAnsi="Palatino Linotype" w:cs="Arial"/>
          <w:sz w:val="22"/>
          <w:szCs w:val="22"/>
          <w:lang w:eastAsia="es-MX"/>
        </w:rPr>
        <w:t>(Sic)</w:t>
      </w:r>
    </w:p>
    <w:p w:rsidR="00880A06" w:rsidRDefault="00616063">
      <w:pPr>
        <w:spacing w:beforeAutospacing="1" w:afterAutospacing="1" w:line="360" w:lineRule="auto"/>
        <w:jc w:val="both"/>
        <w:rPr>
          <w:rFonts w:ascii="Palatino Linotype" w:hAnsi="Palatino Linotype"/>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EL RECURRENTE </w:t>
      </w:r>
      <w:r>
        <w:rPr>
          <w:rFonts w:ascii="Palatino Linotype" w:hAnsi="Palatino Linotype"/>
        </w:rPr>
        <w:t>indicó como razones o motivos de inconformidad:</w:t>
      </w:r>
    </w:p>
    <w:p w:rsidR="00880A06" w:rsidRDefault="00616063">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w:t>
      </w:r>
      <w:r>
        <w:rPr>
          <w:rFonts w:ascii="Palatino Linotype" w:hAnsi="Palatino Linotype" w:cs="Arial"/>
          <w:i/>
          <w:sz w:val="22"/>
          <w:szCs w:val="22"/>
          <w:lang w:eastAsia="es-MX"/>
        </w:rPr>
        <w:t>Se recurre la respuesta otorgada, pedí la cantidad de cuentas y no me lo otorgan, tampoco me otorgan la información desglosada por cuenta, solicité que me otorgaran el objeto y los saldos por cuenta, es decir, cuánto trae la cuenta de nómina, la de program</w:t>
      </w:r>
      <w:r>
        <w:rPr>
          <w:rFonts w:ascii="Palatino Linotype" w:hAnsi="Palatino Linotype" w:cs="Arial"/>
          <w:i/>
          <w:sz w:val="22"/>
          <w:szCs w:val="22"/>
          <w:lang w:eastAsia="es-MX"/>
        </w:rPr>
        <w:t xml:space="preserve">as (indicando el nombre del programa) proveedores, etc.” </w:t>
      </w:r>
      <w:r>
        <w:rPr>
          <w:rFonts w:ascii="Palatino Linotype" w:hAnsi="Palatino Linotype" w:cs="Arial"/>
          <w:sz w:val="22"/>
          <w:szCs w:val="22"/>
          <w:lang w:eastAsia="es-MX"/>
        </w:rPr>
        <w:t>(Sic)</w:t>
      </w:r>
    </w:p>
    <w:p w:rsidR="00880A06" w:rsidRDefault="00616063">
      <w:pPr>
        <w:widowControl w:val="0"/>
        <w:numPr>
          <w:ilvl w:val="0"/>
          <w:numId w:val="9"/>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 xml:space="preserve">En fecha </w:t>
      </w:r>
      <w:r>
        <w:rPr>
          <w:rFonts w:ascii="Palatino Linotype" w:hAnsi="Palatino Linotype"/>
        </w:rPr>
        <w:t>seis de marzo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 xml:space="preserve">Ley de Transparencia y Acceso a la Información </w:t>
      </w:r>
      <w:r>
        <w:rPr>
          <w:rFonts w:ascii="Palatino Linotype" w:hAnsi="Palatino Linotype"/>
        </w:rPr>
        <w:lastRenderedPageBreak/>
        <w:t>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w:t>
      </w:r>
      <w:r>
        <w:rPr>
          <w:rFonts w:ascii="Palatino Linotype" w:hAnsi="Palatino Linotype" w:cs="Arial"/>
          <w:lang w:val="es-ES_tradnl"/>
        </w:rPr>
        <w:t>ue decretara su admisión o desechamiento.</w:t>
      </w:r>
    </w:p>
    <w:p w:rsidR="00880A06" w:rsidRDefault="00616063">
      <w:pPr>
        <w:widowControl w:val="0"/>
        <w:numPr>
          <w:ilvl w:val="0"/>
          <w:numId w:val="9"/>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 xml:space="preserve">En fecha </w:t>
      </w:r>
      <w:r>
        <w:rPr>
          <w:rFonts w:ascii="Palatino Linotype" w:hAnsi="Palatino Linotype"/>
        </w:rPr>
        <w:t>trece de marzo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w:t>
      </w:r>
      <w:r>
        <w:rPr>
          <w:rFonts w:ascii="Palatino Linotype" w:hAnsi="Palatino Linotype" w:cs="Arial"/>
        </w:rPr>
        <w:t xml:space="preserve">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880A06" w:rsidRDefault="00616063">
      <w:pPr>
        <w:numPr>
          <w:ilvl w:val="0"/>
          <w:numId w:val="9"/>
        </w:numPr>
        <w:spacing w:before="240" w:after="240" w:line="360" w:lineRule="auto"/>
        <w:ind w:left="0" w:firstLine="0"/>
        <w:jc w:val="both"/>
        <w:rPr>
          <w:rFonts w:ascii="Palatino Linotype" w:hAnsi="Palatino Linotype" w:cs="Arial"/>
        </w:rPr>
      </w:pPr>
      <w:r>
        <w:rPr>
          <w:noProof/>
          <w:lang w:eastAsia="es-MX"/>
        </w:rPr>
        <mc:AlternateContent>
          <mc:Choice Requires="wps">
            <w:drawing>
              <wp:anchor distT="0" distB="0" distL="0" distR="0" simplePos="0" relativeHeight="38" behindDoc="0" locked="0" layoutInCell="1" allowOverlap="1" wp14:anchorId="52B6FBA5">
                <wp:simplePos x="0" y="0"/>
                <wp:positionH relativeFrom="margin">
                  <wp:posOffset>363855</wp:posOffset>
                </wp:positionH>
                <wp:positionV relativeFrom="paragraph">
                  <wp:posOffset>1986915</wp:posOffset>
                </wp:positionV>
                <wp:extent cx="5698490" cy="2545080"/>
                <wp:effectExtent l="38100" t="38100" r="76835" b="86360"/>
                <wp:wrapNone/>
                <wp:docPr id="2" name="Conector recto 1"/>
                <wp:cNvGraphicFramePr/>
                <a:graphic xmlns:a="http://schemas.openxmlformats.org/drawingml/2006/main">
                  <a:graphicData uri="http://schemas.microsoft.com/office/word/2010/wordprocessingShape">
                    <wps:wsp>
                      <wps:cNvCnPr/>
                      <wps:spPr>
                        <a:xfrm>
                          <a:off x="0" y="0"/>
                          <a:ext cx="5698440" cy="2543760"/>
                        </a:xfrm>
                        <a:prstGeom prst="line">
                          <a:avLst/>
                        </a:prstGeom>
                        <a:ln w="25560">
                          <a:solidFill>
                            <a:srgbClr val="4F81BD"/>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7.3pt,73.7pt" to="455.95pt,273.95pt" ID="Conector recto 1" stroked="t" style="position:absolute;mso-position-horizontal-relative:margin" wp14:anchorId="52B6FBA5">
                <v:stroke color="#4f81bd" weight="25560" joinstyle="round" endcap="flat"/>
                <v:fill o:detectmouseclick="t" on="false"/>
              </v:line>
            </w:pict>
          </mc:Fallback>
        </mc:AlternateContent>
      </w:r>
      <w:r>
        <w:rPr>
          <w:rFonts w:ascii="Palatino Linotype" w:hAnsi="Palatino Linotype" w:cs="Arial"/>
        </w:rPr>
        <w:t xml:space="preserve">De las constancias que obran en el </w:t>
      </w:r>
      <w:r>
        <w:rPr>
          <w:rFonts w:ascii="Palatino Linotype" w:hAnsi="Palatino Linotype" w:cs="Arial"/>
          <w:b/>
        </w:rPr>
        <w:t>SAIMEX</w:t>
      </w:r>
      <w:r>
        <w:rPr>
          <w:rFonts w:ascii="Palatino Linotype" w:hAnsi="Palatino Linotype" w:cs="Arial"/>
        </w:rPr>
        <w:t xml:space="preserve">, se desprende que, </w:t>
      </w:r>
      <w:r>
        <w:rPr>
          <w:rFonts w:ascii="Palatino Linotype" w:hAnsi="Palatino Linotype" w:cs="Arial"/>
          <w:b/>
        </w:rPr>
        <w:t>EL SUJETO O</w:t>
      </w:r>
      <w:r>
        <w:rPr>
          <w:rFonts w:ascii="Palatino Linotype" w:hAnsi="Palatino Linotype" w:cs="Arial"/>
          <w:b/>
        </w:rPr>
        <w:t>BLIGADO</w:t>
      </w:r>
      <w:r>
        <w:rPr>
          <w:rFonts w:ascii="Palatino Linotype" w:hAnsi="Palatino Linotype" w:cs="Arial"/>
        </w:rPr>
        <w:t>, en fecha trece de marzo de dos mil veinte, rindió su Informe Justificado en los siguientes términos:</w:t>
      </w:r>
    </w:p>
    <w:p w:rsidR="00880A06" w:rsidRDefault="00880A06">
      <w:pPr>
        <w:spacing w:before="240" w:after="240" w:line="360" w:lineRule="auto"/>
        <w:jc w:val="both"/>
        <w:rPr>
          <w:rFonts w:ascii="Palatino Linotype" w:hAnsi="Palatino Linotype" w:cs="Arial"/>
        </w:rPr>
      </w:pPr>
    </w:p>
    <w:p w:rsidR="00880A06" w:rsidRDefault="001673B8">
      <w:pPr>
        <w:spacing w:before="240" w:after="240" w:line="360" w:lineRule="auto"/>
        <w:jc w:val="both"/>
        <w:rPr>
          <w:rFonts w:ascii="Palatino Linotype" w:hAnsi="Palatino Linotype" w:cs="Arial"/>
        </w:rPr>
      </w:pPr>
      <w:r>
        <w:rPr>
          <w:noProof/>
          <w:lang w:eastAsia="es-MX"/>
        </w:rPr>
        <w:lastRenderedPageBreak/>
        <w:drawing>
          <wp:inline distT="0" distB="0" distL="0" distR="0" wp14:anchorId="038513D1" wp14:editId="22EAFA96">
            <wp:extent cx="5734050" cy="6934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278" t="18710" r="25995" b="11713"/>
                    <a:stretch/>
                  </pic:blipFill>
                  <pic:spPr bwMode="auto">
                    <a:xfrm>
                      <a:off x="0" y="0"/>
                      <a:ext cx="5734050" cy="69342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sidR="00616063">
        <w:rPr>
          <w:noProof/>
          <w:lang w:eastAsia="es-MX"/>
        </w:rPr>
        <w:lastRenderedPageBreak/>
        <w:drawing>
          <wp:inline distT="0" distB="0" distL="0" distR="0">
            <wp:extent cx="5698490" cy="69716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0"/>
                    <a:srcRect l="32976" t="15937" r="34199" b="5246"/>
                    <a:stretch>
                      <a:fillRect/>
                    </a:stretch>
                  </pic:blipFill>
                  <pic:spPr bwMode="auto">
                    <a:xfrm>
                      <a:off x="0" y="0"/>
                      <a:ext cx="5698490" cy="6971665"/>
                    </a:xfrm>
                    <a:prstGeom prst="rect">
                      <a:avLst/>
                    </a:prstGeom>
                  </pic:spPr>
                </pic:pic>
              </a:graphicData>
            </a:graphic>
          </wp:inline>
        </w:drawing>
      </w:r>
      <w:r w:rsidR="00616063">
        <w:rPr>
          <w:noProof/>
          <w:lang w:eastAsia="es-MX"/>
        </w:rPr>
        <w:lastRenderedPageBreak/>
        <w:drawing>
          <wp:inline distT="0" distB="0" distL="0" distR="0">
            <wp:extent cx="5749290" cy="69932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1"/>
                    <a:srcRect l="33226" t="16833" r="33819" b="6149"/>
                    <a:stretch>
                      <a:fillRect/>
                    </a:stretch>
                  </pic:blipFill>
                  <pic:spPr bwMode="auto">
                    <a:xfrm>
                      <a:off x="0" y="0"/>
                      <a:ext cx="5749290" cy="6993255"/>
                    </a:xfrm>
                    <a:prstGeom prst="rect">
                      <a:avLst/>
                    </a:prstGeom>
                  </pic:spPr>
                </pic:pic>
              </a:graphicData>
            </a:graphic>
          </wp:inline>
        </w:drawing>
      </w:r>
      <w:r w:rsidRPr="001673B8">
        <w:rPr>
          <w:noProof/>
          <w:lang w:eastAsia="es-MX"/>
        </w:rPr>
        <w:t xml:space="preserve"> </w:t>
      </w:r>
      <w:bookmarkStart w:id="3" w:name="_GoBack"/>
      <w:r>
        <w:rPr>
          <w:noProof/>
          <w:lang w:eastAsia="es-MX"/>
        </w:rPr>
        <w:lastRenderedPageBreak/>
        <w:drawing>
          <wp:inline distT="0" distB="0" distL="0" distR="0" wp14:anchorId="0F824068" wp14:editId="3CD7082F">
            <wp:extent cx="5657850" cy="70580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937" t="19002" r="26488" b="11713"/>
                    <a:stretch/>
                  </pic:blipFill>
                  <pic:spPr bwMode="auto">
                    <a:xfrm>
                      <a:off x="0" y="0"/>
                      <a:ext cx="5657850" cy="7058025"/>
                    </a:xfrm>
                    <a:prstGeom prst="rect">
                      <a:avLst/>
                    </a:prstGeom>
                    <a:ln>
                      <a:noFill/>
                    </a:ln>
                    <a:extLst>
                      <a:ext uri="{53640926-AAD7-44D8-BBD7-CCE9431645EC}">
                        <a14:shadowObscured xmlns:a14="http://schemas.microsoft.com/office/drawing/2010/main"/>
                      </a:ext>
                    </a:extLst>
                  </pic:spPr>
                </pic:pic>
              </a:graphicData>
            </a:graphic>
          </wp:inline>
        </w:drawing>
      </w:r>
      <w:bookmarkEnd w:id="3"/>
      <w:r>
        <w:rPr>
          <w:noProof/>
          <w:lang w:eastAsia="es-MX"/>
        </w:rPr>
        <w:t xml:space="preserve"> </w:t>
      </w:r>
      <w:r w:rsidR="00616063">
        <w:rPr>
          <w:noProof/>
          <w:lang w:eastAsia="es-MX"/>
        </w:rPr>
        <w:lastRenderedPageBreak/>
        <w:drawing>
          <wp:inline distT="0" distB="0" distL="0" distR="0">
            <wp:extent cx="5771515" cy="69126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3"/>
                    <a:srcRect l="32976" t="18628" r="33941" b="3668"/>
                    <a:stretch>
                      <a:fillRect/>
                    </a:stretch>
                  </pic:blipFill>
                  <pic:spPr bwMode="auto">
                    <a:xfrm>
                      <a:off x="0" y="0"/>
                      <a:ext cx="5771515" cy="6912610"/>
                    </a:xfrm>
                    <a:prstGeom prst="rect">
                      <a:avLst/>
                    </a:prstGeom>
                  </pic:spPr>
                </pic:pic>
              </a:graphicData>
            </a:graphic>
          </wp:inline>
        </w:drawing>
      </w:r>
    </w:p>
    <w:p w:rsidR="00880A06" w:rsidRDefault="00616063">
      <w:pPr>
        <w:spacing w:before="240" w:after="240" w:line="360" w:lineRule="auto"/>
        <w:jc w:val="both"/>
        <w:rPr>
          <w:rFonts w:ascii="Palatino Linotype" w:hAnsi="Palatino Linotype" w:cs="Arial"/>
        </w:rPr>
      </w:pPr>
      <w:r>
        <w:rPr>
          <w:rFonts w:ascii="Palatino Linotype" w:hAnsi="Palatino Linotype" w:cs="Arial"/>
        </w:rPr>
        <w:lastRenderedPageBreak/>
        <w:t>Cabe destacarse que no se hizo del conocimiento del particular el Informe Justificado; máxime, que esta Ponencia consideró que no se actual</w:t>
      </w:r>
      <w:r>
        <w:rPr>
          <w:rFonts w:ascii="Palatino Linotype" w:hAnsi="Palatino Linotype" w:cs="Arial"/>
        </w:rPr>
        <w:t>izó lo dispuesto por el artículo 185, fracción III de la Ley de Transparencia y Acceso a la Información Pública del Estado de México y Municipios.</w:t>
      </w:r>
    </w:p>
    <w:p w:rsidR="00880A06" w:rsidRDefault="00616063">
      <w:pPr>
        <w:numPr>
          <w:ilvl w:val="0"/>
          <w:numId w:val="1"/>
        </w:numPr>
        <w:spacing w:before="240" w:after="240" w:line="360" w:lineRule="auto"/>
        <w:ind w:left="0" w:firstLine="0"/>
        <w:jc w:val="both"/>
        <w:rPr>
          <w:rFonts w:ascii="Palatino Linotype" w:hAnsi="Palatino Linotype"/>
        </w:rPr>
      </w:pPr>
      <w:r>
        <w:rPr>
          <w:rFonts w:ascii="Palatino Linotype" w:hAnsi="Palatino Linotype"/>
        </w:rPr>
        <w:t xml:space="preserve">Por su parte, </w:t>
      </w:r>
      <w:r>
        <w:rPr>
          <w:rFonts w:ascii="Palatino Linotype" w:hAnsi="Palatino Linotype"/>
          <w:b/>
        </w:rPr>
        <w:t>EL RECURRENTE</w:t>
      </w:r>
      <w:r>
        <w:rPr>
          <w:rFonts w:ascii="Palatino Linotype" w:hAnsi="Palatino Linotype"/>
        </w:rPr>
        <w:t xml:space="preserve"> no presentó manifestaciones, alegatos ni ofreció los medios de prueba que a su de</w:t>
      </w:r>
      <w:r>
        <w:rPr>
          <w:rFonts w:ascii="Palatino Linotype" w:hAnsi="Palatino Linotype"/>
        </w:rPr>
        <w:t>recho convinieran.</w:t>
      </w:r>
    </w:p>
    <w:p w:rsidR="00880A06" w:rsidRDefault="00616063">
      <w:pPr>
        <w:numPr>
          <w:ilvl w:val="0"/>
          <w:numId w:val="1"/>
        </w:numPr>
        <w:spacing w:before="240" w:after="240"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en fecha cuatro de agosto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w:t>
      </w:r>
      <w:r>
        <w:rPr>
          <w:rFonts w:ascii="Palatino Linotype" w:hAnsi="Palatino Linotype" w:cs="Arial"/>
        </w:rPr>
        <w:t>d con lo establecido en el artículo 185, fracciones VI y VIII de la Ley de Transparencia y Acceso a la Información Pública del Estado de México y Municipios.</w:t>
      </w:r>
    </w:p>
    <w:p w:rsidR="00880A06" w:rsidRDefault="00616063">
      <w:pPr>
        <w:tabs>
          <w:tab w:val="left" w:pos="709"/>
        </w:tabs>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CONSIDERANDO</w:t>
      </w:r>
    </w:p>
    <w:p w:rsidR="00880A06" w:rsidRDefault="00616063">
      <w:pPr>
        <w:widowControl w:val="0"/>
        <w:numPr>
          <w:ilvl w:val="0"/>
          <w:numId w:val="2"/>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w:t>
      </w:r>
      <w:r>
        <w:rPr>
          <w:rFonts w:ascii="Palatino Linotype" w:hAnsi="Palatino Linotype"/>
        </w:rPr>
        <w:t>cción de Datos Personales del Estado de México y Municipios, es competente para conocer y resolver el presente recurso, conforme a lo dispuesto en el artículo 6, Apartado A de la Constitución Política de los Estados Unidos Mexicanos; el artículo 5, párrafo</w:t>
      </w:r>
      <w:r>
        <w:rPr>
          <w:rFonts w:ascii="Palatino Linotype" w:hAnsi="Palatino Linotype"/>
        </w:rPr>
        <w:t>s vigésimo segundo, vigésimo tercero y vigésimo cuarto, fracciones IV y V de la Constitución Política del Estado Libre y Soberano de México; los artículos 2, fracción II, 13, 29, 36, fracciones I y II, 176, 178, 179, 181, párrafo tercero y 185 de la Ley de</w:t>
      </w:r>
      <w:r>
        <w:rPr>
          <w:rFonts w:ascii="Palatino Linotype" w:hAnsi="Palatino Linotype"/>
        </w:rPr>
        <w:t xml:space="preserve"> Transparencia y Acceso a la Información Pública del Estado de México y Municipios, y los artículos 9, fracciones I y XXIV y 11 del Reglamento Interior del </w:t>
      </w:r>
      <w:r>
        <w:rPr>
          <w:rFonts w:ascii="Palatino Linotype" w:hAnsi="Palatino Linotype"/>
        </w:rPr>
        <w:lastRenderedPageBreak/>
        <w:t>Instituto de Transparencia, Acceso a la Información Pública y Protección de Datos Personales del Est</w:t>
      </w:r>
      <w:r>
        <w:rPr>
          <w:rFonts w:ascii="Palatino Linotype" w:hAnsi="Palatino Linotype"/>
        </w:rPr>
        <w:t>ado de México y Municipios</w:t>
      </w:r>
      <w:r>
        <w:rPr>
          <w:rFonts w:ascii="Palatino Linotype" w:hAnsi="Palatino Linotype" w:cs="Arial"/>
        </w:rPr>
        <w:t>.</w:t>
      </w:r>
    </w:p>
    <w:p w:rsidR="00880A06" w:rsidRDefault="00616063">
      <w:pPr>
        <w:widowControl w:val="0"/>
        <w:numPr>
          <w:ilvl w:val="0"/>
          <w:numId w:val="2"/>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t xml:space="preserve"> Interés.</w:t>
      </w:r>
      <w:r>
        <w:rPr>
          <w:rFonts w:ascii="Palatino Linotype" w:hAnsi="Palatino Linotype" w:cs="Arial"/>
        </w:rPr>
        <w:t xml:space="preserve"> El </w:t>
      </w:r>
      <w:r>
        <w:rPr>
          <w:rFonts w:ascii="Palatino Linotype" w:hAnsi="Palatino Linotype"/>
        </w:rPr>
        <w:t>recurso</w:t>
      </w:r>
      <w:r>
        <w:rPr>
          <w:rFonts w:ascii="Palatino Linotype" w:hAnsi="Palatino Linotype" w:cs="Arial"/>
        </w:rPr>
        <w:t xml:space="preserve"> de revisión fue </w:t>
      </w:r>
      <w:r>
        <w:rPr>
          <w:rFonts w:ascii="Palatino Linotype" w:hAnsi="Palatino Linotype"/>
        </w:rPr>
        <w:t>interpuesto</w:t>
      </w:r>
      <w:r>
        <w:rPr>
          <w:rFonts w:ascii="Palatino Linotype" w:hAnsi="Palatino Linotype" w:cs="Arial"/>
        </w:rPr>
        <w:t xml:space="preserve"> por parte legítima en atención a que fue </w:t>
      </w:r>
      <w:r>
        <w:rPr>
          <w:rFonts w:ascii="Palatino Linotype" w:hAnsi="Palatino Linotype"/>
        </w:rPr>
        <w:t>presentado</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información pública </w:t>
      </w:r>
      <w:r>
        <w:rPr>
          <w:rFonts w:ascii="Palatino Linotype" w:hAnsi="Palatino Linotype"/>
        </w:rPr>
        <w:t>número</w:t>
      </w:r>
      <w:r>
        <w:rPr>
          <w:rFonts w:ascii="Palatino Linotype" w:hAnsi="Palatino Linotype" w:cs="Arial"/>
        </w:rPr>
        <w:t xml:space="preserve"> </w:t>
      </w:r>
      <w:r>
        <w:rPr>
          <w:rFonts w:ascii="Palatino Linotype" w:hAnsi="Palatino Linotype"/>
          <w:b/>
          <w:bCs/>
        </w:rPr>
        <w:t>00020/IMIEM/IP/2020</w:t>
      </w:r>
      <w:r>
        <w:rPr>
          <w:rFonts w:ascii="Palatino Linotype" w:hAnsi="Palatino Linotype" w:cs="Arial"/>
          <w:lang w:val="es-ES_tradnl"/>
        </w:rPr>
        <w:t>.</w:t>
      </w:r>
    </w:p>
    <w:p w:rsidR="00880A06" w:rsidRDefault="00616063">
      <w:pPr>
        <w:widowControl w:val="0"/>
        <w:numPr>
          <w:ilvl w:val="0"/>
          <w:numId w:val="2"/>
        </w:numPr>
        <w:tabs>
          <w:tab w:val="left" w:pos="1701"/>
        </w:tabs>
        <w:spacing w:before="240" w:afterAutospacing="1" w:line="360" w:lineRule="auto"/>
        <w:ind w:left="0" w:right="49"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tuvo conocimiento de la respuesta impugnada; tal y como, lo prevé el artículo 178 de la Ley de Transparencia y Acces</w:t>
      </w:r>
      <w:r>
        <w:rPr>
          <w:rFonts w:ascii="Palatino Linotype" w:hAnsi="Palatino Linotype" w:cs="Arial"/>
        </w:rPr>
        <w:t>o a la Información Pública del Estado de México y Municipios, que establece:</w:t>
      </w:r>
    </w:p>
    <w:p w:rsidR="00880A06" w:rsidRDefault="00616063">
      <w:pPr>
        <w:spacing w:beforeAutospacing="1" w:afterAutospacing="1"/>
        <w:ind w:left="720" w:right="709"/>
        <w:contextualSpacing/>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 electrónicos, recurso de revisión ante el Instituto o a</w:t>
      </w:r>
      <w:r>
        <w:rPr>
          <w:rFonts w:ascii="Palatino Linotype" w:hAnsi="Palatino Linotype" w:cs="Arial"/>
          <w:i/>
          <w:sz w:val="22"/>
        </w:rPr>
        <w:t>nte la Unidad de Transparencia que haya conocido de la solicitud dentro de los quince días hábiles, siguientes a la fecha de la notificación de la respuesta.</w:t>
      </w:r>
    </w:p>
    <w:p w:rsidR="00880A06" w:rsidRDefault="00616063">
      <w:pPr>
        <w:spacing w:beforeAutospacing="1" w:afterAutospacing="1"/>
        <w:ind w:left="720" w:right="709"/>
        <w:contextualSpacing/>
        <w:jc w:val="both"/>
        <w:rPr>
          <w:rFonts w:ascii="Palatino Linotype" w:hAnsi="Palatino Linotype" w:cs="Arial"/>
          <w:i/>
          <w:sz w:val="22"/>
        </w:rPr>
      </w:pPr>
      <w:r>
        <w:rPr>
          <w:rFonts w:ascii="Palatino Linotype" w:hAnsi="Palatino Linotype" w:cs="Arial"/>
          <w:i/>
          <w:sz w:val="22"/>
        </w:rPr>
        <w:t>A falta de respuesta del sujeto obligado, dentro de los plazos establecidos en esta Ley, a una sol</w:t>
      </w:r>
      <w:r>
        <w:rPr>
          <w:rFonts w:ascii="Palatino Linotype" w:hAnsi="Palatino Linotype" w:cs="Arial"/>
          <w:i/>
          <w:sz w:val="22"/>
        </w:rPr>
        <w:t>icitud de acceso a la información pública, el recurso podrá ser interpuesto en cualquier momento, acompañado con el documento que pruebe la fecha en que presentó la solicitud.</w:t>
      </w:r>
    </w:p>
    <w:p w:rsidR="00880A06" w:rsidRDefault="00616063">
      <w:pPr>
        <w:spacing w:before="240" w:afterAutospacing="1"/>
        <w:ind w:left="720" w:right="709"/>
        <w:jc w:val="both"/>
        <w:rPr>
          <w:rFonts w:ascii="Palatino Linotype" w:hAnsi="Palatino Linotype" w:cs="Arial"/>
          <w:i/>
          <w:sz w:val="22"/>
        </w:rPr>
      </w:pPr>
      <w:r>
        <w:rPr>
          <w:rFonts w:ascii="Palatino Linotype" w:hAnsi="Palatino Linotype" w:cs="Arial"/>
          <w:i/>
          <w:sz w:val="22"/>
        </w:rPr>
        <w:t>En el caso de que se interponga ante la Unidad de Transparencia, ésta deberá rem</w:t>
      </w:r>
      <w:r>
        <w:rPr>
          <w:rFonts w:ascii="Palatino Linotype" w:hAnsi="Palatino Linotype" w:cs="Arial"/>
          <w:i/>
          <w:sz w:val="22"/>
        </w:rPr>
        <w:t xml:space="preserve">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w:t>
      </w:r>
    </w:p>
    <w:p w:rsidR="00880A06" w:rsidRDefault="00616063">
      <w:pPr>
        <w:spacing w:before="240" w:afterAutospacing="1" w:line="360" w:lineRule="auto"/>
        <w:jc w:val="both"/>
        <w:rPr>
          <w:rFonts w:ascii="Palatino Linotype" w:hAnsi="Palatino Linotype"/>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 respuesta a la solicitud de acceso a la información pública el día</w:t>
      </w:r>
      <w:r>
        <w:rPr>
          <w:rFonts w:ascii="Palatino Linotype" w:hAnsi="Palatino Linotype" w:cs="Arial"/>
          <w:b/>
        </w:rPr>
        <w:t xml:space="preserve"> seis de marzo de dos mil veinte</w:t>
      </w:r>
      <w:r>
        <w:rPr>
          <w:rFonts w:ascii="Palatino Linotype" w:hAnsi="Palatino Linotype" w:cs="Arial"/>
        </w:rPr>
        <w:t>; así,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respectivo recurso de revisión, transcurrió del </w:t>
      </w:r>
      <w:r>
        <w:rPr>
          <w:rFonts w:ascii="Palatino Linotype" w:hAnsi="Palatino Linotype" w:cs="Arial"/>
          <w:b/>
        </w:rPr>
        <w:t>diez de marzo al once de agosto de dos mil veinte</w:t>
      </w:r>
      <w:r>
        <w:rPr>
          <w:rFonts w:ascii="Palatino Linotype" w:hAnsi="Palatino Linotype" w:cs="Arial"/>
        </w:rPr>
        <w:t>, sin contemplar en el cómputo los dí</w:t>
      </w:r>
      <w:r>
        <w:rPr>
          <w:rFonts w:ascii="Palatino Linotype" w:hAnsi="Palatino Linotype" w:cs="Arial"/>
        </w:rPr>
        <w:t xml:space="preserve">as </w:t>
      </w:r>
      <w:r>
        <w:rPr>
          <w:rFonts w:ascii="Palatino Linotype" w:hAnsi="Palatino Linotype" w:cs="Arial"/>
        </w:rPr>
        <w:lastRenderedPageBreak/>
        <w:t xml:space="preserve">catorce, quince, veintiuno y veintidós de marzo, uno, dos, ocho y nueve de agosto de dos mil veinte, por corresponder a sábados y domingos, considerados como días inhábiles, en términos del artículo 3, fracción X de la </w:t>
      </w:r>
      <w:r>
        <w:rPr>
          <w:rFonts w:ascii="Palatino Linotype" w:hAnsi="Palatino Linotype"/>
        </w:rPr>
        <w:t>Ley de Transparencia y Acceso a la</w:t>
      </w:r>
      <w:r>
        <w:rPr>
          <w:rFonts w:ascii="Palatino Linotype" w:hAnsi="Palatino Linotype"/>
        </w:rPr>
        <w:t xml:space="preserve"> Información Pública del Estado de México y Municipios; así como, los días nueve de marzo y del veintitrés de marzo al diecisiete de julio de dos mil veinte; así como, del veinte al treinta y uno de julio de dos mil veinte, por ser considerados como suspen</w:t>
      </w:r>
      <w:r>
        <w:rPr>
          <w:rFonts w:ascii="Palatino Linotype" w:hAnsi="Palatino Linotype"/>
        </w:rPr>
        <w:t>sión de labores, de conformidad con el Acuerdo de Pleno, de fecha cinco de marzo de dos mil veinte, por el que se acordó que el día nueve de marzo de dos mil veinte no corrieran los términos para el trámite y desahogo de los procedimientos, en materia de a</w:t>
      </w:r>
      <w:r>
        <w:rPr>
          <w:rFonts w:ascii="Palatino Linotype" w:hAnsi="Palatino Linotype"/>
        </w:rPr>
        <w:t>cceso a la información pública y protección de datos personales; derivado de los Acuerdos tomados en torno a la epidemia de la enfermedad generada por el virus SARS-CoV-2 (COVID-19), que originó la emergencia sanitaria por causa de fuerza mayor y medidas d</w:t>
      </w:r>
      <w:r>
        <w:rPr>
          <w:rFonts w:ascii="Palatino Linotype" w:hAnsi="Palatino Linotype"/>
        </w:rPr>
        <w:t xml:space="preserve">e seguridad, aprobados por el Pleno de este Instituto y, de conformidad con el Calendario Oficial en Materia de Transparencia, Acceso a la Información Pública y Protección de Datos Personales para el año dos mil diecinueve y enero dos mil veinte, aprobado </w:t>
      </w:r>
      <w:r>
        <w:rPr>
          <w:rFonts w:ascii="Palatino Linotype" w:hAnsi="Palatino Linotype"/>
        </w:rPr>
        <w:t>por el Pleno de este Instituto, el diecinueve de diciembre de dos mil dieciocho.</w:t>
      </w:r>
    </w:p>
    <w:p w:rsidR="00880A06" w:rsidRDefault="00616063">
      <w:pPr>
        <w:spacing w:beforeAutospacing="1" w:afterAutospacing="1" w:line="360" w:lineRule="auto"/>
        <w:jc w:val="both"/>
        <w:rPr>
          <w:rFonts w:ascii="Palatino Linotype" w:hAnsi="Palatino Linotype" w:cs="Arial"/>
        </w:rPr>
      </w:pPr>
      <w:r>
        <w:rPr>
          <w:rFonts w:ascii="Palatino Linotype" w:hAnsi="Palatino Linotype" w:cs="Arial"/>
        </w:rPr>
        <w:t xml:space="preserve">Si bien es cierto que, </w:t>
      </w:r>
      <w:r>
        <w:rPr>
          <w:rFonts w:ascii="Palatino Linotype" w:hAnsi="Palatino Linotype" w:cs="Arial"/>
          <w:b/>
          <w:color w:val="000000"/>
        </w:rPr>
        <w:t>EL RECURRENTE</w:t>
      </w:r>
      <w:r>
        <w:rPr>
          <w:rFonts w:ascii="Palatino Linotype" w:hAnsi="Palatino Linotype" w:cs="Arial"/>
        </w:rPr>
        <w:t xml:space="preserve"> presentó el medio de impugnación al rubro anotado, el mismo día en que se le notificó la respuesta impugnada; no menos cierto es que, ello</w:t>
      </w:r>
      <w:r>
        <w:rPr>
          <w:rFonts w:ascii="Palatino Linotype" w:hAnsi="Palatino Linotype" w:cs="Arial"/>
        </w:rPr>
        <w:t xml:space="preserve"> no implica que su interposición sea extemporánea, en atención a que el artículo 178 de la Ley de Transparencia y Acceso a la Información Pública del Estado de México y Municipios, únicamente establece que el recurso de revisión se ha de promover dentro de</w:t>
      </w:r>
      <w:r>
        <w:rPr>
          <w:rFonts w:ascii="Palatino Linotype" w:hAnsi="Palatino Linotype" w:cs="Arial"/>
        </w:rPr>
        <w:t xml:space="preserve"> los quince días hábiles siguientes de aquel en que </w:t>
      </w:r>
      <w:r>
        <w:rPr>
          <w:rFonts w:ascii="Palatino Linotype" w:hAnsi="Palatino Linotype" w:cs="Arial"/>
          <w:b/>
          <w:color w:val="000000"/>
        </w:rPr>
        <w:t xml:space="preserve">EL </w:t>
      </w:r>
      <w:r>
        <w:rPr>
          <w:rFonts w:ascii="Palatino Linotype" w:hAnsi="Palatino Linotype" w:cs="Arial"/>
          <w:b/>
          <w:color w:val="000000"/>
        </w:rPr>
        <w:lastRenderedPageBreak/>
        <w:t>RECURRENTE</w:t>
      </w:r>
      <w:r>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w:t>
      </w:r>
      <w:r>
        <w:rPr>
          <w:rFonts w:ascii="Palatino Linotype" w:hAnsi="Palatino Linotype" w:cs="Arial"/>
        </w:rPr>
        <w:t>sión el mismo día en que se notifica, éste resulte extemporáneo.</w:t>
      </w:r>
    </w:p>
    <w:p w:rsidR="00880A06" w:rsidRDefault="00616063">
      <w:pPr>
        <w:spacing w:beforeAutospacing="1" w:afterAutospacing="1" w:line="360" w:lineRule="auto"/>
        <w:jc w:val="both"/>
        <w:rPr>
          <w:rFonts w:ascii="Palatino Linotype" w:hAnsi="Palatino Linotype" w:cs="Arial"/>
        </w:rPr>
      </w:pPr>
      <w:r>
        <w:rPr>
          <w:rFonts w:ascii="Palatino Linotype" w:hAnsi="Palatino Linotype" w:cs="Arial"/>
        </w:rPr>
        <w:t>En sustento a lo anterior, es aplicable por analogía la Jurisprudencia número 1a./J. 41/2015 (10a.), Décima época, sustentada por la Primera Sala de la Suprema Corte de Justicia de la Nación,</w:t>
      </w:r>
      <w:r>
        <w:rPr>
          <w:rFonts w:ascii="Palatino Linotype" w:hAnsi="Palatino Linotype" w:cs="Arial"/>
        </w:rPr>
        <w:t xml:space="preserve"> visible en la página 569, libro 19, tomo I, de la Gaceta del Semanario Judicial de la Federación, del mes de junio de 2015, cuyo rubro y texto esgrimen:</w:t>
      </w:r>
    </w:p>
    <w:p w:rsidR="00880A06" w:rsidRDefault="00616063">
      <w:pPr>
        <w:ind w:left="851" w:right="902"/>
        <w:jc w:val="both"/>
        <w:rPr>
          <w:rFonts w:ascii="Palatino Linotype" w:hAnsi="Palatino Linotype" w:cs="Arial"/>
          <w:b/>
          <w:i/>
          <w:sz w:val="22"/>
          <w:szCs w:val="22"/>
        </w:rPr>
      </w:pPr>
      <w:r>
        <w:rPr>
          <w:rFonts w:ascii="Palatino Linotype" w:hAnsi="Palatino Linotype" w:cs="Arial"/>
          <w:i/>
          <w:sz w:val="22"/>
          <w:szCs w:val="22"/>
        </w:rPr>
        <w:t>“</w:t>
      </w:r>
      <w:r>
        <w:rPr>
          <w:rFonts w:ascii="Palatino Linotype" w:hAnsi="Palatino Linotype" w:cs="Arial"/>
          <w:b/>
          <w:i/>
          <w:sz w:val="22"/>
          <w:szCs w:val="22"/>
        </w:rPr>
        <w:t xml:space="preserve">RECURSO DE RECLAMACIÓN. SU INTERPOSICIÓN NO ES EXTEMPORÁNEA SI SE </w:t>
      </w:r>
      <w:r>
        <w:rPr>
          <w:rFonts w:ascii="Palatino Linotype" w:hAnsi="Palatino Linotype" w:cs="Arial"/>
          <w:b/>
          <w:i/>
          <w:color w:val="000000"/>
          <w:sz w:val="22"/>
          <w:szCs w:val="22"/>
        </w:rPr>
        <w:t>REALIZA</w:t>
      </w:r>
      <w:r>
        <w:rPr>
          <w:rFonts w:ascii="Palatino Linotype" w:hAnsi="Palatino Linotype" w:cs="Arial"/>
          <w:b/>
          <w:i/>
          <w:sz w:val="22"/>
          <w:szCs w:val="22"/>
        </w:rPr>
        <w:t xml:space="preserve"> ANTES DE QUE INICIE EL PLAZO PARA HACERLO.</w:t>
      </w:r>
    </w:p>
    <w:p w:rsidR="00880A06" w:rsidRDefault="00616063">
      <w:pPr>
        <w:ind w:left="851" w:right="902"/>
        <w:jc w:val="both"/>
        <w:rPr>
          <w:rFonts w:ascii="Palatino Linotype" w:hAnsi="Palatino Linotype" w:cs="Arial"/>
          <w:i/>
          <w:sz w:val="22"/>
          <w:szCs w:val="22"/>
        </w:rPr>
      </w:pPr>
      <w:r>
        <w:rPr>
          <w:rFonts w:ascii="Palatino Linotype" w:hAnsi="Palatino Linotype" w:cs="Arial"/>
          <w:i/>
          <w:sz w:val="22"/>
          <w:szCs w:val="22"/>
        </w:rPr>
        <w:t xml:space="preserve">Conforme al artículo 104, párrafo segundo, de la Ley de Amparo, el recurso de reclamación podrá interponerse por </w:t>
      </w:r>
      <w:r>
        <w:rPr>
          <w:rFonts w:ascii="Palatino Linotype" w:hAnsi="Palatino Linotype" w:cs="Arial"/>
          <w:i/>
          <w:color w:val="000000"/>
          <w:sz w:val="22"/>
          <w:szCs w:val="22"/>
        </w:rPr>
        <w:t>cualquiera</w:t>
      </w:r>
      <w:r>
        <w:rPr>
          <w:rFonts w:ascii="Palatino Linotype" w:hAnsi="Palatino Linotype" w:cs="Arial"/>
          <w:i/>
          <w:sz w:val="22"/>
          <w:szCs w:val="22"/>
        </w:rPr>
        <w:t xml:space="preserve"> de las partes, por escrito, dentro del término de tres días siguientes al en que surta e</w:t>
      </w:r>
      <w:r>
        <w:rPr>
          <w:rFonts w:ascii="Palatino Linotype" w:hAnsi="Palatino Linotype" w:cs="Arial"/>
          <w:i/>
          <w:sz w:val="22"/>
          <w:szCs w:val="22"/>
        </w:rPr>
        <w:t>fectos la notificación de la resolución impugnada. Ahora bien, dicho numeral sólo refiere que el aludido medio de defensa no puede hacerse valer después de tres días, por tanto, no impide que el escrito correspondiente se presente antes de iniciado ese tér</w:t>
      </w:r>
      <w:r>
        <w:rPr>
          <w:rFonts w:ascii="Palatino Linotype" w:hAnsi="Palatino Linotype" w:cs="Arial"/>
          <w:i/>
          <w:sz w:val="22"/>
          <w:szCs w:val="22"/>
        </w:rPr>
        <w:t>mino. De ahí que si dicho recurso se interpone antes de que inicie el plazo para hacerlo, su presentación no es extemporánea.</w:t>
      </w:r>
    </w:p>
    <w:p w:rsidR="00880A06" w:rsidRDefault="00616063">
      <w:pPr>
        <w:ind w:left="851" w:right="902"/>
        <w:jc w:val="both"/>
        <w:rPr>
          <w:rFonts w:ascii="Palatino Linotype" w:hAnsi="Palatino Linotype" w:cs="Arial"/>
          <w:i/>
          <w:sz w:val="22"/>
          <w:szCs w:val="22"/>
        </w:rPr>
      </w:pPr>
      <w:r>
        <w:rPr>
          <w:rFonts w:ascii="Palatino Linotype" w:hAnsi="Palatino Linotype" w:cs="Arial"/>
          <w:i/>
          <w:sz w:val="22"/>
          <w:szCs w:val="22"/>
        </w:rPr>
        <w:t>Recurso de reclamación 953/2013. 9 de abril de 2014. Cinco votos de los Ministros Arturo Zaldívar Lelo de Larrea, José Ramón Cossí</w:t>
      </w:r>
      <w:r>
        <w:rPr>
          <w:rFonts w:ascii="Palatino Linotype" w:hAnsi="Palatino Linotype" w:cs="Arial"/>
          <w:i/>
          <w:sz w:val="22"/>
          <w:szCs w:val="22"/>
        </w:rPr>
        <w:t>o Díaz, Alfredo Gutiérrez Ortiz Mena, Olga Sánchez Cordero de García Villegas y Jorge Mario Pardo Rebolledo. Ponente: Arturo Zaldívar Lelo de Larrea. Secretaria: Carmina Cortés Rodríguez.</w:t>
      </w:r>
    </w:p>
    <w:p w:rsidR="00880A06" w:rsidRDefault="00616063">
      <w:pPr>
        <w:ind w:left="851" w:right="902"/>
        <w:jc w:val="both"/>
        <w:rPr>
          <w:rFonts w:ascii="Palatino Linotype" w:hAnsi="Palatino Linotype" w:cs="Arial"/>
          <w:i/>
          <w:sz w:val="22"/>
          <w:szCs w:val="22"/>
        </w:rPr>
      </w:pPr>
      <w:r>
        <w:rPr>
          <w:rFonts w:ascii="Palatino Linotype" w:hAnsi="Palatino Linotype" w:cs="Arial"/>
          <w:i/>
          <w:sz w:val="22"/>
          <w:szCs w:val="22"/>
        </w:rPr>
        <w:t>Recurso de reclamación 1067/2014. Raúl Rodríguez Cervantes. 28 de en</w:t>
      </w:r>
      <w:r>
        <w:rPr>
          <w:rFonts w:ascii="Palatino Linotype" w:hAnsi="Palatino Linotype" w:cs="Arial"/>
          <w:i/>
          <w:sz w:val="22"/>
          <w:szCs w:val="22"/>
        </w:rPr>
        <w:t>ero de 2015. Cinco votos de los Ministros Arturo Zaldívar Lelo de Larrea, José Ramón Cossío Díaz, Jorge Mario Pardo Rebolledo, Olga Sánchez Cordero de García Villegas y Alfredo Gutiérrez Ortiz Mena. Ponente: Alfredo Gutiérrez Ortiz Mena. Secretaria: Cecili</w:t>
      </w:r>
      <w:r>
        <w:rPr>
          <w:rFonts w:ascii="Palatino Linotype" w:hAnsi="Palatino Linotype" w:cs="Arial"/>
          <w:i/>
          <w:sz w:val="22"/>
          <w:szCs w:val="22"/>
        </w:rPr>
        <w:t>a Armengol Alonso.</w:t>
      </w:r>
    </w:p>
    <w:p w:rsidR="00880A06" w:rsidRDefault="00616063">
      <w:pPr>
        <w:ind w:left="851" w:right="902"/>
        <w:jc w:val="both"/>
        <w:rPr>
          <w:rFonts w:ascii="Palatino Linotype" w:hAnsi="Palatino Linotype" w:cs="Arial"/>
          <w:i/>
          <w:sz w:val="22"/>
          <w:szCs w:val="22"/>
        </w:rPr>
      </w:pPr>
      <w:r>
        <w:rPr>
          <w:rFonts w:ascii="Palatino Linotype" w:hAnsi="Palatino Linotype" w:cs="Arial"/>
          <w:i/>
          <w:sz w:val="22"/>
          <w:szCs w:val="22"/>
        </w:rPr>
        <w:t xml:space="preserve">Recurso de reclamación 895/2014. 18 de febrero de 2015. Cinco votos de los Ministros Arturo Zaldívar Lelo de Larrea, José Ramón Cossío Díaz, Jorge Mario </w:t>
      </w:r>
      <w:r>
        <w:rPr>
          <w:rFonts w:ascii="Palatino Linotype" w:hAnsi="Palatino Linotype" w:cs="Arial"/>
          <w:i/>
          <w:sz w:val="22"/>
          <w:szCs w:val="22"/>
        </w:rPr>
        <w:lastRenderedPageBreak/>
        <w:t>Pardo Rebolledo, Olga Sánchez Cordero de García Villegas y Alfredo Gutiérrez Ortiz M</w:t>
      </w:r>
      <w:r>
        <w:rPr>
          <w:rFonts w:ascii="Palatino Linotype" w:hAnsi="Palatino Linotype" w:cs="Arial"/>
          <w:i/>
          <w:sz w:val="22"/>
          <w:szCs w:val="22"/>
        </w:rPr>
        <w:t>ena. Ponente: José Ramón Cossío Díaz. Secretario: Rodrigo Montes de Oca Arboleya.</w:t>
      </w:r>
    </w:p>
    <w:p w:rsidR="00880A06" w:rsidRDefault="00616063">
      <w:pPr>
        <w:ind w:left="851" w:right="902"/>
        <w:jc w:val="both"/>
        <w:rPr>
          <w:rFonts w:ascii="Palatino Linotype" w:hAnsi="Palatino Linotype" w:cs="Arial"/>
          <w:i/>
          <w:sz w:val="22"/>
          <w:szCs w:val="22"/>
        </w:rPr>
      </w:pPr>
      <w:r>
        <w:rPr>
          <w:rFonts w:ascii="Palatino Linotype" w:hAnsi="Palatino Linotype" w:cs="Arial"/>
          <w:i/>
          <w:sz w:val="22"/>
          <w:szCs w:val="22"/>
        </w:rPr>
        <w:t>Recurso de reclamación 1164/2014. Paula Abascal Valdez. 18 de febrero de 2015. Cinco votos de los Ministros Arturo Zaldívar Lelo de Larrea, José Ramón Cossío Díaz, Jorge Mari</w:t>
      </w:r>
      <w:r>
        <w:rPr>
          <w:rFonts w:ascii="Palatino Linotype" w:hAnsi="Palatino Linotype" w:cs="Arial"/>
          <w:i/>
          <w:sz w:val="22"/>
          <w:szCs w:val="22"/>
        </w:rPr>
        <w:t>o Pardo Rebolledo, Olga Sánchez Cordero de García Villegas y Alfredo Gutiérrez Ortiz Mena. Ponente: José Ramón Cossío Díaz. Secretaria: Lorena Goslinga Remírez.</w:t>
      </w:r>
    </w:p>
    <w:p w:rsidR="00880A06" w:rsidRDefault="00616063">
      <w:pPr>
        <w:ind w:left="851" w:right="902"/>
        <w:jc w:val="both"/>
        <w:rPr>
          <w:rFonts w:ascii="Palatino Linotype" w:hAnsi="Palatino Linotype" w:cs="Arial"/>
          <w:i/>
          <w:sz w:val="22"/>
          <w:szCs w:val="22"/>
        </w:rPr>
      </w:pPr>
      <w:r>
        <w:rPr>
          <w:rFonts w:ascii="Palatino Linotype" w:hAnsi="Palatino Linotype" w:cs="Arial"/>
          <w:i/>
          <w:sz w:val="22"/>
          <w:szCs w:val="22"/>
        </w:rPr>
        <w:t>Recurso de reclamación 1231/2014. 18 de marzo de 2015. Cinco votos de los Ministros Arturo Zald</w:t>
      </w:r>
      <w:r>
        <w:rPr>
          <w:rFonts w:ascii="Palatino Linotype" w:hAnsi="Palatino Linotype" w:cs="Arial"/>
          <w:i/>
          <w:sz w:val="22"/>
          <w:szCs w:val="22"/>
        </w:rPr>
        <w:t>ívar Lelo de Larrea, José Ramón Cossío Díaz, Jorge Mario Pardo Rebolledo, Olga Sánchez Cordero de García Villegas y Alfredo Gutiérrez Ortiz Mena. Ponente: Arturo Zaldívar Lelo de Larrea. Secretario: Saúl Armando Patiño Lara.</w:t>
      </w:r>
    </w:p>
    <w:p w:rsidR="00880A06" w:rsidRDefault="00616063">
      <w:pPr>
        <w:ind w:left="851" w:right="902"/>
        <w:jc w:val="both"/>
        <w:rPr>
          <w:rFonts w:ascii="Palatino Linotype" w:hAnsi="Palatino Linotype" w:cs="Arial"/>
          <w:i/>
          <w:sz w:val="22"/>
          <w:szCs w:val="22"/>
        </w:rPr>
      </w:pPr>
      <w:r>
        <w:rPr>
          <w:rFonts w:ascii="Palatino Linotype" w:hAnsi="Palatino Linotype" w:cs="Arial"/>
          <w:i/>
          <w:sz w:val="22"/>
          <w:szCs w:val="22"/>
        </w:rPr>
        <w:t>Tesis de jurisprudencia 41/2015</w:t>
      </w:r>
      <w:r>
        <w:rPr>
          <w:rFonts w:ascii="Palatino Linotype" w:hAnsi="Palatino Linotype" w:cs="Arial"/>
          <w:i/>
          <w:sz w:val="22"/>
          <w:szCs w:val="22"/>
        </w:rPr>
        <w:t xml:space="preserve"> (10a.). Aprobada por la Primera Sala de este Alto Tribunal, en sesión privada de veintisiete de mayo de dos mil quince.</w:t>
      </w:r>
    </w:p>
    <w:p w:rsidR="00880A06" w:rsidRDefault="00616063">
      <w:pPr>
        <w:ind w:left="851" w:right="902"/>
        <w:jc w:val="both"/>
        <w:rPr>
          <w:rFonts w:ascii="Palatino Linotype" w:hAnsi="Palatino Linotype" w:cs="Arial"/>
          <w:i/>
          <w:sz w:val="22"/>
          <w:szCs w:val="22"/>
        </w:rPr>
      </w:pPr>
      <w:r>
        <w:rPr>
          <w:rFonts w:ascii="Palatino Linotype" w:hAnsi="Palatino Linotype" w:cs="Arial"/>
          <w:i/>
          <w:sz w:val="22"/>
          <w:szCs w:val="22"/>
        </w:rPr>
        <w:t>Esta tesis se publicó el viernes 19 de junio de 2015 a las 9:30 horas en el Semanario Judicial de la Federación y, por ende, se conside</w:t>
      </w:r>
      <w:r>
        <w:rPr>
          <w:rFonts w:ascii="Palatino Linotype" w:hAnsi="Palatino Linotype" w:cs="Arial"/>
          <w:i/>
          <w:sz w:val="22"/>
          <w:szCs w:val="22"/>
        </w:rPr>
        <w:t>ra de aplicación obligatoria a partir del lunes 22 de junio de 2015, para los efectos previstos en el punto séptimo del Acuerdo General Plenario 19/2013.” (Sic)</w:t>
      </w:r>
    </w:p>
    <w:p w:rsidR="00880A06" w:rsidRDefault="00616063">
      <w:pPr>
        <w:spacing w:before="240" w:afterAutospacing="1" w:line="360" w:lineRule="auto"/>
        <w:jc w:val="both"/>
        <w:rPr>
          <w:rFonts w:ascii="Palatino Linotype" w:hAnsi="Palatino Linotype" w:cs="Arial"/>
        </w:rPr>
      </w:pPr>
      <w:r>
        <w:rPr>
          <w:rFonts w:ascii="Palatino Linotype" w:hAnsi="Palatino Linotype" w:cs="Arial"/>
        </w:rPr>
        <w:t>En ese tenor, si el recurso de revisión que nos ocupa, se interpuso el</w:t>
      </w:r>
      <w:r>
        <w:rPr>
          <w:rFonts w:ascii="Palatino Linotype" w:hAnsi="Palatino Linotype" w:cs="Arial"/>
          <w:b/>
        </w:rPr>
        <w:t xml:space="preserve"> </w:t>
      </w:r>
      <w:r>
        <w:rPr>
          <w:rFonts w:ascii="Palatino Linotype" w:hAnsi="Palatino Linotype" w:cs="Arial"/>
          <w:b/>
          <w:u w:val="single"/>
        </w:rPr>
        <w:t>seis de marzo de dos mil</w:t>
      </w:r>
      <w:r>
        <w:rPr>
          <w:rFonts w:ascii="Palatino Linotype" w:hAnsi="Palatino Linotype" w:cs="Arial"/>
          <w:b/>
          <w:u w:val="single"/>
        </w:rPr>
        <w:t xml:space="preserve"> veinte</w:t>
      </w:r>
      <w:r>
        <w:rPr>
          <w:rFonts w:ascii="Palatino Linotype" w:hAnsi="Palatino Linotype" w:cs="Arial"/>
        </w:rPr>
        <w:t>, éste se encuentra dentro de los márgenes temporales previstos en el precepto legal citado en el párrafo anterior y, por tanto, su interposición se considera oportuna.</w:t>
      </w:r>
    </w:p>
    <w:p w:rsidR="00880A06" w:rsidRDefault="00616063">
      <w:pPr>
        <w:widowControl w:val="0"/>
        <w:numPr>
          <w:ilvl w:val="0"/>
          <w:numId w:val="2"/>
        </w:numPr>
        <w:tabs>
          <w:tab w:val="left" w:pos="1701"/>
          <w:tab w:val="left" w:pos="1843"/>
        </w:tabs>
        <w:spacing w:beforeAutospacing="1" w:line="360" w:lineRule="auto"/>
        <w:ind w:left="0" w:firstLine="0"/>
        <w:jc w:val="both"/>
        <w:rPr>
          <w:rFonts w:ascii="Palatino Linotype" w:hAnsi="Palatino Linotype"/>
          <w:lang w:val="es-ES"/>
        </w:rPr>
      </w:pPr>
      <w:r>
        <w:rPr>
          <w:rFonts w:ascii="Palatino Linotype" w:hAnsi="Palatino Linotype" w:cs="Arial"/>
          <w:b/>
          <w:lang w:val="es-ES"/>
        </w:rPr>
        <w:t>Procedibilidad.</w:t>
      </w:r>
      <w:r>
        <w:rPr>
          <w:rFonts w:ascii="Palatino Linotype" w:hAnsi="Palatino Linotype" w:cs="Arial"/>
          <w:lang w:val="es-ES"/>
        </w:rPr>
        <w:t xml:space="preserve"> </w:t>
      </w:r>
      <w:r>
        <w:rPr>
          <w:rFonts w:ascii="Palatino Linotype" w:hAnsi="Palatino Linotype" w:cs="Arial"/>
        </w:rPr>
        <w:t xml:space="preserve">Del análisis efectuado, se advierte la procedibilidad del </w:t>
      </w:r>
      <w:r>
        <w:rPr>
          <w:rFonts w:ascii="Palatino Linotype" w:hAnsi="Palatino Linotype" w:cs="Arial"/>
        </w:rPr>
        <w:t>presente Recurso de Revisión, en razón de acreditación plena de todos y cada uno de los elementos formales exigidos por el artículo 180 de la Ley de Transparencia y Acceso a la Información Pública</w:t>
      </w:r>
      <w:r>
        <w:rPr>
          <w:rFonts w:ascii="Palatino Linotype" w:hAnsi="Palatino Linotype"/>
        </w:rPr>
        <w:t xml:space="preserve"> </w:t>
      </w:r>
      <w:r>
        <w:rPr>
          <w:rFonts w:ascii="Palatino Linotype" w:hAnsi="Palatino Linotype" w:cs="Arial"/>
        </w:rPr>
        <w:t>del</w:t>
      </w:r>
      <w:r>
        <w:rPr>
          <w:rFonts w:ascii="Palatino Linotype" w:hAnsi="Palatino Linotype"/>
        </w:rPr>
        <w:t xml:space="preserve"> </w:t>
      </w:r>
      <w:r>
        <w:rPr>
          <w:rFonts w:ascii="Palatino Linotype" w:hAnsi="Palatino Linotype" w:cs="Arial"/>
        </w:rPr>
        <w:t>Estado</w:t>
      </w:r>
      <w:r>
        <w:rPr>
          <w:rFonts w:ascii="Palatino Linotype" w:hAnsi="Palatino Linotype"/>
        </w:rPr>
        <w:t xml:space="preserve"> de México y Municipios, en atención a que fue pr</w:t>
      </w:r>
      <w:r>
        <w:rPr>
          <w:rFonts w:ascii="Palatino Linotype" w:hAnsi="Palatino Linotype"/>
        </w:rPr>
        <w:t xml:space="preserve">esentado mediante el formato visible en </w:t>
      </w:r>
      <w:r>
        <w:rPr>
          <w:rFonts w:ascii="Palatino Linotype" w:hAnsi="Palatino Linotype"/>
          <w:b/>
        </w:rPr>
        <w:t>EL SAIMEX</w:t>
      </w:r>
      <w:r>
        <w:rPr>
          <w:rFonts w:ascii="Palatino Linotype" w:hAnsi="Palatino Linotype"/>
        </w:rPr>
        <w:t>.</w:t>
      </w:r>
    </w:p>
    <w:p w:rsidR="00880A06" w:rsidRDefault="00616063">
      <w:pPr>
        <w:widowControl w:val="0"/>
        <w:numPr>
          <w:ilvl w:val="0"/>
          <w:numId w:val="2"/>
        </w:numPr>
        <w:tabs>
          <w:tab w:val="left" w:pos="1701"/>
          <w:tab w:val="left" w:pos="1843"/>
        </w:tabs>
        <w:spacing w:before="360" w:after="240" w:line="360" w:lineRule="auto"/>
        <w:ind w:left="0" w:firstLine="0"/>
        <w:jc w:val="both"/>
        <w:rPr>
          <w:rFonts w:ascii="Palatino Linotype" w:eastAsia="Calibri" w:hAnsi="Palatino Linotype" w:cs="Arial"/>
        </w:rPr>
      </w:pPr>
      <w:r>
        <w:rPr>
          <w:rFonts w:ascii="Palatino Linotype" w:hAnsi="Palatino Linotype" w:cs="Arial"/>
          <w:b/>
        </w:rPr>
        <w:t>Estudio y resolución del asunto</w:t>
      </w:r>
      <w:r>
        <w:rPr>
          <w:rFonts w:ascii="Palatino Linotype" w:hAnsi="Palatino Linotype" w:cs="Arial"/>
          <w:b/>
          <w:color w:val="000000" w:themeColor="text1"/>
        </w:rPr>
        <w:t xml:space="preserve">. </w:t>
      </w:r>
      <w:r>
        <w:rPr>
          <w:rFonts w:ascii="Palatino Linotype" w:hAnsi="Palatino Linotype" w:cs="Arial"/>
          <w:color w:val="000000" w:themeColor="text1"/>
        </w:rPr>
        <w:t xml:space="preserve">Tal y como quedó precisado en los </w:t>
      </w:r>
      <w:r>
        <w:rPr>
          <w:rFonts w:ascii="Palatino Linotype" w:hAnsi="Palatino Linotype" w:cs="Arial"/>
          <w:color w:val="000000" w:themeColor="text1"/>
        </w:rPr>
        <w:lastRenderedPageBreak/>
        <w:t xml:space="preserve">resultandos de la presente resolución, el particular requirió del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información, del periodo que comprende del 1 de enero de 2019 al 31 de enero de 2020, consistente en la siguiente:</w:t>
      </w:r>
    </w:p>
    <w:p w:rsidR="00880A06" w:rsidRDefault="00616063">
      <w:pPr>
        <w:widowControl w:val="0"/>
        <w:numPr>
          <w:ilvl w:val="0"/>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Las cuentas de cheques que maneja el Instituto en el que se incluya:</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Saldo promedio mensual;</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Institución Bancaria;</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Objeto de las Cuentas;</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Ti</w:t>
      </w:r>
      <w:r>
        <w:rPr>
          <w:rFonts w:ascii="Palatino Linotype" w:hAnsi="Palatino Linotype" w:cs="Arial"/>
        </w:rPr>
        <w:t>po de Tasa e interés mensual; y,</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Antigüedad de las cuentas.</w:t>
      </w:r>
    </w:p>
    <w:p w:rsidR="00880A06" w:rsidRDefault="00616063">
      <w:pPr>
        <w:widowControl w:val="0"/>
        <w:numPr>
          <w:ilvl w:val="0"/>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Las cuentas de inversión que maneja el Instituto en el que se incluya:</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Saldo promedio mensual;</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Institución Financiera;</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Plazo de las inversiones;</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Tipo de Tasa e interés mensual; y,</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Antigüedad de la</w:t>
      </w:r>
      <w:r>
        <w:rPr>
          <w:rFonts w:ascii="Palatino Linotype" w:hAnsi="Palatino Linotype" w:cs="Arial"/>
        </w:rPr>
        <w:t>s cuentas.</w:t>
      </w:r>
    </w:p>
    <w:p w:rsidR="00880A06" w:rsidRDefault="00616063">
      <w:pPr>
        <w:widowControl w:val="0"/>
        <w:numPr>
          <w:ilvl w:val="0"/>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Las operaciones de dispersión de pagos que realiza el Instituto en el que se incluya:</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lastRenderedPageBreak/>
        <w:t>Número de operaciones mensuales por ventanilla;</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Número de operaciones electrónicas mensuales;</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Costo por operaciones en ventanilla; y,</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 xml:space="preserve">Costo por operaciones </w:t>
      </w:r>
      <w:r>
        <w:rPr>
          <w:rFonts w:ascii="Palatino Linotype" w:hAnsi="Palatino Linotype" w:cs="Arial"/>
        </w:rPr>
        <w:t>electrónicas.</w:t>
      </w:r>
    </w:p>
    <w:p w:rsidR="00880A06" w:rsidRDefault="00616063">
      <w:pPr>
        <w:widowControl w:val="0"/>
        <w:numPr>
          <w:ilvl w:val="0"/>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Las operaciones de recaudación y/o cobros que realiza el Instituto en el que se incluya:</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Número de operaciones mensuales por ventanilla, por Institución Financiera;</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Número de operaciones electrónicas mensuales, por Institución Financiera;</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Cos</w:t>
      </w:r>
      <w:r>
        <w:rPr>
          <w:rFonts w:ascii="Palatino Linotype" w:hAnsi="Palatino Linotype" w:cs="Arial"/>
        </w:rPr>
        <w:t>to por operaciones en ventanilla; y,</w:t>
      </w:r>
    </w:p>
    <w:p w:rsidR="00880A06" w:rsidRDefault="00616063">
      <w:pPr>
        <w:widowControl w:val="0"/>
        <w:numPr>
          <w:ilvl w:val="1"/>
          <w:numId w:val="4"/>
        </w:numPr>
        <w:tabs>
          <w:tab w:val="left" w:pos="1701"/>
          <w:tab w:val="left" w:pos="1843"/>
        </w:tabs>
        <w:spacing w:before="360" w:after="240" w:line="276" w:lineRule="auto"/>
        <w:jc w:val="both"/>
        <w:rPr>
          <w:rFonts w:ascii="Palatino Linotype" w:hAnsi="Palatino Linotype" w:cs="Arial"/>
        </w:rPr>
      </w:pPr>
      <w:r>
        <w:rPr>
          <w:rFonts w:ascii="Palatino Linotype" w:hAnsi="Palatino Linotype" w:cs="Arial"/>
        </w:rPr>
        <w:t>Costo por operaciones electrónicas.</w:t>
      </w:r>
    </w:p>
    <w:p w:rsidR="00880A06" w:rsidRDefault="00616063">
      <w:pPr>
        <w:widowControl w:val="0"/>
        <w:tabs>
          <w:tab w:val="left" w:pos="1276"/>
        </w:tabs>
        <w:spacing w:before="240" w:afterAutospacing="1" w:line="360" w:lineRule="auto"/>
        <w:jc w:val="both"/>
        <w:rPr>
          <w:rFonts w:ascii="Palatino Linotype" w:hAnsi="Palatino Linotype" w:cs="Arial"/>
          <w:color w:val="000000" w:themeColor="text1"/>
        </w:rPr>
      </w:pPr>
      <w:r>
        <w:rPr>
          <w:rFonts w:ascii="Palatino Linotype" w:hAnsi="Palatino Linotype" w:cs="Arial"/>
        </w:rPr>
        <w:t>Asimismo, el particular expresó lo siguiente: “</w:t>
      </w:r>
      <w:r>
        <w:rPr>
          <w:rFonts w:ascii="Palatino Linotype" w:hAnsi="Palatino Linotype" w:cs="Arial"/>
          <w:i/>
          <w:sz w:val="22"/>
          <w:szCs w:val="22"/>
        </w:rPr>
        <w:t>Cabe destacar que la información que se solicita no representa información confidencial y/o reservada. A nivel federal, alrededor de 100</w:t>
      </w:r>
      <w:r>
        <w:rPr>
          <w:rFonts w:ascii="Palatino Linotype" w:hAnsi="Palatino Linotype" w:cs="Arial"/>
          <w:i/>
          <w:sz w:val="22"/>
          <w:szCs w:val="22"/>
        </w:rPr>
        <w:t xml:space="preserve"> sujetos obligados nos otorgaron información vía solicitud o recurso de revisión” (Sic); </w:t>
      </w:r>
      <w:r>
        <w:rPr>
          <w:rFonts w:ascii="Palatino Linotype" w:hAnsi="Palatino Linotype" w:cs="Arial"/>
          <w:color w:val="000000" w:themeColor="text1"/>
        </w:rPr>
        <w:t>manifestaciones que, en este acto, se declaran inatendibles por este Instituto, puesto que constituyen un Derecho a la Libre Expresión, debido a que es inviolable la l</w:t>
      </w:r>
      <w:r>
        <w:rPr>
          <w:rFonts w:ascii="Palatino Linotype" w:hAnsi="Palatino Linotype" w:cs="Arial"/>
          <w:color w:val="000000" w:themeColor="text1"/>
        </w:rPr>
        <w:t>ibertad de difundir opiniones, información e ideas, a través de cualquier medio.</w:t>
      </w:r>
    </w:p>
    <w:p w:rsidR="00880A06" w:rsidRDefault="00616063">
      <w:pPr>
        <w:widowControl w:val="0"/>
        <w:tabs>
          <w:tab w:val="left" w:pos="1276"/>
        </w:tabs>
        <w:spacing w:before="240" w:afterAutospacing="1" w:line="360" w:lineRule="auto"/>
        <w:jc w:val="both"/>
        <w:rPr>
          <w:rFonts w:ascii="Palatino Linotype" w:hAnsi="Palatino Linotype" w:cs="Arial"/>
          <w:color w:val="000000" w:themeColor="text1"/>
        </w:rPr>
      </w:pPr>
      <w:r>
        <w:rPr>
          <w:rFonts w:ascii="Palatino Linotype" w:hAnsi="Palatino Linotype" w:cs="Arial"/>
          <w:color w:val="000000" w:themeColor="text1"/>
        </w:rPr>
        <w:t>Así, de conformidad con el artículo 7 Constitucional, ninguna ley ni autoridad puede establecer la previa censura, ni coartar la libertad de difusión, que no tiene más límites</w:t>
      </w:r>
      <w:r>
        <w:rPr>
          <w:rFonts w:ascii="Palatino Linotype" w:hAnsi="Palatino Linotype" w:cs="Arial"/>
          <w:color w:val="000000" w:themeColor="text1"/>
        </w:rPr>
        <w:t xml:space="preserve"> que ataque a la moral, la vida privada o los derechos de terceros, provoque algún </w:t>
      </w:r>
      <w:r>
        <w:rPr>
          <w:rFonts w:ascii="Palatino Linotype" w:hAnsi="Palatino Linotype" w:cs="Arial"/>
          <w:color w:val="000000" w:themeColor="text1"/>
        </w:rPr>
        <w:lastRenderedPageBreak/>
        <w:t>delito, o perturbe el orden público; por lo que, al constituir manifestaciones inherentes a la Libre Expresión, se reitera que no constituye un derecho de acceso a la inform</w:t>
      </w:r>
      <w:r>
        <w:rPr>
          <w:rFonts w:ascii="Palatino Linotype" w:hAnsi="Palatino Linotype" w:cs="Arial"/>
          <w:color w:val="000000" w:themeColor="text1"/>
        </w:rPr>
        <w:t>ación, o bien, relativo a datos personales; por lo que, este Instituto declara como inatendibles las manifestaciones mencionadas en líneas precedentes; máxime que, de conformidad con el artículo 36 de la Ley de Transparencia y Acceso a la Información del E</w:t>
      </w:r>
      <w:r>
        <w:rPr>
          <w:rFonts w:ascii="Palatino Linotype" w:hAnsi="Palatino Linotype" w:cs="Arial"/>
          <w:color w:val="000000" w:themeColor="text1"/>
        </w:rPr>
        <w:t>stado de México y Municipios este Órgano Garante no está facultado para pronunciarse al respecto.</w:t>
      </w:r>
    </w:p>
    <w:p w:rsidR="00880A06" w:rsidRDefault="00616063">
      <w:pPr>
        <w:widowControl w:val="0"/>
        <w:tabs>
          <w:tab w:val="left" w:pos="1701"/>
          <w:tab w:val="left" w:pos="1843"/>
        </w:tabs>
        <w:spacing w:before="360" w:after="240" w:line="360" w:lineRule="auto"/>
        <w:jc w:val="both"/>
        <w:rPr>
          <w:rFonts w:ascii="Palatino Linotype" w:hAnsi="Palatino Linotype" w:cs="Arial"/>
        </w:rPr>
      </w:pPr>
      <w:r>
        <w:rPr>
          <w:rFonts w:ascii="Palatino Linotype" w:hAnsi="Palatino Linotype" w:cs="Arial"/>
        </w:rPr>
        <w:t>Ahora bien,</w:t>
      </w:r>
      <w:r>
        <w:rPr>
          <w:rFonts w:ascii="Palatino Linotype" w:hAnsi="Palatino Linotype" w:cs="Arial"/>
          <w:b/>
        </w:rPr>
        <w:t xml:space="preserve"> EL SUJETO OBLIGADO </w:t>
      </w:r>
      <w:r>
        <w:rPr>
          <w:rFonts w:ascii="Palatino Linotype" w:hAnsi="Palatino Linotype" w:cs="Arial"/>
        </w:rPr>
        <w:t>respondió al particular de la siguiente forma:</w:t>
      </w:r>
    </w:p>
    <w:tbl>
      <w:tblPr>
        <w:tblStyle w:val="Tablaconcuadrcula"/>
        <w:tblW w:w="9111" w:type="dxa"/>
        <w:tblLook w:val="04A0" w:firstRow="1" w:lastRow="0" w:firstColumn="1" w:lastColumn="0" w:noHBand="0" w:noVBand="1"/>
      </w:tblPr>
      <w:tblGrid>
        <w:gridCol w:w="4555"/>
        <w:gridCol w:w="4556"/>
      </w:tblGrid>
      <w:tr w:rsidR="00880A06">
        <w:trPr>
          <w:tblHeader/>
        </w:trPr>
        <w:tc>
          <w:tcPr>
            <w:tcW w:w="4555" w:type="dxa"/>
            <w:shd w:val="clear" w:color="auto" w:fill="000000" w:themeFill="text1"/>
            <w:vAlign w:val="center"/>
          </w:tcPr>
          <w:p w:rsidR="00880A06" w:rsidRDefault="00616063">
            <w:pPr>
              <w:widowControl w:val="0"/>
              <w:tabs>
                <w:tab w:val="left" w:pos="1701"/>
                <w:tab w:val="left" w:pos="1843"/>
              </w:tabs>
              <w:jc w:val="center"/>
              <w:rPr>
                <w:rFonts w:ascii="Palatino Linotype" w:hAnsi="Palatino Linotype" w:cs="Arial"/>
                <w:b/>
              </w:rPr>
            </w:pPr>
            <w:r>
              <w:rPr>
                <w:rFonts w:ascii="Palatino Linotype" w:eastAsiaTheme="minorHAnsi" w:hAnsi="Palatino Linotype" w:cs="Arial"/>
                <w:b/>
                <w:sz w:val="22"/>
                <w:szCs w:val="22"/>
                <w:lang w:eastAsia="en-US"/>
              </w:rPr>
              <w:t>Requerimiento</w:t>
            </w:r>
          </w:p>
        </w:tc>
        <w:tc>
          <w:tcPr>
            <w:tcW w:w="4555" w:type="dxa"/>
            <w:shd w:val="clear" w:color="auto" w:fill="000000" w:themeFill="text1"/>
            <w:vAlign w:val="center"/>
          </w:tcPr>
          <w:p w:rsidR="00880A06" w:rsidRDefault="00616063">
            <w:pPr>
              <w:widowControl w:val="0"/>
              <w:tabs>
                <w:tab w:val="left" w:pos="1701"/>
                <w:tab w:val="left" w:pos="1843"/>
              </w:tabs>
              <w:jc w:val="center"/>
              <w:rPr>
                <w:rFonts w:ascii="Palatino Linotype" w:hAnsi="Palatino Linotype" w:cs="Arial"/>
                <w:b/>
              </w:rPr>
            </w:pPr>
            <w:r>
              <w:rPr>
                <w:rFonts w:ascii="Palatino Linotype" w:eastAsiaTheme="minorHAnsi" w:hAnsi="Palatino Linotype" w:cs="Arial"/>
                <w:b/>
                <w:sz w:val="22"/>
                <w:szCs w:val="22"/>
                <w:lang w:eastAsia="en-US"/>
              </w:rPr>
              <w:t>Respuesta</w:t>
            </w:r>
          </w:p>
        </w:tc>
      </w:tr>
      <w:tr w:rsidR="00880A06">
        <w:tc>
          <w:tcPr>
            <w:tcW w:w="4555" w:type="dxa"/>
            <w:shd w:val="clear" w:color="auto" w:fill="BFBFBF" w:themeFill="background1" w:themeFillShade="BF"/>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1. Las cuentas de cheques que maneja el Instituto.</w:t>
            </w:r>
          </w:p>
        </w:tc>
        <w:tc>
          <w:tcPr>
            <w:tcW w:w="4555" w:type="dxa"/>
            <w:shd w:val="clear" w:color="auto" w:fill="BFBFBF" w:themeFill="background1" w:themeFillShade="BF"/>
            <w:vAlign w:val="center"/>
          </w:tcPr>
          <w:p w:rsidR="00880A06" w:rsidRDefault="00616063">
            <w:pPr>
              <w:widowControl w:val="0"/>
              <w:tabs>
                <w:tab w:val="left" w:pos="1701"/>
                <w:tab w:val="left" w:pos="1843"/>
              </w:tabs>
              <w:jc w:val="center"/>
              <w:rPr>
                <w:rFonts w:ascii="Palatino Linotype" w:hAnsi="Palatino Linotype" w:cs="Arial"/>
              </w:rPr>
            </w:pPr>
            <w:r>
              <w:rPr>
                <w:rFonts w:ascii="Palatino Linotype" w:eastAsiaTheme="minorHAnsi" w:hAnsi="Palatino Linotype" w:cs="Arial"/>
                <w:sz w:val="22"/>
                <w:szCs w:val="22"/>
                <w:lang w:eastAsia="en-US"/>
              </w:rPr>
              <w:t>2</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Saldo promedio mensual.</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Banregio 1.8 millones de pesos (MDP).</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Santander 1.5 MDP.</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Institución Bancaria.</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Banregio y Santander.</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Objeto de las Cuentas.</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Banregio: Fondo Fijo.</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Santander: Cheques de Nómina.</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Tipo de Tasa e interés mensual.</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Banregio: 90% de TIIE</w:t>
            </w:r>
            <w:r>
              <w:rPr>
                <w:rStyle w:val="Ancladenotaalpie"/>
                <w:rFonts w:ascii="Palatino Linotype" w:eastAsiaTheme="minorHAnsi" w:hAnsi="Palatino Linotype" w:cs="Arial"/>
                <w:sz w:val="22"/>
                <w:szCs w:val="22"/>
                <w:lang w:eastAsia="en-US"/>
              </w:rPr>
              <w:footnoteReference w:id="2"/>
            </w:r>
            <w:r>
              <w:rPr>
                <w:rFonts w:ascii="Palatino Linotype" w:eastAsiaTheme="minorHAnsi" w:hAnsi="Palatino Linotype" w:cs="Arial"/>
                <w:sz w:val="22"/>
                <w:szCs w:val="22"/>
                <w:lang w:eastAsia="en-US"/>
              </w:rPr>
              <w:t xml:space="preserve"> vigente.</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Santander: 0.07% de acuerdo a contrato.</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Antigüedad de las cuentas.</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Banregio: septiembre de 2018.</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Santander: mayo de 2019.</w:t>
            </w:r>
          </w:p>
        </w:tc>
      </w:tr>
      <w:tr w:rsidR="00880A06">
        <w:tc>
          <w:tcPr>
            <w:tcW w:w="4555" w:type="dxa"/>
            <w:shd w:val="clear" w:color="auto" w:fill="BFBFBF" w:themeFill="background1" w:themeFillShade="BF"/>
            <w:vAlign w:val="center"/>
          </w:tcPr>
          <w:p w:rsidR="00880A06" w:rsidRDefault="00616063">
            <w:pPr>
              <w:widowControl w:val="0"/>
              <w:numPr>
                <w:ilvl w:val="0"/>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Las cuentas de inversión que maneja el Instituto.</w:t>
            </w:r>
          </w:p>
        </w:tc>
        <w:tc>
          <w:tcPr>
            <w:tcW w:w="4555" w:type="dxa"/>
            <w:shd w:val="clear" w:color="auto" w:fill="BFBFBF" w:themeFill="background1" w:themeFillShade="BF"/>
            <w:vAlign w:val="center"/>
          </w:tcPr>
          <w:p w:rsidR="00880A06" w:rsidRDefault="00616063">
            <w:pPr>
              <w:widowControl w:val="0"/>
              <w:tabs>
                <w:tab w:val="left" w:pos="1701"/>
                <w:tab w:val="left" w:pos="1843"/>
              </w:tabs>
              <w:jc w:val="center"/>
              <w:rPr>
                <w:rFonts w:ascii="Palatino Linotype" w:hAnsi="Palatino Linotype" w:cs="Arial"/>
              </w:rPr>
            </w:pPr>
            <w:r>
              <w:rPr>
                <w:rFonts w:ascii="Palatino Linotype" w:eastAsiaTheme="minorHAnsi" w:hAnsi="Palatino Linotype" w:cs="Arial"/>
                <w:sz w:val="22"/>
                <w:szCs w:val="22"/>
                <w:lang w:eastAsia="en-US"/>
              </w:rPr>
              <w:t>3</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Saldo promedio mensual.</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Banorte: 19 MDP.</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Interacciones: 14 MDP.</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Scotiabank: 1.35 MDP.</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Institución Financiera.</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Banorte, Interacciones y Scotiabank.</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lastRenderedPageBreak/>
              <w:t>Plazo de las inversiones.</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Mensual.</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Tipo de Tasa e interés mensual.</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Banorte: 7.49% ponderada anual, basada en TIIE.</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Interacciones: 7.49% ponderada anual, basada en TIIE.</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Scotiabank: 6.36% ponderada anual, basada en TIIE.</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Antigüedad de las cuentas.</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Banorte: 12 años.</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Interacciones: 9 años.</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Scotiabank: 5 años.</w:t>
            </w:r>
          </w:p>
        </w:tc>
      </w:tr>
      <w:tr w:rsidR="00880A06">
        <w:tc>
          <w:tcPr>
            <w:tcW w:w="9110" w:type="dxa"/>
            <w:gridSpan w:val="2"/>
            <w:shd w:val="clear" w:color="auto" w:fill="BFBFBF" w:themeFill="background1" w:themeFillShade="BF"/>
            <w:vAlign w:val="center"/>
          </w:tcPr>
          <w:p w:rsidR="00880A06" w:rsidRDefault="00616063">
            <w:pPr>
              <w:widowControl w:val="0"/>
              <w:numPr>
                <w:ilvl w:val="0"/>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Las operaciones de dispersión de pagos que realiza el Instituto.</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Número de operaciones mensuales por ventanilla.</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Ninguna.</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Número de operaciones electrónicas mensuales.</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Variable, promedio mensual de 250 SPEI</w:t>
            </w:r>
            <w:r>
              <w:rPr>
                <w:rStyle w:val="Ancladenotaalpie"/>
                <w:rFonts w:ascii="Palatino Linotype" w:eastAsiaTheme="minorHAnsi" w:hAnsi="Palatino Linotype" w:cs="Arial"/>
                <w:sz w:val="22"/>
                <w:szCs w:val="22"/>
                <w:lang w:eastAsia="en-US"/>
              </w:rPr>
              <w:footnoteReference w:id="3"/>
            </w:r>
            <w:r>
              <w:rPr>
                <w:rFonts w:ascii="Palatino Linotype" w:eastAsiaTheme="minorHAnsi" w:hAnsi="Palatino Linotype" w:cs="Arial"/>
                <w:sz w:val="22"/>
                <w:szCs w:val="22"/>
                <w:lang w:eastAsia="en-US"/>
              </w:rPr>
              <w:t>.</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Costo por operaciones en ventanilla.</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No aplica.</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Costo por operaciones electrónicas.</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Sin costo.</w:t>
            </w:r>
          </w:p>
        </w:tc>
      </w:tr>
      <w:tr w:rsidR="00880A06">
        <w:tc>
          <w:tcPr>
            <w:tcW w:w="9110" w:type="dxa"/>
            <w:gridSpan w:val="2"/>
            <w:shd w:val="clear" w:color="auto" w:fill="BFBFBF" w:themeFill="background1" w:themeFillShade="BF"/>
            <w:vAlign w:val="center"/>
          </w:tcPr>
          <w:p w:rsidR="00880A06" w:rsidRDefault="00616063">
            <w:pPr>
              <w:widowControl w:val="0"/>
              <w:numPr>
                <w:ilvl w:val="0"/>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 xml:space="preserve">Las operaciones de recaudación y/o cobros que realiza el </w:t>
            </w:r>
            <w:r>
              <w:rPr>
                <w:rFonts w:ascii="Palatino Linotype" w:eastAsiaTheme="minorHAnsi" w:hAnsi="Palatino Linotype" w:cs="Arial"/>
                <w:sz w:val="22"/>
                <w:szCs w:val="22"/>
                <w:lang w:eastAsia="en-US"/>
              </w:rPr>
              <w:t>Instituto.</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Número de operaciones mensuales por ventanilla, por Institución Financiera.</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Variable entre 24 y 30 operaciones.</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Número de operaciones electrónicas mensuales, por Institución Financiera.</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Variable entre 6 y 10 operaciones.</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Costo por operaciones</w:t>
            </w:r>
            <w:r>
              <w:rPr>
                <w:rFonts w:ascii="Palatino Linotype" w:eastAsiaTheme="minorHAnsi" w:hAnsi="Palatino Linotype" w:cs="Arial"/>
                <w:sz w:val="22"/>
                <w:szCs w:val="22"/>
                <w:lang w:eastAsia="en-US"/>
              </w:rPr>
              <w:t xml:space="preserve"> en ventanilla.</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Sin costo.</w:t>
            </w:r>
          </w:p>
        </w:tc>
      </w:tr>
      <w:tr w:rsidR="00880A06">
        <w:tc>
          <w:tcPr>
            <w:tcW w:w="4555" w:type="dxa"/>
            <w:vAlign w:val="center"/>
          </w:tcPr>
          <w:p w:rsidR="00880A06" w:rsidRDefault="00616063">
            <w:pPr>
              <w:widowControl w:val="0"/>
              <w:numPr>
                <w:ilvl w:val="1"/>
                <w:numId w:val="5"/>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Costo por operaciones electrónicas.</w:t>
            </w:r>
          </w:p>
        </w:tc>
        <w:tc>
          <w:tcPr>
            <w:tcW w:w="4555"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Sin costo.</w:t>
            </w:r>
          </w:p>
        </w:tc>
      </w:tr>
    </w:tbl>
    <w:p w:rsidR="00880A06" w:rsidRDefault="00616063">
      <w:pPr>
        <w:widowControl w:val="0"/>
        <w:tabs>
          <w:tab w:val="left" w:pos="1701"/>
          <w:tab w:val="left" w:pos="1843"/>
        </w:tabs>
        <w:spacing w:before="360" w:after="240" w:line="360" w:lineRule="auto"/>
        <w:jc w:val="both"/>
        <w:rPr>
          <w:rFonts w:ascii="Palatino Linotype" w:hAnsi="Palatino Linotype" w:cs="Arial"/>
        </w:rPr>
      </w:pPr>
      <w:r>
        <w:rPr>
          <w:rFonts w:ascii="Palatino Linotype" w:hAnsi="Palatino Linotype" w:cs="Arial"/>
        </w:rPr>
        <w:t xml:space="preserve">Inconforme con la respuesta del </w:t>
      </w:r>
      <w:r>
        <w:rPr>
          <w:rFonts w:ascii="Palatino Linotype" w:hAnsi="Palatino Linotype" w:cs="Arial"/>
          <w:b/>
        </w:rPr>
        <w:t>SUJETO OBLIGADO</w:t>
      </w:r>
      <w:r>
        <w:rPr>
          <w:rFonts w:ascii="Palatino Linotype" w:hAnsi="Palatino Linotype" w:cs="Arial"/>
        </w:rPr>
        <w:t xml:space="preserve">, el hoy </w:t>
      </w:r>
      <w:r>
        <w:rPr>
          <w:rFonts w:ascii="Palatino Linotype" w:hAnsi="Palatino Linotype" w:cs="Arial"/>
          <w:b/>
        </w:rPr>
        <w:t>RECURRENTE</w:t>
      </w:r>
      <w:r>
        <w:rPr>
          <w:rFonts w:ascii="Palatino Linotype" w:hAnsi="Palatino Linotype" w:cs="Arial"/>
        </w:rPr>
        <w:t xml:space="preserve"> interpuso el medio de defensa de mérito, en el cual argumentó que no se le entregó la cantidad de cuentas, ni la información desglosada por cada una de ellas.</w:t>
      </w:r>
    </w:p>
    <w:p w:rsidR="00880A06" w:rsidRDefault="00616063">
      <w:pPr>
        <w:widowControl w:val="0"/>
        <w:tabs>
          <w:tab w:val="left" w:pos="1701"/>
          <w:tab w:val="left" w:pos="1843"/>
        </w:tabs>
        <w:spacing w:before="360" w:after="240" w:line="360" w:lineRule="auto"/>
        <w:jc w:val="both"/>
        <w:rPr>
          <w:rFonts w:ascii="Palatino Linotype" w:eastAsia="Calibri" w:hAnsi="Palatino Linotype"/>
          <w:szCs w:val="22"/>
          <w:lang w:eastAsia="en-US"/>
        </w:rPr>
      </w:pPr>
      <w:r>
        <w:rPr>
          <w:rFonts w:ascii="Palatino Linotype" w:hAnsi="Palatino Linotype" w:cs="Arial"/>
        </w:rPr>
        <w:t xml:space="preserve">Asimismo, </w:t>
      </w:r>
      <w:r>
        <w:rPr>
          <w:rFonts w:ascii="Palatino Linotype" w:hAnsi="Palatino Linotype" w:cs="Arial"/>
          <w:b/>
        </w:rPr>
        <w:t>EL RECURRENTE</w:t>
      </w:r>
      <w:r>
        <w:rPr>
          <w:rFonts w:ascii="Palatino Linotype" w:hAnsi="Palatino Linotype" w:cs="Arial"/>
        </w:rPr>
        <w:t xml:space="preserve"> refirió que solicitó los montos de la cuenta de nómina, </w:t>
      </w:r>
      <w:r>
        <w:rPr>
          <w:rFonts w:ascii="Palatino Linotype" w:hAnsi="Palatino Linotype" w:cs="Arial"/>
        </w:rPr>
        <w:lastRenderedPageBreak/>
        <w:t xml:space="preserve">la de programas (en el que se incluya el nombre de cada programa) y la de proveedores; </w:t>
      </w:r>
      <w:r>
        <w:rPr>
          <w:rFonts w:ascii="Palatino Linotype" w:eastAsia="Calibri" w:hAnsi="Palatino Linotype"/>
          <w:szCs w:val="22"/>
          <w:lang w:eastAsia="en-US"/>
        </w:rPr>
        <w:t xml:space="preserve">sin embargo, se advierte que, dichos requerimientos, </w:t>
      </w:r>
      <w:r>
        <w:rPr>
          <w:rFonts w:ascii="Palatino Linotype" w:eastAsia="Calibri" w:hAnsi="Palatino Linotype"/>
          <w:b/>
          <w:szCs w:val="22"/>
          <w:lang w:eastAsia="en-US"/>
        </w:rPr>
        <w:t xml:space="preserve">no formaron parte </w:t>
      </w:r>
      <w:r>
        <w:rPr>
          <w:rFonts w:ascii="Palatino Linotype" w:eastAsia="Calibri" w:hAnsi="Palatino Linotype"/>
          <w:szCs w:val="22"/>
          <w:lang w:eastAsia="en-US"/>
        </w:rPr>
        <w:t>de la solicitud de acceso a la informació</w:t>
      </w:r>
      <w:r>
        <w:rPr>
          <w:rFonts w:ascii="Palatino Linotype" w:eastAsia="Calibri" w:hAnsi="Palatino Linotype"/>
          <w:szCs w:val="22"/>
          <w:lang w:eastAsia="en-US"/>
        </w:rPr>
        <w:t xml:space="preserve">n; </w:t>
      </w:r>
      <w:r>
        <w:rPr>
          <w:rFonts w:ascii="Palatino Linotype" w:eastAsia="Calibri" w:hAnsi="Palatino Linotype"/>
          <w:bCs/>
          <w:szCs w:val="22"/>
          <w:lang w:eastAsia="en-US"/>
        </w:rPr>
        <w:t xml:space="preserve">por lo tanto, las solicitudes aludidas deben considerarse como una </w:t>
      </w:r>
      <w:r>
        <w:rPr>
          <w:rFonts w:ascii="Palatino Linotype" w:eastAsia="Calibri" w:hAnsi="Palatino Linotype"/>
          <w:szCs w:val="22"/>
          <w:lang w:eastAsia="en-US"/>
        </w:rPr>
        <w:t xml:space="preserve">petición adicional o </w:t>
      </w:r>
      <w:r>
        <w:rPr>
          <w:rFonts w:ascii="Palatino Linotype" w:eastAsia="Calibri" w:hAnsi="Palatino Linotype"/>
          <w:i/>
          <w:szCs w:val="22"/>
          <w:lang w:eastAsia="en-US"/>
        </w:rPr>
        <w:t>plus petitio</w:t>
      </w:r>
      <w:r>
        <w:rPr>
          <w:rFonts w:ascii="Palatino Linotype" w:eastAsia="Calibri" w:hAnsi="Palatino Linotype"/>
          <w:szCs w:val="22"/>
          <w:lang w:eastAsia="en-US"/>
        </w:rPr>
        <w:t>; es decir, que se trata de una nueva solicitud de información, puesto que no había sido previamente requerida, mediante su solicitud de información.</w:t>
      </w:r>
    </w:p>
    <w:p w:rsidR="00880A06" w:rsidRDefault="00616063">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De </w:t>
      </w:r>
      <w:r>
        <w:rPr>
          <w:rFonts w:ascii="Palatino Linotype" w:eastAsia="Calibri" w:hAnsi="Palatino Linotype"/>
          <w:szCs w:val="22"/>
          <w:lang w:eastAsia="en-US"/>
        </w:rPr>
        <w:t xml:space="preserve">esta forma, al realizarse una solicitud adicional a manera de razones o motivos de inconformidad; éstos resultan </w:t>
      </w:r>
      <w:r>
        <w:rPr>
          <w:rFonts w:ascii="Palatino Linotype" w:eastAsia="Calibri" w:hAnsi="Palatino Linotype"/>
          <w:b/>
          <w:szCs w:val="22"/>
          <w:lang w:eastAsia="en-US"/>
        </w:rPr>
        <w:t>inoperantes e inatendibles</w:t>
      </w:r>
      <w:r>
        <w:rPr>
          <w:rFonts w:ascii="Palatino Linotype" w:eastAsia="Calibri" w:hAnsi="Palatino Linotype"/>
          <w:szCs w:val="22"/>
          <w:lang w:eastAsia="en-US"/>
        </w:rPr>
        <w:t xml:space="preserve">, esto es así, debido a que al ser argumentos que no se plantearon ante </w:t>
      </w:r>
      <w:r>
        <w:rPr>
          <w:rFonts w:ascii="Palatino Linotype" w:eastAsia="Calibri" w:hAnsi="Palatino Linotype"/>
          <w:b/>
          <w:szCs w:val="22"/>
          <w:lang w:eastAsia="en-US"/>
        </w:rPr>
        <w:t xml:space="preserve">EL SUJETO OBLIGADO </w:t>
      </w:r>
      <w:r>
        <w:rPr>
          <w:rFonts w:ascii="Palatino Linotype" w:eastAsia="Calibri" w:hAnsi="Palatino Linotype"/>
          <w:szCs w:val="22"/>
          <w:lang w:eastAsia="en-US"/>
        </w:rPr>
        <w:t>que respondió a la solicit</w:t>
      </w:r>
      <w:r>
        <w:rPr>
          <w:rFonts w:ascii="Palatino Linotype" w:eastAsia="Calibri" w:hAnsi="Palatino Linotype"/>
          <w:szCs w:val="22"/>
          <w:lang w:eastAsia="en-US"/>
        </w:rPr>
        <w:t xml:space="preserve">ud de acceso a la información, respuesta que constituyen el acto que se reclama o impugna; resultaría injustificado examinar tales argumentos pues éstos no fueron del conocimiento del </w:t>
      </w:r>
      <w:r>
        <w:rPr>
          <w:rFonts w:ascii="Palatino Linotype" w:eastAsia="Calibri" w:hAnsi="Palatino Linotype"/>
          <w:b/>
          <w:szCs w:val="22"/>
          <w:lang w:eastAsia="en-US"/>
        </w:rPr>
        <w:t xml:space="preserve">SUJETO OBLIGADO </w:t>
      </w:r>
      <w:r>
        <w:rPr>
          <w:rFonts w:ascii="Palatino Linotype" w:eastAsia="Calibri" w:hAnsi="Palatino Linotype"/>
          <w:szCs w:val="22"/>
          <w:lang w:eastAsia="en-US"/>
        </w:rPr>
        <w:t>al momento de dar respuesta a la solicitud de acceso a l</w:t>
      </w:r>
      <w:r>
        <w:rPr>
          <w:rFonts w:ascii="Palatino Linotype" w:eastAsia="Calibri" w:hAnsi="Palatino Linotype"/>
          <w:szCs w:val="22"/>
          <w:lang w:eastAsia="en-US"/>
        </w:rPr>
        <w:t xml:space="preserve">a información pública; por lo que, no tuvo la oportunidad legal de analizarla ni de pronunciarse sobre ella; atento a ello, </w:t>
      </w:r>
      <w:r>
        <w:rPr>
          <w:rFonts w:ascii="Palatino Linotype" w:eastAsia="Calibri" w:hAnsi="Palatino Linotype"/>
          <w:b/>
          <w:szCs w:val="22"/>
          <w:lang w:eastAsia="en-US"/>
        </w:rPr>
        <w:t>se dejan a salvo los derechos</w:t>
      </w:r>
      <w:r>
        <w:rPr>
          <w:rFonts w:ascii="Palatino Linotype" w:eastAsia="Calibri" w:hAnsi="Palatino Linotype"/>
          <w:szCs w:val="22"/>
          <w:lang w:eastAsia="en-US"/>
        </w:rPr>
        <w:t xml:space="preserve"> del hoy</w:t>
      </w:r>
      <w:r>
        <w:rPr>
          <w:rFonts w:ascii="Palatino Linotype" w:eastAsia="Calibri" w:hAnsi="Palatino Linotype"/>
          <w:b/>
          <w:szCs w:val="22"/>
          <w:lang w:eastAsia="en-US"/>
        </w:rPr>
        <w:t xml:space="preserve"> RECURRENTE,</w:t>
      </w:r>
      <w:r>
        <w:rPr>
          <w:rFonts w:ascii="Palatino Linotype" w:eastAsia="Calibri" w:hAnsi="Palatino Linotype"/>
          <w:szCs w:val="22"/>
          <w:lang w:eastAsia="en-US"/>
        </w:rPr>
        <w:t xml:space="preserve"> a fin de que pueda formular una nueva solicitud requiriendo el acceso a la informa</w:t>
      </w:r>
      <w:r>
        <w:rPr>
          <w:rFonts w:ascii="Palatino Linotype" w:eastAsia="Calibri" w:hAnsi="Palatino Linotype"/>
          <w:szCs w:val="22"/>
          <w:lang w:eastAsia="en-US"/>
        </w:rPr>
        <w:t>ción pública que su derecho corresponda.</w:t>
      </w:r>
    </w:p>
    <w:p w:rsidR="00880A06" w:rsidRDefault="00616063">
      <w:pPr>
        <w:widowControl w:val="0"/>
        <w:tabs>
          <w:tab w:val="left" w:pos="1701"/>
          <w:tab w:val="left" w:pos="1843"/>
        </w:tabs>
        <w:spacing w:before="360" w:after="240" w:line="360" w:lineRule="auto"/>
        <w:jc w:val="both"/>
        <w:rPr>
          <w:rFonts w:ascii="Palatino Linotype" w:hAnsi="Palatino Linotype" w:cs="Arial"/>
        </w:rPr>
      </w:pPr>
      <w:r>
        <w:rPr>
          <w:rFonts w:ascii="Palatino Linotype" w:hAnsi="Palatino Linotype" w:cs="Arial"/>
        </w:rPr>
        <w:t xml:space="preserve">Posteriormente, </w:t>
      </w:r>
      <w:r>
        <w:rPr>
          <w:rFonts w:ascii="Palatino Linotype" w:hAnsi="Palatino Linotype" w:cs="Arial"/>
          <w:b/>
        </w:rPr>
        <w:t>EL SUJETO OBLIGADO</w:t>
      </w:r>
      <w:r>
        <w:rPr>
          <w:rFonts w:ascii="Palatino Linotype" w:hAnsi="Palatino Linotype" w:cs="Arial"/>
        </w:rPr>
        <w:t xml:space="preserve"> rindió su Informe Justificado, en el cual reiteró su respuesta. Por su parte, </w:t>
      </w:r>
      <w:r>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w:t>
      </w:r>
      <w:r>
        <w:rPr>
          <w:rFonts w:ascii="Palatino Linotype" w:hAnsi="Palatino Linotype" w:cs="Arial"/>
        </w:rPr>
        <w:t>onvinieran.</w:t>
      </w:r>
    </w:p>
    <w:p w:rsidR="00880A06" w:rsidRDefault="00616063">
      <w:pPr>
        <w:widowControl w:val="0"/>
        <w:tabs>
          <w:tab w:val="left" w:pos="1701"/>
          <w:tab w:val="left" w:pos="1843"/>
        </w:tabs>
        <w:spacing w:before="360" w:after="240" w:line="360" w:lineRule="auto"/>
        <w:jc w:val="both"/>
        <w:rPr>
          <w:rFonts w:ascii="Palatino Linotype" w:hAnsi="Palatino Linotype" w:cs="Arial"/>
        </w:rPr>
      </w:pPr>
      <w:r>
        <w:rPr>
          <w:rFonts w:ascii="Palatino Linotype" w:hAnsi="Palatino Linotype" w:cs="Arial"/>
        </w:rPr>
        <w:t xml:space="preserve">Bajo ese contexto, este Instituto analizó la totalidad de constancias que integran el expediente electrónico del </w:t>
      </w:r>
      <w:r>
        <w:rPr>
          <w:rFonts w:ascii="Palatino Linotype" w:hAnsi="Palatino Linotype" w:cs="Arial"/>
          <w:b/>
        </w:rPr>
        <w:t>SAIMEX</w:t>
      </w:r>
      <w:r>
        <w:rPr>
          <w:rFonts w:ascii="Palatino Linotype" w:hAnsi="Palatino Linotype" w:cs="Arial"/>
        </w:rPr>
        <w:t xml:space="preserve"> y observó que las razones o motivos de inconformidad hechos valer por </w:t>
      </w:r>
      <w:r>
        <w:rPr>
          <w:rFonts w:ascii="Palatino Linotype" w:hAnsi="Palatino Linotype" w:cs="Arial"/>
          <w:b/>
        </w:rPr>
        <w:t>EL RECURRENTE</w:t>
      </w:r>
      <w:r>
        <w:rPr>
          <w:rFonts w:ascii="Palatino Linotype" w:hAnsi="Palatino Linotype" w:cs="Arial"/>
        </w:rPr>
        <w:t xml:space="preserve"> devienen </w:t>
      </w:r>
      <w:r>
        <w:rPr>
          <w:rFonts w:ascii="Palatino Linotype" w:hAnsi="Palatino Linotype" w:cs="Arial"/>
          <w:b/>
        </w:rPr>
        <w:t>parcialmente fundados</w:t>
      </w:r>
      <w:r>
        <w:rPr>
          <w:rFonts w:ascii="Palatino Linotype" w:hAnsi="Palatino Linotype" w:cs="Arial"/>
        </w:rPr>
        <w:t xml:space="preserve"> </w:t>
      </w:r>
      <w:r>
        <w:rPr>
          <w:rFonts w:ascii="Palatino Linotype" w:hAnsi="Palatino Linotype" w:cs="Arial"/>
        </w:rPr>
        <w:lastRenderedPageBreak/>
        <w:t>y suficie</w:t>
      </w:r>
      <w:r>
        <w:rPr>
          <w:rFonts w:ascii="Palatino Linotype" w:hAnsi="Palatino Linotype" w:cs="Arial"/>
        </w:rPr>
        <w:t xml:space="preserve">ntes para </w:t>
      </w:r>
      <w:r>
        <w:rPr>
          <w:rFonts w:ascii="Palatino Linotype" w:hAnsi="Palatino Linotype" w:cs="Arial"/>
          <w:b/>
        </w:rPr>
        <w:t>MODIFICAR</w:t>
      </w:r>
      <w:r>
        <w:rPr>
          <w:rFonts w:ascii="Palatino Linotype" w:hAnsi="Palatino Linotype" w:cs="Arial"/>
        </w:rPr>
        <w:t xml:space="preserve"> la respuesta del </w:t>
      </w:r>
      <w:r>
        <w:rPr>
          <w:rFonts w:ascii="Palatino Linotype" w:hAnsi="Palatino Linotype" w:cs="Arial"/>
          <w:b/>
        </w:rPr>
        <w:t>SUJETO OBLIGADO</w:t>
      </w:r>
      <w:r>
        <w:rPr>
          <w:rFonts w:ascii="Palatino Linotype" w:hAnsi="Palatino Linotype" w:cs="Arial"/>
        </w:rPr>
        <w:t>, en razón de las siguientes consideraciones de hecho y de derecho:</w:t>
      </w:r>
    </w:p>
    <w:p w:rsidR="00880A06" w:rsidRDefault="00616063">
      <w:pPr>
        <w:widowControl w:val="0"/>
        <w:tabs>
          <w:tab w:val="left" w:pos="1276"/>
        </w:tabs>
        <w:spacing w:before="240" w:afterAutospacing="1" w:line="360" w:lineRule="auto"/>
        <w:jc w:val="both"/>
        <w:rPr>
          <w:rFonts w:ascii="Palatino Linotype" w:hAnsi="Palatino Linotype" w:cs="Arial"/>
        </w:rPr>
      </w:pPr>
      <w:r>
        <w:rPr>
          <w:rFonts w:ascii="Palatino Linotype" w:eastAsia="Calibri" w:hAnsi="Palatino Linotype" w:cs="Arial"/>
          <w:szCs w:val="22"/>
          <w:lang w:eastAsia="en-US"/>
        </w:rPr>
        <w:t xml:space="preserve">Primeramente, es toral señalar que </w:t>
      </w:r>
      <w:r>
        <w:rPr>
          <w:rFonts w:ascii="Palatino Linotype" w:eastAsia="Calibri" w:hAnsi="Palatino Linotype" w:cs="Arial"/>
          <w:b/>
          <w:szCs w:val="22"/>
          <w:lang w:eastAsia="en-US"/>
        </w:rPr>
        <w:t>EL RECURRENTE</w:t>
      </w:r>
      <w:r>
        <w:rPr>
          <w:rFonts w:ascii="Palatino Linotype" w:eastAsia="Calibri" w:hAnsi="Palatino Linotype" w:cs="Arial"/>
          <w:szCs w:val="22"/>
          <w:lang w:eastAsia="en-US"/>
        </w:rPr>
        <w:t xml:space="preserve"> no impugnó todos los rubros vertidos como respuesta del </w:t>
      </w:r>
      <w:r>
        <w:rPr>
          <w:rFonts w:ascii="Palatino Linotype" w:eastAsia="Calibri" w:hAnsi="Palatino Linotype" w:cs="Arial"/>
          <w:b/>
          <w:szCs w:val="22"/>
          <w:lang w:eastAsia="en-US"/>
        </w:rPr>
        <w:t>SUJETO OBLIGADO</w:t>
      </w:r>
      <w:r>
        <w:rPr>
          <w:rFonts w:ascii="Palatino Linotype" w:eastAsia="Calibri" w:hAnsi="Palatino Linotype" w:cs="Arial"/>
          <w:szCs w:val="22"/>
          <w:lang w:eastAsia="en-US"/>
        </w:rPr>
        <w:t>; dado que única</w:t>
      </w:r>
      <w:r>
        <w:rPr>
          <w:rFonts w:ascii="Palatino Linotype" w:eastAsia="Calibri" w:hAnsi="Palatino Linotype" w:cs="Arial"/>
          <w:szCs w:val="22"/>
          <w:lang w:eastAsia="en-US"/>
        </w:rPr>
        <w:t>mente se inconformó de las solicitudes relativas a las cuentas de cheques y a las cuentas de inversión; por ello, la respuesta relativas a los rubros no combatidos queda</w:t>
      </w:r>
      <w:r>
        <w:rPr>
          <w:rFonts w:ascii="Palatino Linotype" w:hAnsi="Palatino Linotype" w:cs="Arial"/>
        </w:rPr>
        <w:t xml:space="preserve"> intocada, ya que se advierte que se da por satisfecho el requerimiento de información,</w:t>
      </w:r>
      <w:r>
        <w:rPr>
          <w:rFonts w:ascii="Palatino Linotype" w:hAnsi="Palatino Linotype" w:cs="Arial"/>
        </w:rPr>
        <w:t xml:space="preserve"> quedando firme ante la falta de impugnación en específico, pues se entiende que </w:t>
      </w:r>
      <w:r>
        <w:rPr>
          <w:rFonts w:ascii="Palatino Linotype" w:hAnsi="Palatino Linotype" w:cs="Arial"/>
          <w:b/>
        </w:rPr>
        <w:t>EL RECURRENTE</w:t>
      </w:r>
      <w:r>
        <w:rPr>
          <w:rFonts w:ascii="Palatino Linotype" w:hAnsi="Palatino Linotype" w:cs="Arial"/>
        </w:rPr>
        <w:t xml:space="preserve"> ésta conforme con la información al no contravenir la misma.</w:t>
      </w:r>
    </w:p>
    <w:p w:rsidR="00880A06" w:rsidRDefault="00616063">
      <w:pPr>
        <w:spacing w:beforeAutospacing="1" w:afterAutospacing="1" w:line="360" w:lineRule="auto"/>
        <w:ind w:right="49"/>
        <w:jc w:val="both"/>
        <w:rPr>
          <w:rFonts w:ascii="Palatino Linotype" w:hAnsi="Palatino Linotype" w:cs="Arial"/>
        </w:rPr>
      </w:pPr>
      <w:r>
        <w:rPr>
          <w:rFonts w:ascii="Palatino Linotype" w:hAnsi="Palatino Linotype" w:cs="Arial"/>
        </w:rPr>
        <w:t>Sirve de sustento por analogía la tesis jurisprudencial número VI.3o.C. J/60, publicada en el Semana</w:t>
      </w:r>
      <w:r>
        <w:rPr>
          <w:rFonts w:ascii="Palatino Linotype" w:hAnsi="Palatino Linotype" w:cs="Arial"/>
        </w:rPr>
        <w:t>rio Judicial de la Federación y su Gaceta bajo el número de registro 176,608 que a la letra dice:</w:t>
      </w:r>
    </w:p>
    <w:p w:rsidR="00880A06" w:rsidRDefault="00616063">
      <w:pPr>
        <w:shd w:val="clear" w:color="auto" w:fill="FFFFFF"/>
        <w:ind w:left="851" w:right="902"/>
        <w:jc w:val="both"/>
        <w:rPr>
          <w:rFonts w:ascii="Arial" w:hAnsi="Arial" w:cs="Arial"/>
          <w:sz w:val="18"/>
          <w:szCs w:val="19"/>
        </w:rPr>
      </w:pPr>
      <w:r>
        <w:rPr>
          <w:rFonts w:ascii="Palatino Linotype" w:hAnsi="Palatino Linotype" w:cs="Arial"/>
          <w:b/>
          <w:bCs/>
          <w:i/>
          <w:iCs/>
          <w:sz w:val="22"/>
        </w:rPr>
        <w:t xml:space="preserve">“ACTOS CONSENTIDOS. SON LOS QUE NO SE IMPUGNAN MEDIANTE EL RECURSO IDÓNEO. </w:t>
      </w:r>
      <w:r>
        <w:rPr>
          <w:rFonts w:ascii="Palatino Linotype" w:hAnsi="Palatino Linotype" w:cs="Arial"/>
          <w:i/>
          <w:iCs/>
          <w:sz w:val="22"/>
        </w:rPr>
        <w:t xml:space="preserve">Debe reputarse como consentido el acto que no se impugnó por el medio establecido </w:t>
      </w:r>
      <w:r>
        <w:rPr>
          <w:rFonts w:ascii="Palatino Linotype" w:hAnsi="Palatino Linotype" w:cs="Arial"/>
          <w:i/>
          <w:iCs/>
          <w:sz w:val="22"/>
        </w:rPr>
        <w:t>por la ley, ya que si se hizo uso de otro no previsto por ella o si se hace una simple manifestación de inconformidad, tales actuaciones no producen efectos jurídicos tendientes a revocar, confirmar o modificar el acto reclamado en amparo, lo que significa</w:t>
      </w:r>
      <w:r>
        <w:rPr>
          <w:rFonts w:ascii="Palatino Linotype" w:hAnsi="Palatino Linotype" w:cs="Arial"/>
          <w:i/>
          <w:iCs/>
          <w:sz w:val="22"/>
        </w:rPr>
        <w:t xml:space="preserve"> consentimiento del mismo por falta de impugnación eficaz.”</w:t>
      </w:r>
    </w:p>
    <w:p w:rsidR="00880A06" w:rsidRDefault="00616063">
      <w:pPr>
        <w:shd w:val="clear" w:color="auto" w:fill="FFFFFF"/>
        <w:spacing w:beforeAutospacing="1" w:afterAutospacing="1" w:line="360" w:lineRule="auto"/>
        <w:ind w:right="49"/>
        <w:jc w:val="both"/>
        <w:rPr>
          <w:rFonts w:ascii="Palatino Linotype" w:hAnsi="Palatino Linotype" w:cs="Arial"/>
        </w:rPr>
      </w:pPr>
      <w:r>
        <w:rPr>
          <w:rFonts w:ascii="Palatino Linotype" w:hAnsi="Palatino Linotype" w:cs="Arial"/>
        </w:rPr>
        <w:t xml:space="preserve">Lo anterior es así, debido a que, cuando </w:t>
      </w:r>
      <w:r>
        <w:rPr>
          <w:rFonts w:ascii="Palatino Linotype" w:hAnsi="Palatino Linotype" w:cs="Arial"/>
          <w:b/>
          <w:bCs/>
        </w:rPr>
        <w:t xml:space="preserve">EL RECURRENTE </w:t>
      </w:r>
      <w:r>
        <w:rPr>
          <w:rFonts w:ascii="Palatino Linotype" w:hAnsi="Palatino Linotype" w:cs="Arial"/>
        </w:rPr>
        <w:t xml:space="preserve">impugnó la respuesta del </w:t>
      </w:r>
      <w:r>
        <w:rPr>
          <w:rFonts w:ascii="Palatino Linotype" w:hAnsi="Palatino Linotype" w:cs="Arial"/>
          <w:b/>
          <w:bCs/>
        </w:rPr>
        <w:t>SUJETO OBLIGADO</w:t>
      </w:r>
      <w:r>
        <w:rPr>
          <w:rFonts w:ascii="Palatino Linotype" w:hAnsi="Palatino Linotype" w:cs="Arial"/>
        </w:rPr>
        <w:t xml:space="preserve">, no expresó razón o motivo de inconformidad en contra de todos los rubros solicitados; por lo que, dichos rubros deben declararse atendidos, pues se entiende que </w:t>
      </w:r>
      <w:r>
        <w:rPr>
          <w:rFonts w:ascii="Palatino Linotype" w:hAnsi="Palatino Linotype" w:cs="Arial"/>
          <w:b/>
          <w:bCs/>
        </w:rPr>
        <w:t>EL RECURRENTE</w:t>
      </w:r>
      <w:r>
        <w:rPr>
          <w:rFonts w:ascii="Palatino Linotype" w:hAnsi="Palatino Linotype" w:cs="Arial"/>
        </w:rPr>
        <w:t xml:space="preserve"> está conforme con la información al no contravenir la misma.</w:t>
      </w:r>
    </w:p>
    <w:p w:rsidR="00880A06" w:rsidRDefault="00616063">
      <w:pPr>
        <w:shd w:val="clear" w:color="auto" w:fill="FFFFFF"/>
        <w:spacing w:line="360" w:lineRule="auto"/>
        <w:ind w:right="49"/>
        <w:jc w:val="both"/>
        <w:rPr>
          <w:rFonts w:ascii="Arial" w:hAnsi="Arial" w:cs="Arial"/>
        </w:rPr>
      </w:pPr>
      <w:r>
        <w:rPr>
          <w:rFonts w:ascii="Palatino Linotype" w:eastAsia="Arial Unicode MS" w:hAnsi="Palatino Linotype" w:cs="Arial"/>
        </w:rPr>
        <w:lastRenderedPageBreak/>
        <w:t xml:space="preserve">Consecuentemente, </w:t>
      </w:r>
      <w:r>
        <w:rPr>
          <w:rFonts w:ascii="Palatino Linotype" w:eastAsia="Arial Unicode MS" w:hAnsi="Palatino Linotype" w:cs="Arial"/>
        </w:rPr>
        <w:t xml:space="preserve">la parte de la respuesta que no fue impugnada debe declararse consentida por </w:t>
      </w:r>
      <w:r>
        <w:rPr>
          <w:rFonts w:ascii="Palatino Linotype" w:eastAsia="Arial Unicode MS" w:hAnsi="Palatino Linotype" w:cs="Arial"/>
          <w:b/>
        </w:rPr>
        <w:t>EL RECURRENTE</w:t>
      </w:r>
      <w:r>
        <w:rPr>
          <w:rFonts w:ascii="Palatino Linotype" w:eastAsia="Arial Unicode MS" w:hAnsi="Palatino Linotype" w:cs="Arial"/>
        </w:rPr>
        <w:t>; toda vez, que no realizó manifestaciones de inconformidad; por lo que, no pueden producirse efectos jurídicos tendentes a revocar, confirmar o modificar el acto rec</w:t>
      </w:r>
      <w:r>
        <w:rPr>
          <w:rFonts w:ascii="Palatino Linotype" w:eastAsia="Arial Unicode MS" w:hAnsi="Palatino Linotype" w:cs="Arial"/>
        </w:rPr>
        <w:t>lamado, ya que se infiere su consentimiento ante la falta de impugnación eficaz.</w:t>
      </w:r>
    </w:p>
    <w:p w:rsidR="00880A06" w:rsidRDefault="00616063">
      <w:pPr>
        <w:shd w:val="clear" w:color="auto" w:fill="FFFFFF"/>
        <w:spacing w:beforeAutospacing="1" w:afterAutospacing="1" w:line="360" w:lineRule="auto"/>
        <w:ind w:right="49"/>
        <w:jc w:val="both"/>
        <w:rPr>
          <w:rFonts w:ascii="Arial" w:hAnsi="Arial" w:cs="Arial"/>
        </w:rPr>
      </w:pPr>
      <w:r>
        <w:rPr>
          <w:rFonts w:ascii="Palatino Linotype" w:hAnsi="Palatino Linotype" w:cs="Arial"/>
        </w:rPr>
        <w:t>Sirve como apoyo a lo anterior, por analogía, la Tesis Jurisprudencial Número 3ª./J.7/91, Publicada en el Semanario Judicial de la Federación y su Gaceta bajo el número de reg</w:t>
      </w:r>
      <w:r>
        <w:rPr>
          <w:rFonts w:ascii="Palatino Linotype" w:hAnsi="Palatino Linotype" w:cs="Arial"/>
        </w:rPr>
        <w:t>istro 174,177, que establece lo siguiente:</w:t>
      </w:r>
    </w:p>
    <w:p w:rsidR="00880A06" w:rsidRDefault="00616063">
      <w:pPr>
        <w:shd w:val="clear" w:color="auto" w:fill="FFFFFF"/>
        <w:ind w:left="709" w:right="760"/>
        <w:jc w:val="both"/>
        <w:rPr>
          <w:rFonts w:ascii="Palatino Linotype" w:hAnsi="Palatino Linotype" w:cs="Arial"/>
          <w:i/>
          <w:iCs/>
          <w:sz w:val="22"/>
        </w:rPr>
      </w:pPr>
      <w:r>
        <w:rPr>
          <w:rFonts w:ascii="Palatino Linotype" w:hAnsi="Palatino Linotype" w:cs="Arial"/>
          <w:b/>
          <w:bCs/>
          <w:i/>
          <w:iCs/>
          <w:sz w:val="22"/>
        </w:rPr>
        <w:t xml:space="preserve">“REVISIÓN EN AMPARO. LOS RESOLUTIVOS NO COMBATIDOS DEBEN DECLARARSE FIRMES. </w:t>
      </w:r>
      <w:r>
        <w:rPr>
          <w:rFonts w:ascii="Palatino Linotype" w:hAnsi="Palatino Linotype" w:cs="Arial"/>
          <w:i/>
          <w:iCs/>
          <w:sz w:val="22"/>
        </w:rPr>
        <w:t xml:space="preserve">Cuando algún resolutivo de la sentencia impugnada afecta a la recurrente, y ésta no expresa agravio en contra de las consideraciones que </w:t>
      </w:r>
      <w:r>
        <w:rPr>
          <w:rFonts w:ascii="Palatino Linotype" w:hAnsi="Palatino Linotype" w:cs="Arial"/>
          <w:i/>
          <w:iCs/>
          <w:sz w:val="22"/>
        </w:rPr>
        <w:t>le sirven de base, dicho resolutivo debe declararse firme. Esto es, en el caso referido, no obstante que la materia de la revisión comprende a todos los resolutivos que afectan a la recurrente, deben declararse firmes aquéllos en contra de los cuales no se</w:t>
      </w:r>
      <w:r>
        <w:rPr>
          <w:rFonts w:ascii="Palatino Linotype" w:hAnsi="Palatino Linotype" w:cs="Arial"/>
          <w:i/>
          <w:iCs/>
          <w:sz w:val="22"/>
        </w:rPr>
        <w:t xml:space="preserve"> formuló agravio y dicha declaración de firmeza debe reflejarse en la parte considerativa y en los resolutivos debe confirmarse la sentencia recurrida en la parte correspondiente.”</w:t>
      </w:r>
    </w:p>
    <w:p w:rsidR="00880A06" w:rsidRDefault="00616063">
      <w:pPr>
        <w:spacing w:beforeAutospacing="1" w:afterAutospacing="1" w:line="360" w:lineRule="auto"/>
        <w:jc w:val="both"/>
        <w:rPr>
          <w:rFonts w:ascii="Palatino Linotype" w:hAnsi="Palatino Linotype" w:cs="Arial"/>
          <w:lang w:val="es-ES_tradnl"/>
        </w:rPr>
      </w:pPr>
      <w:r>
        <w:rPr>
          <w:rFonts w:ascii="Palatino Linotype" w:eastAsia="Calibri" w:hAnsi="Palatino Linotype"/>
          <w:szCs w:val="22"/>
          <w:lang w:eastAsia="en-US"/>
        </w:rPr>
        <w:t>Una vez delimitado lo anterior, por cuanto hace a las solicitudes de acceso</w:t>
      </w:r>
      <w:r>
        <w:rPr>
          <w:rFonts w:ascii="Palatino Linotype" w:eastAsia="Calibri" w:hAnsi="Palatino Linotype"/>
          <w:szCs w:val="22"/>
          <w:lang w:eastAsia="en-US"/>
        </w:rPr>
        <w:t xml:space="preserve"> a la información marcadas con los numerales 1 y 2, relativas a las</w:t>
      </w:r>
      <w:r>
        <w:rPr>
          <w:rFonts w:ascii="Palatino Linotype" w:hAnsi="Palatino Linotype" w:cs="Arial"/>
        </w:rPr>
        <w:t xml:space="preserve"> cuentas de cheques y de inversión que maneja </w:t>
      </w:r>
      <w:r>
        <w:rPr>
          <w:rFonts w:ascii="Palatino Linotype" w:hAnsi="Palatino Linotype" w:cs="Arial"/>
          <w:b/>
        </w:rPr>
        <w:t>EL SUJETO OBLIGADO</w:t>
      </w:r>
      <w:r>
        <w:rPr>
          <w:rFonts w:ascii="Palatino Linotype" w:hAnsi="Palatino Linotype" w:cs="Arial"/>
        </w:rPr>
        <w:t xml:space="preserve">, </w:t>
      </w:r>
      <w:r>
        <w:rPr>
          <w:rFonts w:ascii="Palatino Linotype" w:eastAsia="Calibri" w:hAnsi="Palatino Linotype" w:cs="Arial"/>
        </w:rPr>
        <w:t xml:space="preserve">este Instituto </w:t>
      </w:r>
      <w:r>
        <w:rPr>
          <w:rFonts w:ascii="Palatino Linotype" w:hAnsi="Palatino Linotype"/>
        </w:rPr>
        <w:t>precisa que se obvia el análisis de la competencia, para generar, administrar o poseer la información solici</w:t>
      </w:r>
      <w:r>
        <w:rPr>
          <w:rFonts w:ascii="Palatino Linotype" w:hAnsi="Palatino Linotype"/>
        </w:rPr>
        <w:t>tada, dado que éste ha asumido la misma, en razón de que en su respuesta remitió un documento en específico en el cual tuvo la pretensión de desglosar cada uno de los rubros peticionados por el particular.</w:t>
      </w:r>
    </w:p>
    <w:p w:rsidR="00880A06" w:rsidRDefault="00616063">
      <w:pPr>
        <w:spacing w:before="240" w:after="240" w:line="360" w:lineRule="auto"/>
        <w:jc w:val="both"/>
        <w:rPr>
          <w:rFonts w:ascii="Palatino Linotype" w:hAnsi="Palatino Linotype"/>
        </w:rPr>
      </w:pPr>
      <w:r>
        <w:rPr>
          <w:rFonts w:ascii="Palatino Linotype" w:hAnsi="Palatino Linotype"/>
        </w:rPr>
        <w:t xml:space="preserve">En efecto, el hecho de que </w:t>
      </w:r>
      <w:r>
        <w:rPr>
          <w:rFonts w:ascii="Palatino Linotype" w:hAnsi="Palatino Linotype"/>
          <w:b/>
        </w:rPr>
        <w:t>EL SUJETO OBLIGADO</w:t>
      </w:r>
      <w:r>
        <w:rPr>
          <w:rFonts w:ascii="Palatino Linotype" w:hAnsi="Palatino Linotype"/>
        </w:rPr>
        <w:t xml:space="preserve"> haya</w:t>
      </w:r>
      <w:r>
        <w:rPr>
          <w:rFonts w:ascii="Palatino Linotype" w:hAnsi="Palatino Linotype"/>
        </w:rPr>
        <w:t xml:space="preserve"> asumido contar con la información pública solicitada, acepta que la genera, posee y administra, en ejercicio </w:t>
      </w:r>
      <w:r>
        <w:rPr>
          <w:rFonts w:ascii="Palatino Linotype" w:hAnsi="Palatino Linotype"/>
        </w:rPr>
        <w:lastRenderedPageBreak/>
        <w:t>de sus funciones de derecho público, motivo por el cual se actualiza el supuesto jurídico, previsto en el artículo 12 de la Ley de Transparencia y</w:t>
      </w:r>
      <w:r>
        <w:rPr>
          <w:rFonts w:ascii="Palatino Linotype" w:hAnsi="Palatino Linotype"/>
        </w:rPr>
        <w:t xml:space="preserve"> Acceso a la Información Pública del Estado de México y Municipios. </w:t>
      </w:r>
    </w:p>
    <w:p w:rsidR="00880A06" w:rsidRDefault="00616063">
      <w:pPr>
        <w:tabs>
          <w:tab w:val="left" w:pos="851"/>
          <w:tab w:val="left" w:pos="8505"/>
        </w:tabs>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12.</w:t>
      </w:r>
      <w:r>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880A06" w:rsidRDefault="00616063">
      <w:pPr>
        <w:ind w:left="851" w:right="902"/>
        <w:jc w:val="both"/>
        <w:rPr>
          <w:rFonts w:ascii="Palatino Linotype" w:hAnsi="Palatino Linotype" w:cs="Arial"/>
          <w:i/>
          <w:sz w:val="22"/>
          <w:szCs w:val="22"/>
        </w:rPr>
      </w:pPr>
      <w:r>
        <w:rPr>
          <w:rFonts w:ascii="Palatino Linotype" w:hAnsi="Palatino Linotype" w:cs="Arial"/>
          <w:i/>
          <w:sz w:val="22"/>
          <w:szCs w:val="22"/>
        </w:rPr>
        <w:t>Los sujetos obligados sólo proporcionarán la información públic</w:t>
      </w:r>
      <w:r>
        <w:rPr>
          <w:rFonts w:ascii="Palatino Linotype" w:hAnsi="Palatino Linotype" w:cs="Arial"/>
          <w:i/>
          <w:sz w:val="22"/>
          <w:szCs w:val="22"/>
        </w:rPr>
        <w:t>a que se les requiera y que obre en sus archivos y en el estado en que ésta se encuentre. La obligación de proporcionar información no comprende el procesamiento de la misma, ni el presentarla conforme al interés del solicitante; no estarán obligados a gen</w:t>
      </w:r>
      <w:r>
        <w:rPr>
          <w:rFonts w:ascii="Palatino Linotype" w:hAnsi="Palatino Linotype" w:cs="Arial"/>
          <w:i/>
          <w:sz w:val="22"/>
          <w:szCs w:val="22"/>
        </w:rPr>
        <w:t xml:space="preserve">erarla, resumirla, efectuar cálculos o practicar investigaciones.” </w:t>
      </w:r>
    </w:p>
    <w:p w:rsidR="00880A06" w:rsidRDefault="00616063">
      <w:pPr>
        <w:spacing w:before="240" w:after="240" w:line="360" w:lineRule="auto"/>
        <w:jc w:val="both"/>
      </w:pPr>
      <w:r>
        <w:rPr>
          <w:rFonts w:ascii="Palatino Linotype" w:hAnsi="Palatino Linotype"/>
        </w:rPr>
        <w:t xml:space="preserve">Así,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sin embargo, en aquell</w:t>
      </w:r>
      <w:r>
        <w:rPr>
          <w:rFonts w:ascii="Palatino Linotype" w:hAnsi="Palatino Linotype"/>
        </w:rPr>
        <w:t>os casos en que éste la asume, a nada práctico nos conduciría su estudio, ya que se insiste, dicha información, fue admitida por el mismo; por lo que, la genera, posee y administra, en ejercicio de sus funciones de derecho público, motivo por el cual, se a</w:t>
      </w:r>
      <w:r>
        <w:rPr>
          <w:rFonts w:ascii="Palatino Linotype" w:hAnsi="Palatino Linotype"/>
        </w:rPr>
        <w:t>ctualiza el supuesto jurídico, previsto en el artículo 12 de la Ley de la materia, anteriormente referido.</w:t>
      </w:r>
      <w:r>
        <w:t xml:space="preserve"> </w:t>
      </w:r>
    </w:p>
    <w:p w:rsidR="00880A06" w:rsidRDefault="00616063">
      <w:pPr>
        <w:spacing w:beforeAutospacing="1" w:afterAutospacing="1"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SUJETO OBLIGADO</w:t>
      </w:r>
      <w:r>
        <w:rPr>
          <w:rFonts w:ascii="Palatino Linotype" w:hAnsi="Palatino Linotype"/>
        </w:rPr>
        <w:t>, a fin de dar respuesta a la solicitud plante</w:t>
      </w:r>
      <w:r>
        <w:rPr>
          <w:rFonts w:ascii="Palatino Linotype" w:hAnsi="Palatino Linotype"/>
        </w:rPr>
        <w:t xml:space="preserve">ada, este Instituto no está facultado para manifestarse sobre la veracidad de la información proporcionada, pues este Órgano Garante, conforme al artículo 36 de la Ley de la Materia, no se encuentra facultado para pronunciarse acerca de la autenticidad de </w:t>
      </w:r>
      <w:r>
        <w:rPr>
          <w:rFonts w:ascii="Palatino Linotype" w:hAnsi="Palatino Linotype"/>
        </w:rPr>
        <w:t>dicho pronunciamiento.</w:t>
      </w:r>
    </w:p>
    <w:p w:rsidR="00880A06" w:rsidRDefault="00616063">
      <w:pPr>
        <w:spacing w:beforeAutospacing="1" w:afterAutospacing="1" w:line="360" w:lineRule="auto"/>
        <w:jc w:val="both"/>
        <w:rPr>
          <w:rFonts w:ascii="Palatino Linotype" w:hAnsi="Palatino Linotype" w:cs="Arial"/>
        </w:rPr>
      </w:pPr>
      <w:r>
        <w:rPr>
          <w:rFonts w:ascii="Palatino Linotype" w:hAnsi="Palatino Linotype" w:cs="Arial"/>
        </w:rPr>
        <w:lastRenderedPageBreak/>
        <w:t>Sirve de sustento a lo anterior, el criterio 31/10 emitido por el entonces Instituto Federal de Acceso a la Información y Protección de Datos, ahora Instituto Nacional de Transparencia, Acceso a la Información y Protección de Datos P</w:t>
      </w:r>
      <w:r>
        <w:rPr>
          <w:rFonts w:ascii="Palatino Linotype" w:hAnsi="Palatino Linotype" w:cs="Arial"/>
        </w:rPr>
        <w:t xml:space="preserve">ersonales (INAI), el cual refiere: </w:t>
      </w:r>
    </w:p>
    <w:p w:rsidR="00880A06" w:rsidRDefault="00616063">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w:t>
      </w:r>
      <w:r>
        <w:rPr>
          <w:rFonts w:ascii="Palatino Linotype" w:hAnsi="Palatino Linotype" w:cs="Arial"/>
          <w:i/>
          <w:sz w:val="22"/>
        </w:rPr>
        <w:t>de Acceso a la Información y Protección de Datos es un órgano de la Administración Pública Federal con autonomía operativa, presupuestaria y de decisión, encargado de promover y difundir el ejercicio del derecho de acceso a la información; resolver sobre l</w:t>
      </w:r>
      <w:r>
        <w:rPr>
          <w:rFonts w:ascii="Palatino Linotype" w:hAnsi="Palatino Linotype" w:cs="Arial"/>
          <w:i/>
          <w:sz w:val="22"/>
        </w:rPr>
        <w:t>a negativa de las solicitudes de acceso a la información; y proteger los datos personales en poder de las dependencias y entidades. Sin embargo, no está facultado para pronunciarse sobre la veracidad de la información proporcionada por las autoridades en r</w:t>
      </w:r>
      <w:r>
        <w:rPr>
          <w:rFonts w:ascii="Palatino Linotype" w:hAnsi="Palatino Linotype" w:cs="Arial"/>
          <w:i/>
          <w:sz w:val="22"/>
        </w:rPr>
        <w:t>espuesta a las solicitudes de información que les presentan los particulares, en virtud de que en los artículos 49 y 50 de la Ley Federal de Transparencia y Acceso a la Información Pública Gubernamental no se prevé una causal que permita al Instituto Feder</w:t>
      </w:r>
      <w:r>
        <w:rPr>
          <w:rFonts w:ascii="Palatino Linotype" w:hAnsi="Palatino Linotype" w:cs="Arial"/>
          <w:i/>
          <w:sz w:val="22"/>
        </w:rPr>
        <w:t>al de Acceso a la Información y Protección de Datos conocer, vía recurso revisión, al respecto. Expedientes: 2440/07 Comisión Federal de Electricidad - Alonso Lujambio Irazábal 0113/09 Instituto de Seguridad y Servicios Sociales de los Trabajadores del Est</w:t>
      </w:r>
      <w:r>
        <w:rPr>
          <w:rFonts w:ascii="Palatino Linotype" w:hAnsi="Palatino Linotype" w:cs="Arial"/>
          <w:i/>
          <w:sz w:val="22"/>
        </w:rPr>
        <w:t>ado – Alonso Lujambio Irazábal 1624/09 Instituto Nacional para la Educación de los Adultos - María Marván Laborde 2395/09 Secretaría de Economía - María Marván Laborde 0837/10 Administración Portuaria Integral de Veracruz, S.A. de C.V. – María Marván Labor</w:t>
      </w:r>
      <w:r>
        <w:rPr>
          <w:rFonts w:ascii="Palatino Linotype" w:hAnsi="Palatino Linotype" w:cs="Arial"/>
          <w:i/>
          <w:sz w:val="22"/>
        </w:rPr>
        <w:t xml:space="preserve">de </w:t>
      </w:r>
    </w:p>
    <w:p w:rsidR="00880A06" w:rsidRDefault="00616063">
      <w:pPr>
        <w:ind w:left="709" w:right="757"/>
        <w:jc w:val="both"/>
        <w:rPr>
          <w:rFonts w:ascii="Palatino Linotype" w:hAnsi="Palatino Linotype" w:cs="Arial"/>
          <w:b/>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880A06" w:rsidRDefault="00616063">
      <w:pPr>
        <w:widowControl w:val="0"/>
        <w:tabs>
          <w:tab w:val="left" w:pos="1701"/>
          <w:tab w:val="left" w:pos="1843"/>
        </w:tabs>
        <w:spacing w:before="360" w:after="240" w:line="360" w:lineRule="auto"/>
        <w:jc w:val="both"/>
        <w:rPr>
          <w:rFonts w:ascii="Palatino Linotype" w:hAnsi="Palatino Linotype" w:cs="Arial"/>
        </w:rPr>
      </w:pPr>
      <w:r>
        <w:rPr>
          <w:rFonts w:ascii="Palatino Linotype" w:hAnsi="Palatino Linotype" w:cs="Arial"/>
        </w:rPr>
        <w:t xml:space="preserve">Dicho lo anterior, esta Autoridad se dio a la tarea de analizar cada uno de los requerimientos de información, respecto a las respuestas recaídas, a fin de verificar si quedó satisfecho el derecho de acceso a la información </w:t>
      </w:r>
      <w:r>
        <w:rPr>
          <w:rFonts w:ascii="Palatino Linotype" w:hAnsi="Palatino Linotype" w:cs="Arial"/>
        </w:rPr>
        <w:t>ejercitado por el particular y arribó a las siguientes conclusiones:</w:t>
      </w:r>
    </w:p>
    <w:tbl>
      <w:tblPr>
        <w:tblStyle w:val="Tablaconcuadrcula"/>
        <w:tblW w:w="9111" w:type="dxa"/>
        <w:tblLook w:val="04A0" w:firstRow="1" w:lastRow="0" w:firstColumn="1" w:lastColumn="0" w:noHBand="0" w:noVBand="1"/>
      </w:tblPr>
      <w:tblGrid>
        <w:gridCol w:w="3292"/>
        <w:gridCol w:w="3207"/>
        <w:gridCol w:w="2612"/>
      </w:tblGrid>
      <w:tr w:rsidR="00880A06">
        <w:trPr>
          <w:tblHeader/>
        </w:trPr>
        <w:tc>
          <w:tcPr>
            <w:tcW w:w="3292" w:type="dxa"/>
            <w:shd w:val="clear" w:color="auto" w:fill="000000" w:themeFill="text1"/>
            <w:vAlign w:val="center"/>
          </w:tcPr>
          <w:p w:rsidR="00880A06" w:rsidRDefault="00616063">
            <w:pPr>
              <w:widowControl w:val="0"/>
              <w:tabs>
                <w:tab w:val="left" w:pos="1701"/>
                <w:tab w:val="left" w:pos="1843"/>
              </w:tabs>
              <w:jc w:val="center"/>
              <w:rPr>
                <w:rFonts w:ascii="Palatino Linotype" w:hAnsi="Palatino Linotype" w:cs="Arial"/>
                <w:b/>
              </w:rPr>
            </w:pPr>
            <w:r>
              <w:rPr>
                <w:rFonts w:ascii="Palatino Linotype" w:eastAsiaTheme="minorHAnsi" w:hAnsi="Palatino Linotype" w:cs="Arial"/>
                <w:b/>
                <w:sz w:val="22"/>
                <w:szCs w:val="22"/>
                <w:lang w:eastAsia="en-US"/>
              </w:rPr>
              <w:t>Requerimiento</w:t>
            </w:r>
          </w:p>
        </w:tc>
        <w:tc>
          <w:tcPr>
            <w:tcW w:w="3207" w:type="dxa"/>
            <w:shd w:val="clear" w:color="auto" w:fill="000000" w:themeFill="text1"/>
            <w:vAlign w:val="center"/>
          </w:tcPr>
          <w:p w:rsidR="00880A06" w:rsidRDefault="00616063">
            <w:pPr>
              <w:widowControl w:val="0"/>
              <w:tabs>
                <w:tab w:val="left" w:pos="1701"/>
                <w:tab w:val="left" w:pos="1843"/>
              </w:tabs>
              <w:jc w:val="center"/>
              <w:rPr>
                <w:rFonts w:ascii="Palatino Linotype" w:hAnsi="Palatino Linotype" w:cs="Arial"/>
                <w:b/>
              </w:rPr>
            </w:pPr>
            <w:r>
              <w:rPr>
                <w:rFonts w:ascii="Palatino Linotype" w:eastAsiaTheme="minorHAnsi" w:hAnsi="Palatino Linotype" w:cs="Arial"/>
                <w:b/>
                <w:sz w:val="22"/>
                <w:szCs w:val="22"/>
                <w:lang w:eastAsia="en-US"/>
              </w:rPr>
              <w:t>Respuesta</w:t>
            </w:r>
          </w:p>
        </w:tc>
        <w:tc>
          <w:tcPr>
            <w:tcW w:w="2612" w:type="dxa"/>
            <w:shd w:val="clear" w:color="auto" w:fill="000000" w:themeFill="text1"/>
            <w:vAlign w:val="center"/>
          </w:tcPr>
          <w:p w:rsidR="00880A06" w:rsidRDefault="00616063">
            <w:pPr>
              <w:widowControl w:val="0"/>
              <w:tabs>
                <w:tab w:val="left" w:pos="1701"/>
                <w:tab w:val="left" w:pos="1843"/>
              </w:tabs>
              <w:jc w:val="center"/>
              <w:rPr>
                <w:rFonts w:ascii="Palatino Linotype" w:hAnsi="Palatino Linotype" w:cs="Arial"/>
                <w:b/>
              </w:rPr>
            </w:pPr>
            <w:r>
              <w:rPr>
                <w:rFonts w:ascii="Palatino Linotype" w:eastAsiaTheme="minorHAnsi" w:hAnsi="Palatino Linotype" w:cs="Arial"/>
                <w:b/>
                <w:sz w:val="22"/>
                <w:szCs w:val="22"/>
                <w:lang w:eastAsia="en-US"/>
              </w:rPr>
              <w:t>Colma</w:t>
            </w:r>
          </w:p>
        </w:tc>
      </w:tr>
      <w:tr w:rsidR="00880A06">
        <w:tc>
          <w:tcPr>
            <w:tcW w:w="3292" w:type="dxa"/>
            <w:shd w:val="clear" w:color="auto" w:fill="BFBFBF" w:themeFill="background1" w:themeFillShade="BF"/>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1. Las cuentas de cheques que maneja el Instituto.</w:t>
            </w:r>
          </w:p>
        </w:tc>
        <w:tc>
          <w:tcPr>
            <w:tcW w:w="3207" w:type="dxa"/>
            <w:shd w:val="clear" w:color="auto" w:fill="BFBFBF" w:themeFill="background1" w:themeFillShade="BF"/>
            <w:vAlign w:val="center"/>
          </w:tcPr>
          <w:p w:rsidR="00880A06" w:rsidRDefault="00616063">
            <w:pPr>
              <w:widowControl w:val="0"/>
              <w:tabs>
                <w:tab w:val="left" w:pos="1701"/>
                <w:tab w:val="left" w:pos="1843"/>
              </w:tabs>
              <w:jc w:val="center"/>
              <w:rPr>
                <w:rFonts w:ascii="Palatino Linotype" w:hAnsi="Palatino Linotype" w:cs="Arial"/>
              </w:rPr>
            </w:pPr>
            <w:r>
              <w:rPr>
                <w:rFonts w:ascii="Palatino Linotype" w:eastAsiaTheme="minorHAnsi" w:hAnsi="Palatino Linotype" w:cs="Arial"/>
                <w:sz w:val="22"/>
                <w:szCs w:val="22"/>
                <w:lang w:eastAsia="en-US"/>
              </w:rPr>
              <w:t>2</w:t>
            </w:r>
          </w:p>
        </w:tc>
        <w:tc>
          <w:tcPr>
            <w:tcW w:w="2612" w:type="dxa"/>
            <w:shd w:val="clear" w:color="auto" w:fill="FFFFCC"/>
            <w:vAlign w:val="center"/>
          </w:tcPr>
          <w:p w:rsidR="00880A06" w:rsidRDefault="00616063">
            <w:pPr>
              <w:widowControl w:val="0"/>
              <w:tabs>
                <w:tab w:val="left" w:pos="1701"/>
                <w:tab w:val="left" w:pos="1843"/>
              </w:tabs>
              <w:jc w:val="center"/>
              <w:rPr>
                <w:rFonts w:ascii="Palatino Linotype" w:hAnsi="Palatino Linotype" w:cs="Arial"/>
              </w:rPr>
            </w:pPr>
            <w:r>
              <w:rPr>
                <w:rFonts w:ascii="Palatino Linotype" w:eastAsiaTheme="minorHAnsi" w:hAnsi="Palatino Linotype" w:cs="Arial"/>
                <w:sz w:val="22"/>
                <w:szCs w:val="22"/>
                <w:lang w:eastAsia="en-US"/>
              </w:rPr>
              <w:t>Parcialmente</w:t>
            </w:r>
          </w:p>
        </w:tc>
      </w:tr>
      <w:tr w:rsidR="00880A06">
        <w:tc>
          <w:tcPr>
            <w:tcW w:w="3292" w:type="dxa"/>
            <w:vAlign w:val="center"/>
          </w:tcPr>
          <w:p w:rsidR="00880A06" w:rsidRDefault="00616063">
            <w:pPr>
              <w:widowControl w:val="0"/>
              <w:numPr>
                <w:ilvl w:val="1"/>
                <w:numId w:val="6"/>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lastRenderedPageBreak/>
              <w:t>Saldo promedio mensual.</w:t>
            </w:r>
          </w:p>
        </w:tc>
        <w:tc>
          <w:tcPr>
            <w:tcW w:w="3207"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Banregio 1.8 millones de pesos (MDP).</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Santander 1.5 MDP.</w:t>
            </w:r>
          </w:p>
        </w:tc>
        <w:tc>
          <w:tcPr>
            <w:tcW w:w="2612" w:type="dxa"/>
            <w:shd w:val="clear" w:color="auto" w:fill="FFFFCC"/>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 xml:space="preserve">Parcialmente. </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No remite la expresión documental que dé cuenta de los saldos mensuales.</w:t>
            </w:r>
          </w:p>
        </w:tc>
      </w:tr>
      <w:tr w:rsidR="00880A06">
        <w:tc>
          <w:tcPr>
            <w:tcW w:w="3292" w:type="dxa"/>
            <w:vAlign w:val="center"/>
          </w:tcPr>
          <w:p w:rsidR="00880A06" w:rsidRDefault="00616063">
            <w:pPr>
              <w:widowControl w:val="0"/>
              <w:numPr>
                <w:ilvl w:val="1"/>
                <w:numId w:val="6"/>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Institución Bancaria.</w:t>
            </w:r>
          </w:p>
        </w:tc>
        <w:tc>
          <w:tcPr>
            <w:tcW w:w="3207"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Banregio y Santander.</w:t>
            </w:r>
          </w:p>
        </w:tc>
        <w:tc>
          <w:tcPr>
            <w:tcW w:w="2612" w:type="dxa"/>
            <w:shd w:val="clear" w:color="auto" w:fill="EAF1DD" w:themeFill="accent3" w:themeFillTint="33"/>
            <w:vAlign w:val="center"/>
          </w:tcPr>
          <w:p w:rsidR="00880A06" w:rsidRDefault="00616063">
            <w:pPr>
              <w:widowControl w:val="0"/>
              <w:tabs>
                <w:tab w:val="left" w:pos="1701"/>
                <w:tab w:val="left" w:pos="1843"/>
              </w:tabs>
              <w:jc w:val="center"/>
              <w:rPr>
                <w:rFonts w:ascii="Palatino Linotype" w:hAnsi="Palatino Linotype" w:cs="Arial"/>
              </w:rPr>
            </w:pPr>
            <w:r>
              <w:rPr>
                <w:rFonts w:ascii="Palatino Linotype" w:eastAsiaTheme="minorHAnsi" w:hAnsi="Palatino Linotype" w:cs="Arial"/>
                <w:sz w:val="22"/>
                <w:szCs w:val="22"/>
                <w:lang w:eastAsia="en-US"/>
              </w:rPr>
              <w:t>Sí</w:t>
            </w:r>
          </w:p>
        </w:tc>
      </w:tr>
      <w:tr w:rsidR="00880A06">
        <w:tc>
          <w:tcPr>
            <w:tcW w:w="3292" w:type="dxa"/>
            <w:vAlign w:val="center"/>
          </w:tcPr>
          <w:p w:rsidR="00880A06" w:rsidRDefault="00616063">
            <w:pPr>
              <w:widowControl w:val="0"/>
              <w:numPr>
                <w:ilvl w:val="1"/>
                <w:numId w:val="6"/>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Objeto de las Cuentas.</w:t>
            </w:r>
          </w:p>
        </w:tc>
        <w:tc>
          <w:tcPr>
            <w:tcW w:w="3207"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Banregio: Fondo Fijo.</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Santander: Cheques de Nómina.</w:t>
            </w:r>
          </w:p>
        </w:tc>
        <w:tc>
          <w:tcPr>
            <w:tcW w:w="2612" w:type="dxa"/>
            <w:shd w:val="clear" w:color="auto" w:fill="EAF1DD" w:themeFill="accent3" w:themeFillTint="33"/>
            <w:vAlign w:val="center"/>
          </w:tcPr>
          <w:p w:rsidR="00880A06" w:rsidRDefault="00616063">
            <w:pPr>
              <w:widowControl w:val="0"/>
              <w:tabs>
                <w:tab w:val="left" w:pos="1701"/>
                <w:tab w:val="left" w:pos="1843"/>
              </w:tabs>
              <w:jc w:val="center"/>
              <w:rPr>
                <w:rFonts w:ascii="Palatino Linotype" w:hAnsi="Palatino Linotype" w:cs="Arial"/>
              </w:rPr>
            </w:pPr>
            <w:r>
              <w:rPr>
                <w:rFonts w:ascii="Palatino Linotype" w:eastAsiaTheme="minorHAnsi" w:hAnsi="Palatino Linotype" w:cs="Arial"/>
                <w:sz w:val="22"/>
                <w:szCs w:val="22"/>
                <w:lang w:eastAsia="en-US"/>
              </w:rPr>
              <w:t>Sí</w:t>
            </w:r>
          </w:p>
        </w:tc>
      </w:tr>
      <w:tr w:rsidR="00880A06">
        <w:tc>
          <w:tcPr>
            <w:tcW w:w="3292" w:type="dxa"/>
            <w:vAlign w:val="center"/>
          </w:tcPr>
          <w:p w:rsidR="00880A06" w:rsidRDefault="00616063">
            <w:pPr>
              <w:widowControl w:val="0"/>
              <w:numPr>
                <w:ilvl w:val="1"/>
                <w:numId w:val="6"/>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Tipo de Tasa e interés mensual.</w:t>
            </w:r>
          </w:p>
        </w:tc>
        <w:tc>
          <w:tcPr>
            <w:tcW w:w="3207"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Banregio: 90% de TIIE</w:t>
            </w:r>
            <w:r>
              <w:rPr>
                <w:rStyle w:val="Ancladenotaalpie"/>
                <w:rFonts w:ascii="Palatino Linotype" w:eastAsiaTheme="minorHAnsi" w:hAnsi="Palatino Linotype" w:cs="Arial"/>
                <w:sz w:val="22"/>
                <w:szCs w:val="22"/>
                <w:lang w:eastAsia="en-US"/>
              </w:rPr>
              <w:footnoteReference w:id="4"/>
            </w:r>
            <w:r>
              <w:rPr>
                <w:rFonts w:ascii="Palatino Linotype" w:eastAsiaTheme="minorHAnsi" w:hAnsi="Palatino Linotype" w:cs="Arial"/>
                <w:sz w:val="22"/>
                <w:szCs w:val="22"/>
                <w:lang w:eastAsia="en-US"/>
              </w:rPr>
              <w:t xml:space="preserve"> vigente.</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Santander: 0.07% de acuerdo a contrato.</w:t>
            </w:r>
          </w:p>
        </w:tc>
        <w:tc>
          <w:tcPr>
            <w:tcW w:w="2612" w:type="dxa"/>
            <w:shd w:val="clear" w:color="auto" w:fill="FFFFCC"/>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Parcialmente.</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No remite el documento donde se exprese la tasa respecto a Santander, puesto que al referir de acuerdo al contrato, no otorga certeza jurídica respecto a que tasa ni a la</w:t>
            </w:r>
            <w:r>
              <w:rPr>
                <w:rFonts w:ascii="Palatino Linotype" w:eastAsiaTheme="minorHAnsi" w:hAnsi="Palatino Linotype" w:cs="Arial"/>
                <w:sz w:val="22"/>
                <w:szCs w:val="22"/>
                <w:lang w:eastAsia="en-US"/>
              </w:rPr>
              <w:t xml:space="preserve"> temporalidad de ésta.</w:t>
            </w:r>
          </w:p>
        </w:tc>
      </w:tr>
      <w:tr w:rsidR="00880A06">
        <w:tc>
          <w:tcPr>
            <w:tcW w:w="3292" w:type="dxa"/>
            <w:vAlign w:val="center"/>
          </w:tcPr>
          <w:p w:rsidR="00880A06" w:rsidRDefault="00616063">
            <w:pPr>
              <w:widowControl w:val="0"/>
              <w:numPr>
                <w:ilvl w:val="1"/>
                <w:numId w:val="6"/>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Antigüedad de las cuentas.</w:t>
            </w:r>
          </w:p>
        </w:tc>
        <w:tc>
          <w:tcPr>
            <w:tcW w:w="3207"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Banregio: septiembre de 2018.</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Santander: mayo de 2019.</w:t>
            </w:r>
          </w:p>
        </w:tc>
        <w:tc>
          <w:tcPr>
            <w:tcW w:w="2612" w:type="dxa"/>
            <w:shd w:val="clear" w:color="auto" w:fill="EAF1DD" w:themeFill="accent3" w:themeFillTint="33"/>
            <w:vAlign w:val="center"/>
          </w:tcPr>
          <w:p w:rsidR="00880A06" w:rsidRDefault="00616063">
            <w:pPr>
              <w:widowControl w:val="0"/>
              <w:tabs>
                <w:tab w:val="left" w:pos="1701"/>
                <w:tab w:val="left" w:pos="1843"/>
              </w:tabs>
              <w:jc w:val="center"/>
              <w:rPr>
                <w:rFonts w:ascii="Palatino Linotype" w:hAnsi="Palatino Linotype" w:cs="Arial"/>
              </w:rPr>
            </w:pPr>
            <w:r>
              <w:rPr>
                <w:rFonts w:ascii="Palatino Linotype" w:eastAsiaTheme="minorHAnsi" w:hAnsi="Palatino Linotype" w:cs="Arial"/>
                <w:sz w:val="22"/>
                <w:szCs w:val="22"/>
                <w:lang w:eastAsia="en-US"/>
              </w:rPr>
              <w:t>Sí</w:t>
            </w:r>
          </w:p>
        </w:tc>
      </w:tr>
      <w:tr w:rsidR="00880A06">
        <w:tc>
          <w:tcPr>
            <w:tcW w:w="3292" w:type="dxa"/>
            <w:shd w:val="clear" w:color="auto" w:fill="BFBFBF" w:themeFill="background1" w:themeFillShade="BF"/>
            <w:vAlign w:val="center"/>
          </w:tcPr>
          <w:p w:rsidR="00880A06" w:rsidRDefault="00616063">
            <w:pPr>
              <w:widowControl w:val="0"/>
              <w:numPr>
                <w:ilvl w:val="0"/>
                <w:numId w:val="6"/>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Las cuentas de inversión que maneja el Instituto.</w:t>
            </w:r>
          </w:p>
        </w:tc>
        <w:tc>
          <w:tcPr>
            <w:tcW w:w="3207" w:type="dxa"/>
            <w:shd w:val="clear" w:color="auto" w:fill="BFBFBF" w:themeFill="background1" w:themeFillShade="BF"/>
            <w:vAlign w:val="center"/>
          </w:tcPr>
          <w:p w:rsidR="00880A06" w:rsidRDefault="00616063">
            <w:pPr>
              <w:widowControl w:val="0"/>
              <w:tabs>
                <w:tab w:val="left" w:pos="1701"/>
                <w:tab w:val="left" w:pos="1843"/>
              </w:tabs>
              <w:jc w:val="center"/>
              <w:rPr>
                <w:rFonts w:ascii="Palatino Linotype" w:hAnsi="Palatino Linotype" w:cs="Arial"/>
              </w:rPr>
            </w:pPr>
            <w:r>
              <w:rPr>
                <w:rFonts w:ascii="Palatino Linotype" w:eastAsiaTheme="minorHAnsi" w:hAnsi="Palatino Linotype" w:cs="Arial"/>
                <w:sz w:val="22"/>
                <w:szCs w:val="22"/>
                <w:lang w:eastAsia="en-US"/>
              </w:rPr>
              <w:t>3</w:t>
            </w:r>
          </w:p>
        </w:tc>
        <w:tc>
          <w:tcPr>
            <w:tcW w:w="2612" w:type="dxa"/>
            <w:shd w:val="clear" w:color="auto" w:fill="FFFFCC"/>
            <w:vAlign w:val="center"/>
          </w:tcPr>
          <w:p w:rsidR="00880A06" w:rsidRDefault="00616063">
            <w:pPr>
              <w:widowControl w:val="0"/>
              <w:tabs>
                <w:tab w:val="left" w:pos="1701"/>
                <w:tab w:val="left" w:pos="1843"/>
              </w:tabs>
              <w:rPr>
                <w:rFonts w:ascii="Palatino Linotype" w:hAnsi="Palatino Linotype" w:cs="Arial"/>
              </w:rPr>
            </w:pPr>
            <w:r>
              <w:rPr>
                <w:rFonts w:ascii="Palatino Linotype" w:eastAsiaTheme="minorHAnsi" w:hAnsi="Palatino Linotype" w:cs="Arial"/>
                <w:sz w:val="22"/>
                <w:szCs w:val="22"/>
                <w:lang w:eastAsia="en-US"/>
              </w:rPr>
              <w:t>Parcialmente</w:t>
            </w:r>
          </w:p>
        </w:tc>
      </w:tr>
      <w:tr w:rsidR="00880A06">
        <w:tc>
          <w:tcPr>
            <w:tcW w:w="3292" w:type="dxa"/>
            <w:vAlign w:val="center"/>
          </w:tcPr>
          <w:p w:rsidR="00880A06" w:rsidRDefault="00616063">
            <w:pPr>
              <w:widowControl w:val="0"/>
              <w:numPr>
                <w:ilvl w:val="1"/>
                <w:numId w:val="6"/>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Saldo promedio mensual.</w:t>
            </w:r>
          </w:p>
        </w:tc>
        <w:tc>
          <w:tcPr>
            <w:tcW w:w="3207"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Banorte: 19 MDP.</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Interacciones: 14 MDP.</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Scotiabank: 1.35</w:t>
            </w:r>
            <w:r>
              <w:rPr>
                <w:rFonts w:ascii="Palatino Linotype" w:eastAsiaTheme="minorHAnsi" w:hAnsi="Palatino Linotype" w:cs="Arial"/>
                <w:sz w:val="22"/>
                <w:szCs w:val="22"/>
                <w:lang w:eastAsia="en-US"/>
              </w:rPr>
              <w:t xml:space="preserve"> MDP.</w:t>
            </w:r>
          </w:p>
        </w:tc>
        <w:tc>
          <w:tcPr>
            <w:tcW w:w="2612" w:type="dxa"/>
            <w:shd w:val="clear" w:color="auto" w:fill="FFFFCC"/>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 xml:space="preserve">Parcialmente. </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No remite la expresión documental que dé cuenta de los saldos mensuales.</w:t>
            </w:r>
          </w:p>
        </w:tc>
      </w:tr>
      <w:tr w:rsidR="00880A06">
        <w:tc>
          <w:tcPr>
            <w:tcW w:w="3292" w:type="dxa"/>
            <w:vAlign w:val="center"/>
          </w:tcPr>
          <w:p w:rsidR="00880A06" w:rsidRDefault="00616063">
            <w:pPr>
              <w:widowControl w:val="0"/>
              <w:numPr>
                <w:ilvl w:val="1"/>
                <w:numId w:val="6"/>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Institución Financiera.</w:t>
            </w:r>
          </w:p>
        </w:tc>
        <w:tc>
          <w:tcPr>
            <w:tcW w:w="3207"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Banorte, Interacciones y Scotiabank.</w:t>
            </w:r>
          </w:p>
        </w:tc>
        <w:tc>
          <w:tcPr>
            <w:tcW w:w="2612" w:type="dxa"/>
            <w:shd w:val="clear" w:color="auto" w:fill="EAF1DD" w:themeFill="accent3" w:themeFillTint="33"/>
            <w:vAlign w:val="center"/>
          </w:tcPr>
          <w:p w:rsidR="00880A06" w:rsidRDefault="00616063">
            <w:pPr>
              <w:widowControl w:val="0"/>
              <w:tabs>
                <w:tab w:val="left" w:pos="1701"/>
                <w:tab w:val="left" w:pos="1843"/>
              </w:tabs>
              <w:jc w:val="center"/>
              <w:rPr>
                <w:rFonts w:ascii="Palatino Linotype" w:hAnsi="Palatino Linotype" w:cs="Arial"/>
              </w:rPr>
            </w:pPr>
            <w:r>
              <w:rPr>
                <w:rFonts w:ascii="Palatino Linotype" w:eastAsiaTheme="minorHAnsi" w:hAnsi="Palatino Linotype" w:cs="Arial"/>
                <w:sz w:val="22"/>
                <w:szCs w:val="22"/>
                <w:lang w:eastAsia="en-US"/>
              </w:rPr>
              <w:t>Sí</w:t>
            </w:r>
          </w:p>
        </w:tc>
      </w:tr>
      <w:tr w:rsidR="00880A06">
        <w:tc>
          <w:tcPr>
            <w:tcW w:w="3292" w:type="dxa"/>
            <w:vAlign w:val="center"/>
          </w:tcPr>
          <w:p w:rsidR="00880A06" w:rsidRDefault="00616063">
            <w:pPr>
              <w:widowControl w:val="0"/>
              <w:numPr>
                <w:ilvl w:val="1"/>
                <w:numId w:val="6"/>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Plazo de las inversiones.</w:t>
            </w:r>
          </w:p>
        </w:tc>
        <w:tc>
          <w:tcPr>
            <w:tcW w:w="3207"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Mensual.</w:t>
            </w:r>
          </w:p>
        </w:tc>
        <w:tc>
          <w:tcPr>
            <w:tcW w:w="2612" w:type="dxa"/>
            <w:shd w:val="clear" w:color="auto" w:fill="EAF1DD" w:themeFill="accent3" w:themeFillTint="33"/>
            <w:vAlign w:val="center"/>
          </w:tcPr>
          <w:p w:rsidR="00880A06" w:rsidRDefault="00616063">
            <w:pPr>
              <w:widowControl w:val="0"/>
              <w:tabs>
                <w:tab w:val="left" w:pos="1701"/>
                <w:tab w:val="left" w:pos="1843"/>
              </w:tabs>
              <w:jc w:val="center"/>
              <w:rPr>
                <w:rFonts w:ascii="Palatino Linotype" w:hAnsi="Palatino Linotype" w:cs="Arial"/>
              </w:rPr>
            </w:pPr>
            <w:r>
              <w:rPr>
                <w:rFonts w:ascii="Palatino Linotype" w:eastAsiaTheme="minorHAnsi" w:hAnsi="Palatino Linotype" w:cs="Arial"/>
                <w:sz w:val="22"/>
                <w:szCs w:val="22"/>
                <w:lang w:eastAsia="en-US"/>
              </w:rPr>
              <w:t>Sí</w:t>
            </w:r>
          </w:p>
        </w:tc>
      </w:tr>
      <w:tr w:rsidR="00880A06">
        <w:tc>
          <w:tcPr>
            <w:tcW w:w="3292" w:type="dxa"/>
            <w:vAlign w:val="center"/>
          </w:tcPr>
          <w:p w:rsidR="00880A06" w:rsidRDefault="00616063">
            <w:pPr>
              <w:widowControl w:val="0"/>
              <w:numPr>
                <w:ilvl w:val="1"/>
                <w:numId w:val="6"/>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Tipo de Tasa e interés mensual.</w:t>
            </w:r>
          </w:p>
        </w:tc>
        <w:tc>
          <w:tcPr>
            <w:tcW w:w="3207"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 xml:space="preserve">Banorte: 7.49% ponderada </w:t>
            </w:r>
            <w:r>
              <w:rPr>
                <w:rFonts w:ascii="Palatino Linotype" w:eastAsiaTheme="minorHAnsi" w:hAnsi="Palatino Linotype" w:cs="Arial"/>
                <w:sz w:val="22"/>
                <w:szCs w:val="22"/>
                <w:lang w:eastAsia="en-US"/>
              </w:rPr>
              <w:t>anual, basada en TIIE.</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 xml:space="preserve">Interacciones: 7.49% </w:t>
            </w:r>
            <w:r>
              <w:rPr>
                <w:rFonts w:ascii="Palatino Linotype" w:eastAsiaTheme="minorHAnsi" w:hAnsi="Palatino Linotype" w:cs="Arial"/>
                <w:sz w:val="22"/>
                <w:szCs w:val="22"/>
                <w:lang w:eastAsia="en-US"/>
              </w:rPr>
              <w:lastRenderedPageBreak/>
              <w:t>ponderada anual, basada en TIIE.</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Scotiabank: 6.36% ponderada anual, basada en TIIE.</w:t>
            </w:r>
          </w:p>
        </w:tc>
        <w:tc>
          <w:tcPr>
            <w:tcW w:w="2612" w:type="dxa"/>
            <w:shd w:val="clear" w:color="auto" w:fill="EAF1DD" w:themeFill="accent3" w:themeFillTint="33"/>
            <w:vAlign w:val="center"/>
          </w:tcPr>
          <w:p w:rsidR="00880A06" w:rsidRDefault="00616063">
            <w:pPr>
              <w:widowControl w:val="0"/>
              <w:tabs>
                <w:tab w:val="left" w:pos="1701"/>
                <w:tab w:val="left" w:pos="1843"/>
              </w:tabs>
              <w:jc w:val="center"/>
              <w:rPr>
                <w:rFonts w:ascii="Palatino Linotype" w:hAnsi="Palatino Linotype" w:cs="Arial"/>
              </w:rPr>
            </w:pPr>
            <w:r>
              <w:rPr>
                <w:rFonts w:ascii="Palatino Linotype" w:eastAsiaTheme="minorHAnsi" w:hAnsi="Palatino Linotype" w:cs="Arial"/>
                <w:sz w:val="22"/>
                <w:szCs w:val="22"/>
                <w:lang w:eastAsia="en-US"/>
              </w:rPr>
              <w:lastRenderedPageBreak/>
              <w:t>Sí</w:t>
            </w:r>
          </w:p>
        </w:tc>
      </w:tr>
      <w:tr w:rsidR="00880A06">
        <w:tc>
          <w:tcPr>
            <w:tcW w:w="3292" w:type="dxa"/>
            <w:vAlign w:val="center"/>
          </w:tcPr>
          <w:p w:rsidR="00880A06" w:rsidRDefault="00616063">
            <w:pPr>
              <w:widowControl w:val="0"/>
              <w:numPr>
                <w:ilvl w:val="1"/>
                <w:numId w:val="6"/>
              </w:numPr>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lastRenderedPageBreak/>
              <w:t>Antigüedad de las cuentas.</w:t>
            </w:r>
          </w:p>
        </w:tc>
        <w:tc>
          <w:tcPr>
            <w:tcW w:w="3207" w:type="dxa"/>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Banorte: 12 años.</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Interacciones: 9 años.</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Scotiabank: 5 años.</w:t>
            </w:r>
          </w:p>
        </w:tc>
        <w:tc>
          <w:tcPr>
            <w:tcW w:w="2612" w:type="dxa"/>
            <w:shd w:val="clear" w:color="auto" w:fill="FFFFCC"/>
            <w:vAlign w:val="center"/>
          </w:tcPr>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Parcialmente.</w:t>
            </w:r>
          </w:p>
          <w:p w:rsidR="00880A06" w:rsidRDefault="00616063">
            <w:pPr>
              <w:widowControl w:val="0"/>
              <w:tabs>
                <w:tab w:val="left" w:pos="1701"/>
                <w:tab w:val="left" w:pos="1843"/>
              </w:tabs>
              <w:jc w:val="both"/>
              <w:rPr>
                <w:rFonts w:ascii="Palatino Linotype" w:hAnsi="Palatino Linotype" w:cs="Arial"/>
              </w:rPr>
            </w:pPr>
            <w:r>
              <w:rPr>
                <w:rFonts w:ascii="Palatino Linotype" w:eastAsiaTheme="minorHAnsi" w:hAnsi="Palatino Linotype" w:cs="Arial"/>
                <w:sz w:val="22"/>
                <w:szCs w:val="22"/>
                <w:lang w:eastAsia="en-US"/>
              </w:rPr>
              <w:t>No remite el documento</w:t>
            </w:r>
            <w:r>
              <w:rPr>
                <w:rFonts w:ascii="Palatino Linotype" w:eastAsiaTheme="minorHAnsi" w:hAnsi="Palatino Linotype" w:cs="Arial"/>
                <w:sz w:val="22"/>
                <w:szCs w:val="22"/>
                <w:lang w:eastAsia="en-US"/>
              </w:rPr>
              <w:t xml:space="preserve"> donde conste la antigüedad exacta, respecto a la fecha de apertura de las cuentas.</w:t>
            </w:r>
          </w:p>
        </w:tc>
      </w:tr>
    </w:tbl>
    <w:p w:rsidR="00880A06" w:rsidRDefault="00616063">
      <w:pPr>
        <w:widowControl w:val="0"/>
        <w:tabs>
          <w:tab w:val="left" w:pos="1701"/>
          <w:tab w:val="left" w:pos="1843"/>
        </w:tabs>
        <w:spacing w:before="360" w:after="240" w:line="360" w:lineRule="auto"/>
        <w:jc w:val="both"/>
        <w:rPr>
          <w:rFonts w:ascii="Palatino Linotype" w:hAnsi="Palatino Linotype" w:cs="Arial"/>
        </w:rPr>
      </w:pPr>
      <w:r>
        <w:rPr>
          <w:rFonts w:ascii="Palatino Linotype" w:hAnsi="Palatino Linotype" w:cs="Arial"/>
        </w:rPr>
        <w:t xml:space="preserve">Bajo esas consideraciones, es de reiterarse que </w:t>
      </w:r>
      <w:r>
        <w:rPr>
          <w:rFonts w:ascii="Palatino Linotype" w:hAnsi="Palatino Linotype"/>
          <w:color w:val="212121"/>
        </w:rPr>
        <w:t>los Sujetos Obligados deben garantizar el derecho de acceso a la información de los particulares, proporcionando la informa</w:t>
      </w:r>
      <w:r>
        <w:rPr>
          <w:rFonts w:ascii="Palatino Linotype" w:hAnsi="Palatino Linotype"/>
          <w:color w:val="212121"/>
        </w:rPr>
        <w:t>ción con la que cuentan, en el formato en que la misma obre en sus archivos; sin necesidad de elaborar documentos </w:t>
      </w:r>
      <w:r>
        <w:rPr>
          <w:rFonts w:ascii="Palatino Linotype" w:hAnsi="Palatino Linotype"/>
          <w:i/>
          <w:iCs/>
          <w:color w:val="212121"/>
        </w:rPr>
        <w:t>ad hoc </w:t>
      </w:r>
      <w:r>
        <w:rPr>
          <w:rFonts w:ascii="Palatino Linotype" w:hAnsi="Palatino Linotype"/>
          <w:color w:val="212121"/>
        </w:rPr>
        <w:t xml:space="preserve">para atender las solicitudes de información, argumento que se fortalece con el criterio número 03/17 emitido por el Instituto Nacional </w:t>
      </w:r>
      <w:r>
        <w:rPr>
          <w:rFonts w:ascii="Palatino Linotype" w:hAnsi="Palatino Linotype"/>
          <w:color w:val="212121"/>
        </w:rPr>
        <w:t>de Transparencia, Acceso a la Información y Protección de Datos Personales (INAI), cuyo contenido se inserta a continuación:</w:t>
      </w:r>
    </w:p>
    <w:p w:rsidR="00880A06" w:rsidRDefault="00616063">
      <w:pPr>
        <w:ind w:left="851" w:right="902"/>
        <w:jc w:val="both"/>
        <w:rPr>
          <w:rFonts w:ascii="Palatino Linotype" w:hAnsi="Palatino Linotype"/>
          <w:i/>
          <w:iCs/>
          <w:color w:val="212121"/>
          <w:sz w:val="21"/>
          <w:szCs w:val="21"/>
          <w:lang w:val="es-ES" w:eastAsia="es-MX"/>
        </w:rPr>
      </w:pPr>
      <w:r>
        <w:rPr>
          <w:rFonts w:ascii="Palatino Linotype" w:hAnsi="Palatino Linotype"/>
          <w:b/>
          <w:bCs/>
          <w:i/>
          <w:iCs/>
          <w:color w:val="212121"/>
          <w:sz w:val="21"/>
          <w:szCs w:val="21"/>
          <w:lang w:val="es-ES" w:eastAsia="es-MX"/>
        </w:rPr>
        <w:t>“No existe obligación de elaborar </w:t>
      </w:r>
      <w:r>
        <w:rPr>
          <w:rFonts w:ascii="Palatino Linotype" w:hAnsi="Palatino Linotype"/>
          <w:b/>
          <w:bCs/>
          <w:i/>
          <w:iCs/>
          <w:color w:val="212121"/>
          <w:spacing w:val="-3"/>
          <w:sz w:val="21"/>
          <w:szCs w:val="21"/>
          <w:lang w:val="es-ES" w:eastAsia="es-MX"/>
        </w:rPr>
        <w:t>d</w:t>
      </w:r>
      <w:r>
        <w:rPr>
          <w:rFonts w:ascii="Palatino Linotype" w:hAnsi="Palatino Linotype"/>
          <w:b/>
          <w:bCs/>
          <w:i/>
          <w:iCs/>
          <w:color w:val="212121"/>
          <w:sz w:val="21"/>
          <w:szCs w:val="21"/>
          <w:lang w:val="es-ES" w:eastAsia="es-MX"/>
        </w:rPr>
        <w:t>ocum</w:t>
      </w:r>
      <w:r>
        <w:rPr>
          <w:rFonts w:ascii="Palatino Linotype" w:hAnsi="Palatino Linotype"/>
          <w:b/>
          <w:bCs/>
          <w:i/>
          <w:iCs/>
          <w:color w:val="212121"/>
          <w:spacing w:val="1"/>
          <w:sz w:val="21"/>
          <w:szCs w:val="21"/>
          <w:lang w:val="es-ES" w:eastAsia="es-MX"/>
        </w:rPr>
        <w:t>e</w:t>
      </w:r>
      <w:r>
        <w:rPr>
          <w:rFonts w:ascii="Palatino Linotype" w:hAnsi="Palatino Linotype"/>
          <w:b/>
          <w:bCs/>
          <w:i/>
          <w:iCs/>
          <w:color w:val="212121"/>
          <w:sz w:val="21"/>
          <w:szCs w:val="21"/>
          <w:lang w:val="es-ES" w:eastAsia="es-MX"/>
        </w:rPr>
        <w:t>n</w:t>
      </w:r>
      <w:r>
        <w:rPr>
          <w:rFonts w:ascii="Palatino Linotype" w:hAnsi="Palatino Linotype"/>
          <w:b/>
          <w:bCs/>
          <w:i/>
          <w:iCs/>
          <w:color w:val="212121"/>
          <w:spacing w:val="-1"/>
          <w:sz w:val="21"/>
          <w:szCs w:val="21"/>
          <w:lang w:val="es-ES" w:eastAsia="es-MX"/>
        </w:rPr>
        <w:t>t</w:t>
      </w:r>
      <w:r>
        <w:rPr>
          <w:rFonts w:ascii="Palatino Linotype" w:hAnsi="Palatino Linotype"/>
          <w:b/>
          <w:bCs/>
          <w:i/>
          <w:iCs/>
          <w:color w:val="212121"/>
          <w:sz w:val="21"/>
          <w:szCs w:val="21"/>
          <w:lang w:val="es-ES" w:eastAsia="es-MX"/>
        </w:rPr>
        <w:t>os</w:t>
      </w:r>
      <w:r>
        <w:rPr>
          <w:rFonts w:ascii="Palatino Linotype" w:hAnsi="Palatino Linotype"/>
          <w:b/>
          <w:bCs/>
          <w:i/>
          <w:iCs/>
          <w:color w:val="212121"/>
          <w:spacing w:val="14"/>
          <w:sz w:val="21"/>
          <w:szCs w:val="21"/>
          <w:lang w:val="es-ES" w:eastAsia="es-MX"/>
        </w:rPr>
        <w:t> </w:t>
      </w:r>
      <w:r>
        <w:rPr>
          <w:rFonts w:ascii="Palatino Linotype" w:hAnsi="Palatino Linotype"/>
          <w:b/>
          <w:bCs/>
          <w:i/>
          <w:iCs/>
          <w:color w:val="212121"/>
          <w:spacing w:val="-1"/>
          <w:sz w:val="21"/>
          <w:szCs w:val="21"/>
          <w:lang w:val="es-ES" w:eastAsia="es-MX"/>
        </w:rPr>
        <w:t>ad </w:t>
      </w:r>
      <w:r>
        <w:rPr>
          <w:rFonts w:ascii="Palatino Linotype" w:hAnsi="Palatino Linotype"/>
          <w:b/>
          <w:bCs/>
          <w:i/>
          <w:iCs/>
          <w:color w:val="212121"/>
          <w:sz w:val="21"/>
          <w:szCs w:val="21"/>
          <w:lang w:val="es-ES" w:eastAsia="es-MX"/>
        </w:rPr>
        <w:t>hoc</w:t>
      </w:r>
      <w:r>
        <w:rPr>
          <w:rFonts w:ascii="Palatino Linotype" w:hAnsi="Palatino Linotype"/>
          <w:b/>
          <w:bCs/>
          <w:i/>
          <w:iCs/>
          <w:color w:val="212121"/>
          <w:spacing w:val="11"/>
          <w:sz w:val="21"/>
          <w:szCs w:val="21"/>
          <w:lang w:val="es-ES" w:eastAsia="es-MX"/>
        </w:rPr>
        <w:t> </w:t>
      </w:r>
      <w:r>
        <w:rPr>
          <w:rFonts w:ascii="Palatino Linotype" w:hAnsi="Palatino Linotype"/>
          <w:b/>
          <w:bCs/>
          <w:i/>
          <w:iCs/>
          <w:color w:val="212121"/>
          <w:sz w:val="21"/>
          <w:szCs w:val="21"/>
          <w:lang w:val="es-ES" w:eastAsia="es-MX"/>
        </w:rPr>
        <w:t>para</w:t>
      </w:r>
      <w:r>
        <w:rPr>
          <w:rFonts w:ascii="Palatino Linotype" w:hAnsi="Palatino Linotype"/>
          <w:b/>
          <w:bCs/>
          <w:i/>
          <w:iCs/>
          <w:color w:val="212121"/>
          <w:spacing w:val="10"/>
          <w:sz w:val="21"/>
          <w:szCs w:val="21"/>
          <w:lang w:val="es-ES" w:eastAsia="es-MX"/>
        </w:rPr>
        <w:t> </w:t>
      </w:r>
      <w:r>
        <w:rPr>
          <w:rFonts w:ascii="Palatino Linotype" w:hAnsi="Palatino Linotype"/>
          <w:b/>
          <w:bCs/>
          <w:i/>
          <w:iCs/>
          <w:color w:val="212121"/>
          <w:sz w:val="21"/>
          <w:szCs w:val="21"/>
          <w:lang w:val="es-ES" w:eastAsia="es-MX"/>
        </w:rPr>
        <w:t>atender las sol</w:t>
      </w:r>
      <w:r>
        <w:rPr>
          <w:rFonts w:ascii="Palatino Linotype" w:hAnsi="Palatino Linotype"/>
          <w:b/>
          <w:bCs/>
          <w:i/>
          <w:iCs/>
          <w:color w:val="212121"/>
          <w:spacing w:val="-2"/>
          <w:sz w:val="21"/>
          <w:szCs w:val="21"/>
          <w:lang w:val="es-ES" w:eastAsia="es-MX"/>
        </w:rPr>
        <w:t>i</w:t>
      </w:r>
      <w:r>
        <w:rPr>
          <w:rFonts w:ascii="Palatino Linotype" w:hAnsi="Palatino Linotype"/>
          <w:b/>
          <w:bCs/>
          <w:i/>
          <w:iCs/>
          <w:color w:val="212121"/>
          <w:spacing w:val="1"/>
          <w:sz w:val="21"/>
          <w:szCs w:val="21"/>
          <w:lang w:val="es-ES" w:eastAsia="es-MX"/>
        </w:rPr>
        <w:t>c</w:t>
      </w:r>
      <w:r>
        <w:rPr>
          <w:rFonts w:ascii="Palatino Linotype" w:hAnsi="Palatino Linotype"/>
          <w:b/>
          <w:bCs/>
          <w:i/>
          <w:iCs/>
          <w:color w:val="212121"/>
          <w:sz w:val="21"/>
          <w:szCs w:val="21"/>
          <w:lang w:val="es-ES" w:eastAsia="es-MX"/>
        </w:rPr>
        <w:t>itudes</w:t>
      </w:r>
      <w:r>
        <w:rPr>
          <w:rFonts w:ascii="Palatino Linotype" w:hAnsi="Palatino Linotype"/>
          <w:b/>
          <w:bCs/>
          <w:i/>
          <w:iCs/>
          <w:color w:val="212121"/>
          <w:spacing w:val="10"/>
          <w:sz w:val="21"/>
          <w:szCs w:val="21"/>
          <w:lang w:val="es-ES" w:eastAsia="es-MX"/>
        </w:rPr>
        <w:t> </w:t>
      </w:r>
      <w:r>
        <w:rPr>
          <w:rFonts w:ascii="Palatino Linotype" w:hAnsi="Palatino Linotype"/>
          <w:b/>
          <w:bCs/>
          <w:i/>
          <w:iCs/>
          <w:color w:val="212121"/>
          <w:sz w:val="21"/>
          <w:szCs w:val="21"/>
          <w:lang w:val="es-ES" w:eastAsia="es-MX"/>
        </w:rPr>
        <w:t>de</w:t>
      </w:r>
      <w:r>
        <w:rPr>
          <w:rFonts w:ascii="Palatino Linotype" w:hAnsi="Palatino Linotype"/>
          <w:b/>
          <w:bCs/>
          <w:i/>
          <w:iCs/>
          <w:color w:val="212121"/>
          <w:spacing w:val="9"/>
          <w:sz w:val="21"/>
          <w:szCs w:val="21"/>
          <w:lang w:val="es-ES" w:eastAsia="es-MX"/>
        </w:rPr>
        <w:t> </w:t>
      </w:r>
      <w:r>
        <w:rPr>
          <w:rFonts w:ascii="Palatino Linotype" w:hAnsi="Palatino Linotype"/>
          <w:b/>
          <w:bCs/>
          <w:i/>
          <w:iCs/>
          <w:color w:val="212121"/>
          <w:spacing w:val="1"/>
          <w:sz w:val="21"/>
          <w:szCs w:val="21"/>
          <w:lang w:val="es-ES" w:eastAsia="es-MX"/>
        </w:rPr>
        <w:t>ac</w:t>
      </w:r>
      <w:r>
        <w:rPr>
          <w:rFonts w:ascii="Palatino Linotype" w:hAnsi="Palatino Linotype"/>
          <w:b/>
          <w:bCs/>
          <w:i/>
          <w:iCs/>
          <w:color w:val="212121"/>
          <w:spacing w:val="-1"/>
          <w:sz w:val="21"/>
          <w:szCs w:val="21"/>
          <w:lang w:val="es-ES" w:eastAsia="es-MX"/>
        </w:rPr>
        <w:t>c</w:t>
      </w:r>
      <w:r>
        <w:rPr>
          <w:rFonts w:ascii="Palatino Linotype" w:hAnsi="Palatino Linotype"/>
          <w:b/>
          <w:bCs/>
          <w:i/>
          <w:iCs/>
          <w:color w:val="212121"/>
          <w:spacing w:val="1"/>
          <w:sz w:val="21"/>
          <w:szCs w:val="21"/>
          <w:lang w:val="es-ES" w:eastAsia="es-MX"/>
        </w:rPr>
        <w:t>es</w:t>
      </w:r>
      <w:r>
        <w:rPr>
          <w:rFonts w:ascii="Palatino Linotype" w:hAnsi="Palatino Linotype"/>
          <w:b/>
          <w:bCs/>
          <w:i/>
          <w:iCs/>
          <w:color w:val="212121"/>
          <w:sz w:val="21"/>
          <w:szCs w:val="21"/>
          <w:lang w:val="es-ES" w:eastAsia="es-MX"/>
        </w:rPr>
        <w:t>o</w:t>
      </w:r>
      <w:r>
        <w:rPr>
          <w:rFonts w:ascii="Palatino Linotype" w:hAnsi="Palatino Linotype"/>
          <w:b/>
          <w:bCs/>
          <w:i/>
          <w:iCs/>
          <w:color w:val="212121"/>
          <w:spacing w:val="11"/>
          <w:sz w:val="21"/>
          <w:szCs w:val="21"/>
          <w:lang w:val="es-ES" w:eastAsia="es-MX"/>
        </w:rPr>
        <w:t> </w:t>
      </w:r>
      <w:r>
        <w:rPr>
          <w:rFonts w:ascii="Palatino Linotype" w:hAnsi="Palatino Linotype"/>
          <w:b/>
          <w:bCs/>
          <w:i/>
          <w:iCs/>
          <w:color w:val="212121"/>
          <w:sz w:val="21"/>
          <w:szCs w:val="21"/>
          <w:lang w:val="es-ES" w:eastAsia="es-MX"/>
        </w:rPr>
        <w:t>a</w:t>
      </w:r>
      <w:r>
        <w:rPr>
          <w:rFonts w:ascii="Palatino Linotype" w:hAnsi="Palatino Linotype"/>
          <w:b/>
          <w:bCs/>
          <w:i/>
          <w:iCs/>
          <w:color w:val="212121"/>
          <w:spacing w:val="9"/>
          <w:sz w:val="21"/>
          <w:szCs w:val="21"/>
          <w:lang w:val="es-ES" w:eastAsia="es-MX"/>
        </w:rPr>
        <w:t> </w:t>
      </w:r>
      <w:r>
        <w:rPr>
          <w:rFonts w:ascii="Palatino Linotype" w:hAnsi="Palatino Linotype"/>
          <w:b/>
          <w:bCs/>
          <w:i/>
          <w:iCs/>
          <w:color w:val="212121"/>
          <w:sz w:val="21"/>
          <w:szCs w:val="21"/>
          <w:lang w:val="es-ES" w:eastAsia="es-MX"/>
        </w:rPr>
        <w:t>la</w:t>
      </w:r>
      <w:r>
        <w:rPr>
          <w:rFonts w:ascii="Palatino Linotype" w:hAnsi="Palatino Linotype"/>
          <w:b/>
          <w:bCs/>
          <w:i/>
          <w:iCs/>
          <w:color w:val="212121"/>
          <w:spacing w:val="10"/>
          <w:sz w:val="21"/>
          <w:szCs w:val="21"/>
          <w:lang w:val="es-ES" w:eastAsia="es-MX"/>
        </w:rPr>
        <w:t> </w:t>
      </w:r>
      <w:r>
        <w:rPr>
          <w:rFonts w:ascii="Palatino Linotype" w:hAnsi="Palatino Linotype"/>
          <w:b/>
          <w:bCs/>
          <w:i/>
          <w:iCs/>
          <w:color w:val="212121"/>
          <w:sz w:val="21"/>
          <w:szCs w:val="21"/>
          <w:lang w:val="es-ES" w:eastAsia="es-MX"/>
        </w:rPr>
        <w:t>informa</w:t>
      </w:r>
      <w:r>
        <w:rPr>
          <w:rFonts w:ascii="Palatino Linotype" w:hAnsi="Palatino Linotype"/>
          <w:b/>
          <w:bCs/>
          <w:i/>
          <w:iCs/>
          <w:color w:val="212121"/>
          <w:spacing w:val="1"/>
          <w:sz w:val="21"/>
          <w:szCs w:val="21"/>
          <w:lang w:val="es-ES" w:eastAsia="es-MX"/>
        </w:rPr>
        <w:t>c</w:t>
      </w:r>
      <w:r>
        <w:rPr>
          <w:rFonts w:ascii="Palatino Linotype" w:hAnsi="Palatino Linotype"/>
          <w:b/>
          <w:bCs/>
          <w:i/>
          <w:iCs/>
          <w:color w:val="212121"/>
          <w:sz w:val="21"/>
          <w:szCs w:val="21"/>
          <w:lang w:val="es-ES" w:eastAsia="es-MX"/>
        </w:rPr>
        <w:t>ió</w:t>
      </w:r>
      <w:r>
        <w:rPr>
          <w:rFonts w:ascii="Palatino Linotype" w:hAnsi="Palatino Linotype"/>
          <w:b/>
          <w:bCs/>
          <w:i/>
          <w:iCs/>
          <w:color w:val="212121"/>
          <w:spacing w:val="-2"/>
          <w:sz w:val="21"/>
          <w:szCs w:val="21"/>
          <w:lang w:val="es-ES" w:eastAsia="es-MX"/>
        </w:rPr>
        <w:t>n</w:t>
      </w:r>
      <w:r>
        <w:rPr>
          <w:rFonts w:ascii="Palatino Linotype" w:hAnsi="Palatino Linotype"/>
          <w:b/>
          <w:bCs/>
          <w:i/>
          <w:iCs/>
          <w:color w:val="212121"/>
          <w:sz w:val="21"/>
          <w:szCs w:val="21"/>
          <w:lang w:val="es-ES" w:eastAsia="es-MX"/>
        </w:rPr>
        <w:t>.</w:t>
      </w:r>
      <w:r>
        <w:rPr>
          <w:rFonts w:ascii="Palatino Linotype" w:hAnsi="Palatino Linotype"/>
          <w:b/>
          <w:bCs/>
          <w:i/>
          <w:iCs/>
          <w:color w:val="212121"/>
          <w:spacing w:val="18"/>
          <w:sz w:val="21"/>
          <w:szCs w:val="21"/>
          <w:lang w:val="es-ES" w:eastAsia="es-MX"/>
        </w:rPr>
        <w:t> </w:t>
      </w:r>
      <w:r>
        <w:rPr>
          <w:rFonts w:ascii="Palatino Linotype" w:hAnsi="Palatino Linotype"/>
          <w:i/>
          <w:iCs/>
          <w:color w:val="212121"/>
          <w:spacing w:val="18"/>
          <w:sz w:val="21"/>
          <w:szCs w:val="21"/>
          <w:lang w:val="es-ES" w:eastAsia="es-MX"/>
        </w:rPr>
        <w:t>L</w:t>
      </w:r>
      <w:r>
        <w:rPr>
          <w:rFonts w:ascii="Palatino Linotype" w:hAnsi="Palatino Linotype"/>
          <w:i/>
          <w:iCs/>
          <w:color w:val="212121"/>
          <w:spacing w:val="-1"/>
          <w:sz w:val="21"/>
          <w:szCs w:val="21"/>
          <w:lang w:val="es-ES" w:eastAsia="es-MX"/>
        </w:rPr>
        <w:t>os </w:t>
      </w:r>
      <w:r>
        <w:rPr>
          <w:rFonts w:ascii="Palatino Linotype" w:hAnsi="Palatino Linotype"/>
          <w:i/>
          <w:iCs/>
          <w:color w:val="212121"/>
          <w:spacing w:val="1"/>
          <w:sz w:val="21"/>
          <w:szCs w:val="21"/>
          <w:lang w:val="es-ES" w:eastAsia="es-MX"/>
        </w:rPr>
        <w:t>a</w:t>
      </w:r>
      <w:r>
        <w:rPr>
          <w:rFonts w:ascii="Palatino Linotype" w:hAnsi="Palatino Linotype"/>
          <w:i/>
          <w:iCs/>
          <w:color w:val="212121"/>
          <w:sz w:val="21"/>
          <w:szCs w:val="21"/>
          <w:lang w:val="es-ES" w:eastAsia="es-MX"/>
        </w:rPr>
        <w:t>rt</w:t>
      </w:r>
      <w:r>
        <w:rPr>
          <w:rFonts w:ascii="Palatino Linotype" w:hAnsi="Palatino Linotype"/>
          <w:i/>
          <w:iCs/>
          <w:color w:val="212121"/>
          <w:spacing w:val="-2"/>
          <w:sz w:val="21"/>
          <w:szCs w:val="21"/>
          <w:lang w:val="es-ES" w:eastAsia="es-MX"/>
        </w:rPr>
        <w:t>í</w:t>
      </w:r>
      <w:r>
        <w:rPr>
          <w:rFonts w:ascii="Palatino Linotype" w:hAnsi="Palatino Linotype"/>
          <w:i/>
          <w:iCs/>
          <w:color w:val="212121"/>
          <w:sz w:val="21"/>
          <w:szCs w:val="21"/>
          <w:lang w:val="es-ES" w:eastAsia="es-MX"/>
        </w:rPr>
        <w:t>c</w:t>
      </w:r>
      <w:r>
        <w:rPr>
          <w:rFonts w:ascii="Palatino Linotype" w:hAnsi="Palatino Linotype"/>
          <w:i/>
          <w:iCs/>
          <w:color w:val="212121"/>
          <w:spacing w:val="1"/>
          <w:sz w:val="21"/>
          <w:szCs w:val="21"/>
          <w:lang w:val="es-ES" w:eastAsia="es-MX"/>
        </w:rPr>
        <w:t>u</w:t>
      </w:r>
      <w:r>
        <w:rPr>
          <w:rFonts w:ascii="Palatino Linotype" w:hAnsi="Palatino Linotype"/>
          <w:i/>
          <w:iCs/>
          <w:color w:val="212121"/>
          <w:sz w:val="21"/>
          <w:szCs w:val="21"/>
          <w:lang w:val="es-ES" w:eastAsia="es-MX"/>
        </w:rPr>
        <w:t>los</w:t>
      </w:r>
      <w:r>
        <w:rPr>
          <w:rFonts w:ascii="Palatino Linotype" w:hAnsi="Palatino Linotype"/>
          <w:i/>
          <w:iCs/>
          <w:color w:val="212121"/>
          <w:spacing w:val="8"/>
          <w:sz w:val="21"/>
          <w:szCs w:val="21"/>
          <w:lang w:val="es-ES" w:eastAsia="es-MX"/>
        </w:rPr>
        <w:t> 129 </w:t>
      </w:r>
      <w:r>
        <w:rPr>
          <w:rFonts w:ascii="Palatino Linotype" w:hAnsi="Palatino Linotype"/>
          <w:i/>
          <w:iCs/>
          <w:color w:val="212121"/>
          <w:spacing w:val="1"/>
          <w:sz w:val="21"/>
          <w:szCs w:val="21"/>
          <w:lang w:val="es-ES" w:eastAsia="es-MX"/>
        </w:rPr>
        <w:t>d</w:t>
      </w:r>
      <w:r>
        <w:rPr>
          <w:rFonts w:ascii="Palatino Linotype" w:hAnsi="Palatino Linotype"/>
          <w:i/>
          <w:iCs/>
          <w:color w:val="212121"/>
          <w:sz w:val="21"/>
          <w:szCs w:val="21"/>
          <w:lang w:val="es-ES" w:eastAsia="es-MX"/>
        </w:rPr>
        <w:t>e</w:t>
      </w:r>
      <w:r>
        <w:rPr>
          <w:rFonts w:ascii="Palatino Linotype" w:hAnsi="Palatino Linotype"/>
          <w:i/>
          <w:iCs/>
          <w:color w:val="212121"/>
          <w:spacing w:val="9"/>
          <w:sz w:val="21"/>
          <w:szCs w:val="21"/>
          <w:lang w:val="es-ES" w:eastAsia="es-MX"/>
        </w:rPr>
        <w:t> </w:t>
      </w:r>
      <w:r>
        <w:rPr>
          <w:rFonts w:ascii="Palatino Linotype" w:hAnsi="Palatino Linotype"/>
          <w:i/>
          <w:iCs/>
          <w:color w:val="212121"/>
          <w:sz w:val="21"/>
          <w:szCs w:val="21"/>
          <w:lang w:val="es-ES" w:eastAsia="es-MX"/>
        </w:rPr>
        <w:t>la</w:t>
      </w:r>
      <w:r>
        <w:rPr>
          <w:rFonts w:ascii="Palatino Linotype" w:hAnsi="Palatino Linotype"/>
          <w:i/>
          <w:iCs/>
          <w:color w:val="212121"/>
          <w:spacing w:val="10"/>
          <w:sz w:val="21"/>
          <w:szCs w:val="21"/>
          <w:lang w:val="es-ES" w:eastAsia="es-MX"/>
        </w:rPr>
        <w:t> </w:t>
      </w:r>
      <w:r>
        <w:rPr>
          <w:rFonts w:ascii="Palatino Linotype" w:hAnsi="Palatino Linotype"/>
          <w:i/>
          <w:iCs/>
          <w:color w:val="212121"/>
          <w:spacing w:val="-1"/>
          <w:sz w:val="21"/>
          <w:szCs w:val="21"/>
          <w:lang w:val="es-ES" w:eastAsia="es-MX"/>
        </w:rPr>
        <w:t>L</w:t>
      </w:r>
      <w:r>
        <w:rPr>
          <w:rFonts w:ascii="Palatino Linotype" w:hAnsi="Palatino Linotype"/>
          <w:i/>
          <w:iCs/>
          <w:color w:val="212121"/>
          <w:spacing w:val="1"/>
          <w:sz w:val="21"/>
          <w:szCs w:val="21"/>
          <w:lang w:val="es-ES" w:eastAsia="es-MX"/>
        </w:rPr>
        <w:t>e</w:t>
      </w:r>
      <w:r>
        <w:rPr>
          <w:rFonts w:ascii="Palatino Linotype" w:hAnsi="Palatino Linotype"/>
          <w:i/>
          <w:iCs/>
          <w:color w:val="212121"/>
          <w:sz w:val="21"/>
          <w:szCs w:val="21"/>
          <w:lang w:val="es-ES" w:eastAsia="es-MX"/>
        </w:rPr>
        <w:t>y</w:t>
      </w:r>
      <w:r>
        <w:rPr>
          <w:rFonts w:ascii="Palatino Linotype" w:hAnsi="Palatino Linotype"/>
          <w:i/>
          <w:iCs/>
          <w:color w:val="212121"/>
          <w:spacing w:val="8"/>
          <w:sz w:val="21"/>
          <w:szCs w:val="21"/>
          <w:lang w:val="es-ES" w:eastAsia="es-MX"/>
        </w:rPr>
        <w:t> </w:t>
      </w:r>
      <w:r>
        <w:rPr>
          <w:rFonts w:ascii="Palatino Linotype" w:hAnsi="Palatino Linotype"/>
          <w:i/>
          <w:iCs/>
          <w:color w:val="212121"/>
          <w:sz w:val="21"/>
          <w:szCs w:val="21"/>
          <w:lang w:val="es-ES" w:eastAsia="es-MX"/>
        </w:rPr>
        <w:t>General</w:t>
      </w:r>
      <w:r>
        <w:rPr>
          <w:rFonts w:ascii="Palatino Linotype" w:hAnsi="Palatino Linotype"/>
          <w:i/>
          <w:iCs/>
          <w:color w:val="212121"/>
          <w:spacing w:val="10"/>
          <w:sz w:val="21"/>
          <w:szCs w:val="21"/>
          <w:lang w:val="es-ES" w:eastAsia="es-MX"/>
        </w:rPr>
        <w:t> </w:t>
      </w:r>
      <w:r>
        <w:rPr>
          <w:rFonts w:ascii="Palatino Linotype" w:hAnsi="Palatino Linotype"/>
          <w:i/>
          <w:iCs/>
          <w:color w:val="212121"/>
          <w:spacing w:val="-1"/>
          <w:sz w:val="21"/>
          <w:szCs w:val="21"/>
          <w:lang w:val="es-ES" w:eastAsia="es-MX"/>
        </w:rPr>
        <w:t>d</w:t>
      </w:r>
      <w:r>
        <w:rPr>
          <w:rFonts w:ascii="Palatino Linotype" w:hAnsi="Palatino Linotype"/>
          <w:i/>
          <w:iCs/>
          <w:color w:val="212121"/>
          <w:sz w:val="21"/>
          <w:szCs w:val="21"/>
          <w:lang w:val="es-ES" w:eastAsia="es-MX"/>
        </w:rPr>
        <w:t>e</w:t>
      </w:r>
      <w:r>
        <w:rPr>
          <w:rFonts w:ascii="Palatino Linotype" w:hAnsi="Palatino Linotype"/>
          <w:i/>
          <w:iCs/>
          <w:color w:val="212121"/>
          <w:spacing w:val="9"/>
          <w:sz w:val="21"/>
          <w:szCs w:val="21"/>
          <w:lang w:val="es-ES" w:eastAsia="es-MX"/>
        </w:rPr>
        <w:t> </w:t>
      </w:r>
      <w:r>
        <w:rPr>
          <w:rFonts w:ascii="Palatino Linotype" w:hAnsi="Palatino Linotype"/>
          <w:i/>
          <w:iCs/>
          <w:color w:val="212121"/>
          <w:spacing w:val="2"/>
          <w:sz w:val="21"/>
          <w:szCs w:val="21"/>
          <w:lang w:val="es-ES" w:eastAsia="es-MX"/>
        </w:rPr>
        <w:t>T</w:t>
      </w:r>
      <w:r>
        <w:rPr>
          <w:rFonts w:ascii="Palatino Linotype" w:hAnsi="Palatino Linotype"/>
          <w:i/>
          <w:iCs/>
          <w:color w:val="212121"/>
          <w:sz w:val="21"/>
          <w:szCs w:val="21"/>
          <w:lang w:val="es-ES" w:eastAsia="es-MX"/>
        </w:rPr>
        <w:t>r</w:t>
      </w:r>
      <w:r>
        <w:rPr>
          <w:rFonts w:ascii="Palatino Linotype" w:hAnsi="Palatino Linotype"/>
          <w:i/>
          <w:iCs/>
          <w:color w:val="212121"/>
          <w:spacing w:val="-2"/>
          <w:sz w:val="21"/>
          <w:szCs w:val="21"/>
          <w:lang w:val="es-ES" w:eastAsia="es-MX"/>
        </w:rPr>
        <w:t>a</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s</w:t>
      </w:r>
      <w:r>
        <w:rPr>
          <w:rFonts w:ascii="Palatino Linotype" w:hAnsi="Palatino Linotype"/>
          <w:i/>
          <w:iCs/>
          <w:color w:val="212121"/>
          <w:spacing w:val="1"/>
          <w:sz w:val="21"/>
          <w:szCs w:val="21"/>
          <w:lang w:val="es-ES" w:eastAsia="es-MX"/>
        </w:rPr>
        <w:t>pa</w:t>
      </w:r>
      <w:r>
        <w:rPr>
          <w:rFonts w:ascii="Palatino Linotype" w:hAnsi="Palatino Linotype"/>
          <w:i/>
          <w:iCs/>
          <w:color w:val="212121"/>
          <w:sz w:val="21"/>
          <w:szCs w:val="21"/>
          <w:lang w:val="es-ES" w:eastAsia="es-MX"/>
        </w:rPr>
        <w:t>r</w:t>
      </w:r>
      <w:r>
        <w:rPr>
          <w:rFonts w:ascii="Palatino Linotype" w:hAnsi="Palatino Linotype"/>
          <w:i/>
          <w:iCs/>
          <w:color w:val="212121"/>
          <w:spacing w:val="-2"/>
          <w:sz w:val="21"/>
          <w:szCs w:val="21"/>
          <w:lang w:val="es-ES" w:eastAsia="es-MX"/>
        </w:rPr>
        <w:t>e</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cia y Acc</w:t>
      </w:r>
      <w:r>
        <w:rPr>
          <w:rFonts w:ascii="Palatino Linotype" w:hAnsi="Palatino Linotype"/>
          <w:i/>
          <w:iCs/>
          <w:color w:val="212121"/>
          <w:spacing w:val="1"/>
          <w:sz w:val="21"/>
          <w:szCs w:val="21"/>
          <w:lang w:val="es-ES" w:eastAsia="es-MX"/>
        </w:rPr>
        <w:t>e</w:t>
      </w:r>
      <w:r>
        <w:rPr>
          <w:rFonts w:ascii="Palatino Linotype" w:hAnsi="Palatino Linotype"/>
          <w:i/>
          <w:iCs/>
          <w:color w:val="212121"/>
          <w:sz w:val="21"/>
          <w:szCs w:val="21"/>
          <w:lang w:val="es-ES" w:eastAsia="es-MX"/>
        </w:rPr>
        <w:t>so</w:t>
      </w:r>
      <w:r>
        <w:rPr>
          <w:rFonts w:ascii="Palatino Linotype" w:hAnsi="Palatino Linotype"/>
          <w:i/>
          <w:iCs/>
          <w:color w:val="212121"/>
          <w:spacing w:val="3"/>
          <w:sz w:val="21"/>
          <w:szCs w:val="21"/>
          <w:lang w:val="es-ES" w:eastAsia="es-MX"/>
        </w:rPr>
        <w:t> </w:t>
      </w:r>
      <w:r>
        <w:rPr>
          <w:rFonts w:ascii="Palatino Linotype" w:hAnsi="Palatino Linotype"/>
          <w:i/>
          <w:iCs/>
          <w:color w:val="212121"/>
          <w:sz w:val="21"/>
          <w:szCs w:val="21"/>
          <w:lang w:val="es-ES" w:eastAsia="es-MX"/>
        </w:rPr>
        <w:t>a</w:t>
      </w:r>
      <w:r>
        <w:rPr>
          <w:rFonts w:ascii="Palatino Linotype" w:hAnsi="Palatino Linotype"/>
          <w:i/>
          <w:iCs/>
          <w:color w:val="212121"/>
          <w:spacing w:val="1"/>
          <w:sz w:val="21"/>
          <w:szCs w:val="21"/>
          <w:lang w:val="es-ES" w:eastAsia="es-MX"/>
        </w:rPr>
        <w:t> </w:t>
      </w:r>
      <w:r>
        <w:rPr>
          <w:rFonts w:ascii="Palatino Linotype" w:hAnsi="Palatino Linotype"/>
          <w:i/>
          <w:iCs/>
          <w:color w:val="212121"/>
          <w:sz w:val="21"/>
          <w:szCs w:val="21"/>
          <w:lang w:val="es-ES" w:eastAsia="es-MX"/>
        </w:rPr>
        <w:t>la I</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f</w:t>
      </w:r>
      <w:r>
        <w:rPr>
          <w:rFonts w:ascii="Palatino Linotype" w:hAnsi="Palatino Linotype"/>
          <w:i/>
          <w:iCs/>
          <w:color w:val="212121"/>
          <w:spacing w:val="1"/>
          <w:sz w:val="21"/>
          <w:szCs w:val="21"/>
          <w:lang w:val="es-ES" w:eastAsia="es-MX"/>
        </w:rPr>
        <w:t>o</w:t>
      </w:r>
      <w:r>
        <w:rPr>
          <w:rFonts w:ascii="Palatino Linotype" w:hAnsi="Palatino Linotype"/>
          <w:i/>
          <w:iCs/>
          <w:color w:val="212121"/>
          <w:spacing w:val="-3"/>
          <w:sz w:val="21"/>
          <w:szCs w:val="21"/>
          <w:lang w:val="es-ES" w:eastAsia="es-MX"/>
        </w:rPr>
        <w:t>r</w:t>
      </w:r>
      <w:r>
        <w:rPr>
          <w:rFonts w:ascii="Palatino Linotype" w:hAnsi="Palatino Linotype"/>
          <w:i/>
          <w:iCs/>
          <w:color w:val="212121"/>
          <w:spacing w:val="1"/>
          <w:sz w:val="21"/>
          <w:szCs w:val="21"/>
          <w:lang w:val="es-ES" w:eastAsia="es-MX"/>
        </w:rPr>
        <w:t>ma</w:t>
      </w:r>
      <w:r>
        <w:rPr>
          <w:rFonts w:ascii="Palatino Linotype" w:hAnsi="Palatino Linotype"/>
          <w:i/>
          <w:iCs/>
          <w:color w:val="212121"/>
          <w:sz w:val="21"/>
          <w:szCs w:val="21"/>
          <w:lang w:val="es-ES" w:eastAsia="es-MX"/>
        </w:rPr>
        <w:t>ci</w:t>
      </w:r>
      <w:r>
        <w:rPr>
          <w:rFonts w:ascii="Palatino Linotype" w:hAnsi="Palatino Linotype"/>
          <w:i/>
          <w:iCs/>
          <w:color w:val="212121"/>
          <w:spacing w:val="-2"/>
          <w:sz w:val="21"/>
          <w:szCs w:val="21"/>
          <w:lang w:val="es-ES" w:eastAsia="es-MX"/>
        </w:rPr>
        <w:t>ó</w:t>
      </w:r>
      <w:r>
        <w:rPr>
          <w:rFonts w:ascii="Palatino Linotype" w:hAnsi="Palatino Linotype"/>
          <w:i/>
          <w:iCs/>
          <w:color w:val="212121"/>
          <w:sz w:val="21"/>
          <w:szCs w:val="21"/>
          <w:lang w:val="es-ES" w:eastAsia="es-MX"/>
        </w:rPr>
        <w:t>n</w:t>
      </w:r>
      <w:r>
        <w:rPr>
          <w:rFonts w:ascii="Palatino Linotype" w:hAnsi="Palatino Linotype"/>
          <w:i/>
          <w:iCs/>
          <w:color w:val="212121"/>
          <w:spacing w:val="6"/>
          <w:sz w:val="21"/>
          <w:szCs w:val="21"/>
          <w:lang w:val="es-ES" w:eastAsia="es-MX"/>
        </w:rPr>
        <w:t> </w:t>
      </w:r>
      <w:r>
        <w:rPr>
          <w:rFonts w:ascii="Palatino Linotype" w:hAnsi="Palatino Linotype"/>
          <w:i/>
          <w:iCs/>
          <w:color w:val="212121"/>
          <w:spacing w:val="-2"/>
          <w:sz w:val="21"/>
          <w:szCs w:val="21"/>
          <w:lang w:val="es-ES" w:eastAsia="es-MX"/>
        </w:rPr>
        <w:t>P</w:t>
      </w:r>
      <w:r>
        <w:rPr>
          <w:rFonts w:ascii="Palatino Linotype" w:hAnsi="Palatino Linotype"/>
          <w:i/>
          <w:iCs/>
          <w:color w:val="212121"/>
          <w:spacing w:val="1"/>
          <w:sz w:val="21"/>
          <w:szCs w:val="21"/>
          <w:lang w:val="es-ES" w:eastAsia="es-MX"/>
        </w:rPr>
        <w:t>úb</w:t>
      </w:r>
      <w:r>
        <w:rPr>
          <w:rFonts w:ascii="Palatino Linotype" w:hAnsi="Palatino Linotype"/>
          <w:i/>
          <w:iCs/>
          <w:color w:val="212121"/>
          <w:sz w:val="21"/>
          <w:szCs w:val="21"/>
          <w:lang w:val="es-ES" w:eastAsia="es-MX"/>
        </w:rPr>
        <w:t>l</w:t>
      </w:r>
      <w:r>
        <w:rPr>
          <w:rFonts w:ascii="Palatino Linotype" w:hAnsi="Palatino Linotype"/>
          <w:i/>
          <w:iCs/>
          <w:color w:val="212121"/>
          <w:spacing w:val="-1"/>
          <w:sz w:val="21"/>
          <w:szCs w:val="21"/>
          <w:lang w:val="es-ES" w:eastAsia="es-MX"/>
        </w:rPr>
        <w:t>i</w:t>
      </w:r>
      <w:r>
        <w:rPr>
          <w:rFonts w:ascii="Palatino Linotype" w:hAnsi="Palatino Linotype"/>
          <w:i/>
          <w:iCs/>
          <w:color w:val="212121"/>
          <w:sz w:val="21"/>
          <w:szCs w:val="21"/>
          <w:lang w:val="es-ES" w:eastAsia="es-MX"/>
        </w:rPr>
        <w:t>ca y </w:t>
      </w:r>
      <w:r>
        <w:rPr>
          <w:rFonts w:ascii="Palatino Linotype" w:hAnsi="Palatino Linotype"/>
          <w:i/>
          <w:iCs/>
          <w:color w:val="212121"/>
          <w:spacing w:val="8"/>
          <w:sz w:val="21"/>
          <w:szCs w:val="21"/>
          <w:lang w:val="es-ES" w:eastAsia="es-MX"/>
        </w:rPr>
        <w:t>130, párrafo cuarto, </w:t>
      </w:r>
      <w:r>
        <w:rPr>
          <w:rFonts w:ascii="Palatino Linotype" w:hAnsi="Palatino Linotype"/>
          <w:i/>
          <w:iCs/>
          <w:color w:val="212121"/>
          <w:spacing w:val="1"/>
          <w:sz w:val="21"/>
          <w:szCs w:val="21"/>
          <w:lang w:val="es-ES" w:eastAsia="es-MX"/>
        </w:rPr>
        <w:t>d</w:t>
      </w:r>
      <w:r>
        <w:rPr>
          <w:rFonts w:ascii="Palatino Linotype" w:hAnsi="Palatino Linotype"/>
          <w:i/>
          <w:iCs/>
          <w:color w:val="212121"/>
          <w:sz w:val="21"/>
          <w:szCs w:val="21"/>
          <w:lang w:val="es-ES" w:eastAsia="es-MX"/>
        </w:rPr>
        <w:t>e</w:t>
      </w:r>
      <w:r>
        <w:rPr>
          <w:rFonts w:ascii="Palatino Linotype" w:hAnsi="Palatino Linotype"/>
          <w:i/>
          <w:iCs/>
          <w:color w:val="212121"/>
          <w:spacing w:val="9"/>
          <w:sz w:val="21"/>
          <w:szCs w:val="21"/>
          <w:lang w:val="es-ES" w:eastAsia="es-MX"/>
        </w:rPr>
        <w:t> </w:t>
      </w:r>
      <w:r>
        <w:rPr>
          <w:rFonts w:ascii="Palatino Linotype" w:hAnsi="Palatino Linotype"/>
          <w:i/>
          <w:iCs/>
          <w:color w:val="212121"/>
          <w:sz w:val="21"/>
          <w:szCs w:val="21"/>
          <w:lang w:val="es-ES" w:eastAsia="es-MX"/>
        </w:rPr>
        <w:t>la</w:t>
      </w:r>
      <w:r>
        <w:rPr>
          <w:rFonts w:ascii="Palatino Linotype" w:hAnsi="Palatino Linotype"/>
          <w:i/>
          <w:iCs/>
          <w:color w:val="212121"/>
          <w:spacing w:val="10"/>
          <w:sz w:val="21"/>
          <w:szCs w:val="21"/>
          <w:lang w:val="es-ES" w:eastAsia="es-MX"/>
        </w:rPr>
        <w:t> </w:t>
      </w:r>
      <w:r>
        <w:rPr>
          <w:rFonts w:ascii="Palatino Linotype" w:hAnsi="Palatino Linotype"/>
          <w:i/>
          <w:iCs/>
          <w:color w:val="212121"/>
          <w:spacing w:val="-1"/>
          <w:sz w:val="21"/>
          <w:szCs w:val="21"/>
          <w:lang w:val="es-ES" w:eastAsia="es-MX"/>
        </w:rPr>
        <w:t>L</w:t>
      </w:r>
      <w:r>
        <w:rPr>
          <w:rFonts w:ascii="Palatino Linotype" w:hAnsi="Palatino Linotype"/>
          <w:i/>
          <w:iCs/>
          <w:color w:val="212121"/>
          <w:spacing w:val="1"/>
          <w:sz w:val="21"/>
          <w:szCs w:val="21"/>
          <w:lang w:val="es-ES" w:eastAsia="es-MX"/>
        </w:rPr>
        <w:t>e</w:t>
      </w:r>
      <w:r>
        <w:rPr>
          <w:rFonts w:ascii="Palatino Linotype" w:hAnsi="Palatino Linotype"/>
          <w:i/>
          <w:iCs/>
          <w:color w:val="212121"/>
          <w:sz w:val="21"/>
          <w:szCs w:val="21"/>
          <w:lang w:val="es-ES" w:eastAsia="es-MX"/>
        </w:rPr>
        <w:t>y</w:t>
      </w:r>
      <w:r>
        <w:rPr>
          <w:rFonts w:ascii="Palatino Linotype" w:hAnsi="Palatino Linotype"/>
          <w:i/>
          <w:iCs/>
          <w:color w:val="212121"/>
          <w:spacing w:val="8"/>
          <w:sz w:val="21"/>
          <w:szCs w:val="21"/>
          <w:lang w:val="es-ES" w:eastAsia="es-MX"/>
        </w:rPr>
        <w:t> </w:t>
      </w:r>
      <w:r>
        <w:rPr>
          <w:rFonts w:ascii="Palatino Linotype" w:hAnsi="Palatino Linotype"/>
          <w:i/>
          <w:iCs/>
          <w:color w:val="212121"/>
          <w:sz w:val="21"/>
          <w:szCs w:val="21"/>
          <w:lang w:val="es-ES" w:eastAsia="es-MX"/>
        </w:rPr>
        <w:t>Fe</w:t>
      </w:r>
      <w:r>
        <w:rPr>
          <w:rFonts w:ascii="Palatino Linotype" w:hAnsi="Palatino Linotype"/>
          <w:i/>
          <w:iCs/>
          <w:color w:val="212121"/>
          <w:spacing w:val="1"/>
          <w:sz w:val="21"/>
          <w:szCs w:val="21"/>
          <w:lang w:val="es-ES" w:eastAsia="es-MX"/>
        </w:rPr>
        <w:t>de</w:t>
      </w:r>
      <w:r>
        <w:rPr>
          <w:rFonts w:ascii="Palatino Linotype" w:hAnsi="Palatino Linotype"/>
          <w:i/>
          <w:iCs/>
          <w:color w:val="212121"/>
          <w:sz w:val="21"/>
          <w:szCs w:val="21"/>
          <w:lang w:val="es-ES" w:eastAsia="es-MX"/>
        </w:rPr>
        <w:t>ral</w:t>
      </w:r>
      <w:r>
        <w:rPr>
          <w:rFonts w:ascii="Palatino Linotype" w:hAnsi="Palatino Linotype"/>
          <w:i/>
          <w:iCs/>
          <w:color w:val="212121"/>
          <w:spacing w:val="10"/>
          <w:sz w:val="21"/>
          <w:szCs w:val="21"/>
          <w:lang w:val="es-ES" w:eastAsia="es-MX"/>
        </w:rPr>
        <w:t> </w:t>
      </w:r>
      <w:r>
        <w:rPr>
          <w:rFonts w:ascii="Palatino Linotype" w:hAnsi="Palatino Linotype"/>
          <w:i/>
          <w:iCs/>
          <w:color w:val="212121"/>
          <w:spacing w:val="-1"/>
          <w:sz w:val="21"/>
          <w:szCs w:val="21"/>
          <w:lang w:val="es-ES" w:eastAsia="es-MX"/>
        </w:rPr>
        <w:t>d</w:t>
      </w:r>
      <w:r>
        <w:rPr>
          <w:rFonts w:ascii="Palatino Linotype" w:hAnsi="Palatino Linotype"/>
          <w:i/>
          <w:iCs/>
          <w:color w:val="212121"/>
          <w:sz w:val="21"/>
          <w:szCs w:val="21"/>
          <w:lang w:val="es-ES" w:eastAsia="es-MX"/>
        </w:rPr>
        <w:t>e</w:t>
      </w:r>
      <w:r>
        <w:rPr>
          <w:rFonts w:ascii="Palatino Linotype" w:hAnsi="Palatino Linotype"/>
          <w:i/>
          <w:iCs/>
          <w:color w:val="212121"/>
          <w:spacing w:val="9"/>
          <w:sz w:val="21"/>
          <w:szCs w:val="21"/>
          <w:lang w:val="es-ES" w:eastAsia="es-MX"/>
        </w:rPr>
        <w:t> </w:t>
      </w:r>
      <w:r>
        <w:rPr>
          <w:rFonts w:ascii="Palatino Linotype" w:hAnsi="Palatino Linotype"/>
          <w:i/>
          <w:iCs/>
          <w:color w:val="212121"/>
          <w:spacing w:val="2"/>
          <w:sz w:val="21"/>
          <w:szCs w:val="21"/>
          <w:lang w:val="es-ES" w:eastAsia="es-MX"/>
        </w:rPr>
        <w:t>T</w:t>
      </w:r>
      <w:r>
        <w:rPr>
          <w:rFonts w:ascii="Palatino Linotype" w:hAnsi="Palatino Linotype"/>
          <w:i/>
          <w:iCs/>
          <w:color w:val="212121"/>
          <w:sz w:val="21"/>
          <w:szCs w:val="21"/>
          <w:lang w:val="es-ES" w:eastAsia="es-MX"/>
        </w:rPr>
        <w:t>r</w:t>
      </w:r>
      <w:r>
        <w:rPr>
          <w:rFonts w:ascii="Palatino Linotype" w:hAnsi="Palatino Linotype"/>
          <w:i/>
          <w:iCs/>
          <w:color w:val="212121"/>
          <w:spacing w:val="-2"/>
          <w:sz w:val="21"/>
          <w:szCs w:val="21"/>
          <w:lang w:val="es-ES" w:eastAsia="es-MX"/>
        </w:rPr>
        <w:t>a</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s</w:t>
      </w:r>
      <w:r>
        <w:rPr>
          <w:rFonts w:ascii="Palatino Linotype" w:hAnsi="Palatino Linotype"/>
          <w:i/>
          <w:iCs/>
          <w:color w:val="212121"/>
          <w:spacing w:val="1"/>
          <w:sz w:val="21"/>
          <w:szCs w:val="21"/>
          <w:lang w:val="es-ES" w:eastAsia="es-MX"/>
        </w:rPr>
        <w:t>pa</w:t>
      </w:r>
      <w:r>
        <w:rPr>
          <w:rFonts w:ascii="Palatino Linotype" w:hAnsi="Palatino Linotype"/>
          <w:i/>
          <w:iCs/>
          <w:color w:val="212121"/>
          <w:sz w:val="21"/>
          <w:szCs w:val="21"/>
          <w:lang w:val="es-ES" w:eastAsia="es-MX"/>
        </w:rPr>
        <w:t>r</w:t>
      </w:r>
      <w:r>
        <w:rPr>
          <w:rFonts w:ascii="Palatino Linotype" w:hAnsi="Palatino Linotype"/>
          <w:i/>
          <w:iCs/>
          <w:color w:val="212121"/>
          <w:spacing w:val="-2"/>
          <w:sz w:val="21"/>
          <w:szCs w:val="21"/>
          <w:lang w:val="es-ES" w:eastAsia="es-MX"/>
        </w:rPr>
        <w:t>e</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cia y Acc</w:t>
      </w:r>
      <w:r>
        <w:rPr>
          <w:rFonts w:ascii="Palatino Linotype" w:hAnsi="Palatino Linotype"/>
          <w:i/>
          <w:iCs/>
          <w:color w:val="212121"/>
          <w:spacing w:val="1"/>
          <w:sz w:val="21"/>
          <w:szCs w:val="21"/>
          <w:lang w:val="es-ES" w:eastAsia="es-MX"/>
        </w:rPr>
        <w:t>e</w:t>
      </w:r>
      <w:r>
        <w:rPr>
          <w:rFonts w:ascii="Palatino Linotype" w:hAnsi="Palatino Linotype"/>
          <w:i/>
          <w:iCs/>
          <w:color w:val="212121"/>
          <w:sz w:val="21"/>
          <w:szCs w:val="21"/>
          <w:lang w:val="es-ES" w:eastAsia="es-MX"/>
        </w:rPr>
        <w:t>so</w:t>
      </w:r>
      <w:r>
        <w:rPr>
          <w:rFonts w:ascii="Palatino Linotype" w:hAnsi="Palatino Linotype"/>
          <w:i/>
          <w:iCs/>
          <w:color w:val="212121"/>
          <w:spacing w:val="3"/>
          <w:sz w:val="21"/>
          <w:szCs w:val="21"/>
          <w:lang w:val="es-ES" w:eastAsia="es-MX"/>
        </w:rPr>
        <w:t> </w:t>
      </w:r>
      <w:r>
        <w:rPr>
          <w:rFonts w:ascii="Palatino Linotype" w:hAnsi="Palatino Linotype"/>
          <w:i/>
          <w:iCs/>
          <w:color w:val="212121"/>
          <w:sz w:val="21"/>
          <w:szCs w:val="21"/>
          <w:lang w:val="es-ES" w:eastAsia="es-MX"/>
        </w:rPr>
        <w:t>a</w:t>
      </w:r>
      <w:r>
        <w:rPr>
          <w:rFonts w:ascii="Palatino Linotype" w:hAnsi="Palatino Linotype"/>
          <w:i/>
          <w:iCs/>
          <w:color w:val="212121"/>
          <w:spacing w:val="1"/>
          <w:sz w:val="21"/>
          <w:szCs w:val="21"/>
          <w:lang w:val="es-ES" w:eastAsia="es-MX"/>
        </w:rPr>
        <w:t> </w:t>
      </w:r>
      <w:r>
        <w:rPr>
          <w:rFonts w:ascii="Palatino Linotype" w:hAnsi="Palatino Linotype"/>
          <w:i/>
          <w:iCs/>
          <w:color w:val="212121"/>
          <w:sz w:val="21"/>
          <w:szCs w:val="21"/>
          <w:lang w:val="es-ES" w:eastAsia="es-MX"/>
        </w:rPr>
        <w:t>la I</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f</w:t>
      </w:r>
      <w:r>
        <w:rPr>
          <w:rFonts w:ascii="Palatino Linotype" w:hAnsi="Palatino Linotype"/>
          <w:i/>
          <w:iCs/>
          <w:color w:val="212121"/>
          <w:spacing w:val="1"/>
          <w:sz w:val="21"/>
          <w:szCs w:val="21"/>
          <w:lang w:val="es-ES" w:eastAsia="es-MX"/>
        </w:rPr>
        <w:t>o</w:t>
      </w:r>
      <w:r>
        <w:rPr>
          <w:rFonts w:ascii="Palatino Linotype" w:hAnsi="Palatino Linotype"/>
          <w:i/>
          <w:iCs/>
          <w:color w:val="212121"/>
          <w:spacing w:val="-3"/>
          <w:sz w:val="21"/>
          <w:szCs w:val="21"/>
          <w:lang w:val="es-ES" w:eastAsia="es-MX"/>
        </w:rPr>
        <w:t>r</w:t>
      </w:r>
      <w:r>
        <w:rPr>
          <w:rFonts w:ascii="Palatino Linotype" w:hAnsi="Palatino Linotype"/>
          <w:i/>
          <w:iCs/>
          <w:color w:val="212121"/>
          <w:spacing w:val="1"/>
          <w:sz w:val="21"/>
          <w:szCs w:val="21"/>
          <w:lang w:val="es-ES" w:eastAsia="es-MX"/>
        </w:rPr>
        <w:t>ma</w:t>
      </w:r>
      <w:r>
        <w:rPr>
          <w:rFonts w:ascii="Palatino Linotype" w:hAnsi="Palatino Linotype"/>
          <w:i/>
          <w:iCs/>
          <w:color w:val="212121"/>
          <w:sz w:val="21"/>
          <w:szCs w:val="21"/>
          <w:lang w:val="es-ES" w:eastAsia="es-MX"/>
        </w:rPr>
        <w:t>ci</w:t>
      </w:r>
      <w:r>
        <w:rPr>
          <w:rFonts w:ascii="Palatino Linotype" w:hAnsi="Palatino Linotype"/>
          <w:i/>
          <w:iCs/>
          <w:color w:val="212121"/>
          <w:spacing w:val="-2"/>
          <w:sz w:val="21"/>
          <w:szCs w:val="21"/>
          <w:lang w:val="es-ES" w:eastAsia="es-MX"/>
        </w:rPr>
        <w:t>ó</w:t>
      </w:r>
      <w:r>
        <w:rPr>
          <w:rFonts w:ascii="Palatino Linotype" w:hAnsi="Palatino Linotype"/>
          <w:i/>
          <w:iCs/>
          <w:color w:val="212121"/>
          <w:sz w:val="21"/>
          <w:szCs w:val="21"/>
          <w:lang w:val="es-ES" w:eastAsia="es-MX"/>
        </w:rPr>
        <w:t>n</w:t>
      </w:r>
      <w:r>
        <w:rPr>
          <w:rFonts w:ascii="Palatino Linotype" w:hAnsi="Palatino Linotype"/>
          <w:i/>
          <w:iCs/>
          <w:color w:val="212121"/>
          <w:spacing w:val="6"/>
          <w:sz w:val="21"/>
          <w:szCs w:val="21"/>
          <w:lang w:val="es-ES" w:eastAsia="es-MX"/>
        </w:rPr>
        <w:t> </w:t>
      </w:r>
      <w:r>
        <w:rPr>
          <w:rFonts w:ascii="Palatino Linotype" w:hAnsi="Palatino Linotype"/>
          <w:i/>
          <w:iCs/>
          <w:color w:val="212121"/>
          <w:spacing w:val="-2"/>
          <w:sz w:val="21"/>
          <w:szCs w:val="21"/>
          <w:lang w:val="es-ES" w:eastAsia="es-MX"/>
        </w:rPr>
        <w:t>P</w:t>
      </w:r>
      <w:r>
        <w:rPr>
          <w:rFonts w:ascii="Palatino Linotype" w:hAnsi="Palatino Linotype"/>
          <w:i/>
          <w:iCs/>
          <w:color w:val="212121"/>
          <w:spacing w:val="1"/>
          <w:sz w:val="21"/>
          <w:szCs w:val="21"/>
          <w:lang w:val="es-ES" w:eastAsia="es-MX"/>
        </w:rPr>
        <w:t>úb</w:t>
      </w:r>
      <w:r>
        <w:rPr>
          <w:rFonts w:ascii="Palatino Linotype" w:hAnsi="Palatino Linotype"/>
          <w:i/>
          <w:iCs/>
          <w:color w:val="212121"/>
          <w:sz w:val="21"/>
          <w:szCs w:val="21"/>
          <w:lang w:val="es-ES" w:eastAsia="es-MX"/>
        </w:rPr>
        <w:t>l</w:t>
      </w:r>
      <w:r>
        <w:rPr>
          <w:rFonts w:ascii="Palatino Linotype" w:hAnsi="Palatino Linotype"/>
          <w:i/>
          <w:iCs/>
          <w:color w:val="212121"/>
          <w:spacing w:val="-1"/>
          <w:sz w:val="21"/>
          <w:szCs w:val="21"/>
          <w:lang w:val="es-ES" w:eastAsia="es-MX"/>
        </w:rPr>
        <w:t>i</w:t>
      </w:r>
      <w:r>
        <w:rPr>
          <w:rFonts w:ascii="Palatino Linotype" w:hAnsi="Palatino Linotype"/>
          <w:i/>
          <w:iCs/>
          <w:color w:val="212121"/>
          <w:sz w:val="21"/>
          <w:szCs w:val="21"/>
          <w:lang w:val="es-ES" w:eastAsia="es-MX"/>
        </w:rPr>
        <w:t>ca, </w:t>
      </w:r>
      <w:r>
        <w:rPr>
          <w:rFonts w:ascii="Palatino Linotype" w:hAnsi="Palatino Linotype"/>
          <w:i/>
          <w:iCs/>
          <w:color w:val="212121"/>
          <w:spacing w:val="-1"/>
          <w:sz w:val="21"/>
          <w:szCs w:val="21"/>
          <w:lang w:val="es-ES" w:eastAsia="es-MX"/>
        </w:rPr>
        <w:t>señalan</w:t>
      </w:r>
      <w:r>
        <w:rPr>
          <w:rFonts w:ascii="Palatino Linotype" w:hAnsi="Palatino Linotype"/>
          <w:i/>
          <w:iCs/>
          <w:color w:val="212121"/>
          <w:spacing w:val="1"/>
          <w:sz w:val="21"/>
          <w:szCs w:val="21"/>
          <w:lang w:val="es-ES" w:eastAsia="es-MX"/>
        </w:rPr>
        <w:t> </w:t>
      </w:r>
      <w:r>
        <w:rPr>
          <w:rFonts w:ascii="Palatino Linotype" w:hAnsi="Palatino Linotype"/>
          <w:i/>
          <w:iCs/>
          <w:color w:val="212121"/>
          <w:spacing w:val="-1"/>
          <w:sz w:val="21"/>
          <w:szCs w:val="21"/>
          <w:lang w:val="es-ES" w:eastAsia="es-MX"/>
        </w:rPr>
        <w:t>q</w:t>
      </w:r>
      <w:r>
        <w:rPr>
          <w:rFonts w:ascii="Palatino Linotype" w:hAnsi="Palatino Linotype"/>
          <w:i/>
          <w:iCs/>
          <w:color w:val="212121"/>
          <w:spacing w:val="1"/>
          <w:sz w:val="21"/>
          <w:szCs w:val="21"/>
          <w:lang w:val="es-ES" w:eastAsia="es-MX"/>
        </w:rPr>
        <w:t>u</w:t>
      </w:r>
      <w:r>
        <w:rPr>
          <w:rFonts w:ascii="Palatino Linotype" w:hAnsi="Palatino Linotype"/>
          <w:i/>
          <w:iCs/>
          <w:color w:val="212121"/>
          <w:sz w:val="21"/>
          <w:szCs w:val="21"/>
          <w:lang w:val="es-ES" w:eastAsia="es-MX"/>
        </w:rPr>
        <w:t>e los sujetos obligados deberán otorgar acceso a los documentos que se encuentren en sus archivos o que estén obligados a documentar, de acuerdo con sus facultades, competencias o funciones, conforme a las características físicas de la información o del lu</w:t>
      </w:r>
      <w:r>
        <w:rPr>
          <w:rFonts w:ascii="Palatino Linotype" w:hAnsi="Palatino Linotype"/>
          <w:i/>
          <w:iCs/>
          <w:color w:val="212121"/>
          <w:sz w:val="21"/>
          <w:szCs w:val="21"/>
          <w:lang w:val="es-ES" w:eastAsia="es-MX"/>
        </w:rPr>
        <w:t>gar donde se encuentre. Por lo anterior, los sujetos obligados deben garantizar el derecho de acceso a la información del particular, proporcionando la información con la que cuentan en el formato en que la misma obre en sus archivos; sin necesidad de elab</w:t>
      </w:r>
      <w:r>
        <w:rPr>
          <w:rFonts w:ascii="Palatino Linotype" w:hAnsi="Palatino Linotype"/>
          <w:i/>
          <w:iCs/>
          <w:color w:val="212121"/>
          <w:sz w:val="21"/>
          <w:szCs w:val="21"/>
          <w:lang w:val="es-ES" w:eastAsia="es-MX"/>
        </w:rPr>
        <w:t xml:space="preserve">orar documentos ad hoc para atender las solicitudes de información. </w:t>
      </w:r>
    </w:p>
    <w:p w:rsidR="00880A06" w:rsidRDefault="00616063">
      <w:pPr>
        <w:ind w:left="851" w:right="902"/>
        <w:jc w:val="both"/>
        <w:rPr>
          <w:rFonts w:ascii="Palatino Linotype" w:hAnsi="Palatino Linotype" w:cs="Arial"/>
          <w:i/>
          <w:color w:val="000000"/>
          <w:sz w:val="21"/>
          <w:szCs w:val="21"/>
        </w:rPr>
      </w:pPr>
      <w:r>
        <w:rPr>
          <w:rFonts w:ascii="Palatino Linotype" w:hAnsi="Palatino Linotype" w:cs="Arial"/>
          <w:i/>
          <w:color w:val="000000"/>
          <w:sz w:val="21"/>
          <w:szCs w:val="21"/>
        </w:rPr>
        <w:t xml:space="preserve">Resoluciones: </w:t>
      </w:r>
    </w:p>
    <w:p w:rsidR="00880A06" w:rsidRDefault="00616063">
      <w:pPr>
        <w:ind w:left="851" w:right="902"/>
        <w:jc w:val="both"/>
        <w:rPr>
          <w:rFonts w:ascii="Palatino Linotype" w:hAnsi="Palatino Linotype" w:cs="Arial"/>
          <w:i/>
          <w:color w:val="000000"/>
          <w:sz w:val="21"/>
          <w:szCs w:val="21"/>
        </w:rPr>
      </w:pPr>
      <w:r>
        <w:rPr>
          <w:rFonts w:ascii="Symbol" w:eastAsia="Symbol" w:hAnsi="Symbol" w:cs="Symbol"/>
          <w:i/>
          <w:color w:val="000000"/>
          <w:sz w:val="21"/>
          <w:szCs w:val="21"/>
        </w:rPr>
        <w:t></w:t>
      </w:r>
      <w:r>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880A06" w:rsidRDefault="00616063">
      <w:pPr>
        <w:ind w:left="851" w:right="902"/>
        <w:jc w:val="both"/>
        <w:rPr>
          <w:rFonts w:ascii="Palatino Linotype" w:hAnsi="Palatino Linotype" w:cs="Arial"/>
          <w:i/>
          <w:color w:val="000000"/>
          <w:sz w:val="21"/>
          <w:szCs w:val="21"/>
        </w:rPr>
      </w:pPr>
      <w:r>
        <w:rPr>
          <w:rFonts w:ascii="Symbol" w:eastAsia="Symbol" w:hAnsi="Symbol" w:cs="Symbol"/>
          <w:i/>
          <w:color w:val="000000"/>
          <w:sz w:val="21"/>
          <w:szCs w:val="21"/>
        </w:rPr>
        <w:lastRenderedPageBreak/>
        <w:t></w:t>
      </w:r>
      <w:r>
        <w:rPr>
          <w:rFonts w:ascii="Palatino Linotype" w:hAnsi="Palatino Linotype" w:cs="Arial"/>
          <w:i/>
          <w:color w:val="000000"/>
          <w:sz w:val="21"/>
          <w:szCs w:val="21"/>
        </w:rPr>
        <w:t xml:space="preserve"> </w:t>
      </w:r>
      <w:r>
        <w:rPr>
          <w:rFonts w:ascii="Palatino Linotype" w:hAnsi="Palatino Linotype" w:cs="Arial"/>
          <w:i/>
          <w:color w:val="000000"/>
          <w:sz w:val="21"/>
          <w:szCs w:val="21"/>
        </w:rPr>
        <w:t xml:space="preserve">RRA 0310/16. Instituto Nacional de Transparencia, Acceso a la Información y Protección de Datos Personales. 10 de agosto de 2016. Por unanimidad. Comisionada Ponente. Areli Cano Guadiana. </w:t>
      </w:r>
    </w:p>
    <w:p w:rsidR="00880A06" w:rsidRDefault="00616063">
      <w:pPr>
        <w:ind w:left="851" w:right="902"/>
        <w:jc w:val="both"/>
        <w:rPr>
          <w:rFonts w:ascii="Palatino Linotype" w:hAnsi="Palatino Linotype" w:cs="Arial"/>
          <w:i/>
          <w:color w:val="000000"/>
          <w:sz w:val="21"/>
          <w:szCs w:val="21"/>
        </w:rPr>
      </w:pPr>
      <w:r>
        <w:rPr>
          <w:rFonts w:ascii="Symbol" w:eastAsia="Symbol" w:hAnsi="Symbol" w:cs="Symbol"/>
          <w:i/>
          <w:color w:val="000000"/>
          <w:sz w:val="21"/>
          <w:szCs w:val="21"/>
        </w:rPr>
        <w:t></w:t>
      </w:r>
      <w:r>
        <w:rPr>
          <w:rFonts w:ascii="Palatino Linotype" w:hAnsi="Palatino Linotype" w:cs="Arial"/>
          <w:i/>
          <w:color w:val="000000"/>
          <w:sz w:val="21"/>
          <w:szCs w:val="21"/>
        </w:rPr>
        <w:t xml:space="preserve"> RRA 1889/16. Secretaría de Hacienda y Crédito Público. 05 de octu</w:t>
      </w:r>
      <w:r>
        <w:rPr>
          <w:rFonts w:ascii="Palatino Linotype" w:hAnsi="Palatino Linotype" w:cs="Arial"/>
          <w:i/>
          <w:color w:val="000000"/>
          <w:sz w:val="21"/>
          <w:szCs w:val="21"/>
        </w:rPr>
        <w:t xml:space="preserve">bre de 2016. Por unanimidad. Comisionada Ponente. Ximena Puente de la Mora.” </w:t>
      </w:r>
    </w:p>
    <w:p w:rsidR="00880A06" w:rsidRDefault="00616063">
      <w:pPr>
        <w:ind w:left="851" w:right="902"/>
        <w:jc w:val="both"/>
        <w:rPr>
          <w:rFonts w:ascii="Palatino Linotype" w:hAnsi="Palatino Linotype" w:cs="Arial"/>
          <w:i/>
          <w:color w:val="000000"/>
          <w:sz w:val="21"/>
          <w:szCs w:val="21"/>
        </w:rPr>
      </w:pPr>
      <w:r>
        <w:rPr>
          <w:rFonts w:ascii="Palatino Linotype" w:hAnsi="Palatino Linotype" w:cs="Arial"/>
          <w:i/>
          <w:color w:val="000000"/>
          <w:sz w:val="21"/>
          <w:szCs w:val="21"/>
        </w:rPr>
        <w:t>(Sic)</w:t>
      </w:r>
    </w:p>
    <w:p w:rsidR="00880A06" w:rsidRDefault="00616063">
      <w:pPr>
        <w:spacing w:beforeAutospacing="1" w:afterAutospacing="1" w:line="360" w:lineRule="auto"/>
        <w:jc w:val="both"/>
        <w:rPr>
          <w:rFonts w:ascii="Palatino Linotype" w:hAnsi="Palatino Linotype"/>
        </w:rPr>
      </w:pPr>
      <w:r>
        <w:rPr>
          <w:rFonts w:ascii="Palatino Linotype" w:hAnsi="Palatino Linotype"/>
        </w:rPr>
        <w:t xml:space="preserve">Así, este Órgano Garante determina que </w:t>
      </w:r>
      <w:r>
        <w:rPr>
          <w:rFonts w:ascii="Palatino Linotype" w:hAnsi="Palatino Linotype"/>
          <w:b/>
        </w:rPr>
        <w:t>EL SUJETO OBLIGADO</w:t>
      </w:r>
      <w:r>
        <w:rPr>
          <w:rFonts w:ascii="Palatino Linotype" w:hAnsi="Palatino Linotype"/>
        </w:rPr>
        <w:t xml:space="preserve"> está constreñido a entregar la información; tal y como, la genera y obra en sus archivos.</w:t>
      </w:r>
    </w:p>
    <w:p w:rsidR="00880A06" w:rsidRDefault="00616063">
      <w:pPr>
        <w:spacing w:before="240" w:after="240" w:line="360" w:lineRule="auto"/>
        <w:jc w:val="both"/>
        <w:rPr>
          <w:rFonts w:ascii="Palatino Linotype" w:hAnsi="Palatino Linotype" w:cs="Arial"/>
          <w:lang w:val="es-ES"/>
        </w:rPr>
      </w:pPr>
      <w:r>
        <w:rPr>
          <w:rFonts w:ascii="Palatino Linotype" w:hAnsi="Palatino Linotype"/>
          <w:lang w:val="es-ES"/>
        </w:rPr>
        <w:t>Siendo necesario hacer h</w:t>
      </w:r>
      <w:r>
        <w:rPr>
          <w:rFonts w:ascii="Palatino Linotype" w:hAnsi="Palatino Linotype"/>
          <w:lang w:val="es-ES"/>
        </w:rPr>
        <w:t xml:space="preserve">incapié que, </w:t>
      </w:r>
      <w:r>
        <w:rPr>
          <w:rFonts w:ascii="Palatino Linotype" w:hAnsi="Palatino Linotype" w:cs="Arial"/>
          <w:lang w:val="es-ES"/>
        </w:rPr>
        <w:t>en todo momento, los Sujetos Obligados, al analizar las solicitudes de información a ellos planteadas, deben verificar si puede o no tratarse de información que generen, posean o administren en el ejercicio de sus atribuciones o funciones y, e</w:t>
      </w:r>
      <w:r>
        <w:rPr>
          <w:rFonts w:ascii="Palatino Linotype" w:hAnsi="Palatino Linotype" w:cs="Arial"/>
          <w:lang w:val="es-ES"/>
        </w:rPr>
        <w:t xml:space="preserve">n tal virtud, cuando haya información relacionada con la solicitud, o bien, una </w:t>
      </w:r>
      <w:r>
        <w:rPr>
          <w:rFonts w:ascii="Palatino Linotype" w:hAnsi="Palatino Linotype" w:cs="Arial"/>
          <w:b/>
          <w:lang w:val="es-ES"/>
        </w:rPr>
        <w:t>expresión documental</w:t>
      </w:r>
      <w:r>
        <w:rPr>
          <w:rFonts w:ascii="Palatino Linotype" w:hAnsi="Palatino Linotype" w:cs="Arial"/>
          <w:lang w:val="es-ES"/>
        </w:rPr>
        <w:t>, deben atenderlas. Lo anterior, tiene apoyo en el criterio 16/17, emitido por el Pleno del INAI, el cual menciona lo siguiente:</w:t>
      </w:r>
    </w:p>
    <w:p w:rsidR="00880A06" w:rsidRDefault="00616063">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w:t>
      </w:r>
      <w:r>
        <w:rPr>
          <w:rFonts w:ascii="Palatino Linotype" w:hAnsi="Palatino Linotype" w:cs="Arial"/>
          <w:b/>
          <w:i/>
          <w:sz w:val="22"/>
          <w:szCs w:val="22"/>
          <w:lang w:val="es-ES"/>
        </w:rPr>
        <w:t xml:space="preserve">Expresión documental. </w:t>
      </w:r>
      <w:r>
        <w:rPr>
          <w:rFonts w:ascii="Palatino Linotype" w:hAnsi="Palatino Linotype" w:cs="Arial"/>
          <w:i/>
          <w:sz w:val="22"/>
          <w:szCs w:val="22"/>
          <w:lang w:val="es-ES"/>
        </w:rPr>
        <w:t>Cuando los particulares presenten solicitudes de acceso a la información sin identificar de forma precisa la documentación que pudiera contener la información de su interés, o bien, la solicitud constituya una consulta, pero la respuesta pudiera obrar en a</w:t>
      </w:r>
      <w:r>
        <w:rPr>
          <w:rFonts w:ascii="Palatino Linotype" w:hAnsi="Palatino Linotype" w:cs="Arial"/>
          <w:i/>
          <w:sz w:val="22"/>
          <w:szCs w:val="22"/>
          <w:lang w:val="es-ES"/>
        </w:rPr>
        <w:t xml:space="preserve">lgún documento en poder de los sujetos obligados, éstos deben dar a dichas solicitudes una interpretación que les otorgue una expresión documental. </w:t>
      </w:r>
    </w:p>
    <w:p w:rsidR="00880A06" w:rsidRDefault="00616063">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Resoluciones:</w:t>
      </w:r>
    </w:p>
    <w:p w:rsidR="00880A06" w:rsidRDefault="00616063">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w:t>
      </w:r>
      <w:r>
        <w:rPr>
          <w:rFonts w:ascii="Palatino Linotype" w:hAnsi="Palatino Linotype" w:cs="Arial"/>
          <w:i/>
          <w:sz w:val="22"/>
          <w:szCs w:val="22"/>
          <w:lang w:val="es-ES"/>
        </w:rPr>
        <w:tab/>
        <w:t>RRA 0774/16. Secretaría de Salud. 31 de agosto de 2016. Por unanimidad. Comisionada Ponente</w:t>
      </w:r>
      <w:r>
        <w:rPr>
          <w:rFonts w:ascii="Palatino Linotype" w:hAnsi="Palatino Linotype" w:cs="Arial"/>
          <w:i/>
          <w:sz w:val="22"/>
          <w:szCs w:val="22"/>
          <w:lang w:val="es-ES"/>
        </w:rPr>
        <w:t xml:space="preserve"> María Patricia Kurczyn Villalobos.</w:t>
      </w:r>
    </w:p>
    <w:p w:rsidR="00880A06" w:rsidRDefault="00616063">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w:t>
      </w:r>
      <w:r>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880A06" w:rsidRDefault="00616063">
      <w:pPr>
        <w:spacing w:before="120" w:after="120"/>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w:t>
      </w:r>
      <w:r>
        <w:rPr>
          <w:rFonts w:ascii="Palatino Linotype" w:hAnsi="Palatino Linotype" w:cs="Arial"/>
          <w:i/>
          <w:sz w:val="22"/>
          <w:szCs w:val="22"/>
          <w:lang w:val="es-ES"/>
        </w:rPr>
        <w:tab/>
        <w:t>RRA 0540/17. Secretaría de Economía. 08 de marzo del 2017. Por unanimid</w:t>
      </w:r>
      <w:r>
        <w:rPr>
          <w:rFonts w:ascii="Palatino Linotype" w:hAnsi="Palatino Linotype" w:cs="Arial"/>
          <w:i/>
          <w:sz w:val="22"/>
          <w:szCs w:val="22"/>
          <w:lang w:val="es-ES"/>
        </w:rPr>
        <w:t>ad. Comisionado Ponente Francisco Javier Acuña Llamas.” (Sic)</w:t>
      </w:r>
    </w:p>
    <w:p w:rsidR="00880A06" w:rsidRDefault="00616063">
      <w:pPr>
        <w:spacing w:before="120" w:after="120"/>
        <w:ind w:left="567" w:right="618"/>
        <w:jc w:val="both"/>
        <w:rPr>
          <w:rFonts w:ascii="Palatino Linotype" w:hAnsi="Palatino Linotype" w:cs="Arial"/>
          <w:sz w:val="22"/>
          <w:szCs w:val="22"/>
          <w:lang w:val="es-ES"/>
        </w:rPr>
      </w:pPr>
      <w:r>
        <w:rPr>
          <w:rFonts w:ascii="Palatino Linotype" w:hAnsi="Palatino Linotype" w:cs="Arial"/>
          <w:sz w:val="22"/>
          <w:szCs w:val="22"/>
          <w:lang w:val="es-ES"/>
        </w:rPr>
        <w:t>(Énfasis añadido)</w:t>
      </w:r>
    </w:p>
    <w:p w:rsidR="00880A06" w:rsidRDefault="00616063">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lastRenderedPageBreak/>
        <w:t xml:space="preserve">En razón de lo anteriormente expuesto, es claro que </w:t>
      </w:r>
      <w:r>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cuenta con la expresión documental que da respuesta a las solicitudes de acceso a la información pública requeridas por el particular; máxime, que como ya se mencionó puntualmente asumió su existencia; así este Órgano Garante del Derecho a Saber estima qu</w:t>
      </w:r>
      <w:r>
        <w:rPr>
          <w:rFonts w:ascii="Palatino Linotype" w:eastAsia="Calibri" w:hAnsi="Palatino Linotype"/>
          <w:szCs w:val="22"/>
          <w:lang w:eastAsia="en-US"/>
        </w:rPr>
        <w:t>e lo procedente es ordenar la entrega de dicha documentación, la cual, de manera enunciativa, más no limitativa podría obrar en los Contratos convenidos por cada cuenta aperturada; así como, sus respectivos estados de cuenta mensuales, por el periodo que c</w:t>
      </w:r>
      <w:r>
        <w:rPr>
          <w:rFonts w:ascii="Palatino Linotype" w:eastAsia="Calibri" w:hAnsi="Palatino Linotype"/>
          <w:szCs w:val="22"/>
          <w:lang w:eastAsia="en-US"/>
        </w:rPr>
        <w:t>omprende del 1 de enero de 2019 al 31 de enero de 2020, en versión pública de ser procedente.</w:t>
      </w:r>
    </w:p>
    <w:p w:rsidR="00880A06" w:rsidRDefault="00616063">
      <w:pPr>
        <w:widowControl w:val="0"/>
        <w:tabs>
          <w:tab w:val="left" w:pos="1276"/>
        </w:tabs>
        <w:spacing w:before="240" w:afterAutospacing="1" w:line="360" w:lineRule="auto"/>
        <w:jc w:val="both"/>
        <w:rPr>
          <w:rFonts w:ascii="Palatino Linotype" w:hAnsi="Palatino Linotype"/>
        </w:rPr>
      </w:pPr>
      <w:r>
        <w:rPr>
          <w:rFonts w:ascii="Palatino Linotype" w:hAnsi="Palatino Linotype"/>
        </w:rPr>
        <w:t>Asimismo, no se omite señalar que el penúltimo párrafo del artículo 23 de la Ley de Transparencia y Acceso a la Información Pública del Estado de México y Municip</w:t>
      </w:r>
      <w:r>
        <w:rPr>
          <w:rFonts w:ascii="Palatino Linotype" w:hAnsi="Palatino Linotype"/>
        </w:rPr>
        <w:t xml:space="preserve">ios establece que los sujetos obligados deben hacer pública toda aquella información relativa a los montos y las personas a quienes entreguen, por cualquier motivo, recursos públicos; así como, los informes que dichas personas les entreguen sobre el uso y </w:t>
      </w:r>
      <w:r>
        <w:rPr>
          <w:rFonts w:ascii="Palatino Linotype" w:hAnsi="Palatino Linotype"/>
        </w:rPr>
        <w:t>destino de dichos recursos.</w:t>
      </w:r>
    </w:p>
    <w:p w:rsidR="00880A06" w:rsidRDefault="00616063">
      <w:pPr>
        <w:widowControl w:val="0"/>
        <w:tabs>
          <w:tab w:val="left" w:pos="1276"/>
        </w:tabs>
        <w:spacing w:before="240" w:afterAutospacing="1" w:line="360" w:lineRule="auto"/>
        <w:jc w:val="both"/>
        <w:rPr>
          <w:rFonts w:ascii="Palatino Linotype" w:hAnsi="Palatino Linotype" w:cs="Arial"/>
        </w:rPr>
      </w:pPr>
      <w:r>
        <w:rPr>
          <w:rFonts w:ascii="Palatino Linotype" w:hAnsi="Palatino Linotype" w:cs="Arial"/>
        </w:rPr>
        <w:t xml:space="preserve">En mérito de lo expuesto, es necesario referir que la información relativa a los números de cuenta bancarios y clabes interbancarias es información confidencial únicamente; por cuanto hace a los particulares, y no así del </w:t>
      </w:r>
      <w:r>
        <w:rPr>
          <w:rFonts w:ascii="Palatino Linotype" w:hAnsi="Palatino Linotype" w:cs="Arial"/>
          <w:b/>
        </w:rPr>
        <w:t>SUJETO</w:t>
      </w:r>
      <w:r>
        <w:rPr>
          <w:rFonts w:ascii="Palatino Linotype" w:hAnsi="Palatino Linotype" w:cs="Arial"/>
          <w:b/>
        </w:rPr>
        <w:t xml:space="preserve"> OBLIGADO, </w:t>
      </w:r>
      <w:r>
        <w:rPr>
          <w:rFonts w:ascii="Palatino Linotype" w:hAnsi="Palatino Linotype" w:cs="Arial"/>
        </w:rPr>
        <w:t>toda vez que su publicidad abona a la transparencia y a la rendición de cuentas.</w:t>
      </w:r>
    </w:p>
    <w:p w:rsidR="00880A06" w:rsidRDefault="00616063">
      <w:pPr>
        <w:spacing w:beforeAutospacing="1" w:afterAutospacing="1" w:line="360" w:lineRule="auto"/>
        <w:jc w:val="both"/>
        <w:rPr>
          <w:rFonts w:ascii="Palatino Linotype" w:eastAsia="Calibri" w:hAnsi="Palatino Linotype"/>
        </w:rPr>
      </w:pPr>
      <w:r>
        <w:rPr>
          <w:rFonts w:ascii="Palatino Linotype" w:eastAsia="Calibri" w:hAnsi="Palatino Linotype"/>
        </w:rPr>
        <w:t xml:space="preserve">En este sentido, es importante precisar que de acuerdo al </w:t>
      </w:r>
      <w:r>
        <w:rPr>
          <w:rFonts w:ascii="Palatino Linotype" w:eastAsia="Calibri" w:hAnsi="Palatino Linotype"/>
          <w:b/>
        </w:rPr>
        <w:t>criterio 11/17</w:t>
      </w:r>
      <w:r>
        <w:rPr>
          <w:rFonts w:ascii="Palatino Linotype" w:eastAsia="Calibri" w:hAnsi="Palatino Linotype"/>
        </w:rPr>
        <w:t xml:space="preserve"> emitido por el INAI, las cuentas bancarias y/o clave interbancaria de los Sujetos Obligados</w:t>
      </w:r>
      <w:r>
        <w:rPr>
          <w:rFonts w:ascii="Palatino Linotype" w:eastAsia="Calibri" w:hAnsi="Palatino Linotype"/>
        </w:rPr>
        <w:t xml:space="preserve"> es información de carácter público. </w:t>
      </w:r>
    </w:p>
    <w:p w:rsidR="00880A06" w:rsidRDefault="00616063">
      <w:pPr>
        <w:tabs>
          <w:tab w:val="left" w:pos="8222"/>
        </w:tabs>
        <w:ind w:left="851" w:right="902"/>
        <w:jc w:val="center"/>
        <w:rPr>
          <w:rFonts w:ascii="Palatino Linotype" w:hAnsi="Palatino Linotype" w:cs="Arial"/>
          <w:b/>
          <w:color w:val="000000"/>
          <w:sz w:val="22"/>
          <w:szCs w:val="22"/>
        </w:rPr>
      </w:pPr>
      <w:r>
        <w:rPr>
          <w:rFonts w:ascii="Palatino Linotype" w:hAnsi="Palatino Linotype" w:cs="Arial"/>
          <w:color w:val="000000"/>
          <w:sz w:val="22"/>
          <w:szCs w:val="22"/>
        </w:rPr>
        <w:lastRenderedPageBreak/>
        <w:t>“</w:t>
      </w:r>
      <w:r>
        <w:rPr>
          <w:rFonts w:ascii="Palatino Linotype" w:hAnsi="Palatino Linotype" w:cs="Arial"/>
          <w:b/>
          <w:color w:val="000000"/>
          <w:sz w:val="22"/>
          <w:szCs w:val="22"/>
        </w:rPr>
        <w:t>Criterio 11/17</w:t>
      </w:r>
    </w:p>
    <w:p w:rsidR="00880A06" w:rsidRDefault="00616063">
      <w:pPr>
        <w:tabs>
          <w:tab w:val="left" w:pos="8222"/>
        </w:tabs>
        <w:ind w:left="851" w:right="902"/>
        <w:jc w:val="both"/>
        <w:rPr>
          <w:rFonts w:ascii="Palatino Linotype" w:hAnsi="Palatino Linotype"/>
          <w:i/>
          <w:sz w:val="22"/>
          <w:szCs w:val="22"/>
        </w:rPr>
      </w:pPr>
      <w:r>
        <w:rPr>
          <w:rFonts w:ascii="Palatino Linotype" w:hAnsi="Palatino Linotype"/>
          <w:b/>
          <w:i/>
          <w:sz w:val="22"/>
          <w:szCs w:val="22"/>
        </w:rPr>
        <w:t>Cuentas bancarias y/o CLABE interbancaria de sujetos obligados que reciben y/o transfieren recursos públicos, son información pública.</w:t>
      </w:r>
      <w:r>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w:t>
      </w:r>
      <w:r>
        <w:rPr>
          <w:rFonts w:ascii="Palatino Linotype" w:hAnsi="Palatino Linotype"/>
          <w:i/>
          <w:sz w:val="22"/>
          <w:szCs w:val="22"/>
        </w:rPr>
        <w:t xml:space="preserve">ión clasificada. </w:t>
      </w:r>
    </w:p>
    <w:p w:rsidR="00880A06" w:rsidRDefault="00616063">
      <w:pPr>
        <w:tabs>
          <w:tab w:val="left" w:pos="8222"/>
        </w:tabs>
        <w:ind w:left="851" w:right="902"/>
        <w:jc w:val="both"/>
        <w:rPr>
          <w:rFonts w:ascii="Palatino Linotype" w:hAnsi="Palatino Linotype"/>
          <w:i/>
          <w:sz w:val="22"/>
          <w:szCs w:val="22"/>
        </w:rPr>
      </w:pPr>
      <w:r>
        <w:rPr>
          <w:rFonts w:ascii="Palatino Linotype" w:hAnsi="Palatino Linotype"/>
          <w:i/>
          <w:sz w:val="22"/>
          <w:szCs w:val="22"/>
        </w:rPr>
        <w:t xml:space="preserve">Resoluciones: </w:t>
      </w:r>
    </w:p>
    <w:p w:rsidR="00880A06" w:rsidRDefault="00616063">
      <w:pPr>
        <w:tabs>
          <w:tab w:val="left" w:pos="8222"/>
        </w:tabs>
        <w:ind w:left="851" w:right="902"/>
        <w:jc w:val="both"/>
        <w:rPr>
          <w:rFonts w:ascii="Palatino Linotype" w:hAnsi="Palatino Linotype"/>
          <w:i/>
          <w:sz w:val="22"/>
          <w:szCs w:val="22"/>
        </w:rPr>
      </w:pPr>
      <w:r>
        <w:rPr>
          <w:rFonts w:ascii="Symbol" w:eastAsia="Symbol" w:hAnsi="Symbol" w:cs="Symbol"/>
          <w:i/>
          <w:sz w:val="22"/>
          <w:szCs w:val="22"/>
        </w:rPr>
        <w:t></w:t>
      </w:r>
      <w:r>
        <w:rPr>
          <w:rFonts w:ascii="Palatino Linotype" w:hAnsi="Palatino Linotype"/>
          <w:i/>
          <w:sz w:val="22"/>
          <w:szCs w:val="22"/>
        </w:rPr>
        <w:t xml:space="preserve"> RRA 0448/16. NOTIMEX, Agencia de Noticias del Estado Mexicano. 24 de agosto de 2016. Por unanimidad. Comisionado Ponente Joel Salas Suárez.</w:t>
      </w:r>
    </w:p>
    <w:p w:rsidR="00880A06" w:rsidRDefault="00616063">
      <w:pPr>
        <w:tabs>
          <w:tab w:val="left" w:pos="8222"/>
        </w:tabs>
        <w:ind w:left="851" w:right="899"/>
        <w:jc w:val="both"/>
        <w:rPr>
          <w:rFonts w:ascii="Palatino Linotype" w:hAnsi="Palatino Linotype"/>
          <w:i/>
          <w:sz w:val="22"/>
          <w:szCs w:val="22"/>
        </w:rPr>
      </w:pPr>
      <w:r>
        <w:rPr>
          <w:rFonts w:ascii="Symbol" w:eastAsia="Symbol" w:hAnsi="Symbol" w:cs="Symbol"/>
          <w:i/>
          <w:sz w:val="22"/>
          <w:szCs w:val="22"/>
        </w:rPr>
        <w:t></w:t>
      </w:r>
      <w:r>
        <w:rPr>
          <w:rFonts w:ascii="Palatino Linotype" w:hAnsi="Palatino Linotype"/>
          <w:i/>
          <w:sz w:val="22"/>
          <w:szCs w:val="22"/>
        </w:rPr>
        <w:t xml:space="preserve"> RRA 2787/16. Colegio de Postgraduados. 01 de noviembre de 2016. Por unanimidad.</w:t>
      </w:r>
      <w:r>
        <w:rPr>
          <w:rFonts w:ascii="Palatino Linotype" w:hAnsi="Palatino Linotype"/>
          <w:i/>
          <w:sz w:val="22"/>
          <w:szCs w:val="22"/>
        </w:rPr>
        <w:t xml:space="preserve"> Comisionado Ponente Francisco Javier Acuña Llamas.</w:t>
      </w:r>
    </w:p>
    <w:p w:rsidR="00880A06" w:rsidRDefault="00616063">
      <w:pPr>
        <w:tabs>
          <w:tab w:val="left" w:pos="8222"/>
        </w:tabs>
        <w:ind w:left="851" w:right="899"/>
        <w:jc w:val="both"/>
        <w:rPr>
          <w:rFonts w:ascii="Palatino Linotype" w:hAnsi="Palatino Linotype"/>
          <w:i/>
          <w:sz w:val="22"/>
          <w:szCs w:val="22"/>
        </w:rPr>
      </w:pPr>
      <w:r>
        <w:rPr>
          <w:rFonts w:ascii="Symbol" w:eastAsia="Symbol" w:hAnsi="Symbol" w:cs="Symbol"/>
          <w:i/>
          <w:sz w:val="22"/>
          <w:szCs w:val="22"/>
        </w:rPr>
        <w:t></w:t>
      </w:r>
      <w:r>
        <w:rPr>
          <w:rFonts w:ascii="Palatino Linotype" w:hAnsi="Palatino Linotype"/>
          <w:i/>
          <w:sz w:val="22"/>
          <w:szCs w:val="22"/>
        </w:rPr>
        <w:t xml:space="preserve"> RRA 4756/16. Instituto Mexicano del Seguro Social. 08 de febrero de 2017. Por unanimidad. Comisionado Ponente Oscar Mauricio Guerra Ford.” </w:t>
      </w:r>
      <w:r>
        <w:rPr>
          <w:rFonts w:ascii="Palatino Linotype" w:hAnsi="Palatino Linotype"/>
          <w:sz w:val="22"/>
          <w:szCs w:val="22"/>
        </w:rPr>
        <w:t>(</w:t>
      </w:r>
      <w:r>
        <w:rPr>
          <w:rFonts w:ascii="Palatino Linotype" w:hAnsi="Palatino Linotype"/>
          <w:i/>
          <w:sz w:val="22"/>
          <w:szCs w:val="22"/>
        </w:rPr>
        <w:t>Sic</w:t>
      </w:r>
      <w:r>
        <w:rPr>
          <w:rFonts w:ascii="Palatino Linotype" w:hAnsi="Palatino Linotype"/>
          <w:sz w:val="22"/>
          <w:szCs w:val="22"/>
        </w:rPr>
        <w:t>)</w:t>
      </w:r>
    </w:p>
    <w:p w:rsidR="00880A06" w:rsidRDefault="00616063">
      <w:pPr>
        <w:spacing w:beforeAutospacing="1" w:afterAutospacing="1" w:line="360" w:lineRule="auto"/>
        <w:ind w:right="49"/>
        <w:jc w:val="both"/>
        <w:rPr>
          <w:rFonts w:ascii="Palatino Linotype" w:hAnsi="Palatino Linotype" w:cs="Arial"/>
          <w:lang w:val="es-ES_tradnl"/>
        </w:rPr>
      </w:pPr>
      <w:r>
        <w:rPr>
          <w:rFonts w:ascii="Palatino Linotype" w:hAnsi="Palatino Linotype" w:cs="Arial"/>
          <w:lang w:val="es-ES_tradnl"/>
        </w:rPr>
        <w:t xml:space="preserve">Caso contrario a los particulares, como lo refiere el </w:t>
      </w:r>
      <w:r>
        <w:rPr>
          <w:rFonts w:ascii="Palatino Linotype" w:eastAsia="Calibri" w:hAnsi="Palatino Linotype"/>
          <w:b/>
        </w:rPr>
        <w:t>criterio 10/17</w:t>
      </w:r>
      <w:r>
        <w:rPr>
          <w:rFonts w:ascii="Palatino Linotype" w:eastAsia="Calibri" w:hAnsi="Palatino Linotype"/>
        </w:rPr>
        <w:t xml:space="preserve"> emitido por el INAI, que es del tenor literal siguiente:</w:t>
      </w:r>
    </w:p>
    <w:p w:rsidR="00880A06" w:rsidRDefault="00616063">
      <w:pPr>
        <w:ind w:left="851" w:right="902"/>
        <w:jc w:val="both"/>
        <w:rPr>
          <w:rFonts w:ascii="Palatino Linotype" w:hAnsi="Palatino Linotype" w:cs="Arial"/>
          <w:i/>
          <w:sz w:val="22"/>
          <w:lang w:val="es-ES_tradnl"/>
        </w:rPr>
      </w:pPr>
      <w:r>
        <w:rPr>
          <w:rFonts w:ascii="Palatino Linotype" w:hAnsi="Palatino Linotype" w:cs="Arial"/>
          <w:b/>
          <w:i/>
          <w:sz w:val="22"/>
          <w:lang w:val="es-ES_tradnl"/>
        </w:rPr>
        <w:t>Cuentas bancarias y/o CLABE interbancaria de personas físicas y morales privadas. El número de cuenta bancaria y/o CLABE interbancaria de particulares es información confidencial</w:t>
      </w:r>
      <w:r>
        <w:rPr>
          <w:rFonts w:ascii="Palatino Linotype" w:hAnsi="Palatino Linotype" w:cs="Arial"/>
          <w:i/>
          <w:sz w:val="22"/>
          <w:lang w:val="es-ES_tradnl"/>
        </w:rPr>
        <w:t>, al t</w:t>
      </w:r>
      <w:r>
        <w:rPr>
          <w:rFonts w:ascii="Palatino Linotype" w:hAnsi="Palatino Linotype" w:cs="Arial"/>
          <w:i/>
          <w:sz w:val="22"/>
          <w:lang w:val="es-ES_tradnl"/>
        </w:rPr>
        <w:t>ratarse de un conjunto de caracteres numéricos utilizados por los grupos financieros para identificar las cuentas de sus clientes, a través de los cuales se puede acceder a información relacionada con su patrimonio y realizar diversas transacciones; por ta</w:t>
      </w:r>
      <w:r>
        <w:rPr>
          <w:rFonts w:ascii="Palatino Linotype" w:hAnsi="Palatino Linotype" w:cs="Arial"/>
          <w:i/>
          <w:sz w:val="22"/>
          <w:lang w:val="es-ES_tradnl"/>
        </w:rPr>
        <w:t xml:space="preserve">nto, constituye información clasificada con fundamento en los artículos 116 de la Ley General de Transparencia y Acceso a la Información Pública y 113 de la Ley Federal de Transparencia y Acceso a la Información Pública. </w:t>
      </w:r>
    </w:p>
    <w:p w:rsidR="00880A06" w:rsidRDefault="00616063">
      <w:pPr>
        <w:ind w:left="851" w:right="902"/>
        <w:jc w:val="both"/>
        <w:rPr>
          <w:rFonts w:ascii="Palatino Linotype" w:hAnsi="Palatino Linotype" w:cs="Arial"/>
          <w:i/>
          <w:sz w:val="22"/>
          <w:lang w:val="es-ES_tradnl"/>
        </w:rPr>
      </w:pPr>
      <w:r>
        <w:rPr>
          <w:rFonts w:ascii="Palatino Linotype" w:hAnsi="Palatino Linotype" w:cs="Arial"/>
          <w:i/>
          <w:sz w:val="22"/>
          <w:lang w:val="es-ES_tradnl"/>
        </w:rPr>
        <w:t xml:space="preserve">Resoluciones: </w:t>
      </w:r>
    </w:p>
    <w:p w:rsidR="00880A06" w:rsidRDefault="00616063">
      <w:pPr>
        <w:ind w:left="851" w:right="902"/>
        <w:jc w:val="both"/>
        <w:rPr>
          <w:rFonts w:ascii="Palatino Linotype" w:hAnsi="Palatino Linotype" w:cs="Arial"/>
          <w:i/>
          <w:sz w:val="22"/>
          <w:lang w:val="es-ES_tradnl"/>
        </w:rPr>
      </w:pPr>
      <w:r>
        <w:rPr>
          <w:rFonts w:ascii="Palatino Linotype" w:hAnsi="Palatino Linotype" w:cs="Arial"/>
          <w:i/>
          <w:sz w:val="22"/>
          <w:lang w:val="es-ES_tradnl"/>
        </w:rPr>
        <w:t>RRA 1276/16 Grupo A</w:t>
      </w:r>
      <w:r>
        <w:rPr>
          <w:rFonts w:ascii="Palatino Linotype" w:hAnsi="Palatino Linotype" w:cs="Arial"/>
          <w:i/>
          <w:sz w:val="22"/>
          <w:lang w:val="es-ES_tradnl"/>
        </w:rPr>
        <w:t>eroportuario de la Ciudad de México. S.A. de C.V. 01 de noviembre de 2016. Por unanimidad. Comisionada Ponente Areli Cano Guadiana.</w:t>
      </w:r>
    </w:p>
    <w:p w:rsidR="00880A06" w:rsidRDefault="00616063">
      <w:pPr>
        <w:ind w:left="851" w:right="902"/>
        <w:jc w:val="both"/>
        <w:rPr>
          <w:rFonts w:ascii="Palatino Linotype" w:hAnsi="Palatino Linotype" w:cs="Arial"/>
          <w:i/>
          <w:sz w:val="22"/>
          <w:lang w:val="es-ES_tradnl"/>
        </w:rPr>
      </w:pPr>
      <w:r>
        <w:rPr>
          <w:rFonts w:ascii="Palatino Linotype" w:hAnsi="Palatino Linotype" w:cs="Arial"/>
          <w:i/>
          <w:sz w:val="22"/>
          <w:lang w:val="es-ES_tradnl"/>
        </w:rPr>
        <w:t>RRA 3527/16 Servicio de Administración Tributaria. 07 de diciembre de 2016. Por unanimidad. Comisionada Ponente Ximena Puent</w:t>
      </w:r>
      <w:r>
        <w:rPr>
          <w:rFonts w:ascii="Palatino Linotype" w:hAnsi="Palatino Linotype" w:cs="Arial"/>
          <w:i/>
          <w:sz w:val="22"/>
          <w:lang w:val="es-ES_tradnl"/>
        </w:rPr>
        <w:t xml:space="preserve">e de la Mora. </w:t>
      </w:r>
      <w:r>
        <w:rPr>
          <w:rFonts w:ascii="Palatino Linotype" w:hAnsi="Palatino Linotype" w:cs="Arial"/>
          <w:i/>
          <w:sz w:val="22"/>
          <w:lang w:val="es-ES_tradnl"/>
        </w:rPr>
        <w:t xml:space="preserve"> </w:t>
      </w:r>
    </w:p>
    <w:p w:rsidR="00880A06" w:rsidRDefault="00616063">
      <w:pPr>
        <w:ind w:left="851" w:right="902"/>
        <w:jc w:val="both"/>
        <w:rPr>
          <w:rFonts w:ascii="Palatino Linotype" w:hAnsi="Palatino Linotype" w:cs="Arial"/>
          <w:i/>
          <w:sz w:val="22"/>
          <w:lang w:val="es-ES_tradnl"/>
        </w:rPr>
      </w:pPr>
      <w:r>
        <w:rPr>
          <w:rFonts w:ascii="Palatino Linotype" w:hAnsi="Palatino Linotype" w:cs="Arial"/>
          <w:i/>
          <w:sz w:val="22"/>
          <w:lang w:val="es-ES_tradnl"/>
        </w:rPr>
        <w:t>RRA 4404/16 Partido del Trabajo. 01 de febrero de 2017. Por unanimidad. Comisionado Ponente Francisco Acuña Llamas.</w:t>
      </w:r>
    </w:p>
    <w:p w:rsidR="00880A06" w:rsidRDefault="00616063">
      <w:pPr>
        <w:spacing w:beforeAutospacing="1" w:afterAutospacing="1" w:line="360" w:lineRule="auto"/>
        <w:ind w:right="51"/>
        <w:jc w:val="both"/>
        <w:rPr>
          <w:rFonts w:ascii="Palatino Linotype" w:hAnsi="Palatino Linotype" w:cs="Arial"/>
        </w:rPr>
      </w:pPr>
      <w:r>
        <w:rPr>
          <w:rFonts w:ascii="Palatino Linotype" w:hAnsi="Palatino Linotype" w:cs="Arial"/>
        </w:rPr>
        <w:t xml:space="preserve">Dicho lo anterior, es toral señalar que, si </w:t>
      </w:r>
      <w:r>
        <w:rPr>
          <w:rFonts w:ascii="Palatino Linotype" w:hAnsi="Palatino Linotype" w:cs="Arial"/>
          <w:b/>
        </w:rPr>
        <w:t>EL SUJETO OBLIGADO</w:t>
      </w:r>
      <w:r>
        <w:rPr>
          <w:rFonts w:ascii="Palatino Linotype" w:hAnsi="Palatino Linotype" w:cs="Arial"/>
        </w:rPr>
        <w:t xml:space="preserve"> advierte que dentro de la información solicitada se contiene</w:t>
      </w:r>
      <w:r>
        <w:rPr>
          <w:rFonts w:ascii="Palatino Linotype" w:hAnsi="Palatino Linotype" w:cs="Arial"/>
        </w:rPr>
        <w:t xml:space="preserve">n datos personales que sean susceptibles de ser </w:t>
      </w:r>
      <w:r>
        <w:rPr>
          <w:rFonts w:ascii="Palatino Linotype" w:hAnsi="Palatino Linotype" w:cs="Arial"/>
        </w:rPr>
        <w:lastRenderedPageBreak/>
        <w:t>clasificados como confidenciales, deberá entregar la información de mérito en versión pública y emitir el Acuerdo de Clasificación en el que se sustenten dichas versiones públicas.</w:t>
      </w:r>
    </w:p>
    <w:p w:rsidR="00880A06" w:rsidRDefault="00616063">
      <w:pPr>
        <w:spacing w:beforeAutospacing="1" w:afterAutospacing="1" w:line="360" w:lineRule="auto"/>
        <w:ind w:right="51"/>
        <w:jc w:val="both"/>
        <w:rPr>
          <w:rFonts w:ascii="Palatino Linotype" w:hAnsi="Palatino Linotype" w:cs="Arial"/>
        </w:rPr>
      </w:pPr>
      <w:r>
        <w:rPr>
          <w:rFonts w:ascii="Palatino Linotype" w:hAnsi="Palatino Linotype" w:cs="Arial"/>
          <w:color w:val="000000"/>
        </w:rPr>
        <w:t>En ese sentido, es de preci</w:t>
      </w:r>
      <w:r>
        <w:rPr>
          <w:rFonts w:ascii="Palatino Linotype" w:hAnsi="Palatino Linotype" w:cs="Arial"/>
          <w:color w:val="000000"/>
        </w:rPr>
        <w:t xml:space="preserve">sar que </w:t>
      </w:r>
      <w:r>
        <w:rPr>
          <w:rFonts w:ascii="Palatino Linotype" w:eastAsia="Calibri" w:hAnsi="Palatino Linotype" w:cs="Bookman Old Style,Bold"/>
          <w:bCs/>
          <w:color w:val="0D0D0D"/>
          <w:lang w:eastAsia="en-US"/>
        </w:rPr>
        <w:t xml:space="preserve">la clasificación de la información no se da por el simple mandato de la Ley, sino que </w:t>
      </w:r>
      <w:r>
        <w:rPr>
          <w:rFonts w:ascii="Palatino Linotype" w:hAnsi="Palatino Linotype"/>
        </w:rPr>
        <w:t xml:space="preserve">es necesario que </w:t>
      </w:r>
      <w:r>
        <w:rPr>
          <w:rFonts w:ascii="Palatino Linotype" w:hAnsi="Palatino Linotype"/>
          <w:b/>
        </w:rPr>
        <w:t xml:space="preserve">EL SUJETO OBLIGADO </w:t>
      </w:r>
      <w:r>
        <w:rPr>
          <w:rFonts w:ascii="Palatino Linotype" w:hAnsi="Palatino Linotype"/>
        </w:rPr>
        <w:t xml:space="preserve">cuando clasifique algún documento o información, ya sea todo o en parte, debe atender lo dispuesto por </w:t>
      </w:r>
      <w:r>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Pr>
          <w:rFonts w:ascii="Palatino Linotype" w:hAnsi="Palatino Linotype" w:cs="Arial"/>
          <w:b/>
        </w:rPr>
        <w:t>SUJETO OBLIGADO</w:t>
      </w:r>
      <w:r>
        <w:rPr>
          <w:rFonts w:ascii="Palatino Linotype" w:hAnsi="Palatino Linotype" w:cs="Arial"/>
        </w:rPr>
        <w:t>, teniendo el deber los primeros de ellos de pres</w:t>
      </w:r>
      <w:r>
        <w:rPr>
          <w:rFonts w:ascii="Palatino Linotype" w:hAnsi="Palatino Linotype" w:cs="Arial"/>
        </w:rPr>
        <w:t>entar ante la Unidad de Transparencia la propuesta de la clasificación de la información, para que luego ésta se presente ante al Comité de Transparencia de así resultar procedente el proyecto de clasificación de la información y que finalmente sea éste úl</w:t>
      </w:r>
      <w:r>
        <w:rPr>
          <w:rFonts w:ascii="Palatino Linotype" w:hAnsi="Palatino Linotype" w:cs="Arial"/>
        </w:rPr>
        <w:t>timo quien apruebe, modifique o revoque la misma.</w:t>
      </w:r>
    </w:p>
    <w:p w:rsidR="00880A06" w:rsidRDefault="00616063">
      <w:pPr>
        <w:widowControl w:val="0"/>
        <w:spacing w:beforeAutospacing="1" w:afterAutospacing="1" w:line="360" w:lineRule="auto"/>
        <w:jc w:val="both"/>
        <w:rPr>
          <w:rFonts w:ascii="Palatino Linotype" w:hAnsi="Palatino Linotype" w:cs="Arial"/>
        </w:rPr>
      </w:pPr>
      <w:r>
        <w:rPr>
          <w:rFonts w:ascii="Palatino Linotype" w:hAnsi="Palatino Linotype" w:cs="Arial"/>
        </w:rPr>
        <w:t xml:space="preserve">Por otra parte, </w:t>
      </w:r>
      <w:r>
        <w:rPr>
          <w:rFonts w:ascii="Palatino Linotype" w:hAnsi="Palatino Linotype"/>
        </w:rPr>
        <w:t xml:space="preserve">este Órgano Garante reitera que la información solicitada, pudiera contener a su vez datos personales susceptibles de considerarse información confidencial como lo son: </w:t>
      </w:r>
      <w:r>
        <w:rPr>
          <w:rFonts w:ascii="Palatino Linotype" w:eastAsia="Arial Unicode MS" w:hAnsi="Palatino Linotype" w:cs="Arial"/>
        </w:rPr>
        <w:t>números de cuenta y C</w:t>
      </w:r>
      <w:r>
        <w:rPr>
          <w:rFonts w:ascii="Palatino Linotype" w:eastAsia="Arial Unicode MS" w:hAnsi="Palatino Linotype" w:cs="Arial"/>
        </w:rPr>
        <w:t>LABE’s interbancarias de particulares, información susceptible de ser clasificada como confidencial</w:t>
      </w:r>
      <w:r>
        <w:rPr>
          <w:rFonts w:ascii="Palatino Linotype" w:hAnsi="Palatino Linotype" w:cs="Arial"/>
        </w:rPr>
        <w:t>.</w:t>
      </w:r>
    </w:p>
    <w:p w:rsidR="00880A06" w:rsidRDefault="00616063">
      <w:pPr>
        <w:spacing w:beforeAutospacing="1" w:afterAutospacing="1" w:line="360" w:lineRule="auto"/>
        <w:jc w:val="both"/>
        <w:rPr>
          <w:rFonts w:ascii="Palatino Linotype" w:hAnsi="Palatino Linotype" w:cs="Arial"/>
          <w:lang w:val="es-ES_tradnl"/>
        </w:rPr>
      </w:pPr>
      <w:r>
        <w:rPr>
          <w:rFonts w:ascii="Palatino Linotype" w:hAnsi="Palatino Linotype"/>
          <w:color w:val="000000"/>
        </w:rPr>
        <w:t>Ahora bien, en términos del artículo 143 de la Ley de Transparencia y Acceso a la Información Pública del Estado de México y Municipios, se deberá proceder</w:t>
      </w:r>
      <w:r>
        <w:rPr>
          <w:rFonts w:ascii="Palatino Linotype" w:hAnsi="Palatino Linotype"/>
          <w:color w:val="000000"/>
        </w:rPr>
        <w:t xml:space="preserve"> a clasificar la información requerida </w:t>
      </w:r>
      <w:r>
        <w:rPr>
          <w:rFonts w:ascii="Palatino Linotype" w:hAnsi="Palatino Linotype" w:cs="Arial"/>
          <w:lang w:val="es-ES_tradnl"/>
        </w:rPr>
        <w:t>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w:t>
      </w:r>
      <w:r>
        <w:rPr>
          <w:rFonts w:ascii="Palatino Linotype" w:hAnsi="Palatino Linotype" w:cs="Arial"/>
          <w:lang w:eastAsia="es-MX"/>
        </w:rPr>
        <w:t>términos</w:t>
      </w:r>
      <w:r>
        <w:rPr>
          <w:rFonts w:ascii="Palatino Linotype" w:hAnsi="Palatino Linotype" w:cs="Arial"/>
          <w:lang w:val="es-ES_tradnl"/>
        </w:rPr>
        <w:t xml:space="preserve"> de los numerales 49, </w:t>
      </w:r>
      <w:r>
        <w:rPr>
          <w:rFonts w:ascii="Palatino Linotype" w:hAnsi="Palatino Linotype" w:cs="Arial"/>
          <w:lang w:val="es-ES_tradnl"/>
        </w:rPr>
        <w:lastRenderedPageBreak/>
        <w:t>fracció</w:t>
      </w:r>
      <w:r>
        <w:rPr>
          <w:rFonts w:ascii="Palatino Linotype" w:hAnsi="Palatino Linotype" w:cs="Arial"/>
          <w:lang w:val="es-ES_tradnl"/>
        </w:rPr>
        <w:t xml:space="preserve">n VIII y 132, fracción II de la Ley de Transparencia y Acceso a la Información Pública del Estado de México y Municipios; así como, los numerales Cuarto al Octavo, Décimo, Décimo Primero, Quincuagésimo y Quincuagésimo Tercero de los Lineamientos Generales </w:t>
      </w:r>
      <w:r>
        <w:rPr>
          <w:rFonts w:ascii="Palatino Linotype" w:hAnsi="Palatino Linotype" w:cs="Arial"/>
          <w:lang w:val="es-ES_tradnl"/>
        </w:rPr>
        <w:t>en materia de Clasificación y Desclasificación de la Información, así como para la elaboración de Versiones Públicas, que literalmente expresan:</w:t>
      </w:r>
    </w:p>
    <w:p w:rsidR="00880A06" w:rsidRDefault="00616063">
      <w:pPr>
        <w:ind w:left="709" w:right="709"/>
        <w:jc w:val="center"/>
        <w:rPr>
          <w:rFonts w:ascii="Palatino Linotype" w:hAnsi="Palatino Linotype" w:cs="Arial"/>
          <w:b/>
          <w:i/>
          <w:sz w:val="22"/>
          <w:szCs w:val="22"/>
        </w:rPr>
      </w:pPr>
      <w:r>
        <w:rPr>
          <w:rFonts w:ascii="Palatino Linotype" w:hAnsi="Palatino Linotype" w:cs="Arial"/>
          <w:b/>
          <w:i/>
          <w:sz w:val="22"/>
          <w:szCs w:val="22"/>
        </w:rPr>
        <w:t>Ley de Transparencia y Acceso a la Información Pública del Estado de México y Municipios</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szCs w:val="22"/>
        </w:rPr>
        <w:t>Comités</w:t>
      </w:r>
      <w:r>
        <w:rPr>
          <w:rFonts w:ascii="Palatino Linotype" w:hAnsi="Palatino Linotype" w:cs="Arial"/>
          <w:i/>
          <w:sz w:val="22"/>
          <w:szCs w:val="22"/>
          <w:lang w:eastAsia="es-MX"/>
        </w:rPr>
        <w:t xml:space="preserve"> de Transparencia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Aprobar</w:t>
      </w:r>
      <w:r>
        <w:rPr>
          <w:rFonts w:ascii="Palatino Linotype" w:hAnsi="Palatino Linotype" w:cs="Arial"/>
          <w:i/>
          <w:sz w:val="22"/>
          <w:szCs w:val="22"/>
          <w:lang w:eastAsia="es-MX"/>
        </w:rPr>
        <w:t xml:space="preserve">, </w:t>
      </w:r>
      <w:r>
        <w:rPr>
          <w:rFonts w:ascii="Palatino Linotype" w:hAnsi="Palatino Linotype" w:cs="Arial"/>
          <w:i/>
          <w:sz w:val="22"/>
          <w:szCs w:val="22"/>
        </w:rPr>
        <w:t>modificar</w:t>
      </w:r>
      <w:r>
        <w:rPr>
          <w:rFonts w:ascii="Palatino Linotype" w:hAnsi="Palatino Linotype" w:cs="Arial"/>
          <w:i/>
          <w:sz w:val="22"/>
          <w:szCs w:val="22"/>
          <w:lang w:eastAsia="es-MX"/>
        </w:rPr>
        <w:t xml:space="preserve"> o revocar </w:t>
      </w:r>
      <w:r>
        <w:rPr>
          <w:rFonts w:ascii="Palatino Linotype" w:hAnsi="Palatino Linotype" w:cs="Arial"/>
          <w:b/>
          <w:i/>
          <w:sz w:val="22"/>
          <w:szCs w:val="22"/>
          <w:u w:val="single"/>
          <w:lang w:eastAsia="es-MX"/>
        </w:rPr>
        <w:t>la clasificación de la información</w:t>
      </w:r>
      <w:r>
        <w:rPr>
          <w:rFonts w:ascii="Palatino Linotype" w:hAnsi="Palatino Linotype" w:cs="Arial"/>
          <w:i/>
          <w:sz w:val="22"/>
          <w:szCs w:val="22"/>
          <w:lang w:eastAsia="es-MX"/>
        </w:rPr>
        <w:t>;</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clasificación de la información se llevará a cabo en el momento en que:</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Se determine mediante reso</w:t>
      </w:r>
      <w:r>
        <w:rPr>
          <w:rFonts w:ascii="Palatino Linotype" w:hAnsi="Palatino Linotype" w:cs="Arial"/>
          <w:b/>
          <w:i/>
          <w:sz w:val="22"/>
          <w:szCs w:val="22"/>
          <w:u w:val="single"/>
          <w:lang w:eastAsia="es-MX"/>
        </w:rPr>
        <w:t>lución de autoridad competente</w:t>
      </w:r>
      <w:r>
        <w:rPr>
          <w:rFonts w:ascii="Palatino Linotype" w:hAnsi="Palatino Linotype" w:cs="Arial"/>
          <w:i/>
          <w:sz w:val="22"/>
          <w:szCs w:val="22"/>
          <w:lang w:eastAsia="es-MX"/>
        </w:rPr>
        <w:t>; o</w:t>
      </w:r>
    </w:p>
    <w:p w:rsidR="00880A06" w:rsidRDefault="00616063">
      <w:pPr>
        <w:ind w:left="709" w:right="709"/>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Para clasificar la información como</w:t>
      </w:r>
      <w:r>
        <w:rPr>
          <w:rFonts w:ascii="Palatino Linotype" w:hAnsi="Palatino Linotype" w:cs="Arial"/>
          <w:i/>
          <w:sz w:val="22"/>
          <w:szCs w:val="22"/>
          <w:lang w:eastAsia="es-MX"/>
        </w:rPr>
        <w:t xml:space="preserve"> reservada o </w:t>
      </w:r>
      <w:r>
        <w:rPr>
          <w:rFonts w:ascii="Palatino Linotype" w:hAnsi="Palatino Linotype" w:cs="Arial"/>
          <w:b/>
          <w:i/>
          <w:sz w:val="22"/>
          <w:szCs w:val="22"/>
          <w:u w:val="single"/>
          <w:lang w:eastAsia="es-MX"/>
        </w:rPr>
        <w:t>confidencial, de manera t</w:t>
      </w:r>
      <w:r>
        <w:rPr>
          <w:rFonts w:ascii="Palatino Linotype" w:hAnsi="Palatino Linotype" w:cs="Arial"/>
          <w:b/>
          <w:i/>
          <w:sz w:val="22"/>
          <w:szCs w:val="22"/>
          <w:u w:val="single"/>
          <w:lang w:eastAsia="es-MX"/>
        </w:rPr>
        <w:t>otal</w:t>
      </w:r>
      <w:r>
        <w:rPr>
          <w:rFonts w:ascii="Palatino Linotype" w:hAnsi="Palatino Linotype" w:cs="Arial"/>
          <w:i/>
          <w:sz w:val="22"/>
          <w:szCs w:val="22"/>
          <w:lang w:eastAsia="es-MX"/>
        </w:rPr>
        <w:t xml:space="preserve"> o parcial, </w:t>
      </w:r>
      <w:r>
        <w:rPr>
          <w:rFonts w:ascii="Palatino Linotype" w:hAnsi="Palatino Linotype" w:cs="Arial"/>
          <w:b/>
          <w:i/>
          <w:sz w:val="22"/>
          <w:szCs w:val="22"/>
          <w:u w:val="single"/>
          <w:lang w:eastAsia="es-MX"/>
        </w:rPr>
        <w:t xml:space="preserve">el titular del </w:t>
      </w:r>
      <w:r>
        <w:rPr>
          <w:rFonts w:ascii="Palatino Linotype" w:hAnsi="Palatino Linotype" w:cs="Arial"/>
          <w:b/>
          <w:bCs/>
          <w:i/>
          <w:sz w:val="22"/>
          <w:szCs w:val="22"/>
          <w:u w:val="single"/>
        </w:rPr>
        <w:t>área</w:t>
      </w:r>
      <w:r>
        <w:rPr>
          <w:rFonts w:ascii="Palatino Linotype" w:hAnsi="Palatino Linotype" w:cs="Arial"/>
          <w:b/>
          <w:i/>
          <w:sz w:val="22"/>
          <w:szCs w:val="22"/>
          <w:u w:val="single"/>
          <w:lang w:eastAsia="es-MX"/>
        </w:rPr>
        <w:t xml:space="preserve"> del sujeto </w:t>
      </w:r>
      <w:r>
        <w:rPr>
          <w:rFonts w:ascii="Palatino Linotype" w:hAnsi="Palatino Linotype" w:cs="Arial"/>
          <w:b/>
          <w:i/>
          <w:sz w:val="22"/>
          <w:szCs w:val="22"/>
          <w:u w:val="single"/>
        </w:rPr>
        <w:t>obligado</w:t>
      </w:r>
      <w:r>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Pr>
          <w:rFonts w:ascii="Palatino Linotype" w:hAnsi="Palatino Linotype" w:cs="Arial"/>
          <w:i/>
          <w:sz w:val="22"/>
          <w:szCs w:val="22"/>
          <w:lang w:eastAsia="es-MX"/>
        </w:rPr>
        <w:t xml:space="preserve">, así como en aquellas disposiciones legales aplicables a </w:t>
      </w:r>
      <w:r>
        <w:rPr>
          <w:rFonts w:ascii="Palatino Linotype" w:hAnsi="Palatino Linotype" w:cs="Arial"/>
          <w:i/>
          <w:sz w:val="22"/>
          <w:szCs w:val="22"/>
          <w:lang w:eastAsia="es-MX"/>
        </w:rPr>
        <w:t>la materia en el ámbito de sus respectivas competencias, en tanto estas últimas no contravengan lo dispuesto en la Ley General.</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Pr>
          <w:rFonts w:ascii="Palatino Linotype" w:hAnsi="Palatino Linotype" w:cs="Arial"/>
          <w:i/>
          <w:sz w:val="22"/>
          <w:szCs w:val="22"/>
          <w:lang w:eastAsia="es-MX"/>
        </w:rPr>
        <w:t xml:space="preserve"> la Ley General, la Ley Federal y </w:t>
      </w:r>
      <w:r>
        <w:rPr>
          <w:rFonts w:ascii="Palatino Linotype" w:hAnsi="Palatino Linotype" w:cs="Arial"/>
          <w:b/>
          <w:i/>
          <w:sz w:val="22"/>
          <w:szCs w:val="22"/>
          <w:u w:val="single"/>
          <w:lang w:eastAsia="es-MX"/>
        </w:rPr>
        <w:t>leyes estatales</w:t>
      </w:r>
      <w:r>
        <w:rPr>
          <w:rFonts w:ascii="Palatino Linotype" w:hAnsi="Palatino Linotype" w:cs="Arial"/>
          <w:b/>
          <w:i/>
          <w:sz w:val="22"/>
          <w:szCs w:val="22"/>
          <w:u w:val="single"/>
          <w:lang w:eastAsia="es-MX"/>
        </w:rPr>
        <w:t xml:space="preserve">, </w:t>
      </w:r>
      <w:r>
        <w:rPr>
          <w:rFonts w:ascii="Palatino Linotype" w:hAnsi="Palatino Linotype" w:cs="Arial"/>
          <w:b/>
          <w:i/>
          <w:sz w:val="22"/>
          <w:szCs w:val="22"/>
          <w:u w:val="single"/>
        </w:rPr>
        <w:t>corresponderá</w:t>
      </w:r>
      <w:r>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Pr>
          <w:rFonts w:ascii="Palatino Linotype" w:hAnsi="Palatino Linotype" w:cs="Arial"/>
          <w:i/>
          <w:sz w:val="22"/>
          <w:szCs w:val="22"/>
          <w:lang w:eastAsia="es-MX"/>
        </w:rPr>
        <w:t xml:space="preserve"> o al momento en que generen versiones públicas para dar cumplimiento a las obligaciones de transparenci</w:t>
      </w:r>
      <w:r>
        <w:rPr>
          <w:rFonts w:ascii="Palatino Linotype" w:hAnsi="Palatino Linotype" w:cs="Arial"/>
          <w:i/>
          <w:sz w:val="22"/>
          <w:szCs w:val="22"/>
          <w:lang w:eastAsia="es-MX"/>
        </w:rPr>
        <w:t>a, observando lo dispuesto en la Ley General y las demás disposiciones aplicables en la materia.</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Los sujetos obligados no podrán emitir acuerdos de carácter general</w:t>
      </w:r>
      <w:r>
        <w:rPr>
          <w:rFonts w:ascii="Palatino Linotype" w:hAnsi="Palatino Linotype" w:cs="Arial"/>
          <w:i/>
          <w:sz w:val="22"/>
          <w:szCs w:val="22"/>
          <w:lang w:eastAsia="es-MX"/>
        </w:rPr>
        <w:t xml:space="preserve"> ni particular que clasifiquen </w:t>
      </w:r>
      <w:r>
        <w:rPr>
          <w:rFonts w:ascii="Palatino Linotype" w:hAnsi="Palatino Linotype" w:cs="Arial"/>
          <w:bCs/>
          <w:i/>
          <w:sz w:val="22"/>
          <w:szCs w:val="22"/>
        </w:rPr>
        <w:t>documentos</w:t>
      </w:r>
      <w:r>
        <w:rPr>
          <w:rFonts w:ascii="Palatino Linotype" w:hAnsi="Palatino Linotype" w:cs="Arial"/>
          <w:i/>
          <w:sz w:val="22"/>
          <w:szCs w:val="22"/>
          <w:lang w:eastAsia="es-MX"/>
        </w:rPr>
        <w:t xml:space="preserve"> o expedientes como reservados, ni clasifica</w:t>
      </w:r>
      <w:r>
        <w:rPr>
          <w:rFonts w:ascii="Palatino Linotype" w:hAnsi="Palatino Linotype" w:cs="Arial"/>
          <w:i/>
          <w:sz w:val="22"/>
          <w:szCs w:val="22"/>
          <w:lang w:eastAsia="es-MX"/>
        </w:rPr>
        <w:t xml:space="preserve">r </w:t>
      </w:r>
      <w:r>
        <w:rPr>
          <w:rFonts w:ascii="Palatino Linotype" w:hAnsi="Palatino Linotype" w:cs="Arial"/>
          <w:i/>
          <w:sz w:val="22"/>
          <w:szCs w:val="22"/>
          <w:lang w:eastAsia="es-MX"/>
        </w:rPr>
        <w:lastRenderedPageBreak/>
        <w:t>documentos antes de que se genere la información o cuando éstos no obren en sus archivos.</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u w:val="single"/>
          <w:lang w:eastAsia="es-MX"/>
        </w:rPr>
        <w:t xml:space="preserve">La clasificación de </w:t>
      </w:r>
      <w:r>
        <w:rPr>
          <w:rFonts w:ascii="Palatino Linotype" w:hAnsi="Palatino Linotype" w:cs="Arial"/>
          <w:b/>
          <w:i/>
          <w:sz w:val="22"/>
          <w:szCs w:val="22"/>
          <w:u w:val="single"/>
        </w:rPr>
        <w:t>información</w:t>
      </w:r>
      <w:r>
        <w:rPr>
          <w:rFonts w:ascii="Palatino Linotype" w:hAnsi="Palatino Linotype" w:cs="Arial"/>
          <w:b/>
          <w:i/>
          <w:sz w:val="22"/>
          <w:szCs w:val="22"/>
          <w:u w:val="single"/>
          <w:lang w:eastAsia="es-MX"/>
        </w:rPr>
        <w:t xml:space="preserve"> se realizará conforme a un análisis caso por caso</w:t>
      </w:r>
      <w:r>
        <w:rPr>
          <w:rFonts w:ascii="Palatino Linotype" w:hAnsi="Palatino Linotype" w:cs="Arial"/>
          <w:i/>
          <w:sz w:val="22"/>
          <w:szCs w:val="22"/>
          <w:lang w:eastAsia="es-MX"/>
        </w:rPr>
        <w:t xml:space="preserve">, mediante la aplicación </w:t>
      </w:r>
      <w:r>
        <w:rPr>
          <w:rFonts w:ascii="Palatino Linotype" w:hAnsi="Palatino Linotype" w:cs="Arial"/>
          <w:bCs/>
          <w:i/>
          <w:sz w:val="22"/>
          <w:szCs w:val="22"/>
        </w:rPr>
        <w:t>de</w:t>
      </w:r>
      <w:r>
        <w:rPr>
          <w:rFonts w:ascii="Palatino Linotype" w:hAnsi="Palatino Linotype" w:cs="Arial"/>
          <w:i/>
          <w:sz w:val="22"/>
          <w:szCs w:val="22"/>
          <w:lang w:eastAsia="es-MX"/>
        </w:rPr>
        <w:t xml:space="preserve"> la prueba de daño y de interés público.</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La cla</w:t>
      </w:r>
      <w:r>
        <w:rPr>
          <w:rFonts w:ascii="Palatino Linotype" w:hAnsi="Palatino Linotype" w:cs="Arial"/>
          <w:b/>
          <w:i/>
          <w:sz w:val="22"/>
          <w:szCs w:val="22"/>
          <w:u w:val="single"/>
          <w:lang w:eastAsia="es-MX"/>
        </w:rPr>
        <w:t xml:space="preserve">sificación </w:t>
      </w:r>
      <w:r>
        <w:rPr>
          <w:rFonts w:ascii="Palatino Linotype" w:hAnsi="Palatino Linotype" w:cs="Arial"/>
          <w:b/>
          <w:bCs/>
          <w:i/>
          <w:sz w:val="22"/>
          <w:szCs w:val="22"/>
          <w:u w:val="single"/>
        </w:rPr>
        <w:t>de</w:t>
      </w:r>
      <w:r>
        <w:rPr>
          <w:rFonts w:ascii="Palatino Linotype" w:hAnsi="Palatino Linotype" w:cs="Arial"/>
          <w:b/>
          <w:i/>
          <w:sz w:val="22"/>
          <w:szCs w:val="22"/>
          <w:u w:val="single"/>
          <w:lang w:eastAsia="es-MX"/>
        </w:rPr>
        <w:t xml:space="preserve"> la </w:t>
      </w:r>
      <w:r>
        <w:rPr>
          <w:rFonts w:ascii="Palatino Linotype" w:hAnsi="Palatino Linotype" w:cs="Arial"/>
          <w:b/>
          <w:i/>
          <w:sz w:val="22"/>
          <w:szCs w:val="22"/>
          <w:u w:val="single"/>
        </w:rPr>
        <w:t>información</w:t>
      </w:r>
      <w:r>
        <w:rPr>
          <w:rFonts w:ascii="Palatino Linotype" w:hAnsi="Palatino Linotype" w:cs="Arial"/>
          <w:b/>
          <w:i/>
          <w:sz w:val="22"/>
          <w:szCs w:val="22"/>
          <w:u w:val="single"/>
          <w:lang w:eastAsia="es-MX"/>
        </w:rPr>
        <w:t xml:space="preserve"> se llevará a cabo en el momento en que</w:t>
      </w:r>
      <w:r>
        <w:rPr>
          <w:rFonts w:ascii="Palatino Linotype" w:hAnsi="Palatino Linotype" w:cs="Arial"/>
          <w:i/>
          <w:sz w:val="22"/>
          <w:szCs w:val="22"/>
          <w:lang w:eastAsia="es-MX"/>
        </w:rPr>
        <w:t>:</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Se determine </w:t>
      </w:r>
      <w:r>
        <w:rPr>
          <w:rFonts w:ascii="Palatino Linotype" w:hAnsi="Palatino Linotype" w:cs="Arial"/>
          <w:b/>
          <w:bCs/>
          <w:i/>
          <w:sz w:val="22"/>
          <w:szCs w:val="22"/>
          <w:u w:val="single"/>
        </w:rPr>
        <w:t>mediante</w:t>
      </w:r>
      <w:r>
        <w:rPr>
          <w:rFonts w:ascii="Palatino Linotype" w:hAnsi="Palatino Linotype" w:cs="Arial"/>
          <w:b/>
          <w:i/>
          <w:sz w:val="22"/>
          <w:szCs w:val="22"/>
          <w:u w:val="single"/>
          <w:lang w:eastAsia="es-MX"/>
        </w:rPr>
        <w:t xml:space="preserve"> resolución de autoridad competente</w:t>
      </w:r>
      <w:r>
        <w:rPr>
          <w:rFonts w:ascii="Palatino Linotype" w:hAnsi="Palatino Linotype" w:cs="Arial"/>
          <w:i/>
          <w:sz w:val="22"/>
          <w:szCs w:val="22"/>
          <w:lang w:eastAsia="es-MX"/>
        </w:rPr>
        <w:t>, o</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Los titulares de las áreas deberán revisar la clasificación al momento de la recepción de u</w:t>
      </w:r>
      <w:r>
        <w:rPr>
          <w:rFonts w:ascii="Palatino Linotype" w:hAnsi="Palatino Linotype" w:cs="Arial"/>
          <w:i/>
          <w:sz w:val="22"/>
          <w:szCs w:val="22"/>
          <w:lang w:eastAsia="es-MX"/>
        </w:rPr>
        <w:t xml:space="preserve">na solicitud de </w:t>
      </w:r>
      <w:r>
        <w:rPr>
          <w:rFonts w:ascii="Palatino Linotype" w:hAnsi="Palatino Linotype" w:cs="Arial"/>
          <w:bCs/>
          <w:i/>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w:t>
      </w:r>
      <w:r>
        <w:rPr>
          <w:rFonts w:ascii="Palatino Linotype" w:hAnsi="Palatino Linotype" w:cs="Arial"/>
          <w:b/>
          <w:i/>
          <w:sz w:val="22"/>
          <w:szCs w:val="22"/>
          <w:u w:val="single"/>
          <w:lang w:eastAsia="es-MX"/>
        </w:rPr>
        <w:t xml:space="preserve">internacional suscrito por el Estado mexicano que </w:t>
      </w:r>
      <w:r>
        <w:rPr>
          <w:rFonts w:ascii="Palatino Linotype" w:hAnsi="Palatino Linotype" w:cs="Arial"/>
          <w:b/>
          <w:bCs/>
          <w:i/>
          <w:sz w:val="22"/>
          <w:szCs w:val="22"/>
          <w:u w:val="single"/>
        </w:rPr>
        <w:t>expresamente</w:t>
      </w:r>
      <w:r>
        <w:rPr>
          <w:rFonts w:ascii="Palatino Linotype" w:hAnsi="Palatino Linotype" w:cs="Arial"/>
          <w:b/>
          <w:i/>
          <w:sz w:val="22"/>
          <w:szCs w:val="22"/>
          <w:u w:val="single"/>
          <w:lang w:eastAsia="es-MX"/>
        </w:rPr>
        <w:t xml:space="preserve"> le otorga el carácter de</w:t>
      </w:r>
      <w:r>
        <w:rPr>
          <w:rFonts w:ascii="Palatino Linotype" w:hAnsi="Palatino Linotype" w:cs="Arial"/>
          <w:i/>
          <w:sz w:val="22"/>
          <w:szCs w:val="22"/>
          <w:lang w:eastAsia="es-MX"/>
        </w:rPr>
        <w:t xml:space="preserve"> reservada o </w:t>
      </w:r>
      <w:r>
        <w:rPr>
          <w:rFonts w:ascii="Palatino Linotype" w:hAnsi="Palatino Linotype" w:cs="Arial"/>
          <w:b/>
          <w:i/>
          <w:sz w:val="22"/>
          <w:szCs w:val="22"/>
          <w:u w:val="single"/>
          <w:lang w:eastAsia="es-MX"/>
        </w:rPr>
        <w:t>confidencial</w:t>
      </w:r>
      <w:r>
        <w:rPr>
          <w:rFonts w:ascii="Palatino Linotype" w:hAnsi="Palatino Linotype" w:cs="Arial"/>
          <w:i/>
          <w:sz w:val="22"/>
          <w:szCs w:val="22"/>
          <w:lang w:eastAsia="es-MX"/>
        </w:rPr>
        <w:t>.</w:t>
      </w:r>
    </w:p>
    <w:p w:rsidR="00880A06" w:rsidRDefault="00616063">
      <w:pPr>
        <w:ind w:left="709" w:right="709"/>
        <w:jc w:val="both"/>
        <w:rPr>
          <w:rFonts w:ascii="Palatino Linotype" w:hAnsi="Palatino Linotype" w:cs="Arial"/>
          <w:bCs/>
          <w:i/>
          <w:sz w:val="22"/>
          <w:szCs w:val="22"/>
        </w:rPr>
      </w:pPr>
      <w:r>
        <w:rPr>
          <w:rFonts w:ascii="Palatino Linotype" w:hAnsi="Palatino Linotype" w:cs="Arial"/>
          <w:b/>
          <w:i/>
          <w:sz w:val="22"/>
          <w:szCs w:val="22"/>
          <w:u w:val="single"/>
          <w:lang w:eastAsia="es-MX"/>
        </w:rPr>
        <w:t xml:space="preserve">Para </w:t>
      </w:r>
      <w:r>
        <w:rPr>
          <w:rFonts w:ascii="Palatino Linotype" w:hAnsi="Palatino Linotype" w:cs="Arial"/>
          <w:b/>
          <w:bCs/>
          <w:i/>
          <w:sz w:val="22"/>
          <w:szCs w:val="22"/>
          <w:u w:val="single"/>
        </w:rPr>
        <w:t xml:space="preserve">motivar la clasificación se deberán señalar las razones o circunstancias especiales que lo </w:t>
      </w:r>
      <w:r>
        <w:rPr>
          <w:rFonts w:ascii="Palatino Linotype" w:hAnsi="Palatino Linotype" w:cs="Arial"/>
          <w:b/>
          <w:i/>
          <w:sz w:val="22"/>
          <w:szCs w:val="22"/>
          <w:u w:val="single"/>
          <w:lang w:eastAsia="es-MX"/>
        </w:rPr>
        <w:t>llevaron</w:t>
      </w:r>
      <w:r>
        <w:rPr>
          <w:rFonts w:ascii="Palatino Linotype" w:hAnsi="Palatino Linotype" w:cs="Arial"/>
          <w:b/>
          <w:bCs/>
          <w:i/>
          <w:sz w:val="22"/>
          <w:szCs w:val="22"/>
          <w:u w:val="single"/>
        </w:rPr>
        <w:t xml:space="preserve"> a concluir que el caso particular se </w:t>
      </w:r>
      <w:r>
        <w:rPr>
          <w:rFonts w:ascii="Palatino Linotype" w:hAnsi="Palatino Linotype" w:cs="Arial"/>
          <w:b/>
          <w:bCs/>
          <w:i/>
          <w:sz w:val="22"/>
          <w:szCs w:val="22"/>
          <w:u w:val="single"/>
        </w:rPr>
        <w:t xml:space="preserve">ajusta al supuesto previsto por la norma legal invocada </w:t>
      </w:r>
      <w:r>
        <w:rPr>
          <w:rFonts w:ascii="Palatino Linotype" w:hAnsi="Palatino Linotype" w:cs="Arial"/>
          <w:bCs/>
          <w:i/>
          <w:sz w:val="22"/>
          <w:szCs w:val="22"/>
        </w:rPr>
        <w:t>como fundamento.</w:t>
      </w:r>
    </w:p>
    <w:p w:rsidR="00880A06" w:rsidRDefault="00616063">
      <w:pPr>
        <w:ind w:left="709" w:right="709"/>
        <w:jc w:val="both"/>
        <w:rPr>
          <w:rFonts w:ascii="Palatino Linotype" w:hAnsi="Palatino Linotype" w:cs="Arial"/>
          <w:bCs/>
          <w:i/>
          <w:sz w:val="22"/>
          <w:szCs w:val="22"/>
        </w:rPr>
      </w:pPr>
      <w:r>
        <w:rPr>
          <w:rFonts w:ascii="Palatino Linotype" w:hAnsi="Palatino Linotype" w:cs="Arial"/>
          <w:bCs/>
          <w:i/>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szCs w:val="22"/>
        </w:rPr>
        <w:t xml:space="preserve"> </w:t>
      </w:r>
      <w:r>
        <w:rPr>
          <w:rFonts w:ascii="Palatino Linotype" w:hAnsi="Palatino Linotype" w:cs="Arial"/>
          <w:i/>
          <w:sz w:val="22"/>
          <w:szCs w:val="22"/>
          <w:lang w:eastAsia="es-MX"/>
        </w:rPr>
        <w:t>reserva</w:t>
      </w:r>
      <w:r>
        <w:rPr>
          <w:rFonts w:ascii="Palatino Linotype" w:hAnsi="Palatino Linotype" w:cs="Arial"/>
          <w:bCs/>
          <w:i/>
          <w:sz w:val="22"/>
          <w:szCs w:val="22"/>
        </w:rPr>
        <w:t>.</w:t>
      </w:r>
    </w:p>
    <w:p w:rsidR="00880A06" w:rsidRDefault="00616063">
      <w:pPr>
        <w:ind w:left="709" w:right="709"/>
        <w:jc w:val="both"/>
        <w:rPr>
          <w:rFonts w:ascii="Palatino Linotype" w:hAnsi="Palatino Linotype" w:cs="Arial"/>
          <w:bCs/>
          <w:i/>
          <w:sz w:val="22"/>
          <w:szCs w:val="22"/>
        </w:rPr>
      </w:pPr>
      <w:r>
        <w:rPr>
          <w:rFonts w:ascii="Palatino Linotype" w:hAnsi="Palatino Linotype" w:cs="Arial"/>
          <w:i/>
          <w:sz w:val="22"/>
          <w:szCs w:val="22"/>
          <w:lang w:eastAsia="es-MX"/>
        </w:rPr>
        <w:t>Tratándose</w:t>
      </w:r>
      <w:r>
        <w:rPr>
          <w:rFonts w:ascii="Palatino Linotype" w:hAnsi="Palatino Linotype" w:cs="Arial"/>
          <w:bCs/>
          <w:i/>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sz w:val="22"/>
          <w:szCs w:val="22"/>
        </w:rPr>
        <w:t xml:space="preserve"> </w:t>
      </w:r>
      <w:r>
        <w:rPr>
          <w:rFonts w:ascii="Palatino Linotype" w:hAnsi="Palatino Linotype" w:cs="Arial"/>
          <w:i/>
          <w:sz w:val="22"/>
          <w:szCs w:val="22"/>
          <w:lang w:eastAsia="es-MX"/>
        </w:rPr>
        <w:t>su</w:t>
      </w:r>
      <w:r>
        <w:rPr>
          <w:rFonts w:ascii="Palatino Linotype" w:hAnsi="Palatino Linotype" w:cs="Arial"/>
          <w:bCs/>
          <w:i/>
          <w:sz w:val="22"/>
          <w:szCs w:val="22"/>
        </w:rPr>
        <w:t xml:space="preserve"> conservación permanente por tener valor histórico, ésta conservará tal carácter de conformidad con la normativa aplicable en materia de archivos.</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Cs/>
          <w:i/>
          <w:sz w:val="22"/>
          <w:szCs w:val="22"/>
        </w:rPr>
        <w:t>Lo</w:t>
      </w:r>
      <w:r>
        <w:rPr>
          <w:rFonts w:ascii="Palatino Linotype" w:hAnsi="Palatino Linotype" w:cs="Arial"/>
          <w:bCs/>
          <w:i/>
          <w:sz w:val="22"/>
          <w:szCs w:val="22"/>
        </w:rPr>
        <w:t>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Los titulares de las áreas, deberán tener conocimiento y llevar un registro del personal q</w:t>
      </w:r>
      <w:r>
        <w:rPr>
          <w:rFonts w:ascii="Palatino Linotype" w:hAnsi="Palatino Linotype" w:cs="Arial"/>
          <w:b/>
          <w:i/>
          <w:sz w:val="22"/>
          <w:szCs w:val="22"/>
          <w:u w:val="single"/>
          <w:lang w:eastAsia="es-MX"/>
        </w:rPr>
        <w:t xml:space="preserve">ue, por la naturaleza de sus atribuciones, tenga acceso a los </w:t>
      </w:r>
      <w:r>
        <w:rPr>
          <w:rFonts w:ascii="Palatino Linotype" w:hAnsi="Palatino Linotype" w:cs="Arial"/>
          <w:b/>
          <w:i/>
          <w:sz w:val="22"/>
          <w:szCs w:val="22"/>
          <w:u w:val="single"/>
        </w:rPr>
        <w:t>documentos</w:t>
      </w:r>
      <w:r>
        <w:rPr>
          <w:rFonts w:ascii="Palatino Linotype" w:hAnsi="Palatino Linotype" w:cs="Arial"/>
          <w:b/>
          <w:i/>
          <w:sz w:val="22"/>
          <w:szCs w:val="22"/>
          <w:u w:val="single"/>
          <w:lang w:eastAsia="es-MX"/>
        </w:rPr>
        <w:t xml:space="preserve"> clasificados</w:t>
      </w:r>
      <w:r>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w:t>
      </w:r>
      <w:r>
        <w:rPr>
          <w:rFonts w:ascii="Palatino Linotype" w:hAnsi="Palatino Linotype" w:cs="Arial"/>
          <w:i/>
          <w:sz w:val="22"/>
          <w:szCs w:val="22"/>
          <w:lang w:eastAsia="es-MX"/>
        </w:rPr>
        <w:t>os términos de los Lineamientos para la Organización y Conservación de Archivos.</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Décimo primero.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Pr>
          <w:rFonts w:ascii="Palatino Linotype" w:hAnsi="Palatino Linotype" w:cs="Arial"/>
          <w:i/>
          <w:sz w:val="22"/>
          <w:szCs w:val="22"/>
          <w:lang w:eastAsia="es-MX"/>
        </w:rPr>
        <w:t xml:space="preserve"> de conformidad c</w:t>
      </w:r>
      <w:r>
        <w:rPr>
          <w:rFonts w:ascii="Palatino Linotype" w:hAnsi="Palatino Linotype" w:cs="Arial"/>
          <w:i/>
          <w:sz w:val="22"/>
          <w:szCs w:val="22"/>
          <w:lang w:eastAsia="es-MX"/>
        </w:rPr>
        <w:t>on lo dispuesto en el Capítulo VIII de los presentes lineamientos.</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880A06" w:rsidRDefault="00616063">
      <w:pPr>
        <w:ind w:left="709" w:right="709"/>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880A06" w:rsidRDefault="00616063">
      <w:pPr>
        <w:ind w:left="709" w:right="709"/>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w:t>
      </w:r>
      <w:r>
        <w:rPr>
          <w:rFonts w:ascii="Palatino Linotype" w:hAnsi="Palatino Linotype" w:cs="Arial"/>
          <w:b/>
          <w:i/>
          <w:sz w:val="22"/>
          <w:szCs w:val="22"/>
          <w:u w:val="single"/>
          <w:lang w:eastAsia="es-MX"/>
        </w:rPr>
        <w:t>lo</w:t>
      </w:r>
      <w:r>
        <w:rPr>
          <w:rFonts w:ascii="Palatino Linotype" w:hAnsi="Palatino Linotype" w:cs="Arial"/>
          <w:i/>
          <w:sz w:val="22"/>
          <w:szCs w:val="22"/>
          <w:lang w:eastAsia="es-MX"/>
        </w:rPr>
        <w:t xml:space="preserve"> para señalar la clasificación de documentos o expedientes, sin perjuicio de que establezcan los propios.</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880A06" w:rsidRDefault="00616063">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Style w:val="Tablaconcuadrcula1111"/>
        <w:tblW w:w="7650" w:type="dxa"/>
        <w:jc w:val="center"/>
        <w:tblLook w:val="04A0" w:firstRow="1" w:lastRow="0" w:firstColumn="1" w:lastColumn="0" w:noHBand="0" w:noVBand="1"/>
      </w:tblPr>
      <w:tblGrid>
        <w:gridCol w:w="1128"/>
        <w:gridCol w:w="1988"/>
        <w:gridCol w:w="4534"/>
      </w:tblGrid>
      <w:tr w:rsidR="00880A06">
        <w:trPr>
          <w:jc w:val="center"/>
        </w:trPr>
        <w:tc>
          <w:tcPr>
            <w:tcW w:w="1128" w:type="dxa"/>
            <w:tcBorders>
              <w:top w:val="nil"/>
              <w:left w:val="nil"/>
            </w:tcBorders>
          </w:tcPr>
          <w:p w:rsidR="00880A06" w:rsidRDefault="00880A06">
            <w:pPr>
              <w:jc w:val="both"/>
              <w:rPr>
                <w:rFonts w:ascii="Palatino Linotype" w:hAnsi="Palatino Linotype" w:cs="Arial"/>
                <w:i/>
                <w:lang w:eastAsia="es-MX"/>
              </w:rPr>
            </w:pPr>
          </w:p>
        </w:tc>
        <w:tc>
          <w:tcPr>
            <w:tcW w:w="1988" w:type="dxa"/>
          </w:tcPr>
          <w:p w:rsidR="00880A06" w:rsidRDefault="00616063">
            <w:pPr>
              <w:jc w:val="center"/>
              <w:rPr>
                <w:rFonts w:ascii="Palatino Linotype" w:hAnsi="Palatino Linotype"/>
                <w:b/>
                <w:i/>
              </w:rPr>
            </w:pPr>
            <w:r>
              <w:rPr>
                <w:rFonts w:ascii="Palatino Linotype" w:eastAsiaTheme="minorHAnsi" w:hAnsi="Palatino Linotype"/>
                <w:b/>
                <w:i/>
                <w:sz w:val="22"/>
                <w:szCs w:val="22"/>
                <w:lang w:eastAsia="en-US"/>
              </w:rPr>
              <w:t>Concepto</w:t>
            </w:r>
          </w:p>
        </w:tc>
        <w:tc>
          <w:tcPr>
            <w:tcW w:w="4534" w:type="dxa"/>
          </w:tcPr>
          <w:p w:rsidR="00880A06" w:rsidRDefault="00616063">
            <w:pPr>
              <w:jc w:val="center"/>
              <w:rPr>
                <w:rFonts w:ascii="Palatino Linotype" w:hAnsi="Palatino Linotype"/>
                <w:b/>
                <w:i/>
              </w:rPr>
            </w:pPr>
            <w:r>
              <w:rPr>
                <w:rFonts w:ascii="Palatino Linotype" w:eastAsiaTheme="minorHAnsi" w:hAnsi="Palatino Linotype"/>
                <w:b/>
                <w:i/>
                <w:sz w:val="22"/>
                <w:szCs w:val="22"/>
                <w:lang w:eastAsia="en-US"/>
              </w:rPr>
              <w:t>Dónde:</w:t>
            </w:r>
          </w:p>
        </w:tc>
      </w:tr>
      <w:tr w:rsidR="00880A06">
        <w:trPr>
          <w:jc w:val="center"/>
        </w:trPr>
        <w:tc>
          <w:tcPr>
            <w:tcW w:w="1128" w:type="dxa"/>
            <w:vMerge w:val="restart"/>
            <w:vAlign w:val="center"/>
          </w:tcPr>
          <w:p w:rsidR="00880A06" w:rsidRDefault="00616063">
            <w:pPr>
              <w:jc w:val="center"/>
              <w:rPr>
                <w:rFonts w:ascii="Palatino Linotype" w:hAnsi="Palatino Linotype" w:cs="Arial"/>
                <w:b/>
                <w:i/>
                <w:lang w:eastAsia="es-MX"/>
              </w:rPr>
            </w:pPr>
            <w:r>
              <w:rPr>
                <w:rFonts w:ascii="Palatino Linotype" w:eastAsiaTheme="minorHAnsi" w:hAnsi="Palatino Linotype" w:cs="Arial"/>
                <w:b/>
                <w:i/>
                <w:sz w:val="22"/>
                <w:szCs w:val="22"/>
                <w:lang w:eastAsia="es-MX"/>
              </w:rPr>
              <w:t xml:space="preserve">Sello oficial o </w:t>
            </w:r>
            <w:r>
              <w:rPr>
                <w:rFonts w:ascii="Palatino Linotype" w:eastAsiaTheme="minorHAnsi" w:hAnsi="Palatino Linotype" w:cs="Arial"/>
                <w:b/>
                <w:i/>
                <w:sz w:val="22"/>
                <w:szCs w:val="22"/>
                <w:lang w:eastAsia="es-MX"/>
              </w:rPr>
              <w:t>logotipo del sujeto obligado</w:t>
            </w:r>
          </w:p>
        </w:tc>
        <w:tc>
          <w:tcPr>
            <w:tcW w:w="1988" w:type="dxa"/>
          </w:tcPr>
          <w:p w:rsidR="00880A06" w:rsidRDefault="00616063">
            <w:pPr>
              <w:jc w:val="center"/>
              <w:rPr>
                <w:rFonts w:ascii="Palatino Linotype" w:hAnsi="Palatino Linotype" w:cs="Arial"/>
                <w:i/>
                <w:lang w:eastAsia="es-MX"/>
              </w:rPr>
            </w:pPr>
            <w:r>
              <w:rPr>
                <w:rFonts w:ascii="Palatino Linotype" w:eastAsiaTheme="minorHAnsi" w:hAnsi="Palatino Linotype" w:cs="Arial"/>
                <w:i/>
                <w:sz w:val="22"/>
                <w:szCs w:val="22"/>
                <w:lang w:eastAsia="es-MX"/>
              </w:rPr>
              <w:t>Fecha de clasificación</w:t>
            </w:r>
          </w:p>
        </w:tc>
        <w:tc>
          <w:tcPr>
            <w:tcW w:w="4534" w:type="dxa"/>
          </w:tcPr>
          <w:p w:rsidR="00880A06" w:rsidRDefault="00616063">
            <w:pPr>
              <w:jc w:val="both"/>
              <w:rPr>
                <w:rFonts w:ascii="Palatino Linotype" w:hAnsi="Palatino Linotype" w:cs="Arial"/>
                <w:i/>
                <w:lang w:eastAsia="es-MX"/>
              </w:rPr>
            </w:pPr>
            <w:r>
              <w:rPr>
                <w:rFonts w:ascii="Palatino Linotype" w:eastAsiaTheme="minorHAnsi" w:hAnsi="Palatino Linotype" w:cs="Arial"/>
                <w:i/>
                <w:sz w:val="22"/>
                <w:szCs w:val="22"/>
                <w:lang w:eastAsia="es-MX"/>
              </w:rPr>
              <w:t>Se anotará la fecha en la que el Comité de Transparencia confirmó la clasificación del documento, en su caso.</w:t>
            </w:r>
          </w:p>
        </w:tc>
      </w:tr>
      <w:tr w:rsidR="00880A06">
        <w:trPr>
          <w:jc w:val="center"/>
        </w:trPr>
        <w:tc>
          <w:tcPr>
            <w:tcW w:w="1128" w:type="dxa"/>
            <w:vMerge/>
          </w:tcPr>
          <w:p w:rsidR="00880A06" w:rsidRDefault="00880A06">
            <w:pPr>
              <w:jc w:val="both"/>
              <w:rPr>
                <w:rFonts w:ascii="Palatino Linotype" w:hAnsi="Palatino Linotype" w:cs="Arial"/>
                <w:i/>
                <w:lang w:eastAsia="es-MX"/>
              </w:rPr>
            </w:pPr>
          </w:p>
        </w:tc>
        <w:tc>
          <w:tcPr>
            <w:tcW w:w="1988" w:type="dxa"/>
          </w:tcPr>
          <w:p w:rsidR="00880A06" w:rsidRDefault="00616063">
            <w:pPr>
              <w:jc w:val="center"/>
              <w:rPr>
                <w:rFonts w:ascii="Palatino Linotype" w:hAnsi="Palatino Linotype" w:cs="Arial"/>
                <w:i/>
                <w:lang w:eastAsia="es-MX"/>
              </w:rPr>
            </w:pPr>
            <w:r>
              <w:rPr>
                <w:rFonts w:ascii="Palatino Linotype" w:eastAsiaTheme="minorHAnsi" w:hAnsi="Palatino Linotype" w:cs="Arial"/>
                <w:i/>
                <w:sz w:val="22"/>
                <w:szCs w:val="22"/>
                <w:lang w:eastAsia="es-MX"/>
              </w:rPr>
              <w:t>Área</w:t>
            </w:r>
          </w:p>
        </w:tc>
        <w:tc>
          <w:tcPr>
            <w:tcW w:w="4534" w:type="dxa"/>
          </w:tcPr>
          <w:p w:rsidR="00880A06" w:rsidRDefault="00616063">
            <w:pPr>
              <w:jc w:val="both"/>
              <w:rPr>
                <w:rFonts w:ascii="Palatino Linotype" w:hAnsi="Palatino Linotype" w:cs="Arial"/>
                <w:i/>
                <w:lang w:eastAsia="es-MX"/>
              </w:rPr>
            </w:pPr>
            <w:r>
              <w:rPr>
                <w:rFonts w:ascii="Palatino Linotype" w:eastAsiaTheme="minorHAnsi" w:hAnsi="Palatino Linotype" w:cs="Arial"/>
                <w:i/>
                <w:sz w:val="22"/>
                <w:szCs w:val="22"/>
                <w:lang w:eastAsia="es-MX"/>
              </w:rPr>
              <w:t>Se señalará el nombre del área del cual es titular quien clasifica.</w:t>
            </w:r>
          </w:p>
        </w:tc>
      </w:tr>
      <w:tr w:rsidR="00880A06">
        <w:trPr>
          <w:jc w:val="center"/>
        </w:trPr>
        <w:tc>
          <w:tcPr>
            <w:tcW w:w="1128" w:type="dxa"/>
            <w:vMerge/>
          </w:tcPr>
          <w:p w:rsidR="00880A06" w:rsidRDefault="00880A06">
            <w:pPr>
              <w:jc w:val="both"/>
              <w:rPr>
                <w:rFonts w:ascii="Palatino Linotype" w:hAnsi="Palatino Linotype" w:cs="Arial"/>
                <w:i/>
                <w:lang w:eastAsia="es-MX"/>
              </w:rPr>
            </w:pPr>
          </w:p>
        </w:tc>
        <w:tc>
          <w:tcPr>
            <w:tcW w:w="1988" w:type="dxa"/>
          </w:tcPr>
          <w:p w:rsidR="00880A06" w:rsidRDefault="00616063">
            <w:pPr>
              <w:jc w:val="center"/>
              <w:rPr>
                <w:rFonts w:ascii="Palatino Linotype" w:hAnsi="Palatino Linotype" w:cs="Arial"/>
                <w:i/>
                <w:lang w:eastAsia="es-MX"/>
              </w:rPr>
            </w:pPr>
            <w:r>
              <w:rPr>
                <w:rFonts w:ascii="Palatino Linotype" w:eastAsiaTheme="minorHAnsi" w:hAnsi="Palatino Linotype" w:cs="Arial"/>
                <w:i/>
                <w:sz w:val="22"/>
                <w:szCs w:val="22"/>
                <w:lang w:eastAsia="es-MX"/>
              </w:rPr>
              <w:t xml:space="preserve">Información </w:t>
            </w:r>
            <w:r>
              <w:rPr>
                <w:rFonts w:ascii="Palatino Linotype" w:eastAsiaTheme="minorHAnsi" w:hAnsi="Palatino Linotype" w:cs="Arial"/>
                <w:i/>
                <w:sz w:val="22"/>
                <w:szCs w:val="22"/>
                <w:lang w:eastAsia="es-MX"/>
              </w:rPr>
              <w:t>reservada</w:t>
            </w:r>
          </w:p>
        </w:tc>
        <w:tc>
          <w:tcPr>
            <w:tcW w:w="4534" w:type="dxa"/>
          </w:tcPr>
          <w:p w:rsidR="00880A06" w:rsidRDefault="00616063">
            <w:pPr>
              <w:jc w:val="both"/>
              <w:rPr>
                <w:rFonts w:ascii="Palatino Linotype" w:hAnsi="Palatino Linotype" w:cs="Arial"/>
                <w:i/>
                <w:lang w:eastAsia="es-MX"/>
              </w:rPr>
            </w:pPr>
            <w:r>
              <w:rPr>
                <w:rFonts w:ascii="Palatino Linotype" w:eastAsiaTheme="minorHAnsi"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w:t>
            </w:r>
            <w:r>
              <w:rPr>
                <w:rFonts w:ascii="Palatino Linotype" w:eastAsiaTheme="minorHAnsi" w:hAnsi="Palatino Linotype" w:cs="Arial"/>
                <w:i/>
                <w:sz w:val="22"/>
                <w:szCs w:val="22"/>
                <w:lang w:eastAsia="es-MX"/>
              </w:rPr>
              <w:t xml:space="preserve"> tachará este apartado.</w:t>
            </w:r>
          </w:p>
        </w:tc>
      </w:tr>
      <w:tr w:rsidR="00880A06">
        <w:trPr>
          <w:jc w:val="center"/>
        </w:trPr>
        <w:tc>
          <w:tcPr>
            <w:tcW w:w="1128" w:type="dxa"/>
            <w:vMerge/>
          </w:tcPr>
          <w:p w:rsidR="00880A06" w:rsidRDefault="00880A06">
            <w:pPr>
              <w:jc w:val="both"/>
              <w:rPr>
                <w:rFonts w:ascii="Palatino Linotype" w:hAnsi="Palatino Linotype" w:cs="Arial"/>
                <w:i/>
                <w:lang w:eastAsia="es-MX"/>
              </w:rPr>
            </w:pPr>
          </w:p>
        </w:tc>
        <w:tc>
          <w:tcPr>
            <w:tcW w:w="1988" w:type="dxa"/>
          </w:tcPr>
          <w:p w:rsidR="00880A06" w:rsidRDefault="00616063">
            <w:pPr>
              <w:jc w:val="center"/>
              <w:rPr>
                <w:rFonts w:ascii="Palatino Linotype" w:hAnsi="Palatino Linotype" w:cs="Arial"/>
                <w:i/>
                <w:lang w:eastAsia="es-MX"/>
              </w:rPr>
            </w:pPr>
            <w:r>
              <w:rPr>
                <w:rFonts w:ascii="Palatino Linotype" w:eastAsiaTheme="minorHAnsi" w:hAnsi="Palatino Linotype" w:cs="Arial"/>
                <w:i/>
                <w:sz w:val="22"/>
                <w:szCs w:val="22"/>
                <w:lang w:eastAsia="es-MX"/>
              </w:rPr>
              <w:t>Periodo de reserva</w:t>
            </w:r>
          </w:p>
        </w:tc>
        <w:tc>
          <w:tcPr>
            <w:tcW w:w="4534" w:type="dxa"/>
          </w:tcPr>
          <w:p w:rsidR="00880A06" w:rsidRDefault="00616063">
            <w:pPr>
              <w:jc w:val="both"/>
              <w:rPr>
                <w:rFonts w:ascii="Palatino Linotype" w:hAnsi="Palatino Linotype" w:cs="Arial"/>
                <w:i/>
                <w:lang w:eastAsia="es-MX"/>
              </w:rPr>
            </w:pPr>
            <w:r>
              <w:rPr>
                <w:rFonts w:ascii="Palatino Linotype" w:eastAsiaTheme="minorHAnsi" w:hAnsi="Palatino Linotype" w:cs="Arial"/>
                <w:i/>
                <w:sz w:val="22"/>
                <w:szCs w:val="22"/>
                <w:lang w:eastAsia="es-MX"/>
              </w:rPr>
              <w:t>Se anotará el número de años o meses por los que se mantendrá el documento o las partes del mismo como reservado.</w:t>
            </w:r>
          </w:p>
        </w:tc>
      </w:tr>
      <w:tr w:rsidR="00880A06">
        <w:trPr>
          <w:jc w:val="center"/>
        </w:trPr>
        <w:tc>
          <w:tcPr>
            <w:tcW w:w="1128" w:type="dxa"/>
            <w:vMerge/>
          </w:tcPr>
          <w:p w:rsidR="00880A06" w:rsidRDefault="00880A06">
            <w:pPr>
              <w:jc w:val="both"/>
              <w:rPr>
                <w:rFonts w:ascii="Palatino Linotype" w:hAnsi="Palatino Linotype" w:cs="Arial"/>
                <w:i/>
                <w:lang w:eastAsia="es-MX"/>
              </w:rPr>
            </w:pPr>
          </w:p>
        </w:tc>
        <w:tc>
          <w:tcPr>
            <w:tcW w:w="1988" w:type="dxa"/>
          </w:tcPr>
          <w:p w:rsidR="00880A06" w:rsidRDefault="00616063">
            <w:pPr>
              <w:jc w:val="center"/>
              <w:rPr>
                <w:rFonts w:ascii="Palatino Linotype" w:hAnsi="Palatino Linotype" w:cs="Arial"/>
                <w:i/>
                <w:lang w:eastAsia="es-MX"/>
              </w:rPr>
            </w:pPr>
            <w:r>
              <w:rPr>
                <w:rFonts w:ascii="Palatino Linotype" w:eastAsiaTheme="minorHAnsi" w:hAnsi="Palatino Linotype" w:cs="Arial"/>
                <w:i/>
                <w:sz w:val="22"/>
                <w:szCs w:val="22"/>
                <w:lang w:eastAsia="es-MX"/>
              </w:rPr>
              <w:t>Fundamento legal</w:t>
            </w:r>
          </w:p>
        </w:tc>
        <w:tc>
          <w:tcPr>
            <w:tcW w:w="4534" w:type="dxa"/>
          </w:tcPr>
          <w:p w:rsidR="00880A06" w:rsidRDefault="00616063">
            <w:pPr>
              <w:jc w:val="both"/>
              <w:rPr>
                <w:rFonts w:ascii="Palatino Linotype" w:hAnsi="Palatino Linotype" w:cs="Arial"/>
                <w:i/>
                <w:lang w:eastAsia="es-MX"/>
              </w:rPr>
            </w:pPr>
            <w:r>
              <w:rPr>
                <w:rFonts w:ascii="Palatino Linotype" w:eastAsiaTheme="minorHAnsi" w:hAnsi="Palatino Linotype" w:cs="Arial"/>
                <w:i/>
                <w:sz w:val="22"/>
                <w:szCs w:val="22"/>
                <w:lang w:eastAsia="es-MX"/>
              </w:rPr>
              <w:t>Se señalará el nombre del ordenamiento, el o los artículos, fracción(es), párr</w:t>
            </w:r>
            <w:r>
              <w:rPr>
                <w:rFonts w:ascii="Palatino Linotype" w:eastAsiaTheme="minorHAnsi" w:hAnsi="Palatino Linotype" w:cs="Arial"/>
                <w:i/>
                <w:sz w:val="22"/>
                <w:szCs w:val="22"/>
                <w:lang w:eastAsia="es-MX"/>
              </w:rPr>
              <w:t>afo(s) con base en los cuales se sustente la reserva.</w:t>
            </w:r>
          </w:p>
        </w:tc>
      </w:tr>
      <w:tr w:rsidR="00880A06">
        <w:trPr>
          <w:jc w:val="center"/>
        </w:trPr>
        <w:tc>
          <w:tcPr>
            <w:tcW w:w="1128" w:type="dxa"/>
            <w:vMerge/>
          </w:tcPr>
          <w:p w:rsidR="00880A06" w:rsidRDefault="00880A06">
            <w:pPr>
              <w:jc w:val="both"/>
              <w:rPr>
                <w:rFonts w:ascii="Palatino Linotype" w:hAnsi="Palatino Linotype" w:cs="Arial"/>
                <w:i/>
                <w:lang w:eastAsia="es-MX"/>
              </w:rPr>
            </w:pPr>
          </w:p>
        </w:tc>
        <w:tc>
          <w:tcPr>
            <w:tcW w:w="1988" w:type="dxa"/>
          </w:tcPr>
          <w:p w:rsidR="00880A06" w:rsidRDefault="00616063">
            <w:pPr>
              <w:jc w:val="center"/>
              <w:rPr>
                <w:rFonts w:ascii="Palatino Linotype" w:hAnsi="Palatino Linotype" w:cs="Arial"/>
                <w:i/>
                <w:lang w:eastAsia="es-MX"/>
              </w:rPr>
            </w:pPr>
            <w:r>
              <w:rPr>
                <w:rFonts w:ascii="Palatino Linotype" w:eastAsiaTheme="minorHAnsi" w:hAnsi="Palatino Linotype" w:cs="Arial"/>
                <w:i/>
                <w:sz w:val="22"/>
                <w:szCs w:val="22"/>
                <w:lang w:eastAsia="es-MX"/>
              </w:rPr>
              <w:t>Ampliación del periodo de reserva</w:t>
            </w:r>
          </w:p>
        </w:tc>
        <w:tc>
          <w:tcPr>
            <w:tcW w:w="4534" w:type="dxa"/>
          </w:tcPr>
          <w:p w:rsidR="00880A06" w:rsidRDefault="00616063">
            <w:pPr>
              <w:jc w:val="both"/>
              <w:rPr>
                <w:rFonts w:ascii="Palatino Linotype" w:hAnsi="Palatino Linotype" w:cs="Arial"/>
                <w:i/>
                <w:lang w:eastAsia="es-MX"/>
              </w:rPr>
            </w:pPr>
            <w:r>
              <w:rPr>
                <w:rFonts w:ascii="Palatino Linotype" w:eastAsiaTheme="minorHAnsi" w:hAnsi="Palatino Linotype" w:cs="Arial"/>
                <w:i/>
                <w:sz w:val="22"/>
                <w:szCs w:val="22"/>
                <w:lang w:eastAsia="es-MX"/>
              </w:rPr>
              <w:t>En caso de haber solicitado la ampliación del periodo de reserva originalmente establecido, se deberá anotar el número de años o meses por los que se amplía la reserv</w:t>
            </w:r>
            <w:r>
              <w:rPr>
                <w:rFonts w:ascii="Palatino Linotype" w:eastAsiaTheme="minorHAnsi" w:hAnsi="Palatino Linotype" w:cs="Arial"/>
                <w:i/>
                <w:sz w:val="22"/>
                <w:szCs w:val="22"/>
                <w:lang w:eastAsia="es-MX"/>
              </w:rPr>
              <w:t>a.</w:t>
            </w:r>
          </w:p>
        </w:tc>
      </w:tr>
      <w:tr w:rsidR="00880A06">
        <w:trPr>
          <w:jc w:val="center"/>
        </w:trPr>
        <w:tc>
          <w:tcPr>
            <w:tcW w:w="1128" w:type="dxa"/>
            <w:vMerge/>
          </w:tcPr>
          <w:p w:rsidR="00880A06" w:rsidRDefault="00880A06">
            <w:pPr>
              <w:jc w:val="both"/>
              <w:rPr>
                <w:rFonts w:ascii="Palatino Linotype" w:hAnsi="Palatino Linotype" w:cs="Arial"/>
                <w:i/>
                <w:lang w:eastAsia="es-MX"/>
              </w:rPr>
            </w:pPr>
          </w:p>
        </w:tc>
        <w:tc>
          <w:tcPr>
            <w:tcW w:w="1988" w:type="dxa"/>
          </w:tcPr>
          <w:p w:rsidR="00880A06" w:rsidRDefault="00616063">
            <w:pPr>
              <w:jc w:val="center"/>
              <w:rPr>
                <w:rFonts w:ascii="Palatino Linotype" w:hAnsi="Palatino Linotype" w:cs="Arial"/>
                <w:b/>
                <w:i/>
                <w:u w:val="single"/>
                <w:lang w:eastAsia="es-MX"/>
              </w:rPr>
            </w:pPr>
            <w:r>
              <w:rPr>
                <w:rFonts w:ascii="Palatino Linotype" w:eastAsiaTheme="minorHAnsi" w:hAnsi="Palatino Linotype" w:cs="Arial"/>
                <w:b/>
                <w:i/>
                <w:sz w:val="22"/>
                <w:szCs w:val="22"/>
                <w:u w:val="single"/>
                <w:lang w:eastAsia="es-MX"/>
              </w:rPr>
              <w:t>Confidencial</w:t>
            </w:r>
          </w:p>
        </w:tc>
        <w:tc>
          <w:tcPr>
            <w:tcW w:w="4534" w:type="dxa"/>
          </w:tcPr>
          <w:p w:rsidR="00880A06" w:rsidRDefault="00616063">
            <w:pPr>
              <w:jc w:val="both"/>
              <w:rPr>
                <w:rFonts w:ascii="Palatino Linotype" w:hAnsi="Palatino Linotype" w:cs="Arial"/>
                <w:i/>
                <w:lang w:eastAsia="es-MX"/>
              </w:rPr>
            </w:pPr>
            <w:r>
              <w:rPr>
                <w:rFonts w:ascii="Palatino Linotype" w:eastAsiaTheme="minorHAnsi" w:hAnsi="Palatino Linotype" w:cs="Arial"/>
                <w:i/>
                <w:sz w:val="22"/>
                <w:szCs w:val="22"/>
                <w:lang w:eastAsia="es-MX"/>
              </w:rPr>
              <w:t xml:space="preserve">Se indicarán, en su caso, </w:t>
            </w:r>
            <w:r>
              <w:rPr>
                <w:rFonts w:ascii="Palatino Linotype" w:eastAsiaTheme="minorHAnsi" w:hAnsi="Palatino Linotype" w:cs="Arial"/>
                <w:b/>
                <w:i/>
                <w:sz w:val="22"/>
                <w:szCs w:val="22"/>
                <w:u w:val="single"/>
                <w:lang w:eastAsia="es-MX"/>
              </w:rPr>
              <w:t xml:space="preserve">las partes o páginas del documento que se clasifica como </w:t>
            </w:r>
            <w:r>
              <w:rPr>
                <w:rFonts w:ascii="Palatino Linotype" w:eastAsiaTheme="minorHAnsi" w:hAnsi="Palatino Linotype" w:cs="Arial"/>
                <w:b/>
                <w:i/>
                <w:sz w:val="22"/>
                <w:szCs w:val="22"/>
                <w:u w:val="single"/>
                <w:lang w:eastAsia="es-MX"/>
              </w:rPr>
              <w:lastRenderedPageBreak/>
              <w:t>confidencial</w:t>
            </w:r>
            <w:r>
              <w:rPr>
                <w:rFonts w:ascii="Palatino Linotype" w:eastAsiaTheme="minorHAnsi" w:hAnsi="Palatino Linotype" w:cs="Arial"/>
                <w:i/>
                <w:sz w:val="22"/>
                <w:szCs w:val="22"/>
                <w:lang w:eastAsia="es-MX"/>
              </w:rPr>
              <w:t xml:space="preserve">. </w:t>
            </w:r>
            <w:r>
              <w:rPr>
                <w:rFonts w:ascii="Palatino Linotype" w:eastAsiaTheme="minorHAnsi" w:hAnsi="Palatino Linotype" w:cs="Arial"/>
                <w:b/>
                <w:i/>
                <w:sz w:val="22"/>
                <w:szCs w:val="22"/>
                <w:u w:val="single"/>
                <w:lang w:eastAsia="es-MX"/>
              </w:rPr>
              <w:t>Si el documento fuera confidencial en su totalidad, se anotarán todas las páginas que lo conforman</w:t>
            </w:r>
            <w:r>
              <w:rPr>
                <w:rFonts w:ascii="Palatino Linotype" w:eastAsiaTheme="minorHAnsi" w:hAnsi="Palatino Linotype" w:cs="Arial"/>
                <w:i/>
                <w:sz w:val="22"/>
                <w:szCs w:val="22"/>
                <w:lang w:eastAsia="es-MX"/>
              </w:rPr>
              <w:t>. Si el documento no contiene información c</w:t>
            </w:r>
            <w:r>
              <w:rPr>
                <w:rFonts w:ascii="Palatino Linotype" w:eastAsiaTheme="minorHAnsi" w:hAnsi="Palatino Linotype" w:cs="Arial"/>
                <w:i/>
                <w:sz w:val="22"/>
                <w:szCs w:val="22"/>
                <w:lang w:eastAsia="es-MX"/>
              </w:rPr>
              <w:t>onfidencial, se tachará este apartado.</w:t>
            </w:r>
          </w:p>
        </w:tc>
      </w:tr>
      <w:tr w:rsidR="00880A06">
        <w:trPr>
          <w:jc w:val="center"/>
        </w:trPr>
        <w:tc>
          <w:tcPr>
            <w:tcW w:w="1128" w:type="dxa"/>
            <w:vMerge/>
          </w:tcPr>
          <w:p w:rsidR="00880A06" w:rsidRDefault="00880A06">
            <w:pPr>
              <w:jc w:val="both"/>
              <w:rPr>
                <w:rFonts w:ascii="Palatino Linotype" w:hAnsi="Palatino Linotype" w:cs="Arial"/>
                <w:i/>
                <w:lang w:eastAsia="es-MX"/>
              </w:rPr>
            </w:pPr>
          </w:p>
        </w:tc>
        <w:tc>
          <w:tcPr>
            <w:tcW w:w="1988" w:type="dxa"/>
          </w:tcPr>
          <w:p w:rsidR="00880A06" w:rsidRDefault="00616063">
            <w:pPr>
              <w:jc w:val="center"/>
              <w:rPr>
                <w:rFonts w:ascii="Palatino Linotype" w:hAnsi="Palatino Linotype" w:cs="Arial"/>
                <w:i/>
                <w:lang w:eastAsia="es-MX"/>
              </w:rPr>
            </w:pPr>
            <w:r>
              <w:rPr>
                <w:rFonts w:ascii="Palatino Linotype" w:eastAsiaTheme="minorHAnsi" w:hAnsi="Palatino Linotype" w:cs="Arial"/>
                <w:i/>
                <w:sz w:val="22"/>
                <w:szCs w:val="22"/>
                <w:lang w:eastAsia="es-MX"/>
              </w:rPr>
              <w:t>Fundamento legal</w:t>
            </w:r>
          </w:p>
        </w:tc>
        <w:tc>
          <w:tcPr>
            <w:tcW w:w="4534" w:type="dxa"/>
          </w:tcPr>
          <w:p w:rsidR="00880A06" w:rsidRDefault="00616063">
            <w:pPr>
              <w:jc w:val="both"/>
              <w:rPr>
                <w:rFonts w:ascii="Palatino Linotype" w:hAnsi="Palatino Linotype" w:cs="Arial"/>
                <w:i/>
                <w:lang w:eastAsia="es-MX"/>
              </w:rPr>
            </w:pPr>
            <w:r>
              <w:rPr>
                <w:rFonts w:ascii="Palatino Linotype" w:eastAsiaTheme="minorHAnsi" w:hAnsi="Palatino Linotype" w:cs="Arial"/>
                <w:i/>
                <w:sz w:val="22"/>
                <w:szCs w:val="22"/>
                <w:lang w:eastAsia="es-MX"/>
              </w:rPr>
              <w:t>Se señalará el nombre del ordenamiento, el o los artículos, fracción(es), párrafo(s) con base en los cuales se sustente la confidencialidad.</w:t>
            </w:r>
          </w:p>
        </w:tc>
      </w:tr>
      <w:tr w:rsidR="00880A06">
        <w:trPr>
          <w:jc w:val="center"/>
        </w:trPr>
        <w:tc>
          <w:tcPr>
            <w:tcW w:w="1128" w:type="dxa"/>
            <w:vMerge/>
          </w:tcPr>
          <w:p w:rsidR="00880A06" w:rsidRDefault="00880A06">
            <w:pPr>
              <w:jc w:val="both"/>
              <w:rPr>
                <w:rFonts w:ascii="Palatino Linotype" w:hAnsi="Palatino Linotype" w:cs="Arial"/>
                <w:i/>
                <w:lang w:eastAsia="es-MX"/>
              </w:rPr>
            </w:pPr>
          </w:p>
        </w:tc>
        <w:tc>
          <w:tcPr>
            <w:tcW w:w="1988" w:type="dxa"/>
          </w:tcPr>
          <w:p w:rsidR="00880A06" w:rsidRDefault="00616063">
            <w:pPr>
              <w:jc w:val="center"/>
              <w:rPr>
                <w:rFonts w:ascii="Palatino Linotype" w:hAnsi="Palatino Linotype" w:cs="Arial"/>
                <w:i/>
                <w:lang w:eastAsia="es-MX"/>
              </w:rPr>
            </w:pPr>
            <w:r>
              <w:rPr>
                <w:rFonts w:ascii="Palatino Linotype" w:eastAsiaTheme="minorHAnsi" w:hAnsi="Palatino Linotype" w:cs="Arial"/>
                <w:i/>
                <w:sz w:val="22"/>
                <w:szCs w:val="22"/>
                <w:lang w:eastAsia="es-MX"/>
              </w:rPr>
              <w:t>Rúbrica del titular del área</w:t>
            </w:r>
          </w:p>
        </w:tc>
        <w:tc>
          <w:tcPr>
            <w:tcW w:w="4534" w:type="dxa"/>
          </w:tcPr>
          <w:p w:rsidR="00880A06" w:rsidRDefault="00616063">
            <w:pPr>
              <w:jc w:val="both"/>
              <w:rPr>
                <w:rFonts w:ascii="Palatino Linotype" w:hAnsi="Palatino Linotype" w:cs="Arial"/>
                <w:i/>
                <w:lang w:eastAsia="es-MX"/>
              </w:rPr>
            </w:pPr>
            <w:r>
              <w:rPr>
                <w:rFonts w:ascii="Palatino Linotype" w:eastAsiaTheme="minorHAnsi" w:hAnsi="Palatino Linotype" w:cs="Arial"/>
                <w:i/>
                <w:sz w:val="22"/>
                <w:szCs w:val="22"/>
                <w:lang w:eastAsia="es-MX"/>
              </w:rPr>
              <w:t>Rúbrica autógrafa de quien</w:t>
            </w:r>
            <w:r>
              <w:rPr>
                <w:rFonts w:ascii="Palatino Linotype" w:eastAsiaTheme="minorHAnsi" w:hAnsi="Palatino Linotype" w:cs="Arial"/>
                <w:i/>
                <w:sz w:val="22"/>
                <w:szCs w:val="22"/>
                <w:lang w:eastAsia="es-MX"/>
              </w:rPr>
              <w:t xml:space="preserve"> clasifica.</w:t>
            </w:r>
          </w:p>
        </w:tc>
      </w:tr>
      <w:tr w:rsidR="00880A06">
        <w:trPr>
          <w:jc w:val="center"/>
        </w:trPr>
        <w:tc>
          <w:tcPr>
            <w:tcW w:w="1128" w:type="dxa"/>
            <w:vMerge/>
          </w:tcPr>
          <w:p w:rsidR="00880A06" w:rsidRDefault="00880A06">
            <w:pPr>
              <w:jc w:val="both"/>
              <w:rPr>
                <w:rFonts w:ascii="Palatino Linotype" w:hAnsi="Palatino Linotype" w:cs="Arial"/>
                <w:i/>
                <w:lang w:eastAsia="es-MX"/>
              </w:rPr>
            </w:pPr>
          </w:p>
        </w:tc>
        <w:tc>
          <w:tcPr>
            <w:tcW w:w="1988" w:type="dxa"/>
          </w:tcPr>
          <w:p w:rsidR="00880A06" w:rsidRDefault="00616063">
            <w:pPr>
              <w:jc w:val="center"/>
              <w:rPr>
                <w:rFonts w:ascii="Palatino Linotype" w:hAnsi="Palatino Linotype" w:cs="Arial"/>
                <w:i/>
                <w:lang w:eastAsia="es-MX"/>
              </w:rPr>
            </w:pPr>
            <w:r>
              <w:rPr>
                <w:rFonts w:ascii="Palatino Linotype" w:eastAsiaTheme="minorHAnsi" w:hAnsi="Palatino Linotype" w:cs="Arial"/>
                <w:i/>
                <w:sz w:val="22"/>
                <w:szCs w:val="22"/>
                <w:lang w:eastAsia="es-MX"/>
              </w:rPr>
              <w:t>Fecha de desclasificación</w:t>
            </w:r>
          </w:p>
        </w:tc>
        <w:tc>
          <w:tcPr>
            <w:tcW w:w="4534" w:type="dxa"/>
          </w:tcPr>
          <w:p w:rsidR="00880A06" w:rsidRDefault="00616063">
            <w:pPr>
              <w:jc w:val="both"/>
              <w:rPr>
                <w:rFonts w:ascii="Palatino Linotype" w:hAnsi="Palatino Linotype" w:cs="Arial"/>
                <w:i/>
                <w:lang w:eastAsia="es-MX"/>
              </w:rPr>
            </w:pPr>
            <w:r>
              <w:rPr>
                <w:rFonts w:ascii="Palatino Linotype" w:eastAsiaTheme="minorHAnsi" w:hAnsi="Palatino Linotype" w:cs="Arial"/>
                <w:i/>
                <w:sz w:val="22"/>
                <w:szCs w:val="22"/>
                <w:lang w:eastAsia="es-MX"/>
              </w:rPr>
              <w:t>Se anotará la fecha en que se desclasifica el documento.</w:t>
            </w:r>
          </w:p>
        </w:tc>
      </w:tr>
      <w:tr w:rsidR="00880A06">
        <w:trPr>
          <w:jc w:val="center"/>
        </w:trPr>
        <w:tc>
          <w:tcPr>
            <w:tcW w:w="1128" w:type="dxa"/>
            <w:vMerge/>
          </w:tcPr>
          <w:p w:rsidR="00880A06" w:rsidRDefault="00880A06">
            <w:pPr>
              <w:jc w:val="both"/>
              <w:rPr>
                <w:rFonts w:ascii="Palatino Linotype" w:hAnsi="Palatino Linotype" w:cs="Arial"/>
                <w:i/>
                <w:lang w:eastAsia="es-MX"/>
              </w:rPr>
            </w:pPr>
          </w:p>
        </w:tc>
        <w:tc>
          <w:tcPr>
            <w:tcW w:w="1988" w:type="dxa"/>
          </w:tcPr>
          <w:p w:rsidR="00880A06" w:rsidRDefault="00616063">
            <w:pPr>
              <w:jc w:val="center"/>
              <w:rPr>
                <w:rFonts w:ascii="Palatino Linotype" w:hAnsi="Palatino Linotype" w:cs="Arial"/>
                <w:i/>
                <w:lang w:eastAsia="es-MX"/>
              </w:rPr>
            </w:pPr>
            <w:r>
              <w:rPr>
                <w:rFonts w:ascii="Palatino Linotype" w:eastAsiaTheme="minorHAnsi" w:hAnsi="Palatino Linotype" w:cs="Arial"/>
                <w:i/>
                <w:sz w:val="22"/>
                <w:szCs w:val="22"/>
                <w:lang w:eastAsia="es-MX"/>
              </w:rPr>
              <w:t>Rúbrica y cargo del servidor público</w:t>
            </w:r>
          </w:p>
        </w:tc>
        <w:tc>
          <w:tcPr>
            <w:tcW w:w="4534" w:type="dxa"/>
            <w:vAlign w:val="center"/>
          </w:tcPr>
          <w:p w:rsidR="00880A06" w:rsidRDefault="00616063">
            <w:pPr>
              <w:rPr>
                <w:rFonts w:ascii="Palatino Linotype" w:hAnsi="Palatino Linotype" w:cs="Arial"/>
                <w:i/>
                <w:lang w:eastAsia="es-MX"/>
              </w:rPr>
            </w:pPr>
            <w:r>
              <w:rPr>
                <w:rFonts w:ascii="Palatino Linotype" w:eastAsiaTheme="minorHAnsi" w:hAnsi="Palatino Linotype" w:cs="Arial"/>
                <w:i/>
                <w:sz w:val="22"/>
                <w:szCs w:val="22"/>
                <w:lang w:eastAsia="es-MX"/>
              </w:rPr>
              <w:t>Rúbrica autógrafa de quien desclasifica.</w:t>
            </w:r>
          </w:p>
        </w:tc>
      </w:tr>
    </w:tbl>
    <w:p w:rsidR="00880A06" w:rsidRDefault="00616063">
      <w:pPr>
        <w:ind w:left="709" w:right="709"/>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880A06" w:rsidRDefault="00616063">
      <w:pPr>
        <w:spacing w:beforeAutospacing="1" w:afterAutospacing="1" w:line="360" w:lineRule="auto"/>
        <w:jc w:val="both"/>
        <w:rPr>
          <w:rFonts w:ascii="Palatino Linotype" w:hAnsi="Palatino Linotype"/>
        </w:rPr>
      </w:pPr>
      <w:r>
        <w:rPr>
          <w:rFonts w:ascii="Palatino Linotype" w:eastAsia="Calibri" w:hAnsi="Palatino Linotype"/>
          <w:szCs w:val="22"/>
          <w:lang w:eastAsia="en-US"/>
        </w:rPr>
        <w:t xml:space="preserve">En mérito de lo expuesto, este Instituto estima que lo procedente es ordenar al </w:t>
      </w:r>
      <w:r>
        <w:rPr>
          <w:rFonts w:ascii="Palatino Linotype" w:eastAsia="Calibri" w:hAnsi="Palatino Linotype"/>
          <w:b/>
          <w:szCs w:val="22"/>
          <w:lang w:eastAsia="en-US"/>
        </w:rPr>
        <w:t>SUJETO OBLIGADO</w:t>
      </w:r>
      <w:r>
        <w:rPr>
          <w:rFonts w:ascii="Palatino Linotype" w:eastAsia="Calibri" w:hAnsi="Palatino Linotype"/>
          <w:szCs w:val="22"/>
          <w:lang w:eastAsia="en-US"/>
        </w:rPr>
        <w:t xml:space="preserve"> haga entrega de la expresión documental donde conste el saldo promedio mensual, el tipo de tasa e interés mensual, respecto de la cuenta de cheques con el Banco</w:t>
      </w:r>
      <w:r>
        <w:rPr>
          <w:rFonts w:ascii="Palatino Linotype" w:eastAsia="Calibri" w:hAnsi="Palatino Linotype"/>
          <w:szCs w:val="22"/>
          <w:lang w:eastAsia="en-US"/>
        </w:rPr>
        <w:t xml:space="preserve"> Santander; así como, los documentos donde conste el saldo promedio mensual de las cuentas de inversión del Instituto, por el periodo que comprende del 1 de enero de 2019 al 31 de enero de 2020 y la fecha exacta de antigüedad de las cuentas de inversión de</w:t>
      </w:r>
      <w:r>
        <w:rPr>
          <w:rFonts w:ascii="Palatino Linotype" w:eastAsia="Calibri" w:hAnsi="Palatino Linotype"/>
          <w:szCs w:val="22"/>
          <w:lang w:eastAsia="en-US"/>
        </w:rPr>
        <w:t>l Instituto, al 26 de febrero de 2020;</w:t>
      </w:r>
      <w:r>
        <w:rPr>
          <w:rFonts w:ascii="Palatino Linotype" w:hAnsi="Palatino Linotype"/>
        </w:rPr>
        <w:t xml:space="preserve"> en </w:t>
      </w:r>
      <w:r>
        <w:rPr>
          <w:rFonts w:ascii="Palatino Linotype" w:hAnsi="Palatino Linotype"/>
          <w:b/>
        </w:rPr>
        <w:t>versión pública</w:t>
      </w:r>
      <w:r>
        <w:rPr>
          <w:rFonts w:ascii="Palatino Linotype" w:hAnsi="Palatino Linotype"/>
        </w:rPr>
        <w:t xml:space="preserve"> de ser procedente.</w:t>
      </w:r>
    </w:p>
    <w:p w:rsidR="00880A06" w:rsidRDefault="00616063">
      <w:pPr>
        <w:widowControl w:val="0"/>
        <w:tabs>
          <w:tab w:val="left" w:pos="1701"/>
          <w:tab w:val="left" w:pos="1843"/>
        </w:tabs>
        <w:spacing w:before="360" w:after="240" w:line="360" w:lineRule="auto"/>
        <w:jc w:val="both"/>
        <w:rPr>
          <w:rFonts w:ascii="Palatino Linotype" w:eastAsia="Calibri" w:hAnsi="Palatino Linotype" w:cs="Arial"/>
        </w:rPr>
      </w:pPr>
      <w:r>
        <w:rPr>
          <w:rFonts w:ascii="Palatino Linotype" w:eastAsia="Calibri" w:hAnsi="Palatino Linotype" w:cs="Arial"/>
        </w:rPr>
        <w:t xml:space="preserve">Consecuentemente, esta Autoridad estima que las razones o motivos de inconformidad hechos valer por </w:t>
      </w:r>
      <w:r>
        <w:rPr>
          <w:rFonts w:ascii="Palatino Linotype" w:eastAsia="Calibri" w:hAnsi="Palatino Linotype" w:cs="Arial"/>
          <w:b/>
        </w:rPr>
        <w:t>EL RECURRENTE</w:t>
      </w:r>
      <w:r>
        <w:rPr>
          <w:rFonts w:ascii="Palatino Linotype" w:eastAsia="Calibri" w:hAnsi="Palatino Linotype" w:cs="Arial"/>
        </w:rPr>
        <w:t xml:space="preserve"> devienen </w:t>
      </w:r>
      <w:r>
        <w:rPr>
          <w:rFonts w:ascii="Palatino Linotype" w:eastAsia="Calibri" w:hAnsi="Palatino Linotype" w:cs="Arial"/>
          <w:b/>
        </w:rPr>
        <w:t>parcialmente fundados</w:t>
      </w:r>
      <w:r>
        <w:rPr>
          <w:rFonts w:ascii="Palatino Linotype" w:eastAsia="Calibri" w:hAnsi="Palatino Linotype" w:cs="Arial"/>
        </w:rPr>
        <w:t xml:space="preserve">; por lo que, lo procedente es </w:t>
      </w:r>
      <w:r>
        <w:rPr>
          <w:rFonts w:ascii="Palatino Linotype" w:eastAsia="Calibri" w:hAnsi="Palatino Linotype" w:cs="Arial"/>
          <w:b/>
        </w:rPr>
        <w:t>MODI</w:t>
      </w:r>
      <w:r>
        <w:rPr>
          <w:rFonts w:ascii="Palatino Linotype" w:eastAsia="Calibri" w:hAnsi="Palatino Linotype" w:cs="Arial"/>
          <w:b/>
        </w:rPr>
        <w:t>FICAR</w:t>
      </w:r>
      <w:r>
        <w:rPr>
          <w:rFonts w:ascii="Palatino Linotype" w:eastAsia="Calibri" w:hAnsi="Palatino Linotype" w:cs="Arial"/>
        </w:rPr>
        <w:t xml:space="preserve"> la respuesta del </w:t>
      </w:r>
      <w:r>
        <w:rPr>
          <w:rFonts w:ascii="Palatino Linotype" w:eastAsia="Calibri" w:hAnsi="Palatino Linotype" w:cs="Arial"/>
          <w:b/>
        </w:rPr>
        <w:t xml:space="preserve">SUJETO OBLIGADO </w:t>
      </w:r>
      <w:r>
        <w:rPr>
          <w:rFonts w:ascii="Palatino Linotype" w:eastAsia="Calibri" w:hAnsi="Palatino Linotype" w:cs="Arial"/>
        </w:rPr>
        <w:t>y ordenar la entrega de la información referida en el presente Considerando.</w:t>
      </w:r>
    </w:p>
    <w:p w:rsidR="00880A06" w:rsidRDefault="00616063">
      <w:pPr>
        <w:widowControl w:val="0"/>
        <w:tabs>
          <w:tab w:val="left" w:pos="1276"/>
        </w:tabs>
        <w:spacing w:before="240" w:afterAutospacing="1" w:line="360" w:lineRule="auto"/>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 xml:space="preserve">párrafos vigésimo segundo, vigésimo tercero y vigésimo </w:t>
      </w:r>
      <w:r>
        <w:rPr>
          <w:rFonts w:ascii="Palatino Linotype" w:hAnsi="Palatino Linotype" w:cs="Arial"/>
        </w:rPr>
        <w:t>cuarto,</w:t>
      </w:r>
      <w:r>
        <w:rPr>
          <w:rFonts w:ascii="Palatino Linotype" w:hAnsi="Palatino Linotype"/>
        </w:rPr>
        <w:t xml:space="preserve"> </w:t>
      </w:r>
      <w:r>
        <w:rPr>
          <w:rFonts w:ascii="Palatino Linotype" w:hAnsi="Palatino Linotype" w:cs="Arial"/>
        </w:rPr>
        <w:t>fracciones</w:t>
      </w:r>
      <w:r>
        <w:rPr>
          <w:rFonts w:ascii="Palatino Linotype" w:hAnsi="Palatino Linotype"/>
        </w:rPr>
        <w:t xml:space="preserve"> IV y V,</w:t>
      </w:r>
      <w:r>
        <w:rPr>
          <w:rFonts w:ascii="Palatino Linotype" w:eastAsia="Calibri" w:hAnsi="Palatino Linotype" w:cs="Arial"/>
        </w:rPr>
        <w:t xml:space="preserve"> de</w:t>
      </w:r>
      <w:r>
        <w:rPr>
          <w:rFonts w:ascii="Palatino Linotype" w:eastAsia="Calibri" w:hAnsi="Palatino Linotype" w:cs="Arial"/>
        </w:rPr>
        <w:t xml:space="preserve"> la Constitución Política del </w:t>
      </w:r>
      <w:r>
        <w:rPr>
          <w:rFonts w:ascii="Palatino Linotype" w:eastAsia="Calibri" w:hAnsi="Palatino Linotype" w:cs="Arial"/>
        </w:rPr>
        <w:lastRenderedPageBreak/>
        <w:t xml:space="preserve">Estado Libre y Soberano de México,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36, fracciones I y II, 176, 178, 179, 181, 185, fracción I, 186, 188 y 192, fracción III</w:t>
      </w:r>
      <w:r>
        <w:rPr>
          <w:rFonts w:ascii="Palatino Linotype" w:eastAsia="Calibri" w:hAnsi="Palatino Linotype" w:cs="Arial"/>
        </w:rPr>
        <w:t xml:space="preserve"> de la Ley de Transparencia y Acceso a la Información Pública de</w:t>
      </w:r>
      <w:r>
        <w:rPr>
          <w:rFonts w:ascii="Palatino Linotype" w:eastAsia="Calibri" w:hAnsi="Palatino Linotype" w:cs="Arial"/>
        </w:rPr>
        <w:t xml:space="preserv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rsidR="00880A06" w:rsidRDefault="00616063">
      <w:pPr>
        <w:spacing w:before="240" w:afterAutospacing="1" w:line="360" w:lineRule="auto"/>
        <w:jc w:val="center"/>
        <w:rPr>
          <w:rFonts w:ascii="Palatino Linotype" w:hAnsi="Palatino Linotype"/>
          <w:b/>
          <w:bCs/>
          <w:spacing w:val="60"/>
          <w:sz w:val="28"/>
        </w:rPr>
      </w:pPr>
      <w:r>
        <w:rPr>
          <w:rFonts w:ascii="Palatino Linotype" w:hAnsi="Palatino Linotype"/>
          <w:b/>
          <w:bCs/>
          <w:spacing w:val="60"/>
          <w:sz w:val="28"/>
        </w:rPr>
        <w:t>RESUELVE</w:t>
      </w:r>
    </w:p>
    <w:p w:rsidR="00880A06" w:rsidRDefault="00616063">
      <w:pPr>
        <w:widowControl w:val="0"/>
        <w:numPr>
          <w:ilvl w:val="0"/>
          <w:numId w:val="3"/>
        </w:numPr>
        <w:tabs>
          <w:tab w:val="left" w:pos="1701"/>
        </w:tabs>
        <w:spacing w:before="240" w:line="360" w:lineRule="auto"/>
        <w:ind w:left="0" w:firstLine="0"/>
        <w:jc w:val="both"/>
        <w:rPr>
          <w:rFonts w:ascii="Palatino Linotype" w:hAnsi="Palatino Linotype" w:cs="Arial"/>
        </w:rPr>
      </w:pPr>
      <w:r>
        <w:rPr>
          <w:rFonts w:ascii="Palatino Linotype" w:hAnsi="Palatino Linotype" w:cs="Arial"/>
        </w:rPr>
        <w:t xml:space="preserve">Resultan </w:t>
      </w:r>
      <w:r>
        <w:rPr>
          <w:rFonts w:ascii="Palatino Linotype" w:hAnsi="Palatino Linotype" w:cs="Arial"/>
          <w:b/>
        </w:rPr>
        <w:t>parcialmente 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hAnsi="Palatino Linotype"/>
          <w:b/>
        </w:rPr>
        <w:t>EL</w:t>
      </w:r>
      <w:r>
        <w:rPr>
          <w:rFonts w:ascii="Palatino Linotype" w:hAnsi="Palatino Linotype" w:cs="Arial"/>
          <w:b/>
        </w:rPr>
        <w:t xml:space="preserve"> RECURRENTE,</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880A06" w:rsidRDefault="00616063">
      <w:pPr>
        <w:widowControl w:val="0"/>
        <w:numPr>
          <w:ilvl w:val="0"/>
          <w:numId w:val="3"/>
        </w:numPr>
        <w:tabs>
          <w:tab w:val="left" w:pos="1701"/>
        </w:tabs>
        <w:spacing w:before="240" w:afterAutospacing="1" w:line="360" w:lineRule="auto"/>
        <w:ind w:left="0" w:firstLine="0"/>
        <w:jc w:val="both"/>
        <w:rPr>
          <w:rFonts w:ascii="Palatino Linotype" w:hAnsi="Palatino Linotype"/>
        </w:rPr>
      </w:pPr>
      <w:r>
        <w:rPr>
          <w:rFonts w:ascii="Palatino Linotype" w:hAnsi="Palatino Linotype" w:cs="Arial"/>
        </w:rPr>
        <w:t xml:space="preserve">Se </w:t>
      </w:r>
      <w:r>
        <w:rPr>
          <w:rFonts w:ascii="Palatino Linotype" w:hAnsi="Palatino Linotype" w:cs="Arial"/>
          <w:b/>
        </w:rPr>
        <w:t xml:space="preserve">MODIFICA </w:t>
      </w:r>
      <w:r>
        <w:rPr>
          <w:rFonts w:ascii="Palatino Linotype" w:hAnsi="Palatino Linotype" w:cs="Arial"/>
        </w:rPr>
        <w:t xml:space="preserve">la respuesta del </w:t>
      </w:r>
      <w:r>
        <w:rPr>
          <w:rFonts w:ascii="Palatino Linotype" w:hAnsi="Palatino Linotype" w:cs="Arial"/>
          <w:b/>
        </w:rPr>
        <w:t xml:space="preserve">SUJETO </w:t>
      </w:r>
      <w:r>
        <w:rPr>
          <w:rFonts w:ascii="Palatino Linotype" w:hAnsi="Palatino Linotype" w:cs="Arial"/>
          <w:b/>
        </w:rPr>
        <w:t>OBLIGADO</w:t>
      </w:r>
      <w:r>
        <w:rPr>
          <w:rFonts w:ascii="Palatino Linotype" w:hAnsi="Palatino Linotype" w:cs="Arial"/>
        </w:rPr>
        <w:t xml:space="preserve"> y se </w:t>
      </w:r>
      <w:r>
        <w:rPr>
          <w:rFonts w:ascii="Palatino Linotype" w:hAnsi="Palatino Linotype" w:cs="Arial"/>
          <w:b/>
        </w:rPr>
        <w:t>ordena</w:t>
      </w:r>
      <w:r>
        <w:rPr>
          <w:rFonts w:ascii="Palatino Linotype" w:hAnsi="Palatino Linotype" w:cs="Arial"/>
        </w:rPr>
        <w:t xml:space="preserve"> atienda la solicitud de información pública </w:t>
      </w:r>
      <w:r>
        <w:rPr>
          <w:rFonts w:ascii="Palatino Linotype" w:hAnsi="Palatino Linotype" w:cs="Arial"/>
          <w:b/>
          <w:bCs/>
        </w:rPr>
        <w:t xml:space="preserve">00020/IMIEM/IP/2020, </w:t>
      </w:r>
      <w:r>
        <w:rPr>
          <w:rFonts w:ascii="Palatino Linotype" w:hAnsi="Palatino Linotype" w:cs="Arial"/>
          <w:bCs/>
        </w:rPr>
        <w:t>y, haga entrega</w:t>
      </w:r>
      <w:r>
        <w:rPr>
          <w:rFonts w:ascii="Palatino Linotype" w:hAnsi="Palatino Linotype" w:cs="Arial"/>
          <w:b/>
          <w:bCs/>
        </w:rPr>
        <w:t xml:space="preserve"> </w:t>
      </w:r>
      <w:r>
        <w:rPr>
          <w:rFonts w:ascii="Palatino Linotype" w:hAnsi="Palatino Linotype" w:cs="Arial"/>
        </w:rPr>
        <w:t xml:space="preserve">al </w:t>
      </w:r>
      <w:r>
        <w:rPr>
          <w:rFonts w:ascii="Palatino Linotype" w:hAnsi="Palatino Linotype" w:cs="Arial"/>
          <w:b/>
        </w:rPr>
        <w:t>RECURRENTE</w:t>
      </w:r>
      <w:r>
        <w:rPr>
          <w:rFonts w:ascii="Palatino Linotype" w:hAnsi="Palatino Linotype" w:cs="Arial"/>
        </w:rPr>
        <w:t xml:space="preserve">, en versión pública de ser procedente, vía </w:t>
      </w:r>
      <w:r>
        <w:rPr>
          <w:rFonts w:ascii="Palatino Linotype" w:hAnsi="Palatino Linotype" w:cs="Arial"/>
          <w:b/>
        </w:rPr>
        <w:t xml:space="preserve">SAIMEX </w:t>
      </w:r>
      <w:r>
        <w:rPr>
          <w:rFonts w:ascii="Palatino Linotype" w:hAnsi="Palatino Linotype" w:cs="Arial"/>
        </w:rPr>
        <w:t xml:space="preserve">y correo electrónico, en </w:t>
      </w:r>
      <w:r>
        <w:rPr>
          <w:rFonts w:ascii="Palatino Linotype" w:hAnsi="Palatino Linotype"/>
          <w:szCs w:val="17"/>
          <w:lang w:eastAsia="es-ES_tradnl"/>
        </w:rPr>
        <w:t>términos</w:t>
      </w:r>
      <w:r>
        <w:rPr>
          <w:rFonts w:ascii="Palatino Linotype" w:hAnsi="Palatino Linotype" w:cs="Arial"/>
        </w:rPr>
        <w:t xml:space="preserve"> del Considerando </w:t>
      </w:r>
      <w:r>
        <w:rPr>
          <w:rFonts w:ascii="Palatino Linotype" w:hAnsi="Palatino Linotype" w:cs="Arial"/>
          <w:b/>
        </w:rPr>
        <w:t>QUINTO</w:t>
      </w:r>
      <w:r>
        <w:rPr>
          <w:rFonts w:ascii="Palatino Linotype" w:hAnsi="Palatino Linotype" w:cs="Arial"/>
        </w:rPr>
        <w:t xml:space="preserve"> </w:t>
      </w:r>
      <w:r>
        <w:rPr>
          <w:rFonts w:ascii="Palatino Linotype" w:hAnsi="Palatino Linotype"/>
        </w:rPr>
        <w:t>de la presente resolución, de lo</w:t>
      </w:r>
      <w:r>
        <w:rPr>
          <w:rFonts w:ascii="Palatino Linotype" w:hAnsi="Palatino Linotype"/>
        </w:rPr>
        <w:t xml:space="preserve">s documentos donde conste lo siguiente: </w:t>
      </w:r>
    </w:p>
    <w:p w:rsidR="00880A06" w:rsidRDefault="00616063">
      <w:pPr>
        <w:ind w:left="851" w:right="902" w:hanging="14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“a)</w:t>
      </w:r>
      <w:r>
        <w:t xml:space="preserve"> </w:t>
      </w:r>
      <w:r>
        <w:rPr>
          <w:rFonts w:ascii="Palatino Linotype" w:hAnsi="Palatino Linotype"/>
          <w:i/>
          <w:iCs/>
          <w:color w:val="000000" w:themeColor="text1"/>
          <w:sz w:val="22"/>
          <w:szCs w:val="22"/>
          <w:lang w:eastAsia="es-MX"/>
        </w:rPr>
        <w:t>El saldo promedio mensual de las cuentas de cheques del Instituto Materno Infantil del Estado de México, por el periodo que comprende del 1 de enero de 2019 al 31 de enero de 2020;</w:t>
      </w:r>
    </w:p>
    <w:p w:rsidR="00880A06" w:rsidRDefault="00616063">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b) El tipo de tasa e interés </w:t>
      </w:r>
      <w:r>
        <w:rPr>
          <w:rFonts w:ascii="Palatino Linotype" w:hAnsi="Palatino Linotype"/>
          <w:i/>
          <w:iCs/>
          <w:color w:val="000000" w:themeColor="text1"/>
          <w:sz w:val="22"/>
          <w:szCs w:val="22"/>
          <w:lang w:eastAsia="es-MX"/>
        </w:rPr>
        <w:t>mensual de la cuenta de Santander, referida en la respuesta; por el periodo que comprende del 1 de enero de 2019 al 31 de enero de 2020;</w:t>
      </w:r>
    </w:p>
    <w:p w:rsidR="00880A06" w:rsidRDefault="00616063">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c) El saldo promedio mensual de las cuentas de inversión del Instituto Materno Infantil del Estado de México, por el pe</w:t>
      </w:r>
      <w:r>
        <w:rPr>
          <w:rFonts w:ascii="Palatino Linotype" w:hAnsi="Palatino Linotype"/>
          <w:i/>
          <w:iCs/>
          <w:color w:val="000000" w:themeColor="text1"/>
          <w:sz w:val="22"/>
          <w:szCs w:val="22"/>
          <w:lang w:eastAsia="es-MX"/>
        </w:rPr>
        <w:t>riodo que comprende del 1 de enero de 2019 al 31 de enero de 2020; y,</w:t>
      </w:r>
    </w:p>
    <w:p w:rsidR="00880A06" w:rsidRDefault="00616063">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d) La fecha exacta de antigüedad de las cuentas de inversión del Instituto Materno Infantil del Estado de México, al 26 de febrero de 2020.</w:t>
      </w:r>
    </w:p>
    <w:p w:rsidR="00880A06" w:rsidRDefault="00880A06">
      <w:pPr>
        <w:ind w:left="851" w:right="902" w:hanging="142"/>
        <w:jc w:val="both"/>
        <w:rPr>
          <w:rFonts w:ascii="Palatino Linotype" w:hAnsi="Palatino Linotype"/>
          <w:i/>
          <w:iCs/>
          <w:color w:val="000000" w:themeColor="text1"/>
          <w:sz w:val="22"/>
          <w:szCs w:val="22"/>
          <w:lang w:eastAsia="es-MX"/>
        </w:rPr>
      </w:pPr>
    </w:p>
    <w:p w:rsidR="00880A06" w:rsidRDefault="00616063">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lastRenderedPageBreak/>
        <w:t xml:space="preserve">Debiendo notificar al </w:t>
      </w:r>
      <w:r>
        <w:rPr>
          <w:rFonts w:ascii="Palatino Linotype" w:hAnsi="Palatino Linotype"/>
          <w:b/>
          <w:i/>
          <w:iCs/>
          <w:color w:val="000000" w:themeColor="text1"/>
          <w:sz w:val="22"/>
          <w:szCs w:val="22"/>
          <w:lang w:eastAsia="es-MX"/>
        </w:rPr>
        <w:t>RECURRENTE</w:t>
      </w:r>
      <w:r>
        <w:rPr>
          <w:rFonts w:ascii="Palatino Linotype" w:hAnsi="Palatino Linotype"/>
          <w:i/>
          <w:iCs/>
          <w:color w:val="000000" w:themeColor="text1"/>
          <w:sz w:val="22"/>
          <w:szCs w:val="22"/>
          <w:lang w:eastAsia="es-MX"/>
        </w:rPr>
        <w:t xml:space="preserve"> el Acuerdo de Clasificación de la información que apruebe su Comité de Transparencia, con motivo de las versiones públicas.”</w:t>
      </w:r>
    </w:p>
    <w:p w:rsidR="00880A06" w:rsidRDefault="00880A06">
      <w:pPr>
        <w:ind w:right="902"/>
        <w:jc w:val="both"/>
        <w:rPr>
          <w:rFonts w:ascii="Palatino Linotype" w:hAnsi="Palatino Linotype"/>
          <w:i/>
          <w:iCs/>
          <w:color w:val="000000" w:themeColor="text1"/>
          <w:sz w:val="22"/>
          <w:szCs w:val="22"/>
          <w:lang w:eastAsia="es-MX"/>
        </w:rPr>
      </w:pPr>
    </w:p>
    <w:p w:rsidR="00880A06" w:rsidRDefault="00616063">
      <w:pPr>
        <w:widowControl w:val="0"/>
        <w:numPr>
          <w:ilvl w:val="0"/>
          <w:numId w:val="3"/>
        </w:numPr>
        <w:tabs>
          <w:tab w:val="left" w:pos="1701"/>
        </w:tabs>
        <w:spacing w:before="240" w:line="360" w:lineRule="auto"/>
        <w:ind w:left="0" w:firstLine="0"/>
        <w:jc w:val="both"/>
        <w:rPr>
          <w:rFonts w:ascii="Palatino Linotype" w:hAnsi="Palatino Linotype"/>
          <w:highlight w:val="white"/>
        </w:rPr>
      </w:pPr>
      <w:r>
        <w:rPr>
          <w:rFonts w:ascii="Palatino Linotype" w:hAnsi="Palatino Linotype"/>
          <w:b/>
          <w:szCs w:val="17"/>
          <w:lang w:eastAsia="es-ES_tradnl"/>
        </w:rPr>
        <w:t>Notifíquese</w:t>
      </w:r>
      <w:r>
        <w:rPr>
          <w:rFonts w:ascii="Palatino Linotype" w:hAnsi="Palatino Linotype"/>
          <w:szCs w:val="17"/>
          <w:lang w:eastAsia="es-ES_tradnl"/>
        </w:rPr>
        <w:t xml:space="preserve"> </w:t>
      </w:r>
      <w:r>
        <w:rPr>
          <w:rFonts w:ascii="Palatino Linotype" w:hAnsi="Palatino Linotype"/>
          <w:shd w:val="clear" w:color="auto" w:fill="FFFFFF"/>
        </w:rPr>
        <w:t xml:space="preserve">al </w:t>
      </w:r>
      <w:r>
        <w:rPr>
          <w:rFonts w:ascii="Palatino Linotype" w:hAnsi="Palatino Linotype" w:cs="Arial"/>
        </w:rPr>
        <w:t>Titular</w:t>
      </w:r>
      <w:r>
        <w:rPr>
          <w:rFonts w:ascii="Palatino Linotype" w:hAnsi="Palatino Linotype"/>
          <w:shd w:val="clear" w:color="auto" w:fill="FFFFFF"/>
        </w:rPr>
        <w:t xml:space="preserve"> de la Unidad de Transparencia del</w:t>
      </w:r>
      <w:r>
        <w:rPr>
          <w:rFonts w:ascii="Palatino Linotype" w:hAnsi="Palatino Linotype"/>
          <w:b/>
          <w:shd w:val="clear" w:color="auto" w:fill="FFFFFF"/>
        </w:rPr>
        <w:t xml:space="preserve"> SUJETO OBLIGADO</w:t>
      </w:r>
      <w:r>
        <w:rPr>
          <w:rFonts w:ascii="Palatino Linotype" w:hAnsi="Palatino Linotype"/>
          <w:shd w:val="clear" w:color="auto" w:fill="FFFFFF"/>
        </w:rPr>
        <w:t xml:space="preserve"> para que, </w:t>
      </w:r>
      <w:r>
        <w:rPr>
          <w:rFonts w:ascii="Palatino Linotype" w:hAnsi="Palatino Linotype" w:cs="Arial"/>
        </w:rPr>
        <w:t>conforme</w:t>
      </w:r>
      <w:r>
        <w:rPr>
          <w:rFonts w:ascii="Palatino Linotype" w:hAnsi="Palatino Linotype"/>
          <w:shd w:val="clear" w:color="auto" w:fill="FFFFFF"/>
        </w:rPr>
        <w:t xml:space="preserve"> a los artículos 186, último párrafo y</w:t>
      </w:r>
      <w:r>
        <w:rPr>
          <w:rFonts w:ascii="Palatino Linotype" w:hAnsi="Palatino Linotype"/>
          <w:shd w:val="clear" w:color="auto" w:fill="FFFFFF"/>
        </w:rPr>
        <w:t xml:space="preserve"> 189, párrafo segundo de la Ley de </w:t>
      </w:r>
      <w:r>
        <w:rPr>
          <w:rFonts w:ascii="Palatino Linotype" w:hAnsi="Palatino Linotype"/>
          <w:szCs w:val="17"/>
          <w:lang w:eastAsia="es-ES_tradnl"/>
        </w:rPr>
        <w:t>Transparencia</w:t>
      </w:r>
      <w:r>
        <w:rPr>
          <w:rFonts w:ascii="Palatino Linotype" w:hAnsi="Palatino Linotype"/>
          <w:shd w:val="clear" w:color="auto" w:fill="FFFFFF"/>
        </w:rPr>
        <w:t xml:space="preserve"> y </w:t>
      </w:r>
      <w:r>
        <w:rPr>
          <w:rFonts w:ascii="Palatino Linotype" w:hAnsi="Palatino Linotype" w:cs="Arial"/>
        </w:rPr>
        <w:t>Acceso</w:t>
      </w:r>
      <w:r>
        <w:rPr>
          <w:rFonts w:ascii="Palatino Linotype" w:hAnsi="Palatino Linotype"/>
          <w:shd w:val="clear" w:color="auto" w:fill="FFFFFF"/>
        </w:rPr>
        <w:t xml:space="preserve"> a la Información Pública del Estado de México y Municipios, dé </w:t>
      </w:r>
      <w:r>
        <w:rPr>
          <w:rFonts w:ascii="Palatino Linotype" w:hAnsi="Palatino Linotype" w:cs="Arial"/>
        </w:rPr>
        <w:t>cumplimiento</w:t>
      </w:r>
      <w:r>
        <w:rPr>
          <w:rFonts w:ascii="Palatino Linotype" w:hAnsi="Palatino Linotype"/>
          <w:shd w:val="clear" w:color="auto" w:fill="FFFFFF"/>
        </w:rPr>
        <w:t xml:space="preserve"> a lo ordenado dentro del plazo de diez días hábiles, debiendo informar a este Instituto en un plazo </w:t>
      </w:r>
      <w:r>
        <w:rPr>
          <w:rFonts w:ascii="Palatino Linotype" w:eastAsiaTheme="minorEastAsia" w:hAnsi="Palatino Linotype"/>
          <w:szCs w:val="17"/>
          <w:lang w:eastAsia="es-ES_tradnl"/>
        </w:rPr>
        <w:t>de</w:t>
      </w:r>
      <w:r>
        <w:rPr>
          <w:rFonts w:ascii="Palatino Linotype" w:hAnsi="Palatino Linotype"/>
          <w:shd w:val="clear" w:color="auto" w:fill="FFFFFF"/>
        </w:rPr>
        <w:t xml:space="preserve"> tres días hábiles s</w:t>
      </w:r>
      <w:r>
        <w:rPr>
          <w:rFonts w:ascii="Palatino Linotype" w:hAnsi="Palatino Linotype"/>
          <w:shd w:val="clear" w:color="auto" w:fill="FFFFFF"/>
        </w:rPr>
        <w:t>iguientes sobre el cumplimiento dado a la resolución.</w:t>
      </w:r>
    </w:p>
    <w:p w:rsidR="00880A06" w:rsidRDefault="00616063">
      <w:pPr>
        <w:widowControl w:val="0"/>
        <w:numPr>
          <w:ilvl w:val="0"/>
          <w:numId w:val="3"/>
        </w:numPr>
        <w:tabs>
          <w:tab w:val="left" w:pos="1701"/>
        </w:tabs>
        <w:spacing w:before="240" w:line="360" w:lineRule="auto"/>
        <w:ind w:left="0" w:firstLine="0"/>
        <w:jc w:val="both"/>
        <w:rPr>
          <w:rFonts w:ascii="Palatino Linotype" w:hAnsi="Palatino Linotype"/>
          <w:highlight w:val="white"/>
        </w:rPr>
      </w:pP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w:t>
      </w:r>
      <w:r>
        <w:rPr>
          <w:rFonts w:ascii="Palatino Linotype" w:hAnsi="Palatino Linotype"/>
          <w:szCs w:val="17"/>
          <w:lang w:eastAsia="es-ES_tradnl"/>
        </w:rPr>
        <w:t>ente resolución o hacerlo de manera parcial se actuará de conformidad con lo previsto en los artículos 213, 214, 216 y 217 de dicha Ley.</w:t>
      </w:r>
    </w:p>
    <w:p w:rsidR="00880A06" w:rsidRDefault="00616063">
      <w:pPr>
        <w:widowControl w:val="0"/>
        <w:numPr>
          <w:ilvl w:val="0"/>
          <w:numId w:val="3"/>
        </w:numPr>
        <w:tabs>
          <w:tab w:val="left" w:pos="1701"/>
        </w:tabs>
        <w:spacing w:before="240"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Notifíquese</w:t>
      </w:r>
      <w:r>
        <w:rPr>
          <w:rFonts w:ascii="Palatino Linotype" w:hAnsi="Palatino Linotype"/>
          <w:szCs w:val="17"/>
          <w:lang w:eastAsia="es-ES_tradnl"/>
        </w:rPr>
        <w:t xml:space="preserve"> al</w:t>
      </w:r>
      <w:r>
        <w:rPr>
          <w:rFonts w:ascii="Palatino Linotype" w:hAnsi="Palatino Linotype" w:cs="Arial"/>
          <w:b/>
        </w:rPr>
        <w:t xml:space="preserve"> RECURRENTE</w:t>
      </w:r>
      <w:r>
        <w:rPr>
          <w:rFonts w:ascii="Palatino Linotype" w:hAnsi="Palatino Linotype"/>
          <w:szCs w:val="17"/>
          <w:lang w:eastAsia="es-ES_tradnl"/>
        </w:rPr>
        <w:t xml:space="preserve"> la </w:t>
      </w:r>
      <w:r>
        <w:rPr>
          <w:rFonts w:ascii="Palatino Linotype" w:hAnsi="Palatino Linotype" w:cs="Arial"/>
        </w:rPr>
        <w:t>presente</w:t>
      </w:r>
      <w:r>
        <w:rPr>
          <w:rFonts w:ascii="Palatino Linotype" w:hAnsi="Palatino Linotype"/>
          <w:szCs w:val="17"/>
          <w:lang w:eastAsia="es-ES_tradnl"/>
        </w:rPr>
        <w:t xml:space="preserve"> </w:t>
      </w:r>
      <w:r>
        <w:rPr>
          <w:rFonts w:ascii="Palatino Linotype" w:hAnsi="Palatino Linotype"/>
          <w:shd w:val="clear" w:color="auto" w:fill="FFFFFF"/>
        </w:rPr>
        <w:t>resolución</w:t>
      </w:r>
      <w:r>
        <w:rPr>
          <w:rFonts w:ascii="Palatino Linotype" w:hAnsi="Palatino Linotype"/>
          <w:szCs w:val="17"/>
          <w:lang w:eastAsia="es-ES_tradnl"/>
        </w:rPr>
        <w:t>.</w:t>
      </w:r>
    </w:p>
    <w:p w:rsidR="00880A06" w:rsidRDefault="00616063">
      <w:pPr>
        <w:widowControl w:val="0"/>
        <w:numPr>
          <w:ilvl w:val="0"/>
          <w:numId w:val="3"/>
        </w:numPr>
        <w:tabs>
          <w:tab w:val="left" w:pos="1701"/>
        </w:tabs>
        <w:spacing w:before="240" w:afterAutospacing="1"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Hágase</w:t>
      </w:r>
      <w:r>
        <w:rPr>
          <w:rFonts w:ascii="Palatino Linotype" w:hAnsi="Palatino Linotype"/>
          <w:szCs w:val="17"/>
          <w:lang w:eastAsia="es-ES_tradnl"/>
        </w:rPr>
        <w:t xml:space="preserve"> </w:t>
      </w:r>
      <w:r>
        <w:rPr>
          <w:rFonts w:ascii="Palatino Linotype" w:hAnsi="Palatino Linotype"/>
          <w:b/>
          <w:szCs w:val="17"/>
          <w:lang w:eastAsia="es-ES_tradnl"/>
        </w:rPr>
        <w:t>del conocimiento</w:t>
      </w:r>
      <w:r>
        <w:rPr>
          <w:rFonts w:ascii="Palatino Linotype" w:hAnsi="Palatino Linotype"/>
          <w:szCs w:val="17"/>
          <w:lang w:eastAsia="es-ES_tradnl"/>
        </w:rPr>
        <w:t xml:space="preserve"> </w:t>
      </w:r>
      <w:r>
        <w:rPr>
          <w:rFonts w:ascii="Palatino Linotype" w:hAnsi="Palatino Linotype"/>
        </w:rPr>
        <w:t>del</w:t>
      </w:r>
      <w:r>
        <w:rPr>
          <w:rFonts w:ascii="Palatino Linotype" w:hAnsi="Palatino Linotype" w:cs="Arial"/>
          <w:b/>
        </w:rPr>
        <w:t xml:space="preserve"> RECURRENTE</w:t>
      </w:r>
      <w:r>
        <w:rPr>
          <w:rFonts w:ascii="Palatino Linotype" w:hAnsi="Palatino Linotype"/>
        </w:rPr>
        <w:t xml:space="preserve"> </w:t>
      </w:r>
      <w:r>
        <w:rPr>
          <w:rFonts w:ascii="Palatino Linotype" w:hAnsi="Palatino Linotype"/>
          <w:szCs w:val="17"/>
          <w:lang w:eastAsia="es-ES_tradnl"/>
        </w:rPr>
        <w:t xml:space="preserve">que, de conformidad </w:t>
      </w:r>
      <w:r>
        <w:rPr>
          <w:rFonts w:ascii="Palatino Linotype" w:hAnsi="Palatino Linotype" w:cs="Arial"/>
        </w:rPr>
        <w:t>con</w:t>
      </w:r>
      <w:r>
        <w:rPr>
          <w:rFonts w:ascii="Palatino Linotype" w:hAnsi="Palatino Linotype"/>
          <w:szCs w:val="17"/>
          <w:lang w:eastAsia="es-ES_tradnl"/>
        </w:rPr>
        <w:t xml:space="preserve"> lo </w:t>
      </w:r>
      <w:r>
        <w:rPr>
          <w:rFonts w:ascii="Palatino Linotype" w:hAnsi="Palatino Linotype" w:cs="Arial"/>
        </w:rPr>
        <w:t>establecido</w:t>
      </w:r>
      <w:r>
        <w:rPr>
          <w:rFonts w:ascii="Palatino Linotype" w:hAnsi="Palatino Linotype"/>
          <w:szCs w:val="17"/>
          <w:lang w:eastAsia="es-ES_tradnl"/>
        </w:rPr>
        <w:t xml:space="preserve"> en el artículo 196 de la Ley de </w:t>
      </w:r>
      <w:r>
        <w:rPr>
          <w:rFonts w:ascii="Palatino Linotype" w:hAnsi="Palatino Linotype" w:cs="Arial"/>
        </w:rPr>
        <w:t>Transparencia</w:t>
      </w:r>
      <w:r>
        <w:rPr>
          <w:rFonts w:ascii="Palatino Linotype" w:hAnsi="Palatino Linotype"/>
          <w:szCs w:val="17"/>
          <w:lang w:eastAsia="es-ES_tradnl"/>
        </w:rPr>
        <w:t xml:space="preserve"> y </w:t>
      </w:r>
      <w:r>
        <w:rPr>
          <w:rFonts w:ascii="Palatino Linotype" w:hAnsi="Palatino Linotype" w:cs="Arial"/>
        </w:rPr>
        <w:t>Acceso</w:t>
      </w:r>
      <w:r>
        <w:rPr>
          <w:rFonts w:ascii="Palatino Linotype" w:hAnsi="Palatino Linotype"/>
          <w:szCs w:val="17"/>
          <w:lang w:eastAsia="es-ES_tradnl"/>
        </w:rPr>
        <w:t xml:space="preserve"> a la Información </w:t>
      </w:r>
      <w:r>
        <w:rPr>
          <w:rFonts w:ascii="Palatino Linotype" w:hAnsi="Palatino Linotype"/>
          <w:lang w:eastAsia="es-ES_tradnl"/>
        </w:rPr>
        <w:t>Pública</w:t>
      </w:r>
      <w:r>
        <w:rPr>
          <w:rFonts w:ascii="Palatino Linotype" w:hAnsi="Palatino Linotype"/>
          <w:szCs w:val="17"/>
          <w:lang w:eastAsia="es-ES_tradnl"/>
        </w:rPr>
        <w:t xml:space="preserve"> del Estado de México y Municipios, podrá impugnarla vía Juicio de Amparo en los términos de las leyes aplicables.</w:t>
      </w:r>
    </w:p>
    <w:p w:rsidR="00880A06" w:rsidRDefault="00616063">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Se dejan a salvo los derechos del </w:t>
      </w:r>
      <w:r>
        <w:rPr>
          <w:rFonts w:ascii="Palatino Linotype" w:eastAsia="Calibri" w:hAnsi="Palatino Linotype"/>
          <w:b/>
          <w:szCs w:val="22"/>
          <w:lang w:eastAsia="en-US"/>
        </w:rPr>
        <w:t>RECURRENTE</w:t>
      </w:r>
      <w:r>
        <w:rPr>
          <w:rFonts w:ascii="Palatino Linotype" w:eastAsia="Calibri" w:hAnsi="Palatino Linotype"/>
          <w:szCs w:val="22"/>
          <w:lang w:eastAsia="en-US"/>
        </w:rPr>
        <w:t>, a ef</w:t>
      </w:r>
      <w:r>
        <w:rPr>
          <w:rFonts w:ascii="Palatino Linotype" w:eastAsia="Calibri" w:hAnsi="Palatino Linotype"/>
          <w:szCs w:val="22"/>
          <w:lang w:eastAsia="en-US"/>
        </w:rPr>
        <w:t>ecto de que de considerarlo pertinente realice las solicitudes de información que a su derecho convengan.</w:t>
      </w:r>
    </w:p>
    <w:p w:rsidR="00880A06" w:rsidRDefault="00616063">
      <w:pPr>
        <w:spacing w:beforeAutospacing="1" w:afterAutospacing="1" w:line="360" w:lineRule="auto"/>
        <w:jc w:val="both"/>
        <w:rPr>
          <w:rFonts w:ascii="Palatino Linotype" w:hAnsi="Palatino Linotype" w:cs="Arial"/>
        </w:rPr>
      </w:pPr>
      <w:r>
        <w:rPr>
          <w:rFonts w:ascii="Palatino Linotype" w:hAnsi="Palatino Linotype" w:cs="Arial"/>
        </w:rPr>
        <w:lastRenderedPageBreak/>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w:t>
      </w:r>
      <w:r>
        <w:rPr>
          <w:rFonts w:ascii="Palatino Linotype" w:eastAsia="Arial Unicode MS" w:hAnsi="Palatino Linotype" w:cs="Arial"/>
        </w:rPr>
        <w:t xml:space="preserve"> ESTADO DE MÉXICO Y MUNICIPIOS</w:t>
      </w:r>
      <w:r>
        <w:rPr>
          <w:rFonts w:ascii="Palatino Linotype" w:hAnsi="Palatino Linotype" w:cs="Arial"/>
        </w:rPr>
        <w:t>, CONFORMADO POR LOS COMISIONADOS ZULEMA MARTÍNEZ SÁNCHEZ; EVA ABAID YAPUR; JOSÉ GUADALUPE LUNA HERNÁNDEZ EMITIENDO VOTO PARTICULAR; JAVIER MARTÍNEZ CRUZ Y LUIS GUSTAVO PARRA NORIEGA EMITIENDO VOTO PARTICULAR; EN LA DÉCIMA CUA</w:t>
      </w:r>
      <w:r>
        <w:rPr>
          <w:rFonts w:ascii="Palatino Linotype" w:hAnsi="Palatino Linotype" w:cs="Arial"/>
        </w:rPr>
        <w:t>RTA SESIÓN ORDINARIA CELEBRADA EL DÍA DIECINUEVE DE AGOSTO DE DOS MIL VEINTE, ANTE EL SECRETARIO TÉCNICO DEL PLENO, ALEXIS TAPIA RAMÍREZ.</w:t>
      </w:r>
    </w:p>
    <w:tbl>
      <w:tblPr>
        <w:tblW w:w="9214" w:type="dxa"/>
        <w:jc w:val="center"/>
        <w:tblLook w:val="04A0" w:firstRow="1" w:lastRow="0" w:firstColumn="1" w:lastColumn="0" w:noHBand="0" w:noVBand="1"/>
      </w:tblPr>
      <w:tblGrid>
        <w:gridCol w:w="4758"/>
        <w:gridCol w:w="4456"/>
      </w:tblGrid>
      <w:tr w:rsidR="00880A06">
        <w:trPr>
          <w:jc w:val="center"/>
        </w:trPr>
        <w:tc>
          <w:tcPr>
            <w:tcW w:w="9213" w:type="dxa"/>
            <w:gridSpan w:val="2"/>
            <w:shd w:val="clear" w:color="auto" w:fill="auto"/>
          </w:tcPr>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616063">
            <w:pPr>
              <w:jc w:val="center"/>
              <w:rPr>
                <w:rFonts w:ascii="Palatino Linotype" w:hAnsi="Palatino Linotype" w:cs="Arial"/>
                <w:b/>
                <w:lang w:val="es-ES_tradnl"/>
              </w:rPr>
            </w:pPr>
            <w:r>
              <w:rPr>
                <w:rFonts w:ascii="Palatino Linotype" w:hAnsi="Palatino Linotype" w:cs="Arial"/>
                <w:b/>
                <w:lang w:val="es-ES_tradnl"/>
              </w:rPr>
              <w:t>Zulema Martínez Sánchez</w:t>
            </w:r>
          </w:p>
          <w:p w:rsidR="00880A06" w:rsidRDefault="00616063">
            <w:pPr>
              <w:jc w:val="center"/>
              <w:rPr>
                <w:rFonts w:ascii="Palatino Linotype" w:hAnsi="Palatino Linotype" w:cs="Arial"/>
                <w:b/>
                <w:lang w:val="es-ES_tradnl"/>
              </w:rPr>
            </w:pPr>
            <w:r>
              <w:rPr>
                <w:rFonts w:ascii="Palatino Linotype" w:hAnsi="Palatino Linotype" w:cs="Arial"/>
                <w:lang w:val="es-ES_tradnl"/>
              </w:rPr>
              <w:t>Comisionada Presidenta</w:t>
            </w:r>
          </w:p>
          <w:p w:rsidR="00880A06" w:rsidRDefault="00616063">
            <w:pPr>
              <w:jc w:val="center"/>
              <w:rPr>
                <w:rFonts w:ascii="Palatino Linotype" w:hAnsi="Palatino Linotype" w:cs="Arial"/>
                <w:b/>
                <w:lang w:val="es-ES_tradnl"/>
              </w:rPr>
            </w:pPr>
            <w:r>
              <w:rPr>
                <w:rFonts w:ascii="Palatino Linotype" w:hAnsi="Palatino Linotype" w:cs="Arial"/>
                <w:b/>
                <w:lang w:val="es-ES_tradnl"/>
              </w:rPr>
              <w:t>(RÚBRICA)</w:t>
            </w:r>
          </w:p>
        </w:tc>
      </w:tr>
      <w:tr w:rsidR="00880A06">
        <w:trPr>
          <w:jc w:val="center"/>
        </w:trPr>
        <w:tc>
          <w:tcPr>
            <w:tcW w:w="4757" w:type="dxa"/>
            <w:shd w:val="clear" w:color="auto" w:fill="auto"/>
          </w:tcPr>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616063">
            <w:pPr>
              <w:jc w:val="center"/>
              <w:rPr>
                <w:rFonts w:ascii="Palatino Linotype" w:hAnsi="Palatino Linotype" w:cs="Arial"/>
                <w:b/>
                <w:lang w:val="es-ES_tradnl"/>
              </w:rPr>
            </w:pPr>
            <w:r>
              <w:rPr>
                <w:rFonts w:ascii="Palatino Linotype" w:hAnsi="Palatino Linotype" w:cs="Arial"/>
                <w:b/>
                <w:lang w:val="es-ES_tradnl"/>
              </w:rPr>
              <w:t>Eva Abaid Yapur</w:t>
            </w:r>
          </w:p>
          <w:p w:rsidR="00880A06" w:rsidRDefault="00616063">
            <w:pPr>
              <w:jc w:val="center"/>
              <w:rPr>
                <w:rFonts w:ascii="Palatino Linotype" w:hAnsi="Palatino Linotype" w:cs="Arial"/>
                <w:lang w:val="es-ES_tradnl"/>
              </w:rPr>
            </w:pPr>
            <w:r>
              <w:rPr>
                <w:rFonts w:ascii="Palatino Linotype" w:hAnsi="Palatino Linotype" w:cs="Arial"/>
                <w:lang w:val="es-ES_tradnl"/>
              </w:rPr>
              <w:t>Comisionada</w:t>
            </w:r>
          </w:p>
          <w:p w:rsidR="00880A06" w:rsidRDefault="00616063">
            <w:pPr>
              <w:jc w:val="center"/>
              <w:rPr>
                <w:rFonts w:ascii="Palatino Linotype" w:hAnsi="Palatino Linotype" w:cs="Arial"/>
                <w:b/>
                <w:lang w:val="es-ES_tradnl"/>
              </w:rPr>
            </w:pPr>
            <w:r>
              <w:rPr>
                <w:rFonts w:ascii="Palatino Linotype" w:hAnsi="Palatino Linotype" w:cs="Arial"/>
                <w:b/>
                <w:lang w:val="es-ES_tradnl"/>
              </w:rPr>
              <w:t>(RÚBRICA)</w:t>
            </w:r>
          </w:p>
        </w:tc>
        <w:tc>
          <w:tcPr>
            <w:tcW w:w="4456" w:type="dxa"/>
            <w:shd w:val="clear" w:color="auto" w:fill="auto"/>
          </w:tcPr>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616063">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880A06" w:rsidRDefault="00616063">
            <w:pPr>
              <w:jc w:val="center"/>
              <w:rPr>
                <w:rFonts w:ascii="Palatino Linotype" w:hAnsi="Palatino Linotype" w:cs="Arial"/>
                <w:lang w:val="es-ES_tradnl"/>
              </w:rPr>
            </w:pPr>
            <w:r>
              <w:rPr>
                <w:rFonts w:ascii="Palatino Linotype" w:hAnsi="Palatino Linotype" w:cs="Arial"/>
                <w:lang w:val="es-ES_tradnl"/>
              </w:rPr>
              <w:t>Comisionado</w:t>
            </w:r>
          </w:p>
          <w:p w:rsidR="00880A06" w:rsidRDefault="00616063">
            <w:pPr>
              <w:jc w:val="center"/>
              <w:rPr>
                <w:rFonts w:ascii="Palatino Linotype" w:hAnsi="Palatino Linotype" w:cs="Arial"/>
                <w:b/>
                <w:lang w:val="es-ES_tradnl"/>
              </w:rPr>
            </w:pPr>
            <w:r>
              <w:rPr>
                <w:rFonts w:ascii="Palatino Linotype" w:hAnsi="Palatino Linotype" w:cs="Arial"/>
                <w:b/>
                <w:lang w:val="es-ES_tradnl"/>
              </w:rPr>
              <w:t>(RÚBRICA)</w:t>
            </w:r>
          </w:p>
        </w:tc>
      </w:tr>
      <w:tr w:rsidR="00880A06">
        <w:trPr>
          <w:jc w:val="center"/>
        </w:trPr>
        <w:tc>
          <w:tcPr>
            <w:tcW w:w="4757" w:type="dxa"/>
            <w:shd w:val="clear" w:color="auto" w:fill="auto"/>
          </w:tcPr>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616063">
            <w:pPr>
              <w:jc w:val="center"/>
              <w:rPr>
                <w:rFonts w:ascii="Palatino Linotype" w:hAnsi="Palatino Linotype" w:cs="Arial"/>
                <w:b/>
                <w:lang w:val="es-ES_tradnl"/>
              </w:rPr>
            </w:pPr>
            <w:r>
              <w:rPr>
                <w:rFonts w:ascii="Palatino Linotype" w:hAnsi="Palatino Linotype" w:cs="Arial"/>
                <w:b/>
                <w:lang w:val="es-ES_tradnl"/>
              </w:rPr>
              <w:t>Javier Martínez Cruz</w:t>
            </w:r>
          </w:p>
          <w:p w:rsidR="00880A06" w:rsidRDefault="00616063">
            <w:pPr>
              <w:jc w:val="center"/>
              <w:rPr>
                <w:rFonts w:ascii="Palatino Linotype" w:hAnsi="Palatino Linotype" w:cs="Arial"/>
                <w:lang w:val="es-ES_tradnl"/>
              </w:rPr>
            </w:pPr>
            <w:r>
              <w:rPr>
                <w:rFonts w:ascii="Palatino Linotype" w:hAnsi="Palatino Linotype" w:cs="Arial"/>
                <w:lang w:val="es-ES_tradnl"/>
              </w:rPr>
              <w:t>Comisionado</w:t>
            </w:r>
          </w:p>
          <w:p w:rsidR="00880A06" w:rsidRDefault="00616063">
            <w:pPr>
              <w:jc w:val="center"/>
              <w:rPr>
                <w:rFonts w:ascii="Palatino Linotype" w:hAnsi="Palatino Linotype" w:cs="Arial"/>
                <w:lang w:val="es-ES_tradnl"/>
              </w:rPr>
            </w:pPr>
            <w:r>
              <w:rPr>
                <w:rFonts w:ascii="Palatino Linotype" w:hAnsi="Palatino Linotype" w:cs="Arial"/>
                <w:b/>
                <w:lang w:val="es-ES_tradnl"/>
              </w:rPr>
              <w:t>(RÚBRICA)</w:t>
            </w:r>
          </w:p>
        </w:tc>
        <w:tc>
          <w:tcPr>
            <w:tcW w:w="4456" w:type="dxa"/>
            <w:shd w:val="clear" w:color="auto" w:fill="auto"/>
          </w:tcPr>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616063">
            <w:pPr>
              <w:jc w:val="center"/>
              <w:rPr>
                <w:rFonts w:ascii="Palatino Linotype" w:hAnsi="Palatino Linotype" w:cs="Arial"/>
                <w:b/>
                <w:lang w:val="es-ES_tradnl"/>
              </w:rPr>
            </w:pPr>
            <w:r>
              <w:rPr>
                <w:rFonts w:ascii="Palatino Linotype" w:hAnsi="Palatino Linotype" w:cs="Arial"/>
                <w:b/>
                <w:lang w:val="es-ES_tradnl"/>
              </w:rPr>
              <w:t>Luis Gustavo Parra Noriega</w:t>
            </w:r>
          </w:p>
          <w:p w:rsidR="00880A06" w:rsidRDefault="00616063">
            <w:pPr>
              <w:jc w:val="center"/>
              <w:rPr>
                <w:rFonts w:ascii="Palatino Linotype" w:hAnsi="Palatino Linotype" w:cs="Arial"/>
                <w:lang w:val="es-ES_tradnl"/>
              </w:rPr>
            </w:pPr>
            <w:r>
              <w:rPr>
                <w:rFonts w:ascii="Palatino Linotype" w:hAnsi="Palatino Linotype" w:cs="Arial"/>
                <w:lang w:val="es-ES_tradnl"/>
              </w:rPr>
              <w:t>Comisionado</w:t>
            </w:r>
          </w:p>
          <w:p w:rsidR="00880A06" w:rsidRDefault="00616063">
            <w:pPr>
              <w:jc w:val="center"/>
              <w:rPr>
                <w:rFonts w:ascii="Palatino Linotype" w:hAnsi="Palatino Linotype" w:cs="Arial"/>
                <w:b/>
                <w:lang w:val="es-ES_tradnl"/>
              </w:rPr>
            </w:pPr>
            <w:r>
              <w:rPr>
                <w:rFonts w:ascii="Palatino Linotype" w:hAnsi="Palatino Linotype" w:cs="Arial"/>
                <w:b/>
                <w:lang w:val="es-ES_tradnl"/>
              </w:rPr>
              <w:t>(RÚBRICA)</w:t>
            </w:r>
          </w:p>
        </w:tc>
      </w:tr>
      <w:tr w:rsidR="00880A06">
        <w:trPr>
          <w:jc w:val="center"/>
        </w:trPr>
        <w:tc>
          <w:tcPr>
            <w:tcW w:w="9213" w:type="dxa"/>
            <w:gridSpan w:val="2"/>
            <w:shd w:val="clear" w:color="auto" w:fill="auto"/>
          </w:tcPr>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880A06">
            <w:pPr>
              <w:jc w:val="center"/>
              <w:rPr>
                <w:rFonts w:ascii="Palatino Linotype" w:hAnsi="Palatino Linotype" w:cs="Arial"/>
                <w:b/>
                <w:lang w:val="es-ES_tradnl"/>
              </w:rPr>
            </w:pPr>
          </w:p>
          <w:p w:rsidR="00880A06" w:rsidRDefault="00616063">
            <w:pPr>
              <w:jc w:val="center"/>
              <w:rPr>
                <w:rFonts w:ascii="Palatino Linotype" w:hAnsi="Palatino Linotype" w:cs="Arial"/>
                <w:b/>
                <w:lang w:val="es-ES_tradnl"/>
              </w:rPr>
            </w:pPr>
            <w:r>
              <w:rPr>
                <w:rFonts w:ascii="Palatino Linotype" w:hAnsi="Palatino Linotype" w:cs="Arial"/>
                <w:b/>
                <w:lang w:val="es-ES_tradnl"/>
              </w:rPr>
              <w:t>Alexis Tapia Ramírez</w:t>
            </w:r>
          </w:p>
          <w:p w:rsidR="00880A06" w:rsidRDefault="00616063">
            <w:pPr>
              <w:jc w:val="center"/>
              <w:rPr>
                <w:rFonts w:ascii="Palatino Linotype" w:hAnsi="Palatino Linotype" w:cs="Arial"/>
                <w:lang w:val="es-ES_tradnl"/>
              </w:rPr>
            </w:pPr>
            <w:r>
              <w:rPr>
                <w:rFonts w:ascii="Palatino Linotype" w:hAnsi="Palatino Linotype" w:cs="Arial"/>
                <w:lang w:val="es-ES_tradnl"/>
              </w:rPr>
              <w:t>Secretario Técnico del Pleno</w:t>
            </w:r>
          </w:p>
          <w:p w:rsidR="00880A06" w:rsidRDefault="00616063">
            <w:pPr>
              <w:jc w:val="center"/>
              <w:rPr>
                <w:rFonts w:ascii="Palatino Linotype" w:hAnsi="Palatino Linotype" w:cs="Arial"/>
                <w:lang w:val="es-ES_tradnl"/>
              </w:rPr>
            </w:pPr>
            <w:r>
              <w:rPr>
                <w:rFonts w:ascii="Palatino Linotype" w:hAnsi="Palatino Linotype" w:cs="Arial"/>
                <w:b/>
                <w:lang w:val="es-ES_tradnl"/>
              </w:rPr>
              <w:t>(RÚBRICA)</w:t>
            </w:r>
          </w:p>
        </w:tc>
      </w:tr>
    </w:tbl>
    <w:p w:rsidR="00880A06" w:rsidRDefault="00880A06">
      <w:pPr>
        <w:jc w:val="both"/>
        <w:rPr>
          <w:rFonts w:ascii="Palatino Linotype" w:hAnsi="Palatino Linotype" w:cs="Arial"/>
          <w:sz w:val="22"/>
          <w:szCs w:val="22"/>
          <w:lang w:val="es-ES"/>
        </w:rPr>
      </w:pPr>
    </w:p>
    <w:p w:rsidR="00880A06" w:rsidRDefault="00880A06">
      <w:pPr>
        <w:jc w:val="both"/>
        <w:rPr>
          <w:rFonts w:ascii="Palatino Linotype" w:hAnsi="Palatino Linotype" w:cs="Arial"/>
          <w:sz w:val="22"/>
          <w:szCs w:val="22"/>
          <w:lang w:val="es-ES"/>
        </w:rPr>
      </w:pPr>
    </w:p>
    <w:p w:rsidR="00880A06" w:rsidRDefault="00880A06">
      <w:pPr>
        <w:jc w:val="both"/>
        <w:rPr>
          <w:rFonts w:ascii="Palatino Linotype" w:hAnsi="Palatino Linotype" w:cs="Arial"/>
          <w:sz w:val="22"/>
          <w:szCs w:val="22"/>
          <w:lang w:val="es-ES"/>
        </w:rPr>
      </w:pPr>
    </w:p>
    <w:p w:rsidR="00880A06" w:rsidRDefault="00880A06">
      <w:pPr>
        <w:jc w:val="both"/>
        <w:rPr>
          <w:rFonts w:ascii="Palatino Linotype" w:hAnsi="Palatino Linotype" w:cs="Arial"/>
          <w:sz w:val="22"/>
          <w:szCs w:val="22"/>
          <w:lang w:val="es-ES"/>
        </w:rPr>
      </w:pPr>
    </w:p>
    <w:p w:rsidR="00880A06" w:rsidRDefault="00616063">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diecinueve de agosto de dos mil veinte, emitida en el recurso de revisión número 01462/INFOEM/IP/RR/2020. </w:t>
      </w:r>
    </w:p>
    <w:p w:rsidR="00880A06" w:rsidRDefault="00616063">
      <w:pPr>
        <w:jc w:val="both"/>
        <w:rPr>
          <w:rFonts w:ascii="Palatino Linotype" w:hAnsi="Palatino Linotype" w:cs="Arial"/>
          <w:sz w:val="22"/>
          <w:szCs w:val="22"/>
          <w:lang w:val="es-ES"/>
        </w:rPr>
      </w:pPr>
      <w:r>
        <w:rPr>
          <w:rFonts w:ascii="Palatino Linotype" w:hAnsi="Palatino Linotype" w:cs="Arial"/>
          <w:sz w:val="22"/>
          <w:szCs w:val="22"/>
          <w:lang w:val="es-ES"/>
        </w:rPr>
        <w:t>YSM/CBO</w:t>
      </w:r>
    </w:p>
    <w:sectPr w:rsidR="00880A06">
      <w:headerReference w:type="default" r:id="rId14"/>
      <w:footerReference w:type="default" r:id="rId15"/>
      <w:headerReference w:type="first" r:id="rId16"/>
      <w:footerReference w:type="first" r:id="rId17"/>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063" w:rsidRDefault="00616063">
      <w:r>
        <w:separator/>
      </w:r>
    </w:p>
  </w:endnote>
  <w:endnote w:type="continuationSeparator" w:id="0">
    <w:p w:rsidR="00616063" w:rsidRDefault="00616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1"/>
    <w:family w:val="roman"/>
    <w:pitch w:val="variable"/>
  </w:font>
  <w:font w:name="palatino">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ookman Old Style,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A06" w:rsidRDefault="00616063">
    <w:pPr>
      <w:pStyle w:val="Piedepgina"/>
      <w:jc w:val="right"/>
      <w:rPr>
        <w:rFonts w:ascii="Palatino Linotype" w:hAnsi="Palatino Linotype" w:cs="Arial" w:hint="eastAsia"/>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1673B8">
      <w:rPr>
        <w:rFonts w:ascii="Palatino Linotype" w:hAnsi="Palatino Linotype" w:cs="Arial"/>
        <w:bCs/>
        <w:noProof/>
        <w:sz w:val="22"/>
        <w:szCs w:val="22"/>
      </w:rPr>
      <w:t>12</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1673B8">
      <w:rPr>
        <w:rFonts w:ascii="Palatino Linotype" w:hAnsi="Palatino Linotype" w:cs="Arial"/>
        <w:bCs/>
        <w:noProof/>
        <w:sz w:val="22"/>
        <w:szCs w:val="22"/>
      </w:rPr>
      <w:t>38</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A06" w:rsidRDefault="00616063">
    <w:pPr>
      <w:pStyle w:val="Piedepgina"/>
      <w:spacing w:before="120"/>
      <w:jc w:val="right"/>
      <w:rPr>
        <w:rFonts w:ascii="Palatino Linotype" w:hAnsi="Palatino Linotype" w:cs="Arial" w:hint="eastAsia"/>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1673B8">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1673B8">
      <w:rPr>
        <w:rFonts w:ascii="Palatino Linotype" w:hAnsi="Palatino Linotype" w:cs="Arial"/>
        <w:bCs/>
        <w:noProof/>
        <w:sz w:val="22"/>
        <w:szCs w:val="22"/>
      </w:rPr>
      <w:t>38</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063" w:rsidRDefault="00616063">
      <w:pPr>
        <w:rPr>
          <w:sz w:val="12"/>
        </w:rPr>
      </w:pPr>
      <w:r>
        <w:separator/>
      </w:r>
    </w:p>
  </w:footnote>
  <w:footnote w:type="continuationSeparator" w:id="0">
    <w:p w:rsidR="00616063" w:rsidRDefault="00616063">
      <w:pPr>
        <w:rPr>
          <w:sz w:val="12"/>
        </w:rPr>
      </w:pPr>
      <w:r>
        <w:continuationSeparator/>
      </w:r>
    </w:p>
  </w:footnote>
  <w:footnote w:id="1">
    <w:p w:rsidR="00880A06" w:rsidRDefault="00616063">
      <w:pPr>
        <w:pStyle w:val="Textonotapie"/>
        <w:jc w:val="both"/>
        <w:rPr>
          <w:rFonts w:ascii="Palatino Linotype" w:hAnsi="Palatino Linotype"/>
        </w:rPr>
      </w:pPr>
      <w:r>
        <w:rPr>
          <w:rStyle w:val="Caracteresdenotaalpie"/>
        </w:rPr>
        <w:footnoteRef/>
      </w:r>
      <w:r>
        <w:t xml:space="preserve"> </w:t>
      </w:r>
      <w:r>
        <w:rPr>
          <w:rFonts w:ascii="Palatino Linotype" w:hAnsi="Palatino Linotype"/>
        </w:rPr>
        <w:t xml:space="preserve">De conformidad con la información publicada por </w:t>
      </w:r>
      <w:r>
        <w:rPr>
          <w:rFonts w:ascii="Palatino Linotype" w:hAnsi="Palatino Linotype"/>
          <w:b/>
        </w:rPr>
        <w:t>EL SUJETO OBLIGADO</w:t>
      </w:r>
      <w:r>
        <w:rPr>
          <w:rFonts w:ascii="Palatino Linotype" w:hAnsi="Palatino Linotype"/>
        </w:rPr>
        <w:t xml:space="preserve"> en su Portal de Información Pública de Oficio Mexiquense (IPOMEX), ubicable en la siguiente liga electrónica:</w:t>
      </w:r>
    </w:p>
    <w:p w:rsidR="00880A06" w:rsidRDefault="00616063">
      <w:pPr>
        <w:pStyle w:val="Textonotapie"/>
        <w:jc w:val="both"/>
      </w:pPr>
      <w:r>
        <w:t>https://www.ipomex.org.mx/ipo3/lgt/indice/IMIEM/art_92_vii/2/0/10340.web</w:t>
      </w:r>
    </w:p>
  </w:footnote>
  <w:footnote w:id="2">
    <w:p w:rsidR="00880A06" w:rsidRDefault="00616063">
      <w:pPr>
        <w:pStyle w:val="Textonotapie"/>
        <w:jc w:val="both"/>
        <w:rPr>
          <w:rFonts w:ascii="Palatino Linotype" w:hAnsi="Palatino Linotype"/>
        </w:rPr>
      </w:pPr>
      <w:r>
        <w:rPr>
          <w:rStyle w:val="Caracteresdenotaalpie"/>
        </w:rPr>
        <w:footnoteRef/>
      </w:r>
      <w:r>
        <w:t xml:space="preserve"> </w:t>
      </w:r>
      <w:r>
        <w:rPr>
          <w:rFonts w:ascii="Palatino Linotype" w:hAnsi="Palatino Linotype"/>
        </w:rPr>
        <w:t>Tasa de Interés Interbancaria de Equilibrio, de conformidad con la inf</w:t>
      </w:r>
      <w:r>
        <w:rPr>
          <w:rFonts w:ascii="Palatino Linotype" w:hAnsi="Palatino Linotype"/>
        </w:rPr>
        <w:t xml:space="preserve">ormación publicada por el Banco de México, ubicable en la siguiente liga electrónica: </w:t>
      </w:r>
    </w:p>
    <w:p w:rsidR="00880A06" w:rsidRDefault="00616063">
      <w:pPr>
        <w:pStyle w:val="Textonotapie"/>
        <w:jc w:val="both"/>
      </w:pPr>
      <w:r>
        <w:rPr>
          <w:rFonts w:ascii="Palatino Linotype" w:hAnsi="Palatino Linotype"/>
        </w:rPr>
        <w:t>https://www.banxico.org.mx/SieInternet/consultarDirectorioInternetAction.do?sector=18&amp;accion=consultarCuadro&amp;idCuadro=CF111&amp;locale=es</w:t>
      </w:r>
    </w:p>
  </w:footnote>
  <w:footnote w:id="3">
    <w:p w:rsidR="00880A06" w:rsidRDefault="00616063">
      <w:pPr>
        <w:pStyle w:val="Textonotapie"/>
        <w:jc w:val="both"/>
        <w:rPr>
          <w:rFonts w:ascii="Palatino Linotype" w:hAnsi="Palatino Linotype"/>
        </w:rPr>
      </w:pPr>
      <w:r>
        <w:rPr>
          <w:rStyle w:val="Caracteresdenotaalpie"/>
        </w:rPr>
        <w:footnoteRef/>
      </w:r>
      <w:r>
        <w:t xml:space="preserve"> </w:t>
      </w:r>
      <w:r>
        <w:rPr>
          <w:rFonts w:ascii="Palatino Linotype" w:hAnsi="Palatino Linotype"/>
        </w:rPr>
        <w:t>Sistema de Pagos Electrónicos Int</w:t>
      </w:r>
      <w:r>
        <w:rPr>
          <w:rFonts w:ascii="Palatino Linotype" w:hAnsi="Palatino Linotype"/>
        </w:rPr>
        <w:t>erbancarios (SPEI), de conformidad con la información publicada por el Banco de México, ubicable en la siguiente liga electrónica:</w:t>
      </w:r>
    </w:p>
    <w:p w:rsidR="00880A06" w:rsidRDefault="00616063">
      <w:pPr>
        <w:pStyle w:val="Textonotapie"/>
        <w:jc w:val="both"/>
        <w:rPr>
          <w:rFonts w:ascii="Palatino Linotype" w:hAnsi="Palatino Linotype"/>
        </w:rPr>
      </w:pPr>
      <w:r>
        <w:rPr>
          <w:rFonts w:ascii="Palatino Linotype" w:hAnsi="Palatino Linotype"/>
        </w:rPr>
        <w:t>https://www.banxico.org.mx/servicios/sistema-pagos-electronicos-in001.html</w:t>
      </w:r>
    </w:p>
  </w:footnote>
  <w:footnote w:id="4">
    <w:p w:rsidR="00880A06" w:rsidRDefault="00616063">
      <w:pPr>
        <w:pStyle w:val="Textonotapie"/>
        <w:jc w:val="both"/>
        <w:rPr>
          <w:rFonts w:ascii="Palatino Linotype" w:hAnsi="Palatino Linotype"/>
        </w:rPr>
      </w:pPr>
      <w:r>
        <w:rPr>
          <w:rStyle w:val="Caracteresdenotaalpie"/>
        </w:rPr>
        <w:footnoteRef/>
      </w:r>
      <w:r>
        <w:t xml:space="preserve"> </w:t>
      </w:r>
      <w:r>
        <w:rPr>
          <w:rFonts w:ascii="Palatino Linotype" w:hAnsi="Palatino Linotype"/>
        </w:rPr>
        <w:t xml:space="preserve">Tasa de Interés Interbancaria de Equilibrio, de </w:t>
      </w:r>
      <w:r>
        <w:rPr>
          <w:rFonts w:ascii="Palatino Linotype" w:hAnsi="Palatino Linotype"/>
        </w:rPr>
        <w:t xml:space="preserve">conformidad con la información publicada por el Banco de México, ubicable en la siguiente liga electrónica: </w:t>
      </w:r>
    </w:p>
    <w:p w:rsidR="00880A06" w:rsidRDefault="00616063">
      <w:pPr>
        <w:pStyle w:val="Textonotapie"/>
        <w:jc w:val="both"/>
      </w:pPr>
      <w:r>
        <w:rPr>
          <w:rFonts w:ascii="Palatino Linotype" w:hAnsi="Palatino Linotype"/>
        </w:rPr>
        <w:t>https://www.banxico.org.mx/SieInternet/consultarDirectorioInternetAction.do?sector=18&amp;accion=consultarCuadro&amp;idCuadro=CF111&amp;locale=es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A06" w:rsidRDefault="00616063">
    <w:pPr>
      <w:pStyle w:val="Encabezado"/>
      <w:tabs>
        <w:tab w:val="clear" w:pos="4252"/>
        <w:tab w:val="clear" w:pos="8504"/>
        <w:tab w:val="left" w:pos="2326"/>
      </w:tabs>
      <w:rPr>
        <w:rFonts w:ascii="Palatino Linotype" w:hAnsi="Palatino Linotype" w:hint="eastAsia"/>
        <w:sz w:val="28"/>
        <w:szCs w:val="28"/>
      </w:rPr>
    </w:pPr>
    <w:r>
      <w:rPr>
        <w:rFonts w:ascii="Palatino Linotype" w:hAnsi="Palatino Linotype"/>
        <w:noProof/>
        <w:sz w:val="28"/>
        <w:szCs w:val="28"/>
        <w:lang w:val="es-MX" w:eastAsia="es-MX"/>
      </w:rPr>
      <w:drawing>
        <wp:anchor distT="0" distB="0" distL="0" distR="0" simplePos="0" relativeHeight="37" behindDoc="1" locked="0" layoutInCell="1" allowOverlap="1">
          <wp:simplePos x="0" y="0"/>
          <wp:positionH relativeFrom="column">
            <wp:align>center</wp:align>
          </wp:positionH>
          <wp:positionV relativeFrom="margin">
            <wp:align>center</wp:align>
          </wp:positionV>
          <wp:extent cx="6858635" cy="9144635"/>
          <wp:effectExtent l="0" t="0" r="0" b="0"/>
          <wp:wrapNone/>
          <wp:docPr id="8"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8"/>
      <w:gridCol w:w="2552"/>
      <w:gridCol w:w="3724"/>
    </w:tblGrid>
    <w:tr w:rsidR="00880A06">
      <w:tc>
        <w:tcPr>
          <w:tcW w:w="3258" w:type="dxa"/>
          <w:vMerge w:val="restart"/>
        </w:tcPr>
        <w:p w:rsidR="00880A06" w:rsidRDefault="00616063">
          <w:pPr>
            <w:rPr>
              <w:rFonts w:ascii="Palatino Linotype" w:hAnsi="Palatino Linotype"/>
              <w:b/>
              <w:sz w:val="22"/>
              <w:szCs w:val="22"/>
              <w:lang w:val="es-ES_tradnl"/>
            </w:rPr>
          </w:pPr>
          <w:r>
            <w:rPr>
              <w:noProof/>
              <w:lang w:eastAsia="es-MX"/>
            </w:rPr>
            <w:drawing>
              <wp:inline distT="0" distB="0" distL="0" distR="0">
                <wp:extent cx="1663700" cy="838200"/>
                <wp:effectExtent l="0" t="0" r="0"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880A06" w:rsidRDefault="0061606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880A06" w:rsidRDefault="00616063">
          <w:pPr>
            <w:jc w:val="both"/>
            <w:rPr>
              <w:rFonts w:ascii="Palatino Linotype" w:hAnsi="Palatino Linotype"/>
              <w:b/>
              <w:sz w:val="22"/>
              <w:szCs w:val="22"/>
              <w:lang w:val="es-ES_tradnl"/>
            </w:rPr>
          </w:pPr>
          <w:r>
            <w:rPr>
              <w:rFonts w:ascii="Palatino Linotype" w:hAnsi="Palatino Linotype"/>
              <w:b/>
              <w:sz w:val="22"/>
              <w:szCs w:val="22"/>
              <w:lang w:val="es-ES_tradnl"/>
            </w:rPr>
            <w:t>01462/INFOEM/IP/RR/2020</w:t>
          </w:r>
        </w:p>
      </w:tc>
    </w:tr>
    <w:tr w:rsidR="00880A06">
      <w:tc>
        <w:tcPr>
          <w:tcW w:w="3258" w:type="dxa"/>
          <w:vMerge/>
        </w:tcPr>
        <w:p w:rsidR="00880A06" w:rsidRDefault="00880A06">
          <w:pPr>
            <w:rPr>
              <w:rFonts w:ascii="Palatino Linotype" w:hAnsi="Palatino Linotype"/>
              <w:b/>
              <w:sz w:val="22"/>
              <w:szCs w:val="22"/>
              <w:lang w:val="es-ES_tradnl"/>
            </w:rPr>
          </w:pPr>
        </w:p>
      </w:tc>
      <w:tc>
        <w:tcPr>
          <w:tcW w:w="2552" w:type="dxa"/>
          <w:shd w:val="clear" w:color="auto" w:fill="auto"/>
        </w:tcPr>
        <w:p w:rsidR="00880A06" w:rsidRDefault="0061606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880A06" w:rsidRDefault="00616063">
          <w:pPr>
            <w:jc w:val="both"/>
            <w:rPr>
              <w:rFonts w:ascii="Palatino Linotype" w:hAnsi="Palatino Linotype"/>
              <w:b/>
              <w:sz w:val="22"/>
              <w:szCs w:val="22"/>
              <w:lang w:val="es-ES_tradnl"/>
            </w:rPr>
          </w:pPr>
          <w:r>
            <w:rPr>
              <w:rFonts w:ascii="Palatino Linotype" w:hAnsi="Palatino Linotype"/>
              <w:b/>
              <w:sz w:val="22"/>
              <w:szCs w:val="22"/>
              <w:lang w:val="es-ES_tradnl"/>
            </w:rPr>
            <w:t>Instituto Materno Infantil del Estado de México</w:t>
          </w:r>
        </w:p>
      </w:tc>
    </w:tr>
    <w:tr w:rsidR="00880A06">
      <w:trPr>
        <w:trHeight w:val="228"/>
      </w:trPr>
      <w:tc>
        <w:tcPr>
          <w:tcW w:w="3258" w:type="dxa"/>
          <w:vMerge/>
        </w:tcPr>
        <w:p w:rsidR="00880A06" w:rsidRDefault="00880A06">
          <w:pPr>
            <w:rPr>
              <w:rFonts w:ascii="Palatino Linotype" w:hAnsi="Palatino Linotype"/>
              <w:b/>
              <w:sz w:val="22"/>
              <w:szCs w:val="22"/>
              <w:lang w:val="es-ES_tradnl"/>
            </w:rPr>
          </w:pPr>
        </w:p>
      </w:tc>
      <w:tc>
        <w:tcPr>
          <w:tcW w:w="2552" w:type="dxa"/>
          <w:shd w:val="clear" w:color="auto" w:fill="auto"/>
        </w:tcPr>
        <w:p w:rsidR="00880A06" w:rsidRDefault="0061606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880A06" w:rsidRDefault="00616063">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880A06" w:rsidRDefault="00880A06">
    <w:pPr>
      <w:pStyle w:val="Encabezado"/>
      <w:tabs>
        <w:tab w:val="clear" w:pos="4252"/>
        <w:tab w:val="clear" w:pos="8504"/>
        <w:tab w:val="left" w:pos="2326"/>
      </w:tabs>
      <w:rPr>
        <w:rFonts w:ascii="Palatino Linotype" w:hAnsi="Palatino Linotype" w:hint="eastAsia"/>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A06" w:rsidRDefault="00616063">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0"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1"/>
      <w:gridCol w:w="3688"/>
    </w:tblGrid>
    <w:tr w:rsidR="00880A06">
      <w:tc>
        <w:tcPr>
          <w:tcW w:w="4251" w:type="dxa"/>
          <w:vMerge w:val="restart"/>
          <w:shd w:val="clear" w:color="auto" w:fill="auto"/>
        </w:tcPr>
        <w:p w:rsidR="00880A06" w:rsidRDefault="00616063">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880A06" w:rsidRDefault="0061606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8" w:type="dxa"/>
          <w:shd w:val="clear" w:color="auto" w:fill="auto"/>
          <w:vAlign w:val="center"/>
        </w:tcPr>
        <w:p w:rsidR="00880A06" w:rsidRDefault="00616063">
          <w:pPr>
            <w:jc w:val="both"/>
            <w:rPr>
              <w:rFonts w:ascii="Palatino Linotype" w:hAnsi="Palatino Linotype"/>
              <w:b/>
              <w:sz w:val="22"/>
              <w:szCs w:val="22"/>
              <w:lang w:val="es-ES_tradnl"/>
            </w:rPr>
          </w:pPr>
          <w:r>
            <w:rPr>
              <w:rFonts w:ascii="Palatino Linotype" w:hAnsi="Palatino Linotype"/>
              <w:b/>
              <w:sz w:val="22"/>
              <w:szCs w:val="22"/>
              <w:lang w:val="es-ES_tradnl"/>
            </w:rPr>
            <w:t>01462/INFOEM/IP/RR/2020</w:t>
          </w:r>
        </w:p>
      </w:tc>
    </w:tr>
    <w:tr w:rsidR="00880A06">
      <w:tc>
        <w:tcPr>
          <w:tcW w:w="4251" w:type="dxa"/>
          <w:vMerge/>
          <w:shd w:val="clear" w:color="auto" w:fill="auto"/>
        </w:tcPr>
        <w:p w:rsidR="00880A06" w:rsidRDefault="00880A06">
          <w:pPr>
            <w:rPr>
              <w:rFonts w:ascii="Palatino Linotype" w:hAnsi="Palatino Linotype"/>
              <w:b/>
              <w:sz w:val="22"/>
              <w:szCs w:val="22"/>
              <w:lang w:val="es-ES_tradnl"/>
            </w:rPr>
          </w:pPr>
        </w:p>
      </w:tc>
      <w:tc>
        <w:tcPr>
          <w:tcW w:w="2551" w:type="dxa"/>
          <w:shd w:val="clear" w:color="auto" w:fill="auto"/>
        </w:tcPr>
        <w:p w:rsidR="00880A06" w:rsidRDefault="00616063">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8" w:type="dxa"/>
          <w:shd w:val="clear" w:color="auto" w:fill="auto"/>
          <w:vAlign w:val="center"/>
        </w:tcPr>
        <w:p w:rsidR="00880A06" w:rsidRDefault="001673B8">
          <w:pPr>
            <w:jc w:val="both"/>
            <w:rPr>
              <w:rFonts w:ascii="Palatino Linotype" w:hAnsi="Palatino Linotype"/>
              <w:b/>
              <w:sz w:val="22"/>
              <w:szCs w:val="22"/>
              <w:lang w:val="es-ES_tradnl"/>
            </w:rPr>
          </w:pPr>
          <w:r w:rsidRPr="001673B8">
            <w:rPr>
              <w:rFonts w:ascii="Palatino Linotype" w:hAnsi="Palatino Linotype"/>
              <w:b/>
              <w:sz w:val="22"/>
              <w:szCs w:val="22"/>
              <w:lang w:val="es-ES_tradnl"/>
            </w:rPr>
            <w:t>XXXX XXXXXX XXXXXX y/o XXXX XXXXXX XXXXXX</w:t>
          </w:r>
        </w:p>
      </w:tc>
    </w:tr>
    <w:tr w:rsidR="00880A06">
      <w:trPr>
        <w:trHeight w:val="228"/>
      </w:trPr>
      <w:tc>
        <w:tcPr>
          <w:tcW w:w="4251" w:type="dxa"/>
          <w:vMerge/>
          <w:shd w:val="clear" w:color="auto" w:fill="auto"/>
        </w:tcPr>
        <w:p w:rsidR="00880A06" w:rsidRDefault="00880A06">
          <w:pPr>
            <w:rPr>
              <w:rFonts w:ascii="Palatino Linotype" w:hAnsi="Palatino Linotype"/>
              <w:b/>
              <w:sz w:val="22"/>
              <w:szCs w:val="22"/>
              <w:lang w:val="es-ES_tradnl"/>
            </w:rPr>
          </w:pPr>
        </w:p>
      </w:tc>
      <w:tc>
        <w:tcPr>
          <w:tcW w:w="2551" w:type="dxa"/>
          <w:shd w:val="clear" w:color="auto" w:fill="auto"/>
        </w:tcPr>
        <w:p w:rsidR="00880A06" w:rsidRDefault="00616063">
          <w:pPr>
            <w:rPr>
              <w:rFonts w:ascii="Palatino Linotype" w:hAnsi="Palatino Linotype"/>
              <w:b/>
              <w:sz w:val="22"/>
              <w:szCs w:val="22"/>
              <w:lang w:val="es-ES_tradnl"/>
            </w:rPr>
          </w:pPr>
          <w:r>
            <w:rPr>
              <w:rFonts w:ascii="Palatino Linotype" w:hAnsi="Palatino Linotype"/>
              <w:b/>
              <w:sz w:val="22"/>
              <w:szCs w:val="22"/>
              <w:lang w:val="es-ES_tradnl"/>
            </w:rPr>
            <w:t xml:space="preserve">Sujeto </w:t>
          </w:r>
          <w:r>
            <w:rPr>
              <w:rFonts w:ascii="Palatino Linotype" w:hAnsi="Palatino Linotype"/>
              <w:b/>
              <w:sz w:val="22"/>
              <w:szCs w:val="22"/>
              <w:lang w:val="es-ES_tradnl"/>
            </w:rPr>
            <w:t>Obligado:</w:t>
          </w:r>
        </w:p>
      </w:tc>
      <w:tc>
        <w:tcPr>
          <w:tcW w:w="3688" w:type="dxa"/>
          <w:shd w:val="clear" w:color="auto" w:fill="auto"/>
          <w:vAlign w:val="center"/>
        </w:tcPr>
        <w:p w:rsidR="00880A06" w:rsidRDefault="00616063">
          <w:pPr>
            <w:jc w:val="both"/>
            <w:rPr>
              <w:rFonts w:ascii="Palatino Linotype" w:hAnsi="Palatino Linotype"/>
              <w:b/>
              <w:sz w:val="22"/>
              <w:szCs w:val="22"/>
            </w:rPr>
          </w:pPr>
          <w:r>
            <w:rPr>
              <w:rFonts w:ascii="Palatino Linotype" w:hAnsi="Palatino Linotype"/>
              <w:b/>
              <w:sz w:val="22"/>
              <w:szCs w:val="22"/>
            </w:rPr>
            <w:t>Instituto Materno Infantil del Estado de México</w:t>
          </w:r>
        </w:p>
      </w:tc>
    </w:tr>
    <w:tr w:rsidR="00880A06">
      <w:tc>
        <w:tcPr>
          <w:tcW w:w="4251" w:type="dxa"/>
          <w:vMerge/>
          <w:shd w:val="clear" w:color="auto" w:fill="auto"/>
        </w:tcPr>
        <w:p w:rsidR="00880A06" w:rsidRDefault="00880A06">
          <w:pPr>
            <w:rPr>
              <w:rFonts w:ascii="Palatino Linotype" w:hAnsi="Palatino Linotype"/>
              <w:b/>
              <w:sz w:val="22"/>
              <w:szCs w:val="22"/>
              <w:lang w:val="es-ES_tradnl"/>
            </w:rPr>
          </w:pPr>
        </w:p>
      </w:tc>
      <w:tc>
        <w:tcPr>
          <w:tcW w:w="2551" w:type="dxa"/>
          <w:shd w:val="clear" w:color="auto" w:fill="auto"/>
        </w:tcPr>
        <w:p w:rsidR="00880A06" w:rsidRDefault="0061606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8" w:type="dxa"/>
          <w:shd w:val="clear" w:color="auto" w:fill="auto"/>
        </w:tcPr>
        <w:p w:rsidR="00880A06" w:rsidRDefault="00616063">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880A06" w:rsidRDefault="00880A06">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812B7"/>
    <w:multiLevelType w:val="multilevel"/>
    <w:tmpl w:val="62469BCA"/>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470ADC"/>
    <w:multiLevelType w:val="multilevel"/>
    <w:tmpl w:val="821043D2"/>
    <w:lvl w:ilvl="0">
      <w:start w:val="1"/>
      <w:numFmt w:val="ordinalText"/>
      <w:lvlText w:val="%1."/>
      <w:lvlJc w:val="left"/>
      <w:pPr>
        <w:ind w:left="720" w:hanging="360"/>
      </w:pPr>
      <w:rPr>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C22031"/>
    <w:multiLevelType w:val="multilevel"/>
    <w:tmpl w:val="799491E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80958B8"/>
    <w:multiLevelType w:val="multilevel"/>
    <w:tmpl w:val="8530E17C"/>
    <w:lvl w:ilvl="0">
      <w:start w:val="1"/>
      <w:numFmt w:val="ordinalText"/>
      <w:lvlText w:val="%1."/>
      <w:lvlJc w:val="left"/>
      <w:pPr>
        <w:ind w:left="502" w:hanging="360"/>
      </w:pPr>
      <w:rPr>
        <w:b/>
        <w:caps/>
        <w:sz w:val="28"/>
      </w:rPr>
    </w:lvl>
    <w:lvl w:ilvl="1">
      <w:start w:val="1"/>
      <w:numFmt w:val="bullet"/>
      <w:lvlText w:val="-"/>
      <w:lvlJc w:val="left"/>
      <w:pPr>
        <w:ind w:left="1440" w:hanging="360"/>
      </w:pPr>
      <w:rPr>
        <w:rFonts w:ascii="Palatino Linotype" w:hAnsi="Palatino Linotype"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55775B"/>
    <w:multiLevelType w:val="multilevel"/>
    <w:tmpl w:val="764A549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3FC34C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AF75F7F"/>
    <w:multiLevelType w:val="multilevel"/>
    <w:tmpl w:val="C9F8CD7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5D2F1AED"/>
    <w:multiLevelType w:val="multilevel"/>
    <w:tmpl w:val="6F7AFAEE"/>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5"/>
  </w:num>
  <w:num w:numId="5">
    <w:abstractNumId w:val="4"/>
  </w:num>
  <w:num w:numId="6">
    <w:abstractNumId w:val="6"/>
  </w:num>
  <w:num w:numId="7">
    <w:abstractNumId w:val="7"/>
  </w:num>
  <w:num w:numId="8">
    <w:abstractNumId w:val="2"/>
  </w:num>
  <w:num w:numId="9">
    <w:abstractNumId w:val="0"/>
    <w:lvlOverride w:ilvl="0">
      <w:lvl w:ilvl="0">
        <w:start w:val="1"/>
        <w:numFmt w:val="upperRoman"/>
        <w:lvlText w:val="%1."/>
        <w:lvlJc w:val="left"/>
        <w:pPr>
          <w:ind w:left="720" w:hanging="360"/>
        </w:pPr>
        <w:rPr>
          <w:b/>
          <w:i w:val="0"/>
          <w:caps/>
          <w:color w:val="auto"/>
          <w:sz w:val="2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A06"/>
    <w:rsid w:val="001673B8"/>
    <w:rsid w:val="00616063"/>
    <w:rsid w:val="00880A06"/>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DB540B-D129-4895-8BEB-55B3AAFE0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72"/>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Textoindependiente3Car">
    <w:name w:val="Texto independiente 3 Car"/>
    <w:basedOn w:val="Fuentedeprrafopredeter"/>
    <w:link w:val="Textoindependiente3"/>
    <w:uiPriority w:val="99"/>
    <w:semiHidden/>
    <w:qFormat/>
    <w:rsid w:val="00A35926"/>
    <w:rPr>
      <w:rFonts w:ascii="Times New Roman" w:eastAsia="Times New Roman" w:hAnsi="Times New Roman" w:cs="Times New Roman"/>
      <w:sz w:val="16"/>
      <w:szCs w:val="16"/>
      <w:lang w:val="es-MX"/>
    </w:rPr>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72"/>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customStyle="1" w:styleId="xmsonormal">
    <w:name w:val="x_msonormal"/>
    <w:basedOn w:val="Normal"/>
    <w:qFormat/>
    <w:rsid w:val="00A35926"/>
    <w:pPr>
      <w:spacing w:beforeAutospacing="1" w:afterAutospacing="1"/>
    </w:pPr>
    <w:rPr>
      <w:lang w:eastAsia="es-MX"/>
    </w:rPr>
  </w:style>
  <w:style w:type="paragraph" w:styleId="Textoindependiente3">
    <w:name w:val="Body Text 3"/>
    <w:basedOn w:val="Normal"/>
    <w:link w:val="Textoindependiente3Car"/>
    <w:uiPriority w:val="99"/>
    <w:semiHidden/>
    <w:unhideWhenUsed/>
    <w:qFormat/>
    <w:rsid w:val="00A35926"/>
    <w:pPr>
      <w:spacing w:after="120"/>
    </w:pPr>
    <w:rPr>
      <w:sz w:val="16"/>
      <w:szCs w:val="16"/>
    </w:rPr>
  </w:style>
  <w:style w:type="numbering" w:customStyle="1" w:styleId="Estiloimportado2">
    <w:name w:val="Estilo importado 2"/>
    <w:qFormat/>
    <w:rsid w:val="008677B6"/>
  </w:style>
  <w:style w:type="numbering" w:customStyle="1" w:styleId="Estiloimportado1">
    <w:name w:val="Estilo importado 1"/>
    <w:qFormat/>
    <w:rsid w:val="00CC7BDB"/>
  </w:style>
  <w:style w:type="numbering" w:customStyle="1" w:styleId="Sinlista1">
    <w:name w:val="Sin lista1"/>
    <w:uiPriority w:val="99"/>
    <w:semiHidden/>
    <w:unhideWhenUsed/>
    <w:qFormat/>
    <w:rsid w:val="00A35926"/>
  </w:style>
  <w:style w:type="numbering" w:customStyle="1" w:styleId="Sinlista11">
    <w:name w:val="Sin lista11"/>
    <w:uiPriority w:val="99"/>
    <w:semiHidden/>
    <w:unhideWhenUsed/>
    <w:qFormat/>
    <w:rsid w:val="00A35926"/>
  </w:style>
  <w:style w:type="numbering" w:customStyle="1" w:styleId="Sinlista2">
    <w:name w:val="Sin lista2"/>
    <w:uiPriority w:val="99"/>
    <w:semiHidden/>
    <w:unhideWhenUsed/>
    <w:qFormat/>
    <w:rsid w:val="00A35926"/>
  </w:style>
  <w:style w:type="numbering" w:customStyle="1" w:styleId="Sinlista3">
    <w:name w:val="Sin lista3"/>
    <w:uiPriority w:val="99"/>
    <w:semiHidden/>
    <w:unhideWhenUsed/>
    <w:qFormat/>
    <w:rsid w:val="00A35926"/>
  </w:style>
  <w:style w:type="numbering" w:customStyle="1" w:styleId="Sinlista4">
    <w:name w:val="Sin lista4"/>
    <w:uiPriority w:val="99"/>
    <w:semiHidden/>
    <w:unhideWhenUsed/>
    <w:qFormat/>
    <w:rsid w:val="00A35926"/>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A35926"/>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A35926"/>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A35926"/>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1">
    <w:name w:val="Tabla con cuadrícula11112111"/>
    <w:basedOn w:val="Tablanormal"/>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3C91F-1CB8-4862-8C30-597D21E56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8543</Words>
  <Characters>46990</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USUARIO INFOEM</cp:lastModifiedBy>
  <cp:revision>3</cp:revision>
  <cp:lastPrinted>2020-01-22T19:55:00Z</cp:lastPrinted>
  <dcterms:created xsi:type="dcterms:W3CDTF">2020-08-27T00:19:00Z</dcterms:created>
  <dcterms:modified xsi:type="dcterms:W3CDTF">2020-08-27T00:19:00Z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INFOEM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