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DB1" w:rsidRDefault="00274F0D">
      <w:pPr>
        <w:spacing w:beforeAutospacing="1" w:afterAutospacing="1" w:line="360" w:lineRule="auto"/>
        <w:jc w:val="both"/>
        <w:rPr>
          <w:rFonts w:ascii="Palatino Linotype" w:hAnsi="Palatino Linotype"/>
        </w:rPr>
      </w:pPr>
      <w:r>
        <w:rPr>
          <w:rFonts w:ascii="Palatino Linotype" w:hAnsi="Palatino Linotype"/>
        </w:rPr>
        <w:t>Resolución del Pleno del Instituto de Transparencia, Acce</w:t>
      </w:r>
      <w:bookmarkStart w:id="0" w:name="_GoBack"/>
      <w:bookmarkEnd w:id="0"/>
      <w:r>
        <w:rPr>
          <w:rFonts w:ascii="Palatino Linotype" w:hAnsi="Palatino Linotype"/>
        </w:rPr>
        <w:t>so a la Información Pública y Protección de Datos Personales del Estado de México y Municipios, con domicilio en Metepec, Estado de México, de fecha doce de agosto de dos mil veinte.</w:t>
      </w:r>
    </w:p>
    <w:p w:rsidR="00232DB1" w:rsidRDefault="00274F0D">
      <w:pPr>
        <w:spacing w:beforeAutospacing="1" w:afterAutospacing="1" w:line="360" w:lineRule="auto"/>
        <w:jc w:val="both"/>
        <w:rPr>
          <w:rFonts w:ascii="Palatino Linotype" w:hAnsi="Palatino Linotype"/>
        </w:rPr>
      </w:pPr>
      <w:r>
        <w:rPr>
          <w:rFonts w:ascii="Palatino Linotype" w:hAnsi="Palatino Linotype"/>
          <w:b/>
        </w:rPr>
        <w:t>VISTOS</w:t>
      </w:r>
      <w:r>
        <w:rPr>
          <w:rFonts w:ascii="Palatino Linotype" w:hAnsi="Palatino Linotype"/>
        </w:rPr>
        <w:t xml:space="preserve"> los expedientes formados con motivo de los Recursos de Revisión </w:t>
      </w:r>
      <w:r>
        <w:rPr>
          <w:rFonts w:ascii="Palatino Linotype" w:hAnsi="Palatino Linotype"/>
          <w:b/>
        </w:rPr>
        <w:t xml:space="preserve">01232/INFOEM/IP/RR/2020, 01233/INFOEM/IP/RR/2020 </w:t>
      </w:r>
      <w:r>
        <w:rPr>
          <w:rFonts w:ascii="Palatino Linotype" w:hAnsi="Palatino Linotype"/>
        </w:rPr>
        <w:t xml:space="preserve">y </w:t>
      </w:r>
      <w:r>
        <w:rPr>
          <w:rFonts w:ascii="Palatino Linotype" w:hAnsi="Palatino Linotype"/>
          <w:b/>
        </w:rPr>
        <w:t>01234/INFOEM/IP/RR/2020</w:t>
      </w:r>
      <w:r>
        <w:rPr>
          <w:rFonts w:ascii="Palatino Linotype" w:hAnsi="Palatino Linotype"/>
        </w:rPr>
        <w:t xml:space="preserve">, promovidos por </w:t>
      </w:r>
      <w:r w:rsidR="00A72611">
        <w:rPr>
          <w:rFonts w:ascii="Palatino Linotype" w:hAnsi="Palatino Linotype"/>
          <w:b/>
        </w:rPr>
        <w:t>XXXXX XXXXXX XX</w:t>
      </w:r>
      <w:r>
        <w:rPr>
          <w:rFonts w:ascii="Palatino Linotype" w:hAnsi="Palatino Linotype" w:cs="Arial"/>
        </w:rPr>
        <w:t>, en lo sucesivo</w:t>
      </w:r>
      <w:r>
        <w:rPr>
          <w:rFonts w:ascii="Palatino Linotype" w:hAnsi="Palatino Linotype" w:cs="Arial"/>
          <w:b/>
        </w:rPr>
        <w:t xml:space="preserve"> EL RECURRENTE</w:t>
      </w:r>
      <w:r>
        <w:rPr>
          <w:rFonts w:ascii="Palatino Linotype" w:hAnsi="Palatino Linotype"/>
        </w:rPr>
        <w:t xml:space="preserve">, en contra de las respuestas del </w:t>
      </w:r>
      <w:r>
        <w:rPr>
          <w:rFonts w:ascii="Palatino Linotype" w:hAnsi="Palatino Linotype"/>
          <w:b/>
          <w:bCs/>
        </w:rPr>
        <w:t>Ayuntamiento de Ocoyoacac</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rsidR="00232DB1" w:rsidRDefault="00274F0D">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232DB1" w:rsidRDefault="00274F0D">
      <w:pPr>
        <w:pStyle w:val="Prrafodelista"/>
        <w:numPr>
          <w:ilvl w:val="0"/>
          <w:numId w:val="2"/>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 veintitrés de enero</w:t>
      </w:r>
      <w:r>
        <w:rPr>
          <w:rFonts w:ascii="Palatino Linotype" w:hAnsi="Palatino Linotype"/>
        </w:rPr>
        <w:t xml:space="preserve"> de dos mil veinte, </w:t>
      </w:r>
      <w:r>
        <w:rPr>
          <w:rFonts w:ascii="Palatino Linotype" w:hAnsi="Palatino Linotype" w:cs="Arial"/>
          <w:b/>
        </w:rPr>
        <w:t>EL RECURRENTE</w:t>
      </w:r>
      <w:r>
        <w:rPr>
          <w:rFonts w:ascii="Palatino Linotype" w:hAnsi="Palatino Linotype"/>
        </w:rPr>
        <w:t xml:space="preserve"> presentó, a través del </w:t>
      </w:r>
      <w:r>
        <w:rPr>
          <w:rFonts w:ascii="Palatino Linotype" w:hAnsi="Palatino Linotype" w:cs="Arial"/>
        </w:rPr>
        <w:t>Sistema</w:t>
      </w:r>
      <w:r>
        <w:rPr>
          <w:rFonts w:ascii="Palatino Linotype" w:hAnsi="Palatino Linotype"/>
        </w:rPr>
        <w:t xml:space="preserve"> de Acceso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las solicitudes de acceso a la información pública, a las que se les asignaron los números </w:t>
      </w:r>
      <w:r>
        <w:rPr>
          <w:rFonts w:ascii="Palatino Linotype" w:hAnsi="Palatino Linotype"/>
          <w:b/>
          <w:bCs/>
        </w:rPr>
        <w:t xml:space="preserve">00020/OCOYOAC/IP/2020, 00021/OCOYOAC/IP/2020 </w:t>
      </w:r>
      <w:r>
        <w:rPr>
          <w:rFonts w:ascii="Palatino Linotype" w:hAnsi="Palatino Linotype"/>
          <w:bCs/>
        </w:rPr>
        <w:t xml:space="preserve">y </w:t>
      </w:r>
      <w:r>
        <w:rPr>
          <w:rFonts w:ascii="Palatino Linotype" w:hAnsi="Palatino Linotype"/>
          <w:b/>
          <w:bCs/>
        </w:rPr>
        <w:t>00022/OCOYOAC/IP/2020</w:t>
      </w:r>
      <w:r>
        <w:rPr>
          <w:rFonts w:ascii="Palatino Linotype" w:hAnsi="Palatino Linotype"/>
        </w:rPr>
        <w:t xml:space="preserve">, mediante las cuales requirió vía </w:t>
      </w:r>
      <w:r>
        <w:rPr>
          <w:rFonts w:ascii="Palatino Linotype" w:hAnsi="Palatino Linotype"/>
          <w:b/>
        </w:rPr>
        <w:t>SAIMEX</w:t>
      </w:r>
      <w:r>
        <w:rPr>
          <w:rFonts w:ascii="Palatino Linotype" w:hAnsi="Palatino Linotype"/>
        </w:rPr>
        <w:t>, lo siguiente:</w:t>
      </w:r>
    </w:p>
    <w:p w:rsidR="00232DB1" w:rsidRDefault="00274F0D">
      <w:pPr>
        <w:spacing w:beforeAutospacing="1" w:afterAutospacing="1"/>
        <w:ind w:right="709"/>
        <w:jc w:val="both"/>
        <w:rPr>
          <w:rFonts w:ascii="Palatino Linotype" w:hAnsi="Palatino Linotype" w:cs="Arial"/>
          <w:i/>
          <w:sz w:val="22"/>
          <w:szCs w:val="22"/>
        </w:rPr>
      </w:pPr>
      <w:r>
        <w:rPr>
          <w:rFonts w:ascii="Palatino Linotype" w:hAnsi="Palatino Linotype"/>
          <w:b/>
          <w:bCs/>
        </w:rPr>
        <w:t>00020/OCOYOAC/IP/2020</w:t>
      </w:r>
    </w:p>
    <w:p w:rsidR="00232DB1" w:rsidRDefault="00274F0D">
      <w:pPr>
        <w:spacing w:beforeAutospacing="1" w:afterAutospacing="1"/>
        <w:ind w:left="851" w:right="709"/>
        <w:jc w:val="both"/>
        <w:rPr>
          <w:rFonts w:ascii="Palatino Linotype" w:hAnsi="Palatino Linotype" w:cs="Arial"/>
          <w:i/>
          <w:sz w:val="22"/>
          <w:szCs w:val="22"/>
        </w:rPr>
      </w:pPr>
      <w:r>
        <w:rPr>
          <w:rFonts w:ascii="Palatino Linotype" w:hAnsi="Palatino Linotype" w:cs="Arial"/>
          <w:i/>
          <w:sz w:val="22"/>
          <w:szCs w:val="22"/>
        </w:rPr>
        <w:t>“solicito el organigrama de la dirección general de obras publicas.” (Sic)</w:t>
      </w:r>
    </w:p>
    <w:p w:rsidR="00232DB1" w:rsidRDefault="00274F0D">
      <w:pPr>
        <w:spacing w:beforeAutospacing="1" w:afterAutospacing="1"/>
        <w:ind w:right="709"/>
        <w:jc w:val="both"/>
        <w:rPr>
          <w:rFonts w:ascii="Palatino Linotype" w:hAnsi="Palatino Linotype" w:cs="Arial"/>
          <w:i/>
          <w:sz w:val="22"/>
          <w:szCs w:val="22"/>
        </w:rPr>
      </w:pPr>
      <w:r>
        <w:rPr>
          <w:rFonts w:ascii="Palatino Linotype" w:hAnsi="Palatino Linotype"/>
          <w:b/>
          <w:bCs/>
        </w:rPr>
        <w:t>00021/OCOYOAC/IP/2020</w:t>
      </w:r>
    </w:p>
    <w:p w:rsidR="00232DB1" w:rsidRDefault="00274F0D">
      <w:pPr>
        <w:spacing w:beforeAutospacing="1" w:afterAutospacing="1"/>
        <w:ind w:left="851" w:right="709"/>
        <w:jc w:val="both"/>
        <w:rPr>
          <w:rFonts w:ascii="Palatino Linotype" w:hAnsi="Palatino Linotype" w:cs="Arial"/>
          <w:i/>
          <w:sz w:val="22"/>
          <w:szCs w:val="22"/>
        </w:rPr>
      </w:pPr>
      <w:r>
        <w:rPr>
          <w:rFonts w:ascii="Palatino Linotype" w:hAnsi="Palatino Linotype" w:cs="Arial"/>
          <w:i/>
          <w:sz w:val="22"/>
          <w:szCs w:val="22"/>
        </w:rPr>
        <w:t>“solicito el organigrama de la dirección general de bienestar social.” (Sic)</w:t>
      </w:r>
    </w:p>
    <w:p w:rsidR="00232DB1" w:rsidRDefault="00274F0D">
      <w:pPr>
        <w:spacing w:beforeAutospacing="1" w:afterAutospacing="1"/>
        <w:ind w:right="709"/>
        <w:jc w:val="both"/>
        <w:rPr>
          <w:rFonts w:ascii="Palatino Linotype" w:hAnsi="Palatino Linotype" w:cs="Arial"/>
          <w:i/>
          <w:sz w:val="22"/>
          <w:szCs w:val="22"/>
        </w:rPr>
      </w:pPr>
      <w:r>
        <w:rPr>
          <w:rFonts w:ascii="Palatino Linotype" w:hAnsi="Palatino Linotype"/>
          <w:b/>
          <w:bCs/>
        </w:rPr>
        <w:lastRenderedPageBreak/>
        <w:t>00022/OCOYOAC/IP/2020</w:t>
      </w:r>
    </w:p>
    <w:p w:rsidR="00232DB1" w:rsidRDefault="00274F0D">
      <w:pPr>
        <w:spacing w:beforeAutospacing="1" w:afterAutospacing="1"/>
        <w:ind w:left="851" w:right="709"/>
        <w:jc w:val="both"/>
        <w:rPr>
          <w:rFonts w:ascii="Palatino Linotype" w:hAnsi="Palatino Linotype" w:cs="Arial"/>
          <w:i/>
          <w:sz w:val="22"/>
          <w:szCs w:val="22"/>
        </w:rPr>
      </w:pPr>
      <w:r>
        <w:rPr>
          <w:rFonts w:ascii="Palatino Linotype" w:hAnsi="Palatino Linotype" w:cs="Arial"/>
          <w:i/>
          <w:sz w:val="22"/>
          <w:szCs w:val="22"/>
        </w:rPr>
        <w:t>“solicito el organigrama de la SECRETARIA DEL AYUNTAMIENTO.” (Sic)</w:t>
      </w:r>
    </w:p>
    <w:p w:rsidR="00232DB1" w:rsidRDefault="00274F0D">
      <w:pPr>
        <w:pStyle w:val="Prrafodelista"/>
        <w:numPr>
          <w:ilvl w:val="0"/>
          <w:numId w:val="7"/>
        </w:numPr>
        <w:spacing w:before="240" w:after="240" w:line="360" w:lineRule="auto"/>
        <w:ind w:left="0" w:firstLine="0"/>
        <w:jc w:val="both"/>
        <w:rPr>
          <w:rFonts w:ascii="Palatino Linotype" w:hAnsi="Palatino Linotype" w:cs="Arial"/>
        </w:rPr>
      </w:pPr>
      <w:r>
        <w:rPr>
          <w:rFonts w:ascii="Palatino Linotype" w:hAnsi="Palatino Linotype" w:cs="Arial"/>
        </w:rPr>
        <w:t xml:space="preserve">De las constancias que integran los expedientes electrónicos del </w:t>
      </w:r>
      <w:r>
        <w:rPr>
          <w:rFonts w:ascii="Palatino Linotype" w:hAnsi="Palatino Linotype" w:cs="Arial"/>
          <w:b/>
        </w:rPr>
        <w:t>SAIMEX</w:t>
      </w:r>
      <w:r>
        <w:rPr>
          <w:rFonts w:ascii="Palatino Linotype" w:hAnsi="Palatino Linotype" w:cs="Arial"/>
        </w:rPr>
        <w:t xml:space="preserve">, se advierte que, en fecha veintisiete de enero de dos mil veinte, el Titular de la Unidad de Transparencia, mediante los folios números </w:t>
      </w:r>
      <w:r>
        <w:rPr>
          <w:rFonts w:ascii="Palatino Linotype" w:hAnsi="Palatino Linotype"/>
          <w:b/>
          <w:bCs/>
        </w:rPr>
        <w:t xml:space="preserve">00020/OCOYOAC/IP/2020/TSP/0001, 00021/OCOYOAC/IP/2020/TSP/0001 </w:t>
      </w:r>
      <w:r>
        <w:rPr>
          <w:rFonts w:ascii="Palatino Linotype" w:hAnsi="Palatino Linotype"/>
          <w:bCs/>
        </w:rPr>
        <w:t xml:space="preserve">y </w:t>
      </w:r>
      <w:r>
        <w:rPr>
          <w:rFonts w:ascii="Palatino Linotype" w:hAnsi="Palatino Linotype"/>
          <w:b/>
          <w:bCs/>
        </w:rPr>
        <w:t xml:space="preserve">00022/OCOYOAC/IP/2020/TSP/0001, </w:t>
      </w:r>
      <w:r>
        <w:rPr>
          <w:rFonts w:ascii="Palatino Linotype" w:hAnsi="Palatino Linotype"/>
          <w:bCs/>
        </w:rPr>
        <w:t>turnó los requerimientos de información al Líder de Proyecto A, en su calidad de Servidor Público Habilitado</w:t>
      </w:r>
      <w:r>
        <w:rPr>
          <w:rStyle w:val="FootnoteAnchor"/>
          <w:rFonts w:ascii="Palatino Linotype" w:hAnsi="Palatino Linotype"/>
          <w:bCs/>
        </w:rPr>
        <w:footnoteReference w:id="1"/>
      </w:r>
      <w:r>
        <w:rPr>
          <w:rFonts w:ascii="Palatino Linotype" w:hAnsi="Palatino Linotype"/>
          <w:bCs/>
        </w:rPr>
        <w:t>, a fin de colmar las solicitudes de acceso a la información. Tal y como se aprecia en las siguientes imágenes:</w:t>
      </w:r>
    </w:p>
    <w:p w:rsidR="00232DB1" w:rsidRDefault="00274F0D">
      <w:pPr>
        <w:pStyle w:val="Prrafodelista"/>
        <w:spacing w:before="240" w:after="240" w:line="360" w:lineRule="auto"/>
        <w:ind w:left="0"/>
        <w:jc w:val="both"/>
        <w:rPr>
          <w:rFonts w:ascii="Palatino Linotype" w:hAnsi="Palatino Linotype" w:cs="Arial"/>
        </w:rPr>
      </w:pPr>
      <w:r>
        <w:rPr>
          <w:noProof/>
          <w:lang w:eastAsia="es-MX"/>
        </w:rPr>
        <w:drawing>
          <wp:inline distT="0" distB="0" distL="0" distR="0">
            <wp:extent cx="5772150" cy="838200"/>
            <wp:effectExtent l="0" t="0" r="0" b="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2"/>
                    <pic:cNvPicPr>
                      <a:picLocks noChangeAspect="1" noChangeArrowheads="1"/>
                    </pic:cNvPicPr>
                  </pic:nvPicPr>
                  <pic:blipFill>
                    <a:blip r:embed="rId8"/>
                    <a:srcRect l="13156" t="31009" r="13334" b="56127"/>
                    <a:stretch>
                      <a:fillRect/>
                    </a:stretch>
                  </pic:blipFill>
                  <pic:spPr bwMode="auto">
                    <a:xfrm>
                      <a:off x="0" y="0"/>
                      <a:ext cx="5772150" cy="838200"/>
                    </a:xfrm>
                    <a:prstGeom prst="rect">
                      <a:avLst/>
                    </a:prstGeom>
                  </pic:spPr>
                </pic:pic>
              </a:graphicData>
            </a:graphic>
          </wp:inline>
        </w:drawing>
      </w:r>
    </w:p>
    <w:p w:rsidR="00232DB1" w:rsidRDefault="00274F0D">
      <w:pPr>
        <w:pStyle w:val="Prrafodelista"/>
        <w:spacing w:before="240" w:after="240" w:line="360" w:lineRule="auto"/>
        <w:ind w:left="0"/>
        <w:jc w:val="both"/>
        <w:rPr>
          <w:rFonts w:ascii="Palatino Linotype" w:hAnsi="Palatino Linotype" w:cs="Arial"/>
        </w:rPr>
      </w:pPr>
      <w:r>
        <w:rPr>
          <w:noProof/>
          <w:lang w:eastAsia="es-MX"/>
        </w:rPr>
        <w:drawing>
          <wp:inline distT="0" distB="0" distL="0" distR="0">
            <wp:extent cx="5753100" cy="933450"/>
            <wp:effectExtent l="0" t="0" r="0" b="0"/>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3"/>
                    <pic:cNvPicPr>
                      <a:picLocks noChangeAspect="1" noChangeArrowheads="1"/>
                    </pic:cNvPicPr>
                  </pic:nvPicPr>
                  <pic:blipFill>
                    <a:blip r:embed="rId9"/>
                    <a:srcRect l="13322" t="32180" r="13007" b="52623"/>
                    <a:stretch>
                      <a:fillRect/>
                    </a:stretch>
                  </pic:blipFill>
                  <pic:spPr bwMode="auto">
                    <a:xfrm>
                      <a:off x="0" y="0"/>
                      <a:ext cx="5753100" cy="933450"/>
                    </a:xfrm>
                    <a:prstGeom prst="rect">
                      <a:avLst/>
                    </a:prstGeom>
                  </pic:spPr>
                </pic:pic>
              </a:graphicData>
            </a:graphic>
          </wp:inline>
        </w:drawing>
      </w:r>
    </w:p>
    <w:p w:rsidR="00232DB1" w:rsidRDefault="00274F0D">
      <w:pPr>
        <w:pStyle w:val="Prrafodelista"/>
        <w:spacing w:before="240" w:after="240" w:line="360" w:lineRule="auto"/>
        <w:ind w:left="0"/>
        <w:jc w:val="both"/>
        <w:rPr>
          <w:rFonts w:ascii="Palatino Linotype" w:hAnsi="Palatino Linotype" w:cs="Arial"/>
        </w:rPr>
      </w:pPr>
      <w:r>
        <w:rPr>
          <w:noProof/>
          <w:lang w:eastAsia="es-MX"/>
        </w:rPr>
        <w:drawing>
          <wp:inline distT="0" distB="0" distL="0" distR="0">
            <wp:extent cx="5762625" cy="981075"/>
            <wp:effectExtent l="0" t="0" r="0" b="0"/>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4"/>
                    <pic:cNvPicPr>
                      <a:picLocks noChangeAspect="1" noChangeArrowheads="1"/>
                    </pic:cNvPicPr>
                  </pic:nvPicPr>
                  <pic:blipFill>
                    <a:blip r:embed="rId10"/>
                    <a:srcRect l="12990" t="30719" r="13334" b="56422"/>
                    <a:stretch>
                      <a:fillRect/>
                    </a:stretch>
                  </pic:blipFill>
                  <pic:spPr bwMode="auto">
                    <a:xfrm>
                      <a:off x="0" y="0"/>
                      <a:ext cx="5762625" cy="981075"/>
                    </a:xfrm>
                    <a:prstGeom prst="rect">
                      <a:avLst/>
                    </a:prstGeom>
                  </pic:spPr>
                </pic:pic>
              </a:graphicData>
            </a:graphic>
          </wp:inline>
        </w:drawing>
      </w:r>
    </w:p>
    <w:p w:rsidR="00232DB1" w:rsidRDefault="00274F0D">
      <w:pPr>
        <w:pStyle w:val="Prrafodelista"/>
        <w:numPr>
          <w:ilvl w:val="0"/>
          <w:numId w:val="7"/>
        </w:numPr>
        <w:spacing w:beforeAutospacing="1" w:afterAutospacing="1" w:line="360" w:lineRule="auto"/>
        <w:ind w:left="0" w:right="709" w:firstLine="0"/>
        <w:jc w:val="both"/>
        <w:rPr>
          <w:rFonts w:ascii="Palatino Linotype" w:hAnsi="Palatino Linotype"/>
          <w:b/>
          <w:bCs/>
        </w:rPr>
      </w:pPr>
      <w:r>
        <w:rPr>
          <w:rFonts w:ascii="Palatino Linotype" w:hAnsi="Palatino Linotype" w:cs="Arial"/>
        </w:rPr>
        <w:lastRenderedPageBreak/>
        <w:t xml:space="preserve"> Posteriormente, en fecha trece de febrero de dos mil veinte, </w:t>
      </w:r>
      <w:r>
        <w:rPr>
          <w:rFonts w:ascii="Palatino Linotype" w:hAnsi="Palatino Linotype" w:cs="Arial"/>
          <w:b/>
        </w:rPr>
        <w:t xml:space="preserve">EL SUJETO OBLIGADO </w:t>
      </w:r>
      <w:r>
        <w:rPr>
          <w:rFonts w:ascii="Palatino Linotype" w:hAnsi="Palatino Linotype" w:cs="Arial"/>
        </w:rPr>
        <w:t xml:space="preserve">dio respuesta a las solicitudes de mérito, en términos análogos; por lo que, en obvio de representaciones innecesarias, sólo se plasma la respuesta recaída a la solicitud de acceso a la información número </w:t>
      </w:r>
      <w:r>
        <w:rPr>
          <w:rFonts w:ascii="Palatino Linotype" w:hAnsi="Palatino Linotype"/>
          <w:b/>
          <w:bCs/>
        </w:rPr>
        <w:t xml:space="preserve">00020/OCOYOAC/IP/2020, </w:t>
      </w:r>
      <w:r>
        <w:rPr>
          <w:rFonts w:ascii="Palatino Linotype" w:hAnsi="Palatino Linotype"/>
          <w:bCs/>
        </w:rPr>
        <w:t xml:space="preserve"> consistente en la siguiente:</w:t>
      </w:r>
    </w:p>
    <w:p w:rsidR="00232DB1" w:rsidRDefault="00274F0D">
      <w:pPr>
        <w:spacing w:beforeAutospacing="1" w:afterAutospacing="1"/>
        <w:ind w:left="851" w:right="899"/>
        <w:jc w:val="both"/>
        <w:rPr>
          <w:rFonts w:ascii="Palatino Linotype" w:hAnsi="Palatino Linotype" w:cs="Arial"/>
          <w:i/>
          <w:sz w:val="22"/>
          <w:szCs w:val="22"/>
        </w:rPr>
      </w:pPr>
      <w:r>
        <w:rPr>
          <w:rFonts w:ascii="Palatino Linotype" w:hAnsi="Palatino Linotype" w:cs="Arial"/>
          <w:i/>
          <w:sz w:val="22"/>
          <w:szCs w:val="22"/>
        </w:rPr>
        <w:t>“ESTIMADO SOLICITANTE P R E S E N T E Por medio del presente y en atención a su solicitud de acceso a la información con folio 00020/OCOYOAC/IP/2019, ingresada a través del Sistema de Acceso a la Información Mexiquense en la que requiere lo siguiente: “solicito el organigrama de la dirección general de obras publicas” (Sic). Con fundamento en lo dispuesto por los artículos 4, 7, 8, 9, 12, párrafo segundo, 23 Fracción IV y 53 Fracciones II, IV y V de la Ley de Transparencia y Acceso a la Información Pública del Estado de México y Municipios, hago de su conocimiento que: Se adjunta la respuesta a su solicitud en apego a lo previsto en el segundo párrafo del artículo 12 de la Ley de Transparencia y Acceso a la Información Pública que a la letra dice: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Así mismo, se hace de su conocimiento que el organigrama de este sujeto obligado, podrá encontrarlo en el siguiente link. https://www.ipomex.org.mx/ipo3/lgt/indice/OCOYOAC/art_92_ii_b.web Finalmente, se hace de su conocimiento que cuenta con un periodo de 15 días hábiles para recurrir la presente respuesta, con fundamento en lo previsto por los artículos 176, 177, 178 y 179 de la Ley de Transparencia y Acceso a la Información Pública y demás relativos y aplicables. Sin más que agregar al presente, le envío un cordial saludo”. (Sic)</w:t>
      </w:r>
    </w:p>
    <w:p w:rsidR="00232DB1" w:rsidRDefault="00274F0D">
      <w:pPr>
        <w:pStyle w:val="Prrafodelista"/>
        <w:spacing w:beforeAutospacing="1" w:afterAutospacing="1" w:line="360" w:lineRule="auto"/>
        <w:ind w:left="0" w:right="49"/>
        <w:jc w:val="both"/>
        <w:rPr>
          <w:rFonts w:ascii="Palatino Linotype" w:hAnsi="Palatino Linotype" w:cs="Arial"/>
          <w:szCs w:val="22"/>
        </w:rPr>
      </w:pPr>
      <w:bookmarkStart w:id="1" w:name="_Ref531692384"/>
      <w:bookmarkStart w:id="2" w:name="_Ref516764469"/>
      <w:bookmarkStart w:id="3" w:name="_Ref507070922"/>
      <w:bookmarkEnd w:id="1"/>
      <w:bookmarkEnd w:id="2"/>
      <w:r>
        <w:rPr>
          <w:rFonts w:ascii="Palatino Linotype" w:hAnsi="Palatino Linotype" w:cs="Arial"/>
          <w:szCs w:val="22"/>
        </w:rPr>
        <w:t xml:space="preserve">Asimismo, </w:t>
      </w:r>
      <w:r>
        <w:rPr>
          <w:rFonts w:ascii="Palatino Linotype" w:hAnsi="Palatino Linotype" w:cs="Arial"/>
          <w:b/>
          <w:szCs w:val="22"/>
        </w:rPr>
        <w:t>EL SUJETO OBLIGADO</w:t>
      </w:r>
      <w:r>
        <w:rPr>
          <w:rFonts w:ascii="Palatino Linotype" w:hAnsi="Palatino Linotype" w:cs="Arial"/>
          <w:szCs w:val="22"/>
        </w:rPr>
        <w:t xml:space="preserve"> adjunto a su respuesta los siguientes archivos electrónicos:</w:t>
      </w:r>
    </w:p>
    <w:p w:rsidR="00232DB1" w:rsidRDefault="00274F0D">
      <w:pPr>
        <w:pStyle w:val="Prrafodelista"/>
        <w:spacing w:beforeAutospacing="1" w:afterAutospacing="1" w:line="360" w:lineRule="auto"/>
        <w:ind w:left="0" w:right="49"/>
        <w:jc w:val="both"/>
        <w:rPr>
          <w:rFonts w:ascii="Palatino Linotype" w:hAnsi="Palatino Linotype" w:cs="Arial"/>
          <w:szCs w:val="22"/>
        </w:rPr>
      </w:pPr>
      <w:r>
        <w:rPr>
          <w:noProof/>
          <w:lang w:eastAsia="es-MX"/>
        </w:rPr>
        <w:lastRenderedPageBreak/>
        <w:drawing>
          <wp:inline distT="0" distB="0" distL="0" distR="0">
            <wp:extent cx="5695950" cy="7096125"/>
            <wp:effectExtent l="0" t="0" r="0" b="0"/>
            <wp:docPr id="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6"/>
                    <pic:cNvPicPr>
                      <a:picLocks noChangeAspect="1" noChangeArrowheads="1"/>
                    </pic:cNvPicPr>
                  </pic:nvPicPr>
                  <pic:blipFill>
                    <a:blip r:embed="rId11"/>
                    <a:srcRect l="31083" t="14331" r="32743" b="6398"/>
                    <a:stretch>
                      <a:fillRect/>
                    </a:stretch>
                  </pic:blipFill>
                  <pic:spPr bwMode="auto">
                    <a:xfrm>
                      <a:off x="0" y="0"/>
                      <a:ext cx="5695950" cy="7096125"/>
                    </a:xfrm>
                    <a:prstGeom prst="rect">
                      <a:avLst/>
                    </a:prstGeom>
                  </pic:spPr>
                </pic:pic>
              </a:graphicData>
            </a:graphic>
          </wp:inline>
        </w:drawing>
      </w:r>
    </w:p>
    <w:p w:rsidR="00232DB1" w:rsidRDefault="00274F0D">
      <w:pPr>
        <w:pStyle w:val="Prrafodelista"/>
        <w:spacing w:beforeAutospacing="1" w:afterAutospacing="1" w:line="360" w:lineRule="auto"/>
        <w:ind w:left="0" w:right="49"/>
        <w:jc w:val="both"/>
      </w:pPr>
      <w:r>
        <w:rPr>
          <w:noProof/>
          <w:lang w:eastAsia="es-MX"/>
        </w:rPr>
        <w:lastRenderedPageBreak/>
        <w:drawing>
          <wp:inline distT="0" distB="0" distL="0" distR="0">
            <wp:extent cx="5667375" cy="6991350"/>
            <wp:effectExtent l="0" t="0" r="0" b="0"/>
            <wp:docPr id="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5"/>
                    <pic:cNvPicPr>
                      <a:picLocks noChangeAspect="1" noChangeArrowheads="1"/>
                    </pic:cNvPicPr>
                  </pic:nvPicPr>
                  <pic:blipFill>
                    <a:blip r:embed="rId12"/>
                    <a:srcRect l="35197" t="21353" r="35045" b="10497"/>
                    <a:stretch>
                      <a:fillRect/>
                    </a:stretch>
                  </pic:blipFill>
                  <pic:spPr bwMode="auto">
                    <a:xfrm>
                      <a:off x="0" y="0"/>
                      <a:ext cx="5667375" cy="6991350"/>
                    </a:xfrm>
                    <a:prstGeom prst="rect">
                      <a:avLst/>
                    </a:prstGeom>
                  </pic:spPr>
                </pic:pic>
              </a:graphicData>
            </a:graphic>
          </wp:inline>
        </w:drawing>
      </w:r>
    </w:p>
    <w:p w:rsidR="00232DB1" w:rsidRDefault="00274F0D">
      <w:pPr>
        <w:pStyle w:val="Prrafodelista"/>
        <w:spacing w:beforeAutospacing="1" w:afterAutospacing="1" w:line="360" w:lineRule="auto"/>
        <w:ind w:left="0" w:right="49"/>
        <w:jc w:val="both"/>
        <w:rPr>
          <w:rFonts w:ascii="Palatino Linotype" w:hAnsi="Palatino Linotype" w:cs="Arial"/>
          <w:szCs w:val="22"/>
        </w:rPr>
      </w:pPr>
      <w:r>
        <w:rPr>
          <w:noProof/>
          <w:lang w:eastAsia="es-MX"/>
        </w:rPr>
        <w:lastRenderedPageBreak/>
        <mc:AlternateContent>
          <mc:Choice Requires="wps">
            <w:drawing>
              <wp:inline distT="0" distB="0" distL="0" distR="0" wp14:anchorId="1989EFBD">
                <wp:extent cx="7175500" cy="5739130"/>
                <wp:effectExtent l="0" t="6033" r="1588" b="1587"/>
                <wp:docPr id="6"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11516" t="21939" r="13004" b="10787"/>
                        <a:stretch/>
                      </pic:blipFill>
                      <pic:spPr>
                        <a:xfrm rot="5400000">
                          <a:off x="0" y="0"/>
                          <a:ext cx="7174800" cy="573840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56.5pt;margin-top:-508.45pt;width:564.9pt;height:451.8pt;rotation:90;mso-position-vertical:top" wp14:anchorId="1989EFBD" type="shapetype_75">
                <v:imagedata r:id="rId14" o:detectmouseclick="t"/>
                <w10:wrap type="none"/>
                <v:stroke color="#3465a4" joinstyle="round" endcap="flat"/>
              </v:shape>
            </w:pict>
          </mc:Fallback>
        </mc:AlternateContent>
      </w:r>
    </w:p>
    <w:p w:rsidR="00232DB1" w:rsidRDefault="00274F0D">
      <w:pPr>
        <w:pStyle w:val="Prrafodelista"/>
        <w:numPr>
          <w:ilvl w:val="0"/>
          <w:numId w:val="7"/>
        </w:numPr>
        <w:spacing w:beforeAutospacing="1" w:afterAutospacing="1" w:line="360" w:lineRule="auto"/>
        <w:ind w:left="0" w:right="51" w:firstLine="0"/>
        <w:jc w:val="both"/>
        <w:rPr>
          <w:rFonts w:ascii="Palatino Linotype" w:hAnsi="Palatino Linotype" w:cs="Arial"/>
          <w:i/>
          <w:sz w:val="22"/>
          <w:szCs w:val="22"/>
        </w:rPr>
      </w:pPr>
      <w:r>
        <w:rPr>
          <w:rFonts w:ascii="Palatino Linotype" w:hAnsi="Palatino Linotype"/>
        </w:rPr>
        <w:lastRenderedPageBreak/>
        <w:t xml:space="preserve">Inconforme con las respuestas, en fecha veintiséis de febrero de dos mil veinte, </w:t>
      </w:r>
      <w:r>
        <w:rPr>
          <w:rFonts w:ascii="Palatino Linotype" w:hAnsi="Palatino Linotype" w:cs="Arial"/>
          <w:b/>
        </w:rPr>
        <w:t>EL RECURRENTE</w:t>
      </w:r>
      <w:r>
        <w:rPr>
          <w:rFonts w:ascii="Palatino Linotype" w:hAnsi="Palatino Linotype"/>
        </w:rPr>
        <w:t>, a través del</w:t>
      </w:r>
      <w:r>
        <w:rPr>
          <w:rFonts w:ascii="Palatino Linotype" w:hAnsi="Palatino Linotype"/>
          <w:b/>
        </w:rPr>
        <w:t xml:space="preserve"> SAIMEX, </w:t>
      </w:r>
      <w:r>
        <w:rPr>
          <w:rFonts w:ascii="Palatino Linotype" w:hAnsi="Palatino Linotype"/>
        </w:rPr>
        <w:t xml:space="preserve">interpuso los recursos de revisión objeto del </w:t>
      </w:r>
      <w:r>
        <w:rPr>
          <w:rFonts w:ascii="Palatino Linotype" w:hAnsi="Palatino Linotype" w:cs="Arial"/>
        </w:rPr>
        <w:t>presente</w:t>
      </w:r>
      <w:r>
        <w:rPr>
          <w:rFonts w:ascii="Palatino Linotype" w:hAnsi="Palatino Linotype"/>
        </w:rPr>
        <w:t xml:space="preserve"> estudio, a los que se les asignaron los </w:t>
      </w:r>
      <w:r>
        <w:rPr>
          <w:rFonts w:ascii="Palatino Linotype" w:hAnsi="Palatino Linotype" w:cs="Arial"/>
        </w:rPr>
        <w:t>números al rubro citados, en los que señaló, en todos ellos, como actos impugnados lo siguiente:</w:t>
      </w:r>
      <w:bookmarkEnd w:id="3"/>
    </w:p>
    <w:p w:rsidR="00232DB1" w:rsidRDefault="00274F0D">
      <w:pPr>
        <w:spacing w:beforeAutospacing="1" w:afterAutospacing="1"/>
        <w:ind w:left="851" w:right="-93"/>
        <w:jc w:val="both"/>
        <w:rPr>
          <w:rFonts w:ascii="Palatino Linotype" w:hAnsi="Palatino Linotype" w:cs="Arial"/>
          <w:i/>
          <w:sz w:val="22"/>
          <w:szCs w:val="22"/>
        </w:rPr>
      </w:pPr>
      <w:r>
        <w:rPr>
          <w:rFonts w:ascii="Palatino Linotype" w:hAnsi="Palatino Linotype" w:cs="Arial"/>
          <w:i/>
          <w:sz w:val="22"/>
          <w:szCs w:val="22"/>
        </w:rPr>
        <w:t>“respuesta a la solicitud de información” (Sic)</w:t>
      </w:r>
    </w:p>
    <w:p w:rsidR="00232DB1" w:rsidRDefault="00274F0D">
      <w:pPr>
        <w:pStyle w:val="Prrafodelista"/>
        <w:spacing w:beforeAutospacing="1" w:afterAutospacing="1" w:line="360" w:lineRule="auto"/>
        <w:ind w:left="0"/>
        <w:jc w:val="both"/>
        <w:rPr>
          <w:rFonts w:ascii="Palatino Linotype" w:hAnsi="Palatino Linotype"/>
        </w:rPr>
      </w:pPr>
      <w:r>
        <w:rPr>
          <w:rFonts w:ascii="Palatino Linotype" w:hAnsi="Palatino Linotype" w:cs="Arial"/>
        </w:rPr>
        <w:t>Asimismo</w:t>
      </w:r>
      <w:r>
        <w:rPr>
          <w:rFonts w:ascii="Palatino Linotype" w:hAnsi="Palatino Linotype"/>
        </w:rPr>
        <w:t xml:space="preserve">, </w:t>
      </w:r>
      <w:r>
        <w:rPr>
          <w:rFonts w:ascii="Palatino Linotype" w:hAnsi="Palatino Linotype" w:cs="Arial"/>
          <w:b/>
        </w:rPr>
        <w:t xml:space="preserve">EL RECURRENTE </w:t>
      </w:r>
      <w:r>
        <w:rPr>
          <w:rFonts w:ascii="Palatino Linotype" w:hAnsi="Palatino Linotype"/>
        </w:rPr>
        <w:t>indicó como razones o motivos de inconformidad:</w:t>
      </w:r>
    </w:p>
    <w:p w:rsidR="00232DB1" w:rsidRDefault="00274F0D">
      <w:pPr>
        <w:spacing w:beforeAutospacing="1" w:afterAutospacing="1"/>
        <w:ind w:left="851" w:right="899"/>
        <w:jc w:val="both"/>
        <w:rPr>
          <w:rFonts w:ascii="Palatino Linotype" w:hAnsi="Palatino Linotype" w:cs="Arial"/>
          <w:i/>
          <w:sz w:val="22"/>
          <w:szCs w:val="22"/>
        </w:rPr>
      </w:pPr>
      <w:r>
        <w:rPr>
          <w:rFonts w:ascii="Palatino Linotype" w:hAnsi="Palatino Linotype" w:cs="Arial"/>
          <w:i/>
          <w:sz w:val="22"/>
          <w:szCs w:val="22"/>
        </w:rPr>
        <w:t>“no me entregan la información solicitada, están obligados a tener un organigrama por área.” (Sic)</w:t>
      </w:r>
    </w:p>
    <w:p w:rsidR="00232DB1" w:rsidRDefault="00274F0D">
      <w:pPr>
        <w:pStyle w:val="Prrafodelista"/>
        <w:widowControl w:val="0"/>
        <w:numPr>
          <w:ilvl w:val="0"/>
          <w:numId w:val="7"/>
        </w:numPr>
        <w:tabs>
          <w:tab w:val="left" w:pos="0"/>
        </w:tabs>
        <w:spacing w:before="240" w:after="240" w:line="360" w:lineRule="auto"/>
        <w:ind w:left="0" w:firstLine="0"/>
        <w:jc w:val="both"/>
        <w:rPr>
          <w:rFonts w:ascii="Palatino Linotype" w:hAnsi="Palatino Linotype" w:cs="Arial"/>
          <w:lang w:val="es-ES_tradnl"/>
        </w:rPr>
      </w:pPr>
      <w:r>
        <w:rPr>
          <w:rFonts w:ascii="Palatino Linotype" w:hAnsi="Palatino Linotype" w:cs="Arial"/>
        </w:rPr>
        <w:t>En fecha veintiséis</w:t>
      </w:r>
      <w:r>
        <w:rPr>
          <w:rFonts w:ascii="Palatino Linotype" w:hAnsi="Palatino Linotype"/>
        </w:rPr>
        <w:t xml:space="preserve"> de febrero de dos mil veinte</w:t>
      </w:r>
      <w:r>
        <w:rPr>
          <w:rFonts w:ascii="Palatino Linotype" w:hAnsi="Palatino Linotype" w:cs="Arial"/>
        </w:rPr>
        <w:t>, los recursos de que se trata se enviaron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turnándose,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el recurso de revisión </w:t>
      </w:r>
      <w:r>
        <w:rPr>
          <w:rFonts w:ascii="Palatino Linotype" w:hAnsi="Palatino Linotype"/>
          <w:b/>
        </w:rPr>
        <w:t xml:space="preserve">01232/INFOEM/IP/RR/2020 </w:t>
      </w:r>
      <w:r>
        <w:rPr>
          <w:rFonts w:ascii="Palatino Linotype" w:hAnsi="Palatino Linotype"/>
        </w:rPr>
        <w:t xml:space="preserve">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lang w:val="es-ES_tradnl"/>
        </w:rPr>
        <w:t xml:space="preserve">; el </w:t>
      </w:r>
      <w:r>
        <w:rPr>
          <w:rFonts w:ascii="Palatino Linotype" w:hAnsi="Palatino Linotype"/>
          <w:b/>
        </w:rPr>
        <w:t xml:space="preserve">01233/INFOEM/IP/RR/2020 </w:t>
      </w:r>
      <w:r>
        <w:rPr>
          <w:rFonts w:ascii="Palatino Linotype" w:hAnsi="Palatino Linotype"/>
        </w:rPr>
        <w:t xml:space="preserve">al Comisionado </w:t>
      </w:r>
      <w:r>
        <w:rPr>
          <w:rFonts w:ascii="Palatino Linotype" w:hAnsi="Palatino Linotype"/>
          <w:b/>
        </w:rPr>
        <w:t>JOSÉ GUADALUPE LUNA HERNÁNDEZ</w:t>
      </w:r>
      <w:r>
        <w:rPr>
          <w:rFonts w:ascii="Palatino Linotype" w:hAnsi="Palatino Linotype"/>
        </w:rPr>
        <w:t>; y</w:t>
      </w:r>
      <w:r>
        <w:rPr>
          <w:rFonts w:ascii="Palatino Linotype" w:hAnsi="Palatino Linotype"/>
          <w:b/>
        </w:rPr>
        <w:t xml:space="preserve"> </w:t>
      </w:r>
      <w:r>
        <w:rPr>
          <w:rFonts w:ascii="Palatino Linotype" w:hAnsi="Palatino Linotype"/>
        </w:rPr>
        <w:t xml:space="preserve">el </w:t>
      </w:r>
      <w:r>
        <w:rPr>
          <w:rFonts w:ascii="Palatino Linotype" w:hAnsi="Palatino Linotype"/>
          <w:b/>
        </w:rPr>
        <w:t>01234/INFOEM/IP/RR/2020</w:t>
      </w:r>
      <w:r>
        <w:rPr>
          <w:rFonts w:ascii="Palatino Linotype" w:hAnsi="Palatino Linotype"/>
        </w:rPr>
        <w:t xml:space="preserve"> al Comisionado </w:t>
      </w:r>
      <w:r>
        <w:rPr>
          <w:rFonts w:ascii="Palatino Linotype" w:hAnsi="Palatino Linotype"/>
          <w:b/>
        </w:rPr>
        <w:t xml:space="preserve">JAVIER MARTÍNEZ CRUZ, </w:t>
      </w:r>
      <w:r>
        <w:rPr>
          <w:rFonts w:ascii="Palatino Linotype" w:hAnsi="Palatino Linotype" w:cs="Arial"/>
          <w:lang w:val="es-ES_tradnl"/>
        </w:rPr>
        <w:t>a efecto de que decretaran su admisión o desechamiento.</w:t>
      </w:r>
    </w:p>
    <w:p w:rsidR="00232DB1" w:rsidRDefault="00274F0D">
      <w:pPr>
        <w:pStyle w:val="Prrafodelista"/>
        <w:widowControl w:val="0"/>
        <w:numPr>
          <w:ilvl w:val="0"/>
          <w:numId w:val="7"/>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rPr>
        <w:t xml:space="preserve">En fecha </w:t>
      </w:r>
      <w:r>
        <w:rPr>
          <w:rFonts w:ascii="Palatino Linotype" w:hAnsi="Palatino Linotype"/>
        </w:rPr>
        <w:t>cuatro de marzo de dos mil veinte</w:t>
      </w:r>
      <w:r>
        <w:rPr>
          <w:rFonts w:ascii="Palatino Linotype" w:hAnsi="Palatino Linotype" w:cs="Arial"/>
        </w:rPr>
        <w:t xml:space="preserve">, atento a lo dispuesto en el artículo 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 los referidos recursos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 los expedientes respectivos, mismos que se pusieron a disposición de las partes, para que en el plazo máximo de siete días </w:t>
      </w:r>
      <w:r>
        <w:rPr>
          <w:rFonts w:ascii="Palatino Linotype" w:hAnsi="Palatino Linotype" w:cs="Arial"/>
        </w:rPr>
        <w:lastRenderedPageBreak/>
        <w:t xml:space="preserve">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los Informes Justificados correspondientes.</w:t>
      </w:r>
    </w:p>
    <w:p w:rsidR="00232DB1" w:rsidRDefault="00274F0D">
      <w:pPr>
        <w:pStyle w:val="Prrafodelista"/>
        <w:numPr>
          <w:ilvl w:val="0"/>
          <w:numId w:val="7"/>
        </w:numPr>
        <w:spacing w:before="240" w:after="240" w:line="360" w:lineRule="auto"/>
        <w:ind w:left="0" w:firstLine="0"/>
        <w:jc w:val="both"/>
        <w:rPr>
          <w:rFonts w:ascii="Palatino Linotype" w:hAnsi="Palatino Linotype" w:cs="Arial"/>
        </w:rPr>
      </w:pPr>
      <w:r>
        <w:rPr>
          <w:rFonts w:ascii="Palatino Linotype" w:hAnsi="Palatino Linotype" w:cs="Arial"/>
        </w:rPr>
        <w:t xml:space="preserve">De las constancias que obran en los expedientes electrónicos del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EL SUJETO OBLIGADO</w:t>
      </w:r>
      <w:r>
        <w:rPr>
          <w:rFonts w:ascii="Palatino Linotype" w:hAnsi="Palatino Linotype" w:cs="Arial"/>
        </w:rPr>
        <w:t xml:space="preserve"> no rindió sus Informes Justificados; por su parte, </w:t>
      </w:r>
      <w:r>
        <w:rPr>
          <w:rFonts w:ascii="Palatino Linotype" w:hAnsi="Palatino Linotype" w:cs="Arial"/>
          <w:b/>
        </w:rPr>
        <w:t>EL RECURRENTE</w:t>
      </w:r>
      <w:r>
        <w:rPr>
          <w:rFonts w:ascii="Palatino Linotype" w:hAnsi="Palatino Linotype" w:cs="Arial"/>
        </w:rPr>
        <w:t xml:space="preserve"> no presentó manifestaciones, alegatos ni ofreció los medios de prueba que a su derecho convinieran.</w:t>
      </w:r>
    </w:p>
    <w:p w:rsidR="00232DB1" w:rsidRDefault="00274F0D">
      <w:pPr>
        <w:pStyle w:val="Prrafodelista"/>
        <w:numPr>
          <w:ilvl w:val="0"/>
          <w:numId w:val="2"/>
        </w:numPr>
        <w:spacing w:before="240" w:after="240" w:line="360" w:lineRule="auto"/>
        <w:ind w:left="0" w:firstLine="0"/>
        <w:jc w:val="both"/>
        <w:rPr>
          <w:rFonts w:ascii="Palatino Linotype" w:hAnsi="Palatino Linotype"/>
        </w:rPr>
      </w:pPr>
      <w:r>
        <w:rPr>
          <w:rFonts w:ascii="Palatino Linotype" w:hAnsi="Palatino Linotype"/>
        </w:rPr>
        <w:t xml:space="preserve">Por economía procesal y a fin de evitar la emisión de resoluciones contradictorias, el Pleno de este Instituto determinó la acumulación de los recursos de revisión </w:t>
      </w:r>
      <w:r>
        <w:rPr>
          <w:rFonts w:ascii="Palatino Linotype" w:hAnsi="Palatino Linotype"/>
          <w:b/>
        </w:rPr>
        <w:t xml:space="preserve">01232/INFOEM/IP/RR/2020, 01233/INFOEM/IP/RR/2020, </w:t>
      </w:r>
      <w:r>
        <w:rPr>
          <w:rFonts w:ascii="Palatino Linotype" w:hAnsi="Palatino Linotype"/>
        </w:rPr>
        <w:t xml:space="preserve">y </w:t>
      </w:r>
      <w:r>
        <w:rPr>
          <w:rFonts w:ascii="Palatino Linotype" w:hAnsi="Palatino Linotype"/>
          <w:b/>
        </w:rPr>
        <w:t>01234/INFOEM/IP/RR/2020</w:t>
      </w:r>
      <w:r>
        <w:rPr>
          <w:rFonts w:ascii="Palatino Linotype" w:hAnsi="Palatino Linotype" w:cs="Arial"/>
          <w:b/>
          <w:bCs/>
        </w:rPr>
        <w:t xml:space="preserve">, </w:t>
      </w:r>
      <w:r>
        <w:rPr>
          <w:rFonts w:ascii="Palatino Linotype" w:hAnsi="Palatino Linotype"/>
        </w:rPr>
        <w:t xml:space="preserve">en la Novena Sesión Ordinaria, de fecha once de marzo de dos mil veinte, el Pleno de este Instituto determinó la acumulación de los Recursos de Revisión, turnándose a la Comisionada </w:t>
      </w:r>
      <w:r>
        <w:rPr>
          <w:rFonts w:ascii="Palatino Linotype" w:hAnsi="Palatino Linotype"/>
          <w:b/>
        </w:rPr>
        <w:t>EVA ABAID YAPUR</w:t>
      </w:r>
      <w:r>
        <w:rPr>
          <w:rFonts w:ascii="Palatino Linotype" w:hAnsi="Palatino Linotype"/>
        </w:rPr>
        <w:t xml:space="preserve"> para que 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w:t>
      </w:r>
    </w:p>
    <w:p w:rsidR="00232DB1" w:rsidRDefault="00274F0D">
      <w:pPr>
        <w:pStyle w:val="Prrafodelista"/>
        <w:numPr>
          <w:ilvl w:val="0"/>
          <w:numId w:val="2"/>
        </w:numPr>
        <w:spacing w:before="240" w:after="240" w:line="360" w:lineRule="auto"/>
        <w:ind w:left="0" w:firstLine="0"/>
        <w:jc w:val="both"/>
        <w:rPr>
          <w:rFonts w:ascii="Palatino Linotype" w:hAnsi="Palatino Linotype"/>
        </w:rPr>
      </w:pPr>
      <w:r>
        <w:rPr>
          <w:rFonts w:ascii="Palatino Linotype" w:hAnsi="Palatino Linotype" w:cs="Arial"/>
        </w:rPr>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guardaban los expedientes, en fecha deicniueve de marzo de dos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 los mismos a efecto </w:t>
      </w:r>
      <w:r>
        <w:rPr>
          <w:rFonts w:ascii="Palatino Linotype" w:hAnsi="Palatino Linotype" w:cs="Arial"/>
          <w:lang w:val="es-ES_tradnl"/>
        </w:rPr>
        <w:t>de</w:t>
      </w:r>
      <w:r>
        <w:rPr>
          <w:rFonts w:ascii="Palatino Linotype" w:hAnsi="Palatino Linotype" w:cs="Arial"/>
        </w:rPr>
        <w:t xml:space="preserve"> ser resueltos, de conformidad con lo establecido en el artículo 185, fracciones VI y VIII de la Ley de </w:t>
      </w:r>
      <w:r>
        <w:rPr>
          <w:rFonts w:ascii="Palatino Linotype" w:hAnsi="Palatino Linotype" w:cs="Arial"/>
        </w:rPr>
        <w:lastRenderedPageBreak/>
        <w:t>Transparencia y Acceso a la Información Pública del Estado de México y Municipios; y,</w:t>
      </w:r>
    </w:p>
    <w:p w:rsidR="00232DB1" w:rsidRDefault="00274F0D">
      <w:pPr>
        <w:pStyle w:val="Prrafodelista"/>
        <w:spacing w:beforeAutospacing="1" w:afterAutospacing="1" w:line="360" w:lineRule="auto"/>
        <w:ind w:left="0"/>
        <w:jc w:val="center"/>
        <w:rPr>
          <w:rFonts w:ascii="Palatino Linotype" w:hAnsi="Palatino Linotype"/>
          <w:b/>
          <w:bCs/>
          <w:spacing w:val="60"/>
          <w:sz w:val="28"/>
        </w:rPr>
      </w:pPr>
      <w:r>
        <w:rPr>
          <w:rFonts w:ascii="Palatino Linotype" w:hAnsi="Palatino Linotype"/>
          <w:b/>
          <w:bCs/>
          <w:spacing w:val="60"/>
          <w:sz w:val="28"/>
        </w:rPr>
        <w:t>CONSIDERANDO</w:t>
      </w:r>
    </w:p>
    <w:p w:rsidR="00232DB1" w:rsidRDefault="00274F0D">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Pr>
          <w:rFonts w:ascii="Palatino Linotype" w:hAnsi="Palatino Linotype" w:cs="Arial"/>
        </w:rPr>
        <w:t>.</w:t>
      </w:r>
    </w:p>
    <w:p w:rsidR="00232DB1" w:rsidRDefault="00274F0D">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lang w:val="es-ES_tradnl"/>
        </w:rPr>
      </w:pPr>
      <w:r>
        <w:rPr>
          <w:rFonts w:ascii="Palatino Linotype" w:hAnsi="Palatino Linotype" w:cs="Arial"/>
          <w:b/>
        </w:rPr>
        <w:t xml:space="preserve"> Interés.</w:t>
      </w:r>
      <w:r>
        <w:rPr>
          <w:rFonts w:ascii="Palatino Linotype" w:hAnsi="Palatino Linotype" w:cs="Arial"/>
        </w:rPr>
        <w:t xml:space="preserve"> Los </w:t>
      </w:r>
      <w:r>
        <w:rPr>
          <w:rFonts w:ascii="Palatino Linotype" w:hAnsi="Palatino Linotype"/>
        </w:rPr>
        <w:t>recursos</w:t>
      </w:r>
      <w:r>
        <w:rPr>
          <w:rFonts w:ascii="Palatino Linotype" w:hAnsi="Palatino Linotype" w:cs="Arial"/>
        </w:rPr>
        <w:t xml:space="preserve"> de revisión fueron </w:t>
      </w:r>
      <w:r>
        <w:rPr>
          <w:rFonts w:ascii="Palatino Linotype" w:hAnsi="Palatino Linotype"/>
        </w:rPr>
        <w:t>interpuestos</w:t>
      </w:r>
      <w:r>
        <w:rPr>
          <w:rFonts w:ascii="Palatino Linotype" w:hAnsi="Palatino Linotype" w:cs="Arial"/>
        </w:rPr>
        <w:t xml:space="preserve"> por parte legítima en atención a que fueron </w:t>
      </w:r>
      <w:r>
        <w:rPr>
          <w:rFonts w:ascii="Palatino Linotype" w:hAnsi="Palatino Linotype"/>
        </w:rPr>
        <w:t>presentados</w:t>
      </w:r>
      <w:r>
        <w:rPr>
          <w:rFonts w:ascii="Palatino Linotype" w:hAnsi="Palatino Linotype" w:cs="Arial"/>
        </w:rPr>
        <w:t xml:space="preserve"> por </w:t>
      </w:r>
      <w:r>
        <w:rPr>
          <w:rFonts w:ascii="Palatino Linotype" w:hAnsi="Palatino Linotype" w:cs="Arial"/>
          <w:b/>
        </w:rPr>
        <w:t>EL RECURRENTE</w:t>
      </w:r>
      <w:r>
        <w:rPr>
          <w:rFonts w:ascii="Palatino Linotype" w:hAnsi="Palatino Linotype" w:cs="Arial"/>
        </w:rPr>
        <w:t xml:space="preserve">, quien </w:t>
      </w:r>
      <w:r>
        <w:rPr>
          <w:rFonts w:ascii="Palatino Linotype" w:hAnsi="Palatino Linotype"/>
        </w:rPr>
        <w:t>formuló</w:t>
      </w:r>
      <w:r>
        <w:rPr>
          <w:rFonts w:ascii="Palatino Linotype" w:hAnsi="Palatino Linotype" w:cs="Arial"/>
        </w:rPr>
        <w:t xml:space="preserve"> las solicitudes de acceso a la información pública</w:t>
      </w:r>
      <w:r>
        <w:rPr>
          <w:rFonts w:ascii="Palatino Linotype" w:hAnsi="Palatino Linotype" w:cs="Arial"/>
          <w:lang w:val="es-ES_tradnl"/>
        </w:rPr>
        <w:t>.</w:t>
      </w:r>
    </w:p>
    <w:p w:rsidR="00232DB1" w:rsidRDefault="00274F0D">
      <w:pPr>
        <w:pStyle w:val="Prrafodelista"/>
        <w:widowControl w:val="0"/>
        <w:numPr>
          <w:ilvl w:val="0"/>
          <w:numId w:val="1"/>
        </w:numPr>
        <w:tabs>
          <w:tab w:val="left" w:pos="1701"/>
          <w:tab w:val="left" w:pos="1843"/>
        </w:tabs>
        <w:spacing w:before="240" w:afterAutospacing="1" w:line="360" w:lineRule="auto"/>
        <w:ind w:left="0" w:firstLine="0"/>
        <w:jc w:val="both"/>
        <w:rPr>
          <w:rFonts w:ascii="Palatino Linotype" w:hAnsi="Palatino Linotype" w:cs="Arial"/>
          <w:lang w:val="es-ES_tradnl"/>
        </w:rPr>
      </w:pPr>
      <w:r>
        <w:rPr>
          <w:rFonts w:ascii="Palatino Linotype" w:hAnsi="Palatino Linotype" w:cs="Arial"/>
          <w:b/>
        </w:rPr>
        <w:t xml:space="preserve"> Justificación de la Acumulación de los recursos.</w:t>
      </w:r>
      <w:r>
        <w:rPr>
          <w:rFonts w:ascii="Palatino Linotype" w:hAnsi="Palatino Linotype" w:cs="Arial"/>
        </w:rPr>
        <w:t xml:space="preserve"> De las constancias que obran en los expedientes, se advierte que los recursos de revisión</w:t>
      </w:r>
      <w:r>
        <w:rPr>
          <w:rFonts w:ascii="Palatino Linotype" w:hAnsi="Palatino Linotype"/>
        </w:rPr>
        <w:t xml:space="preserve"> </w:t>
      </w:r>
      <w:r>
        <w:rPr>
          <w:rFonts w:ascii="Palatino Linotype" w:hAnsi="Palatino Linotype" w:cs="Arial"/>
        </w:rPr>
        <w:t xml:space="preserve">fueron presentados por el mismo </w:t>
      </w:r>
      <w:r>
        <w:rPr>
          <w:rFonts w:ascii="Palatino Linotype" w:hAnsi="Palatino Linotype" w:cs="Arial"/>
          <w:b/>
        </w:rPr>
        <w:t xml:space="preserve">RECURRENTE </w:t>
      </w:r>
      <w:r>
        <w:rPr>
          <w:rFonts w:ascii="Palatino Linotype" w:hAnsi="Palatino Linotype" w:cs="Arial"/>
        </w:rPr>
        <w:t xml:space="preserve">ante el mismo </w:t>
      </w:r>
      <w:r>
        <w:rPr>
          <w:rFonts w:ascii="Palatino Linotype" w:hAnsi="Palatino Linotype" w:cs="Arial"/>
          <w:b/>
        </w:rPr>
        <w:t>SUJETO OBLIGADO</w:t>
      </w:r>
      <w:r>
        <w:rPr>
          <w:rFonts w:ascii="Palatino Linotype" w:hAnsi="Palatino Linotype" w:cs="Arial"/>
        </w:rPr>
        <w:t xml:space="preserve">, aunado a que resulta conveniente su trámite de forma unificada por economía procesal </w:t>
      </w:r>
      <w:r>
        <w:rPr>
          <w:rFonts w:ascii="Palatino Linotype" w:hAnsi="Palatino Linotype" w:cs="Arial"/>
        </w:rPr>
        <w:lastRenderedPageBreak/>
        <w:t xml:space="preserve">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rsidR="00232DB1" w:rsidRDefault="00274F0D">
      <w:pPr>
        <w:tabs>
          <w:tab w:val="center" w:pos="4252"/>
          <w:tab w:val="right" w:pos="8504"/>
        </w:tabs>
        <w:spacing w:beforeAutospacing="1" w:afterAutospacing="1" w:line="360" w:lineRule="auto"/>
        <w:jc w:val="both"/>
        <w:rPr>
          <w:rFonts w:ascii="Palatino Linotype" w:eastAsiaTheme="minorEastAsia" w:hAnsi="Palatino Linotype" w:cs="Arial"/>
        </w:rPr>
      </w:pPr>
      <w:r>
        <w:rPr>
          <w:rFonts w:ascii="Palatino Linotype" w:eastAsiaTheme="minorEastAsia" w:hAnsi="Palatino Linotype" w:cs="Arial"/>
          <w:sz w:val="22"/>
          <w:szCs w:val="22"/>
        </w:rPr>
        <w:t xml:space="preserve">De </w:t>
      </w:r>
      <w:r>
        <w:rPr>
          <w:rFonts w:ascii="Palatino Linotype" w:eastAsiaTheme="minorEastAsia" w:hAnsi="Palatino Linotype" w:cs="Arial"/>
        </w:rPr>
        <w:t>lo dispuesto en la normativa anterior, dicha acumulación procede cuando:</w:t>
      </w:r>
    </w:p>
    <w:p w:rsidR="00232DB1" w:rsidRDefault="00274F0D">
      <w:pPr>
        <w:numPr>
          <w:ilvl w:val="0"/>
          <w:numId w:val="5"/>
        </w:numPr>
        <w:tabs>
          <w:tab w:val="center" w:pos="4252"/>
          <w:tab w:val="right" w:pos="8504"/>
        </w:tabs>
        <w:spacing w:beforeAutospacing="1" w:line="360" w:lineRule="auto"/>
        <w:ind w:left="851" w:hanging="142"/>
        <w:jc w:val="both"/>
        <w:rPr>
          <w:rFonts w:ascii="Palatino Linotype" w:eastAsiaTheme="minorEastAsia" w:hAnsi="Palatino Linotype" w:cs="Arial"/>
        </w:rPr>
      </w:pPr>
      <w:r>
        <w:rPr>
          <w:rFonts w:ascii="Palatino Linotype" w:eastAsiaTheme="minorEastAsia" w:hAnsi="Palatino Linotype" w:cs="Arial"/>
        </w:rPr>
        <w:t>El solicitante y la información referida sean las mismas;</w:t>
      </w:r>
    </w:p>
    <w:p w:rsidR="00232DB1" w:rsidRDefault="00274F0D">
      <w:pPr>
        <w:numPr>
          <w:ilvl w:val="0"/>
          <w:numId w:val="5"/>
        </w:numPr>
        <w:tabs>
          <w:tab w:val="center" w:pos="4252"/>
          <w:tab w:val="right" w:pos="8504"/>
        </w:tabs>
        <w:spacing w:line="360" w:lineRule="auto"/>
        <w:ind w:left="851" w:hanging="142"/>
        <w:jc w:val="both"/>
        <w:rPr>
          <w:rFonts w:ascii="Palatino Linotype" w:eastAsiaTheme="minorEastAsia" w:hAnsi="Palatino Linotype" w:cs="Arial"/>
        </w:rPr>
      </w:pPr>
      <w:r>
        <w:rPr>
          <w:rFonts w:ascii="Palatino Linotype" w:eastAsiaTheme="minorEastAsia" w:hAnsi="Palatino Linotype" w:cs="Arial"/>
          <w:b/>
        </w:rPr>
        <w:t>Las partes o los actos impugnados sean iguales</w:t>
      </w:r>
      <w:r>
        <w:rPr>
          <w:rFonts w:ascii="Palatino Linotype" w:eastAsiaTheme="minorEastAsia" w:hAnsi="Palatino Linotype" w:cs="Arial"/>
        </w:rPr>
        <w:t>;</w:t>
      </w:r>
    </w:p>
    <w:p w:rsidR="00232DB1" w:rsidRDefault="00274F0D">
      <w:pPr>
        <w:numPr>
          <w:ilvl w:val="0"/>
          <w:numId w:val="5"/>
        </w:numPr>
        <w:tabs>
          <w:tab w:val="center" w:pos="4252"/>
          <w:tab w:val="right" w:pos="8504"/>
        </w:tabs>
        <w:spacing w:line="360" w:lineRule="auto"/>
        <w:ind w:left="851" w:hanging="142"/>
        <w:jc w:val="both"/>
        <w:rPr>
          <w:rFonts w:ascii="Palatino Linotype" w:eastAsiaTheme="minorEastAsia" w:hAnsi="Palatino Linotype" w:cs="Arial"/>
        </w:rPr>
      </w:pPr>
      <w:r>
        <w:rPr>
          <w:rFonts w:ascii="Palatino Linotype" w:eastAsiaTheme="minorEastAsia" w:hAnsi="Palatino Linotype" w:cs="Arial"/>
        </w:rPr>
        <w:t xml:space="preserve">Cuando se trate del mismo solicitante, el mismo Sujeto Obligado, </w:t>
      </w:r>
      <w:r>
        <w:rPr>
          <w:rFonts w:ascii="Palatino Linotype" w:eastAsiaTheme="minorEastAsia" w:hAnsi="Palatino Linotype" w:cs="Arial"/>
          <w:b/>
        </w:rPr>
        <w:t>aunque se trate de solicitudes diversas</w:t>
      </w:r>
      <w:r>
        <w:rPr>
          <w:rFonts w:ascii="Palatino Linotype" w:eastAsiaTheme="minorEastAsia" w:hAnsi="Palatino Linotype" w:cs="Arial"/>
        </w:rPr>
        <w:t>; y,</w:t>
      </w:r>
    </w:p>
    <w:p w:rsidR="00232DB1" w:rsidRDefault="00274F0D">
      <w:pPr>
        <w:numPr>
          <w:ilvl w:val="0"/>
          <w:numId w:val="5"/>
        </w:numPr>
        <w:tabs>
          <w:tab w:val="center" w:pos="4252"/>
          <w:tab w:val="right" w:pos="8504"/>
        </w:tabs>
        <w:spacing w:afterAutospacing="1" w:line="360" w:lineRule="auto"/>
        <w:ind w:left="851" w:hanging="142"/>
        <w:jc w:val="both"/>
        <w:rPr>
          <w:rFonts w:ascii="Palatino Linotype" w:eastAsiaTheme="minorEastAsia" w:hAnsi="Palatino Linotype" w:cs="Arial"/>
        </w:rPr>
      </w:pPr>
      <w:r>
        <w:rPr>
          <w:rFonts w:ascii="Palatino Linotype" w:eastAsiaTheme="minorEastAsia" w:hAnsi="Palatino Linotype" w:cs="Arial"/>
          <w:b/>
        </w:rPr>
        <w:t>Resulte conveniente la resolución unificada de los asuntos</w:t>
      </w:r>
      <w:r>
        <w:rPr>
          <w:rFonts w:ascii="Palatino Linotype" w:eastAsiaTheme="minorEastAsia" w:hAnsi="Palatino Linotype" w:cs="Arial"/>
          <w:i/>
        </w:rPr>
        <w:t>.</w:t>
      </w:r>
    </w:p>
    <w:p w:rsidR="00232DB1" w:rsidRDefault="00274F0D">
      <w:pPr>
        <w:tabs>
          <w:tab w:val="center" w:pos="4252"/>
          <w:tab w:val="right" w:pos="8504"/>
        </w:tabs>
        <w:spacing w:beforeAutospacing="1" w:afterAutospacing="1" w:line="360" w:lineRule="auto"/>
        <w:jc w:val="both"/>
        <w:rPr>
          <w:rFonts w:ascii="Palatino Linotype" w:eastAsiaTheme="minorEastAsia" w:hAnsi="Palatino Linotype" w:cs="Arial"/>
        </w:rPr>
      </w:pPr>
      <w:r>
        <w:rPr>
          <w:rFonts w:ascii="Palatino Linotype" w:eastAsiaTheme="minorEastAsia" w:hAnsi="Palatino Linotype" w:cs="Arial"/>
        </w:rPr>
        <w:t xml:space="preserve">Así, tal y como se mencionó anteriormente, los Recursos de Revisión que nos ocupan fueron interpuestos por el mismo </w:t>
      </w:r>
      <w:r>
        <w:rPr>
          <w:rFonts w:ascii="Palatino Linotype" w:eastAsiaTheme="minorEastAsia" w:hAnsi="Palatino Linotype" w:cs="Arial"/>
          <w:b/>
        </w:rPr>
        <w:t>RECURRENTE</w:t>
      </w:r>
      <w:r>
        <w:rPr>
          <w:rFonts w:ascii="Palatino Linotype" w:eastAsiaTheme="minorEastAsia" w:hAnsi="Palatino Linotype" w:cs="Arial"/>
        </w:rPr>
        <w:t xml:space="preserve"> ante el mismo </w:t>
      </w:r>
      <w:r>
        <w:rPr>
          <w:rFonts w:ascii="Palatino Linotype" w:eastAsiaTheme="minorEastAsia" w:hAnsi="Palatino Linotype" w:cs="Arial"/>
          <w:b/>
        </w:rPr>
        <w:t>SUJETO OBLIGADO</w:t>
      </w:r>
      <w:r>
        <w:rPr>
          <w:rFonts w:ascii="Palatino Linotype" w:eastAsiaTheme="minorEastAsia" w:hAnsi="Palatino Linotype" w:cs="Arial"/>
        </w:rPr>
        <w:t xml:space="preserve">; por lo que, resulta conveniente su resolución conjunta. </w:t>
      </w:r>
    </w:p>
    <w:p w:rsidR="00232DB1" w:rsidRDefault="00274F0D">
      <w:pPr>
        <w:pStyle w:val="Prrafodelista"/>
        <w:widowControl w:val="0"/>
        <w:numPr>
          <w:ilvl w:val="0"/>
          <w:numId w:val="1"/>
        </w:numPr>
        <w:tabs>
          <w:tab w:val="left" w:pos="993"/>
          <w:tab w:val="left" w:pos="1701"/>
        </w:tabs>
        <w:spacing w:before="240" w:afterAutospacing="1" w:line="360" w:lineRule="auto"/>
        <w:ind w:left="0" w:right="49" w:firstLine="0"/>
        <w:jc w:val="both"/>
        <w:rPr>
          <w:rFonts w:ascii="Palatino Linotype" w:hAnsi="Palatino Linotype" w:cs="Arial"/>
        </w:rPr>
      </w:pPr>
      <w:r>
        <w:rPr>
          <w:rFonts w:ascii="Palatino Linotype" w:hAnsi="Palatino Linotype" w:cs="Arial"/>
          <w:b/>
          <w:color w:val="000000"/>
        </w:rPr>
        <w:t>Oportunidad.</w:t>
      </w:r>
      <w:r>
        <w:rPr>
          <w:rFonts w:ascii="Palatino Linotype" w:hAnsi="Palatino Linotype" w:cs="Arial"/>
          <w:color w:val="000000"/>
        </w:rPr>
        <w:t xml:space="preserve"> Los recursos de revisión  fueron interpuestos dentro del plazo de quince días hábiles contados a partir del día siguiente en que </w:t>
      </w:r>
      <w:r>
        <w:rPr>
          <w:rFonts w:ascii="Palatino Linotype" w:hAnsi="Palatino Linotype" w:cs="Arial"/>
          <w:b/>
          <w:color w:val="000000"/>
        </w:rPr>
        <w:t>EL RECURRENTE</w:t>
      </w:r>
      <w:r>
        <w:rPr>
          <w:rFonts w:ascii="Palatino Linotype" w:hAnsi="Palatino Linotype" w:cs="Arial"/>
          <w:color w:val="000000"/>
        </w:rPr>
        <w:t xml:space="preserve"> tuvo conocimiento de las respuestas impugnadas; tal y como, lo prevé el artículo 178 de la Ley de Transparencia y Acceso a la Información Pública del Estado </w:t>
      </w:r>
      <w:r>
        <w:rPr>
          <w:rFonts w:ascii="Palatino Linotype" w:hAnsi="Palatino Linotype" w:cs="Arial"/>
          <w:color w:val="000000"/>
        </w:rPr>
        <w:lastRenderedPageBreak/>
        <w:t xml:space="preserve">de México y Municipios, que establece: </w:t>
      </w:r>
    </w:p>
    <w:p w:rsidR="00232DB1" w:rsidRDefault="00274F0D">
      <w:pPr>
        <w:pStyle w:val="Prrafodelista"/>
        <w:ind w:left="851" w:right="899"/>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178.</w:t>
      </w:r>
      <w:r>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32DB1" w:rsidRDefault="00274F0D">
      <w:pPr>
        <w:pStyle w:val="Prrafodelista"/>
        <w:ind w:left="851" w:right="899"/>
        <w:jc w:val="both"/>
        <w:rPr>
          <w:rFonts w:ascii="Palatino Linotype" w:hAnsi="Palatino Linotype" w:cs="Arial"/>
          <w:i/>
          <w:sz w:val="22"/>
        </w:rPr>
      </w:pPr>
      <w:r>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32DB1" w:rsidRDefault="00274F0D">
      <w:pPr>
        <w:pStyle w:val="Prrafodelista"/>
        <w:ind w:left="851" w:right="899"/>
        <w:jc w:val="both"/>
        <w:rPr>
          <w:rFonts w:ascii="Palatino Linotype" w:hAnsi="Palatino Linotype" w:cs="Arial"/>
          <w:i/>
          <w:sz w:val="22"/>
        </w:rPr>
      </w:pPr>
      <w:r>
        <w:rPr>
          <w:rFonts w:ascii="Palatino Linotype" w:hAnsi="Palatino Linotype" w:cs="Arial"/>
          <w:i/>
          <w:sz w:val="22"/>
        </w:rPr>
        <w:t xml:space="preserve">En el caso de que se interponga ante la Unidad de Transparencia, ésta deberá remitir el recurso de revisión al Instituto a más tardar al día </w:t>
      </w:r>
      <w:r>
        <w:rPr>
          <w:rFonts w:ascii="Palatino Linotype" w:hAnsi="Palatino Linotype" w:cs="Arial"/>
          <w:i/>
          <w:sz w:val="22"/>
          <w:lang w:eastAsia="es-MX"/>
        </w:rPr>
        <w:t>siguiente</w:t>
      </w:r>
      <w:r>
        <w:rPr>
          <w:rFonts w:ascii="Palatino Linotype" w:hAnsi="Palatino Linotype" w:cs="Arial"/>
          <w:i/>
          <w:sz w:val="22"/>
        </w:rPr>
        <w:t xml:space="preserve"> de haberlo recibido.”</w:t>
      </w:r>
    </w:p>
    <w:p w:rsidR="00232DB1" w:rsidRDefault="00274F0D">
      <w:pPr>
        <w:spacing w:before="240" w:afterAutospacing="1" w:line="360" w:lineRule="auto"/>
        <w:jc w:val="both"/>
        <w:rPr>
          <w:rFonts w:ascii="Palatino Linotype" w:hAnsi="Palatino Linotype"/>
        </w:rPr>
      </w:pPr>
      <w:r>
        <w:rPr>
          <w:rFonts w:ascii="Palatino Linotype" w:hAnsi="Palatino Linotype" w:cs="Arial"/>
        </w:rPr>
        <w:t xml:space="preserve">En esa tesitura, atendiendo a que </w:t>
      </w:r>
      <w:r>
        <w:rPr>
          <w:rFonts w:ascii="Palatino Linotype" w:hAnsi="Palatino Linotype" w:cs="Arial"/>
          <w:b/>
        </w:rPr>
        <w:t>EL SUJETO OBLIGADO</w:t>
      </w:r>
      <w:r>
        <w:rPr>
          <w:rFonts w:ascii="Palatino Linotype" w:hAnsi="Palatino Linotype" w:cs="Arial"/>
        </w:rPr>
        <w:t xml:space="preserve"> notificó las respuestas a las solicitudes anteriormente citadas</w:t>
      </w:r>
      <w:r>
        <w:rPr>
          <w:rFonts w:ascii="Palatino Linotype" w:hAnsi="Palatino Linotype"/>
          <w:b/>
          <w:bCs/>
        </w:rPr>
        <w:t xml:space="preserve"> </w:t>
      </w:r>
      <w:r>
        <w:rPr>
          <w:rFonts w:ascii="Palatino Linotype" w:hAnsi="Palatino Linotype" w:cs="Arial"/>
        </w:rPr>
        <w:t>el día</w:t>
      </w:r>
      <w:r>
        <w:rPr>
          <w:rFonts w:ascii="Palatino Linotype" w:hAnsi="Palatino Linotype" w:cs="Arial"/>
          <w:b/>
        </w:rPr>
        <w:t xml:space="preserve"> trece de febrero de dos mil diecinueve</w:t>
      </w:r>
      <w:r>
        <w:rPr>
          <w:rFonts w:ascii="Palatino Linotype" w:hAnsi="Palatino Linotype" w:cs="Arial"/>
        </w:rPr>
        <w:t>; así, el plazo 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los respectivos recursos de revisión, transcurrió del </w:t>
      </w:r>
      <w:r>
        <w:rPr>
          <w:rFonts w:ascii="Palatino Linotype" w:hAnsi="Palatino Linotype" w:cs="Arial"/>
          <w:b/>
        </w:rPr>
        <w:t>catorce de febrero al seis de marzo de dos mil veinte</w:t>
      </w:r>
      <w:r>
        <w:rPr>
          <w:rFonts w:ascii="Palatino Linotype" w:hAnsi="Palatino Linotype" w:cs="Arial"/>
        </w:rPr>
        <w:t xml:space="preserve">; sin contemplar en el cómputo los días quince, dieciséis, veintidós, veintitrés y veintinueve de febrero y uno de marzo de dos mil veinte, por corresponder a sábados y domingos, así como, el dos de marzo de dos mil veinte, considerado como suspensión de labores, </w:t>
      </w:r>
      <w:r>
        <w:rPr>
          <w:rFonts w:ascii="Palatino Linotype" w:hAnsi="Palatino Linotype"/>
        </w:rPr>
        <w:t>de conformidad con el Calendario Oficial en Materia de Transparencia, Acceso a la Información Pública y Protección de Datos Personales para el año dos mil veinte y enero dos mil veintiuno, aprobado por el Pleno de este Instituto, el diecinueve de diciembre de dos mil diecinueve.</w:t>
      </w:r>
    </w:p>
    <w:p w:rsidR="00232DB1" w:rsidRDefault="00274F0D">
      <w:pPr>
        <w:widowControl w:val="0"/>
        <w:tabs>
          <w:tab w:val="left" w:pos="993"/>
          <w:tab w:val="left" w:pos="1701"/>
        </w:tabs>
        <w:spacing w:before="240" w:afterAutospacing="1" w:line="360" w:lineRule="auto"/>
        <w:ind w:right="49"/>
        <w:jc w:val="both"/>
        <w:rPr>
          <w:rFonts w:ascii="Palatino Linotype" w:hAnsi="Palatino Linotype" w:cs="Arial"/>
          <w:b/>
          <w:color w:val="000000"/>
        </w:rPr>
      </w:pPr>
      <w:r>
        <w:rPr>
          <w:rFonts w:ascii="Palatino Linotype" w:hAnsi="Palatino Linotype" w:cs="Arial"/>
        </w:rPr>
        <w:t>En ese tenor, si los recursos de revisión que nos ocupan, se interpusieron el</w:t>
      </w:r>
      <w:r>
        <w:rPr>
          <w:rFonts w:ascii="Palatino Linotype" w:hAnsi="Palatino Linotype" w:cs="Arial"/>
          <w:b/>
        </w:rPr>
        <w:t xml:space="preserve"> veintiséis</w:t>
      </w:r>
      <w:r>
        <w:rPr>
          <w:rFonts w:ascii="Palatino Linotype" w:hAnsi="Palatino Linotype" w:cs="Arial"/>
          <w:b/>
          <w:u w:val="single"/>
        </w:rPr>
        <w:t xml:space="preserve"> de febrero de dos mil veinte</w:t>
      </w:r>
      <w:r>
        <w:rPr>
          <w:rFonts w:ascii="Palatino Linotype" w:hAnsi="Palatino Linotype" w:cs="Arial"/>
        </w:rPr>
        <w:t xml:space="preserve">, éstos se encuentran dentro de los márgenes temporales </w:t>
      </w:r>
      <w:r>
        <w:rPr>
          <w:rFonts w:ascii="Palatino Linotype" w:hAnsi="Palatino Linotype" w:cs="Arial"/>
        </w:rPr>
        <w:lastRenderedPageBreak/>
        <w:t>previstos en el precepto legal citado y, por tanto, su interposición se considera oportuna.</w:t>
      </w:r>
    </w:p>
    <w:p w:rsidR="00232DB1" w:rsidRDefault="00274F0D">
      <w:pPr>
        <w:pStyle w:val="Prrafodelista"/>
        <w:widowControl w:val="0"/>
        <w:numPr>
          <w:ilvl w:val="0"/>
          <w:numId w:val="1"/>
        </w:numPr>
        <w:tabs>
          <w:tab w:val="left" w:pos="1701"/>
          <w:tab w:val="left" w:pos="1843"/>
        </w:tabs>
        <w:spacing w:before="240" w:afterAutospacing="1" w:line="360" w:lineRule="auto"/>
        <w:ind w:left="0" w:firstLine="0"/>
        <w:jc w:val="both"/>
        <w:rPr>
          <w:rFonts w:ascii="Palatino Linotype" w:hAnsi="Palatino Linotype"/>
          <w:b/>
          <w:lang w:val="es-ES"/>
        </w:rPr>
      </w:pPr>
      <w:r>
        <w:rPr>
          <w:rFonts w:ascii="Palatino Linotype" w:hAnsi="Palatino Linotype" w:cs="Arial"/>
          <w:b/>
        </w:rPr>
        <w:t xml:space="preserve">Procedibilidad. </w:t>
      </w:r>
      <w:r>
        <w:rPr>
          <w:rFonts w:ascii="Palatino Linotype" w:hAnsi="Palatino Linotype" w:cs="Arial"/>
          <w:lang w:val="es-ES"/>
        </w:rPr>
        <w:t xml:space="preserve">Se considera importante abordar el análisis de los requisitos de procedibilidad del Recurso de Revisión; así, tenemos que el artículo 180 de la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lang w:val="es-ES"/>
        </w:rPr>
        <w:t>establece lo siguiente:</w:t>
      </w:r>
    </w:p>
    <w:p w:rsidR="00232DB1" w:rsidRDefault="00274F0D">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w:t>
      </w:r>
      <w:r>
        <w:rPr>
          <w:rFonts w:ascii="Palatino Linotype" w:hAnsi="Palatino Linotype"/>
          <w:i/>
          <w:sz w:val="22"/>
          <w:szCs w:val="22"/>
          <w:lang w:val="es-ES"/>
        </w:rPr>
        <w:t xml:space="preserve"> </w:t>
      </w:r>
      <w:r>
        <w:rPr>
          <w:rFonts w:ascii="Palatino Linotype" w:hAnsi="Palatino Linotype" w:cs="Arial"/>
          <w:i/>
          <w:color w:val="222222"/>
          <w:sz w:val="22"/>
          <w:szCs w:val="22"/>
          <w:lang w:val="es-ES" w:eastAsia="es-MX"/>
        </w:rPr>
        <w:t>de</w:t>
      </w:r>
      <w:r>
        <w:rPr>
          <w:rFonts w:ascii="Palatino Linotype" w:hAnsi="Palatino Linotype"/>
          <w:i/>
          <w:sz w:val="22"/>
          <w:szCs w:val="22"/>
          <w:lang w:val="es-ES"/>
        </w:rPr>
        <w:t xml:space="preserve"> revisión contendrá:</w:t>
      </w:r>
      <w:r>
        <w:rPr>
          <w:rFonts w:ascii="Palatino Linotype" w:hAnsi="Palatino Linotype"/>
          <w:b/>
          <w:i/>
          <w:sz w:val="22"/>
          <w:szCs w:val="22"/>
          <w:lang w:val="es-ES"/>
        </w:rPr>
        <w:t xml:space="preserve"> </w:t>
      </w:r>
    </w:p>
    <w:p w:rsidR="00232DB1" w:rsidRDefault="00274F0D">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 </w:t>
      </w:r>
      <w:r>
        <w:rPr>
          <w:rFonts w:ascii="Palatino Linotype" w:hAnsi="Palatino Linotype"/>
          <w:i/>
          <w:sz w:val="22"/>
          <w:szCs w:val="22"/>
          <w:lang w:val="es-ES"/>
        </w:rPr>
        <w:t xml:space="preserve">El sujeto obligado ante </w:t>
      </w:r>
      <w:r>
        <w:rPr>
          <w:rFonts w:ascii="Palatino Linotype" w:hAnsi="Palatino Linotype" w:cs="Arial"/>
          <w:i/>
          <w:sz w:val="22"/>
          <w:szCs w:val="22"/>
          <w:lang w:val="es-ES"/>
        </w:rPr>
        <w:t>la</w:t>
      </w:r>
      <w:r>
        <w:rPr>
          <w:rFonts w:ascii="Palatino Linotype" w:hAnsi="Palatino Linotype"/>
          <w:i/>
          <w:sz w:val="22"/>
          <w:szCs w:val="22"/>
          <w:lang w:val="es-ES"/>
        </w:rPr>
        <w:t xml:space="preserve"> cual </w:t>
      </w:r>
      <w:r>
        <w:rPr>
          <w:rFonts w:ascii="Palatino Linotype" w:hAnsi="Palatino Linotype" w:cs="Arial"/>
          <w:i/>
          <w:color w:val="222222"/>
          <w:sz w:val="22"/>
          <w:szCs w:val="22"/>
          <w:lang w:val="es-ES" w:eastAsia="es-MX"/>
        </w:rPr>
        <w:t>se</w:t>
      </w:r>
      <w:r>
        <w:rPr>
          <w:rFonts w:ascii="Palatino Linotype" w:hAnsi="Palatino Linotype"/>
          <w:i/>
          <w:sz w:val="22"/>
          <w:szCs w:val="22"/>
          <w:lang w:val="es-ES"/>
        </w:rPr>
        <w:t xml:space="preserve"> presentó la solicitud;</w:t>
      </w:r>
      <w:r>
        <w:rPr>
          <w:rFonts w:ascii="Palatino Linotype" w:hAnsi="Palatino Linotype"/>
          <w:b/>
          <w:i/>
          <w:sz w:val="22"/>
          <w:szCs w:val="22"/>
          <w:lang w:val="es-ES"/>
        </w:rPr>
        <w:t xml:space="preserve"> </w:t>
      </w:r>
    </w:p>
    <w:p w:rsidR="00232DB1" w:rsidRDefault="00274F0D">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 </w:t>
      </w:r>
      <w:r>
        <w:rPr>
          <w:rFonts w:ascii="Palatino Linotype" w:hAnsi="Palatino Linotype"/>
          <w:b/>
          <w:i/>
          <w:sz w:val="22"/>
          <w:szCs w:val="22"/>
          <w:u w:val="single"/>
          <w:lang w:val="es-ES"/>
        </w:rPr>
        <w:t xml:space="preserve">El nombre del solicitante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recurre </w:t>
      </w:r>
      <w:r>
        <w:rPr>
          <w:rFonts w:ascii="Palatino Linotype" w:hAnsi="Palatino Linotype"/>
          <w:i/>
          <w:sz w:val="22"/>
          <w:szCs w:val="22"/>
          <w:lang w:val="es-ES"/>
        </w:rPr>
        <w:t>o de su representante y, en su caso, del tercero interesado, así como la dirección o medio que señale para recibir notificaciones;</w:t>
      </w:r>
      <w:r>
        <w:rPr>
          <w:rFonts w:ascii="Palatino Linotype" w:hAnsi="Palatino Linotype"/>
          <w:b/>
          <w:i/>
          <w:sz w:val="22"/>
          <w:szCs w:val="22"/>
          <w:lang w:val="es-ES"/>
        </w:rPr>
        <w:t xml:space="preserve"> </w:t>
      </w:r>
    </w:p>
    <w:p w:rsidR="00232DB1" w:rsidRDefault="00274F0D">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III. </w:t>
      </w:r>
      <w:r>
        <w:rPr>
          <w:rFonts w:ascii="Palatino Linotype" w:hAnsi="Palatino Linotype"/>
          <w:i/>
          <w:sz w:val="22"/>
          <w:szCs w:val="22"/>
          <w:lang w:val="es-ES"/>
        </w:rPr>
        <w:t xml:space="preserve">El número de folio de </w:t>
      </w:r>
      <w:r>
        <w:rPr>
          <w:rFonts w:ascii="Palatino Linotype" w:hAnsi="Palatino Linotype" w:cs="Arial"/>
          <w:i/>
          <w:color w:val="222222"/>
          <w:sz w:val="22"/>
          <w:szCs w:val="22"/>
          <w:lang w:val="es-ES" w:eastAsia="es-MX"/>
        </w:rPr>
        <w:t>respuesta</w:t>
      </w:r>
      <w:r>
        <w:rPr>
          <w:rFonts w:ascii="Palatino Linotype" w:hAnsi="Palatino Linotype"/>
          <w:i/>
          <w:sz w:val="22"/>
          <w:szCs w:val="22"/>
          <w:lang w:val="es-ES"/>
        </w:rPr>
        <w:t xml:space="preserve"> de la solicitud de acceso; </w:t>
      </w:r>
    </w:p>
    <w:p w:rsidR="00232DB1" w:rsidRDefault="00274F0D">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IV. </w:t>
      </w:r>
      <w:r>
        <w:rPr>
          <w:rFonts w:ascii="Palatino Linotype" w:hAnsi="Palatino Linotype"/>
          <w:i/>
          <w:sz w:val="22"/>
          <w:szCs w:val="22"/>
          <w:lang w:val="es-ES"/>
        </w:rPr>
        <w:t xml:space="preserve">La fecha en que fue </w:t>
      </w:r>
      <w:r>
        <w:rPr>
          <w:rFonts w:ascii="Palatino Linotype" w:hAnsi="Palatino Linotype" w:cs="Arial"/>
          <w:i/>
          <w:color w:val="222222"/>
          <w:sz w:val="22"/>
          <w:szCs w:val="22"/>
          <w:lang w:val="es-ES" w:eastAsia="es-MX"/>
        </w:rPr>
        <w:t>notificada</w:t>
      </w:r>
      <w:r>
        <w:rPr>
          <w:rFonts w:ascii="Palatino Linotype" w:hAnsi="Palatino Linotype"/>
          <w:i/>
          <w:sz w:val="22"/>
          <w:szCs w:val="22"/>
          <w:lang w:val="es-ES"/>
        </w:rPr>
        <w:t xml:space="preserve"> la respuesta al solicitante o tuvo conocimiento del acto reclamado, o de presentación de la solicitud, en caso de falta de respuesta;</w:t>
      </w:r>
      <w:r>
        <w:rPr>
          <w:rFonts w:ascii="Palatino Linotype" w:hAnsi="Palatino Linotype"/>
          <w:b/>
          <w:i/>
          <w:sz w:val="22"/>
          <w:szCs w:val="22"/>
          <w:lang w:val="es-ES"/>
        </w:rPr>
        <w:t xml:space="preserve"> </w:t>
      </w:r>
    </w:p>
    <w:p w:rsidR="00232DB1" w:rsidRDefault="00274F0D">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 </w:t>
      </w:r>
      <w:r>
        <w:rPr>
          <w:rFonts w:ascii="Palatino Linotype" w:hAnsi="Palatino Linotype"/>
          <w:i/>
          <w:sz w:val="22"/>
          <w:szCs w:val="22"/>
          <w:lang w:val="es-ES"/>
        </w:rPr>
        <w:t xml:space="preserve">El acto que se </w:t>
      </w:r>
      <w:r>
        <w:rPr>
          <w:rFonts w:ascii="Palatino Linotype" w:hAnsi="Palatino Linotype" w:cs="Arial"/>
          <w:i/>
          <w:color w:val="222222"/>
          <w:sz w:val="22"/>
          <w:szCs w:val="22"/>
          <w:lang w:val="es-ES" w:eastAsia="es-MX"/>
        </w:rPr>
        <w:t>recurre</w:t>
      </w:r>
      <w:r>
        <w:rPr>
          <w:rFonts w:ascii="Palatino Linotype" w:hAnsi="Palatino Linotype"/>
          <w:i/>
          <w:sz w:val="22"/>
          <w:szCs w:val="22"/>
          <w:lang w:val="es-ES"/>
        </w:rPr>
        <w:t>;</w:t>
      </w:r>
      <w:r>
        <w:rPr>
          <w:rFonts w:ascii="Palatino Linotype" w:hAnsi="Palatino Linotype"/>
          <w:b/>
          <w:i/>
          <w:sz w:val="22"/>
          <w:szCs w:val="22"/>
          <w:lang w:val="es-ES"/>
        </w:rPr>
        <w:t xml:space="preserve"> </w:t>
      </w:r>
    </w:p>
    <w:p w:rsidR="00232DB1" w:rsidRDefault="00274F0D">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 </w:t>
      </w:r>
      <w:r>
        <w:rPr>
          <w:rFonts w:ascii="Palatino Linotype" w:hAnsi="Palatino Linotype"/>
          <w:i/>
          <w:sz w:val="22"/>
          <w:szCs w:val="22"/>
          <w:lang w:val="es-ES"/>
        </w:rPr>
        <w:t xml:space="preserve">Las razones o </w:t>
      </w:r>
      <w:r>
        <w:rPr>
          <w:rFonts w:ascii="Palatino Linotype" w:hAnsi="Palatino Linotype" w:cs="Arial"/>
          <w:i/>
          <w:color w:val="222222"/>
          <w:sz w:val="22"/>
          <w:szCs w:val="22"/>
          <w:lang w:val="es-ES" w:eastAsia="es-MX"/>
        </w:rPr>
        <w:t>motivos</w:t>
      </w:r>
      <w:r>
        <w:rPr>
          <w:rFonts w:ascii="Palatino Linotype" w:hAnsi="Palatino Linotype"/>
          <w:i/>
          <w:sz w:val="22"/>
          <w:szCs w:val="22"/>
          <w:lang w:val="es-ES"/>
        </w:rPr>
        <w:t xml:space="preserve"> de inconformidad;</w:t>
      </w:r>
      <w:r>
        <w:rPr>
          <w:rFonts w:ascii="Palatino Linotype" w:hAnsi="Palatino Linotype"/>
          <w:b/>
          <w:i/>
          <w:sz w:val="22"/>
          <w:szCs w:val="22"/>
          <w:lang w:val="es-ES"/>
        </w:rPr>
        <w:t xml:space="preserve"> </w:t>
      </w:r>
    </w:p>
    <w:p w:rsidR="00232DB1" w:rsidRDefault="00274F0D">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VII. </w:t>
      </w:r>
      <w:r>
        <w:rPr>
          <w:rFonts w:ascii="Palatino Linotype" w:hAnsi="Palatino Linotype"/>
          <w:i/>
          <w:sz w:val="22"/>
          <w:szCs w:val="22"/>
          <w:lang w:val="es-ES"/>
        </w:rPr>
        <w:t>La copia de la respuesta que se impugna y, en su caso, de la notificación correspondiente, en el caso de respuesta de la solicitud; y</w:t>
      </w:r>
      <w:r>
        <w:rPr>
          <w:rFonts w:ascii="Palatino Linotype" w:hAnsi="Palatino Linotype"/>
          <w:b/>
          <w:i/>
          <w:sz w:val="22"/>
          <w:szCs w:val="22"/>
          <w:lang w:val="es-ES"/>
        </w:rPr>
        <w:t xml:space="preserve"> </w:t>
      </w:r>
    </w:p>
    <w:p w:rsidR="00232DB1" w:rsidRDefault="00274F0D">
      <w:pPr>
        <w:spacing w:line="276" w:lineRule="auto"/>
        <w:ind w:left="851" w:right="992"/>
        <w:jc w:val="both"/>
        <w:rPr>
          <w:rFonts w:ascii="Palatino Linotype" w:hAnsi="Palatino Linotype"/>
          <w:i/>
          <w:sz w:val="22"/>
          <w:szCs w:val="22"/>
          <w:lang w:val="es-ES"/>
        </w:rPr>
      </w:pPr>
      <w:r>
        <w:rPr>
          <w:rFonts w:ascii="Palatino Linotype" w:hAnsi="Palatino Linotype"/>
          <w:b/>
          <w:i/>
          <w:sz w:val="22"/>
          <w:szCs w:val="22"/>
          <w:lang w:val="es-ES"/>
        </w:rPr>
        <w:t xml:space="preserve">VIII. </w:t>
      </w:r>
      <w:r>
        <w:rPr>
          <w:rFonts w:ascii="Palatino Linotype" w:hAnsi="Palatino Linotype"/>
          <w:i/>
          <w:sz w:val="22"/>
          <w:szCs w:val="22"/>
          <w:lang w:val="es-ES"/>
        </w:rPr>
        <w:t>Firma del recurrente, en su caso, cuando se presente por escrito, requisito sin el cual se dará trámite al recurso.</w:t>
      </w:r>
    </w:p>
    <w:p w:rsidR="00232DB1" w:rsidRDefault="00274F0D">
      <w:pPr>
        <w:spacing w:line="276" w:lineRule="auto"/>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Adicionalmente, se podrán anexar las pruebas y demás elementos que considere procedentes someter a juicio del Instituto. </w:t>
      </w:r>
    </w:p>
    <w:p w:rsidR="00232DB1" w:rsidRDefault="00274F0D">
      <w:pPr>
        <w:spacing w:line="276" w:lineRule="auto"/>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En ningún caso será necesario que el particular ratifique el recurso de revisión interpuesto. </w:t>
      </w:r>
    </w:p>
    <w:p w:rsidR="00232DB1" w:rsidRDefault="00274F0D">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u w:val="single"/>
          <w:lang w:val="es-ES"/>
        </w:rPr>
        <w:t xml:space="preserve">En caso de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Pr>
          <w:rFonts w:ascii="Palatino Linotype" w:hAnsi="Palatino Linotype"/>
          <w:i/>
          <w:sz w:val="22"/>
          <w:szCs w:val="22"/>
          <w:lang w:val="es-ES"/>
        </w:rPr>
        <w:t>, IV, VII y VIII.</w:t>
      </w:r>
      <w:r>
        <w:rPr>
          <w:rFonts w:ascii="Palatino Linotype" w:hAnsi="Palatino Linotype"/>
          <w:b/>
          <w:i/>
          <w:sz w:val="22"/>
          <w:szCs w:val="22"/>
          <w:lang w:val="es-ES"/>
        </w:rPr>
        <w:t>”</w:t>
      </w:r>
    </w:p>
    <w:p w:rsidR="00232DB1" w:rsidRDefault="00274F0D">
      <w:pPr>
        <w:spacing w:before="240" w:after="240" w:line="360" w:lineRule="auto"/>
        <w:jc w:val="both"/>
        <w:rPr>
          <w:rFonts w:ascii="Palatino Linotype" w:hAnsi="Palatino Linotype"/>
          <w:lang w:val="es-ES"/>
        </w:rPr>
      </w:pPr>
      <w:r>
        <w:rPr>
          <w:rFonts w:ascii="Palatino Linotype" w:hAnsi="Palatino Linotype"/>
          <w:lang w:val="es-ES"/>
        </w:rPr>
        <w:lastRenderedPageBreak/>
        <w:t xml:space="preserve">En principio, de una interpretación del artículo transcrito se observan los requisitos que deberán contener los recursos de revisión; sobre el particular, de la revisión del expediente electrónico del </w:t>
      </w:r>
      <w:r>
        <w:rPr>
          <w:rFonts w:ascii="Palatino Linotype" w:hAnsi="Palatino Linotype"/>
          <w:b/>
          <w:lang w:val="es-ES"/>
        </w:rPr>
        <w:t>SAIMEX</w:t>
      </w:r>
      <w:r>
        <w:rPr>
          <w:rFonts w:ascii="Palatino Linotype" w:hAnsi="Palatino Linotype"/>
          <w:lang w:val="es-ES"/>
        </w:rPr>
        <w:t xml:space="preserve"> se desprende que la parte solicitante y ahora </w:t>
      </w:r>
      <w:r>
        <w:rPr>
          <w:rFonts w:ascii="Palatino Linotype" w:hAnsi="Palatino Linotype"/>
          <w:b/>
          <w:lang w:val="es-ES"/>
        </w:rPr>
        <w:t>RECURRENTE</w:t>
      </w:r>
      <w:r>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232DB1" w:rsidRDefault="00274F0D">
      <w:pPr>
        <w:spacing w:before="240" w:after="240" w:line="360" w:lineRule="auto"/>
        <w:ind w:right="-91"/>
        <w:jc w:val="both"/>
        <w:rPr>
          <w:rFonts w:ascii="Palatino Linotype" w:hAnsi="Palatino Linotype" w:cs="Arial"/>
          <w:color w:val="000000"/>
          <w:lang w:val="es-ES"/>
        </w:rPr>
      </w:pPr>
      <w:r>
        <w:rPr>
          <w:rFonts w:ascii="Palatino Linotype" w:hAnsi="Palatino Linotype"/>
          <w:lang w:val="es-ES"/>
        </w:rPr>
        <w:t xml:space="preserve">Empero, debe destacarse que el artículo 15 de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iCs/>
          <w:lang w:val="es-ES"/>
        </w:rPr>
        <w:t xml:space="preserve">prevé que </w:t>
      </w:r>
      <w:r>
        <w:rPr>
          <w:rFonts w:ascii="Palatino Linotype" w:hAnsi="Palatino Linotype"/>
          <w:lang w:val="es-ES"/>
        </w:rPr>
        <w:t xml:space="preserve">toda persona tendrá acceso a la información </w:t>
      </w:r>
      <w:r>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Pr>
          <w:rFonts w:ascii="Palatino Linotype" w:hAnsi="Palatino Linotype" w:cs="Arial"/>
          <w:i/>
          <w:color w:val="000000"/>
          <w:lang w:val="es-ES"/>
        </w:rPr>
        <w:t>sine qua non</w:t>
      </w:r>
      <w:r>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232DB1" w:rsidRDefault="00274F0D">
      <w:pPr>
        <w:spacing w:before="240" w:after="240" w:line="360" w:lineRule="auto"/>
        <w:jc w:val="both"/>
        <w:rPr>
          <w:rFonts w:ascii="Palatino Linotype" w:hAnsi="Palatino Linotype"/>
          <w:lang w:val="es-ES"/>
        </w:rPr>
      </w:pPr>
      <w:r>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32DB1" w:rsidRDefault="00274F0D">
      <w:pPr>
        <w:spacing w:line="276" w:lineRule="auto"/>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lastRenderedPageBreak/>
        <w:t>Constitución Política de los Estados Unidos Mexicanos</w:t>
      </w:r>
    </w:p>
    <w:p w:rsidR="00232DB1" w:rsidRDefault="00274F0D">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“Artículo 6o.</w:t>
      </w:r>
      <w:r>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hAnsi="Palatino Linotype" w:cs="Arial"/>
          <w:b/>
          <w:i/>
          <w:sz w:val="22"/>
          <w:szCs w:val="22"/>
          <w:lang w:val="es-ES"/>
        </w:rPr>
        <w:t>El derecho a la información será garantizado por el Estado.</w:t>
      </w:r>
      <w:r>
        <w:rPr>
          <w:rFonts w:ascii="Palatino Linotype" w:hAnsi="Palatino Linotype" w:cs="Arial"/>
          <w:i/>
          <w:sz w:val="22"/>
          <w:szCs w:val="22"/>
          <w:lang w:val="es-ES"/>
        </w:rPr>
        <w:t xml:space="preserve"> </w:t>
      </w:r>
    </w:p>
    <w:p w:rsidR="00232DB1" w:rsidRDefault="00274F0D">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232DB1" w:rsidRDefault="00274F0D">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Para efectos de lo dispuesto en el presente artículo se observará lo siguiente:</w:t>
      </w:r>
    </w:p>
    <w:p w:rsidR="00232DB1" w:rsidRDefault="00274F0D">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232DB1" w:rsidRDefault="00274F0D">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32DB1" w:rsidRDefault="00274F0D">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232DB1" w:rsidRDefault="00274F0D">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232DB1" w:rsidRDefault="00274F0D">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232DB1" w:rsidRDefault="00274F0D">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 xml:space="preserve">V.  Los sujetos obligados deberán preservar sus documentos en archivos administrativos actualizados y publicarán, a través de los medios electrónicos </w:t>
      </w:r>
      <w:r>
        <w:rPr>
          <w:rFonts w:ascii="Palatino Linotype" w:hAnsi="Palatino Linotype" w:cs="Arial"/>
          <w:i/>
          <w:sz w:val="22"/>
          <w:szCs w:val="22"/>
          <w:u w:val="single"/>
          <w:lang w:val="es-ES"/>
        </w:rPr>
        <w:lastRenderedPageBreak/>
        <w:t>disponibles, la información completa y actualizada sobre el ejercicio de los recursos públicos y los indicadores que permitan rendir cuenta del cumplimiento de sus objetivos y de los resultados obtenidos.</w:t>
      </w:r>
    </w:p>
    <w:p w:rsidR="00232DB1" w:rsidRDefault="00274F0D">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232DB1" w:rsidRDefault="00274F0D">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232DB1" w:rsidRDefault="00274F0D">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232DB1" w:rsidRDefault="00274F0D">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w:t>
      </w:r>
    </w:p>
    <w:p w:rsidR="00232DB1" w:rsidRDefault="00274F0D">
      <w:pPr>
        <w:spacing w:line="276" w:lineRule="auto"/>
        <w:ind w:left="851" w:right="992"/>
        <w:jc w:val="both"/>
        <w:rPr>
          <w:rFonts w:ascii="Palatino Linotype" w:hAnsi="Palatino Linotype" w:cs="Arial"/>
          <w:i/>
          <w:color w:val="000000"/>
          <w:sz w:val="22"/>
          <w:szCs w:val="22"/>
          <w:lang w:val="es-ES" w:eastAsia="es-MX"/>
        </w:rPr>
      </w:pPr>
      <w:r>
        <w:rPr>
          <w:rFonts w:ascii="Palatino Linotype" w:hAnsi="Palatino Linotype" w:cs="Arial"/>
          <w:i/>
          <w:sz w:val="22"/>
          <w:szCs w:val="22"/>
          <w:u w:val="single"/>
          <w:lang w:val="es-ES"/>
        </w:rPr>
        <w:t>La ley establecerá aquella información que se considere reservada o confidencial.</w:t>
      </w:r>
      <w:r>
        <w:rPr>
          <w:rFonts w:ascii="Palatino Linotype" w:hAnsi="Palatino Linotype" w:cs="Arial"/>
          <w:b/>
          <w:i/>
          <w:sz w:val="22"/>
          <w:szCs w:val="22"/>
          <w:lang w:val="es-ES"/>
        </w:rPr>
        <w:t>”</w:t>
      </w:r>
      <w:r>
        <w:rPr>
          <w:rFonts w:ascii="Palatino Linotype" w:hAnsi="Palatino Linotype" w:cs="Arial"/>
          <w:i/>
          <w:color w:val="000000"/>
          <w:sz w:val="22"/>
          <w:szCs w:val="22"/>
          <w:lang w:val="es-ES" w:eastAsia="es-MX"/>
        </w:rPr>
        <w:t xml:space="preserve"> </w:t>
      </w:r>
    </w:p>
    <w:p w:rsidR="00232DB1" w:rsidRDefault="00274F0D">
      <w:pPr>
        <w:spacing w:line="276" w:lineRule="auto"/>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del Estado Libre y Soberano de México</w:t>
      </w:r>
    </w:p>
    <w:p w:rsidR="00232DB1" w:rsidRDefault="00274F0D">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lang w:val="es-ES"/>
        </w:rPr>
        <w:t xml:space="preserve">“Artículo 5. … </w:t>
      </w:r>
    </w:p>
    <w:p w:rsidR="00232DB1" w:rsidRDefault="00274F0D">
      <w:pPr>
        <w:spacing w:line="276" w:lineRule="auto"/>
        <w:ind w:left="851" w:right="992"/>
        <w:contextualSpacing/>
        <w:jc w:val="both"/>
        <w:rPr>
          <w:rFonts w:ascii="Palatino Linotype" w:hAnsi="Palatino Linotype"/>
          <w:i/>
          <w:sz w:val="22"/>
          <w:szCs w:val="22"/>
          <w:lang w:val="es-ES"/>
        </w:rPr>
      </w:pPr>
      <w:r>
        <w:rPr>
          <w:rFonts w:ascii="Palatino Linotype" w:hAnsi="Palatino Linotype"/>
          <w:b/>
          <w:i/>
          <w:sz w:val="22"/>
          <w:szCs w:val="22"/>
          <w:lang w:val="es-ES"/>
        </w:rPr>
        <w:t>El derecho a la información será garantizado por el Estado</w:t>
      </w:r>
      <w:r>
        <w:rPr>
          <w:rFonts w:ascii="Palatino Linotype" w:hAnsi="Palatino Linotype"/>
          <w:i/>
          <w:sz w:val="22"/>
          <w:szCs w:val="22"/>
          <w:lang w:val="es-ES"/>
        </w:rPr>
        <w:t xml:space="preserve">. La ley establecerá las previsiones que permitan asegurar la protección, el respeto y la difusión de este derecho. </w:t>
      </w:r>
    </w:p>
    <w:p w:rsidR="00232DB1" w:rsidRDefault="00274F0D">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232DB1" w:rsidRDefault="00274F0D">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Este derecho se regirá por los principios y bases siguientes:</w:t>
      </w:r>
    </w:p>
    <w:p w:rsidR="00232DB1" w:rsidRDefault="00274F0D">
      <w:pPr>
        <w:spacing w:line="276" w:lineRule="auto"/>
        <w:ind w:left="851" w:right="992"/>
        <w:contextualSpacing/>
        <w:jc w:val="both"/>
        <w:rPr>
          <w:rFonts w:ascii="Palatino Linotype" w:hAnsi="Palatino Linotype"/>
          <w:i/>
          <w:sz w:val="22"/>
          <w:szCs w:val="22"/>
          <w:lang w:val="es-ES"/>
        </w:rPr>
      </w:pPr>
      <w:r>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w:t>
      </w:r>
      <w:r>
        <w:rPr>
          <w:rFonts w:ascii="Palatino Linotype" w:hAnsi="Palatino Linotype"/>
          <w:i/>
          <w:sz w:val="22"/>
          <w:szCs w:val="22"/>
          <w:lang w:val="es-ES"/>
        </w:rPr>
        <w:lastRenderedPageBreak/>
        <w:t>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32DB1" w:rsidRDefault="00274F0D">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232DB1" w:rsidRDefault="00274F0D">
      <w:pPr>
        <w:spacing w:line="276" w:lineRule="auto"/>
        <w:ind w:left="851" w:right="992"/>
        <w:contextualSpacing/>
        <w:jc w:val="both"/>
        <w:rPr>
          <w:rFonts w:ascii="Palatino Linotype" w:hAnsi="Palatino Linotype"/>
          <w:b/>
          <w:i/>
          <w:sz w:val="22"/>
          <w:szCs w:val="22"/>
          <w:lang w:val="es-ES"/>
        </w:rPr>
      </w:pPr>
      <w:r>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232DB1" w:rsidRDefault="00274F0D">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232DB1" w:rsidRDefault="00274F0D">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232DB1" w:rsidRDefault="00274F0D">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232DB1" w:rsidRDefault="00274F0D">
      <w:pPr>
        <w:spacing w:line="276" w:lineRule="auto"/>
        <w:ind w:left="851" w:right="992"/>
        <w:jc w:val="both"/>
        <w:rPr>
          <w:rFonts w:ascii="Palatino Linotype" w:hAnsi="Palatino Linotype" w:cs="Arial"/>
          <w:i/>
          <w:sz w:val="22"/>
          <w:szCs w:val="22"/>
          <w:lang w:val="es-ES"/>
        </w:rPr>
      </w:pPr>
      <w:r>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Pr>
          <w:rFonts w:ascii="Palatino Linotype" w:hAnsi="Palatino Linotype"/>
          <w:b/>
          <w:i/>
          <w:sz w:val="22"/>
          <w:szCs w:val="22"/>
          <w:lang w:val="es-ES"/>
        </w:rPr>
        <w:t>”</w:t>
      </w:r>
    </w:p>
    <w:p w:rsidR="00232DB1" w:rsidRDefault="00274F0D">
      <w:pPr>
        <w:spacing w:line="276" w:lineRule="auto"/>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rsidR="00232DB1" w:rsidRDefault="00274F0D">
      <w:pPr>
        <w:spacing w:before="240" w:after="240" w:line="360" w:lineRule="auto"/>
        <w:jc w:val="both"/>
        <w:rPr>
          <w:rFonts w:ascii="Palatino Linotype" w:hAnsi="Palatino Linotype"/>
          <w:lang w:val="es-ES"/>
        </w:rPr>
      </w:pPr>
      <w:r>
        <w:rPr>
          <w:rFonts w:ascii="Palatino Linotype" w:hAnsi="Palatino Linotype"/>
          <w:lang w:val="es-ES"/>
        </w:rPr>
        <w:t>Por otra parte, del contenido del artículo 1 de la Constitución Política de los Estados Unidos Mexicanos, se destaca lo siguiente:</w:t>
      </w:r>
    </w:p>
    <w:p w:rsidR="00232DB1" w:rsidRDefault="00274F0D">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lastRenderedPageBreak/>
        <w:t>“Artículo 1o</w:t>
      </w:r>
      <w:r>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32DB1" w:rsidRDefault="00274F0D">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u w:val="single"/>
          <w:lang w:val="es-ES"/>
        </w:rPr>
        <w:t>Las normas relativas a los derechos humanos se interpretarán</w:t>
      </w:r>
      <w:r>
        <w:rPr>
          <w:rFonts w:ascii="Palatino Linotype" w:hAnsi="Palatino Linotype" w:cs="Arial"/>
          <w:i/>
          <w:sz w:val="22"/>
          <w:szCs w:val="22"/>
          <w:lang w:val="es-ES"/>
        </w:rPr>
        <w:t xml:space="preserve"> de conformidad con esta Constitución y con los tratados internacionales de la </w:t>
      </w:r>
      <w:r>
        <w:rPr>
          <w:rFonts w:ascii="Palatino Linotype" w:hAnsi="Palatino Linotype" w:cs="Arial"/>
          <w:b/>
          <w:i/>
          <w:sz w:val="22"/>
          <w:szCs w:val="22"/>
          <w:lang w:val="es-ES"/>
        </w:rPr>
        <w:t xml:space="preserve">materia </w:t>
      </w:r>
      <w:r>
        <w:rPr>
          <w:rFonts w:ascii="Palatino Linotype" w:hAnsi="Palatino Linotype" w:cs="Arial"/>
          <w:b/>
          <w:i/>
          <w:sz w:val="22"/>
          <w:szCs w:val="22"/>
          <w:u w:val="single"/>
          <w:lang w:val="es-ES"/>
        </w:rPr>
        <w:t>favoreciendo en todo tiempo a las personas la protección más amplia</w:t>
      </w:r>
      <w:r>
        <w:rPr>
          <w:rFonts w:ascii="Palatino Linotype" w:hAnsi="Palatino Linotype" w:cs="Arial"/>
          <w:b/>
          <w:i/>
          <w:sz w:val="22"/>
          <w:szCs w:val="22"/>
          <w:lang w:val="es-ES"/>
        </w:rPr>
        <w:t>.</w:t>
      </w:r>
    </w:p>
    <w:p w:rsidR="00232DB1" w:rsidRDefault="00274F0D">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Pr>
          <w:rFonts w:ascii="Palatino Linotype" w:hAnsi="Palatino Linotype" w:cs="Arial"/>
          <w:b/>
          <w:i/>
          <w:sz w:val="22"/>
          <w:szCs w:val="22"/>
          <w:lang w:val="es-ES"/>
        </w:rPr>
        <w:t>”</w:t>
      </w:r>
    </w:p>
    <w:p w:rsidR="00232DB1" w:rsidRDefault="00274F0D">
      <w:pPr>
        <w:spacing w:line="276" w:lineRule="auto"/>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rsidR="00232DB1" w:rsidRDefault="00274F0D">
      <w:pPr>
        <w:spacing w:before="240" w:after="240" w:line="360" w:lineRule="auto"/>
        <w:jc w:val="both"/>
        <w:rPr>
          <w:rFonts w:ascii="Palatino Linotype" w:hAnsi="Palatino Linotype"/>
          <w:lang w:val="es-ES"/>
        </w:rPr>
      </w:pPr>
      <w:r>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32DB1" w:rsidRDefault="00274F0D">
      <w:pPr>
        <w:spacing w:before="240" w:after="240" w:line="360" w:lineRule="auto"/>
        <w:jc w:val="both"/>
        <w:rPr>
          <w:rFonts w:ascii="Palatino Linotype" w:hAnsi="Palatino Linotype"/>
          <w:lang w:val="es-ES"/>
        </w:rPr>
      </w:pPr>
      <w:r>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232DB1" w:rsidRDefault="00274F0D">
      <w:pPr>
        <w:spacing w:before="240" w:after="240"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lastRenderedPageBreak/>
        <w:t>“Acceso a información gubernamental. No debe condicionarse a que el solicitante acredite su personalidad, demuestre interés alguno o justifique su utilización.</w:t>
      </w:r>
      <w:r>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32DB1" w:rsidRDefault="00274F0D">
      <w:pPr>
        <w:spacing w:before="240" w:after="240" w:line="360" w:lineRule="auto"/>
        <w:jc w:val="both"/>
        <w:rPr>
          <w:rFonts w:ascii="Palatino Linotype" w:hAnsi="Palatino Linotype"/>
          <w:lang w:val="es-ES"/>
        </w:rPr>
      </w:pPr>
      <w:r>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Pr>
          <w:rFonts w:ascii="Palatino Linotype" w:hAnsi="Palatino Linotype"/>
          <w:b/>
          <w:lang w:val="es-ES"/>
        </w:rPr>
        <w:t>RECURRENTE,</w:t>
      </w:r>
      <w:r>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232DB1" w:rsidRDefault="00274F0D">
      <w:pPr>
        <w:spacing w:before="240" w:after="240" w:line="360" w:lineRule="auto"/>
        <w:jc w:val="both"/>
        <w:rPr>
          <w:rFonts w:ascii="Palatino Linotype" w:hAnsi="Palatino Linotype"/>
          <w:lang w:val="es-ES"/>
        </w:rPr>
      </w:pPr>
      <w:r>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232DB1" w:rsidRDefault="00274F0D">
      <w:pPr>
        <w:spacing w:before="240" w:after="240" w:line="360" w:lineRule="auto"/>
        <w:jc w:val="both"/>
        <w:rPr>
          <w:rFonts w:ascii="Palatino Linotype" w:hAnsi="Palatino Linotype"/>
          <w:lang w:val="es-ES"/>
        </w:rPr>
      </w:pPr>
      <w:r>
        <w:rPr>
          <w:rFonts w:ascii="Palatino Linotype" w:hAnsi="Palatino Linotype"/>
          <w:lang w:val="es-ES"/>
        </w:rPr>
        <w:lastRenderedPageBreak/>
        <w:t>En consecuencia, dado lo expuesto y fundado con anterioridad, se estima que el requisito relativo al nombre del</w:t>
      </w:r>
      <w:r>
        <w:rPr>
          <w:rFonts w:ascii="Palatino Linotype" w:hAnsi="Palatino Linotype"/>
          <w:b/>
          <w:lang w:val="es-ES"/>
        </w:rPr>
        <w:t xml:space="preserve"> RECURRENTE</w:t>
      </w:r>
      <w:r>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hAnsi="Palatino Linotype"/>
          <w:b/>
          <w:lang w:val="es-ES"/>
        </w:rPr>
        <w:t>EL RECURRENTE</w:t>
      </w:r>
      <w:r>
        <w:rPr>
          <w:rFonts w:ascii="Palatino Linotype" w:hAnsi="Palatino Linotype"/>
          <w:lang w:val="es-ES"/>
        </w:rPr>
        <w:t>, es la misma persona que realizó la solicitud de acceso a la información pública que ahora se impugna.</w:t>
      </w:r>
    </w:p>
    <w:p w:rsidR="00232DB1" w:rsidRDefault="00274F0D">
      <w:pPr>
        <w:spacing w:before="240" w:after="240" w:line="360" w:lineRule="auto"/>
        <w:jc w:val="both"/>
        <w:rPr>
          <w:rFonts w:ascii="Palatino Linotype" w:hAnsi="Palatino Linotype"/>
          <w:lang w:val="es-ES"/>
        </w:rPr>
      </w:pPr>
      <w:r>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Pr>
          <w:rFonts w:ascii="Palatino Linotype" w:hAnsi="Palatino Linotype"/>
          <w:b/>
          <w:lang w:val="es-ES"/>
        </w:rPr>
        <w:t>RECURRENTE</w:t>
      </w:r>
      <w:r>
        <w:rPr>
          <w:rFonts w:ascii="Palatino Linotype" w:hAnsi="Palatino Linotype"/>
          <w:lang w:val="es-ES"/>
        </w:rPr>
        <w:t xml:space="preserve">; por lo que, en el presente caso, al haber sido presentado el recurso de revisión vía </w:t>
      </w:r>
      <w:r>
        <w:rPr>
          <w:rFonts w:ascii="Palatino Linotype" w:hAnsi="Palatino Linotype"/>
          <w:b/>
          <w:lang w:val="es-ES"/>
        </w:rPr>
        <w:t>SAIMEX</w:t>
      </w:r>
      <w:r>
        <w:rPr>
          <w:rFonts w:ascii="Palatino Linotype" w:hAnsi="Palatino Linotype"/>
          <w:lang w:val="es-ES"/>
        </w:rPr>
        <w:t>, dicho requisito resulta innecesario.</w:t>
      </w:r>
    </w:p>
    <w:p w:rsidR="00232DB1" w:rsidRDefault="00274F0D">
      <w:pPr>
        <w:pStyle w:val="Prrafodelista"/>
        <w:widowControl w:val="0"/>
        <w:numPr>
          <w:ilvl w:val="0"/>
          <w:numId w:val="1"/>
        </w:numPr>
        <w:tabs>
          <w:tab w:val="left" w:pos="1276"/>
        </w:tabs>
        <w:spacing w:before="240" w:afterAutospacing="1" w:line="360" w:lineRule="auto"/>
        <w:ind w:left="0" w:right="49" w:firstLine="0"/>
        <w:jc w:val="both"/>
        <w:rPr>
          <w:rFonts w:ascii="Palatino Linotype" w:hAnsi="Palatino Linotype" w:cs="Arial"/>
        </w:rPr>
      </w:pPr>
      <w:r>
        <w:rPr>
          <w:rFonts w:ascii="Palatino Linotype" w:hAnsi="Palatino Linotype" w:cs="Arial"/>
          <w:b/>
        </w:rPr>
        <w:t>Estudio y resolución del asunto</w:t>
      </w:r>
      <w:r>
        <w:rPr>
          <w:rFonts w:ascii="Palatino Linotype" w:hAnsi="Palatino Linotype" w:cs="Arial"/>
          <w:b/>
          <w:color w:val="000000" w:themeColor="text1"/>
        </w:rPr>
        <w:t>.</w:t>
      </w:r>
      <w:r>
        <w:rPr>
          <w:rFonts w:ascii="Palatino Linotype" w:hAnsi="Palatino Linotype" w:cs="Arial"/>
        </w:rPr>
        <w:t xml:space="preserve"> Tal y como quedó precisado en los resultandos de la presente resolución, el particular requirió del </w:t>
      </w:r>
      <w:r>
        <w:rPr>
          <w:rFonts w:ascii="Palatino Linotype" w:hAnsi="Palatino Linotype" w:cs="Arial"/>
          <w:b/>
        </w:rPr>
        <w:t>SUJETO OBLIGADO</w:t>
      </w:r>
      <w:r>
        <w:rPr>
          <w:rFonts w:ascii="Palatino Linotype" w:hAnsi="Palatino Linotype" w:cs="Arial"/>
        </w:rPr>
        <w:t xml:space="preserve"> los organigramas de la Dirección General de Obras Públicas y Desarrollo Urbano</w:t>
      </w:r>
      <w:r>
        <w:rPr>
          <w:rStyle w:val="FootnoteAnchor"/>
          <w:rFonts w:ascii="Palatino Linotype" w:hAnsi="Palatino Linotype" w:cs="Arial"/>
        </w:rPr>
        <w:footnoteReference w:id="2"/>
      </w:r>
      <w:r>
        <w:rPr>
          <w:rFonts w:ascii="Palatino Linotype" w:hAnsi="Palatino Linotype" w:cs="Arial"/>
        </w:rPr>
        <w:t xml:space="preserve">, de la Dirección General de Bienestar Social y de la Secretaría del Ayuntamiento, vigentes </w:t>
      </w:r>
      <w:r>
        <w:rPr>
          <w:rFonts w:ascii="Palatino Linotype" w:hAnsi="Palatino Linotype" w:cs="Arial"/>
        </w:rPr>
        <w:lastRenderedPageBreak/>
        <w:t>a la fecha de las solicitudes, esto es, al 23 de enero de 2020</w:t>
      </w:r>
      <w:r>
        <w:rPr>
          <w:rStyle w:val="FootnoteAnchor"/>
          <w:rFonts w:ascii="Palatino Linotype" w:hAnsi="Palatino Linotype" w:cs="Arial"/>
        </w:rPr>
        <w:footnoteReference w:id="3"/>
      </w:r>
      <w:r>
        <w:rPr>
          <w:rFonts w:ascii="Palatino Linotype" w:hAnsi="Palatino Linotype" w:cs="Arial"/>
        </w:rPr>
        <w:t>.</w:t>
      </w:r>
    </w:p>
    <w:p w:rsidR="00232DB1" w:rsidRDefault="00274F0D">
      <w:pPr>
        <w:pStyle w:val="Prrafodelista"/>
        <w:widowControl w:val="0"/>
        <w:tabs>
          <w:tab w:val="left" w:pos="1276"/>
        </w:tabs>
        <w:spacing w:before="240" w:afterAutospacing="1" w:line="360" w:lineRule="auto"/>
        <w:ind w:left="0" w:right="49"/>
        <w:jc w:val="both"/>
        <w:rPr>
          <w:rFonts w:ascii="Palatino Linotype" w:hAnsi="Palatino Linotype" w:cs="Arial"/>
        </w:rPr>
      </w:pPr>
      <w:r>
        <w:rPr>
          <w:rFonts w:ascii="Palatino Linotype" w:hAnsi="Palatino Linotype" w:cs="Arial"/>
        </w:rPr>
        <w:t>Al respecto,</w:t>
      </w:r>
      <w:r>
        <w:rPr>
          <w:rFonts w:ascii="Palatino Linotype" w:hAnsi="Palatino Linotype" w:cs="Arial"/>
          <w:b/>
        </w:rPr>
        <w:t xml:space="preserve"> EL SUJETO OBLIGADO </w:t>
      </w:r>
      <w:r>
        <w:rPr>
          <w:rFonts w:ascii="Palatino Linotype" w:hAnsi="Palatino Linotype" w:cs="Arial"/>
        </w:rPr>
        <w:t>remitió al particular el Organigrama del Ayuntamiento, aprobado en la Décimo Cuarta Sesión Ordinaria del Cabildo, del año 2019. Asimismo, manifestó que la información podía ser consultada en su Portal de IPOMEX, refiriendo la liga electrónica correspondiente.</w:t>
      </w:r>
    </w:p>
    <w:p w:rsidR="00232DB1" w:rsidRDefault="00274F0D">
      <w:pPr>
        <w:pStyle w:val="Prrafodelista"/>
        <w:widowControl w:val="0"/>
        <w:tabs>
          <w:tab w:val="left" w:pos="1276"/>
        </w:tabs>
        <w:spacing w:before="240" w:afterAutospacing="1" w:line="360" w:lineRule="auto"/>
        <w:ind w:left="0" w:right="49"/>
        <w:jc w:val="both"/>
        <w:rPr>
          <w:rFonts w:ascii="Palatino Linotype" w:hAnsi="Palatino Linotype" w:cs="Arial"/>
        </w:rPr>
      </w:pPr>
      <w:r>
        <w:rPr>
          <w:rFonts w:ascii="Palatino Linotype" w:hAnsi="Palatino Linotype" w:cs="Arial"/>
        </w:rPr>
        <w:t>Inconforme con dichas respuestas, el hoy</w:t>
      </w:r>
      <w:r>
        <w:rPr>
          <w:rFonts w:ascii="Palatino Linotype" w:hAnsi="Palatino Linotype" w:cs="Arial"/>
          <w:b/>
        </w:rPr>
        <w:t xml:space="preserve"> RECURRENTE </w:t>
      </w:r>
      <w:r>
        <w:rPr>
          <w:rFonts w:ascii="Palatino Linotype" w:hAnsi="Palatino Linotype" w:cs="Arial"/>
        </w:rPr>
        <w:t>interpuso los medios de defensa de análisis, en los cuales refirió que no se le entregó la información solicitada y que</w:t>
      </w:r>
      <w:r>
        <w:rPr>
          <w:rFonts w:ascii="Palatino Linotype" w:hAnsi="Palatino Linotype" w:cs="Arial"/>
          <w:b/>
        </w:rPr>
        <w:t xml:space="preserve"> EL SUJETO OBLIGADO </w:t>
      </w:r>
      <w:r>
        <w:rPr>
          <w:rFonts w:ascii="Palatino Linotype" w:hAnsi="Palatino Linotype" w:cs="Arial"/>
        </w:rPr>
        <w:t>debía de contar con un organigrama por cada una de las áreas que lo integran.</w:t>
      </w:r>
    </w:p>
    <w:p w:rsidR="00232DB1" w:rsidRDefault="00274F0D">
      <w:pPr>
        <w:widowControl w:val="0"/>
        <w:tabs>
          <w:tab w:val="left" w:pos="1701"/>
          <w:tab w:val="left" w:pos="1843"/>
        </w:tabs>
        <w:spacing w:beforeAutospacing="1" w:afterAutospacing="1" w:line="360" w:lineRule="auto"/>
        <w:jc w:val="both"/>
        <w:rPr>
          <w:rFonts w:ascii="Palatino Linotype" w:hAnsi="Palatino Linotype" w:cs="Arial"/>
          <w:sz w:val="20"/>
          <w:szCs w:val="20"/>
        </w:rPr>
      </w:pPr>
      <w:r>
        <w:rPr>
          <w:rFonts w:ascii="Palatino Linotype" w:hAnsi="Palatino Linotype" w:cs="Arial"/>
        </w:rPr>
        <w:t xml:space="preserve">Cabe destacar, que </w:t>
      </w:r>
      <w:r>
        <w:rPr>
          <w:rFonts w:ascii="Palatino Linotype" w:hAnsi="Palatino Linotype" w:cs="Arial"/>
          <w:b/>
        </w:rPr>
        <w:t xml:space="preserve">EL SUJETO OBLIGADO </w:t>
      </w:r>
      <w:r>
        <w:rPr>
          <w:rFonts w:ascii="Palatino Linotype" w:hAnsi="Palatino Linotype" w:cs="Arial"/>
        </w:rPr>
        <w:t>no</w:t>
      </w:r>
      <w:r>
        <w:rPr>
          <w:rFonts w:ascii="Palatino Linotype" w:hAnsi="Palatino Linotype" w:cs="Arial"/>
          <w:b/>
        </w:rPr>
        <w:t xml:space="preserve"> </w:t>
      </w:r>
      <w:r>
        <w:rPr>
          <w:rFonts w:ascii="Palatino Linotype" w:hAnsi="Palatino Linotype" w:cs="Arial"/>
        </w:rPr>
        <w:t xml:space="preserve">rindió sus Informes Justificados; por su parte, </w:t>
      </w:r>
      <w:r>
        <w:rPr>
          <w:rFonts w:ascii="Palatino Linotype" w:hAnsi="Palatino Linotype" w:cs="Arial"/>
          <w:b/>
        </w:rPr>
        <w:t>EL RECURRENTE</w:t>
      </w:r>
      <w:r>
        <w:rPr>
          <w:rFonts w:ascii="Palatino Linotype" w:hAnsi="Palatino Linotype" w:cs="Arial"/>
        </w:rPr>
        <w:t xml:space="preserve"> no presentó manifestaciones tendentes a robustecer sus razones o motivos de inconformidad.</w:t>
      </w:r>
    </w:p>
    <w:p w:rsidR="00232DB1" w:rsidRDefault="00274F0D">
      <w:pPr>
        <w:widowControl w:val="0"/>
        <w:tabs>
          <w:tab w:val="left" w:pos="1701"/>
          <w:tab w:val="left" w:pos="1843"/>
        </w:tabs>
        <w:spacing w:beforeAutospacing="1" w:afterAutospacing="1" w:line="360" w:lineRule="auto"/>
        <w:jc w:val="both"/>
        <w:rPr>
          <w:rFonts w:ascii="Palatino Linotype" w:hAnsi="Palatino Linotype" w:cs="Arial"/>
        </w:rPr>
      </w:pPr>
      <w:r>
        <w:rPr>
          <w:rFonts w:ascii="Palatino Linotype" w:hAnsi="Palatino Linotype" w:cs="Arial"/>
        </w:rPr>
        <w:t xml:space="preserve">Bajo ese contexto, este Instituto analizó la totalidad de constancias que integran el expediente electrónico del </w:t>
      </w:r>
      <w:r>
        <w:rPr>
          <w:rFonts w:ascii="Palatino Linotype" w:hAnsi="Palatino Linotype" w:cs="Arial"/>
          <w:b/>
        </w:rPr>
        <w:t>SAIMEX</w:t>
      </w:r>
      <w:r>
        <w:rPr>
          <w:rFonts w:ascii="Palatino Linotype" w:hAnsi="Palatino Linotype" w:cs="Arial"/>
        </w:rPr>
        <w:t xml:space="preserve"> y advirtió que las razones o motivos de inconformidad hechos valer por </w:t>
      </w:r>
      <w:r>
        <w:rPr>
          <w:rFonts w:ascii="Palatino Linotype" w:hAnsi="Palatino Linotype" w:cs="Arial"/>
          <w:b/>
        </w:rPr>
        <w:t>EL</w:t>
      </w:r>
      <w:r>
        <w:rPr>
          <w:rFonts w:ascii="Palatino Linotype" w:hAnsi="Palatino Linotype" w:cs="Arial"/>
        </w:rPr>
        <w:t xml:space="preserve"> </w:t>
      </w:r>
      <w:r>
        <w:rPr>
          <w:rFonts w:ascii="Palatino Linotype" w:hAnsi="Palatino Linotype" w:cs="Arial"/>
          <w:b/>
        </w:rPr>
        <w:t xml:space="preserve">RECURRENTE </w:t>
      </w:r>
      <w:r>
        <w:rPr>
          <w:rFonts w:ascii="Palatino Linotype" w:hAnsi="Palatino Linotype" w:cs="Arial"/>
        </w:rPr>
        <w:t>devienen</w:t>
      </w:r>
      <w:r>
        <w:rPr>
          <w:rFonts w:ascii="Palatino Linotype" w:hAnsi="Palatino Linotype" w:cs="Arial"/>
          <w:b/>
        </w:rPr>
        <w:t xml:space="preserve"> </w:t>
      </w:r>
      <w:r>
        <w:rPr>
          <w:rFonts w:ascii="Palatino Linotype" w:hAnsi="Palatino Linotype" w:cs="Arial"/>
        </w:rPr>
        <w:t xml:space="preserve">infundados; por lo que, lo procedente es </w:t>
      </w:r>
      <w:r>
        <w:rPr>
          <w:rFonts w:ascii="Palatino Linotype" w:hAnsi="Palatino Linotype" w:cs="Arial"/>
          <w:b/>
        </w:rPr>
        <w:t>CONFIRMAR</w:t>
      </w:r>
      <w:r>
        <w:rPr>
          <w:rFonts w:ascii="Palatino Linotype" w:hAnsi="Palatino Linotype" w:cs="Arial"/>
        </w:rPr>
        <w:t xml:space="preserve"> las respuestas del </w:t>
      </w:r>
      <w:r>
        <w:rPr>
          <w:rFonts w:ascii="Palatino Linotype" w:hAnsi="Palatino Linotype" w:cs="Arial"/>
          <w:b/>
        </w:rPr>
        <w:t>SUJETO OBLIGADO</w:t>
      </w:r>
      <w:r>
        <w:rPr>
          <w:rFonts w:ascii="Palatino Linotype" w:hAnsi="Palatino Linotype" w:cs="Arial"/>
        </w:rPr>
        <w:t>, en atención a las Consideraciones de hecho y de derecho siguientes:</w:t>
      </w:r>
    </w:p>
    <w:p w:rsidR="00232DB1" w:rsidRDefault="00274F0D">
      <w:pPr>
        <w:spacing w:beforeAutospacing="1" w:afterAutospacing="1" w:line="360" w:lineRule="auto"/>
        <w:jc w:val="both"/>
        <w:rPr>
          <w:rFonts w:ascii="Palatino Linotype" w:hAnsi="Palatino Linotype" w:cs="Arial"/>
          <w:lang w:val="es-ES_tradnl"/>
        </w:rPr>
      </w:pPr>
      <w:r>
        <w:rPr>
          <w:rFonts w:ascii="Palatino Linotype" w:eastAsia="Calibri" w:hAnsi="Palatino Linotype" w:cs="Arial"/>
        </w:rPr>
        <w:t xml:space="preserve">Primeramente, este Instituto </w:t>
      </w:r>
      <w:r>
        <w:rPr>
          <w:rFonts w:ascii="Palatino Linotype" w:hAnsi="Palatino Linotype"/>
        </w:rPr>
        <w:t xml:space="preserve">precisa que se obvia el análisis de la competencia por parte del </w:t>
      </w:r>
      <w:r>
        <w:rPr>
          <w:rFonts w:ascii="Palatino Linotype" w:hAnsi="Palatino Linotype"/>
          <w:b/>
        </w:rPr>
        <w:t>SUJETO OBLIGADO</w:t>
      </w:r>
      <w:r>
        <w:rPr>
          <w:rFonts w:ascii="Palatino Linotype" w:hAnsi="Palatino Linotype"/>
        </w:rPr>
        <w:t xml:space="preserve">, para generar, administrar o poseer la información </w:t>
      </w:r>
      <w:r>
        <w:rPr>
          <w:rFonts w:ascii="Palatino Linotype" w:hAnsi="Palatino Linotype"/>
        </w:rPr>
        <w:lastRenderedPageBreak/>
        <w:t>solicitada, dado que éste ha asumido la misma, en razón de que en sus respuestas manifestó que remitía la información solicitada.</w:t>
      </w:r>
    </w:p>
    <w:p w:rsidR="00232DB1" w:rsidRDefault="00274F0D">
      <w:pPr>
        <w:spacing w:before="240" w:after="240" w:line="360" w:lineRule="auto"/>
        <w:jc w:val="both"/>
        <w:rPr>
          <w:rFonts w:ascii="Palatino Linotype" w:hAnsi="Palatino Linotype"/>
        </w:rPr>
      </w:pPr>
      <w:r>
        <w:rPr>
          <w:rFonts w:ascii="Palatino Linotype" w:hAnsi="Palatino Linotype"/>
        </w:rPr>
        <w:t xml:space="preserve">En efecto, el hecho de que </w:t>
      </w:r>
      <w:r>
        <w:rPr>
          <w:rFonts w:ascii="Palatino Linotype" w:hAnsi="Palatino Linotype"/>
          <w:b/>
        </w:rPr>
        <w:t>EL SUJETO OBLIGADO</w:t>
      </w:r>
      <w:r>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232DB1" w:rsidRDefault="00274F0D">
      <w:pPr>
        <w:tabs>
          <w:tab w:val="left" w:pos="851"/>
          <w:tab w:val="left" w:pos="8505"/>
        </w:tabs>
        <w:ind w:left="851" w:right="902"/>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12.</w:t>
      </w:r>
      <w:r>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232DB1" w:rsidRDefault="00274F0D">
      <w:pPr>
        <w:ind w:left="851" w:right="902"/>
        <w:jc w:val="both"/>
        <w:rPr>
          <w:rFonts w:ascii="Palatino Linotype" w:hAnsi="Palatino Linotype" w:cs="Arial"/>
          <w:i/>
          <w:sz w:val="22"/>
          <w:szCs w:val="22"/>
        </w:rPr>
      </w:pPr>
      <w:r>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232DB1" w:rsidRDefault="00274F0D">
      <w:pPr>
        <w:spacing w:before="240" w:after="240" w:line="360" w:lineRule="auto"/>
        <w:jc w:val="both"/>
      </w:pPr>
      <w:r>
        <w:rPr>
          <w:rFonts w:ascii="Palatino Linotype" w:hAnsi="Palatino Linotype"/>
        </w:rPr>
        <w:t xml:space="preserve">Así, el estudio de la naturaleza jurídica de la información pública solicitada, tiene por objeto determinar si ésta la genera, posee o administra </w:t>
      </w:r>
      <w:r>
        <w:rPr>
          <w:rFonts w:ascii="Palatino Linotype" w:hAnsi="Palatino Linotype"/>
          <w:b/>
        </w:rPr>
        <w:t>EL SUJETO OBLIGADO</w:t>
      </w:r>
      <w:r>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t xml:space="preserve"> </w:t>
      </w:r>
    </w:p>
    <w:p w:rsidR="00232DB1" w:rsidRDefault="00274F0D">
      <w:pPr>
        <w:spacing w:beforeAutospacing="1" w:afterAutospacing="1" w:line="360" w:lineRule="auto"/>
        <w:jc w:val="both"/>
        <w:rPr>
          <w:rFonts w:ascii="Palatino Linotype" w:hAnsi="Palatino Linotype"/>
        </w:rPr>
      </w:pPr>
      <w:r>
        <w:rPr>
          <w:rFonts w:ascii="Palatino Linotype" w:hAnsi="Palatino Linotype"/>
        </w:rPr>
        <w:t xml:space="preserve">Asimismo, no se omite comentar que, al haber existido un pronunciamiento por parte del </w:t>
      </w:r>
      <w:r>
        <w:rPr>
          <w:rFonts w:ascii="Palatino Linotype" w:hAnsi="Palatino Linotype"/>
          <w:b/>
        </w:rPr>
        <w:t>SUJETO OBLIGADO</w:t>
      </w:r>
      <w:r>
        <w:rPr>
          <w:rFonts w:ascii="Palatino Linotype" w:hAnsi="Palatino Linotype"/>
        </w:rPr>
        <w:t xml:space="preserve">, a fin de dar respuesta a la solicitud planteada, este Instituto no está facultado para manifestarse sobre la veracidad de la información </w:t>
      </w:r>
      <w:r>
        <w:rPr>
          <w:rFonts w:ascii="Palatino Linotype" w:hAnsi="Palatino Linotype"/>
        </w:rPr>
        <w:lastRenderedPageBreak/>
        <w:t>proporcionada, pues este Órgano Garante, conforme al artículo 36 de la Ley de la Materia, no se encuentra facultado para pronunciarse acerca de la autenticidad de dicho pronunciamiento.</w:t>
      </w:r>
    </w:p>
    <w:p w:rsidR="00232DB1" w:rsidRDefault="00274F0D">
      <w:pPr>
        <w:spacing w:beforeAutospacing="1" w:afterAutospacing="1" w:line="360" w:lineRule="auto"/>
        <w:jc w:val="both"/>
        <w:rPr>
          <w:rFonts w:ascii="Palatino Linotype" w:hAnsi="Palatino Linotype" w:cs="Arial"/>
        </w:rPr>
      </w:pPr>
      <w:r>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232DB1" w:rsidRDefault="00274F0D">
      <w:pPr>
        <w:ind w:left="709" w:right="760"/>
        <w:jc w:val="both"/>
        <w:rPr>
          <w:rFonts w:ascii="Palatino Linotype" w:hAnsi="Palatino Linotype" w:cs="Arial"/>
          <w:i/>
          <w:sz w:val="22"/>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232DB1" w:rsidRDefault="00274F0D">
      <w:pPr>
        <w:ind w:left="709" w:right="757"/>
        <w:jc w:val="both"/>
        <w:rPr>
          <w:rFonts w:ascii="Palatino Linotype" w:hAnsi="Palatino Linotype" w:cs="Arial"/>
          <w:b/>
          <w:i/>
          <w:sz w:val="22"/>
        </w:rPr>
      </w:pPr>
      <w:r>
        <w:rPr>
          <w:rFonts w:ascii="Palatino Linotype" w:hAnsi="Palatino Linotype" w:cs="Arial"/>
          <w:i/>
          <w:sz w:val="22"/>
        </w:rPr>
        <w:t>Criterio 31/10</w:t>
      </w:r>
      <w:r>
        <w:rPr>
          <w:rFonts w:ascii="Palatino Linotype" w:hAnsi="Palatino Linotype" w:cs="Arial"/>
          <w:b/>
          <w:i/>
          <w:sz w:val="22"/>
        </w:rPr>
        <w:t>”</w:t>
      </w:r>
      <w:r>
        <w:rPr>
          <w:rFonts w:ascii="Palatino Linotype" w:hAnsi="Palatino Linotype" w:cs="Arial"/>
          <w:i/>
          <w:sz w:val="22"/>
        </w:rPr>
        <w:t xml:space="preserve"> (sic)</w:t>
      </w:r>
    </w:p>
    <w:p w:rsidR="00232DB1" w:rsidRDefault="00274F0D">
      <w:pPr>
        <w:spacing w:beforeAutospacing="1"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Una vez apuntado lo anterior, este Instituto analizó la normativa que rige a las solicitudes de acceso a la información y observó que, contrario a lo manifestado por </w:t>
      </w:r>
      <w:r>
        <w:rPr>
          <w:rFonts w:ascii="Palatino Linotype" w:eastAsia="Calibri" w:hAnsi="Palatino Linotype"/>
          <w:b/>
          <w:szCs w:val="22"/>
          <w:lang w:eastAsia="en-US"/>
        </w:rPr>
        <w:t>EL RECURRENTE</w:t>
      </w:r>
      <w:r>
        <w:rPr>
          <w:rFonts w:ascii="Palatino Linotype" w:eastAsia="Calibri" w:hAnsi="Palatino Linotype"/>
          <w:szCs w:val="22"/>
          <w:lang w:eastAsia="en-US"/>
        </w:rPr>
        <w:t xml:space="preserve"> no hay fuente obligacional que lo constriña a contar con un </w:t>
      </w:r>
      <w:r>
        <w:rPr>
          <w:rFonts w:ascii="Palatino Linotype" w:eastAsia="Calibri" w:hAnsi="Palatino Linotype"/>
          <w:szCs w:val="22"/>
          <w:lang w:eastAsia="en-US"/>
        </w:rPr>
        <w:lastRenderedPageBreak/>
        <w:t>organigrama en específico para cada área que lo integra, sino más bien dar cumplimiento a la obligación de transparencia común que se detalla en las líneas posteriores.</w:t>
      </w:r>
    </w:p>
    <w:p w:rsidR="00232DB1" w:rsidRDefault="00274F0D">
      <w:pPr>
        <w:spacing w:beforeAutospacing="1" w:afterAutospacing="1" w:line="360" w:lineRule="auto"/>
        <w:jc w:val="both"/>
        <w:rPr>
          <w:rFonts w:ascii="Palatino Linotype" w:hAnsi="Palatino Linotype"/>
          <w:lang w:val="es-ES"/>
        </w:rPr>
      </w:pPr>
      <w:r>
        <w:rPr>
          <w:rFonts w:ascii="Palatino Linotype" w:hAnsi="Palatino Linotype" w:cs="Arial"/>
          <w:lang w:val="es-ES"/>
        </w:rPr>
        <w:t xml:space="preserve">Al respecto, esta Autoridad estima importante traer a contexto </w:t>
      </w:r>
      <w:r>
        <w:rPr>
          <w:rFonts w:ascii="Palatino Linotype" w:hAnsi="Palatino Linotype"/>
          <w:lang w:val="es-ES"/>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Pr>
          <w:rFonts w:ascii="Palatino Linotype" w:hAnsi="Palatino Linotype"/>
          <w:b/>
          <w:lang w:val="es-ES"/>
        </w:rPr>
        <w:t>estructura orgánica</w:t>
      </w:r>
      <w:r>
        <w:rPr>
          <w:rFonts w:ascii="Palatino Linotype" w:hAnsi="Palatino Linotype"/>
          <w:lang w:val="es-ES"/>
        </w:rPr>
        <w:t>, refiriendo que ello debe ser en un formato que permita, vincular cada parte de la estructura, las atribuciones y responsabilidades que le corresponden a cada servidor público, tal y como se lee enseguida:</w:t>
      </w:r>
    </w:p>
    <w:p w:rsidR="00232DB1" w:rsidRDefault="00274F0D">
      <w:pPr>
        <w:ind w:left="851" w:right="902"/>
        <w:jc w:val="both"/>
        <w:rPr>
          <w:rFonts w:ascii="Palatino Linotype" w:hAnsi="Palatino Linotype" w:cs="Arial"/>
          <w:i/>
          <w:sz w:val="22"/>
          <w:szCs w:val="22"/>
          <w:lang w:val="es-ES"/>
        </w:rPr>
      </w:pPr>
      <w:r>
        <w:rPr>
          <w:rFonts w:ascii="Palatino Linotype" w:hAnsi="Palatino Linotype"/>
          <w:i/>
          <w:sz w:val="22"/>
          <w:szCs w:val="22"/>
          <w:lang w:val="es-ES"/>
        </w:rPr>
        <w:t>“</w:t>
      </w:r>
      <w:r>
        <w:rPr>
          <w:rFonts w:ascii="Palatino Linotype" w:hAnsi="Palatino Linotype" w:cs="Arial"/>
          <w:b/>
          <w:i/>
          <w:sz w:val="22"/>
          <w:szCs w:val="22"/>
          <w:lang w:val="es-ES"/>
        </w:rPr>
        <w:t>Artículo 92</w:t>
      </w:r>
      <w:r>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32DB1" w:rsidRDefault="00274F0D">
      <w:pPr>
        <w:ind w:left="851" w:right="902"/>
        <w:jc w:val="both"/>
        <w:rPr>
          <w:rFonts w:ascii="Palatino Linotype" w:hAnsi="Palatino Linotype" w:cs="Arial"/>
          <w:i/>
          <w:sz w:val="22"/>
          <w:szCs w:val="22"/>
          <w:lang w:val="es-ES"/>
        </w:rPr>
      </w:pPr>
      <w:r>
        <w:rPr>
          <w:rFonts w:ascii="Palatino Linotype" w:hAnsi="Palatino Linotype" w:cs="Arial"/>
          <w:i/>
          <w:color w:val="222222"/>
          <w:sz w:val="22"/>
          <w:szCs w:val="22"/>
          <w:lang w:val="es-ES" w:eastAsia="es-MX"/>
        </w:rPr>
        <w:t>(…)</w:t>
      </w:r>
      <w:r>
        <w:rPr>
          <w:rFonts w:ascii="Palatino Linotype" w:hAnsi="Palatino Linotype" w:cs="Arial"/>
          <w:i/>
          <w:color w:val="222222"/>
          <w:sz w:val="22"/>
          <w:szCs w:val="22"/>
          <w:lang w:val="es-ES" w:eastAsia="es-MX"/>
        </w:rPr>
        <w:br/>
      </w:r>
      <w:r>
        <w:rPr>
          <w:rFonts w:ascii="Palatino Linotype" w:hAnsi="Palatino Linotype" w:cs="Arial"/>
          <w:b/>
          <w:i/>
          <w:sz w:val="22"/>
          <w:szCs w:val="22"/>
          <w:lang w:val="es-ES"/>
        </w:rPr>
        <w:t>II.</w:t>
      </w:r>
      <w:r>
        <w:rPr>
          <w:rFonts w:ascii="Palatino Linotype" w:hAnsi="Palatino Linotype" w:cs="Arial"/>
          <w:i/>
          <w:sz w:val="22"/>
          <w:szCs w:val="22"/>
          <w:lang w:val="es-ES"/>
        </w:rPr>
        <w:t xml:space="preserve"> </w:t>
      </w:r>
      <w:r>
        <w:rPr>
          <w:rFonts w:ascii="Palatino Linotype" w:hAnsi="Palatino Linotype" w:cs="Arial"/>
          <w:b/>
          <w:i/>
          <w:sz w:val="22"/>
          <w:szCs w:val="22"/>
          <w:lang w:val="es-ES"/>
        </w:rPr>
        <w:t>Su estructura orgánica completa</w:t>
      </w:r>
      <w:r>
        <w:rPr>
          <w:rFonts w:ascii="Palatino Linotype" w:hAnsi="Palatino Linotype" w:cs="Arial"/>
          <w:i/>
          <w:sz w:val="22"/>
          <w:szCs w:val="22"/>
          <w:lang w:val="es-ES"/>
        </w:rPr>
        <w:t xml:space="preserve">, en un </w:t>
      </w:r>
      <w:r>
        <w:rPr>
          <w:rFonts w:ascii="Palatino Linotype" w:hAnsi="Palatino Linotype" w:cs="Arial"/>
          <w:b/>
          <w:i/>
          <w:sz w:val="22"/>
          <w:szCs w:val="22"/>
          <w:lang w:val="es-ES"/>
        </w:rPr>
        <w:t>formato que permita vincular cada parte de la estructura</w:t>
      </w:r>
      <w:r>
        <w:rPr>
          <w:rFonts w:ascii="Palatino Linotype" w:hAnsi="Palatino Linotype" w:cs="Arial"/>
          <w:i/>
          <w:sz w:val="22"/>
          <w:szCs w:val="22"/>
          <w:lang w:val="es-ES"/>
        </w:rPr>
        <w:t>, las atribuciones y responsabilidades que le corresponden a cada servidor público, prestador de servicios profesionales o miembro de los sujetos obligados, de conformidad con las disposiciones jurídicas aplicables…” (Sic)</w:t>
      </w:r>
    </w:p>
    <w:p w:rsidR="00232DB1" w:rsidRDefault="00274F0D">
      <w:pPr>
        <w:ind w:left="851" w:right="902"/>
        <w:jc w:val="both"/>
        <w:rPr>
          <w:rFonts w:ascii="Palatino Linotype" w:hAnsi="Palatino Linotype" w:cs="Arial"/>
          <w:b/>
          <w:i/>
          <w:sz w:val="22"/>
          <w:szCs w:val="22"/>
          <w:lang w:val="es-ES"/>
        </w:rPr>
      </w:pPr>
      <w:r>
        <w:rPr>
          <w:rFonts w:ascii="Palatino Linotype" w:hAnsi="Palatino Linotype" w:cs="Arial"/>
          <w:b/>
          <w:i/>
          <w:color w:val="222222"/>
          <w:sz w:val="22"/>
          <w:szCs w:val="22"/>
          <w:lang w:val="es-ES" w:eastAsia="es-MX"/>
        </w:rPr>
        <w:t>(Énfasis añadido).</w:t>
      </w:r>
    </w:p>
    <w:p w:rsidR="00232DB1" w:rsidRDefault="00274F0D">
      <w:pPr>
        <w:spacing w:beforeAutospacing="1" w:afterAutospacing="1" w:line="360" w:lineRule="auto"/>
        <w:jc w:val="both"/>
        <w:rPr>
          <w:rFonts w:ascii="Palatino Linotype" w:hAnsi="Palatino Linotype"/>
          <w:highlight w:val="white"/>
          <w:lang w:val="es-ES"/>
        </w:rPr>
      </w:pPr>
      <w:r>
        <w:rPr>
          <w:rFonts w:ascii="Palatino Linotype" w:hAnsi="Palatino Linotype"/>
          <w:lang w:val="es-ES"/>
        </w:rPr>
        <w:t xml:space="preserve">Dicha disposición, recoge de lo establecido por la Ley General de Transparencia y Acceso a la Información Pública en su artículo 70, fracción II que refiere en los mismos términos </w:t>
      </w:r>
      <w:r>
        <w:rPr>
          <w:rFonts w:ascii="Palatino Linotype" w:hAnsi="Palatino Linotype"/>
          <w:b/>
          <w:lang w:val="es-ES"/>
        </w:rPr>
        <w:t>la obligación de transparentar la estructura orgánica de parte de cada uno de los Sujetos Obligados</w:t>
      </w:r>
      <w:r>
        <w:rPr>
          <w:rFonts w:ascii="Palatino Linotype" w:hAnsi="Palatino Linotype"/>
          <w:lang w:val="es-ES"/>
        </w:rPr>
        <w:t>;</w:t>
      </w:r>
      <w:r>
        <w:rPr>
          <w:rFonts w:ascii="Palatino Linotype" w:eastAsia="Calibri" w:hAnsi="Palatino Linotype" w:cs="Arial"/>
          <w:lang w:val="es-ES" w:eastAsia="en-US"/>
        </w:rPr>
        <w:t xml:space="preserve"> por lo que, resulta aplicable en la entidad lo dispuesto por los</w:t>
      </w:r>
      <w:r>
        <w:rPr>
          <w:rFonts w:ascii="Palatino Linotype" w:hAnsi="Palatino Linotype"/>
          <w:lang w:val="es-ES"/>
        </w:rPr>
        <w:t xml:space="preserve"> </w:t>
      </w:r>
      <w:r>
        <w:rPr>
          <w:rFonts w:ascii="Palatino Linotype" w:hAnsi="Palatino Linotype"/>
          <w:i/>
          <w:shd w:val="clear" w:color="auto" w:fill="FFFFFF"/>
          <w:lang w:val="es-ES"/>
        </w:rPr>
        <w:t xml:space="preserve">Lineamientos Técnicos Generales para la Publicación, Homologación y Estandarización de </w:t>
      </w:r>
      <w:r>
        <w:rPr>
          <w:rFonts w:ascii="Palatino Linotype" w:hAnsi="Palatino Linotype"/>
          <w:i/>
          <w:shd w:val="clear" w:color="auto" w:fill="FFFFFF"/>
          <w:lang w:val="es-ES"/>
        </w:rPr>
        <w:lastRenderedPageBreak/>
        <w:t>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hAnsi="Palatino Linotype"/>
          <w:shd w:val="clear" w:color="auto" w:fill="FFFFFF"/>
          <w:lang w:val="es-ES"/>
        </w:rPr>
        <w:t xml:space="preserve">, </w:t>
      </w:r>
      <w:r>
        <w:rPr>
          <w:rFonts w:ascii="Palatino Linotype" w:eastAsia="Calibri" w:hAnsi="Palatino Linotype" w:cs="Arial"/>
          <w:lang w:val="es-ES" w:eastAsia="en-US"/>
        </w:rPr>
        <w:t xml:space="preserve">publicados en el Diario Oficial de la Federación, el día cuatro de mayo de dos mil dieciséis; de los cuales, se desprende </w:t>
      </w:r>
      <w:r>
        <w:rPr>
          <w:rFonts w:ascii="Palatino Linotype" w:hAnsi="Palatino Linotype"/>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rsidR="00232DB1" w:rsidRDefault="00274F0D">
      <w:pPr>
        <w:spacing w:beforeAutospacing="1" w:afterAutospacing="1" w:line="360" w:lineRule="auto"/>
        <w:jc w:val="both"/>
        <w:rPr>
          <w:rFonts w:ascii="Palatino Linotype" w:hAnsi="Palatino Linotype"/>
          <w:lang w:val="es-ES"/>
        </w:rPr>
      </w:pPr>
      <w:r>
        <w:rPr>
          <w:rFonts w:ascii="Palatino Linotype" w:hAnsi="Palatino Linotype"/>
          <w:shd w:val="clear" w:color="auto" w:fill="FFFFFF"/>
          <w:lang w:val="es-ES"/>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Pr>
          <w:rFonts w:ascii="Palatino Linotype" w:hAnsi="Palatino Linotype"/>
          <w:lang w:val="es-ES"/>
        </w:rPr>
        <w:t xml:space="preserve">el personal de gabinete de apoyo u homólogo, prestadores de servicios profesionales, miembros de los Sujetos Obligados; así como, los respectivos niveles de adjunto, homólogo o cualquier otro equivalente, según la denominación que se le dé. </w:t>
      </w:r>
    </w:p>
    <w:p w:rsidR="00232DB1" w:rsidRDefault="00274F0D">
      <w:pPr>
        <w:spacing w:beforeAutospacing="1" w:afterAutospacing="1" w:line="360" w:lineRule="auto"/>
        <w:jc w:val="both"/>
        <w:rPr>
          <w:rFonts w:ascii="Palatino Linotype" w:hAnsi="Palatino Linotype"/>
          <w:lang w:val="es-ES"/>
        </w:rPr>
      </w:pPr>
      <w:r>
        <w:rPr>
          <w:rFonts w:ascii="Palatino Linotype" w:hAnsi="Palatino Linotype"/>
          <w:lang w:val="es-ES"/>
        </w:rPr>
        <w:t>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rsidR="00232DB1" w:rsidRDefault="00274F0D">
      <w:pPr>
        <w:spacing w:beforeAutospacing="1" w:afterAutospacing="1" w:line="360" w:lineRule="auto"/>
        <w:jc w:val="both"/>
        <w:rPr>
          <w:rFonts w:ascii="Palatino Linotype" w:hAnsi="Palatino Linotype"/>
          <w:lang w:val="es-ES"/>
        </w:rPr>
      </w:pPr>
      <w:r>
        <w:rPr>
          <w:rFonts w:ascii="Palatino Linotype" w:hAnsi="Palatino Linotype"/>
          <w:lang w:val="es-ES"/>
        </w:rPr>
        <w:lastRenderedPageBreak/>
        <w:t>Por lo que, establecen los siguientes criterios de contenido para la publicación de dicha información, a saber:</w:t>
      </w:r>
    </w:p>
    <w:p w:rsidR="00232DB1" w:rsidRDefault="00274F0D">
      <w:pPr>
        <w:ind w:left="851" w:right="902"/>
        <w:jc w:val="both"/>
        <w:rPr>
          <w:rFonts w:ascii="Palatino Linotype" w:hAnsi="Palatino Linotype"/>
          <w:i/>
          <w:sz w:val="22"/>
          <w:szCs w:val="22"/>
          <w:lang w:val="es-ES"/>
        </w:rPr>
      </w:pPr>
      <w:r>
        <w:rPr>
          <w:rFonts w:ascii="Palatino Linotype" w:hAnsi="Palatino Linotype"/>
          <w:i/>
          <w:sz w:val="22"/>
          <w:szCs w:val="22"/>
          <w:lang w:val="es-ES"/>
        </w:rPr>
        <w:t>“</w:t>
      </w:r>
      <w:r>
        <w:rPr>
          <w:rFonts w:ascii="Palatino Linotype" w:hAnsi="Palatino Linotype"/>
          <w:b/>
          <w:i/>
          <w:sz w:val="22"/>
          <w:szCs w:val="22"/>
          <w:lang w:val="es-ES"/>
        </w:rPr>
        <w:t>Criterios sustantivos de contenido</w:t>
      </w:r>
      <w:r>
        <w:rPr>
          <w:rFonts w:ascii="Palatino Linotype" w:hAnsi="Palatino Linotype"/>
          <w:i/>
          <w:sz w:val="22"/>
          <w:szCs w:val="22"/>
          <w:lang w:val="es-ES"/>
        </w:rPr>
        <w:t xml:space="preserve"> </w:t>
      </w:r>
    </w:p>
    <w:p w:rsidR="00232DB1" w:rsidRDefault="00274F0D">
      <w:pPr>
        <w:ind w:left="1843" w:right="902" w:hanging="992"/>
        <w:jc w:val="both"/>
        <w:rPr>
          <w:rFonts w:ascii="Palatino Linotype" w:hAnsi="Palatino Linotype"/>
          <w:i/>
          <w:sz w:val="22"/>
          <w:szCs w:val="22"/>
          <w:lang w:val="es-ES"/>
        </w:rPr>
      </w:pPr>
      <w:r>
        <w:rPr>
          <w:rFonts w:ascii="Palatino Linotype" w:hAnsi="Palatino Linotype"/>
          <w:b/>
          <w:i/>
          <w:sz w:val="22"/>
          <w:szCs w:val="22"/>
          <w:lang w:val="es-ES"/>
        </w:rPr>
        <w:t>Criterio 1</w:t>
      </w:r>
      <w:r>
        <w:rPr>
          <w:rFonts w:ascii="Palatino Linotype" w:hAnsi="Palatino Linotype"/>
          <w:i/>
          <w:sz w:val="22"/>
          <w:szCs w:val="22"/>
          <w:lang w:val="es-ES"/>
        </w:rPr>
        <w:t xml:space="preserve"> </w:t>
      </w:r>
      <w:r>
        <w:rPr>
          <w:rFonts w:ascii="Palatino Linotype" w:hAnsi="Palatino Linotype"/>
          <w:b/>
          <w:i/>
          <w:sz w:val="22"/>
          <w:szCs w:val="22"/>
          <w:lang w:val="es-ES"/>
        </w:rPr>
        <w:t>Denominación del Área</w:t>
      </w:r>
      <w:r>
        <w:rPr>
          <w:rFonts w:ascii="Palatino Linotype" w:hAnsi="Palatino Linotype"/>
          <w:i/>
          <w:sz w:val="22"/>
          <w:szCs w:val="22"/>
          <w:lang w:val="es-ES"/>
        </w:rPr>
        <w:t xml:space="preserve"> (de acuerdo con el catálogo que en su caso regule la actividad del sujeto obligado) </w:t>
      </w:r>
    </w:p>
    <w:p w:rsidR="00232DB1" w:rsidRDefault="00274F0D">
      <w:pPr>
        <w:ind w:left="1843" w:right="902" w:hanging="992"/>
        <w:jc w:val="both"/>
        <w:rPr>
          <w:rFonts w:ascii="Palatino Linotype" w:hAnsi="Palatino Linotype"/>
          <w:i/>
          <w:sz w:val="22"/>
          <w:szCs w:val="22"/>
          <w:lang w:val="es-ES"/>
        </w:rPr>
      </w:pPr>
      <w:r>
        <w:rPr>
          <w:rFonts w:ascii="Palatino Linotype" w:hAnsi="Palatino Linotype"/>
          <w:b/>
          <w:i/>
          <w:sz w:val="22"/>
          <w:szCs w:val="22"/>
          <w:lang w:val="es-ES"/>
        </w:rPr>
        <w:t>Criterio 2</w:t>
      </w:r>
      <w:r>
        <w:rPr>
          <w:rFonts w:ascii="Palatino Linotype" w:hAnsi="Palatino Linotype"/>
          <w:i/>
          <w:sz w:val="22"/>
          <w:szCs w:val="22"/>
          <w:lang w:val="es-ES"/>
        </w:rPr>
        <w:t xml:space="preserve"> </w:t>
      </w:r>
      <w:r>
        <w:rPr>
          <w:rFonts w:ascii="Palatino Linotype" w:hAnsi="Palatino Linotype"/>
          <w:b/>
          <w:i/>
          <w:sz w:val="22"/>
          <w:szCs w:val="22"/>
          <w:lang w:val="es-ES"/>
        </w:rPr>
        <w:t>Denominación del puesto</w:t>
      </w:r>
      <w:r>
        <w:rPr>
          <w:rFonts w:ascii="Palatino Linotype" w:hAnsi="Palatino Linotype"/>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rsidR="00232DB1" w:rsidRDefault="00274F0D">
      <w:pPr>
        <w:ind w:left="1843" w:right="902" w:hanging="992"/>
        <w:jc w:val="both"/>
        <w:rPr>
          <w:rFonts w:ascii="Palatino Linotype" w:hAnsi="Palatino Linotype"/>
          <w:i/>
          <w:sz w:val="22"/>
          <w:szCs w:val="22"/>
          <w:lang w:val="es-ES"/>
        </w:rPr>
      </w:pPr>
      <w:r>
        <w:rPr>
          <w:rFonts w:ascii="Palatino Linotype" w:hAnsi="Palatino Linotype"/>
          <w:b/>
          <w:i/>
          <w:sz w:val="22"/>
          <w:szCs w:val="22"/>
          <w:lang w:val="es-ES"/>
        </w:rPr>
        <w:t>Criterio 3</w:t>
      </w:r>
      <w:r>
        <w:rPr>
          <w:rFonts w:ascii="Palatino Linotype" w:hAnsi="Palatino Linotype"/>
          <w:i/>
          <w:sz w:val="22"/>
          <w:szCs w:val="22"/>
          <w:lang w:val="es-ES"/>
        </w:rPr>
        <w:t xml:space="preserve"> Denominación del cargo (de conformidad con nombramiento otorgado) </w:t>
      </w:r>
    </w:p>
    <w:p w:rsidR="00232DB1" w:rsidRDefault="00274F0D">
      <w:pPr>
        <w:ind w:left="1843" w:right="902" w:hanging="992"/>
        <w:jc w:val="both"/>
        <w:rPr>
          <w:rFonts w:ascii="Palatino Linotype" w:hAnsi="Palatino Linotype"/>
          <w:i/>
          <w:sz w:val="22"/>
          <w:szCs w:val="22"/>
          <w:lang w:val="es-ES"/>
        </w:rPr>
      </w:pPr>
      <w:r>
        <w:rPr>
          <w:rFonts w:ascii="Palatino Linotype" w:hAnsi="Palatino Linotype"/>
          <w:b/>
          <w:i/>
          <w:sz w:val="22"/>
          <w:szCs w:val="22"/>
          <w:lang w:val="es-ES"/>
        </w:rPr>
        <w:t>Criterio 4</w:t>
      </w:r>
      <w:r>
        <w:rPr>
          <w:rFonts w:ascii="Palatino Linotype" w:hAnsi="Palatino Linotype"/>
          <w:i/>
          <w:sz w:val="22"/>
          <w:szCs w:val="22"/>
          <w:lang w:val="es-ES"/>
        </w:rPr>
        <w:t xml:space="preserve"> Clave o nivel del puesto (en su caso) de acuerdo con el catálogo que regule la actividad del sujeto obligado] </w:t>
      </w:r>
    </w:p>
    <w:p w:rsidR="00232DB1" w:rsidRDefault="00274F0D">
      <w:pPr>
        <w:ind w:left="1843" w:right="902" w:hanging="992"/>
        <w:jc w:val="both"/>
        <w:rPr>
          <w:rFonts w:ascii="Palatino Linotype" w:hAnsi="Palatino Linotype"/>
          <w:i/>
          <w:sz w:val="22"/>
          <w:szCs w:val="22"/>
          <w:lang w:val="es-ES"/>
        </w:rPr>
      </w:pPr>
      <w:r>
        <w:rPr>
          <w:rFonts w:ascii="Palatino Linotype" w:hAnsi="Palatino Linotype"/>
          <w:b/>
          <w:i/>
          <w:sz w:val="22"/>
          <w:szCs w:val="22"/>
          <w:lang w:val="es-ES"/>
        </w:rPr>
        <w:t>Criterio 5</w:t>
      </w:r>
      <w:r>
        <w:rPr>
          <w:rFonts w:ascii="Palatino Linotype" w:hAnsi="Palatino Linotype"/>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232DB1" w:rsidRDefault="00274F0D">
      <w:pPr>
        <w:ind w:left="1843" w:right="902" w:hanging="992"/>
        <w:jc w:val="both"/>
        <w:rPr>
          <w:rFonts w:ascii="Palatino Linotype" w:hAnsi="Palatino Linotype"/>
          <w:i/>
          <w:sz w:val="22"/>
          <w:szCs w:val="22"/>
          <w:lang w:val="es-ES"/>
        </w:rPr>
      </w:pPr>
      <w:r>
        <w:rPr>
          <w:rFonts w:ascii="Palatino Linotype" w:hAnsi="Palatino Linotype"/>
          <w:b/>
          <w:i/>
          <w:sz w:val="22"/>
          <w:szCs w:val="22"/>
          <w:lang w:val="es-ES"/>
        </w:rPr>
        <w:t>Criterio 6</w:t>
      </w:r>
      <w:r>
        <w:rPr>
          <w:rFonts w:ascii="Palatino Linotype" w:hAnsi="Palatino Linotype"/>
          <w:i/>
          <w:sz w:val="22"/>
          <w:szCs w:val="22"/>
          <w:lang w:val="es-ES"/>
        </w:rPr>
        <w:t xml:space="preserve"> </w:t>
      </w:r>
      <w:r>
        <w:rPr>
          <w:rFonts w:ascii="Palatino Linotype" w:hAnsi="Palatino Linotype"/>
          <w:b/>
          <w:i/>
          <w:sz w:val="22"/>
          <w:szCs w:val="22"/>
          <w:lang w:val="es-ES"/>
        </w:rPr>
        <w:t>Área de adscripción</w:t>
      </w:r>
      <w:r>
        <w:rPr>
          <w:rFonts w:ascii="Palatino Linotype" w:hAnsi="Palatino Linotype"/>
          <w:i/>
          <w:sz w:val="22"/>
          <w:szCs w:val="22"/>
          <w:lang w:val="es-ES"/>
        </w:rPr>
        <w:t xml:space="preserve"> (Área inmediata superior) </w:t>
      </w:r>
    </w:p>
    <w:p w:rsidR="00232DB1" w:rsidRDefault="00274F0D">
      <w:pPr>
        <w:ind w:left="1843" w:right="902" w:hanging="992"/>
        <w:jc w:val="both"/>
        <w:rPr>
          <w:rFonts w:ascii="Palatino Linotype" w:hAnsi="Palatino Linotype"/>
          <w:i/>
          <w:sz w:val="22"/>
          <w:szCs w:val="22"/>
          <w:lang w:val="es-ES"/>
        </w:rPr>
      </w:pPr>
      <w:r>
        <w:rPr>
          <w:rFonts w:ascii="Palatino Linotype" w:hAnsi="Palatino Linotype"/>
          <w:b/>
          <w:i/>
          <w:sz w:val="22"/>
          <w:szCs w:val="22"/>
          <w:lang w:val="es-ES"/>
        </w:rPr>
        <w:t>Criterio 7</w:t>
      </w:r>
      <w:r>
        <w:rPr>
          <w:rFonts w:ascii="Palatino Linotype" w:hAnsi="Palatino Linotype"/>
          <w:i/>
          <w:sz w:val="22"/>
          <w:szCs w:val="22"/>
          <w:lang w:val="es-ES"/>
        </w:rPr>
        <w:t xml:space="preserve"> Por cada puesto y/o cargo de la estructura se deberá especificar la denominación de la norma que establece sus atribuciones, responsabilidades y/o funciones, según sea el caso </w:t>
      </w:r>
    </w:p>
    <w:p w:rsidR="00232DB1" w:rsidRDefault="00274F0D">
      <w:pPr>
        <w:ind w:left="1843" w:right="902" w:hanging="992"/>
        <w:jc w:val="both"/>
        <w:rPr>
          <w:rFonts w:ascii="Palatino Linotype" w:hAnsi="Palatino Linotype"/>
          <w:i/>
          <w:sz w:val="22"/>
          <w:szCs w:val="22"/>
          <w:lang w:val="es-ES"/>
        </w:rPr>
      </w:pPr>
      <w:r>
        <w:rPr>
          <w:rFonts w:ascii="Palatino Linotype" w:hAnsi="Palatino Linotype"/>
          <w:b/>
          <w:i/>
          <w:sz w:val="22"/>
          <w:szCs w:val="22"/>
          <w:lang w:val="es-ES"/>
        </w:rPr>
        <w:t>Criterio 8</w:t>
      </w:r>
      <w:r>
        <w:rPr>
          <w:rFonts w:ascii="Palatino Linotype" w:hAnsi="Palatino Linotype"/>
          <w:i/>
          <w:sz w:val="22"/>
          <w:szCs w:val="22"/>
          <w:lang w:val="es-ES"/>
        </w:rPr>
        <w:t xml:space="preserve"> Fundamento legal (artículo y/o fracción) que sustenta el puesto </w:t>
      </w:r>
    </w:p>
    <w:p w:rsidR="00232DB1" w:rsidRDefault="00274F0D">
      <w:pPr>
        <w:ind w:left="1843" w:right="902" w:hanging="992"/>
        <w:jc w:val="both"/>
        <w:rPr>
          <w:rFonts w:ascii="Palatino Linotype" w:hAnsi="Palatino Linotype"/>
          <w:i/>
          <w:sz w:val="22"/>
          <w:szCs w:val="22"/>
          <w:lang w:val="es-ES"/>
        </w:rPr>
      </w:pPr>
      <w:r>
        <w:rPr>
          <w:rFonts w:ascii="Palatino Linotype" w:hAnsi="Palatino Linotype"/>
          <w:b/>
          <w:i/>
          <w:sz w:val="22"/>
          <w:szCs w:val="22"/>
          <w:lang w:val="es-ES"/>
        </w:rPr>
        <w:t>Criterio 9</w:t>
      </w:r>
      <w:r>
        <w:rPr>
          <w:rFonts w:ascii="Palatino Linotype" w:hAnsi="Palatino Linotype"/>
          <w:i/>
          <w:sz w:val="22"/>
          <w:szCs w:val="22"/>
          <w:lang w:val="es-ES"/>
        </w:rPr>
        <w:t xml:space="preserve"> Por cada puesto o cargo deben desplegarse las atribuciones, responsabilidades y/o funciones, según sea el caso </w:t>
      </w:r>
    </w:p>
    <w:p w:rsidR="00232DB1" w:rsidRDefault="00274F0D">
      <w:pPr>
        <w:ind w:left="1843" w:right="902" w:hanging="992"/>
        <w:jc w:val="both"/>
        <w:rPr>
          <w:rFonts w:ascii="Palatino Linotype" w:hAnsi="Palatino Linotype"/>
          <w:i/>
          <w:sz w:val="22"/>
          <w:szCs w:val="22"/>
          <w:lang w:val="es-ES"/>
        </w:rPr>
      </w:pPr>
      <w:r>
        <w:rPr>
          <w:rFonts w:ascii="Palatino Linotype" w:hAnsi="Palatino Linotype"/>
          <w:b/>
          <w:i/>
          <w:sz w:val="22"/>
          <w:szCs w:val="22"/>
          <w:lang w:val="es-ES"/>
        </w:rPr>
        <w:t>Criterio 10</w:t>
      </w:r>
      <w:r>
        <w:rPr>
          <w:rFonts w:ascii="Palatino Linotype" w:hAnsi="Palatino Linotype"/>
          <w:i/>
          <w:sz w:val="22"/>
          <w:szCs w:val="22"/>
          <w:lang w:val="es-ES"/>
        </w:rPr>
        <w:t xml:space="preserve"> Hipervínculo al perfil y/o requerimientos del puesto o cargo, en caso de existir de acuerdo con la normatividad que aplique </w:t>
      </w:r>
    </w:p>
    <w:p w:rsidR="00232DB1" w:rsidRDefault="00274F0D">
      <w:pPr>
        <w:ind w:left="1843" w:right="902" w:hanging="992"/>
        <w:jc w:val="both"/>
        <w:rPr>
          <w:rFonts w:ascii="Palatino Linotype" w:hAnsi="Palatino Linotype"/>
          <w:i/>
          <w:sz w:val="22"/>
          <w:szCs w:val="22"/>
          <w:lang w:val="es-ES"/>
        </w:rPr>
      </w:pPr>
      <w:r>
        <w:rPr>
          <w:rFonts w:ascii="Palatino Linotype" w:hAnsi="Palatino Linotype"/>
          <w:b/>
          <w:i/>
          <w:sz w:val="22"/>
          <w:szCs w:val="22"/>
          <w:lang w:val="es-ES"/>
        </w:rPr>
        <w:t>Criterio 11</w:t>
      </w:r>
      <w:r>
        <w:rPr>
          <w:rFonts w:ascii="Palatino Linotype" w:hAnsi="Palatino Linotype"/>
          <w:i/>
          <w:sz w:val="22"/>
          <w:szCs w:val="22"/>
          <w:lang w:val="es-ES"/>
        </w:rPr>
        <w:t xml:space="preserve"> En cada nivel de estructura se deben incluir, en su caso, a los prestadores de servicios profesionales o los miembros que se integren al sujeto obligado de conformidad con las disposiciones aplicables (por ejemplo, en puestos honoríficos) </w:t>
      </w:r>
    </w:p>
    <w:p w:rsidR="00232DB1" w:rsidRDefault="00274F0D">
      <w:pPr>
        <w:ind w:left="1843" w:right="902" w:hanging="992"/>
        <w:jc w:val="both"/>
        <w:rPr>
          <w:rFonts w:ascii="Palatino Linotype" w:hAnsi="Palatino Linotype"/>
          <w:i/>
          <w:sz w:val="22"/>
          <w:szCs w:val="22"/>
          <w:lang w:val="es-ES"/>
        </w:rPr>
      </w:pPr>
      <w:r>
        <w:rPr>
          <w:rFonts w:ascii="Palatino Linotype" w:hAnsi="Palatino Linotype"/>
          <w:b/>
          <w:i/>
          <w:sz w:val="22"/>
          <w:szCs w:val="22"/>
          <w:lang w:val="es-ES"/>
        </w:rPr>
        <w:t>Criterio 12</w:t>
      </w:r>
      <w:r>
        <w:rPr>
          <w:rFonts w:ascii="Palatino Linotype" w:hAnsi="Palatino Linotype"/>
          <w:i/>
          <w:sz w:val="22"/>
          <w:szCs w:val="22"/>
          <w:lang w:val="es-ES"/>
        </w:rPr>
        <w:t xml:space="preserve"> </w:t>
      </w:r>
      <w:r>
        <w:rPr>
          <w:rFonts w:ascii="Palatino Linotype" w:hAnsi="Palatino Linotype"/>
          <w:b/>
          <w:i/>
          <w:sz w:val="22"/>
          <w:szCs w:val="22"/>
          <w:lang w:val="es-ES"/>
        </w:rPr>
        <w:t>Hipervínculo al organigrama completo</w:t>
      </w:r>
      <w:r>
        <w:rPr>
          <w:rFonts w:ascii="Palatino Linotype" w:hAnsi="Palatino Linotype"/>
          <w:i/>
          <w:sz w:val="22"/>
          <w:szCs w:val="22"/>
          <w:lang w:val="es-ES"/>
        </w:rPr>
        <w:t xml:space="preserve"> </w:t>
      </w:r>
      <w:r>
        <w:rPr>
          <w:rFonts w:ascii="Palatino Linotype" w:hAnsi="Palatino Linotype"/>
          <w:b/>
          <w:i/>
          <w:sz w:val="22"/>
          <w:szCs w:val="22"/>
          <w:lang w:val="es-ES"/>
        </w:rPr>
        <w:t>(forma gráfica)</w:t>
      </w:r>
      <w:r>
        <w:rPr>
          <w:rFonts w:ascii="Palatino Linotype" w:hAnsi="Palatino Linotype"/>
          <w:i/>
          <w:sz w:val="22"/>
          <w:szCs w:val="22"/>
          <w:lang w:val="es-ES"/>
        </w:rPr>
        <w:t xml:space="preserve"> acorde a su normatividad, el cual deberá contener el número de dictamen o similar </w:t>
      </w:r>
    </w:p>
    <w:p w:rsidR="00232DB1" w:rsidRDefault="00274F0D">
      <w:pPr>
        <w:ind w:left="1843" w:right="902" w:hanging="992"/>
        <w:jc w:val="both"/>
        <w:rPr>
          <w:rFonts w:ascii="Palatino Linotype" w:hAnsi="Palatino Linotype" w:cs="Arial"/>
          <w:i/>
          <w:sz w:val="22"/>
          <w:szCs w:val="22"/>
          <w:lang w:val="es-ES"/>
        </w:rPr>
      </w:pPr>
      <w:r>
        <w:rPr>
          <w:rFonts w:ascii="Palatino Linotype" w:hAnsi="Palatino Linotype"/>
          <w:b/>
          <w:i/>
          <w:sz w:val="22"/>
          <w:szCs w:val="22"/>
          <w:lang w:val="es-ES"/>
        </w:rPr>
        <w:t>Criterio 13</w:t>
      </w:r>
      <w:r>
        <w:rPr>
          <w:rFonts w:ascii="Palatino Linotype" w:hAnsi="Palatino Linotype"/>
          <w:i/>
          <w:sz w:val="22"/>
          <w:szCs w:val="22"/>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rsidR="00232DB1" w:rsidRDefault="00274F0D">
      <w:pPr>
        <w:ind w:left="1843" w:right="902" w:hanging="992"/>
        <w:rPr>
          <w:rFonts w:ascii="Palatino Linotype" w:hAnsi="Palatino Linotype"/>
          <w:sz w:val="22"/>
          <w:szCs w:val="22"/>
          <w:lang w:val="es-ES"/>
        </w:rPr>
      </w:pPr>
      <w:r>
        <w:rPr>
          <w:rFonts w:ascii="Palatino Linotype" w:hAnsi="Palatino Linotype"/>
          <w:sz w:val="22"/>
          <w:szCs w:val="22"/>
          <w:lang w:val="es-ES"/>
        </w:rPr>
        <w:lastRenderedPageBreak/>
        <w:t>(Énfasis añadido)</w:t>
      </w:r>
    </w:p>
    <w:p w:rsidR="00232DB1" w:rsidRDefault="00274F0D">
      <w:pPr>
        <w:spacing w:beforeAutospacing="1" w:afterAutospacing="1" w:line="360" w:lineRule="auto"/>
        <w:jc w:val="both"/>
        <w:rPr>
          <w:rFonts w:ascii="Palatino Linotype" w:eastAsia="Calibri" w:hAnsi="Palatino Linotype"/>
          <w:lang w:val="es-ES" w:eastAsia="en-US"/>
        </w:rPr>
      </w:pPr>
      <w:r>
        <w:rPr>
          <w:rFonts w:ascii="Palatino Linotype" w:eastAsia="Calibri" w:hAnsi="Palatino Linotype"/>
          <w:lang w:val="es-ES" w:eastAsia="en-US"/>
        </w:rPr>
        <w:t xml:space="preserve">De lo expuesto, se colige que cada </w:t>
      </w:r>
      <w:r>
        <w:rPr>
          <w:rFonts w:ascii="Palatino Linotype" w:eastAsia="Calibri" w:hAnsi="Palatino Linotype"/>
          <w:b/>
          <w:lang w:val="es-ES" w:eastAsia="en-US"/>
        </w:rPr>
        <w:t xml:space="preserve">SUJETO OBLIGADO </w:t>
      </w:r>
      <w:r>
        <w:rPr>
          <w:rFonts w:ascii="Palatino Linotype" w:eastAsia="Calibri" w:hAnsi="Palatino Linotype"/>
          <w:lang w:val="es-ES" w:eastAsia="en-US"/>
        </w:rPr>
        <w:t>deberá publicar su estructura orgánica vigente, conforme a criterios de jerarquía y especialización,</w:t>
      </w:r>
      <w:r>
        <w:rPr>
          <w:rFonts w:ascii="Palatino Linotype" w:eastAsia="Calibri" w:hAnsi="Palatino Linotype" w:cs="Arial"/>
          <w:lang w:val="es-ES" w:eastAsia="en-US"/>
        </w:rPr>
        <w:t xml:space="preserve"> ordenados y codificados, cuando así corresponda, mediante los catálogos de Áreas y de clave o nivel del puesto</w:t>
      </w:r>
      <w:r>
        <w:rPr>
          <w:rFonts w:ascii="Palatino Linotype" w:eastAsia="Calibri" w:hAnsi="Palatino Linotype"/>
          <w:lang w:val="es-ES" w:eastAsia="en-US"/>
        </w:rPr>
        <w:t>;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u homólogo y, en su caso, los prestadores de servicios profesionales y/o cualquier otro tipo de personal adscrito.</w:t>
      </w:r>
    </w:p>
    <w:p w:rsidR="00232DB1" w:rsidRDefault="00274F0D">
      <w:pPr>
        <w:widowControl w:val="0"/>
        <w:tabs>
          <w:tab w:val="left" w:pos="1701"/>
          <w:tab w:val="left" w:pos="1843"/>
        </w:tabs>
        <w:spacing w:beforeAutospacing="1" w:afterAutospacing="1" w:line="360" w:lineRule="auto"/>
        <w:jc w:val="both"/>
        <w:rPr>
          <w:rFonts w:ascii="Palatino Linotype" w:hAnsi="Palatino Linotype" w:cs="Arial"/>
        </w:rPr>
      </w:pPr>
      <w:r>
        <w:rPr>
          <w:rFonts w:ascii="Palatino Linotype" w:hAnsi="Palatino Linotype" w:cs="Arial"/>
        </w:rPr>
        <w:t xml:space="preserve">En esa virtud, este Instituto, como órgano garante del derecho de acceso a la información, se dio a la tarea de confrontar la estructura orgánica publicada por </w:t>
      </w:r>
      <w:r>
        <w:rPr>
          <w:rFonts w:ascii="Palatino Linotype" w:hAnsi="Palatino Linotype" w:cs="Arial"/>
          <w:b/>
        </w:rPr>
        <w:t>EL SUJETO OBLIGADO</w:t>
      </w:r>
      <w:r>
        <w:rPr>
          <w:rFonts w:ascii="Palatino Linotype" w:hAnsi="Palatino Linotype" w:cs="Arial"/>
        </w:rPr>
        <w:t>, en su Portal IPOMEX</w:t>
      </w:r>
      <w:r>
        <w:rPr>
          <w:rStyle w:val="FootnoteAnchor"/>
          <w:rFonts w:ascii="Palatino Linotype" w:hAnsi="Palatino Linotype" w:cs="Arial"/>
        </w:rPr>
        <w:footnoteReference w:id="4"/>
      </w:r>
      <w:r>
        <w:rPr>
          <w:rFonts w:ascii="Palatino Linotype" w:hAnsi="Palatino Linotype" w:cs="Arial"/>
        </w:rPr>
        <w:t xml:space="preserve"> con el organigrama remitido en la respuesta; así como, con aquel organigrama igualmente publicado en el referido Portal</w:t>
      </w:r>
      <w:r>
        <w:rPr>
          <w:rStyle w:val="FootnoteAnchor"/>
          <w:rFonts w:ascii="Palatino Linotype" w:hAnsi="Palatino Linotype" w:cs="Arial"/>
        </w:rPr>
        <w:footnoteReference w:id="5"/>
      </w:r>
      <w:r>
        <w:rPr>
          <w:rFonts w:ascii="Palatino Linotype" w:hAnsi="Palatino Linotype" w:cs="Arial"/>
        </w:rPr>
        <w:t xml:space="preserve">, y advirtió que los tres son coincidentes entre sí. Además, que dicha información se encuentra actualizada al 17 de febrero de 2020. Sirve de apoyo a lo anterior, las </w:t>
      </w:r>
      <w:r>
        <w:rPr>
          <w:rFonts w:ascii="Palatino Linotype" w:hAnsi="Palatino Linotype" w:cs="Arial"/>
        </w:rPr>
        <w:lastRenderedPageBreak/>
        <w:t>siguientes imágenes ilustrativas:</w:t>
      </w:r>
    </w:p>
    <w:p w:rsidR="00232DB1" w:rsidRDefault="00232DB1">
      <w:pPr>
        <w:widowControl w:val="0"/>
        <w:tabs>
          <w:tab w:val="left" w:pos="1701"/>
          <w:tab w:val="left" w:pos="1843"/>
        </w:tabs>
        <w:spacing w:beforeAutospacing="1" w:afterAutospacing="1" w:line="360" w:lineRule="auto"/>
        <w:jc w:val="both"/>
        <w:rPr>
          <w:rFonts w:ascii="Palatino Linotype" w:hAnsi="Palatino Linotype" w:cs="Arial"/>
        </w:rPr>
      </w:pPr>
    </w:p>
    <w:p w:rsidR="00232DB1" w:rsidRDefault="003025A4">
      <w:r>
        <w:rPr>
          <w:rFonts w:ascii="Palatino Linotype" w:hAnsi="Palatino Linotype" w:cs="Arial"/>
          <w:noProof/>
          <w:lang w:eastAsia="es-MX"/>
        </w:rPr>
        <mc:AlternateContent>
          <mc:Choice Requires="wps">
            <w:drawing>
              <wp:anchor distT="0" distB="0" distL="0" distR="0" simplePos="0" relativeHeight="71" behindDoc="0" locked="0" layoutInCell="1" allowOverlap="1">
                <wp:simplePos x="0" y="0"/>
                <wp:positionH relativeFrom="column">
                  <wp:posOffset>72390</wp:posOffset>
                </wp:positionH>
                <wp:positionV relativeFrom="paragraph">
                  <wp:posOffset>3279140</wp:posOffset>
                </wp:positionV>
                <wp:extent cx="6019800" cy="3009900"/>
                <wp:effectExtent l="38100" t="19050" r="76200" b="95250"/>
                <wp:wrapNone/>
                <wp:docPr id="7" name="Conector recto 21"/>
                <wp:cNvGraphicFramePr/>
                <a:graphic xmlns:a="http://schemas.openxmlformats.org/drawingml/2006/main">
                  <a:graphicData uri="http://schemas.microsoft.com/office/word/2010/wordprocessingShape">
                    <wps:wsp>
                      <wps:cNvCnPr/>
                      <wps:spPr>
                        <a:xfrm>
                          <a:off x="0" y="0"/>
                          <a:ext cx="6019800" cy="3009900"/>
                        </a:xfrm>
                        <a:prstGeom prst="line">
                          <a:avLst/>
                        </a:prstGeom>
                        <a:ln>
                          <a:round/>
                        </a:ln>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2BE431AD" id="Conector recto 21" o:spid="_x0000_s1026" style="position:absolute;z-index:7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5.7pt,258.2pt" to="479.7pt,4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" strokecolor="#4f81bd [3204]" strokeweight="2pt">
                <v:shadow on="t" color="black" opacity="24903f" origin=",.5" offset="0,.55556mm"/>
              </v:line>
            </w:pict>
          </mc:Fallback>
        </mc:AlternateContent>
      </w:r>
      <w:r w:rsidR="00274F0D">
        <w:rPr>
          <w:noProof/>
          <w:lang w:eastAsia="es-MX"/>
        </w:rPr>
        <w:drawing>
          <wp:inline distT="0" distB="0" distL="0" distR="0">
            <wp:extent cx="5590540" cy="2933065"/>
            <wp:effectExtent l="0" t="0" r="0" b="0"/>
            <wp:docPr id="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8"/>
                    <pic:cNvPicPr>
                      <a:picLocks noChangeAspect="1" noChangeArrowheads="1"/>
                    </pic:cNvPicPr>
                  </pic:nvPicPr>
                  <pic:blipFill>
                    <a:blip r:embed="rId15"/>
                    <a:srcRect l="24105" t="34124" r="35681" b="22726"/>
                    <a:stretch>
                      <a:fillRect/>
                    </a:stretch>
                  </pic:blipFill>
                  <pic:spPr bwMode="auto">
                    <a:xfrm>
                      <a:off x="0" y="0"/>
                      <a:ext cx="5590540" cy="2933065"/>
                    </a:xfrm>
                    <a:prstGeom prst="rect">
                      <a:avLst/>
                    </a:prstGeom>
                  </pic:spPr>
                </pic:pic>
              </a:graphicData>
            </a:graphic>
          </wp:inline>
        </w:drawing>
      </w:r>
    </w:p>
    <w:p w:rsidR="00232DB1" w:rsidRDefault="00274F0D">
      <w:r>
        <w:rPr>
          <w:noProof/>
          <w:lang w:eastAsia="es-MX"/>
        </w:rPr>
        <w:lastRenderedPageBreak/>
        <w:drawing>
          <wp:inline distT="0" distB="0" distL="0" distR="0">
            <wp:extent cx="5638800" cy="4338955"/>
            <wp:effectExtent l="0" t="0" r="0" b="0"/>
            <wp:docPr id="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9"/>
                    <pic:cNvPicPr>
                      <a:picLocks noChangeAspect="1" noChangeArrowheads="1"/>
                    </pic:cNvPicPr>
                  </pic:nvPicPr>
                  <pic:blipFill>
                    <a:blip r:embed="rId16"/>
                    <a:srcRect l="20879" t="21737" r="36531" b="13366"/>
                    <a:stretch>
                      <a:fillRect/>
                    </a:stretch>
                  </pic:blipFill>
                  <pic:spPr bwMode="auto">
                    <a:xfrm>
                      <a:off x="0" y="0"/>
                      <a:ext cx="5638800" cy="4338955"/>
                    </a:xfrm>
                    <a:prstGeom prst="rect">
                      <a:avLst/>
                    </a:prstGeom>
                  </pic:spPr>
                </pic:pic>
              </a:graphicData>
            </a:graphic>
          </wp:inline>
        </w:drawing>
      </w:r>
    </w:p>
    <w:p w:rsidR="00232DB1" w:rsidRDefault="00274F0D">
      <w:r>
        <w:rPr>
          <w:noProof/>
          <w:lang w:eastAsia="es-MX"/>
        </w:rPr>
        <w:drawing>
          <wp:inline distT="0" distB="0" distL="0" distR="0">
            <wp:extent cx="5610225" cy="1933575"/>
            <wp:effectExtent l="0" t="0" r="0" b="0"/>
            <wp:docPr id="1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0"/>
                    <pic:cNvPicPr>
                      <a:picLocks noChangeAspect="1" noChangeArrowheads="1"/>
                    </pic:cNvPicPr>
                  </pic:nvPicPr>
                  <pic:blipFill>
                    <a:blip r:embed="rId17"/>
                    <a:srcRect l="23933" t="28986" r="36866" b="46570"/>
                    <a:stretch>
                      <a:fillRect/>
                    </a:stretch>
                  </pic:blipFill>
                  <pic:spPr bwMode="auto">
                    <a:xfrm>
                      <a:off x="0" y="0"/>
                      <a:ext cx="5610225" cy="1933575"/>
                    </a:xfrm>
                    <a:prstGeom prst="rect">
                      <a:avLst/>
                    </a:prstGeom>
                  </pic:spPr>
                </pic:pic>
              </a:graphicData>
            </a:graphic>
          </wp:inline>
        </w:drawing>
      </w:r>
    </w:p>
    <w:p w:rsidR="00232DB1" w:rsidRDefault="00274F0D">
      <w:pPr>
        <w:spacing w:before="240" w:after="280" w:line="360" w:lineRule="auto"/>
        <w:jc w:val="both"/>
        <w:rPr>
          <w:rFonts w:ascii="Palatino Linotype" w:hAnsi="Palatino Linotype" w:cs="Arial"/>
        </w:rPr>
      </w:pPr>
      <w:r>
        <w:rPr>
          <w:rFonts w:ascii="Palatino Linotype" w:hAnsi="Palatino Linotype"/>
          <w:color w:val="000000"/>
          <w:lang w:eastAsia="es-MX"/>
        </w:rPr>
        <w:t xml:space="preserve">Con base en lo anterior, este Instituto estima que las respuestas otorgadas por </w:t>
      </w:r>
      <w:r>
        <w:rPr>
          <w:rFonts w:ascii="Palatino Linotype" w:hAnsi="Palatino Linotype"/>
          <w:b/>
          <w:color w:val="000000"/>
          <w:lang w:eastAsia="es-MX"/>
        </w:rPr>
        <w:t>EL SUJETO OBLIGADO</w:t>
      </w:r>
      <w:r>
        <w:rPr>
          <w:rFonts w:ascii="Palatino Linotype" w:hAnsi="Palatino Linotype"/>
          <w:color w:val="000000"/>
          <w:lang w:eastAsia="es-MX"/>
        </w:rPr>
        <w:t xml:space="preserve"> se encuentran debidamente fundadas y motivadas, máxime que </w:t>
      </w:r>
      <w:r>
        <w:rPr>
          <w:rFonts w:ascii="Palatino Linotype" w:hAnsi="Palatino Linotype"/>
          <w:color w:val="212121"/>
        </w:rPr>
        <w:t xml:space="preserve">los Sujetos Obligados deben garantizar el derecho de acceso a la información de los </w:t>
      </w:r>
      <w:r>
        <w:rPr>
          <w:rFonts w:ascii="Palatino Linotype" w:hAnsi="Palatino Linotype"/>
          <w:color w:val="212121"/>
        </w:rPr>
        <w:lastRenderedPageBreak/>
        <w:t>particulares, proporcionando la información con la que cuentan, en el formato en que la misma obre en sus archivos; sin necesidad de elaborar documentos </w:t>
      </w:r>
      <w:r>
        <w:rPr>
          <w:rFonts w:ascii="Palatino Linotype" w:hAnsi="Palatino Linotype"/>
          <w:i/>
          <w:iCs/>
          <w:color w:val="212121"/>
        </w:rPr>
        <w:t>ad hoc </w:t>
      </w:r>
      <w:r>
        <w:rPr>
          <w:rFonts w:ascii="Palatino Linotype" w:hAnsi="Palatino Linotype"/>
          <w:color w:val="21212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232DB1" w:rsidRDefault="00274F0D">
      <w:pPr>
        <w:ind w:left="851" w:right="902"/>
        <w:jc w:val="both"/>
        <w:rPr>
          <w:rFonts w:ascii="Palatino Linotype" w:hAnsi="Palatino Linotype"/>
          <w:i/>
          <w:iCs/>
          <w:color w:val="212121"/>
          <w:sz w:val="21"/>
          <w:szCs w:val="21"/>
          <w:lang w:val="es-ES" w:eastAsia="es-MX"/>
        </w:rPr>
      </w:pPr>
      <w:r>
        <w:rPr>
          <w:rFonts w:ascii="Palatino Linotype" w:hAnsi="Palatino Linotype"/>
          <w:b/>
          <w:bCs/>
          <w:i/>
          <w:iCs/>
          <w:color w:val="212121"/>
          <w:sz w:val="21"/>
          <w:szCs w:val="21"/>
          <w:lang w:val="es-ES" w:eastAsia="es-MX"/>
        </w:rPr>
        <w:t>“No existe obligación de elaborar </w:t>
      </w:r>
      <w:r>
        <w:rPr>
          <w:rFonts w:ascii="Palatino Linotype" w:hAnsi="Palatino Linotype"/>
          <w:b/>
          <w:bCs/>
          <w:i/>
          <w:iCs/>
          <w:color w:val="212121"/>
          <w:spacing w:val="-3"/>
          <w:sz w:val="21"/>
          <w:szCs w:val="21"/>
          <w:lang w:val="es-ES" w:eastAsia="es-MX"/>
        </w:rPr>
        <w:t>d</w:t>
      </w:r>
      <w:r>
        <w:rPr>
          <w:rFonts w:ascii="Palatino Linotype" w:hAnsi="Palatino Linotype"/>
          <w:b/>
          <w:bCs/>
          <w:i/>
          <w:iCs/>
          <w:color w:val="212121"/>
          <w:sz w:val="21"/>
          <w:szCs w:val="21"/>
          <w:lang w:val="es-ES" w:eastAsia="es-MX"/>
        </w:rPr>
        <w:t>ocum</w:t>
      </w:r>
      <w:r>
        <w:rPr>
          <w:rFonts w:ascii="Palatino Linotype" w:hAnsi="Palatino Linotype"/>
          <w:b/>
          <w:bCs/>
          <w:i/>
          <w:iCs/>
          <w:color w:val="212121"/>
          <w:spacing w:val="1"/>
          <w:sz w:val="21"/>
          <w:szCs w:val="21"/>
          <w:lang w:val="es-ES" w:eastAsia="es-MX"/>
        </w:rPr>
        <w:t>e</w:t>
      </w:r>
      <w:r>
        <w:rPr>
          <w:rFonts w:ascii="Palatino Linotype" w:hAnsi="Palatino Linotype"/>
          <w:b/>
          <w:bCs/>
          <w:i/>
          <w:iCs/>
          <w:color w:val="212121"/>
          <w:sz w:val="21"/>
          <w:szCs w:val="21"/>
          <w:lang w:val="es-ES" w:eastAsia="es-MX"/>
        </w:rPr>
        <w:t>n</w:t>
      </w:r>
      <w:r>
        <w:rPr>
          <w:rFonts w:ascii="Palatino Linotype" w:hAnsi="Palatino Linotype"/>
          <w:b/>
          <w:bCs/>
          <w:i/>
          <w:iCs/>
          <w:color w:val="212121"/>
          <w:spacing w:val="-1"/>
          <w:sz w:val="21"/>
          <w:szCs w:val="21"/>
          <w:lang w:val="es-ES" w:eastAsia="es-MX"/>
        </w:rPr>
        <w:t>t</w:t>
      </w:r>
      <w:r>
        <w:rPr>
          <w:rFonts w:ascii="Palatino Linotype" w:hAnsi="Palatino Linotype"/>
          <w:b/>
          <w:bCs/>
          <w:i/>
          <w:iCs/>
          <w:color w:val="212121"/>
          <w:sz w:val="21"/>
          <w:szCs w:val="21"/>
          <w:lang w:val="es-ES" w:eastAsia="es-MX"/>
        </w:rPr>
        <w:t>os</w:t>
      </w:r>
      <w:r>
        <w:rPr>
          <w:rFonts w:ascii="Palatino Linotype" w:hAnsi="Palatino Linotype"/>
          <w:b/>
          <w:bCs/>
          <w:i/>
          <w:iCs/>
          <w:color w:val="212121"/>
          <w:spacing w:val="14"/>
          <w:sz w:val="21"/>
          <w:szCs w:val="21"/>
          <w:lang w:val="es-ES" w:eastAsia="es-MX"/>
        </w:rPr>
        <w:t> </w:t>
      </w:r>
      <w:r>
        <w:rPr>
          <w:rFonts w:ascii="Palatino Linotype" w:hAnsi="Palatino Linotype"/>
          <w:b/>
          <w:bCs/>
          <w:i/>
          <w:iCs/>
          <w:color w:val="212121"/>
          <w:spacing w:val="-1"/>
          <w:sz w:val="21"/>
          <w:szCs w:val="21"/>
          <w:lang w:val="es-ES" w:eastAsia="es-MX"/>
        </w:rPr>
        <w:t>ad </w:t>
      </w:r>
      <w:r>
        <w:rPr>
          <w:rFonts w:ascii="Palatino Linotype" w:hAnsi="Palatino Linotype"/>
          <w:b/>
          <w:bCs/>
          <w:i/>
          <w:iCs/>
          <w:color w:val="212121"/>
          <w:sz w:val="21"/>
          <w:szCs w:val="21"/>
          <w:lang w:val="es-ES" w:eastAsia="es-MX"/>
        </w:rPr>
        <w:t>hoc</w:t>
      </w:r>
      <w:r>
        <w:rPr>
          <w:rFonts w:ascii="Palatino Linotype" w:hAnsi="Palatino Linotype"/>
          <w:b/>
          <w:bCs/>
          <w:i/>
          <w:iCs/>
          <w:color w:val="212121"/>
          <w:spacing w:val="11"/>
          <w:sz w:val="21"/>
          <w:szCs w:val="21"/>
          <w:lang w:val="es-ES" w:eastAsia="es-MX"/>
        </w:rPr>
        <w:t> </w:t>
      </w:r>
      <w:r>
        <w:rPr>
          <w:rFonts w:ascii="Palatino Linotype" w:hAnsi="Palatino Linotype"/>
          <w:b/>
          <w:bCs/>
          <w:i/>
          <w:iCs/>
          <w:color w:val="212121"/>
          <w:sz w:val="21"/>
          <w:szCs w:val="21"/>
          <w:lang w:val="es-ES" w:eastAsia="es-MX"/>
        </w:rPr>
        <w:t>para</w:t>
      </w:r>
      <w:r>
        <w:rPr>
          <w:rFonts w:ascii="Palatino Linotype" w:hAnsi="Palatino Linotype"/>
          <w:b/>
          <w:bCs/>
          <w:i/>
          <w:iCs/>
          <w:color w:val="212121"/>
          <w:spacing w:val="10"/>
          <w:sz w:val="21"/>
          <w:szCs w:val="21"/>
          <w:lang w:val="es-ES" w:eastAsia="es-MX"/>
        </w:rPr>
        <w:t> </w:t>
      </w:r>
      <w:r>
        <w:rPr>
          <w:rFonts w:ascii="Palatino Linotype" w:hAnsi="Palatino Linotype"/>
          <w:b/>
          <w:bCs/>
          <w:i/>
          <w:iCs/>
          <w:color w:val="212121"/>
          <w:sz w:val="21"/>
          <w:szCs w:val="21"/>
          <w:lang w:val="es-ES" w:eastAsia="es-MX"/>
        </w:rPr>
        <w:t>atender las sol</w:t>
      </w:r>
      <w:r>
        <w:rPr>
          <w:rFonts w:ascii="Palatino Linotype" w:hAnsi="Palatino Linotype"/>
          <w:b/>
          <w:bCs/>
          <w:i/>
          <w:iCs/>
          <w:color w:val="212121"/>
          <w:spacing w:val="-2"/>
          <w:sz w:val="21"/>
          <w:szCs w:val="21"/>
          <w:lang w:val="es-ES" w:eastAsia="es-MX"/>
        </w:rPr>
        <w:t>i</w:t>
      </w:r>
      <w:r>
        <w:rPr>
          <w:rFonts w:ascii="Palatino Linotype" w:hAnsi="Palatino Linotype"/>
          <w:b/>
          <w:bCs/>
          <w:i/>
          <w:iCs/>
          <w:color w:val="212121"/>
          <w:spacing w:val="1"/>
          <w:sz w:val="21"/>
          <w:szCs w:val="21"/>
          <w:lang w:val="es-ES" w:eastAsia="es-MX"/>
        </w:rPr>
        <w:t>c</w:t>
      </w:r>
      <w:r>
        <w:rPr>
          <w:rFonts w:ascii="Palatino Linotype" w:hAnsi="Palatino Linotype"/>
          <w:b/>
          <w:bCs/>
          <w:i/>
          <w:iCs/>
          <w:color w:val="212121"/>
          <w:sz w:val="21"/>
          <w:szCs w:val="21"/>
          <w:lang w:val="es-ES" w:eastAsia="es-MX"/>
        </w:rPr>
        <w:t>itudes</w:t>
      </w:r>
      <w:r>
        <w:rPr>
          <w:rFonts w:ascii="Palatino Linotype" w:hAnsi="Palatino Linotype"/>
          <w:b/>
          <w:bCs/>
          <w:i/>
          <w:iCs/>
          <w:color w:val="212121"/>
          <w:spacing w:val="10"/>
          <w:sz w:val="21"/>
          <w:szCs w:val="21"/>
          <w:lang w:val="es-ES" w:eastAsia="es-MX"/>
        </w:rPr>
        <w:t> </w:t>
      </w:r>
      <w:r>
        <w:rPr>
          <w:rFonts w:ascii="Palatino Linotype" w:hAnsi="Palatino Linotype"/>
          <w:b/>
          <w:bCs/>
          <w:i/>
          <w:iCs/>
          <w:color w:val="212121"/>
          <w:sz w:val="21"/>
          <w:szCs w:val="21"/>
          <w:lang w:val="es-ES" w:eastAsia="es-MX"/>
        </w:rPr>
        <w:t>de</w:t>
      </w:r>
      <w:r>
        <w:rPr>
          <w:rFonts w:ascii="Palatino Linotype" w:hAnsi="Palatino Linotype"/>
          <w:b/>
          <w:bCs/>
          <w:i/>
          <w:iCs/>
          <w:color w:val="212121"/>
          <w:spacing w:val="9"/>
          <w:sz w:val="21"/>
          <w:szCs w:val="21"/>
          <w:lang w:val="es-ES" w:eastAsia="es-MX"/>
        </w:rPr>
        <w:t> </w:t>
      </w:r>
      <w:r>
        <w:rPr>
          <w:rFonts w:ascii="Palatino Linotype" w:hAnsi="Palatino Linotype"/>
          <w:b/>
          <w:bCs/>
          <w:i/>
          <w:iCs/>
          <w:color w:val="212121"/>
          <w:spacing w:val="1"/>
          <w:sz w:val="21"/>
          <w:szCs w:val="21"/>
          <w:lang w:val="es-ES" w:eastAsia="es-MX"/>
        </w:rPr>
        <w:t>ac</w:t>
      </w:r>
      <w:r>
        <w:rPr>
          <w:rFonts w:ascii="Palatino Linotype" w:hAnsi="Palatino Linotype"/>
          <w:b/>
          <w:bCs/>
          <w:i/>
          <w:iCs/>
          <w:color w:val="212121"/>
          <w:spacing w:val="-1"/>
          <w:sz w:val="21"/>
          <w:szCs w:val="21"/>
          <w:lang w:val="es-ES" w:eastAsia="es-MX"/>
        </w:rPr>
        <w:t>c</w:t>
      </w:r>
      <w:r>
        <w:rPr>
          <w:rFonts w:ascii="Palatino Linotype" w:hAnsi="Palatino Linotype"/>
          <w:b/>
          <w:bCs/>
          <w:i/>
          <w:iCs/>
          <w:color w:val="212121"/>
          <w:spacing w:val="1"/>
          <w:sz w:val="21"/>
          <w:szCs w:val="21"/>
          <w:lang w:val="es-ES" w:eastAsia="es-MX"/>
        </w:rPr>
        <w:t>es</w:t>
      </w:r>
      <w:r>
        <w:rPr>
          <w:rFonts w:ascii="Palatino Linotype" w:hAnsi="Palatino Linotype"/>
          <w:b/>
          <w:bCs/>
          <w:i/>
          <w:iCs/>
          <w:color w:val="212121"/>
          <w:sz w:val="21"/>
          <w:szCs w:val="21"/>
          <w:lang w:val="es-ES" w:eastAsia="es-MX"/>
        </w:rPr>
        <w:t>o</w:t>
      </w:r>
      <w:r>
        <w:rPr>
          <w:rFonts w:ascii="Palatino Linotype" w:hAnsi="Palatino Linotype"/>
          <w:b/>
          <w:bCs/>
          <w:i/>
          <w:iCs/>
          <w:color w:val="212121"/>
          <w:spacing w:val="11"/>
          <w:sz w:val="21"/>
          <w:szCs w:val="21"/>
          <w:lang w:val="es-ES" w:eastAsia="es-MX"/>
        </w:rPr>
        <w:t> </w:t>
      </w:r>
      <w:r>
        <w:rPr>
          <w:rFonts w:ascii="Palatino Linotype" w:hAnsi="Palatino Linotype"/>
          <w:b/>
          <w:bCs/>
          <w:i/>
          <w:iCs/>
          <w:color w:val="212121"/>
          <w:sz w:val="21"/>
          <w:szCs w:val="21"/>
          <w:lang w:val="es-ES" w:eastAsia="es-MX"/>
        </w:rPr>
        <w:t>a</w:t>
      </w:r>
      <w:r>
        <w:rPr>
          <w:rFonts w:ascii="Palatino Linotype" w:hAnsi="Palatino Linotype"/>
          <w:b/>
          <w:bCs/>
          <w:i/>
          <w:iCs/>
          <w:color w:val="212121"/>
          <w:spacing w:val="9"/>
          <w:sz w:val="21"/>
          <w:szCs w:val="21"/>
          <w:lang w:val="es-ES" w:eastAsia="es-MX"/>
        </w:rPr>
        <w:t> </w:t>
      </w:r>
      <w:r>
        <w:rPr>
          <w:rFonts w:ascii="Palatino Linotype" w:hAnsi="Palatino Linotype"/>
          <w:b/>
          <w:bCs/>
          <w:i/>
          <w:iCs/>
          <w:color w:val="212121"/>
          <w:sz w:val="21"/>
          <w:szCs w:val="21"/>
          <w:lang w:val="es-ES" w:eastAsia="es-MX"/>
        </w:rPr>
        <w:t>la</w:t>
      </w:r>
      <w:r>
        <w:rPr>
          <w:rFonts w:ascii="Palatino Linotype" w:hAnsi="Palatino Linotype"/>
          <w:b/>
          <w:bCs/>
          <w:i/>
          <w:iCs/>
          <w:color w:val="212121"/>
          <w:spacing w:val="10"/>
          <w:sz w:val="21"/>
          <w:szCs w:val="21"/>
          <w:lang w:val="es-ES" w:eastAsia="es-MX"/>
        </w:rPr>
        <w:t> </w:t>
      </w:r>
      <w:r>
        <w:rPr>
          <w:rFonts w:ascii="Palatino Linotype" w:hAnsi="Palatino Linotype"/>
          <w:b/>
          <w:bCs/>
          <w:i/>
          <w:iCs/>
          <w:color w:val="212121"/>
          <w:sz w:val="21"/>
          <w:szCs w:val="21"/>
          <w:lang w:val="es-ES" w:eastAsia="es-MX"/>
        </w:rPr>
        <w:t>informa</w:t>
      </w:r>
      <w:r>
        <w:rPr>
          <w:rFonts w:ascii="Palatino Linotype" w:hAnsi="Palatino Linotype"/>
          <w:b/>
          <w:bCs/>
          <w:i/>
          <w:iCs/>
          <w:color w:val="212121"/>
          <w:spacing w:val="1"/>
          <w:sz w:val="21"/>
          <w:szCs w:val="21"/>
          <w:lang w:val="es-ES" w:eastAsia="es-MX"/>
        </w:rPr>
        <w:t>c</w:t>
      </w:r>
      <w:r>
        <w:rPr>
          <w:rFonts w:ascii="Palatino Linotype" w:hAnsi="Palatino Linotype"/>
          <w:b/>
          <w:bCs/>
          <w:i/>
          <w:iCs/>
          <w:color w:val="212121"/>
          <w:sz w:val="21"/>
          <w:szCs w:val="21"/>
          <w:lang w:val="es-ES" w:eastAsia="es-MX"/>
        </w:rPr>
        <w:t>ió</w:t>
      </w:r>
      <w:r>
        <w:rPr>
          <w:rFonts w:ascii="Palatino Linotype" w:hAnsi="Palatino Linotype"/>
          <w:b/>
          <w:bCs/>
          <w:i/>
          <w:iCs/>
          <w:color w:val="212121"/>
          <w:spacing w:val="-2"/>
          <w:sz w:val="21"/>
          <w:szCs w:val="21"/>
          <w:lang w:val="es-ES" w:eastAsia="es-MX"/>
        </w:rPr>
        <w:t>n</w:t>
      </w:r>
      <w:r>
        <w:rPr>
          <w:rFonts w:ascii="Palatino Linotype" w:hAnsi="Palatino Linotype"/>
          <w:b/>
          <w:bCs/>
          <w:i/>
          <w:iCs/>
          <w:color w:val="212121"/>
          <w:sz w:val="21"/>
          <w:szCs w:val="21"/>
          <w:lang w:val="es-ES" w:eastAsia="es-MX"/>
        </w:rPr>
        <w:t>.</w:t>
      </w:r>
      <w:r>
        <w:rPr>
          <w:rFonts w:ascii="Palatino Linotype" w:hAnsi="Palatino Linotype"/>
          <w:b/>
          <w:bCs/>
          <w:i/>
          <w:iCs/>
          <w:color w:val="212121"/>
          <w:spacing w:val="18"/>
          <w:sz w:val="21"/>
          <w:szCs w:val="21"/>
          <w:lang w:val="es-ES" w:eastAsia="es-MX"/>
        </w:rPr>
        <w:t> </w:t>
      </w:r>
      <w:r>
        <w:rPr>
          <w:rFonts w:ascii="Palatino Linotype" w:hAnsi="Palatino Linotype"/>
          <w:i/>
          <w:iCs/>
          <w:color w:val="212121"/>
          <w:spacing w:val="18"/>
          <w:sz w:val="21"/>
          <w:szCs w:val="21"/>
          <w:lang w:val="es-ES" w:eastAsia="es-MX"/>
        </w:rPr>
        <w:t>L</w:t>
      </w:r>
      <w:r>
        <w:rPr>
          <w:rFonts w:ascii="Palatino Linotype" w:hAnsi="Palatino Linotype"/>
          <w:i/>
          <w:iCs/>
          <w:color w:val="212121"/>
          <w:spacing w:val="-1"/>
          <w:sz w:val="21"/>
          <w:szCs w:val="21"/>
          <w:lang w:val="es-ES" w:eastAsia="es-MX"/>
        </w:rPr>
        <w:t>os </w:t>
      </w:r>
      <w:r>
        <w:rPr>
          <w:rFonts w:ascii="Palatino Linotype" w:hAnsi="Palatino Linotype"/>
          <w:i/>
          <w:iCs/>
          <w:color w:val="212121"/>
          <w:spacing w:val="1"/>
          <w:sz w:val="21"/>
          <w:szCs w:val="21"/>
          <w:lang w:val="es-ES" w:eastAsia="es-MX"/>
        </w:rPr>
        <w:t>a</w:t>
      </w:r>
      <w:r>
        <w:rPr>
          <w:rFonts w:ascii="Palatino Linotype" w:hAnsi="Palatino Linotype"/>
          <w:i/>
          <w:iCs/>
          <w:color w:val="212121"/>
          <w:sz w:val="21"/>
          <w:szCs w:val="21"/>
          <w:lang w:val="es-ES" w:eastAsia="es-MX"/>
        </w:rPr>
        <w:t>rt</w:t>
      </w:r>
      <w:r>
        <w:rPr>
          <w:rFonts w:ascii="Palatino Linotype" w:hAnsi="Palatino Linotype"/>
          <w:i/>
          <w:iCs/>
          <w:color w:val="212121"/>
          <w:spacing w:val="-2"/>
          <w:sz w:val="21"/>
          <w:szCs w:val="21"/>
          <w:lang w:val="es-ES" w:eastAsia="es-MX"/>
        </w:rPr>
        <w:t>í</w:t>
      </w:r>
      <w:r>
        <w:rPr>
          <w:rFonts w:ascii="Palatino Linotype" w:hAnsi="Palatino Linotype"/>
          <w:i/>
          <w:iCs/>
          <w:color w:val="212121"/>
          <w:sz w:val="21"/>
          <w:szCs w:val="21"/>
          <w:lang w:val="es-ES" w:eastAsia="es-MX"/>
        </w:rPr>
        <w:t>c</w:t>
      </w:r>
      <w:r>
        <w:rPr>
          <w:rFonts w:ascii="Palatino Linotype" w:hAnsi="Palatino Linotype"/>
          <w:i/>
          <w:iCs/>
          <w:color w:val="212121"/>
          <w:spacing w:val="1"/>
          <w:sz w:val="21"/>
          <w:szCs w:val="21"/>
          <w:lang w:val="es-ES" w:eastAsia="es-MX"/>
        </w:rPr>
        <w:t>u</w:t>
      </w:r>
      <w:r>
        <w:rPr>
          <w:rFonts w:ascii="Palatino Linotype" w:hAnsi="Palatino Linotype"/>
          <w:i/>
          <w:iCs/>
          <w:color w:val="212121"/>
          <w:sz w:val="21"/>
          <w:szCs w:val="21"/>
          <w:lang w:val="es-ES" w:eastAsia="es-MX"/>
        </w:rPr>
        <w:t>los</w:t>
      </w:r>
      <w:r>
        <w:rPr>
          <w:rFonts w:ascii="Palatino Linotype" w:hAnsi="Palatino Linotype"/>
          <w:i/>
          <w:iCs/>
          <w:color w:val="212121"/>
          <w:spacing w:val="8"/>
          <w:sz w:val="21"/>
          <w:szCs w:val="21"/>
          <w:lang w:val="es-ES" w:eastAsia="es-MX"/>
        </w:rPr>
        <w:t> 129 </w:t>
      </w:r>
      <w:r>
        <w:rPr>
          <w:rFonts w:ascii="Palatino Linotype" w:hAnsi="Palatino Linotype"/>
          <w:i/>
          <w:iCs/>
          <w:color w:val="212121"/>
          <w:spacing w:val="1"/>
          <w:sz w:val="21"/>
          <w:szCs w:val="21"/>
          <w:lang w:val="es-ES" w:eastAsia="es-MX"/>
        </w:rPr>
        <w:t>d</w:t>
      </w:r>
      <w:r>
        <w:rPr>
          <w:rFonts w:ascii="Palatino Linotype" w:hAnsi="Palatino Linotype"/>
          <w:i/>
          <w:iCs/>
          <w:color w:val="212121"/>
          <w:sz w:val="21"/>
          <w:szCs w:val="21"/>
          <w:lang w:val="es-ES" w:eastAsia="es-MX"/>
        </w:rPr>
        <w:t>e</w:t>
      </w:r>
      <w:r>
        <w:rPr>
          <w:rFonts w:ascii="Palatino Linotype" w:hAnsi="Palatino Linotype"/>
          <w:i/>
          <w:iCs/>
          <w:color w:val="212121"/>
          <w:spacing w:val="9"/>
          <w:sz w:val="21"/>
          <w:szCs w:val="21"/>
          <w:lang w:val="es-ES" w:eastAsia="es-MX"/>
        </w:rPr>
        <w:t> </w:t>
      </w:r>
      <w:r>
        <w:rPr>
          <w:rFonts w:ascii="Palatino Linotype" w:hAnsi="Palatino Linotype"/>
          <w:i/>
          <w:iCs/>
          <w:color w:val="212121"/>
          <w:sz w:val="21"/>
          <w:szCs w:val="21"/>
          <w:lang w:val="es-ES" w:eastAsia="es-MX"/>
        </w:rPr>
        <w:t>la</w:t>
      </w:r>
      <w:r>
        <w:rPr>
          <w:rFonts w:ascii="Palatino Linotype" w:hAnsi="Palatino Linotype"/>
          <w:i/>
          <w:iCs/>
          <w:color w:val="212121"/>
          <w:spacing w:val="10"/>
          <w:sz w:val="21"/>
          <w:szCs w:val="21"/>
          <w:lang w:val="es-ES" w:eastAsia="es-MX"/>
        </w:rPr>
        <w:t> </w:t>
      </w:r>
      <w:r>
        <w:rPr>
          <w:rFonts w:ascii="Palatino Linotype" w:hAnsi="Palatino Linotype"/>
          <w:i/>
          <w:iCs/>
          <w:color w:val="212121"/>
          <w:spacing w:val="-1"/>
          <w:sz w:val="21"/>
          <w:szCs w:val="21"/>
          <w:lang w:val="es-ES" w:eastAsia="es-MX"/>
        </w:rPr>
        <w:t>L</w:t>
      </w:r>
      <w:r>
        <w:rPr>
          <w:rFonts w:ascii="Palatino Linotype" w:hAnsi="Palatino Linotype"/>
          <w:i/>
          <w:iCs/>
          <w:color w:val="212121"/>
          <w:spacing w:val="1"/>
          <w:sz w:val="21"/>
          <w:szCs w:val="21"/>
          <w:lang w:val="es-ES" w:eastAsia="es-MX"/>
        </w:rPr>
        <w:t>e</w:t>
      </w:r>
      <w:r>
        <w:rPr>
          <w:rFonts w:ascii="Palatino Linotype" w:hAnsi="Palatino Linotype"/>
          <w:i/>
          <w:iCs/>
          <w:color w:val="212121"/>
          <w:sz w:val="21"/>
          <w:szCs w:val="21"/>
          <w:lang w:val="es-ES" w:eastAsia="es-MX"/>
        </w:rPr>
        <w:t>y</w:t>
      </w:r>
      <w:r>
        <w:rPr>
          <w:rFonts w:ascii="Palatino Linotype" w:hAnsi="Palatino Linotype"/>
          <w:i/>
          <w:iCs/>
          <w:color w:val="212121"/>
          <w:spacing w:val="8"/>
          <w:sz w:val="21"/>
          <w:szCs w:val="21"/>
          <w:lang w:val="es-ES" w:eastAsia="es-MX"/>
        </w:rPr>
        <w:t> </w:t>
      </w:r>
      <w:r>
        <w:rPr>
          <w:rFonts w:ascii="Palatino Linotype" w:hAnsi="Palatino Linotype"/>
          <w:i/>
          <w:iCs/>
          <w:color w:val="212121"/>
          <w:sz w:val="21"/>
          <w:szCs w:val="21"/>
          <w:lang w:val="es-ES" w:eastAsia="es-MX"/>
        </w:rPr>
        <w:t>General</w:t>
      </w:r>
      <w:r>
        <w:rPr>
          <w:rFonts w:ascii="Palatino Linotype" w:hAnsi="Palatino Linotype"/>
          <w:i/>
          <w:iCs/>
          <w:color w:val="212121"/>
          <w:spacing w:val="10"/>
          <w:sz w:val="21"/>
          <w:szCs w:val="21"/>
          <w:lang w:val="es-ES" w:eastAsia="es-MX"/>
        </w:rPr>
        <w:t> </w:t>
      </w:r>
      <w:r>
        <w:rPr>
          <w:rFonts w:ascii="Palatino Linotype" w:hAnsi="Palatino Linotype"/>
          <w:i/>
          <w:iCs/>
          <w:color w:val="212121"/>
          <w:spacing w:val="-1"/>
          <w:sz w:val="21"/>
          <w:szCs w:val="21"/>
          <w:lang w:val="es-ES" w:eastAsia="es-MX"/>
        </w:rPr>
        <w:t>d</w:t>
      </w:r>
      <w:r>
        <w:rPr>
          <w:rFonts w:ascii="Palatino Linotype" w:hAnsi="Palatino Linotype"/>
          <w:i/>
          <w:iCs/>
          <w:color w:val="212121"/>
          <w:sz w:val="21"/>
          <w:szCs w:val="21"/>
          <w:lang w:val="es-ES" w:eastAsia="es-MX"/>
        </w:rPr>
        <w:t>e</w:t>
      </w:r>
      <w:r>
        <w:rPr>
          <w:rFonts w:ascii="Palatino Linotype" w:hAnsi="Palatino Linotype"/>
          <w:i/>
          <w:iCs/>
          <w:color w:val="212121"/>
          <w:spacing w:val="9"/>
          <w:sz w:val="21"/>
          <w:szCs w:val="21"/>
          <w:lang w:val="es-ES" w:eastAsia="es-MX"/>
        </w:rPr>
        <w:t> </w:t>
      </w:r>
      <w:r>
        <w:rPr>
          <w:rFonts w:ascii="Palatino Linotype" w:hAnsi="Palatino Linotype"/>
          <w:i/>
          <w:iCs/>
          <w:color w:val="212121"/>
          <w:spacing w:val="2"/>
          <w:sz w:val="21"/>
          <w:szCs w:val="21"/>
          <w:lang w:val="es-ES" w:eastAsia="es-MX"/>
        </w:rPr>
        <w:t>T</w:t>
      </w:r>
      <w:r>
        <w:rPr>
          <w:rFonts w:ascii="Palatino Linotype" w:hAnsi="Palatino Linotype"/>
          <w:i/>
          <w:iCs/>
          <w:color w:val="212121"/>
          <w:sz w:val="21"/>
          <w:szCs w:val="21"/>
          <w:lang w:val="es-ES" w:eastAsia="es-MX"/>
        </w:rPr>
        <w:t>r</w:t>
      </w:r>
      <w:r>
        <w:rPr>
          <w:rFonts w:ascii="Palatino Linotype" w:hAnsi="Palatino Linotype"/>
          <w:i/>
          <w:iCs/>
          <w:color w:val="212121"/>
          <w:spacing w:val="-2"/>
          <w:sz w:val="21"/>
          <w:szCs w:val="21"/>
          <w:lang w:val="es-ES" w:eastAsia="es-MX"/>
        </w:rPr>
        <w:t>a</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s</w:t>
      </w:r>
      <w:r>
        <w:rPr>
          <w:rFonts w:ascii="Palatino Linotype" w:hAnsi="Palatino Linotype"/>
          <w:i/>
          <w:iCs/>
          <w:color w:val="212121"/>
          <w:spacing w:val="1"/>
          <w:sz w:val="21"/>
          <w:szCs w:val="21"/>
          <w:lang w:val="es-ES" w:eastAsia="es-MX"/>
        </w:rPr>
        <w:t>pa</w:t>
      </w:r>
      <w:r>
        <w:rPr>
          <w:rFonts w:ascii="Palatino Linotype" w:hAnsi="Palatino Linotype"/>
          <w:i/>
          <w:iCs/>
          <w:color w:val="212121"/>
          <w:sz w:val="21"/>
          <w:szCs w:val="21"/>
          <w:lang w:val="es-ES" w:eastAsia="es-MX"/>
        </w:rPr>
        <w:t>r</w:t>
      </w:r>
      <w:r>
        <w:rPr>
          <w:rFonts w:ascii="Palatino Linotype" w:hAnsi="Palatino Linotype"/>
          <w:i/>
          <w:iCs/>
          <w:color w:val="212121"/>
          <w:spacing w:val="-2"/>
          <w:sz w:val="21"/>
          <w:szCs w:val="21"/>
          <w:lang w:val="es-ES" w:eastAsia="es-MX"/>
        </w:rPr>
        <w:t>e</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cia y Acc</w:t>
      </w:r>
      <w:r>
        <w:rPr>
          <w:rFonts w:ascii="Palatino Linotype" w:hAnsi="Palatino Linotype"/>
          <w:i/>
          <w:iCs/>
          <w:color w:val="212121"/>
          <w:spacing w:val="1"/>
          <w:sz w:val="21"/>
          <w:szCs w:val="21"/>
          <w:lang w:val="es-ES" w:eastAsia="es-MX"/>
        </w:rPr>
        <w:t>e</w:t>
      </w:r>
      <w:r>
        <w:rPr>
          <w:rFonts w:ascii="Palatino Linotype" w:hAnsi="Palatino Linotype"/>
          <w:i/>
          <w:iCs/>
          <w:color w:val="212121"/>
          <w:sz w:val="21"/>
          <w:szCs w:val="21"/>
          <w:lang w:val="es-ES" w:eastAsia="es-MX"/>
        </w:rPr>
        <w:t>so</w:t>
      </w:r>
      <w:r>
        <w:rPr>
          <w:rFonts w:ascii="Palatino Linotype" w:hAnsi="Palatino Linotype"/>
          <w:i/>
          <w:iCs/>
          <w:color w:val="212121"/>
          <w:spacing w:val="3"/>
          <w:sz w:val="21"/>
          <w:szCs w:val="21"/>
          <w:lang w:val="es-ES" w:eastAsia="es-MX"/>
        </w:rPr>
        <w:t> </w:t>
      </w:r>
      <w:r>
        <w:rPr>
          <w:rFonts w:ascii="Palatino Linotype" w:hAnsi="Palatino Linotype"/>
          <w:i/>
          <w:iCs/>
          <w:color w:val="212121"/>
          <w:sz w:val="21"/>
          <w:szCs w:val="21"/>
          <w:lang w:val="es-ES" w:eastAsia="es-MX"/>
        </w:rPr>
        <w:t>a</w:t>
      </w:r>
      <w:r>
        <w:rPr>
          <w:rFonts w:ascii="Palatino Linotype" w:hAnsi="Palatino Linotype"/>
          <w:i/>
          <w:iCs/>
          <w:color w:val="212121"/>
          <w:spacing w:val="1"/>
          <w:sz w:val="21"/>
          <w:szCs w:val="21"/>
          <w:lang w:val="es-ES" w:eastAsia="es-MX"/>
        </w:rPr>
        <w:t> </w:t>
      </w:r>
      <w:r>
        <w:rPr>
          <w:rFonts w:ascii="Palatino Linotype" w:hAnsi="Palatino Linotype"/>
          <w:i/>
          <w:iCs/>
          <w:color w:val="212121"/>
          <w:sz w:val="21"/>
          <w:szCs w:val="21"/>
          <w:lang w:val="es-ES" w:eastAsia="es-MX"/>
        </w:rPr>
        <w:t>la I</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f</w:t>
      </w:r>
      <w:r>
        <w:rPr>
          <w:rFonts w:ascii="Palatino Linotype" w:hAnsi="Palatino Linotype"/>
          <w:i/>
          <w:iCs/>
          <w:color w:val="212121"/>
          <w:spacing w:val="1"/>
          <w:sz w:val="21"/>
          <w:szCs w:val="21"/>
          <w:lang w:val="es-ES" w:eastAsia="es-MX"/>
        </w:rPr>
        <w:t>o</w:t>
      </w:r>
      <w:r>
        <w:rPr>
          <w:rFonts w:ascii="Palatino Linotype" w:hAnsi="Palatino Linotype"/>
          <w:i/>
          <w:iCs/>
          <w:color w:val="212121"/>
          <w:spacing w:val="-3"/>
          <w:sz w:val="21"/>
          <w:szCs w:val="21"/>
          <w:lang w:val="es-ES" w:eastAsia="es-MX"/>
        </w:rPr>
        <w:t>r</w:t>
      </w:r>
      <w:r>
        <w:rPr>
          <w:rFonts w:ascii="Palatino Linotype" w:hAnsi="Palatino Linotype"/>
          <w:i/>
          <w:iCs/>
          <w:color w:val="212121"/>
          <w:spacing w:val="1"/>
          <w:sz w:val="21"/>
          <w:szCs w:val="21"/>
          <w:lang w:val="es-ES" w:eastAsia="es-MX"/>
        </w:rPr>
        <w:t>ma</w:t>
      </w:r>
      <w:r>
        <w:rPr>
          <w:rFonts w:ascii="Palatino Linotype" w:hAnsi="Palatino Linotype"/>
          <w:i/>
          <w:iCs/>
          <w:color w:val="212121"/>
          <w:sz w:val="21"/>
          <w:szCs w:val="21"/>
          <w:lang w:val="es-ES" w:eastAsia="es-MX"/>
        </w:rPr>
        <w:t>ci</w:t>
      </w:r>
      <w:r>
        <w:rPr>
          <w:rFonts w:ascii="Palatino Linotype" w:hAnsi="Palatino Linotype"/>
          <w:i/>
          <w:iCs/>
          <w:color w:val="212121"/>
          <w:spacing w:val="-2"/>
          <w:sz w:val="21"/>
          <w:szCs w:val="21"/>
          <w:lang w:val="es-ES" w:eastAsia="es-MX"/>
        </w:rPr>
        <w:t>ó</w:t>
      </w:r>
      <w:r>
        <w:rPr>
          <w:rFonts w:ascii="Palatino Linotype" w:hAnsi="Palatino Linotype"/>
          <w:i/>
          <w:iCs/>
          <w:color w:val="212121"/>
          <w:sz w:val="21"/>
          <w:szCs w:val="21"/>
          <w:lang w:val="es-ES" w:eastAsia="es-MX"/>
        </w:rPr>
        <w:t>n</w:t>
      </w:r>
      <w:r>
        <w:rPr>
          <w:rFonts w:ascii="Palatino Linotype" w:hAnsi="Palatino Linotype"/>
          <w:i/>
          <w:iCs/>
          <w:color w:val="212121"/>
          <w:spacing w:val="6"/>
          <w:sz w:val="21"/>
          <w:szCs w:val="21"/>
          <w:lang w:val="es-ES" w:eastAsia="es-MX"/>
        </w:rPr>
        <w:t> </w:t>
      </w:r>
      <w:r>
        <w:rPr>
          <w:rFonts w:ascii="Palatino Linotype" w:hAnsi="Palatino Linotype"/>
          <w:i/>
          <w:iCs/>
          <w:color w:val="212121"/>
          <w:spacing w:val="-2"/>
          <w:sz w:val="21"/>
          <w:szCs w:val="21"/>
          <w:lang w:val="es-ES" w:eastAsia="es-MX"/>
        </w:rPr>
        <w:t>P</w:t>
      </w:r>
      <w:r>
        <w:rPr>
          <w:rFonts w:ascii="Palatino Linotype" w:hAnsi="Palatino Linotype"/>
          <w:i/>
          <w:iCs/>
          <w:color w:val="212121"/>
          <w:spacing w:val="1"/>
          <w:sz w:val="21"/>
          <w:szCs w:val="21"/>
          <w:lang w:val="es-ES" w:eastAsia="es-MX"/>
        </w:rPr>
        <w:t>úb</w:t>
      </w:r>
      <w:r>
        <w:rPr>
          <w:rFonts w:ascii="Palatino Linotype" w:hAnsi="Palatino Linotype"/>
          <w:i/>
          <w:iCs/>
          <w:color w:val="212121"/>
          <w:sz w:val="21"/>
          <w:szCs w:val="21"/>
          <w:lang w:val="es-ES" w:eastAsia="es-MX"/>
        </w:rPr>
        <w:t>l</w:t>
      </w:r>
      <w:r>
        <w:rPr>
          <w:rFonts w:ascii="Palatino Linotype" w:hAnsi="Palatino Linotype"/>
          <w:i/>
          <w:iCs/>
          <w:color w:val="212121"/>
          <w:spacing w:val="-1"/>
          <w:sz w:val="21"/>
          <w:szCs w:val="21"/>
          <w:lang w:val="es-ES" w:eastAsia="es-MX"/>
        </w:rPr>
        <w:t>i</w:t>
      </w:r>
      <w:r>
        <w:rPr>
          <w:rFonts w:ascii="Palatino Linotype" w:hAnsi="Palatino Linotype"/>
          <w:i/>
          <w:iCs/>
          <w:color w:val="212121"/>
          <w:sz w:val="21"/>
          <w:szCs w:val="21"/>
          <w:lang w:val="es-ES" w:eastAsia="es-MX"/>
        </w:rPr>
        <w:t>ca y </w:t>
      </w:r>
      <w:r>
        <w:rPr>
          <w:rFonts w:ascii="Palatino Linotype" w:hAnsi="Palatino Linotype"/>
          <w:i/>
          <w:iCs/>
          <w:color w:val="212121"/>
          <w:spacing w:val="8"/>
          <w:sz w:val="21"/>
          <w:szCs w:val="21"/>
          <w:lang w:val="es-ES" w:eastAsia="es-MX"/>
        </w:rPr>
        <w:t>130, párrafo cuarto, </w:t>
      </w:r>
      <w:r>
        <w:rPr>
          <w:rFonts w:ascii="Palatino Linotype" w:hAnsi="Palatino Linotype"/>
          <w:i/>
          <w:iCs/>
          <w:color w:val="212121"/>
          <w:spacing w:val="1"/>
          <w:sz w:val="21"/>
          <w:szCs w:val="21"/>
          <w:lang w:val="es-ES" w:eastAsia="es-MX"/>
        </w:rPr>
        <w:t>d</w:t>
      </w:r>
      <w:r>
        <w:rPr>
          <w:rFonts w:ascii="Palatino Linotype" w:hAnsi="Palatino Linotype"/>
          <w:i/>
          <w:iCs/>
          <w:color w:val="212121"/>
          <w:sz w:val="21"/>
          <w:szCs w:val="21"/>
          <w:lang w:val="es-ES" w:eastAsia="es-MX"/>
        </w:rPr>
        <w:t>e</w:t>
      </w:r>
      <w:r>
        <w:rPr>
          <w:rFonts w:ascii="Palatino Linotype" w:hAnsi="Palatino Linotype"/>
          <w:i/>
          <w:iCs/>
          <w:color w:val="212121"/>
          <w:spacing w:val="9"/>
          <w:sz w:val="21"/>
          <w:szCs w:val="21"/>
          <w:lang w:val="es-ES" w:eastAsia="es-MX"/>
        </w:rPr>
        <w:t> </w:t>
      </w:r>
      <w:r>
        <w:rPr>
          <w:rFonts w:ascii="Palatino Linotype" w:hAnsi="Palatino Linotype"/>
          <w:i/>
          <w:iCs/>
          <w:color w:val="212121"/>
          <w:sz w:val="21"/>
          <w:szCs w:val="21"/>
          <w:lang w:val="es-ES" w:eastAsia="es-MX"/>
        </w:rPr>
        <w:t>la</w:t>
      </w:r>
      <w:r>
        <w:rPr>
          <w:rFonts w:ascii="Palatino Linotype" w:hAnsi="Palatino Linotype"/>
          <w:i/>
          <w:iCs/>
          <w:color w:val="212121"/>
          <w:spacing w:val="10"/>
          <w:sz w:val="21"/>
          <w:szCs w:val="21"/>
          <w:lang w:val="es-ES" w:eastAsia="es-MX"/>
        </w:rPr>
        <w:t> </w:t>
      </w:r>
      <w:r>
        <w:rPr>
          <w:rFonts w:ascii="Palatino Linotype" w:hAnsi="Palatino Linotype"/>
          <w:i/>
          <w:iCs/>
          <w:color w:val="212121"/>
          <w:spacing w:val="-1"/>
          <w:sz w:val="21"/>
          <w:szCs w:val="21"/>
          <w:lang w:val="es-ES" w:eastAsia="es-MX"/>
        </w:rPr>
        <w:t>L</w:t>
      </w:r>
      <w:r>
        <w:rPr>
          <w:rFonts w:ascii="Palatino Linotype" w:hAnsi="Palatino Linotype"/>
          <w:i/>
          <w:iCs/>
          <w:color w:val="212121"/>
          <w:spacing w:val="1"/>
          <w:sz w:val="21"/>
          <w:szCs w:val="21"/>
          <w:lang w:val="es-ES" w:eastAsia="es-MX"/>
        </w:rPr>
        <w:t>e</w:t>
      </w:r>
      <w:r>
        <w:rPr>
          <w:rFonts w:ascii="Palatino Linotype" w:hAnsi="Palatino Linotype"/>
          <w:i/>
          <w:iCs/>
          <w:color w:val="212121"/>
          <w:sz w:val="21"/>
          <w:szCs w:val="21"/>
          <w:lang w:val="es-ES" w:eastAsia="es-MX"/>
        </w:rPr>
        <w:t>y</w:t>
      </w:r>
      <w:r>
        <w:rPr>
          <w:rFonts w:ascii="Palatino Linotype" w:hAnsi="Palatino Linotype"/>
          <w:i/>
          <w:iCs/>
          <w:color w:val="212121"/>
          <w:spacing w:val="8"/>
          <w:sz w:val="21"/>
          <w:szCs w:val="21"/>
          <w:lang w:val="es-ES" w:eastAsia="es-MX"/>
        </w:rPr>
        <w:t> </w:t>
      </w:r>
      <w:r>
        <w:rPr>
          <w:rFonts w:ascii="Palatino Linotype" w:hAnsi="Palatino Linotype"/>
          <w:i/>
          <w:iCs/>
          <w:color w:val="212121"/>
          <w:sz w:val="21"/>
          <w:szCs w:val="21"/>
          <w:lang w:val="es-ES" w:eastAsia="es-MX"/>
        </w:rPr>
        <w:t>Fe</w:t>
      </w:r>
      <w:r>
        <w:rPr>
          <w:rFonts w:ascii="Palatino Linotype" w:hAnsi="Palatino Linotype"/>
          <w:i/>
          <w:iCs/>
          <w:color w:val="212121"/>
          <w:spacing w:val="1"/>
          <w:sz w:val="21"/>
          <w:szCs w:val="21"/>
          <w:lang w:val="es-ES" w:eastAsia="es-MX"/>
        </w:rPr>
        <w:t>de</w:t>
      </w:r>
      <w:r>
        <w:rPr>
          <w:rFonts w:ascii="Palatino Linotype" w:hAnsi="Palatino Linotype"/>
          <w:i/>
          <w:iCs/>
          <w:color w:val="212121"/>
          <w:sz w:val="21"/>
          <w:szCs w:val="21"/>
          <w:lang w:val="es-ES" w:eastAsia="es-MX"/>
        </w:rPr>
        <w:t>ral</w:t>
      </w:r>
      <w:r>
        <w:rPr>
          <w:rFonts w:ascii="Palatino Linotype" w:hAnsi="Palatino Linotype"/>
          <w:i/>
          <w:iCs/>
          <w:color w:val="212121"/>
          <w:spacing w:val="10"/>
          <w:sz w:val="21"/>
          <w:szCs w:val="21"/>
          <w:lang w:val="es-ES" w:eastAsia="es-MX"/>
        </w:rPr>
        <w:t> </w:t>
      </w:r>
      <w:r>
        <w:rPr>
          <w:rFonts w:ascii="Palatino Linotype" w:hAnsi="Palatino Linotype"/>
          <w:i/>
          <w:iCs/>
          <w:color w:val="212121"/>
          <w:spacing w:val="-1"/>
          <w:sz w:val="21"/>
          <w:szCs w:val="21"/>
          <w:lang w:val="es-ES" w:eastAsia="es-MX"/>
        </w:rPr>
        <w:t>d</w:t>
      </w:r>
      <w:r>
        <w:rPr>
          <w:rFonts w:ascii="Palatino Linotype" w:hAnsi="Palatino Linotype"/>
          <w:i/>
          <w:iCs/>
          <w:color w:val="212121"/>
          <w:sz w:val="21"/>
          <w:szCs w:val="21"/>
          <w:lang w:val="es-ES" w:eastAsia="es-MX"/>
        </w:rPr>
        <w:t>e</w:t>
      </w:r>
      <w:r>
        <w:rPr>
          <w:rFonts w:ascii="Palatino Linotype" w:hAnsi="Palatino Linotype"/>
          <w:i/>
          <w:iCs/>
          <w:color w:val="212121"/>
          <w:spacing w:val="9"/>
          <w:sz w:val="21"/>
          <w:szCs w:val="21"/>
          <w:lang w:val="es-ES" w:eastAsia="es-MX"/>
        </w:rPr>
        <w:t> </w:t>
      </w:r>
      <w:r>
        <w:rPr>
          <w:rFonts w:ascii="Palatino Linotype" w:hAnsi="Palatino Linotype"/>
          <w:i/>
          <w:iCs/>
          <w:color w:val="212121"/>
          <w:spacing w:val="2"/>
          <w:sz w:val="21"/>
          <w:szCs w:val="21"/>
          <w:lang w:val="es-ES" w:eastAsia="es-MX"/>
        </w:rPr>
        <w:t>T</w:t>
      </w:r>
      <w:r>
        <w:rPr>
          <w:rFonts w:ascii="Palatino Linotype" w:hAnsi="Palatino Linotype"/>
          <w:i/>
          <w:iCs/>
          <w:color w:val="212121"/>
          <w:sz w:val="21"/>
          <w:szCs w:val="21"/>
          <w:lang w:val="es-ES" w:eastAsia="es-MX"/>
        </w:rPr>
        <w:t>r</w:t>
      </w:r>
      <w:r>
        <w:rPr>
          <w:rFonts w:ascii="Palatino Linotype" w:hAnsi="Palatino Linotype"/>
          <w:i/>
          <w:iCs/>
          <w:color w:val="212121"/>
          <w:spacing w:val="-2"/>
          <w:sz w:val="21"/>
          <w:szCs w:val="21"/>
          <w:lang w:val="es-ES" w:eastAsia="es-MX"/>
        </w:rPr>
        <w:t>a</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s</w:t>
      </w:r>
      <w:r>
        <w:rPr>
          <w:rFonts w:ascii="Palatino Linotype" w:hAnsi="Palatino Linotype"/>
          <w:i/>
          <w:iCs/>
          <w:color w:val="212121"/>
          <w:spacing w:val="1"/>
          <w:sz w:val="21"/>
          <w:szCs w:val="21"/>
          <w:lang w:val="es-ES" w:eastAsia="es-MX"/>
        </w:rPr>
        <w:t>pa</w:t>
      </w:r>
      <w:r>
        <w:rPr>
          <w:rFonts w:ascii="Palatino Linotype" w:hAnsi="Palatino Linotype"/>
          <w:i/>
          <w:iCs/>
          <w:color w:val="212121"/>
          <w:sz w:val="21"/>
          <w:szCs w:val="21"/>
          <w:lang w:val="es-ES" w:eastAsia="es-MX"/>
        </w:rPr>
        <w:t>r</w:t>
      </w:r>
      <w:r>
        <w:rPr>
          <w:rFonts w:ascii="Palatino Linotype" w:hAnsi="Palatino Linotype"/>
          <w:i/>
          <w:iCs/>
          <w:color w:val="212121"/>
          <w:spacing w:val="-2"/>
          <w:sz w:val="21"/>
          <w:szCs w:val="21"/>
          <w:lang w:val="es-ES" w:eastAsia="es-MX"/>
        </w:rPr>
        <w:t>e</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cia y Acc</w:t>
      </w:r>
      <w:r>
        <w:rPr>
          <w:rFonts w:ascii="Palatino Linotype" w:hAnsi="Palatino Linotype"/>
          <w:i/>
          <w:iCs/>
          <w:color w:val="212121"/>
          <w:spacing w:val="1"/>
          <w:sz w:val="21"/>
          <w:szCs w:val="21"/>
          <w:lang w:val="es-ES" w:eastAsia="es-MX"/>
        </w:rPr>
        <w:t>e</w:t>
      </w:r>
      <w:r>
        <w:rPr>
          <w:rFonts w:ascii="Palatino Linotype" w:hAnsi="Palatino Linotype"/>
          <w:i/>
          <w:iCs/>
          <w:color w:val="212121"/>
          <w:sz w:val="21"/>
          <w:szCs w:val="21"/>
          <w:lang w:val="es-ES" w:eastAsia="es-MX"/>
        </w:rPr>
        <w:t>so</w:t>
      </w:r>
      <w:r>
        <w:rPr>
          <w:rFonts w:ascii="Palatino Linotype" w:hAnsi="Palatino Linotype"/>
          <w:i/>
          <w:iCs/>
          <w:color w:val="212121"/>
          <w:spacing w:val="3"/>
          <w:sz w:val="21"/>
          <w:szCs w:val="21"/>
          <w:lang w:val="es-ES" w:eastAsia="es-MX"/>
        </w:rPr>
        <w:t> </w:t>
      </w:r>
      <w:r>
        <w:rPr>
          <w:rFonts w:ascii="Palatino Linotype" w:hAnsi="Palatino Linotype"/>
          <w:i/>
          <w:iCs/>
          <w:color w:val="212121"/>
          <w:sz w:val="21"/>
          <w:szCs w:val="21"/>
          <w:lang w:val="es-ES" w:eastAsia="es-MX"/>
        </w:rPr>
        <w:t>a</w:t>
      </w:r>
      <w:r>
        <w:rPr>
          <w:rFonts w:ascii="Palatino Linotype" w:hAnsi="Palatino Linotype"/>
          <w:i/>
          <w:iCs/>
          <w:color w:val="212121"/>
          <w:spacing w:val="1"/>
          <w:sz w:val="21"/>
          <w:szCs w:val="21"/>
          <w:lang w:val="es-ES" w:eastAsia="es-MX"/>
        </w:rPr>
        <w:t> </w:t>
      </w:r>
      <w:r>
        <w:rPr>
          <w:rFonts w:ascii="Palatino Linotype" w:hAnsi="Palatino Linotype"/>
          <w:i/>
          <w:iCs/>
          <w:color w:val="212121"/>
          <w:sz w:val="21"/>
          <w:szCs w:val="21"/>
          <w:lang w:val="es-ES" w:eastAsia="es-MX"/>
        </w:rPr>
        <w:t>la I</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f</w:t>
      </w:r>
      <w:r>
        <w:rPr>
          <w:rFonts w:ascii="Palatino Linotype" w:hAnsi="Palatino Linotype"/>
          <w:i/>
          <w:iCs/>
          <w:color w:val="212121"/>
          <w:spacing w:val="1"/>
          <w:sz w:val="21"/>
          <w:szCs w:val="21"/>
          <w:lang w:val="es-ES" w:eastAsia="es-MX"/>
        </w:rPr>
        <w:t>o</w:t>
      </w:r>
      <w:r>
        <w:rPr>
          <w:rFonts w:ascii="Palatino Linotype" w:hAnsi="Palatino Linotype"/>
          <w:i/>
          <w:iCs/>
          <w:color w:val="212121"/>
          <w:spacing w:val="-3"/>
          <w:sz w:val="21"/>
          <w:szCs w:val="21"/>
          <w:lang w:val="es-ES" w:eastAsia="es-MX"/>
        </w:rPr>
        <w:t>r</w:t>
      </w:r>
      <w:r>
        <w:rPr>
          <w:rFonts w:ascii="Palatino Linotype" w:hAnsi="Palatino Linotype"/>
          <w:i/>
          <w:iCs/>
          <w:color w:val="212121"/>
          <w:spacing w:val="1"/>
          <w:sz w:val="21"/>
          <w:szCs w:val="21"/>
          <w:lang w:val="es-ES" w:eastAsia="es-MX"/>
        </w:rPr>
        <w:t>ma</w:t>
      </w:r>
      <w:r>
        <w:rPr>
          <w:rFonts w:ascii="Palatino Linotype" w:hAnsi="Palatino Linotype"/>
          <w:i/>
          <w:iCs/>
          <w:color w:val="212121"/>
          <w:sz w:val="21"/>
          <w:szCs w:val="21"/>
          <w:lang w:val="es-ES" w:eastAsia="es-MX"/>
        </w:rPr>
        <w:t>ci</w:t>
      </w:r>
      <w:r>
        <w:rPr>
          <w:rFonts w:ascii="Palatino Linotype" w:hAnsi="Palatino Linotype"/>
          <w:i/>
          <w:iCs/>
          <w:color w:val="212121"/>
          <w:spacing w:val="-2"/>
          <w:sz w:val="21"/>
          <w:szCs w:val="21"/>
          <w:lang w:val="es-ES" w:eastAsia="es-MX"/>
        </w:rPr>
        <w:t>ó</w:t>
      </w:r>
      <w:r>
        <w:rPr>
          <w:rFonts w:ascii="Palatino Linotype" w:hAnsi="Palatino Linotype"/>
          <w:i/>
          <w:iCs/>
          <w:color w:val="212121"/>
          <w:sz w:val="21"/>
          <w:szCs w:val="21"/>
          <w:lang w:val="es-ES" w:eastAsia="es-MX"/>
        </w:rPr>
        <w:t>n</w:t>
      </w:r>
      <w:r>
        <w:rPr>
          <w:rFonts w:ascii="Palatino Linotype" w:hAnsi="Palatino Linotype"/>
          <w:i/>
          <w:iCs/>
          <w:color w:val="212121"/>
          <w:spacing w:val="6"/>
          <w:sz w:val="21"/>
          <w:szCs w:val="21"/>
          <w:lang w:val="es-ES" w:eastAsia="es-MX"/>
        </w:rPr>
        <w:t> </w:t>
      </w:r>
      <w:r>
        <w:rPr>
          <w:rFonts w:ascii="Palatino Linotype" w:hAnsi="Palatino Linotype"/>
          <w:i/>
          <w:iCs/>
          <w:color w:val="212121"/>
          <w:spacing w:val="-2"/>
          <w:sz w:val="21"/>
          <w:szCs w:val="21"/>
          <w:lang w:val="es-ES" w:eastAsia="es-MX"/>
        </w:rPr>
        <w:t>P</w:t>
      </w:r>
      <w:r>
        <w:rPr>
          <w:rFonts w:ascii="Palatino Linotype" w:hAnsi="Palatino Linotype"/>
          <w:i/>
          <w:iCs/>
          <w:color w:val="212121"/>
          <w:spacing w:val="1"/>
          <w:sz w:val="21"/>
          <w:szCs w:val="21"/>
          <w:lang w:val="es-ES" w:eastAsia="es-MX"/>
        </w:rPr>
        <w:t>úb</w:t>
      </w:r>
      <w:r>
        <w:rPr>
          <w:rFonts w:ascii="Palatino Linotype" w:hAnsi="Palatino Linotype"/>
          <w:i/>
          <w:iCs/>
          <w:color w:val="212121"/>
          <w:sz w:val="21"/>
          <w:szCs w:val="21"/>
          <w:lang w:val="es-ES" w:eastAsia="es-MX"/>
        </w:rPr>
        <w:t>l</w:t>
      </w:r>
      <w:r>
        <w:rPr>
          <w:rFonts w:ascii="Palatino Linotype" w:hAnsi="Palatino Linotype"/>
          <w:i/>
          <w:iCs/>
          <w:color w:val="212121"/>
          <w:spacing w:val="-1"/>
          <w:sz w:val="21"/>
          <w:szCs w:val="21"/>
          <w:lang w:val="es-ES" w:eastAsia="es-MX"/>
        </w:rPr>
        <w:t>i</w:t>
      </w:r>
      <w:r>
        <w:rPr>
          <w:rFonts w:ascii="Palatino Linotype" w:hAnsi="Palatino Linotype"/>
          <w:i/>
          <w:iCs/>
          <w:color w:val="212121"/>
          <w:sz w:val="21"/>
          <w:szCs w:val="21"/>
          <w:lang w:val="es-ES" w:eastAsia="es-MX"/>
        </w:rPr>
        <w:t>ca, </w:t>
      </w:r>
      <w:r>
        <w:rPr>
          <w:rFonts w:ascii="Palatino Linotype" w:hAnsi="Palatino Linotype"/>
          <w:i/>
          <w:iCs/>
          <w:color w:val="212121"/>
          <w:spacing w:val="-1"/>
          <w:sz w:val="21"/>
          <w:szCs w:val="21"/>
          <w:lang w:val="es-ES" w:eastAsia="es-MX"/>
        </w:rPr>
        <w:t>señalan</w:t>
      </w:r>
      <w:r>
        <w:rPr>
          <w:rFonts w:ascii="Palatino Linotype" w:hAnsi="Palatino Linotype"/>
          <w:i/>
          <w:iCs/>
          <w:color w:val="212121"/>
          <w:spacing w:val="1"/>
          <w:sz w:val="21"/>
          <w:szCs w:val="21"/>
          <w:lang w:val="es-ES" w:eastAsia="es-MX"/>
        </w:rPr>
        <w:t> </w:t>
      </w:r>
      <w:r>
        <w:rPr>
          <w:rFonts w:ascii="Palatino Linotype" w:hAnsi="Palatino Linotype"/>
          <w:i/>
          <w:iCs/>
          <w:color w:val="212121"/>
          <w:spacing w:val="-1"/>
          <w:sz w:val="21"/>
          <w:szCs w:val="21"/>
          <w:lang w:val="es-ES" w:eastAsia="es-MX"/>
        </w:rPr>
        <w:t>q</w:t>
      </w:r>
      <w:r>
        <w:rPr>
          <w:rFonts w:ascii="Palatino Linotype" w:hAnsi="Palatino Linotype"/>
          <w:i/>
          <w:iCs/>
          <w:color w:val="212121"/>
          <w:spacing w:val="1"/>
          <w:sz w:val="21"/>
          <w:szCs w:val="21"/>
          <w:lang w:val="es-ES" w:eastAsia="es-MX"/>
        </w:rPr>
        <w:t>u</w:t>
      </w:r>
      <w:r>
        <w:rPr>
          <w:rFonts w:ascii="Palatino Linotype" w:hAnsi="Palatino Linotype"/>
          <w:i/>
          <w:iCs/>
          <w:color w:val="212121"/>
          <w:sz w:val="21"/>
          <w:szCs w:val="2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232DB1" w:rsidRDefault="00274F0D">
      <w:pPr>
        <w:ind w:left="851" w:right="902"/>
        <w:jc w:val="both"/>
        <w:rPr>
          <w:rFonts w:ascii="Palatino Linotype" w:hAnsi="Palatino Linotype" w:cs="Arial"/>
          <w:i/>
          <w:color w:val="000000"/>
          <w:sz w:val="21"/>
          <w:szCs w:val="21"/>
        </w:rPr>
      </w:pPr>
      <w:r>
        <w:rPr>
          <w:rFonts w:ascii="Palatino Linotype" w:hAnsi="Palatino Linotype" w:cs="Arial"/>
          <w:i/>
          <w:color w:val="000000"/>
          <w:sz w:val="21"/>
          <w:szCs w:val="21"/>
        </w:rPr>
        <w:t xml:space="preserve">Resoluciones: </w:t>
      </w:r>
    </w:p>
    <w:p w:rsidR="00232DB1" w:rsidRDefault="00274F0D">
      <w:pPr>
        <w:ind w:left="851" w:right="902"/>
        <w:jc w:val="both"/>
        <w:rPr>
          <w:rFonts w:ascii="Palatino Linotype" w:hAnsi="Palatino Linotype" w:cs="Arial"/>
          <w:i/>
          <w:color w:val="000000"/>
          <w:sz w:val="21"/>
          <w:szCs w:val="21"/>
        </w:rPr>
      </w:pPr>
      <w:r>
        <w:rPr>
          <w:rFonts w:ascii="Symbol" w:eastAsia="Symbol" w:hAnsi="Symbol" w:cs="Symbol"/>
          <w:i/>
          <w:color w:val="000000"/>
          <w:sz w:val="21"/>
          <w:szCs w:val="21"/>
        </w:rPr>
        <w:t></w:t>
      </w:r>
      <w:r>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232DB1" w:rsidRDefault="00274F0D">
      <w:pPr>
        <w:ind w:left="851" w:right="902"/>
        <w:jc w:val="both"/>
        <w:rPr>
          <w:rFonts w:ascii="Palatino Linotype" w:hAnsi="Palatino Linotype" w:cs="Arial"/>
          <w:i/>
          <w:color w:val="000000"/>
          <w:sz w:val="21"/>
          <w:szCs w:val="21"/>
        </w:rPr>
      </w:pPr>
      <w:r>
        <w:rPr>
          <w:rFonts w:ascii="Symbol" w:eastAsia="Symbol" w:hAnsi="Symbol" w:cs="Symbol"/>
          <w:i/>
          <w:color w:val="000000"/>
          <w:sz w:val="21"/>
          <w:szCs w:val="21"/>
        </w:rPr>
        <w:t></w:t>
      </w:r>
      <w:r>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232DB1" w:rsidRDefault="00274F0D">
      <w:pPr>
        <w:ind w:left="851" w:right="902"/>
        <w:jc w:val="both"/>
        <w:rPr>
          <w:rFonts w:ascii="Palatino Linotype" w:hAnsi="Palatino Linotype" w:cs="Arial"/>
          <w:i/>
          <w:color w:val="000000"/>
          <w:sz w:val="21"/>
          <w:szCs w:val="21"/>
        </w:rPr>
      </w:pPr>
      <w:r>
        <w:rPr>
          <w:rFonts w:ascii="Symbol" w:eastAsia="Symbol" w:hAnsi="Symbol" w:cs="Symbol"/>
          <w:i/>
          <w:color w:val="000000"/>
          <w:sz w:val="21"/>
          <w:szCs w:val="21"/>
        </w:rPr>
        <w:t></w:t>
      </w:r>
      <w:r>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232DB1" w:rsidRDefault="00274F0D">
      <w:pPr>
        <w:ind w:left="851" w:right="902"/>
        <w:jc w:val="both"/>
        <w:rPr>
          <w:rFonts w:ascii="Palatino Linotype" w:hAnsi="Palatino Linotype" w:cs="Arial"/>
          <w:i/>
          <w:color w:val="000000"/>
          <w:sz w:val="21"/>
          <w:szCs w:val="21"/>
        </w:rPr>
      </w:pPr>
      <w:r>
        <w:rPr>
          <w:rFonts w:ascii="Palatino Linotype" w:hAnsi="Palatino Linotype" w:cs="Arial"/>
          <w:i/>
          <w:color w:val="000000"/>
          <w:sz w:val="21"/>
          <w:szCs w:val="21"/>
        </w:rPr>
        <w:t>(Sic)</w:t>
      </w:r>
    </w:p>
    <w:p w:rsidR="00232DB1" w:rsidRDefault="00274F0D">
      <w:pPr>
        <w:spacing w:beforeAutospacing="1" w:afterAutospacing="1" w:line="360" w:lineRule="auto"/>
        <w:jc w:val="both"/>
        <w:rPr>
          <w:rFonts w:ascii="Palatino Linotype" w:hAnsi="Palatino Linotype"/>
        </w:rPr>
      </w:pPr>
      <w:r>
        <w:rPr>
          <w:rFonts w:ascii="Palatino Linotype" w:hAnsi="Palatino Linotype"/>
        </w:rPr>
        <w:t xml:space="preserve">Así, este Órgano Garante determina que </w:t>
      </w:r>
      <w:r>
        <w:rPr>
          <w:rFonts w:ascii="Palatino Linotype" w:hAnsi="Palatino Linotype"/>
          <w:b/>
        </w:rPr>
        <w:t>EL SUJETO OBLIGADO</w:t>
      </w:r>
      <w:r>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w:t>
      </w:r>
    </w:p>
    <w:p w:rsidR="00232DB1" w:rsidRDefault="00274F0D">
      <w:pPr>
        <w:spacing w:beforeAutospacing="1"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lastRenderedPageBreak/>
        <w:t xml:space="preserve">Consecuentemente, se reitera que las </w:t>
      </w:r>
      <w:r>
        <w:rPr>
          <w:rFonts w:ascii="Palatino Linotype" w:hAnsi="Palatino Linotype"/>
          <w:color w:val="000000"/>
          <w:lang w:eastAsia="es-MX"/>
        </w:rPr>
        <w:t xml:space="preserve">respuestas otorgadas por </w:t>
      </w:r>
      <w:r>
        <w:rPr>
          <w:rFonts w:ascii="Palatino Linotype" w:hAnsi="Palatino Linotype"/>
          <w:b/>
          <w:color w:val="000000"/>
          <w:lang w:eastAsia="es-MX"/>
        </w:rPr>
        <w:t>EL SUJETO OBLIGADO</w:t>
      </w:r>
      <w:r>
        <w:rPr>
          <w:rFonts w:ascii="Palatino Linotype" w:hAnsi="Palatino Linotype"/>
          <w:color w:val="000000"/>
          <w:lang w:eastAsia="es-MX"/>
        </w:rPr>
        <w:t xml:space="preserve"> al particular cumplen con una debida fundamentación y motivación. Respecto a la fundamentación y motivación es de señalar que el máximo tribunal del país ha establecido jurisprudencia respecto a qué debe entenderse por fundamentación y motivación, en los siguientes términos:</w:t>
      </w:r>
    </w:p>
    <w:p w:rsidR="00232DB1" w:rsidRDefault="00274F0D">
      <w:pPr>
        <w:spacing w:before="240" w:after="280"/>
        <w:ind w:left="851" w:right="899"/>
        <w:jc w:val="both"/>
        <w:rPr>
          <w:lang w:eastAsia="es-MX"/>
        </w:rPr>
      </w:pPr>
      <w:r>
        <w:rPr>
          <w:rFonts w:ascii="Palatino Linotype" w:hAnsi="Palatino Linotype"/>
          <w:b/>
          <w:bCs/>
          <w:i/>
          <w:iCs/>
          <w:color w:val="000000"/>
          <w:sz w:val="22"/>
          <w:szCs w:val="22"/>
          <w:lang w:eastAsia="es-MX"/>
        </w:rPr>
        <w:t>“FUNDAMENTACIÓN Y MOTIVACIÓN.</w:t>
      </w:r>
      <w:r>
        <w:rPr>
          <w:rFonts w:ascii="Palatino Linotype" w:hAnsi="Palatino Linotype"/>
          <w:i/>
          <w:iCs/>
          <w:color w:val="000000"/>
          <w:sz w:val="22"/>
          <w:szCs w:val="22"/>
          <w:lang w:eastAsia="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232DB1" w:rsidRDefault="00274F0D">
      <w:pPr>
        <w:spacing w:before="240" w:after="280" w:line="360" w:lineRule="auto"/>
        <w:jc w:val="both"/>
        <w:rPr>
          <w:lang w:eastAsia="es-MX"/>
        </w:rPr>
      </w:pPr>
      <w:r>
        <w:rPr>
          <w:rFonts w:ascii="Palatino Linotype" w:hAnsi="Palatino Linotype"/>
          <w:color w:val="000000"/>
          <w:lang w:eastAsia="es-MX"/>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232DB1" w:rsidRDefault="00274F0D">
      <w:pPr>
        <w:spacing w:before="240" w:after="280"/>
        <w:ind w:left="851" w:right="899"/>
        <w:jc w:val="both"/>
        <w:rPr>
          <w:lang w:eastAsia="es-MX"/>
        </w:rPr>
      </w:pPr>
      <w:r>
        <w:rPr>
          <w:rFonts w:ascii="Palatino Linotype" w:hAnsi="Palatino Linotype"/>
          <w:i/>
          <w:iCs/>
          <w:color w:val="000000"/>
          <w:sz w:val="22"/>
          <w:szCs w:val="22"/>
          <w:lang w:eastAsia="es-MX"/>
        </w:rPr>
        <w:t>“</w:t>
      </w:r>
      <w:r>
        <w:rPr>
          <w:rFonts w:ascii="Palatino Linotype" w:hAnsi="Palatino Linotype"/>
          <w:b/>
          <w:bCs/>
          <w:i/>
          <w:iCs/>
          <w:color w:val="000000"/>
          <w:sz w:val="22"/>
          <w:szCs w:val="22"/>
          <w:lang w:eastAsia="es-MX"/>
        </w:rPr>
        <w:t>FUNDAMENTACIÓN Y MOTIVACIÓN. EL ASPECTO FORMAL DE LA GARANTÍA Y SU FINALIDAD SE TRADUCEN EN EXPLICAR, JUSTIFICAR, POSIBILITAR LA DEFENSA Y COMUNICAR LA DECISIÓN.</w:t>
      </w:r>
      <w:r>
        <w:rPr>
          <w:rFonts w:ascii="Palatino Linotype" w:hAnsi="Palatino Linotype"/>
          <w:i/>
          <w:iCs/>
          <w:color w:val="000000"/>
          <w:sz w:val="22"/>
          <w:szCs w:val="22"/>
          <w:lang w:eastAsia="es-MX"/>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w:t>
      </w:r>
      <w:r>
        <w:rPr>
          <w:rFonts w:ascii="Palatino Linotype" w:hAnsi="Palatino Linotype"/>
          <w:i/>
          <w:iCs/>
          <w:color w:val="000000"/>
          <w:sz w:val="22"/>
          <w:szCs w:val="22"/>
          <w:lang w:eastAsia="es-MX"/>
        </w:rPr>
        <w:lastRenderedPageBreak/>
        <w:t>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232DB1" w:rsidRDefault="00274F0D">
      <w:pPr>
        <w:spacing w:before="240" w:after="280" w:line="360" w:lineRule="auto"/>
        <w:jc w:val="both"/>
        <w:rPr>
          <w:rFonts w:ascii="Palatino Linotype" w:hAnsi="Palatino Linotype"/>
          <w:color w:val="000000"/>
          <w:lang w:eastAsia="es-MX"/>
        </w:rPr>
      </w:pPr>
      <w:r>
        <w:rPr>
          <w:rFonts w:ascii="Palatino Linotype" w:hAnsi="Palatino Linotype"/>
          <w:color w:val="000000"/>
          <w:lang w:eastAsia="es-MX"/>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232DB1" w:rsidRDefault="00274F0D">
      <w:pPr>
        <w:tabs>
          <w:tab w:val="left" w:pos="5553"/>
        </w:tabs>
        <w:spacing w:beforeAutospacing="1" w:afterAutospacing="1" w:line="360" w:lineRule="auto"/>
        <w:jc w:val="both"/>
        <w:rPr>
          <w:rFonts w:ascii="Palatino Linotype" w:eastAsia="Calibri" w:hAnsi="Palatino Linotype" w:cs="Arial"/>
        </w:rPr>
      </w:pPr>
      <w:r>
        <w:rPr>
          <w:rFonts w:ascii="Palatino Linotype" w:eastAsia="Calibri" w:hAnsi="Palatino Linotype" w:cs="Arial"/>
        </w:rPr>
        <w:t xml:space="preserve">En mérito de lo expuesto, esta Autoridad estima que las razones o motivos de inconformidad hechos valer por </w:t>
      </w:r>
      <w:r>
        <w:rPr>
          <w:rFonts w:ascii="Palatino Linotype" w:eastAsia="Calibri" w:hAnsi="Palatino Linotype" w:cs="Arial"/>
          <w:b/>
        </w:rPr>
        <w:t>EL RECURRENTE</w:t>
      </w:r>
      <w:r>
        <w:rPr>
          <w:rFonts w:ascii="Palatino Linotype" w:eastAsia="Calibri" w:hAnsi="Palatino Linotype" w:cs="Arial"/>
        </w:rPr>
        <w:t xml:space="preserve"> devienen </w:t>
      </w:r>
      <w:r>
        <w:rPr>
          <w:rFonts w:ascii="Palatino Linotype" w:hAnsi="Palatino Linotype" w:cs="Arial"/>
          <w:b/>
        </w:rPr>
        <w:t>in</w:t>
      </w:r>
      <w:r>
        <w:rPr>
          <w:rFonts w:ascii="Palatino Linotype" w:eastAsia="Calibri" w:hAnsi="Palatino Linotype" w:cs="Arial"/>
          <w:b/>
        </w:rPr>
        <w:t>fundados</w:t>
      </w:r>
      <w:r>
        <w:rPr>
          <w:rFonts w:ascii="Palatino Linotype" w:eastAsia="Calibri" w:hAnsi="Palatino Linotype" w:cs="Arial"/>
        </w:rPr>
        <w:t xml:space="preserve">; por lo que, lo procedente es </w:t>
      </w:r>
      <w:r>
        <w:rPr>
          <w:rFonts w:ascii="Palatino Linotype" w:eastAsia="Calibri" w:hAnsi="Palatino Linotype" w:cs="Arial"/>
          <w:b/>
        </w:rPr>
        <w:t>CONFIRMAR</w:t>
      </w:r>
      <w:r>
        <w:rPr>
          <w:rFonts w:ascii="Palatino Linotype" w:eastAsia="Calibri" w:hAnsi="Palatino Linotype" w:cs="Arial"/>
        </w:rPr>
        <w:t xml:space="preserve"> las respuestas del </w:t>
      </w:r>
      <w:r>
        <w:rPr>
          <w:rFonts w:ascii="Palatino Linotype" w:eastAsia="Calibri" w:hAnsi="Palatino Linotype" w:cs="Arial"/>
          <w:b/>
        </w:rPr>
        <w:t>SUJETO OBLIGADO</w:t>
      </w:r>
      <w:r>
        <w:rPr>
          <w:rFonts w:ascii="Palatino Linotype" w:eastAsia="Calibri" w:hAnsi="Palatino Linotype" w:cs="Arial"/>
        </w:rPr>
        <w:t>.</w:t>
      </w:r>
    </w:p>
    <w:p w:rsidR="00232DB1" w:rsidRDefault="00274F0D">
      <w:pPr>
        <w:pStyle w:val="Prrafodelista"/>
        <w:widowControl w:val="0"/>
        <w:tabs>
          <w:tab w:val="left" w:pos="1276"/>
        </w:tabs>
        <w:spacing w:before="24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w:t>
      </w:r>
      <w:r>
        <w:rPr>
          <w:rFonts w:ascii="Palatino Linotype" w:hAnsi="Palatino Linotype"/>
        </w:rPr>
        <w:t xml:space="preserve">párrafos vigésimo segundo, vigésimo tercero y vigésimo </w:t>
      </w:r>
      <w:r>
        <w:rPr>
          <w:rFonts w:ascii="Palatino Linotype" w:hAnsi="Palatino Linotype" w:cs="Arial"/>
        </w:rPr>
        <w:t>cuarto,</w:t>
      </w:r>
      <w:r>
        <w:rPr>
          <w:rFonts w:ascii="Palatino Linotype" w:hAnsi="Palatino Linotype"/>
        </w:rPr>
        <w:t xml:space="preserve"> </w:t>
      </w:r>
      <w:r>
        <w:rPr>
          <w:rFonts w:ascii="Palatino Linotype" w:hAnsi="Palatino Linotype" w:cs="Arial"/>
        </w:rPr>
        <w:t>fracciones</w:t>
      </w:r>
      <w:r>
        <w:rPr>
          <w:rFonts w:ascii="Palatino Linotype" w:hAnsi="Palatino Linotype"/>
        </w:rPr>
        <w:t xml:space="preserve"> IV y V,</w:t>
      </w:r>
      <w:r>
        <w:rPr>
          <w:rFonts w:ascii="Palatino Linotype" w:eastAsia="Calibri" w:hAnsi="Palatino Linotype" w:cs="Arial"/>
        </w:rPr>
        <w:t xml:space="preserve"> de la Constitución Política del Estado Libre y Soberano de México, y los artículos </w:t>
      </w:r>
      <w:r>
        <w:rPr>
          <w:rFonts w:ascii="Palatino Linotype" w:hAnsi="Palatino Linotype"/>
        </w:rPr>
        <w:t xml:space="preserve">2, </w:t>
      </w:r>
      <w:r>
        <w:rPr>
          <w:rFonts w:ascii="Palatino Linotype" w:hAnsi="Palatino Linotype" w:cs="Arial"/>
        </w:rPr>
        <w:t>fracción</w:t>
      </w:r>
      <w:r>
        <w:rPr>
          <w:rFonts w:ascii="Palatino Linotype" w:hAnsi="Palatino Linotype"/>
        </w:rPr>
        <w:t xml:space="preserve"> II, 9, </w:t>
      </w:r>
      <w:r>
        <w:rPr>
          <w:rFonts w:ascii="Palatino Linotype" w:hAnsi="Palatino Linotype" w:cs="Arial"/>
          <w:lang w:val="es-ES_tradnl"/>
        </w:rPr>
        <w:t>29</w:t>
      </w:r>
      <w:r>
        <w:rPr>
          <w:rFonts w:ascii="Palatino Linotype" w:hAnsi="Palatino Linotype"/>
        </w:rPr>
        <w:t>, 36, fracciones I y II, 176, 178, 179, 181, 185, fracción I, 186, 188 y 192, fracción III</w:t>
      </w:r>
      <w:r>
        <w:rPr>
          <w:rFonts w:ascii="Palatino Linotype" w:eastAsia="Calibri" w:hAnsi="Palatino Linotype" w:cs="Arial"/>
        </w:rPr>
        <w:t xml:space="preserve"> de la Ley de Transparencia y Acceso a la Información Pública del Estado de México y </w:t>
      </w:r>
      <w:r>
        <w:rPr>
          <w:rFonts w:ascii="Palatino Linotype" w:hAnsi="Palatino Linotype" w:cs="Arial"/>
        </w:rPr>
        <w:t>Municipios</w:t>
      </w:r>
      <w:r>
        <w:rPr>
          <w:rFonts w:ascii="Palatino Linotype" w:eastAsia="Calibri" w:hAnsi="Palatino Linotype" w:cs="Arial"/>
        </w:rPr>
        <w:t xml:space="preserve">, </w:t>
      </w:r>
      <w:r>
        <w:rPr>
          <w:rFonts w:ascii="Palatino Linotype" w:hAnsi="Palatino Linotype"/>
        </w:rPr>
        <w:t>este</w:t>
      </w:r>
      <w:r>
        <w:rPr>
          <w:rFonts w:ascii="Palatino Linotype" w:eastAsia="Calibri" w:hAnsi="Palatino Linotype" w:cs="Arial"/>
        </w:rPr>
        <w:t xml:space="preserve"> Pleno:</w:t>
      </w:r>
    </w:p>
    <w:p w:rsidR="003025A4" w:rsidRDefault="003025A4">
      <w:pPr>
        <w:spacing w:before="240" w:afterAutospacing="1" w:line="360" w:lineRule="auto"/>
        <w:jc w:val="center"/>
        <w:rPr>
          <w:rFonts w:ascii="Palatino Linotype" w:hAnsi="Palatino Linotype"/>
          <w:b/>
          <w:bCs/>
          <w:spacing w:val="60"/>
          <w:sz w:val="28"/>
        </w:rPr>
      </w:pPr>
    </w:p>
    <w:p w:rsidR="003025A4" w:rsidRDefault="003025A4">
      <w:pPr>
        <w:spacing w:before="240" w:afterAutospacing="1" w:line="360" w:lineRule="auto"/>
        <w:jc w:val="center"/>
        <w:rPr>
          <w:rFonts w:ascii="Palatino Linotype" w:hAnsi="Palatino Linotype"/>
          <w:b/>
          <w:bCs/>
          <w:spacing w:val="60"/>
          <w:sz w:val="28"/>
        </w:rPr>
      </w:pPr>
    </w:p>
    <w:p w:rsidR="00232DB1" w:rsidRDefault="00274F0D">
      <w:pPr>
        <w:spacing w:before="240" w:afterAutospacing="1" w:line="360" w:lineRule="auto"/>
        <w:jc w:val="center"/>
        <w:rPr>
          <w:rFonts w:ascii="Palatino Linotype" w:hAnsi="Palatino Linotype"/>
          <w:b/>
          <w:bCs/>
          <w:spacing w:val="60"/>
          <w:sz w:val="28"/>
        </w:rPr>
      </w:pPr>
      <w:r>
        <w:rPr>
          <w:rFonts w:ascii="Palatino Linotype" w:hAnsi="Palatino Linotype"/>
          <w:b/>
          <w:bCs/>
          <w:spacing w:val="60"/>
          <w:sz w:val="28"/>
        </w:rPr>
        <w:lastRenderedPageBreak/>
        <w:t>RESUELVE</w:t>
      </w:r>
    </w:p>
    <w:p w:rsidR="00232DB1" w:rsidRDefault="00274F0D">
      <w:pPr>
        <w:pStyle w:val="Prrafodelista"/>
        <w:widowControl w:val="0"/>
        <w:numPr>
          <w:ilvl w:val="0"/>
          <w:numId w:val="3"/>
        </w:numPr>
        <w:tabs>
          <w:tab w:val="left" w:pos="1701"/>
        </w:tabs>
        <w:spacing w:before="240" w:afterAutospacing="1" w:line="360" w:lineRule="auto"/>
        <w:ind w:left="0" w:firstLine="0"/>
        <w:jc w:val="both"/>
        <w:rPr>
          <w:rFonts w:ascii="Palatino Linotype" w:hAnsi="Palatino Linotype" w:cs="Arial"/>
        </w:rPr>
      </w:pPr>
      <w:r>
        <w:rPr>
          <w:rFonts w:ascii="Palatino Linotype" w:hAnsi="Palatino Linotype" w:cs="Arial"/>
        </w:rPr>
        <w:t xml:space="preserve">Resultan </w:t>
      </w:r>
      <w:r>
        <w:rPr>
          <w:rFonts w:ascii="Palatino Linotype" w:hAnsi="Palatino Linotype" w:cs="Arial"/>
          <w:b/>
        </w:rPr>
        <w:t>infundadas</w:t>
      </w:r>
      <w:r>
        <w:rPr>
          <w:rFonts w:ascii="Palatino Linotype" w:hAnsi="Palatino Linotype" w:cs="Arial"/>
        </w:rPr>
        <w:t xml:space="preserve"> las </w:t>
      </w:r>
      <w:r>
        <w:rPr>
          <w:rFonts w:ascii="Palatino Linotype" w:hAnsi="Palatino Linotype"/>
          <w:shd w:val="clear" w:color="auto" w:fill="FFFFFF"/>
        </w:rPr>
        <w:t>razones</w:t>
      </w:r>
      <w:r>
        <w:rPr>
          <w:rFonts w:ascii="Palatino Linotype" w:hAnsi="Palatino Linotype" w:cs="Arial"/>
        </w:rPr>
        <w:t xml:space="preserve"> o motivos de inconformidad hechas valer por </w:t>
      </w:r>
      <w:r>
        <w:rPr>
          <w:rFonts w:ascii="Palatino Linotype" w:hAnsi="Palatino Linotype"/>
          <w:b/>
        </w:rPr>
        <w:t>EL</w:t>
      </w:r>
      <w:r>
        <w:rPr>
          <w:rFonts w:ascii="Palatino Linotype" w:hAnsi="Palatino Linotype" w:cs="Arial"/>
          <w:b/>
        </w:rPr>
        <w:t xml:space="preserve"> RECURRENTE,</w:t>
      </w:r>
      <w:r>
        <w:rPr>
          <w:rFonts w:ascii="Palatino Linotype" w:hAnsi="Palatino Linotype" w:cs="Arial"/>
        </w:rPr>
        <w:t xml:space="preserve"> en términos del Considerando </w:t>
      </w:r>
      <w:r>
        <w:rPr>
          <w:rFonts w:ascii="Palatino Linotype" w:hAnsi="Palatino Linotype" w:cs="Arial"/>
          <w:b/>
        </w:rPr>
        <w:t>SEXTO</w:t>
      </w:r>
      <w:r>
        <w:rPr>
          <w:rFonts w:ascii="Palatino Linotype" w:hAnsi="Palatino Linotype" w:cs="Arial"/>
        </w:rPr>
        <w:t xml:space="preserve"> de la presente resolución.</w:t>
      </w:r>
    </w:p>
    <w:p w:rsidR="00232DB1" w:rsidRDefault="00274F0D">
      <w:pPr>
        <w:widowControl w:val="0"/>
        <w:spacing w:beforeAutospacing="1" w:afterAutospacing="1" w:line="360" w:lineRule="auto"/>
        <w:jc w:val="both"/>
        <w:rPr>
          <w:rFonts w:ascii="Palatino Linotype" w:hAnsi="Palatino Linotype" w:cs="Arial"/>
          <w:b/>
          <w:sz w:val="28"/>
          <w:szCs w:val="28"/>
        </w:rPr>
      </w:pPr>
      <w:r>
        <w:rPr>
          <w:rFonts w:ascii="Palatino Linotype" w:hAnsi="Palatino Linotype" w:cs="Arial"/>
          <w:b/>
          <w:sz w:val="28"/>
          <w:szCs w:val="28"/>
        </w:rPr>
        <w:t>SEGUNDO</w:t>
      </w:r>
      <w:r>
        <w:rPr>
          <w:rFonts w:ascii="Palatino Linotype" w:hAnsi="Palatino Linotype" w:cs="Arial"/>
          <w:sz w:val="28"/>
          <w:szCs w:val="28"/>
        </w:rPr>
        <w:t>.</w:t>
      </w:r>
      <w:r>
        <w:rPr>
          <w:rFonts w:ascii="Palatino Linotype" w:hAnsi="Palatino Linotype" w:cs="Arial"/>
        </w:rPr>
        <w:t xml:space="preserve"> Se </w:t>
      </w:r>
      <w:r>
        <w:rPr>
          <w:rFonts w:ascii="Palatino Linotype" w:hAnsi="Palatino Linotype" w:cs="Arial"/>
          <w:b/>
        </w:rPr>
        <w:t>CONFIRMAN</w:t>
      </w:r>
      <w:r>
        <w:rPr>
          <w:rFonts w:ascii="Palatino Linotype" w:hAnsi="Palatino Linotype" w:cs="Arial"/>
        </w:rPr>
        <w:t xml:space="preserve"> las respuestas otorgadas por </w:t>
      </w:r>
      <w:r>
        <w:rPr>
          <w:rFonts w:ascii="Palatino Linotype" w:hAnsi="Palatino Linotype" w:cs="Arial"/>
          <w:b/>
        </w:rPr>
        <w:t xml:space="preserve">EL SUJETO OBLIGADO </w:t>
      </w:r>
      <w:r>
        <w:rPr>
          <w:rFonts w:ascii="Palatino Linotype" w:hAnsi="Palatino Linotype" w:cs="Arial"/>
        </w:rPr>
        <w:t>a las</w:t>
      </w:r>
      <w:r>
        <w:rPr>
          <w:rFonts w:ascii="Palatino Linotype" w:hAnsi="Palatino Linotype" w:cs="Arial"/>
          <w:b/>
        </w:rPr>
        <w:t xml:space="preserve"> </w:t>
      </w:r>
      <w:r>
        <w:rPr>
          <w:rFonts w:ascii="Palatino Linotype" w:hAnsi="Palatino Linotype" w:cs="Arial"/>
        </w:rPr>
        <w:t xml:space="preserve">solicitudes de acceso a la información pública números </w:t>
      </w:r>
      <w:r>
        <w:rPr>
          <w:rFonts w:ascii="Palatino Linotype" w:hAnsi="Palatino Linotype"/>
          <w:b/>
          <w:bCs/>
        </w:rPr>
        <w:t xml:space="preserve">00020/OCOYOAC/IP/2020, 00021/OCOYOAC/IP/2020 </w:t>
      </w:r>
      <w:r>
        <w:rPr>
          <w:rFonts w:ascii="Palatino Linotype" w:hAnsi="Palatino Linotype"/>
          <w:bCs/>
        </w:rPr>
        <w:t xml:space="preserve">y </w:t>
      </w:r>
      <w:r>
        <w:rPr>
          <w:rFonts w:ascii="Palatino Linotype" w:hAnsi="Palatino Linotype"/>
          <w:b/>
          <w:bCs/>
        </w:rPr>
        <w:t>00022/OCOYOAC/IP/2020.</w:t>
      </w:r>
    </w:p>
    <w:p w:rsidR="00232DB1" w:rsidRDefault="00274F0D">
      <w:pPr>
        <w:widowControl w:val="0"/>
        <w:spacing w:beforeAutospacing="1" w:afterAutospacing="1" w:line="360" w:lineRule="auto"/>
        <w:jc w:val="both"/>
        <w:rPr>
          <w:rFonts w:ascii="Palatino Linotype" w:hAnsi="Palatino Linotype" w:cs="Arial"/>
          <w:b/>
          <w:sz w:val="28"/>
          <w:szCs w:val="28"/>
        </w:rPr>
      </w:pPr>
      <w:r>
        <w:rPr>
          <w:rFonts w:ascii="Palatino Linotype" w:hAnsi="Palatino Linotype" w:cs="Arial"/>
          <w:b/>
          <w:sz w:val="28"/>
          <w:szCs w:val="28"/>
        </w:rPr>
        <w:t xml:space="preserve">TERCERO. </w:t>
      </w:r>
      <w:r>
        <w:rPr>
          <w:rFonts w:ascii="Palatino Linotype" w:hAnsi="Palatino Linotype" w:cs="Arial"/>
          <w:b/>
          <w:lang w:val="es-ES_tradnl"/>
        </w:rPr>
        <w:t>Notifíquese</w:t>
      </w:r>
      <w:r>
        <w:rPr>
          <w:rFonts w:ascii="Palatino Linotype" w:hAnsi="Palatino Linotype" w:cs="Arial"/>
          <w:lang w:val="es-ES_tradnl"/>
        </w:rPr>
        <w:t xml:space="preserve"> la presente resolución al Titular de la Unidad de Transparencia del </w:t>
      </w:r>
      <w:r>
        <w:rPr>
          <w:rFonts w:ascii="Palatino Linotype" w:hAnsi="Palatino Linotype" w:cs="Arial"/>
          <w:b/>
          <w:lang w:val="es-ES_tradnl"/>
        </w:rPr>
        <w:t>SUJETO OBLIGADO</w:t>
      </w:r>
      <w:r>
        <w:rPr>
          <w:rFonts w:ascii="Palatino Linotype" w:hAnsi="Palatino Linotype" w:cs="Arial"/>
          <w:lang w:val="es-ES_tradnl"/>
        </w:rPr>
        <w:t xml:space="preserve"> para su conocimiento.</w:t>
      </w:r>
    </w:p>
    <w:p w:rsidR="00232DB1" w:rsidRDefault="00274F0D">
      <w:pPr>
        <w:spacing w:beforeAutospacing="1" w:afterAutospacing="1" w:line="360" w:lineRule="auto"/>
        <w:ind w:right="49"/>
        <w:jc w:val="both"/>
        <w:rPr>
          <w:rFonts w:ascii="Palatino Linotype" w:hAnsi="Palatino Linotype"/>
          <w:color w:val="222222"/>
          <w:lang w:eastAsia="es-MX"/>
        </w:rPr>
      </w:pPr>
      <w:r>
        <w:rPr>
          <w:rFonts w:ascii="Palatino Linotype" w:hAnsi="Palatino Linotype"/>
          <w:b/>
          <w:bCs/>
          <w:color w:val="222222"/>
          <w:sz w:val="28"/>
          <w:szCs w:val="28"/>
          <w:lang w:eastAsia="es-MX"/>
        </w:rPr>
        <w:t>CUARTO.</w:t>
      </w:r>
      <w:r>
        <w:rPr>
          <w:rFonts w:ascii="Palatino Linotype" w:hAnsi="Palatino Linotype"/>
          <w:b/>
          <w:bCs/>
          <w:color w:val="222222"/>
          <w:lang w:eastAsia="es-MX"/>
        </w:rPr>
        <w:t xml:space="preserve"> Notifíquese</w:t>
      </w:r>
      <w:r>
        <w:rPr>
          <w:rFonts w:ascii="Palatino Linotype" w:hAnsi="Palatino Linotype"/>
          <w:color w:val="222222"/>
          <w:lang w:eastAsia="es-MX"/>
        </w:rPr>
        <w:t xml:space="preserve"> al</w:t>
      </w:r>
      <w:r>
        <w:rPr>
          <w:rFonts w:ascii="Palatino Linotype" w:hAnsi="Palatino Linotype"/>
          <w:b/>
          <w:color w:val="222222"/>
          <w:lang w:eastAsia="es-MX"/>
        </w:rPr>
        <w:t xml:space="preserve"> RECURRENTE</w:t>
      </w:r>
      <w:r>
        <w:rPr>
          <w:rFonts w:ascii="Palatino Linotype" w:hAnsi="Palatino Linotype"/>
          <w:color w:val="222222"/>
          <w:lang w:eastAsia="es-MX"/>
        </w:rPr>
        <w:t xml:space="preserve"> la presente resolución.</w:t>
      </w:r>
    </w:p>
    <w:p w:rsidR="00232DB1" w:rsidRDefault="00274F0D">
      <w:pPr>
        <w:spacing w:beforeAutospacing="1" w:afterAutospacing="1" w:line="360" w:lineRule="auto"/>
        <w:ind w:right="49"/>
        <w:jc w:val="both"/>
        <w:rPr>
          <w:rFonts w:ascii="Palatino Linotype" w:hAnsi="Palatino Linotype"/>
          <w:color w:val="222222"/>
          <w:lang w:eastAsia="es-MX"/>
        </w:rPr>
      </w:pPr>
      <w:r>
        <w:rPr>
          <w:rFonts w:ascii="Palatino Linotype" w:hAnsi="Palatino Linotype"/>
          <w:b/>
          <w:color w:val="222222"/>
          <w:sz w:val="28"/>
          <w:szCs w:val="28"/>
          <w:lang w:eastAsia="es-ES_tradnl"/>
        </w:rPr>
        <w:t>QUINTO.</w:t>
      </w:r>
      <w:r>
        <w:rPr>
          <w:rFonts w:ascii="Palatino Linotype" w:hAnsi="Palatino Linotype"/>
          <w:b/>
          <w:color w:val="222222"/>
          <w:szCs w:val="17"/>
          <w:lang w:eastAsia="es-ES_tradnl"/>
        </w:rPr>
        <w:t xml:space="preserve"> </w:t>
      </w:r>
      <w:r>
        <w:rPr>
          <w:rFonts w:ascii="Palatino Linotype" w:hAnsi="Palatino Linotype"/>
          <w:b/>
          <w:bCs/>
          <w:color w:val="222222"/>
          <w:lang w:eastAsia="es-MX"/>
        </w:rPr>
        <w:t>Hágase del conocimiento</w:t>
      </w:r>
      <w:r>
        <w:rPr>
          <w:rFonts w:ascii="Palatino Linotype" w:hAnsi="Palatino Linotype"/>
          <w:color w:val="222222"/>
          <w:lang w:eastAsia="es-MX"/>
        </w:rPr>
        <w:t xml:space="preserve"> del</w:t>
      </w:r>
      <w:r>
        <w:rPr>
          <w:rFonts w:ascii="Palatino Linotype" w:hAnsi="Palatino Linotype"/>
          <w:b/>
          <w:color w:val="222222"/>
          <w:lang w:eastAsia="es-MX"/>
        </w:rPr>
        <w:t xml:space="preserve"> RECURRENTE</w:t>
      </w:r>
      <w:r>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32DB1" w:rsidRDefault="00274F0D">
      <w:pPr>
        <w:tabs>
          <w:tab w:val="left" w:pos="709"/>
        </w:tabs>
        <w:spacing w:line="360" w:lineRule="auto"/>
        <w:ind w:right="51"/>
        <w:jc w:val="both"/>
        <w:rPr>
          <w:rFonts w:ascii="Palatino Linotype" w:hAnsi="Palatino Linotype"/>
          <w:color w:val="222222"/>
          <w:szCs w:val="17"/>
          <w:lang w:eastAsia="es-ES_tradn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w:t>
      </w:r>
      <w:r>
        <w:rPr>
          <w:rFonts w:ascii="Palatino Linotype" w:hAnsi="Palatino Linotype" w:cs="Arial"/>
        </w:rPr>
        <w:lastRenderedPageBreak/>
        <w:t>MARTÍNEZ CRUZ Y LUIS GUSTAVO PARRA NORIEGA; EN LA DÉCIMA TERCERA SESIÓN ORDINARIA DE FECHA DOCE DE AGOSTO DE DOS MIL</w:t>
      </w:r>
      <w:r>
        <w:rPr>
          <w:rFonts w:ascii="Palatino Linotype" w:hAnsi="Palatino Linotype" w:cs="Arial"/>
          <w:highlight w:val="yellow"/>
        </w:rPr>
        <w:t xml:space="preserve"> </w:t>
      </w:r>
      <w:r>
        <w:rPr>
          <w:rFonts w:ascii="Palatino Linotype" w:hAnsi="Palatino Linotype" w:cs="Arial"/>
        </w:rPr>
        <w:t>VEINTE, ANTE EL SECRETARIO TÉCNICO DEL PLENO, ALEXIS TAPIA RAMÍREZ.</w:t>
      </w:r>
    </w:p>
    <w:tbl>
      <w:tblPr>
        <w:tblW w:w="9214" w:type="dxa"/>
        <w:jc w:val="center"/>
        <w:tblLook w:val="04A0" w:firstRow="1" w:lastRow="0" w:firstColumn="1" w:lastColumn="0" w:noHBand="0" w:noVBand="1"/>
      </w:tblPr>
      <w:tblGrid>
        <w:gridCol w:w="4757"/>
        <w:gridCol w:w="4457"/>
      </w:tblGrid>
      <w:tr w:rsidR="00232DB1">
        <w:trPr>
          <w:jc w:val="center"/>
        </w:trPr>
        <w:tc>
          <w:tcPr>
            <w:tcW w:w="9213" w:type="dxa"/>
            <w:gridSpan w:val="2"/>
            <w:shd w:val="clear" w:color="auto" w:fill="auto"/>
          </w:tcPr>
          <w:p w:rsidR="003025A4" w:rsidRDefault="003025A4">
            <w:pPr>
              <w:jc w:val="center"/>
              <w:rPr>
                <w:rFonts w:ascii="Palatino Linotype" w:hAnsi="Palatino Linotype" w:cs="Arial"/>
                <w:b/>
                <w:lang w:val="es-ES_tradnl"/>
              </w:rPr>
            </w:pPr>
          </w:p>
          <w:p w:rsidR="003025A4" w:rsidRDefault="003025A4">
            <w:pPr>
              <w:jc w:val="center"/>
              <w:rPr>
                <w:rFonts w:ascii="Palatino Linotype" w:hAnsi="Palatino Linotype" w:cs="Arial"/>
                <w:b/>
                <w:lang w:val="es-ES_tradnl"/>
              </w:rPr>
            </w:pPr>
          </w:p>
          <w:p w:rsidR="003025A4" w:rsidRDefault="003025A4">
            <w:pPr>
              <w:jc w:val="center"/>
              <w:rPr>
                <w:rFonts w:ascii="Palatino Linotype" w:hAnsi="Palatino Linotype" w:cs="Arial"/>
                <w:b/>
                <w:lang w:val="es-ES_tradnl"/>
              </w:rPr>
            </w:pPr>
          </w:p>
          <w:p w:rsidR="00232DB1" w:rsidRDefault="00274F0D">
            <w:pPr>
              <w:jc w:val="center"/>
              <w:rPr>
                <w:rFonts w:ascii="Palatino Linotype" w:hAnsi="Palatino Linotype" w:cs="Arial"/>
                <w:b/>
                <w:lang w:val="es-ES_tradnl"/>
              </w:rPr>
            </w:pPr>
            <w:r>
              <w:rPr>
                <w:rFonts w:ascii="Palatino Linotype" w:hAnsi="Palatino Linotype" w:cs="Arial"/>
                <w:b/>
                <w:lang w:val="es-ES_tradnl"/>
              </w:rPr>
              <w:t>Zulema Martínez Sánchez</w:t>
            </w:r>
          </w:p>
          <w:p w:rsidR="00232DB1" w:rsidRDefault="00274F0D">
            <w:pPr>
              <w:jc w:val="center"/>
              <w:rPr>
                <w:rFonts w:ascii="Palatino Linotype" w:hAnsi="Palatino Linotype" w:cs="Arial"/>
                <w:b/>
                <w:lang w:val="es-ES_tradnl"/>
              </w:rPr>
            </w:pPr>
            <w:r>
              <w:rPr>
                <w:rFonts w:ascii="Palatino Linotype" w:hAnsi="Palatino Linotype" w:cs="Arial"/>
                <w:lang w:val="es-ES_tradnl"/>
              </w:rPr>
              <w:t>Comisionada Presidenta</w:t>
            </w:r>
          </w:p>
          <w:p w:rsidR="00232DB1" w:rsidRDefault="00274F0D" w:rsidP="003025A4">
            <w:pPr>
              <w:jc w:val="center"/>
              <w:rPr>
                <w:rFonts w:ascii="Palatino Linotype" w:hAnsi="Palatino Linotype" w:cs="Arial"/>
                <w:b/>
                <w:lang w:val="es-ES_tradnl"/>
              </w:rPr>
            </w:pPr>
            <w:r>
              <w:rPr>
                <w:rFonts w:ascii="Palatino Linotype" w:hAnsi="Palatino Linotype" w:cs="Arial"/>
                <w:b/>
                <w:lang w:val="es-ES_tradnl"/>
              </w:rPr>
              <w:t>(RÚBRICA)</w:t>
            </w:r>
          </w:p>
        </w:tc>
      </w:tr>
      <w:tr w:rsidR="00232DB1">
        <w:trPr>
          <w:jc w:val="center"/>
        </w:trPr>
        <w:tc>
          <w:tcPr>
            <w:tcW w:w="4756" w:type="dxa"/>
            <w:shd w:val="clear" w:color="auto" w:fill="auto"/>
          </w:tcPr>
          <w:p w:rsidR="003025A4" w:rsidRDefault="003025A4">
            <w:pPr>
              <w:jc w:val="center"/>
              <w:rPr>
                <w:rFonts w:ascii="Palatino Linotype" w:hAnsi="Palatino Linotype" w:cs="Arial"/>
                <w:b/>
                <w:lang w:val="es-ES_tradnl"/>
              </w:rPr>
            </w:pPr>
          </w:p>
          <w:p w:rsidR="003025A4" w:rsidRDefault="003025A4">
            <w:pPr>
              <w:jc w:val="center"/>
              <w:rPr>
                <w:rFonts w:ascii="Palatino Linotype" w:hAnsi="Palatino Linotype" w:cs="Arial"/>
                <w:b/>
                <w:lang w:val="es-ES_tradnl"/>
              </w:rPr>
            </w:pPr>
          </w:p>
          <w:p w:rsidR="003025A4" w:rsidRDefault="003025A4">
            <w:pPr>
              <w:jc w:val="center"/>
              <w:rPr>
                <w:rFonts w:ascii="Palatino Linotype" w:hAnsi="Palatino Linotype" w:cs="Arial"/>
                <w:b/>
                <w:lang w:val="es-ES_tradnl"/>
              </w:rPr>
            </w:pPr>
          </w:p>
          <w:p w:rsidR="00232DB1" w:rsidRDefault="00274F0D">
            <w:pPr>
              <w:jc w:val="center"/>
              <w:rPr>
                <w:rFonts w:ascii="Palatino Linotype" w:hAnsi="Palatino Linotype" w:cs="Arial"/>
                <w:b/>
                <w:lang w:val="es-ES_tradnl"/>
              </w:rPr>
            </w:pPr>
            <w:r>
              <w:rPr>
                <w:rFonts w:ascii="Palatino Linotype" w:hAnsi="Palatino Linotype" w:cs="Arial"/>
                <w:b/>
                <w:lang w:val="es-ES_tradnl"/>
              </w:rPr>
              <w:t>Eva Abaid Yapur</w:t>
            </w:r>
          </w:p>
          <w:p w:rsidR="00232DB1" w:rsidRDefault="00274F0D">
            <w:pPr>
              <w:jc w:val="center"/>
              <w:rPr>
                <w:rFonts w:ascii="Palatino Linotype" w:hAnsi="Palatino Linotype" w:cs="Arial"/>
                <w:lang w:val="es-ES_tradnl"/>
              </w:rPr>
            </w:pPr>
            <w:r>
              <w:rPr>
                <w:rFonts w:ascii="Palatino Linotype" w:hAnsi="Palatino Linotype" w:cs="Arial"/>
                <w:lang w:val="es-ES_tradnl"/>
              </w:rPr>
              <w:t>Comisionada</w:t>
            </w:r>
          </w:p>
          <w:p w:rsidR="00232DB1" w:rsidRDefault="00274F0D">
            <w:pPr>
              <w:jc w:val="center"/>
              <w:rPr>
                <w:rFonts w:ascii="Palatino Linotype" w:hAnsi="Palatino Linotype" w:cs="Arial"/>
                <w:b/>
                <w:lang w:val="es-ES_tradnl"/>
              </w:rPr>
            </w:pPr>
            <w:r>
              <w:rPr>
                <w:rFonts w:ascii="Palatino Linotype" w:hAnsi="Palatino Linotype" w:cs="Arial"/>
                <w:b/>
                <w:lang w:val="es-ES_tradnl"/>
              </w:rPr>
              <w:t>(RÚBRICA)</w:t>
            </w:r>
          </w:p>
        </w:tc>
        <w:tc>
          <w:tcPr>
            <w:tcW w:w="4457" w:type="dxa"/>
            <w:shd w:val="clear" w:color="auto" w:fill="auto"/>
          </w:tcPr>
          <w:p w:rsidR="003025A4" w:rsidRDefault="003025A4">
            <w:pPr>
              <w:jc w:val="center"/>
              <w:rPr>
                <w:rFonts w:ascii="Palatino Linotype" w:hAnsi="Palatino Linotype" w:cs="Arial"/>
                <w:b/>
                <w:lang w:val="es-ES_tradnl"/>
              </w:rPr>
            </w:pPr>
          </w:p>
          <w:p w:rsidR="003025A4" w:rsidRDefault="003025A4">
            <w:pPr>
              <w:jc w:val="center"/>
              <w:rPr>
                <w:rFonts w:ascii="Palatino Linotype" w:hAnsi="Palatino Linotype" w:cs="Arial"/>
                <w:b/>
                <w:lang w:val="es-ES_tradnl"/>
              </w:rPr>
            </w:pPr>
          </w:p>
          <w:p w:rsidR="003025A4" w:rsidRDefault="003025A4">
            <w:pPr>
              <w:jc w:val="center"/>
              <w:rPr>
                <w:rFonts w:ascii="Palatino Linotype" w:hAnsi="Palatino Linotype" w:cs="Arial"/>
                <w:b/>
                <w:lang w:val="es-ES_tradnl"/>
              </w:rPr>
            </w:pPr>
          </w:p>
          <w:p w:rsidR="00232DB1" w:rsidRDefault="00274F0D">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232DB1" w:rsidRDefault="00274F0D">
            <w:pPr>
              <w:jc w:val="center"/>
              <w:rPr>
                <w:rFonts w:ascii="Palatino Linotype" w:hAnsi="Palatino Linotype" w:cs="Arial"/>
                <w:lang w:val="es-ES_tradnl"/>
              </w:rPr>
            </w:pPr>
            <w:r>
              <w:rPr>
                <w:rFonts w:ascii="Palatino Linotype" w:hAnsi="Palatino Linotype" w:cs="Arial"/>
                <w:lang w:val="es-ES_tradnl"/>
              </w:rPr>
              <w:t>Comisionado</w:t>
            </w:r>
          </w:p>
          <w:p w:rsidR="00232DB1" w:rsidRDefault="00274F0D">
            <w:pPr>
              <w:jc w:val="center"/>
              <w:rPr>
                <w:rFonts w:ascii="Palatino Linotype" w:hAnsi="Palatino Linotype" w:cs="Arial"/>
                <w:b/>
                <w:lang w:val="es-ES_tradnl"/>
              </w:rPr>
            </w:pPr>
            <w:r>
              <w:rPr>
                <w:rFonts w:ascii="Palatino Linotype" w:hAnsi="Palatino Linotype" w:cs="Arial"/>
                <w:b/>
                <w:lang w:val="es-ES_tradnl"/>
              </w:rPr>
              <w:t>(RÚBRICA)</w:t>
            </w:r>
          </w:p>
        </w:tc>
      </w:tr>
      <w:tr w:rsidR="00232DB1">
        <w:trPr>
          <w:jc w:val="center"/>
        </w:trPr>
        <w:tc>
          <w:tcPr>
            <w:tcW w:w="4756" w:type="dxa"/>
            <w:shd w:val="clear" w:color="auto" w:fill="auto"/>
          </w:tcPr>
          <w:p w:rsidR="00232DB1" w:rsidRDefault="00232DB1">
            <w:pPr>
              <w:jc w:val="center"/>
              <w:rPr>
                <w:rFonts w:ascii="Palatino Linotype" w:hAnsi="Palatino Linotype" w:cs="Arial"/>
                <w:b/>
                <w:lang w:val="es-ES_tradnl"/>
              </w:rPr>
            </w:pPr>
          </w:p>
          <w:p w:rsidR="00232DB1" w:rsidRDefault="00232DB1">
            <w:pPr>
              <w:jc w:val="center"/>
              <w:rPr>
                <w:rFonts w:ascii="Palatino Linotype" w:hAnsi="Palatino Linotype" w:cs="Arial"/>
                <w:b/>
                <w:lang w:val="es-ES_tradnl"/>
              </w:rPr>
            </w:pPr>
          </w:p>
          <w:p w:rsidR="003025A4" w:rsidRDefault="003025A4">
            <w:pPr>
              <w:jc w:val="center"/>
              <w:rPr>
                <w:rFonts w:ascii="Palatino Linotype" w:hAnsi="Palatino Linotype" w:cs="Arial"/>
                <w:b/>
                <w:lang w:val="es-ES_tradnl"/>
              </w:rPr>
            </w:pPr>
          </w:p>
          <w:p w:rsidR="00232DB1" w:rsidRDefault="00274F0D">
            <w:pPr>
              <w:jc w:val="center"/>
              <w:rPr>
                <w:rFonts w:ascii="Palatino Linotype" w:hAnsi="Palatino Linotype" w:cs="Arial"/>
                <w:b/>
                <w:lang w:val="es-ES_tradnl"/>
              </w:rPr>
            </w:pPr>
            <w:r>
              <w:rPr>
                <w:rFonts w:ascii="Palatino Linotype" w:hAnsi="Palatino Linotype" w:cs="Arial"/>
                <w:b/>
                <w:lang w:val="es-ES_tradnl"/>
              </w:rPr>
              <w:t>Javier Martínez Cruz</w:t>
            </w:r>
          </w:p>
          <w:p w:rsidR="00232DB1" w:rsidRDefault="00274F0D">
            <w:pPr>
              <w:jc w:val="center"/>
              <w:rPr>
                <w:rFonts w:ascii="Palatino Linotype" w:hAnsi="Palatino Linotype" w:cs="Arial"/>
                <w:lang w:val="es-ES_tradnl"/>
              </w:rPr>
            </w:pPr>
            <w:r>
              <w:rPr>
                <w:rFonts w:ascii="Palatino Linotype" w:hAnsi="Palatino Linotype" w:cs="Arial"/>
                <w:lang w:val="es-ES_tradnl"/>
              </w:rPr>
              <w:t>Comisionado</w:t>
            </w:r>
          </w:p>
          <w:p w:rsidR="00232DB1" w:rsidRDefault="00274F0D">
            <w:pPr>
              <w:jc w:val="center"/>
              <w:rPr>
                <w:rFonts w:ascii="Palatino Linotype" w:hAnsi="Palatino Linotype" w:cs="Arial"/>
                <w:lang w:val="es-ES_tradnl"/>
              </w:rPr>
            </w:pPr>
            <w:r>
              <w:rPr>
                <w:rFonts w:ascii="Palatino Linotype" w:hAnsi="Palatino Linotype" w:cs="Arial"/>
                <w:b/>
                <w:lang w:val="es-ES_tradnl"/>
              </w:rPr>
              <w:t>(RÚBRICA)</w:t>
            </w:r>
          </w:p>
        </w:tc>
        <w:tc>
          <w:tcPr>
            <w:tcW w:w="4457" w:type="dxa"/>
            <w:shd w:val="clear" w:color="auto" w:fill="auto"/>
          </w:tcPr>
          <w:p w:rsidR="00232DB1" w:rsidRDefault="00232DB1">
            <w:pPr>
              <w:jc w:val="center"/>
              <w:rPr>
                <w:rFonts w:ascii="Palatino Linotype" w:hAnsi="Palatino Linotype" w:cs="Arial"/>
                <w:b/>
                <w:lang w:val="es-ES_tradnl"/>
              </w:rPr>
            </w:pPr>
          </w:p>
          <w:p w:rsidR="00232DB1" w:rsidRDefault="00232DB1">
            <w:pPr>
              <w:jc w:val="center"/>
              <w:rPr>
                <w:rFonts w:ascii="Palatino Linotype" w:hAnsi="Palatino Linotype" w:cs="Arial"/>
                <w:b/>
                <w:lang w:val="es-ES_tradnl"/>
              </w:rPr>
            </w:pPr>
          </w:p>
          <w:p w:rsidR="003025A4" w:rsidRDefault="003025A4">
            <w:pPr>
              <w:jc w:val="center"/>
              <w:rPr>
                <w:rFonts w:ascii="Palatino Linotype" w:hAnsi="Palatino Linotype" w:cs="Arial"/>
                <w:b/>
                <w:lang w:val="es-ES_tradnl"/>
              </w:rPr>
            </w:pPr>
          </w:p>
          <w:p w:rsidR="00232DB1" w:rsidRDefault="00274F0D">
            <w:pPr>
              <w:jc w:val="center"/>
              <w:rPr>
                <w:rFonts w:ascii="Palatino Linotype" w:hAnsi="Palatino Linotype" w:cs="Arial"/>
                <w:b/>
                <w:lang w:val="es-ES_tradnl"/>
              </w:rPr>
            </w:pPr>
            <w:r>
              <w:rPr>
                <w:rFonts w:ascii="Palatino Linotype" w:hAnsi="Palatino Linotype" w:cs="Arial"/>
                <w:b/>
                <w:lang w:val="es-ES_tradnl"/>
              </w:rPr>
              <w:t>Luis Gustavo Parra Noriega</w:t>
            </w:r>
          </w:p>
          <w:p w:rsidR="00232DB1" w:rsidRDefault="00274F0D">
            <w:pPr>
              <w:jc w:val="center"/>
              <w:rPr>
                <w:rFonts w:ascii="Palatino Linotype" w:hAnsi="Palatino Linotype" w:cs="Arial"/>
                <w:lang w:val="es-ES_tradnl"/>
              </w:rPr>
            </w:pPr>
            <w:r>
              <w:rPr>
                <w:rFonts w:ascii="Palatino Linotype" w:hAnsi="Palatino Linotype" w:cs="Arial"/>
                <w:lang w:val="es-ES_tradnl"/>
              </w:rPr>
              <w:t>Comisionado</w:t>
            </w:r>
          </w:p>
          <w:p w:rsidR="00232DB1" w:rsidRDefault="00274F0D">
            <w:pPr>
              <w:jc w:val="center"/>
              <w:rPr>
                <w:rFonts w:ascii="Palatino Linotype" w:hAnsi="Palatino Linotype" w:cs="Arial"/>
                <w:b/>
                <w:lang w:val="es-ES_tradnl"/>
              </w:rPr>
            </w:pPr>
            <w:r>
              <w:rPr>
                <w:rFonts w:ascii="Palatino Linotype" w:hAnsi="Palatino Linotype" w:cs="Arial"/>
                <w:b/>
                <w:lang w:val="es-ES_tradnl"/>
              </w:rPr>
              <w:t>(RÚBRICA)</w:t>
            </w:r>
          </w:p>
        </w:tc>
      </w:tr>
      <w:tr w:rsidR="00232DB1">
        <w:trPr>
          <w:jc w:val="center"/>
        </w:trPr>
        <w:tc>
          <w:tcPr>
            <w:tcW w:w="9213" w:type="dxa"/>
            <w:gridSpan w:val="2"/>
            <w:shd w:val="clear" w:color="auto" w:fill="auto"/>
          </w:tcPr>
          <w:p w:rsidR="00232DB1" w:rsidRDefault="00232DB1">
            <w:pPr>
              <w:jc w:val="center"/>
              <w:rPr>
                <w:rFonts w:ascii="Palatino Linotype" w:hAnsi="Palatino Linotype" w:cs="Arial"/>
                <w:b/>
                <w:lang w:val="es-ES_tradnl"/>
              </w:rPr>
            </w:pPr>
          </w:p>
          <w:p w:rsidR="00232DB1" w:rsidRDefault="00232DB1">
            <w:pPr>
              <w:jc w:val="center"/>
              <w:rPr>
                <w:rFonts w:ascii="Palatino Linotype" w:hAnsi="Palatino Linotype" w:cs="Arial"/>
                <w:b/>
                <w:lang w:val="es-ES_tradnl"/>
              </w:rPr>
            </w:pPr>
          </w:p>
          <w:p w:rsidR="003025A4" w:rsidRDefault="003025A4">
            <w:pPr>
              <w:jc w:val="center"/>
              <w:rPr>
                <w:rFonts w:ascii="Palatino Linotype" w:hAnsi="Palatino Linotype" w:cs="Arial"/>
                <w:b/>
                <w:lang w:val="es-ES_tradnl"/>
              </w:rPr>
            </w:pPr>
          </w:p>
          <w:p w:rsidR="003025A4" w:rsidRDefault="003025A4">
            <w:pPr>
              <w:jc w:val="center"/>
              <w:rPr>
                <w:rFonts w:ascii="Palatino Linotype" w:hAnsi="Palatino Linotype" w:cs="Arial"/>
                <w:b/>
                <w:lang w:val="es-ES_tradnl"/>
              </w:rPr>
            </w:pPr>
          </w:p>
          <w:p w:rsidR="003025A4" w:rsidRDefault="003025A4">
            <w:pPr>
              <w:jc w:val="center"/>
              <w:rPr>
                <w:rFonts w:ascii="Palatino Linotype" w:hAnsi="Palatino Linotype" w:cs="Arial"/>
                <w:b/>
                <w:lang w:val="es-ES_tradnl"/>
              </w:rPr>
            </w:pPr>
          </w:p>
          <w:p w:rsidR="00232DB1" w:rsidRDefault="00274F0D">
            <w:pPr>
              <w:jc w:val="center"/>
              <w:rPr>
                <w:rFonts w:ascii="Palatino Linotype" w:hAnsi="Palatino Linotype" w:cs="Arial"/>
                <w:b/>
                <w:lang w:val="es-ES_tradnl"/>
              </w:rPr>
            </w:pPr>
            <w:r>
              <w:rPr>
                <w:rFonts w:ascii="Palatino Linotype" w:hAnsi="Palatino Linotype" w:cs="Arial"/>
                <w:b/>
                <w:lang w:val="es-ES_tradnl"/>
              </w:rPr>
              <w:t>Alexis Tapia Ramírez</w:t>
            </w:r>
          </w:p>
          <w:p w:rsidR="00232DB1" w:rsidRDefault="00274F0D">
            <w:pPr>
              <w:jc w:val="center"/>
              <w:rPr>
                <w:rFonts w:ascii="Palatino Linotype" w:hAnsi="Palatino Linotype" w:cs="Arial"/>
                <w:lang w:val="es-ES_tradnl"/>
              </w:rPr>
            </w:pPr>
            <w:r>
              <w:rPr>
                <w:rFonts w:ascii="Palatino Linotype" w:hAnsi="Palatino Linotype" w:cs="Arial"/>
                <w:lang w:val="es-ES_tradnl"/>
              </w:rPr>
              <w:t>Secretario Técnico del Pleno</w:t>
            </w:r>
          </w:p>
          <w:p w:rsidR="00232DB1" w:rsidRDefault="00274F0D" w:rsidP="003025A4">
            <w:pPr>
              <w:jc w:val="center"/>
              <w:rPr>
                <w:rFonts w:ascii="Palatino Linotype" w:hAnsi="Palatino Linotype" w:cs="Arial"/>
                <w:lang w:val="es-ES_tradnl"/>
              </w:rPr>
            </w:pPr>
            <w:r>
              <w:rPr>
                <w:rFonts w:ascii="Palatino Linotype" w:hAnsi="Palatino Linotype" w:cs="Arial"/>
                <w:b/>
                <w:lang w:val="es-ES_tradnl"/>
              </w:rPr>
              <w:t>(RÚBRICA)</w:t>
            </w:r>
          </w:p>
        </w:tc>
      </w:tr>
    </w:tbl>
    <w:p w:rsidR="003025A4" w:rsidRDefault="003025A4">
      <w:pPr>
        <w:jc w:val="both"/>
        <w:rPr>
          <w:rFonts w:ascii="Palatino Linotype" w:hAnsi="Palatino Linotype" w:cs="Arial"/>
          <w:sz w:val="22"/>
          <w:szCs w:val="22"/>
          <w:lang w:val="es-ES"/>
        </w:rPr>
      </w:pPr>
    </w:p>
    <w:p w:rsidR="00232DB1" w:rsidRDefault="00274F0D">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doce de agosto de dos mil veinte, emitida en los recursos de revisión números 01232/INFOEM/IP/RR/2020 y acumulados. </w:t>
      </w:r>
    </w:p>
    <w:p w:rsidR="00232DB1" w:rsidRDefault="00274F0D">
      <w:pPr>
        <w:spacing w:line="360" w:lineRule="auto"/>
        <w:jc w:val="both"/>
        <w:rPr>
          <w:rFonts w:ascii="Palatino Linotype" w:hAnsi="Palatino Linotype" w:cs="Arial"/>
          <w:sz w:val="22"/>
          <w:szCs w:val="22"/>
          <w:lang w:val="es-ES"/>
        </w:rPr>
      </w:pPr>
      <w:r>
        <w:rPr>
          <w:rFonts w:ascii="Palatino Linotype" w:hAnsi="Palatino Linotype" w:cs="Arial"/>
          <w:sz w:val="22"/>
          <w:szCs w:val="22"/>
          <w:lang w:val="es-ES"/>
        </w:rPr>
        <w:t>YSM/CBO</w:t>
      </w:r>
    </w:p>
    <w:sectPr w:rsidR="00232DB1">
      <w:headerReference w:type="default" r:id="rId18"/>
      <w:footerReference w:type="default" r:id="rId19"/>
      <w:headerReference w:type="first" r:id="rId20"/>
      <w:footerReference w:type="first" r:id="rId21"/>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0E8" w:rsidRDefault="006B60E8">
      <w:r>
        <w:separator/>
      </w:r>
    </w:p>
  </w:endnote>
  <w:endnote w:type="continuationSeparator" w:id="0">
    <w:p w:rsidR="006B60E8" w:rsidRDefault="006B6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DB1" w:rsidRDefault="00274F0D">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A72611">
      <w:rPr>
        <w:rFonts w:ascii="Palatino Linotype" w:hAnsi="Palatino Linotype" w:cs="Arial"/>
        <w:bCs/>
        <w:noProof/>
        <w:sz w:val="22"/>
        <w:szCs w:val="22"/>
      </w:rPr>
      <w:t>8</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A72611">
      <w:rPr>
        <w:rFonts w:ascii="Palatino Linotype" w:hAnsi="Palatino Linotype" w:cs="Arial"/>
        <w:bCs/>
        <w:noProof/>
        <w:sz w:val="22"/>
        <w:szCs w:val="22"/>
      </w:rPr>
      <w:t>33</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DB1" w:rsidRDefault="00274F0D">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A72611">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A72611">
      <w:rPr>
        <w:rFonts w:ascii="Palatino Linotype" w:hAnsi="Palatino Linotype" w:cs="Arial"/>
        <w:bCs/>
        <w:noProof/>
        <w:sz w:val="22"/>
        <w:szCs w:val="22"/>
      </w:rPr>
      <w:t>33</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0E8" w:rsidRDefault="006B60E8">
      <w:pPr>
        <w:rPr>
          <w:sz w:val="12"/>
        </w:rPr>
      </w:pPr>
      <w:r>
        <w:separator/>
      </w:r>
    </w:p>
  </w:footnote>
  <w:footnote w:type="continuationSeparator" w:id="0">
    <w:p w:rsidR="006B60E8" w:rsidRDefault="006B60E8">
      <w:pPr>
        <w:rPr>
          <w:sz w:val="12"/>
        </w:rPr>
      </w:pPr>
      <w:r>
        <w:continuationSeparator/>
      </w:r>
    </w:p>
  </w:footnote>
  <w:footnote w:id="1">
    <w:p w:rsidR="00232DB1" w:rsidRDefault="00274F0D">
      <w:pPr>
        <w:pStyle w:val="Textonotapie"/>
        <w:jc w:val="both"/>
      </w:pPr>
      <w:r>
        <w:rPr>
          <w:rStyle w:val="FootnoteCharacters"/>
        </w:rPr>
        <w:footnoteRef/>
      </w:r>
      <w:r>
        <w:t xml:space="preserve"> </w:t>
      </w:r>
      <w:r>
        <w:rPr>
          <w:rFonts w:ascii="Palatino Linotype" w:hAnsi="Palatino Linotype"/>
        </w:rPr>
        <w:t xml:space="preserve">De conformidad con la información publicada por </w:t>
      </w:r>
      <w:r>
        <w:rPr>
          <w:rFonts w:ascii="Palatino Linotype" w:hAnsi="Palatino Linotype"/>
          <w:b/>
        </w:rPr>
        <w:t>EL SUJETO OBLIGADO</w:t>
      </w:r>
      <w:r>
        <w:rPr>
          <w:rFonts w:ascii="Palatino Linotype" w:hAnsi="Palatino Linotype"/>
        </w:rPr>
        <w:t xml:space="preserve"> en el Portal de Información Pública de Oficio Mexiquense (IPOMEX), ubicable en la siguiente liga electrónica: https://www.ipomex.org.mx/ipo3/lgt/indice/OCOYOAC/art_92_vii.web</w:t>
      </w:r>
    </w:p>
  </w:footnote>
  <w:footnote w:id="2">
    <w:p w:rsidR="00232DB1" w:rsidRDefault="00274F0D">
      <w:pPr>
        <w:pStyle w:val="Textonotapie"/>
        <w:jc w:val="both"/>
        <w:rPr>
          <w:rFonts w:ascii="Palatino Linotype" w:hAnsi="Palatino Linotype"/>
        </w:rPr>
      </w:pPr>
      <w:r>
        <w:rPr>
          <w:rStyle w:val="FootnoteCharacters"/>
        </w:rPr>
        <w:footnoteRef/>
      </w:r>
      <w:r>
        <w:t xml:space="preserve"> </w:t>
      </w:r>
      <w:r>
        <w:rPr>
          <w:rFonts w:ascii="Palatino Linotype" w:hAnsi="Palatino Linotype"/>
        </w:rPr>
        <w:t>Denominación obtenida del artículo 57 del Bando Municipal 2020 de Ocoyoacac.</w:t>
      </w:r>
    </w:p>
  </w:footnote>
  <w:footnote w:id="3">
    <w:p w:rsidR="00232DB1" w:rsidRDefault="00274F0D">
      <w:pPr>
        <w:pStyle w:val="Textonotapie"/>
        <w:jc w:val="both"/>
      </w:pPr>
      <w:r>
        <w:rPr>
          <w:rStyle w:val="FootnoteCharacters"/>
        </w:rPr>
        <w:footnoteRef/>
      </w:r>
      <w:r>
        <w:t xml:space="preserve"> </w:t>
      </w:r>
      <w:r>
        <w:rPr>
          <w:rFonts w:ascii="Palatino Linotype" w:hAnsi="Palatino Linotype"/>
        </w:rPr>
        <w:t>Lo anterior, con fundamento en los artículos 13 y 181, cuarto párrafo de la Ley de Transparencia y Acceso a la Información Pública del Estado de México y Municipios.</w:t>
      </w:r>
    </w:p>
  </w:footnote>
  <w:footnote w:id="4">
    <w:p w:rsidR="00232DB1" w:rsidRDefault="00274F0D">
      <w:pPr>
        <w:pStyle w:val="Textonotapie"/>
        <w:jc w:val="both"/>
        <w:rPr>
          <w:rFonts w:ascii="Palatino Linotype" w:hAnsi="Palatino Linotype"/>
        </w:rPr>
      </w:pPr>
      <w:r>
        <w:rPr>
          <w:rStyle w:val="FootnoteCharacters"/>
        </w:rPr>
        <w:footnoteRef/>
      </w:r>
      <w:r>
        <w:t xml:space="preserve"> </w:t>
      </w:r>
      <w:r>
        <w:rPr>
          <w:rFonts w:ascii="Palatino Linotype" w:hAnsi="Palatino Linotype"/>
        </w:rPr>
        <w:t>Ubicable en la siguiente liga electrónica:</w:t>
      </w:r>
    </w:p>
    <w:p w:rsidR="00232DB1" w:rsidRDefault="006B60E8">
      <w:pPr>
        <w:pStyle w:val="Textonotapie"/>
        <w:jc w:val="both"/>
      </w:pPr>
      <w:hyperlink r:id="rId1">
        <w:r w:rsidR="00274F0D">
          <w:rPr>
            <w:rStyle w:val="Hipervnculo"/>
          </w:rPr>
          <w:t>https://www.ipomex.org.mx/ipo3/lgt/indice/OCOYOAC/organigramas.web</w:t>
        </w:r>
      </w:hyperlink>
    </w:p>
  </w:footnote>
  <w:footnote w:id="5">
    <w:p w:rsidR="00232DB1" w:rsidRDefault="00274F0D">
      <w:pPr>
        <w:pStyle w:val="Textonotapie"/>
        <w:jc w:val="both"/>
        <w:rPr>
          <w:rFonts w:ascii="Palatino Linotype" w:hAnsi="Palatino Linotype"/>
        </w:rPr>
      </w:pPr>
      <w:r>
        <w:rPr>
          <w:rStyle w:val="FootnoteCharacters"/>
        </w:rPr>
        <w:footnoteRef/>
      </w:r>
      <w:r>
        <w:t xml:space="preserve"> </w:t>
      </w:r>
      <w:r>
        <w:rPr>
          <w:rFonts w:ascii="Palatino Linotype" w:hAnsi="Palatino Linotype"/>
        </w:rPr>
        <w:t>Ubicable en la siguiente liga electrónica:</w:t>
      </w:r>
    </w:p>
    <w:p w:rsidR="00232DB1" w:rsidRDefault="00274F0D">
      <w:pPr>
        <w:pStyle w:val="Textonotapie"/>
        <w:jc w:val="both"/>
        <w:rPr>
          <w:rFonts w:ascii="Palatino Linotype" w:hAnsi="Palatino Linotype"/>
        </w:rPr>
      </w:pPr>
      <w:r>
        <w:rPr>
          <w:rFonts w:ascii="Palatino Linotype" w:hAnsi="Palatino Linotype"/>
        </w:rPr>
        <w:t xml:space="preserve"> </w:t>
      </w:r>
      <w:hyperlink r:id="rId2">
        <w:r>
          <w:rPr>
            <w:rStyle w:val="Hipervnculo"/>
            <w:rFonts w:ascii="Palatino Linotype" w:hAnsi="Palatino Linotype"/>
          </w:rPr>
          <w:t>https://www.ipomex.org.mx/ipo3/lgt/indice/OCOYOAC/art_92_ii_b.web</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DB1" w:rsidRDefault="00274F0D">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mc:AlternateContent>
        <mc:Choice Requires="wps">
          <w:drawing>
            <wp:anchor distT="0" distB="0" distL="0" distR="0" simplePos="0" relativeHeight="31" behindDoc="1" locked="0" layoutInCell="1" allowOverlap="1">
              <wp:simplePos x="0" y="0"/>
              <wp:positionH relativeFrom="column">
                <wp:align>center</wp:align>
              </wp:positionH>
              <wp:positionV relativeFrom="margin">
                <wp:align>center</wp:align>
              </wp:positionV>
              <wp:extent cx="6858635" cy="9144635"/>
              <wp:effectExtent l="0" t="0" r="0" b="0"/>
              <wp:wrapNone/>
              <wp:docPr id="11" name="WordPictureWatermark2095932798"/>
              <wp:cNvGraphicFramePr/>
              <a:graphic xmlns:a="http://schemas.openxmlformats.org/drawingml/2006/main">
                <a:graphicData uri="http://schemas.openxmlformats.org/drawingml/2006/picture">
                  <pic:pic xmlns:pic="http://schemas.openxmlformats.org/drawingml/2006/picture">
                    <pic:nvPicPr>
                      <pic:cNvPr id="1" name="WordPictureWatermark2095932798"/>
                      <pic:cNvPicPr/>
                    </pic:nvPicPr>
                    <pic:blipFill>
                      <a:blip r:embed="rId1"/>
                      <a:stretch/>
                    </pic:blipFill>
                    <pic:spPr>
                      <a:xfrm>
                        <a:off x="0" y="0"/>
                        <a:ext cx="6858000" cy="9144000"/>
                      </a:xfrm>
                      <a:prstGeom prst="rect">
                        <a:avLst/>
                      </a:prstGeom>
                      <a:ln>
                        <a:noFill/>
                      </a:ln>
                    </pic:spPr>
                  </pic:pic>
                </a:graphicData>
              </a:graphic>
            </wp:anchor>
          </w:drawing>
        </mc:Choice>
        <mc:Fallback>
          <w:pict>
            <v:shape id="WordPictureWatermark2095932798" o:spid="shape_0" stroked="f" style="position:absolute;margin-left:-42pt;margin-top:-67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9534" w:type="dxa"/>
      <w:tblInd w:w="-142" w:type="dxa"/>
      <w:tblLook w:val="04A0" w:firstRow="1" w:lastRow="0" w:firstColumn="1" w:lastColumn="0" w:noHBand="0" w:noVBand="1"/>
    </w:tblPr>
    <w:tblGrid>
      <w:gridCol w:w="3260"/>
      <w:gridCol w:w="2551"/>
      <w:gridCol w:w="3723"/>
    </w:tblGrid>
    <w:tr w:rsidR="00232DB1">
      <w:tc>
        <w:tcPr>
          <w:tcW w:w="3260" w:type="dxa"/>
          <w:vMerge w:val="restart"/>
        </w:tcPr>
        <w:p w:rsidR="00232DB1" w:rsidRDefault="00274F0D">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232DB1" w:rsidRDefault="00274F0D">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3" w:type="dxa"/>
          <w:shd w:val="clear" w:color="auto" w:fill="auto"/>
          <w:vAlign w:val="center"/>
        </w:tcPr>
        <w:p w:rsidR="00232DB1" w:rsidRDefault="00274F0D">
          <w:pPr>
            <w:jc w:val="both"/>
            <w:rPr>
              <w:rFonts w:ascii="Palatino Linotype" w:hAnsi="Palatino Linotype"/>
              <w:b/>
              <w:sz w:val="22"/>
              <w:szCs w:val="22"/>
              <w:lang w:val="es-ES_tradnl"/>
            </w:rPr>
          </w:pPr>
          <w:r>
            <w:rPr>
              <w:rFonts w:ascii="Palatino Linotype" w:hAnsi="Palatino Linotype"/>
              <w:b/>
              <w:sz w:val="22"/>
              <w:szCs w:val="22"/>
              <w:lang w:val="es-ES_tradnl"/>
            </w:rPr>
            <w:t>01232/INFOEM/IP/RR/2020 y acumulados</w:t>
          </w:r>
        </w:p>
      </w:tc>
    </w:tr>
    <w:tr w:rsidR="00232DB1">
      <w:tc>
        <w:tcPr>
          <w:tcW w:w="3260" w:type="dxa"/>
          <w:vMerge/>
        </w:tcPr>
        <w:p w:rsidR="00232DB1" w:rsidRDefault="00232DB1">
          <w:pPr>
            <w:rPr>
              <w:rFonts w:ascii="Palatino Linotype" w:hAnsi="Palatino Linotype"/>
              <w:b/>
              <w:sz w:val="22"/>
              <w:szCs w:val="22"/>
              <w:lang w:val="es-ES_tradnl"/>
            </w:rPr>
          </w:pPr>
        </w:p>
      </w:tc>
      <w:tc>
        <w:tcPr>
          <w:tcW w:w="2551" w:type="dxa"/>
          <w:shd w:val="clear" w:color="auto" w:fill="auto"/>
        </w:tcPr>
        <w:p w:rsidR="00232DB1" w:rsidRDefault="00274F0D">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3" w:type="dxa"/>
          <w:shd w:val="clear" w:color="auto" w:fill="auto"/>
          <w:vAlign w:val="center"/>
        </w:tcPr>
        <w:p w:rsidR="00232DB1" w:rsidRDefault="00274F0D">
          <w:pPr>
            <w:jc w:val="both"/>
            <w:rPr>
              <w:rFonts w:ascii="Palatino Linotype" w:hAnsi="Palatino Linotype"/>
              <w:b/>
              <w:sz w:val="22"/>
              <w:szCs w:val="22"/>
            </w:rPr>
          </w:pPr>
          <w:r>
            <w:rPr>
              <w:rFonts w:ascii="Palatino Linotype" w:hAnsi="Palatino Linotype"/>
              <w:b/>
              <w:bCs/>
              <w:sz w:val="22"/>
              <w:szCs w:val="22"/>
            </w:rPr>
            <w:t>Ayuntamiento de Ocoyoacac</w:t>
          </w:r>
        </w:p>
      </w:tc>
    </w:tr>
    <w:tr w:rsidR="00232DB1">
      <w:trPr>
        <w:trHeight w:val="228"/>
      </w:trPr>
      <w:tc>
        <w:tcPr>
          <w:tcW w:w="3260" w:type="dxa"/>
          <w:vMerge/>
        </w:tcPr>
        <w:p w:rsidR="00232DB1" w:rsidRDefault="00232DB1">
          <w:pPr>
            <w:rPr>
              <w:rFonts w:ascii="Palatino Linotype" w:hAnsi="Palatino Linotype"/>
              <w:b/>
              <w:sz w:val="22"/>
              <w:szCs w:val="22"/>
              <w:lang w:val="es-ES_tradnl"/>
            </w:rPr>
          </w:pPr>
        </w:p>
      </w:tc>
      <w:tc>
        <w:tcPr>
          <w:tcW w:w="2551" w:type="dxa"/>
          <w:shd w:val="clear" w:color="auto" w:fill="auto"/>
        </w:tcPr>
        <w:p w:rsidR="00232DB1" w:rsidRDefault="00274F0D">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3" w:type="dxa"/>
          <w:shd w:val="clear" w:color="auto" w:fill="auto"/>
        </w:tcPr>
        <w:p w:rsidR="00232DB1" w:rsidRDefault="00274F0D">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232DB1" w:rsidRDefault="00232DB1">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DB1" w:rsidRDefault="00274F0D">
    <w:pPr>
      <w:rPr>
        <w:rFonts w:ascii="Palatino Linotype" w:hAnsi="Palatino Linotype"/>
        <w:sz w:val="28"/>
        <w:szCs w:val="28"/>
      </w:rPr>
    </w:pPr>
    <w:r>
      <w:rPr>
        <w:rFonts w:ascii="Palatino Linotype" w:hAnsi="Palatino Linotype"/>
        <w:noProof/>
        <w:sz w:val="28"/>
        <w:szCs w:val="28"/>
        <w:lang w:eastAsia="es-MX"/>
      </w:rPr>
      <mc:AlternateContent>
        <mc:Choice Requires="wps">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13" name="WordPictureWatermark2095932796"/>
              <wp:cNvGraphicFramePr/>
              <a:graphic xmlns:a="http://schemas.openxmlformats.org/drawingml/2006/main">
                <a:graphicData uri="http://schemas.openxmlformats.org/drawingml/2006/picture">
                  <pic:pic xmlns:pic="http://schemas.openxmlformats.org/drawingml/2006/picture">
                    <pic:nvPicPr>
                      <pic:cNvPr id="2" name="WordPictureWatermark2095932796"/>
                      <pic:cNvPicPr/>
                    </pic:nvPicPr>
                    <pic:blipFill>
                      <a:blip r:embed="rId1"/>
                      <a:stretch/>
                    </pic:blipFill>
                    <pic:spPr>
                      <a:xfrm>
                        <a:off x="0" y="0"/>
                        <a:ext cx="6858000" cy="9144000"/>
                      </a:xfrm>
                      <a:prstGeom prst="rect">
                        <a:avLst/>
                      </a:prstGeom>
                      <a:ln>
                        <a:noFill/>
                      </a:ln>
                    </pic:spPr>
                  </pic:pic>
                </a:graphicData>
              </a:graphic>
            </wp:anchor>
          </w:drawing>
        </mc:Choice>
        <mc:Fallback>
          <w:pict>
            <v:shape id="WordPictureWatermark2095932796" o:spid="shape_0" stroked="f" style="position:absolute;margin-left:-42pt;margin-top:-67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10490" w:type="dxa"/>
      <w:tblInd w:w="-1276" w:type="dxa"/>
      <w:tblLook w:val="04A0" w:firstRow="1" w:lastRow="0" w:firstColumn="1" w:lastColumn="0" w:noHBand="0" w:noVBand="1"/>
    </w:tblPr>
    <w:tblGrid>
      <w:gridCol w:w="4252"/>
      <w:gridCol w:w="2552"/>
      <w:gridCol w:w="3686"/>
    </w:tblGrid>
    <w:tr w:rsidR="00232DB1">
      <w:tc>
        <w:tcPr>
          <w:tcW w:w="4252" w:type="dxa"/>
          <w:vMerge w:val="restart"/>
          <w:shd w:val="clear" w:color="auto" w:fill="auto"/>
        </w:tcPr>
        <w:p w:rsidR="00232DB1" w:rsidRDefault="00274F0D">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9"/>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232DB1" w:rsidRDefault="00274F0D">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6" w:type="dxa"/>
          <w:shd w:val="clear" w:color="auto" w:fill="auto"/>
          <w:vAlign w:val="center"/>
        </w:tcPr>
        <w:p w:rsidR="00232DB1" w:rsidRDefault="00274F0D">
          <w:pPr>
            <w:jc w:val="both"/>
            <w:rPr>
              <w:rFonts w:ascii="Palatino Linotype" w:hAnsi="Palatino Linotype"/>
              <w:b/>
              <w:sz w:val="22"/>
              <w:szCs w:val="22"/>
              <w:lang w:val="es-ES_tradnl"/>
            </w:rPr>
          </w:pPr>
          <w:r>
            <w:rPr>
              <w:rFonts w:ascii="Palatino Linotype" w:hAnsi="Palatino Linotype"/>
              <w:b/>
              <w:sz w:val="22"/>
              <w:szCs w:val="22"/>
              <w:lang w:val="es-ES_tradnl"/>
            </w:rPr>
            <w:t>01232/INFOEM/IP/RR/2020 y acumulados</w:t>
          </w:r>
        </w:p>
      </w:tc>
    </w:tr>
    <w:tr w:rsidR="00232DB1">
      <w:tc>
        <w:tcPr>
          <w:tcW w:w="4252" w:type="dxa"/>
          <w:vMerge/>
          <w:shd w:val="clear" w:color="auto" w:fill="auto"/>
        </w:tcPr>
        <w:p w:rsidR="00232DB1" w:rsidRDefault="00232DB1">
          <w:pPr>
            <w:rPr>
              <w:rFonts w:ascii="Palatino Linotype" w:hAnsi="Palatino Linotype"/>
              <w:b/>
              <w:sz w:val="22"/>
              <w:szCs w:val="22"/>
              <w:lang w:val="es-ES_tradnl"/>
            </w:rPr>
          </w:pPr>
        </w:p>
      </w:tc>
      <w:tc>
        <w:tcPr>
          <w:tcW w:w="2552" w:type="dxa"/>
          <w:shd w:val="clear" w:color="auto" w:fill="auto"/>
        </w:tcPr>
        <w:p w:rsidR="00232DB1" w:rsidRDefault="00274F0D">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6" w:type="dxa"/>
          <w:shd w:val="clear" w:color="auto" w:fill="auto"/>
          <w:vAlign w:val="center"/>
        </w:tcPr>
        <w:p w:rsidR="00232DB1" w:rsidRDefault="00A72611">
          <w:pPr>
            <w:jc w:val="both"/>
            <w:rPr>
              <w:rFonts w:ascii="Palatino Linotype" w:hAnsi="Palatino Linotype"/>
              <w:b/>
              <w:sz w:val="22"/>
              <w:szCs w:val="22"/>
              <w:lang w:val="es-ES_tradnl"/>
            </w:rPr>
          </w:pPr>
          <w:r w:rsidRPr="00A72611">
            <w:rPr>
              <w:rFonts w:ascii="Palatino Linotype" w:hAnsi="Palatino Linotype"/>
              <w:b/>
              <w:sz w:val="22"/>
              <w:szCs w:val="22"/>
              <w:lang w:val="es-ES_tradnl"/>
            </w:rPr>
            <w:t>XXXXX XXXXXX XX</w:t>
          </w:r>
          <w:r w:rsidR="00274F0D">
            <w:rPr>
              <w:rFonts w:ascii="Palatino Linotype" w:hAnsi="Palatino Linotype"/>
              <w:b/>
              <w:sz w:val="22"/>
              <w:szCs w:val="22"/>
              <w:lang w:val="es-ES_tradnl"/>
            </w:rPr>
            <w:t>.</w:t>
          </w:r>
        </w:p>
      </w:tc>
    </w:tr>
    <w:tr w:rsidR="00232DB1">
      <w:trPr>
        <w:trHeight w:val="228"/>
      </w:trPr>
      <w:tc>
        <w:tcPr>
          <w:tcW w:w="4252" w:type="dxa"/>
          <w:vMerge/>
          <w:shd w:val="clear" w:color="auto" w:fill="auto"/>
        </w:tcPr>
        <w:p w:rsidR="00232DB1" w:rsidRDefault="00232DB1">
          <w:pPr>
            <w:rPr>
              <w:rFonts w:ascii="Palatino Linotype" w:hAnsi="Palatino Linotype"/>
              <w:b/>
              <w:sz w:val="22"/>
              <w:szCs w:val="22"/>
              <w:lang w:val="es-ES_tradnl"/>
            </w:rPr>
          </w:pPr>
        </w:p>
      </w:tc>
      <w:tc>
        <w:tcPr>
          <w:tcW w:w="2552" w:type="dxa"/>
          <w:shd w:val="clear" w:color="auto" w:fill="auto"/>
        </w:tcPr>
        <w:p w:rsidR="00232DB1" w:rsidRDefault="00274F0D">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6" w:type="dxa"/>
          <w:shd w:val="clear" w:color="auto" w:fill="auto"/>
          <w:vAlign w:val="center"/>
        </w:tcPr>
        <w:p w:rsidR="00232DB1" w:rsidRDefault="00274F0D">
          <w:pPr>
            <w:jc w:val="both"/>
            <w:rPr>
              <w:rFonts w:ascii="Palatino Linotype" w:hAnsi="Palatino Linotype"/>
              <w:b/>
              <w:sz w:val="22"/>
              <w:szCs w:val="22"/>
            </w:rPr>
          </w:pPr>
          <w:r>
            <w:rPr>
              <w:rFonts w:ascii="Palatino Linotype" w:hAnsi="Palatino Linotype"/>
              <w:b/>
              <w:bCs/>
              <w:sz w:val="22"/>
              <w:szCs w:val="22"/>
            </w:rPr>
            <w:t>Ayuntamiento de Ocoyoacac</w:t>
          </w:r>
        </w:p>
      </w:tc>
    </w:tr>
    <w:tr w:rsidR="00232DB1">
      <w:tc>
        <w:tcPr>
          <w:tcW w:w="4252" w:type="dxa"/>
          <w:vMerge/>
          <w:shd w:val="clear" w:color="auto" w:fill="auto"/>
        </w:tcPr>
        <w:p w:rsidR="00232DB1" w:rsidRDefault="00232DB1">
          <w:pPr>
            <w:rPr>
              <w:rFonts w:ascii="Palatino Linotype" w:hAnsi="Palatino Linotype"/>
              <w:b/>
              <w:sz w:val="22"/>
              <w:szCs w:val="22"/>
              <w:lang w:val="es-ES_tradnl"/>
            </w:rPr>
          </w:pPr>
        </w:p>
      </w:tc>
      <w:tc>
        <w:tcPr>
          <w:tcW w:w="2552" w:type="dxa"/>
          <w:shd w:val="clear" w:color="auto" w:fill="auto"/>
        </w:tcPr>
        <w:p w:rsidR="00232DB1" w:rsidRDefault="00274F0D">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6" w:type="dxa"/>
          <w:shd w:val="clear" w:color="auto" w:fill="auto"/>
        </w:tcPr>
        <w:p w:rsidR="00232DB1" w:rsidRDefault="00274F0D">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232DB1" w:rsidRDefault="00232DB1">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D70B03"/>
    <w:multiLevelType w:val="multilevel"/>
    <w:tmpl w:val="59D81D56"/>
    <w:lvl w:ilvl="0">
      <w:start w:val="4"/>
      <w:numFmt w:val="bullet"/>
      <w:lvlText w:val=""/>
      <w:lvlJc w:val="left"/>
      <w:pPr>
        <w:ind w:left="720" w:hanging="360"/>
      </w:pPr>
      <w:rPr>
        <w:rFonts w:ascii="Symbol"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5A220357"/>
    <w:multiLevelType w:val="multilevel"/>
    <w:tmpl w:val="E22AFCD4"/>
    <w:lvl w:ilvl="0">
      <w:start w:val="1"/>
      <w:numFmt w:val="ordinalText"/>
      <w:lvlText w:val="%1."/>
      <w:lvlJc w:val="left"/>
      <w:pPr>
        <w:ind w:left="720" w:hanging="360"/>
      </w:pPr>
      <w:rPr>
        <w:rFonts w:hint="default"/>
        <w:b/>
        <w:caps/>
        <w:smallCaps w:val="0"/>
        <w:strike w:val="0"/>
        <w:dstrike w:val="0"/>
        <w:outline w:val="0"/>
        <w:emboss w:val="0"/>
        <w:imprint w:val="0"/>
        <w:spacing w:val="0"/>
        <w:w w:val="100"/>
        <w:kern w:val="0"/>
        <w:position w:val="0"/>
        <w:sz w:val="28"/>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sz w:val="24"/>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sz w:val="24"/>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sz w:val="24"/>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sz w:val="24"/>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sz w:val="24"/>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sz w:val="24"/>
        <w:vertAlign w:val="baseline"/>
      </w:rPr>
    </w:lvl>
  </w:abstractNum>
  <w:abstractNum w:abstractNumId="2" w15:restartNumberingAfterBreak="0">
    <w:nsid w:val="5F922FCE"/>
    <w:multiLevelType w:val="multilevel"/>
    <w:tmpl w:val="5568F0A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19C43D9"/>
    <w:multiLevelType w:val="multilevel"/>
    <w:tmpl w:val="4D32FD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39F732D"/>
    <w:multiLevelType w:val="multilevel"/>
    <w:tmpl w:val="188E7EA2"/>
    <w:lvl w:ilvl="0">
      <w:start w:val="1"/>
      <w:numFmt w:val="ordinalText"/>
      <w:lvlText w:val="%1."/>
      <w:lvlJc w:val="left"/>
      <w:pPr>
        <w:ind w:left="720" w:hanging="360"/>
      </w:pPr>
      <w:rPr>
        <w:rFonts w:hint="default"/>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7500E2C"/>
    <w:multiLevelType w:val="multilevel"/>
    <w:tmpl w:val="AD22A0D6"/>
    <w:lvl w:ilvl="0">
      <w:start w:val="1"/>
      <w:numFmt w:val="upperRoman"/>
      <w:lvlText w:val="%1."/>
      <w:lvlJc w:val="left"/>
      <w:pPr>
        <w:ind w:left="720" w:hanging="360"/>
      </w:pPr>
      <w:rPr>
        <w:rFonts w:hint="default"/>
        <w:b/>
        <w:bCs/>
        <w:i w:val="0"/>
        <w:strike w:val="0"/>
        <w:dstrike w:val="0"/>
        <w:color w:val="000000"/>
        <w:sz w:val="28"/>
        <w:szCs w:val="28"/>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4"/>
  </w:num>
  <w:num w:numId="4">
    <w:abstractNumId w:val="3"/>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DB1"/>
    <w:rsid w:val="00232DB1"/>
    <w:rsid w:val="00274F0D"/>
    <w:rsid w:val="003025A4"/>
    <w:rsid w:val="006B60E8"/>
    <w:rsid w:val="00A72611"/>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2B57E7-0F6D-4601-A4C1-345DEECF9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rsid w:val="00FC157F"/>
    <w:pPr>
      <w:ind w:left="566" w:hanging="283"/>
      <w:contextualSpacing/>
    </w:pPr>
    <w:rPr>
      <w:lang w:val="es-ES"/>
    </w:rPr>
  </w:style>
  <w:style w:type="paragraph" w:styleId="Listaconvietas4">
    <w:name w:val="List Bullet 4"/>
    <w:basedOn w:val="Normal"/>
    <w:uiPriority w:val="99"/>
    <w:unhideWhenUsed/>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0.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ipo3/lgt/indice/OCOYOAC/art_92_ii_b.web" TargetMode="External"/><Relationship Id="rId1" Type="http://schemas.openxmlformats.org/officeDocument/2006/relationships/hyperlink" Target="https://www.ipomex.org.mx/ipo3/lgt/indice/OCOYOAC/organigramas.web"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0.jpe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2.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96273-118A-4498-AE79-73FB4F5D1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7557</Words>
  <Characters>41565</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USUARIO INFOEM</cp:lastModifiedBy>
  <cp:revision>2</cp:revision>
  <cp:lastPrinted>2020-01-22T19:55:00Z</cp:lastPrinted>
  <dcterms:created xsi:type="dcterms:W3CDTF">2020-08-27T00:57:00Z</dcterms:created>
  <dcterms:modified xsi:type="dcterms:W3CDTF">2020-08-27T00:57:00Z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