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8279C6">
        <w:rPr>
          <w:rFonts w:ascii="Palatino Linotype" w:hAnsi="Palatino Linotype"/>
          <w:sz w:val="24"/>
          <w:szCs w:val="24"/>
          <w:lang w:eastAsia="es-MX"/>
        </w:rPr>
        <w:t xml:space="preserve">a </w:t>
      </w:r>
      <w:r w:rsidR="00794322">
        <w:rPr>
          <w:rFonts w:ascii="Palatino Linotype" w:hAnsi="Palatino Linotype"/>
          <w:sz w:val="24"/>
          <w:szCs w:val="24"/>
          <w:lang w:eastAsia="es-MX"/>
        </w:rPr>
        <w:t>once de noviembre</w:t>
      </w:r>
      <w:r w:rsidR="008279C6">
        <w:rPr>
          <w:rFonts w:ascii="Palatino Linotype" w:hAnsi="Palatino Linotype"/>
          <w:sz w:val="24"/>
          <w:szCs w:val="24"/>
          <w:lang w:eastAsia="es-MX"/>
        </w:rPr>
        <w:t xml:space="preserve"> </w:t>
      </w:r>
      <w:r w:rsidR="00B54E28">
        <w:rPr>
          <w:rFonts w:ascii="Palatino Linotype" w:hAnsi="Palatino Linotype"/>
          <w:sz w:val="24"/>
          <w:szCs w:val="24"/>
          <w:lang w:eastAsia="es-MX"/>
        </w:rPr>
        <w:t>de dos mil veinte.</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794322">
        <w:rPr>
          <w:rFonts w:ascii="Palatino Linotype" w:hAnsi="Palatino Linotype"/>
          <w:b/>
          <w:bCs/>
          <w:sz w:val="24"/>
          <w:szCs w:val="24"/>
          <w:lang w:eastAsia="es-MX"/>
        </w:rPr>
        <w:t>03515</w:t>
      </w:r>
      <w:r w:rsidR="009D2DC1">
        <w:rPr>
          <w:rFonts w:ascii="Palatino Linotype" w:hAnsi="Palatino Linotype"/>
          <w:b/>
          <w:bCs/>
          <w:sz w:val="24"/>
          <w:szCs w:val="24"/>
          <w:lang w:eastAsia="es-MX"/>
        </w:rPr>
        <w:t>/INFOEM/IP/RR/2020</w:t>
      </w:r>
      <w:r w:rsidR="003C3124">
        <w:rPr>
          <w:rFonts w:ascii="Palatino Linotype" w:hAnsi="Palatino Linotype"/>
          <w:sz w:val="24"/>
          <w:szCs w:val="24"/>
        </w:rPr>
        <w:t>, interpuest</w:t>
      </w:r>
      <w:r w:rsidR="00C85DC7">
        <w:rPr>
          <w:rFonts w:ascii="Palatino Linotype" w:hAnsi="Palatino Linotype"/>
          <w:sz w:val="24"/>
          <w:szCs w:val="24"/>
        </w:rPr>
        <w:t>o por</w:t>
      </w:r>
      <w:r w:rsidR="00A20405">
        <w:rPr>
          <w:rFonts w:ascii="Palatino Linotype" w:hAnsi="Palatino Linotype"/>
          <w:sz w:val="24"/>
          <w:szCs w:val="24"/>
        </w:rPr>
        <w:t xml:space="preserve"> </w:t>
      </w:r>
      <w:r w:rsidR="00794322" w:rsidRPr="00794322">
        <w:rPr>
          <w:rFonts w:ascii="Palatino Linotype" w:hAnsi="Palatino Linotype"/>
          <w:sz w:val="24"/>
          <w:szCs w:val="24"/>
        </w:rPr>
        <w:t>el</w:t>
      </w:r>
      <w:r w:rsidR="00794322">
        <w:rPr>
          <w:rFonts w:ascii="Palatino Linotype" w:hAnsi="Palatino Linotype"/>
          <w:b/>
          <w:sz w:val="24"/>
          <w:szCs w:val="24"/>
        </w:rPr>
        <w:t xml:space="preserve"> C. </w:t>
      </w:r>
      <w:proofErr w:type="spellStart"/>
      <w:r w:rsidR="00F266AB">
        <w:rPr>
          <w:rFonts w:ascii="Palatino Linotype" w:hAnsi="Palatino Linotype"/>
          <w:b/>
          <w:sz w:val="24"/>
          <w:szCs w:val="24"/>
        </w:rPr>
        <w:t>xxxxxxxxxxxxxxxxxxxx</w:t>
      </w:r>
      <w:proofErr w:type="spellEnd"/>
      <w:r w:rsidR="005C464B" w:rsidRPr="005F577C">
        <w:rPr>
          <w:rFonts w:ascii="Palatino Linotype" w:hAnsi="Palatino Linotype"/>
          <w:sz w:val="24"/>
          <w:szCs w:val="24"/>
        </w:rPr>
        <w:t>,</w:t>
      </w:r>
      <w:r w:rsidR="005C464B">
        <w:rPr>
          <w:rFonts w:ascii="Palatino Linotype" w:hAnsi="Palatino Linotype"/>
          <w:sz w:val="24"/>
          <w:szCs w:val="24"/>
        </w:rPr>
        <w:t xml:space="preserve"> </w:t>
      </w:r>
      <w:r w:rsidRPr="00C35F18">
        <w:rPr>
          <w:rFonts w:ascii="Palatino Linotype" w:hAnsi="Palatino Linotype"/>
          <w:sz w:val="24"/>
          <w:szCs w:val="24"/>
        </w:rPr>
        <w:t xml:space="preserve">en lo sucesivo </w:t>
      </w:r>
      <w:r w:rsidR="00A20405">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A20405">
        <w:rPr>
          <w:rFonts w:ascii="Palatino Linotype" w:hAnsi="Palatino Linotype"/>
          <w:sz w:val="24"/>
          <w:szCs w:val="24"/>
        </w:rPr>
        <w:t xml:space="preserve"> </w:t>
      </w:r>
      <w:r w:rsidR="00C85DC7">
        <w:rPr>
          <w:rFonts w:ascii="Palatino Linotype" w:hAnsi="Palatino Linotype"/>
          <w:sz w:val="24"/>
          <w:szCs w:val="24"/>
        </w:rPr>
        <w:t>l</w:t>
      </w:r>
      <w:r w:rsidR="00A20405">
        <w:rPr>
          <w:rFonts w:ascii="Palatino Linotype" w:hAnsi="Palatino Linotype"/>
          <w:sz w:val="24"/>
          <w:szCs w:val="24"/>
        </w:rPr>
        <w:t>a</w:t>
      </w:r>
      <w:r w:rsidR="00661F03">
        <w:rPr>
          <w:rFonts w:ascii="Palatino Linotype" w:hAnsi="Palatino Linotype" w:cs="Arial"/>
          <w:b/>
          <w:sz w:val="24"/>
          <w:szCs w:val="24"/>
        </w:rPr>
        <w:t xml:space="preserve"> </w:t>
      </w:r>
      <w:r w:rsidR="00794322">
        <w:rPr>
          <w:rFonts w:ascii="Palatino Linotype" w:hAnsi="Palatino Linotype" w:cs="Arial"/>
          <w:b/>
          <w:sz w:val="24"/>
          <w:szCs w:val="24"/>
        </w:rPr>
        <w:t>Secretaría de Salud</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5F49E8" w:rsidRDefault="007E2E80" w:rsidP="0014447C">
      <w:pPr>
        <w:pStyle w:val="Sinespaciado"/>
        <w:spacing w:line="360" w:lineRule="auto"/>
        <w:jc w:val="both"/>
        <w:rPr>
          <w:rFonts w:ascii="Palatino Linotype" w:hAnsi="Palatino Linotype"/>
          <w:sz w:val="16"/>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Pr="005F49E8" w:rsidRDefault="00DD5971" w:rsidP="0014447C">
      <w:pPr>
        <w:pStyle w:val="Sinespaciado"/>
        <w:spacing w:line="360" w:lineRule="auto"/>
        <w:jc w:val="both"/>
        <w:rPr>
          <w:rFonts w:ascii="Palatino Linotype" w:hAnsi="Palatino Linotype"/>
          <w:b/>
          <w:sz w:val="16"/>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7C49A1">
        <w:rPr>
          <w:rFonts w:ascii="Palatino Linotype" w:hAnsi="Palatino Linotype"/>
          <w:sz w:val="24"/>
          <w:szCs w:val="24"/>
        </w:rPr>
        <w:t>tres de agosto de dos mil veinte</w:t>
      </w:r>
      <w:r w:rsidR="00A20405">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 xml:space="preserve">Recurrente, presentó </w:t>
      </w:r>
      <w:r w:rsidR="005F577C">
        <w:rPr>
          <w:rFonts w:ascii="Palatino Linotype" w:hAnsi="Palatino Linotype"/>
          <w:sz w:val="24"/>
          <w:szCs w:val="24"/>
        </w:rPr>
        <w:t>solicitud de información</w:t>
      </w:r>
      <w:r w:rsidR="005F577C" w:rsidRPr="00C35F18">
        <w:rPr>
          <w:rFonts w:ascii="Palatino Linotype" w:hAnsi="Palatino Linotype"/>
          <w:sz w:val="24"/>
          <w:szCs w:val="24"/>
        </w:rPr>
        <w:t xml:space="preserve"> </w:t>
      </w:r>
      <w:r w:rsidR="007C49A1">
        <w:rPr>
          <w:rFonts w:ascii="Palatino Linotype" w:hAnsi="Palatino Linotype"/>
          <w:sz w:val="24"/>
          <w:szCs w:val="24"/>
        </w:rPr>
        <w:t>a través d</w:t>
      </w:r>
      <w:r w:rsidR="005F577C">
        <w:rPr>
          <w:rFonts w:ascii="Palatino Linotype" w:hAnsi="Palatino Linotype"/>
          <w:sz w:val="24"/>
          <w:szCs w:val="24"/>
        </w:rPr>
        <w:t>el</w:t>
      </w:r>
      <w:r w:rsidR="00661F03">
        <w:rPr>
          <w:rFonts w:ascii="Palatino Linotype" w:hAnsi="Palatino Linotype"/>
          <w:sz w:val="24"/>
          <w:szCs w:val="24"/>
        </w:rPr>
        <w:t xml:space="preserve"> </w:t>
      </w:r>
      <w:r w:rsidR="00027CD3">
        <w:rPr>
          <w:rFonts w:ascii="Palatino Linotype" w:hAnsi="Palatino Linotype"/>
          <w:sz w:val="24"/>
          <w:szCs w:val="24"/>
        </w:rPr>
        <w:t>Sistema de Acceso a la Información Mexiquense (</w:t>
      </w:r>
      <w:r w:rsidR="00027CD3" w:rsidRPr="006D711D">
        <w:rPr>
          <w:rFonts w:ascii="Palatino Linotype" w:hAnsi="Palatino Linotype"/>
          <w:b/>
          <w:sz w:val="24"/>
          <w:szCs w:val="24"/>
        </w:rPr>
        <w:t>SAIMEX</w:t>
      </w:r>
      <w:r w:rsidR="00027CD3">
        <w:rPr>
          <w:rFonts w:ascii="Palatino Linotype" w:hAnsi="Palatino Linotype"/>
          <w:sz w:val="24"/>
          <w:szCs w:val="24"/>
        </w:rPr>
        <w:t>)</w:t>
      </w:r>
      <w:r w:rsidR="00661F03">
        <w:rPr>
          <w:rFonts w:ascii="Palatino Linotype" w:hAnsi="Palatino Linotype"/>
          <w:sz w:val="24"/>
          <w:szCs w:val="24"/>
        </w:rPr>
        <w:t xml:space="preserve">, </w:t>
      </w:r>
      <w:proofErr w:type="gramStart"/>
      <w:r w:rsidR="007C49A1">
        <w:rPr>
          <w:rFonts w:ascii="Palatino Linotype" w:hAnsi="Palatino Linotype"/>
          <w:sz w:val="24"/>
          <w:szCs w:val="24"/>
        </w:rPr>
        <w:t>registrada</w:t>
      </w:r>
      <w:proofErr w:type="gramEnd"/>
      <w:r w:rsidR="007C49A1">
        <w:rPr>
          <w:rFonts w:ascii="Palatino Linotype" w:hAnsi="Palatino Linotype"/>
          <w:sz w:val="24"/>
          <w:szCs w:val="24"/>
        </w:rPr>
        <w:t xml:space="preserve"> </w:t>
      </w:r>
      <w:r w:rsidRPr="00C35F18">
        <w:rPr>
          <w:rFonts w:ascii="Palatino Linotype" w:hAnsi="Palatino Linotype"/>
          <w:sz w:val="24"/>
          <w:szCs w:val="24"/>
        </w:rPr>
        <w:t>bajo el número de expediente</w:t>
      </w:r>
      <w:r w:rsidR="00C771CB">
        <w:rPr>
          <w:rFonts w:ascii="Palatino Linotype" w:hAnsi="Palatino Linotype"/>
          <w:b/>
          <w:sz w:val="24"/>
          <w:szCs w:val="24"/>
        </w:rPr>
        <w:t xml:space="preserve"> </w:t>
      </w:r>
      <w:r w:rsidR="007C49A1">
        <w:rPr>
          <w:rFonts w:ascii="Palatino Linotype" w:hAnsi="Palatino Linotype"/>
          <w:b/>
          <w:bCs/>
          <w:sz w:val="24"/>
          <w:szCs w:val="24"/>
        </w:rPr>
        <w:t>00277/SSALUD/IP/2020</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5E36A7" w:rsidRDefault="005E36A7" w:rsidP="0047200D">
      <w:pPr>
        <w:pStyle w:val="Sinespaciado"/>
        <w:jc w:val="both"/>
        <w:rPr>
          <w:rFonts w:ascii="Palatino Linotype" w:hAnsi="Palatino Linotype"/>
          <w:sz w:val="24"/>
          <w:szCs w:val="24"/>
        </w:rPr>
      </w:pPr>
    </w:p>
    <w:p w:rsidR="00C35F18" w:rsidRDefault="00027CD3" w:rsidP="0047200D">
      <w:pPr>
        <w:pStyle w:val="Sinespaciado"/>
        <w:ind w:left="567" w:right="567"/>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w:t>
      </w:r>
      <w:r w:rsidR="007C49A1" w:rsidRPr="007C49A1">
        <w:rPr>
          <w:rFonts w:ascii="Palatino Linotype" w:eastAsia="Times New Roman" w:hAnsi="Palatino Linotype" w:cs="Times New Roman"/>
          <w:i/>
          <w:lang w:eastAsia="es-ES"/>
        </w:rPr>
        <w:t xml:space="preserve">Solicito los estudios y sus anexos que ha requerido el municipio de Tlalnepantla de Baz, Estado de México a la COPRISEM, para determinar la mejor opción de tratamiento de residuos y confirmar el tiempo de vida del relleno sanitario de ese municipio. Solicito se envíe en archivo electrónico a través de mi correo registrado </w:t>
      </w:r>
      <w:r w:rsidR="00F266AB">
        <w:rPr>
          <w:rFonts w:ascii="Palatino Linotype" w:eastAsia="Times New Roman" w:hAnsi="Palatino Linotype" w:cs="Times New Roman"/>
          <w:i/>
          <w:lang w:eastAsia="es-ES"/>
        </w:rPr>
        <w:t>xxxxxxxxxxxxxxxxx</w:t>
      </w:r>
      <w:bookmarkStart w:id="0" w:name="_GoBack"/>
      <w:bookmarkEnd w:id="0"/>
      <w:r w:rsidR="007C49A1" w:rsidRPr="007C49A1">
        <w:rPr>
          <w:rFonts w:ascii="Palatino Linotype" w:eastAsia="Times New Roman" w:hAnsi="Palatino Linotype" w:cs="Times New Roman"/>
          <w:i/>
          <w:lang w:eastAsia="es-ES"/>
        </w:rPr>
        <w:t xml:space="preserve"> El municipio solicito cinco estudios y hasta el momento la COPRISEM (Coordinación de Regulación Sanitaria) ha realizado u respondido tres de esos cinco estudios. El área de COPRISEM encargada de esto es Salud Ambiental y ocupación</w:t>
      </w:r>
      <w:r>
        <w:rPr>
          <w:rFonts w:ascii="Palatino Linotype" w:eastAsia="Times New Roman" w:hAnsi="Palatino Linotype" w:cs="Times New Roman"/>
          <w:i/>
          <w:lang w:val="es-ES_tradnl" w:eastAsia="es-ES"/>
        </w:rPr>
        <w:t>” (Sic)</w:t>
      </w:r>
    </w:p>
    <w:p w:rsidR="0047200D" w:rsidRDefault="0047200D" w:rsidP="00027CD3">
      <w:pPr>
        <w:pStyle w:val="Sinespaciado"/>
        <w:spacing w:line="360" w:lineRule="auto"/>
        <w:ind w:left="567"/>
        <w:jc w:val="both"/>
        <w:rPr>
          <w:rFonts w:ascii="Palatino Linotype" w:eastAsia="Times New Roman" w:hAnsi="Palatino Linotype" w:cs="Times New Roman"/>
          <w:i/>
          <w:lang w:val="es-ES_tradnl" w:eastAsia="es-ES"/>
        </w:rPr>
      </w:pPr>
    </w:p>
    <w:p w:rsidR="00516BA8" w:rsidRPr="005F577C" w:rsidRDefault="0047200D" w:rsidP="00516BA8">
      <w:pPr>
        <w:pStyle w:val="Sinespaciado"/>
        <w:spacing w:line="360" w:lineRule="auto"/>
        <w:jc w:val="both"/>
        <w:rPr>
          <w:rFonts w:ascii="Palatino Linotype" w:eastAsia="Times New Roman" w:hAnsi="Palatino Linotype" w:cs="Times New Roman"/>
          <w:b/>
          <w:color w:val="FF0000"/>
          <w:sz w:val="24"/>
          <w:szCs w:val="24"/>
          <w:lang w:val="es-ES_tradnl" w:eastAsia="es-ES"/>
        </w:rPr>
      </w:pPr>
      <w:r>
        <w:rPr>
          <w:rFonts w:ascii="Palatino Linotype" w:eastAsia="Times New Roman" w:hAnsi="Palatino Linotype" w:cs="Times New Roman"/>
          <w:sz w:val="24"/>
          <w:szCs w:val="24"/>
          <w:lang w:val="es-ES_tradnl" w:eastAsia="es-ES"/>
        </w:rPr>
        <w:t xml:space="preserve">Modalidad de entrega: </w:t>
      </w:r>
      <w:r w:rsidRPr="00D83461">
        <w:rPr>
          <w:rFonts w:ascii="Palatino Linotype" w:eastAsia="Times New Roman" w:hAnsi="Palatino Linotype" w:cs="Times New Roman"/>
          <w:b/>
          <w:sz w:val="24"/>
          <w:szCs w:val="24"/>
          <w:lang w:val="es-ES_tradnl" w:eastAsia="es-ES"/>
        </w:rPr>
        <w:t xml:space="preserve">A través del </w:t>
      </w:r>
      <w:r w:rsidRPr="008279C6">
        <w:rPr>
          <w:rFonts w:ascii="Palatino Linotype" w:eastAsia="Times New Roman" w:hAnsi="Palatino Linotype" w:cs="Times New Roman"/>
          <w:b/>
          <w:sz w:val="24"/>
          <w:szCs w:val="24"/>
          <w:lang w:val="es-ES_tradnl" w:eastAsia="es-ES"/>
        </w:rPr>
        <w:t>SAIMEX</w:t>
      </w:r>
    </w:p>
    <w:p w:rsidR="00D83461" w:rsidRPr="00D83461" w:rsidRDefault="00D83461"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lastRenderedPageBreak/>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el Sujeto Obligado </w:t>
      </w:r>
      <w:r w:rsidR="007E2E80" w:rsidRPr="00C35F18">
        <w:rPr>
          <w:rFonts w:ascii="Palatino Linotype" w:hAnsi="Palatino Linotype"/>
          <w:sz w:val="24"/>
        </w:rPr>
        <w:t xml:space="preserve">dio respuesta a la solicitud de información en fecha </w:t>
      </w:r>
      <w:r w:rsidR="007C49A1">
        <w:rPr>
          <w:rFonts w:ascii="Palatino Linotype" w:hAnsi="Palatino Linotype"/>
          <w:sz w:val="24"/>
        </w:rPr>
        <w:t>veinticuatro de agosto</w:t>
      </w:r>
      <w:r w:rsidR="005F577C">
        <w:rPr>
          <w:rFonts w:ascii="Palatino Linotype" w:hAnsi="Palatino Linotype"/>
          <w:sz w:val="24"/>
        </w:rPr>
        <w:t xml:space="preserve"> de dos mil veinte</w:t>
      </w:r>
      <w:r w:rsidR="007E2E80" w:rsidRPr="00C35F18">
        <w:rPr>
          <w:rFonts w:ascii="Palatino Linotype" w:hAnsi="Palatino Linotype"/>
          <w:sz w:val="24"/>
        </w:rPr>
        <w:t xml:space="preserve">,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7C49A1" w:rsidRDefault="008C0E72" w:rsidP="007C49A1">
      <w:pPr>
        <w:pStyle w:val="Sinespaciado"/>
        <w:ind w:left="567" w:right="567"/>
        <w:jc w:val="both"/>
        <w:rPr>
          <w:rFonts w:ascii="Palatino Linotype" w:hAnsi="Palatino Linotype"/>
          <w:i/>
        </w:rPr>
      </w:pPr>
      <w:r>
        <w:rPr>
          <w:rFonts w:ascii="Palatino Linotype" w:hAnsi="Palatino Linotype"/>
          <w:sz w:val="24"/>
        </w:rPr>
        <w:t>“</w:t>
      </w:r>
      <w:r w:rsidR="007C49A1" w:rsidRPr="007C49A1">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C49A1" w:rsidRPr="007C49A1" w:rsidRDefault="007C49A1" w:rsidP="007C49A1">
      <w:pPr>
        <w:pStyle w:val="Sinespaciado"/>
        <w:ind w:left="567" w:right="567"/>
        <w:jc w:val="both"/>
        <w:rPr>
          <w:rFonts w:ascii="Palatino Linotype" w:hAnsi="Palatino Linotype"/>
          <w:i/>
        </w:rPr>
      </w:pPr>
    </w:p>
    <w:p w:rsidR="007C49A1" w:rsidRDefault="007C49A1" w:rsidP="007C49A1">
      <w:pPr>
        <w:pStyle w:val="Sinespaciado"/>
        <w:ind w:left="567" w:right="567"/>
        <w:jc w:val="both"/>
        <w:rPr>
          <w:rFonts w:ascii="Palatino Linotype" w:hAnsi="Palatino Linotype"/>
          <w:i/>
        </w:rPr>
      </w:pPr>
      <w:r w:rsidRPr="007C49A1">
        <w:rPr>
          <w:rFonts w:ascii="Palatino Linotype" w:hAnsi="Palatino Linotype"/>
          <w:i/>
        </w:rPr>
        <w:t>Con fundamento en el artículo 163 y 167 de la Ley de Transparencia y Acceso a la Información Pública del Estado de México y Municipios, que a la letra señala: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Me permito comentar a usted, que a través de la Coordinación de Regulación Sanitaria, perteneciente a la estructura del Instituto de Salud del Estado de México, se ejecutan las acciones que describe en su solicitud, con el apoyo de las Jurisdicciones de Regulación Sanitarias locales. En tal razón y de conformidad con lo expuesto en el Código Administrativo del Estado de México, en su CAPITULO CUARTO Del Instituto de Salud del Estado de México Artículo 2.5., el Instituto de Salud del Estado de México es un organismo público descentralizado, con personalidad jurídica y patrimonio propios, que tiene por objeto la prestación de los servicios de salud en la Entidad, por lo que este sujeto obligado está imposibilitado de dar atención positiva a su petición; respetuosamente sugiero canalizar su solicitud de información al Instituto de Salud del Estado de México, a través de la dirección electrónica: http://salud.edomex.gob.mx/html/, o en modo presencial en el Módulo de Acceso a la Información Pública del ISEM, ubicado en Avenida Independencia Oriente número 1009, Colonia Reforma y Ferrocarriles Nacionales, Toluca Estado de México, C.P. 50070, en días y horas hábiles.</w:t>
      </w:r>
    </w:p>
    <w:p w:rsidR="007C49A1" w:rsidRPr="007C49A1" w:rsidRDefault="007C49A1" w:rsidP="007C49A1">
      <w:pPr>
        <w:pStyle w:val="Sinespaciado"/>
        <w:ind w:left="567" w:right="567"/>
        <w:jc w:val="both"/>
        <w:rPr>
          <w:rFonts w:ascii="Palatino Linotype" w:hAnsi="Palatino Linotype"/>
          <w:i/>
        </w:rPr>
      </w:pPr>
    </w:p>
    <w:p w:rsidR="007C49A1" w:rsidRPr="007C49A1" w:rsidRDefault="007C49A1" w:rsidP="007C49A1">
      <w:pPr>
        <w:pStyle w:val="Sinespaciado"/>
        <w:ind w:left="567" w:right="567"/>
        <w:jc w:val="both"/>
        <w:rPr>
          <w:rFonts w:ascii="Palatino Linotype" w:hAnsi="Palatino Linotype"/>
          <w:i/>
        </w:rPr>
      </w:pPr>
      <w:r w:rsidRPr="007C49A1">
        <w:rPr>
          <w:rFonts w:ascii="Palatino Linotype" w:hAnsi="Palatino Linotype"/>
          <w:i/>
        </w:rPr>
        <w:t>ATENTAMENTE</w:t>
      </w:r>
    </w:p>
    <w:p w:rsidR="008C0E72" w:rsidRPr="008C0E72" w:rsidRDefault="007C49A1" w:rsidP="007C49A1">
      <w:pPr>
        <w:pStyle w:val="Sinespaciado"/>
        <w:ind w:left="567" w:right="567"/>
        <w:jc w:val="both"/>
        <w:rPr>
          <w:rFonts w:ascii="Palatino Linotype" w:hAnsi="Palatino Linotype"/>
          <w:i/>
        </w:rPr>
      </w:pPr>
      <w:r w:rsidRPr="007C49A1">
        <w:rPr>
          <w:rFonts w:ascii="Palatino Linotype" w:hAnsi="Palatino Linotype"/>
          <w:i/>
        </w:rPr>
        <w:t>LIC. ENRIQUE VINCENT DÁVILA</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BB337D" w:rsidRDefault="00BB337D" w:rsidP="0014447C">
      <w:pPr>
        <w:pStyle w:val="Sinespaciado"/>
        <w:spacing w:line="360" w:lineRule="auto"/>
        <w:jc w:val="both"/>
        <w:rPr>
          <w:rFonts w:ascii="Palatino Linotype" w:hAnsi="Palatino Linotype"/>
          <w:sz w:val="24"/>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TERCERO</w:t>
      </w:r>
      <w:r w:rsidR="007E2E80" w:rsidRPr="00D04234">
        <w:rPr>
          <w:rFonts w:ascii="Palatino Linotype" w:hAnsi="Palatino Linotype"/>
          <w:b/>
          <w:sz w:val="26"/>
          <w:szCs w:val="26"/>
        </w:rPr>
        <w:t>. Del recurso de revisión.</w:t>
      </w:r>
    </w:p>
    <w:p w:rsidR="003A1968" w:rsidRDefault="007E2E80" w:rsidP="003A1968">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536896">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7C49A1">
        <w:rPr>
          <w:rFonts w:ascii="Palatino Linotype" w:hAnsi="Palatino Linotype"/>
          <w:sz w:val="24"/>
          <w:szCs w:val="24"/>
        </w:rPr>
        <w:t>treinta y uno de agosto</w:t>
      </w:r>
      <w:r w:rsidR="009D2DC1">
        <w:rPr>
          <w:rFonts w:ascii="Palatino Linotype" w:hAnsi="Palatino Linotype"/>
          <w:sz w:val="24"/>
          <w:szCs w:val="24"/>
        </w:rPr>
        <w:t xml:space="preserve"> de dos mil veinte</w:t>
      </w:r>
      <w:r w:rsidRPr="00D04234">
        <w:rPr>
          <w:rFonts w:ascii="Palatino Linotype" w:hAnsi="Palatino Linotype"/>
          <w:sz w:val="24"/>
          <w:szCs w:val="24"/>
        </w:rPr>
        <w:t xml:space="preserve">, en el sistema electrónico con el expediente número </w:t>
      </w:r>
      <w:r w:rsidR="007C49A1">
        <w:rPr>
          <w:rFonts w:ascii="Palatino Linotype" w:hAnsi="Palatino Linotype"/>
          <w:b/>
          <w:bCs/>
          <w:sz w:val="24"/>
          <w:szCs w:val="24"/>
          <w:lang w:eastAsia="es-MX"/>
        </w:rPr>
        <w:t>03515</w:t>
      </w:r>
      <w:r w:rsidR="009D2DC1">
        <w:rPr>
          <w:rFonts w:ascii="Palatino Linotype" w:hAnsi="Palatino Linotype"/>
          <w:b/>
          <w:bCs/>
          <w:sz w:val="24"/>
          <w:szCs w:val="24"/>
          <w:lang w:eastAsia="es-MX"/>
        </w:rPr>
        <w:t>/INFOEM/IP/RR/2020</w:t>
      </w:r>
      <w:r w:rsidRPr="00D04234">
        <w:rPr>
          <w:rFonts w:ascii="Palatino Linotype" w:hAnsi="Palatino Linotype"/>
          <w:sz w:val="24"/>
          <w:szCs w:val="24"/>
        </w:rPr>
        <w:t xml:space="preserve">, en el cual </w:t>
      </w:r>
      <w:r w:rsidR="007A1D57">
        <w:rPr>
          <w:rFonts w:ascii="Palatino Linotype" w:hAnsi="Palatino Linotype"/>
          <w:sz w:val="24"/>
          <w:szCs w:val="24"/>
        </w:rPr>
        <w:t>realiza l</w:t>
      </w:r>
      <w:r w:rsidRPr="00D04234">
        <w:rPr>
          <w:rFonts w:ascii="Palatino Linotype" w:hAnsi="Palatino Linotype"/>
          <w:sz w:val="24"/>
          <w:szCs w:val="24"/>
        </w:rPr>
        <w:t>as siguientes manifestaciones:</w:t>
      </w:r>
    </w:p>
    <w:p w:rsidR="003A1968" w:rsidRDefault="003A1968" w:rsidP="003A1968">
      <w:pPr>
        <w:pStyle w:val="Sinespaciado"/>
        <w:spacing w:line="360" w:lineRule="auto"/>
        <w:jc w:val="both"/>
        <w:rPr>
          <w:rFonts w:ascii="Palatino Linotype" w:hAnsi="Palatino Linotype"/>
          <w:sz w:val="24"/>
          <w:szCs w:val="24"/>
        </w:rPr>
      </w:pPr>
    </w:p>
    <w:p w:rsidR="009D2DC1" w:rsidRPr="009D2DC1" w:rsidRDefault="007E2E80" w:rsidP="009D2DC1">
      <w:pPr>
        <w:pStyle w:val="Sinespaciado"/>
        <w:spacing w:line="360" w:lineRule="auto"/>
        <w:jc w:val="both"/>
        <w:rPr>
          <w:rFonts w:ascii="Palatino Linotype" w:hAnsi="Palatino Linotype"/>
          <w:b/>
          <w:sz w:val="24"/>
          <w:szCs w:val="24"/>
        </w:rPr>
      </w:pPr>
      <w:r w:rsidRPr="009D2DC1">
        <w:rPr>
          <w:rFonts w:ascii="Palatino Linotype" w:hAnsi="Palatino Linotype"/>
          <w:b/>
          <w:sz w:val="24"/>
          <w:szCs w:val="24"/>
        </w:rPr>
        <w:t>Acto Impugnado:</w:t>
      </w:r>
      <w:r w:rsidR="00BB337D" w:rsidRPr="009D2DC1">
        <w:rPr>
          <w:rFonts w:ascii="Palatino Linotype" w:hAnsi="Palatino Linotype"/>
          <w:b/>
          <w:sz w:val="24"/>
          <w:szCs w:val="24"/>
        </w:rPr>
        <w:t xml:space="preserve"> </w:t>
      </w:r>
    </w:p>
    <w:p w:rsidR="007E2E80" w:rsidRPr="009D2DC1" w:rsidRDefault="00886627" w:rsidP="009D2DC1">
      <w:pPr>
        <w:pStyle w:val="Sinespaciado"/>
        <w:ind w:left="567" w:right="567"/>
        <w:jc w:val="both"/>
        <w:rPr>
          <w:rFonts w:ascii="Palatino Linotype" w:hAnsi="Palatino Linotype"/>
          <w:i/>
        </w:rPr>
      </w:pPr>
      <w:r w:rsidRPr="009D2DC1">
        <w:rPr>
          <w:rFonts w:ascii="Palatino Linotype" w:hAnsi="Palatino Linotype"/>
          <w:i/>
        </w:rPr>
        <w:t>“</w:t>
      </w:r>
      <w:r w:rsidR="007C49A1" w:rsidRPr="007C49A1">
        <w:rPr>
          <w:rFonts w:ascii="Palatino Linotype" w:hAnsi="Palatino Linotype"/>
          <w:i/>
        </w:rPr>
        <w:t xml:space="preserve">LA RESPUESTA DEL SUJETO OBLIGADO Y SU NEGATIVA DE DAR LA INFORMACIÓN BAJO EL PRETEXTO DE SER INCOMPETENTE CUANDO EN REALIDAD ES COMPETENTE EN LA MATERIA. LA RESPUESTA FUE: Metepec, México a 24 de Agosto de 2020 Nombre del solicitante: </w:t>
      </w:r>
      <w:proofErr w:type="spellStart"/>
      <w:r w:rsidR="00F266AB">
        <w:rPr>
          <w:rFonts w:ascii="Palatino Linotype" w:hAnsi="Palatino Linotype"/>
          <w:i/>
        </w:rPr>
        <w:t>xxxxxxxxxxxxxxxxxxxxxxxxxx</w:t>
      </w:r>
      <w:proofErr w:type="spellEnd"/>
      <w:r w:rsidR="007C49A1" w:rsidRPr="007C49A1">
        <w:rPr>
          <w:rFonts w:ascii="Palatino Linotype" w:hAnsi="Palatino Linotype"/>
          <w:i/>
        </w:rPr>
        <w:t xml:space="preserve"> Folio de la solicitud: 00277/SSALUD/IP/2020 En respuesta a la solicitud recibida, nos permitimos hacer de su conocimiento que con fundamento en el artículo 53, Fracciones: II, V y VI de la Ley de Transparencia y Acceso a la Información Pública del Estado de México y Municipios, le contestamos que: Con fundamento en el artículo 163 y 167 de la Ley de Transparencia y Acceso a la Información Pública del Estado de México y Municipios, que a la letra señala: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Me permito comentar a usted, que a través de la Coordinación de Regulación Sanitaria, perteneciente a la estructura del Instituto de Salud del Estado de México, se ejecutan las acciones que describe en su solicitud, con el apoyo de las Jurisdicciones de Regulación Sanitarias locales. En tal razón y de conformidad con lo expuesto en el Código Administrativo del Estado de México, en su CAPITULO CUARTO Del Instituto de Salud del Estado de México Artículo 2.5., el Instituto de Salud del Estado de México es un organismo público descentralizado, con personalidad jurídica y patrimonio propios, que tiene por objeto la prestación de los servicios de salud en la Entidad, por lo que este sujeto obligado está imposibilitado de dar atención positiva a su petición; respetuosamente sugiero canalizar su solicitud de información al Instituto de Salud del Estado de México, a través de la dirección electrónica: http://salud.edomex.gob.mx/html/, o en modo presencial en el Módulo de Acceso a la Información Pública del ISEM, ubicado en Avenida Independencia Oriente número 1009, </w:t>
      </w:r>
      <w:r w:rsidR="007C49A1" w:rsidRPr="007C49A1">
        <w:rPr>
          <w:rFonts w:ascii="Palatino Linotype" w:hAnsi="Palatino Linotype"/>
          <w:i/>
        </w:rPr>
        <w:lastRenderedPageBreak/>
        <w:t>Colonia Reforma y Ferrocarriles Nacionales, Toluca Estado de México, C.P. 50070, en días y horas hábiles. ATENTAMENTE LIC. ENRIQUE VINCENT DÁVILA</w:t>
      </w:r>
      <w:r w:rsidR="006A3A54" w:rsidRPr="009D2DC1">
        <w:rPr>
          <w:rFonts w:ascii="Palatino Linotype" w:hAnsi="Palatino Linotype"/>
          <w:i/>
        </w:rPr>
        <w:t>"</w:t>
      </w:r>
      <w:r w:rsidR="004757BD" w:rsidRPr="009D2DC1">
        <w:rPr>
          <w:rFonts w:ascii="Palatino Linotype" w:hAnsi="Palatino Linotype"/>
          <w:i/>
        </w:rPr>
        <w:t xml:space="preserve"> (</w:t>
      </w:r>
      <w:r w:rsidR="006A3A54" w:rsidRPr="009D2DC1">
        <w:rPr>
          <w:rFonts w:ascii="Palatino Linotype" w:hAnsi="Palatino Linotype"/>
          <w:i/>
        </w:rPr>
        <w:t>Sic)</w:t>
      </w:r>
    </w:p>
    <w:p w:rsidR="003A1968" w:rsidRPr="009D2DC1" w:rsidRDefault="003A1968" w:rsidP="009D2DC1">
      <w:pPr>
        <w:pStyle w:val="Sinespaciado"/>
        <w:spacing w:line="360" w:lineRule="auto"/>
        <w:jc w:val="both"/>
        <w:rPr>
          <w:rFonts w:ascii="Palatino Linotype" w:hAnsi="Palatino Linotype"/>
        </w:rPr>
      </w:pPr>
    </w:p>
    <w:p w:rsidR="009D2DC1" w:rsidRPr="009D2DC1" w:rsidRDefault="007E2E80" w:rsidP="009D2DC1">
      <w:pPr>
        <w:pStyle w:val="Sinespaciado"/>
        <w:spacing w:line="360" w:lineRule="auto"/>
        <w:jc w:val="both"/>
        <w:rPr>
          <w:rFonts w:ascii="Palatino Linotype" w:hAnsi="Palatino Linotype"/>
          <w:b/>
          <w:sz w:val="24"/>
          <w:szCs w:val="24"/>
        </w:rPr>
      </w:pPr>
      <w:r w:rsidRPr="009D2DC1">
        <w:rPr>
          <w:rFonts w:ascii="Palatino Linotype" w:hAnsi="Palatino Linotype"/>
          <w:b/>
          <w:sz w:val="24"/>
          <w:szCs w:val="24"/>
        </w:rPr>
        <w:t xml:space="preserve">Razones o Motivos de Inconformidad: </w:t>
      </w:r>
    </w:p>
    <w:p w:rsidR="007E2E80" w:rsidRPr="009D2DC1" w:rsidRDefault="007E2E80" w:rsidP="009D2DC1">
      <w:pPr>
        <w:pStyle w:val="Sinespaciado"/>
        <w:ind w:left="567" w:right="567"/>
        <w:jc w:val="both"/>
        <w:rPr>
          <w:rFonts w:ascii="Palatino Linotype" w:hAnsi="Palatino Linotype"/>
          <w:i/>
        </w:rPr>
      </w:pPr>
      <w:r w:rsidRPr="009D2DC1">
        <w:rPr>
          <w:rFonts w:ascii="Palatino Linotype" w:hAnsi="Palatino Linotype"/>
          <w:i/>
        </w:rPr>
        <w:t>“</w:t>
      </w:r>
      <w:r w:rsidR="007C49A1" w:rsidRPr="007C49A1">
        <w:rPr>
          <w:rFonts w:ascii="Palatino Linotype" w:hAnsi="Palatino Linotype"/>
          <w:i/>
        </w:rPr>
        <w:t>EL SUJETO OBLIGADO NO SÓLO ES COMPETENTE, ADEMAS CUENTA CON LA INFORMACIÓN, DEBIDO A QUE EL MUNICIPIO SOLICITÓ CINCO ESTUDIOS A LA COPRISEM (COORDINACIÓN DE REGULACIÓN SANITARIA) Y ESTA HA RESPONDIDO TRES DE ESOS CINCO ESTUDIOS A TRAVÉS DE OFICIO (S). ES MÁS, EL ÁREA ENCARGADA DE ESTO ES EN COPRISEM ES LA DE SALUD AMBIENTAL Y OCUPACIÓN. POR LO TANTO SON COMPETENTES Y TIENEN LA INFORMACIÓN</w:t>
      </w:r>
      <w:r w:rsidR="003A1968" w:rsidRPr="009D2DC1">
        <w:rPr>
          <w:rFonts w:ascii="Palatino Linotype" w:hAnsi="Palatino Linotype"/>
          <w:i/>
        </w:rPr>
        <w:t>”</w:t>
      </w:r>
      <w:r w:rsidR="006A3A54" w:rsidRPr="009D2DC1">
        <w:rPr>
          <w:rFonts w:ascii="Palatino Linotype" w:hAnsi="Palatino Linotype"/>
          <w:i/>
        </w:rPr>
        <w:t xml:space="preserve"> (Sic)</w:t>
      </w:r>
    </w:p>
    <w:p w:rsidR="00BE6D77" w:rsidRPr="009D2DC1" w:rsidRDefault="00BE6D77" w:rsidP="009D2DC1">
      <w:pPr>
        <w:pStyle w:val="Sinespaciado"/>
        <w:spacing w:line="360" w:lineRule="auto"/>
        <w:jc w:val="both"/>
        <w:rPr>
          <w:rFonts w:ascii="Palatino Linotype" w:hAnsi="Palatino Linotype"/>
          <w:sz w:val="24"/>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7C49A1">
        <w:rPr>
          <w:rFonts w:ascii="Palatino Linotype" w:hAnsi="Palatino Linotype"/>
          <w:sz w:val="24"/>
          <w:szCs w:val="24"/>
        </w:rPr>
        <w:t>cuatro de septiembre</w:t>
      </w:r>
      <w:r w:rsidR="00241177">
        <w:rPr>
          <w:rFonts w:ascii="Palatino Linotype" w:hAnsi="Palatino Linotype"/>
          <w:sz w:val="24"/>
          <w:szCs w:val="24"/>
        </w:rPr>
        <w:t xml:space="preserve"> de dos mil veinte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03738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14447C">
        <w:rPr>
          <w:rFonts w:ascii="Palatino Linotype" w:hAnsi="Palatino Linotype"/>
          <w:b/>
          <w:sz w:val="26"/>
          <w:szCs w:val="26"/>
        </w:rPr>
        <w:t>TO. De la etapa de instrucción.</w:t>
      </w:r>
    </w:p>
    <w:p w:rsidR="00241177" w:rsidRDefault="0024117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abierta la etapa de instrucción, en el sumario se observa que </w:t>
      </w:r>
      <w:r w:rsidR="00127D4C">
        <w:rPr>
          <w:rFonts w:ascii="Palatino Linotype" w:hAnsi="Palatino Linotype"/>
          <w:sz w:val="24"/>
          <w:szCs w:val="24"/>
        </w:rPr>
        <w:t xml:space="preserve">el Recurrente no realizó manifestaciones, vertió alegatos o presentó pruebas que a su derecho convinieran dentro del término previsto. Por su parte, </w:t>
      </w:r>
      <w:r w:rsidRPr="0014447C">
        <w:rPr>
          <w:rFonts w:ascii="Palatino Linotype" w:hAnsi="Palatino Linotype"/>
          <w:sz w:val="24"/>
          <w:szCs w:val="24"/>
        </w:rPr>
        <w:t>el Sujeto Obligado</w:t>
      </w:r>
      <w:r w:rsidR="00127D4C">
        <w:rPr>
          <w:rFonts w:ascii="Palatino Linotype" w:hAnsi="Palatino Linotype"/>
          <w:sz w:val="24"/>
          <w:szCs w:val="24"/>
        </w:rPr>
        <w:t xml:space="preserve"> omitió rendir su Informe Justificado. </w:t>
      </w:r>
    </w:p>
    <w:p w:rsidR="00127D4C" w:rsidRDefault="00127D4C" w:rsidP="0014447C">
      <w:pPr>
        <w:pStyle w:val="Sinespaciado"/>
        <w:spacing w:line="360" w:lineRule="auto"/>
        <w:jc w:val="both"/>
        <w:rPr>
          <w:rFonts w:ascii="Palatino Linotype" w:hAnsi="Palatino Linotype"/>
          <w:sz w:val="24"/>
          <w:szCs w:val="24"/>
        </w:rPr>
      </w:pPr>
    </w:p>
    <w:p w:rsidR="00127D4C" w:rsidRDefault="00127D4C" w:rsidP="0014447C">
      <w:pPr>
        <w:pStyle w:val="Sinespaciado"/>
        <w:spacing w:line="360" w:lineRule="auto"/>
        <w:jc w:val="both"/>
        <w:rPr>
          <w:rFonts w:ascii="Palatino Linotype" w:hAnsi="Palatino Linotype"/>
          <w:sz w:val="24"/>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una vez transcurrido el término legal, se decretó el</w:t>
      </w:r>
      <w:r w:rsidR="008279C6">
        <w:rPr>
          <w:rFonts w:ascii="Palatino Linotype" w:hAnsi="Palatino Linotype"/>
          <w:sz w:val="24"/>
          <w:szCs w:val="24"/>
        </w:rPr>
        <w:t xml:space="preserve"> cierre de instrucción en fecha </w:t>
      </w:r>
      <w:r w:rsidR="00127D4C">
        <w:rPr>
          <w:rFonts w:ascii="Palatino Linotype" w:hAnsi="Palatino Linotype"/>
          <w:sz w:val="24"/>
          <w:szCs w:val="24"/>
        </w:rPr>
        <w:t xml:space="preserve">veinte de octubre </w:t>
      </w:r>
      <w:r w:rsidR="008279C6">
        <w:rPr>
          <w:rFonts w:ascii="Palatino Linotype" w:hAnsi="Palatino Linotype"/>
          <w:sz w:val="24"/>
          <w:szCs w:val="24"/>
        </w:rPr>
        <w:t>de dos mil veinte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241177" w:rsidRDefault="00241177" w:rsidP="0014447C">
      <w:pPr>
        <w:pStyle w:val="Sinespaciado"/>
        <w:spacing w:line="360" w:lineRule="auto"/>
        <w:jc w:val="both"/>
        <w:rPr>
          <w:rFonts w:ascii="Palatino Linotype" w:hAnsi="Palatino Linotype"/>
          <w:sz w:val="24"/>
          <w:szCs w:val="24"/>
        </w:rPr>
      </w:pPr>
    </w:p>
    <w:p w:rsidR="00127D4C" w:rsidRDefault="00127D4C" w:rsidP="00127D4C">
      <w:pPr>
        <w:spacing w:after="0" w:line="360" w:lineRule="auto"/>
        <w:rPr>
          <w:rFonts w:ascii="Palatino Linotype" w:hAnsi="Palatino Linotype"/>
          <w:b/>
          <w:sz w:val="26"/>
          <w:szCs w:val="26"/>
        </w:rPr>
      </w:pPr>
      <w:r>
        <w:rPr>
          <w:rFonts w:ascii="Palatino Linotype" w:hAnsi="Palatino Linotype"/>
          <w:b/>
          <w:sz w:val="26"/>
          <w:szCs w:val="26"/>
        </w:rPr>
        <w:t>SÉPTIMO. De la ampliación del término para resolver.</w:t>
      </w:r>
    </w:p>
    <w:p w:rsidR="00127D4C" w:rsidRDefault="00127D4C" w:rsidP="00127D4C">
      <w:pPr>
        <w:spacing w:after="0" w:line="360" w:lineRule="auto"/>
        <w:jc w:val="both"/>
        <w:rPr>
          <w:rFonts w:ascii="Palatino Linotype" w:hAnsi="Palatino Linotype"/>
          <w:sz w:val="24"/>
          <w:szCs w:val="24"/>
        </w:rPr>
      </w:pPr>
      <w:r>
        <w:rPr>
          <w:rFonts w:ascii="Palatino Linotype" w:hAnsi="Palatino Linotype"/>
          <w:sz w:val="24"/>
          <w:szCs w:val="24"/>
        </w:rPr>
        <w:t xml:space="preserve">En fecha veinte de octubre de dos mil veinte, se amplió el término para resolver el recurso de revisión en términos del artículo 181 párrafo tercero de la Ley de Transparencia y Acceso a la Información Pública del Estado de México y Municipios por </w:t>
      </w:r>
      <w:r w:rsidR="007E710A">
        <w:rPr>
          <w:rFonts w:ascii="Palatino Linotype" w:hAnsi="Palatino Linotype"/>
          <w:sz w:val="24"/>
          <w:szCs w:val="24"/>
        </w:rPr>
        <w:t xml:space="preserve">un plazo de quince días hábiles, </w:t>
      </w:r>
      <w:r w:rsidR="007E710A" w:rsidRPr="004A2003">
        <w:rPr>
          <w:rFonts w:ascii="Palatino Linotype" w:hAnsi="Palatino Linotype" w:cs="Arial"/>
          <w:sz w:val="24"/>
          <w:szCs w:val="24"/>
        </w:rPr>
        <w:t>dada la cantidad de recursos de revisión que en el año dos mil diecinueve, han ingresado al Instituto de Transparencia, Acceso a la Información Pública y Protección de Datos Personales del Estado de México y Municipios; así como, a efecto de realizar un análisis exhaustivo de las constancias que obran en el expediente electrónico, adoptando las medidas pertinentes, a fin de aminorar los efecto</w:t>
      </w:r>
      <w:r w:rsidR="007E710A">
        <w:rPr>
          <w:rFonts w:ascii="Palatino Linotype" w:hAnsi="Palatino Linotype" w:cs="Arial"/>
          <w:sz w:val="24"/>
          <w:szCs w:val="24"/>
        </w:rPr>
        <w:t xml:space="preserve">s que conlleva. </w:t>
      </w:r>
      <w:r w:rsidR="007E710A" w:rsidRPr="004A2003">
        <w:rPr>
          <w:rFonts w:ascii="Palatino Linotype" w:hAnsi="Palatino Linotype" w:cs="Arial"/>
          <w:sz w:val="24"/>
          <w:szCs w:val="24"/>
        </w:rPr>
        <w:t xml:space="preserve">En ese contexto, es menester indicar lo que refiere la Tesis Jurisprudencial con número de localización 2002351 , la cual refiere que el Estado Mexicano cuenta con un catálogo de derechos y garantías que vinculan normativamente y permite salvar situaciones que diversas leyes plantean; así, tomando en cuenta que el plazo previsto en las leyes para resolver un asunto pudiera no corresponder a la realidad, es factible acudir, en tal supuesto, a los ordenamientos internacionales, a fin de establecer el contenido del concepto de "plazo razonable", conforme a las particularidades del caso; más aún, un criterio de razonabilidad y </w:t>
      </w:r>
      <w:r w:rsidR="007E710A" w:rsidRPr="004A2003">
        <w:rPr>
          <w:rFonts w:ascii="Palatino Linotype" w:hAnsi="Palatino Linotype" w:cs="Arial"/>
          <w:sz w:val="24"/>
          <w:szCs w:val="24"/>
        </w:rPr>
        <w:lastRenderedPageBreak/>
        <w:t>justificación de eventuales demoras, siendo aplicables los artículos 8 y 25 de la Convención Internacional de Derechos Humanos que permiten configurar un proceso justo; así como, una tutela judicial efectiva. Por ello, el concepto de "plazo razonable" es aplicable no sólo a la solución jurisdiccional de una controversia, sino a procedimientos análogos seguidos en forma de juicio, lo que implica que haya razonabilidad en el trámite y en la conclusión de las diversas etapas del procedimiento.</w:t>
      </w:r>
    </w:p>
    <w:p w:rsidR="00127D4C" w:rsidRDefault="00127D4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FF1E85">
        <w:rPr>
          <w:rFonts w:ascii="Palatino Linotype" w:hAnsi="Palatino Linotype"/>
          <w:sz w:val="24"/>
          <w:szCs w:val="24"/>
        </w:rPr>
        <w:t xml:space="preserve"> segundo</w:t>
      </w:r>
      <w:r w:rsidRPr="0014447C">
        <w:rPr>
          <w:rFonts w:ascii="Palatino Linotype" w:hAnsi="Palatino Linotype"/>
          <w:sz w:val="24"/>
          <w:szCs w:val="24"/>
        </w:rPr>
        <w:t xml:space="preserve">, vigésimo </w:t>
      </w:r>
      <w:r w:rsidR="00FF1E85">
        <w:rPr>
          <w:rFonts w:ascii="Palatino Linotype" w:hAnsi="Palatino Linotype"/>
          <w:sz w:val="24"/>
          <w:szCs w:val="24"/>
        </w:rPr>
        <w:t>tercero</w:t>
      </w:r>
      <w:r w:rsidRPr="0014447C">
        <w:rPr>
          <w:rFonts w:ascii="Palatino Linotype" w:hAnsi="Palatino Linotype"/>
          <w:sz w:val="24"/>
          <w:szCs w:val="24"/>
        </w:rPr>
        <w:t xml:space="preserve"> y vigésimo </w:t>
      </w:r>
      <w:r w:rsidR="00FF1E85">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Default="007E2E80" w:rsidP="0014447C">
      <w:pPr>
        <w:pStyle w:val="Sinespaciado"/>
        <w:spacing w:line="360" w:lineRule="auto"/>
        <w:jc w:val="both"/>
        <w:rPr>
          <w:rFonts w:ascii="Palatino Linotype" w:hAnsi="Palatino Linotype"/>
          <w:sz w:val="20"/>
          <w:szCs w:val="24"/>
        </w:rPr>
      </w:pPr>
    </w:p>
    <w:p w:rsidR="007E710A" w:rsidRDefault="007E710A" w:rsidP="0014447C">
      <w:pPr>
        <w:pStyle w:val="Sinespaciado"/>
        <w:spacing w:line="360" w:lineRule="auto"/>
        <w:jc w:val="both"/>
        <w:rPr>
          <w:rFonts w:ascii="Palatino Linotype" w:hAnsi="Palatino Linotype"/>
          <w:sz w:val="20"/>
          <w:szCs w:val="24"/>
        </w:rPr>
      </w:pPr>
    </w:p>
    <w:p w:rsidR="007E710A" w:rsidRPr="001F021C" w:rsidRDefault="007E710A"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lastRenderedPageBreak/>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705D1C" w:rsidRPr="0014447C" w:rsidRDefault="007E2E80" w:rsidP="00705D1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w:t>
      </w:r>
      <w:r w:rsidRPr="0014447C">
        <w:rPr>
          <w:rFonts w:ascii="Palatino Linotype" w:hAnsi="Palatino Linotype"/>
          <w:sz w:val="24"/>
          <w:szCs w:val="24"/>
        </w:rPr>
        <w:lastRenderedPageBreak/>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541B17" w:rsidRDefault="00541B17" w:rsidP="00705D1C">
      <w:pPr>
        <w:pStyle w:val="Sinespaciado"/>
        <w:spacing w:line="360" w:lineRule="auto"/>
        <w:jc w:val="both"/>
        <w:rPr>
          <w:rFonts w:ascii="Palatino Linotype" w:hAnsi="Palatino Linotype"/>
          <w:sz w:val="24"/>
          <w:szCs w:val="24"/>
        </w:rPr>
      </w:pPr>
    </w:p>
    <w:p w:rsidR="007E710A" w:rsidRDefault="007E710A" w:rsidP="00705D1C">
      <w:pPr>
        <w:pStyle w:val="Sinespaciado"/>
        <w:spacing w:line="360" w:lineRule="auto"/>
        <w:jc w:val="both"/>
        <w:rPr>
          <w:rFonts w:ascii="Palatino Linotype" w:hAnsi="Palatino Linotype"/>
          <w:sz w:val="24"/>
          <w:szCs w:val="24"/>
        </w:rPr>
      </w:pPr>
    </w:p>
    <w:p w:rsidR="007E2E80" w:rsidRPr="0014447C" w:rsidRDefault="00127D4C"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lastRenderedPageBreak/>
        <w:t>CUAR</w:t>
      </w:r>
      <w:r w:rsidR="00974BC5">
        <w:rPr>
          <w:rFonts w:ascii="Palatino Linotype" w:hAnsi="Palatino Linotype"/>
          <w:b/>
          <w:sz w:val="26"/>
          <w:szCs w:val="26"/>
        </w:rPr>
        <w:t>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127D4C" w:rsidRDefault="00A9172E" w:rsidP="00BE23C5">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4E37E9">
        <w:rPr>
          <w:rFonts w:ascii="Palatino Linotype" w:hAnsi="Palatino Linotype"/>
          <w:sz w:val="24"/>
          <w:szCs w:val="24"/>
        </w:rPr>
        <w:t xml:space="preserve"> el</w:t>
      </w:r>
      <w:r w:rsidR="00336EDF">
        <w:rPr>
          <w:rFonts w:ascii="Palatino Linotype" w:hAnsi="Palatino Linotype"/>
          <w:sz w:val="24"/>
          <w:szCs w:val="24"/>
        </w:rPr>
        <w:t xml:space="preserve"> hoy Recurrente requirió</w:t>
      </w:r>
      <w:r w:rsidR="0079496F">
        <w:rPr>
          <w:rFonts w:ascii="Palatino Linotype" w:hAnsi="Palatino Linotype"/>
          <w:sz w:val="24"/>
          <w:szCs w:val="24"/>
        </w:rPr>
        <w:t xml:space="preserve"> </w:t>
      </w:r>
      <w:r w:rsidR="00B7657B">
        <w:rPr>
          <w:rFonts w:ascii="Palatino Linotype" w:hAnsi="Palatino Linotype"/>
          <w:sz w:val="24"/>
          <w:szCs w:val="24"/>
        </w:rPr>
        <w:t xml:space="preserve">al Sujeto Obligado </w:t>
      </w:r>
      <w:r w:rsidR="00127D4C">
        <w:rPr>
          <w:rFonts w:ascii="Palatino Linotype" w:hAnsi="Palatino Linotype"/>
          <w:sz w:val="24"/>
          <w:szCs w:val="24"/>
        </w:rPr>
        <w:t>que se le proporcionaran los estudios y anexos que ha requerido el municipio de Tlalnepantla de Baz a la Coordinación de Regulación Sanitaria (COPRISEM) para determinar la mejor opción de tratamiento de residuos y confirma el tiempo de vida del relleno sanitario de ese municipio, manifestando que se le haga entrega mediante el correo electrónico señalado. Dicha información la solicitó debido a que el municipio ha pedido cinco estudios y, hasta el momento, la COPRISEM ha realizado tres de los cinco estudios; asimismo, señaló que el área encargada de esa Coordinación es Salud Ambientar y Ocupación.</w:t>
      </w:r>
    </w:p>
    <w:p w:rsidR="00127D4C" w:rsidRDefault="00127D4C" w:rsidP="00BE23C5">
      <w:pPr>
        <w:pStyle w:val="Sinespaciado"/>
        <w:spacing w:line="360" w:lineRule="auto"/>
        <w:jc w:val="both"/>
        <w:rPr>
          <w:rFonts w:ascii="Palatino Linotype" w:hAnsi="Palatino Linotype"/>
          <w:sz w:val="24"/>
          <w:szCs w:val="24"/>
        </w:rPr>
      </w:pPr>
    </w:p>
    <w:p w:rsidR="00BB4BDC" w:rsidRDefault="000452B6" w:rsidP="004E37E9">
      <w:pPr>
        <w:pStyle w:val="Sinespaciado"/>
        <w:spacing w:line="360" w:lineRule="auto"/>
        <w:jc w:val="both"/>
        <w:rPr>
          <w:rFonts w:ascii="Palatino Linotype" w:hAnsi="Palatino Linotype"/>
          <w:sz w:val="24"/>
          <w:szCs w:val="24"/>
        </w:rPr>
      </w:pPr>
      <w:r w:rsidRPr="000452B6">
        <w:rPr>
          <w:rFonts w:ascii="Palatino Linotype" w:hAnsi="Palatino Linotype"/>
          <w:sz w:val="24"/>
          <w:szCs w:val="24"/>
        </w:rPr>
        <w:t xml:space="preserve">A dicha solicitud, el Sujeto Obligado </w:t>
      </w:r>
      <w:r w:rsidR="00B7657B">
        <w:rPr>
          <w:rFonts w:ascii="Palatino Linotype" w:hAnsi="Palatino Linotype"/>
          <w:sz w:val="24"/>
          <w:szCs w:val="24"/>
        </w:rPr>
        <w:t xml:space="preserve">respondió </w:t>
      </w:r>
      <w:r w:rsidR="00127D4C">
        <w:rPr>
          <w:rFonts w:ascii="Palatino Linotype" w:hAnsi="Palatino Linotype"/>
          <w:sz w:val="24"/>
          <w:szCs w:val="24"/>
        </w:rPr>
        <w:t xml:space="preserve">que la Coordinación de Regulación Sanitaria pertenece a la estructura del Instituto de Salud del Estado de México, quien ejecuta las acciones descritas en la solicitud con el apoyo de las Jurisdicciones de Regulación Sanitarias locales. Además de que el artículo 2.5 del Código </w:t>
      </w:r>
      <w:r w:rsidR="00127D4C">
        <w:rPr>
          <w:rFonts w:ascii="Palatino Linotype" w:hAnsi="Palatino Linotype"/>
          <w:sz w:val="24"/>
          <w:szCs w:val="24"/>
        </w:rPr>
        <w:lastRenderedPageBreak/>
        <w:t>Administrativo del Estado de México, el Instituto de Salud del Estado de México es un organismo público descentralizado, con personalidad</w:t>
      </w:r>
      <w:r w:rsidR="00BB4BDC">
        <w:rPr>
          <w:rFonts w:ascii="Palatino Linotype" w:hAnsi="Palatino Linotype"/>
          <w:sz w:val="24"/>
          <w:szCs w:val="24"/>
        </w:rPr>
        <w:t xml:space="preserve"> jurídica y patrimonio propios, que tiene por objeto la prestación de los servicios de salud en la Entidad, por lo que el Sujeto Obligado está imposibilitado de dar atención a la solicitud y sugiriendo que se canalice la solicitud al Instituto de Salud del Estado de México.</w:t>
      </w:r>
    </w:p>
    <w:p w:rsidR="00BB4BDC" w:rsidRDefault="00BB4BDC" w:rsidP="004E37E9">
      <w:pPr>
        <w:pStyle w:val="Sinespaciado"/>
        <w:spacing w:line="360" w:lineRule="auto"/>
        <w:jc w:val="both"/>
        <w:rPr>
          <w:rFonts w:ascii="Palatino Linotype" w:hAnsi="Palatino Linotype"/>
          <w:sz w:val="24"/>
          <w:szCs w:val="24"/>
        </w:rPr>
      </w:pPr>
    </w:p>
    <w:p w:rsidR="00BB4BDC" w:rsidRDefault="00BA0F0A" w:rsidP="00D64314">
      <w:pPr>
        <w:pStyle w:val="Sinespaciado"/>
        <w:spacing w:line="360" w:lineRule="auto"/>
        <w:jc w:val="both"/>
        <w:rPr>
          <w:rFonts w:ascii="Palatino Linotype" w:hAnsi="Palatino Linotype"/>
          <w:sz w:val="24"/>
          <w:szCs w:val="24"/>
        </w:rPr>
      </w:pPr>
      <w:r>
        <w:rPr>
          <w:rFonts w:ascii="Palatino Linotype" w:hAnsi="Palatino Linotype"/>
          <w:sz w:val="24"/>
          <w:szCs w:val="24"/>
        </w:rPr>
        <w:t>Ante dicha respuesta, el</w:t>
      </w:r>
      <w:r w:rsidR="00381C2F">
        <w:rPr>
          <w:rFonts w:ascii="Palatino Linotype" w:hAnsi="Palatino Linotype"/>
          <w:sz w:val="24"/>
          <w:szCs w:val="24"/>
        </w:rPr>
        <w:t xml:space="preserve"> </w:t>
      </w:r>
      <w:r w:rsidR="008307E5">
        <w:rPr>
          <w:rFonts w:ascii="Palatino Linotype" w:hAnsi="Palatino Linotype"/>
          <w:sz w:val="24"/>
          <w:szCs w:val="24"/>
        </w:rPr>
        <w:t xml:space="preserve">Recurrente consideró </w:t>
      </w:r>
      <w:r w:rsidR="00D46D29">
        <w:rPr>
          <w:rFonts w:ascii="Palatino Linotype" w:hAnsi="Palatino Linotype"/>
          <w:sz w:val="24"/>
          <w:szCs w:val="24"/>
        </w:rPr>
        <w:t>que su derecho a la información había sido conculcado por lo que i</w:t>
      </w:r>
      <w:r w:rsidR="008307E5">
        <w:rPr>
          <w:rFonts w:ascii="Palatino Linotype" w:hAnsi="Palatino Linotype"/>
          <w:sz w:val="24"/>
          <w:szCs w:val="24"/>
        </w:rPr>
        <w:t xml:space="preserve">nterpuso </w:t>
      </w:r>
      <w:r w:rsidR="00D46D29">
        <w:rPr>
          <w:rFonts w:ascii="Palatino Linotype" w:hAnsi="Palatino Linotype"/>
          <w:sz w:val="24"/>
          <w:szCs w:val="24"/>
        </w:rPr>
        <w:t xml:space="preserve">el presente recurso de revisión </w:t>
      </w:r>
      <w:r w:rsidR="00062DC7">
        <w:rPr>
          <w:rFonts w:ascii="Palatino Linotype" w:hAnsi="Palatino Linotype"/>
          <w:sz w:val="24"/>
          <w:szCs w:val="24"/>
        </w:rPr>
        <w:t>señalando como acto impugnado</w:t>
      </w:r>
      <w:r w:rsidR="002E3978">
        <w:rPr>
          <w:rFonts w:ascii="Palatino Linotype" w:hAnsi="Palatino Linotype"/>
          <w:sz w:val="24"/>
          <w:szCs w:val="24"/>
        </w:rPr>
        <w:t xml:space="preserve"> </w:t>
      </w:r>
      <w:r w:rsidR="00BB4BDC">
        <w:rPr>
          <w:rFonts w:ascii="Palatino Linotype" w:hAnsi="Palatino Linotype"/>
          <w:sz w:val="24"/>
          <w:szCs w:val="24"/>
        </w:rPr>
        <w:t>la respuesta del Sujeto Obligado y la negativa a dar la información con el pretexto de ser incompetente, dando como</w:t>
      </w:r>
      <w:r w:rsidR="00D64314">
        <w:rPr>
          <w:rFonts w:ascii="Palatino Linotype" w:hAnsi="Palatino Linotype"/>
          <w:sz w:val="24"/>
          <w:szCs w:val="24"/>
        </w:rPr>
        <w:t xml:space="preserve"> </w:t>
      </w:r>
      <w:r w:rsidR="002B7051">
        <w:rPr>
          <w:rFonts w:ascii="Palatino Linotype" w:hAnsi="Palatino Linotype"/>
          <w:sz w:val="24"/>
          <w:szCs w:val="24"/>
        </w:rPr>
        <w:t xml:space="preserve">motivos de inconformidad </w:t>
      </w:r>
      <w:r w:rsidR="00D64314">
        <w:rPr>
          <w:rFonts w:ascii="Palatino Linotype" w:hAnsi="Palatino Linotype"/>
          <w:sz w:val="24"/>
          <w:szCs w:val="24"/>
        </w:rPr>
        <w:t>que</w:t>
      </w:r>
      <w:r w:rsidR="00BB4BDC">
        <w:rPr>
          <w:rFonts w:ascii="Palatino Linotype" w:hAnsi="Palatino Linotype"/>
          <w:sz w:val="24"/>
          <w:szCs w:val="24"/>
        </w:rPr>
        <w:t xml:space="preserve"> considera que el Sujeto Obligad es competente y que cuenta con la información.</w:t>
      </w:r>
    </w:p>
    <w:p w:rsidR="00BB4BDC" w:rsidRDefault="00BB4BDC" w:rsidP="00D64314">
      <w:pPr>
        <w:pStyle w:val="Sinespaciado"/>
        <w:spacing w:line="360" w:lineRule="auto"/>
        <w:jc w:val="both"/>
        <w:rPr>
          <w:rFonts w:ascii="Palatino Linotype" w:hAnsi="Palatino Linotype"/>
          <w:sz w:val="24"/>
          <w:szCs w:val="24"/>
        </w:rPr>
      </w:pPr>
    </w:p>
    <w:p w:rsidR="00BB4BDC" w:rsidRDefault="00BB4BDC" w:rsidP="00BB4BDC">
      <w:pPr>
        <w:pStyle w:val="Sinespaciado"/>
        <w:spacing w:line="360" w:lineRule="auto"/>
        <w:jc w:val="both"/>
        <w:rPr>
          <w:rFonts w:ascii="Palatino Linotype" w:hAnsi="Palatino Linotype"/>
          <w:sz w:val="24"/>
          <w:szCs w:val="24"/>
        </w:rPr>
      </w:pPr>
      <w:r>
        <w:rPr>
          <w:rFonts w:ascii="Palatino Linotype" w:hAnsi="Palatino Linotype"/>
          <w:sz w:val="24"/>
          <w:szCs w:val="24"/>
        </w:rPr>
        <w:t>En ese orden de ideas, se tiene que el Recurrente no realizó manifestaciones, vertió alegatos o presentó pruebas que a su derecho convinieran durante la etapa de instrucción; del mismo modo, el Sujeto Obligado omitió rendir su Informe Justificado. En consecuencia, es necesario precisar que, toda vez que el Sujeto Obligado fue omiso de enviar el Informe Justificado en el término establecido por este Órgano Garante para manifestar lo que a derecho le asistiera y conviniera, dejó de justificar las razones o motivos que lo llevaron a emitir la respuesta que ahora se impugna, generando con esta omisión el perjuicio en su contra ya que impide que esta Autoridad conozca y resuelva el presente recurso con mayor cautela si se considera lo que al respecto ha señalado la autoridad jurisdiccional al emitir el siguiente criterio:</w:t>
      </w:r>
    </w:p>
    <w:p w:rsidR="00BB4BDC" w:rsidRDefault="00BB4BDC" w:rsidP="00BB4BDC">
      <w:pPr>
        <w:pStyle w:val="Sinespaciado"/>
        <w:spacing w:line="360" w:lineRule="auto"/>
        <w:jc w:val="both"/>
        <w:rPr>
          <w:rFonts w:ascii="Palatino Linotype" w:hAnsi="Palatino Linotype"/>
          <w:sz w:val="24"/>
          <w:szCs w:val="24"/>
        </w:rPr>
      </w:pPr>
    </w:p>
    <w:p w:rsidR="00BB4BDC" w:rsidRDefault="00BB4BDC" w:rsidP="00BB4BDC">
      <w:pPr>
        <w:spacing w:after="0" w:line="240" w:lineRule="auto"/>
        <w:ind w:left="567" w:right="567"/>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QUEJA, RECURSO DE. LA OMISION DE RENDIR EL INFORME RESPECTIVO NO IMPIDE QUE SE RESUELVA.</w:t>
      </w:r>
      <w:r>
        <w:rPr>
          <w:rFonts w:ascii="Palatino Linotype" w:eastAsia="Times New Roman" w:hAnsi="Palatino Linotype" w:cs="Times New Roman"/>
          <w:i/>
          <w:lang w:eastAsia="es-ES"/>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w:t>
      </w:r>
      <w:r>
        <w:rPr>
          <w:rStyle w:val="Refdenotaalpie"/>
          <w:rFonts w:ascii="Palatino Linotype" w:eastAsia="Times New Roman" w:hAnsi="Palatino Linotype" w:cs="Times New Roman"/>
          <w:i/>
          <w:lang w:eastAsia="es-ES"/>
        </w:rPr>
        <w:footnoteReference w:id="2"/>
      </w:r>
    </w:p>
    <w:p w:rsidR="00BB4BDC" w:rsidRDefault="00BB4BDC" w:rsidP="00BB4BDC">
      <w:pPr>
        <w:spacing w:after="0" w:line="360" w:lineRule="auto"/>
        <w:jc w:val="both"/>
        <w:rPr>
          <w:rFonts w:ascii="Palatino Linotype" w:eastAsia="Times New Roman" w:hAnsi="Palatino Linotype" w:cs="Times New Roman"/>
          <w:sz w:val="24"/>
          <w:szCs w:val="24"/>
          <w:lang w:eastAsia="es-ES"/>
        </w:rPr>
      </w:pPr>
    </w:p>
    <w:p w:rsidR="00BB4BDC" w:rsidRDefault="00BB4BDC" w:rsidP="00BB4BDC">
      <w:pPr>
        <w:spacing w:after="0" w:line="360" w:lineRule="auto"/>
        <w:jc w:val="both"/>
        <w:rPr>
          <w:rFonts w:ascii="Times New Roman" w:hAnsi="Times New Roman" w:cs="Times New Roman"/>
          <w:sz w:val="24"/>
          <w:szCs w:val="24"/>
          <w:lang w:eastAsia="es-MX"/>
        </w:rPr>
      </w:pPr>
      <w:r>
        <w:rPr>
          <w:rFonts w:ascii="Palatino Linotype" w:hAnsi="Palatino Linotype"/>
          <w:sz w:val="24"/>
          <w:szCs w:val="24"/>
        </w:rPr>
        <w:t>Por lo cual se reitera, que la falta de informe justificado no impide que este Órgano Garante conozca y resuelva el recurso de revisión, solo propicia que el Sujeto Obligado pierda la oportunidad de justificar su falta de respuesta y manifestar lo que a su derecho convenga.</w:t>
      </w:r>
      <w:r>
        <w:rPr>
          <w:rFonts w:ascii="Times New Roman" w:hAnsi="Times New Roman" w:cs="Times New Roman"/>
          <w:sz w:val="24"/>
          <w:szCs w:val="24"/>
          <w:lang w:eastAsia="es-MX"/>
        </w:rPr>
        <w:t xml:space="preserve"> </w:t>
      </w:r>
    </w:p>
    <w:p w:rsidR="00BB4BDC" w:rsidRDefault="00BB4BDC" w:rsidP="00BB4BDC">
      <w:pPr>
        <w:pStyle w:val="Sinespaciado"/>
        <w:spacing w:line="360" w:lineRule="auto"/>
        <w:jc w:val="both"/>
        <w:rPr>
          <w:rFonts w:ascii="Palatino Linotype" w:hAnsi="Palatino Linotype"/>
          <w:sz w:val="24"/>
          <w:szCs w:val="24"/>
        </w:rPr>
      </w:pPr>
    </w:p>
    <w:p w:rsidR="00E50BBA" w:rsidRPr="004B5E7C" w:rsidRDefault="00E50BBA" w:rsidP="0014447C">
      <w:pPr>
        <w:pStyle w:val="Sinespaciado"/>
        <w:spacing w:line="360" w:lineRule="auto"/>
        <w:jc w:val="both"/>
        <w:rPr>
          <w:rFonts w:ascii="Palatino Linotype" w:hAnsi="Palatino Linotype"/>
          <w:sz w:val="24"/>
          <w:szCs w:val="24"/>
        </w:rPr>
      </w:pPr>
      <w:r w:rsidRPr="004B5E7C">
        <w:rPr>
          <w:rFonts w:ascii="Palatino Linotype" w:hAnsi="Palatino Linotype"/>
          <w:sz w:val="24"/>
          <w:szCs w:val="24"/>
        </w:rPr>
        <w:t xml:space="preserve">En razón de lo anterior, este Instituto estima </w:t>
      </w:r>
      <w:r w:rsidR="00CE7BD7">
        <w:rPr>
          <w:rFonts w:ascii="Palatino Linotype" w:hAnsi="Palatino Linotype"/>
          <w:sz w:val="24"/>
          <w:szCs w:val="24"/>
        </w:rPr>
        <w:t>necesario realizar el estudio a los documentos remitidos en respuesta con el propósito de calificar las razones o motivos de la inconformidad del Recurrente.</w:t>
      </w:r>
    </w:p>
    <w:p w:rsidR="00E50BBA" w:rsidRPr="004B5E7C" w:rsidRDefault="00E50BBA" w:rsidP="0014447C">
      <w:pPr>
        <w:pStyle w:val="Sinespaciado"/>
        <w:spacing w:line="360" w:lineRule="auto"/>
        <w:jc w:val="both"/>
        <w:rPr>
          <w:rFonts w:ascii="Palatino Linotype" w:hAnsi="Palatino Linotype"/>
          <w:sz w:val="24"/>
          <w:szCs w:val="24"/>
        </w:rPr>
      </w:pPr>
    </w:p>
    <w:p w:rsidR="00E50BBA" w:rsidRPr="00893C7D" w:rsidRDefault="00E50BBA" w:rsidP="00E50BBA">
      <w:pPr>
        <w:pStyle w:val="Sinespaciado"/>
        <w:spacing w:line="360" w:lineRule="auto"/>
        <w:jc w:val="both"/>
        <w:rPr>
          <w:rFonts w:ascii="Palatino Linotype" w:hAnsi="Palatino Linotype"/>
          <w:color w:val="000000"/>
          <w:sz w:val="24"/>
          <w:szCs w:val="24"/>
        </w:rPr>
      </w:pPr>
      <w:r w:rsidRPr="00893C7D">
        <w:rPr>
          <w:rFonts w:ascii="Palatino Linotype" w:hAnsi="Palatino Linotype"/>
          <w:sz w:val="24"/>
          <w:szCs w:val="24"/>
        </w:rPr>
        <w:t xml:space="preserve">En primer lugar </w:t>
      </w:r>
      <w:r w:rsidRPr="00893C7D">
        <w:rPr>
          <w:rFonts w:ascii="Palatino Linotype" w:hAnsi="Palatino Linotype"/>
          <w:color w:val="000000"/>
          <w:sz w:val="24"/>
          <w:szCs w:val="24"/>
        </w:rPr>
        <w:t xml:space="preserve">es de advertirse que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w:t>
      </w:r>
      <w:r w:rsidRPr="00893C7D">
        <w:rPr>
          <w:rFonts w:ascii="Palatino Linotype" w:hAnsi="Palatino Linotype"/>
          <w:color w:val="000000"/>
          <w:sz w:val="24"/>
          <w:szCs w:val="24"/>
        </w:rPr>
        <w:lastRenderedPageBreak/>
        <w:t>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E50BBA" w:rsidRPr="00893C7D" w:rsidRDefault="00E50BBA" w:rsidP="00E50BBA">
      <w:pPr>
        <w:pStyle w:val="Sinespaciado"/>
        <w:spacing w:line="360" w:lineRule="auto"/>
        <w:jc w:val="both"/>
        <w:rPr>
          <w:rFonts w:ascii="Palatino Linotype" w:hAnsi="Palatino Linotype"/>
          <w:color w:val="000000"/>
          <w:sz w:val="24"/>
          <w:szCs w:val="24"/>
        </w:rPr>
      </w:pPr>
    </w:p>
    <w:p w:rsidR="00E50BBA" w:rsidRPr="004E6B5B" w:rsidRDefault="00E50BBA" w:rsidP="00E50BBA">
      <w:pPr>
        <w:pStyle w:val="Sinespaciado"/>
        <w:ind w:left="567" w:right="567"/>
        <w:jc w:val="both"/>
        <w:rPr>
          <w:rFonts w:ascii="Palatino Linotype" w:hAnsi="Palatino Linotype"/>
          <w:b/>
          <w:i/>
        </w:rPr>
      </w:pPr>
      <w:r w:rsidRPr="004E6B5B">
        <w:rPr>
          <w:rFonts w:ascii="Palatino Linotype" w:hAnsi="Palatino Linotype"/>
          <w:b/>
          <w:i/>
        </w:rPr>
        <w:t>Artículo 6</w:t>
      </w:r>
    </w:p>
    <w:p w:rsidR="00E50BBA" w:rsidRPr="004E6B5B" w:rsidRDefault="00E50BBA" w:rsidP="00E50BBA">
      <w:pPr>
        <w:pStyle w:val="Sinespaciado"/>
        <w:ind w:left="567" w:right="567"/>
        <w:jc w:val="both"/>
        <w:rPr>
          <w:rFonts w:ascii="Palatino Linotype" w:hAnsi="Palatino Linotype"/>
          <w:i/>
        </w:rPr>
      </w:pPr>
      <w:r w:rsidRPr="004E6B5B">
        <w:rPr>
          <w:rFonts w:ascii="Palatino Linotype" w:hAnsi="Palatino Linotype"/>
          <w:i/>
        </w:rPr>
        <w:t>…</w:t>
      </w:r>
    </w:p>
    <w:p w:rsidR="00E50BBA" w:rsidRPr="004E6B5B" w:rsidRDefault="00E50BBA" w:rsidP="00E50BBA">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E50BBA" w:rsidRPr="004E6B5B" w:rsidRDefault="00E50BBA" w:rsidP="00E50BBA">
      <w:pPr>
        <w:pStyle w:val="Sinespaciado"/>
        <w:ind w:left="567" w:right="567"/>
        <w:jc w:val="both"/>
        <w:rPr>
          <w:rFonts w:ascii="Palatino Linotype" w:hAnsi="Palatino Linotype"/>
          <w:i/>
        </w:rPr>
      </w:pPr>
    </w:p>
    <w:p w:rsidR="00E50BBA" w:rsidRDefault="00E50BBA" w:rsidP="00E50BBA">
      <w:pPr>
        <w:pStyle w:val="Sinespaciado"/>
        <w:numPr>
          <w:ilvl w:val="0"/>
          <w:numId w:val="14"/>
        </w:numPr>
        <w:ind w:left="993" w:right="567"/>
        <w:jc w:val="both"/>
        <w:rPr>
          <w:rFonts w:ascii="Palatino Linotype" w:hAnsi="Palatino Linotype"/>
          <w:i/>
        </w:rPr>
      </w:pPr>
      <w:r w:rsidRPr="00820C21">
        <w:rPr>
          <w:rFonts w:ascii="Palatino Linotype" w:hAnsi="Palatino Linotype"/>
          <w:b/>
          <w:i/>
          <w:u w:val="single"/>
        </w:rPr>
        <w:t>Toda la información en posesión de cualquier autoridad, entidad, órgano y organismo de los Poderes Ejecutivo</w:t>
      </w:r>
      <w:r w:rsidRPr="00BA7ED8">
        <w:rPr>
          <w:rFonts w:ascii="Palatino Linotype" w:hAnsi="Palatino Linotype"/>
          <w:i/>
        </w:rPr>
        <w:t>,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A7ED8">
        <w:rPr>
          <w:rFonts w:ascii="Palatino Linotype" w:hAnsi="Palatino Linotype"/>
          <w:b/>
          <w:i/>
        </w:rPr>
        <w:t xml:space="preserve"> </w:t>
      </w:r>
      <w:r w:rsidRPr="00820C21">
        <w:rPr>
          <w:rFonts w:ascii="Palatino Linotype" w:hAnsi="Palatino Linotype"/>
          <w:b/>
          <w:i/>
          <w:u w:val="single"/>
        </w:rPr>
        <w:t>es pública</w:t>
      </w:r>
      <w:r w:rsidRPr="004E6B5B">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50BBA" w:rsidRPr="00893C7D" w:rsidRDefault="00E50BBA" w:rsidP="00E50BBA">
      <w:pPr>
        <w:pStyle w:val="Sinespaciado"/>
        <w:spacing w:line="360" w:lineRule="auto"/>
        <w:jc w:val="both"/>
        <w:rPr>
          <w:rFonts w:ascii="Palatino Linotype" w:hAnsi="Palatino Linotype"/>
          <w:sz w:val="24"/>
          <w:szCs w:val="24"/>
        </w:rPr>
      </w:pPr>
    </w:p>
    <w:p w:rsidR="00E50BBA" w:rsidRPr="00893C7D" w:rsidRDefault="00E50BBA" w:rsidP="00E50BBA">
      <w:pPr>
        <w:pStyle w:val="Sinespaciado"/>
        <w:spacing w:line="360" w:lineRule="auto"/>
        <w:jc w:val="both"/>
        <w:rPr>
          <w:rFonts w:ascii="Palatino Linotype" w:hAnsi="Palatino Linotype" w:cs="Arial"/>
          <w:sz w:val="24"/>
          <w:szCs w:val="24"/>
        </w:rPr>
      </w:pPr>
      <w:r w:rsidRPr="00893C7D">
        <w:rPr>
          <w:rFonts w:ascii="Palatino Linotype" w:hAnsi="Palatino Linotype" w:cs="Arial"/>
          <w:sz w:val="24"/>
          <w:szCs w:val="24"/>
        </w:rPr>
        <w:t xml:space="preserve">Ahora bien, en atención a lo dispuesto por los artículos 3, fracción XI y 12 </w:t>
      </w:r>
      <w:r w:rsidRPr="00893C7D">
        <w:rPr>
          <w:rFonts w:ascii="Palatino Linotype" w:hAnsi="Palatino Linotype" w:cs="Arial"/>
          <w:bCs/>
          <w:sz w:val="24"/>
          <w:szCs w:val="24"/>
        </w:rPr>
        <w:t>de la Ley de Transparencia y Acceso a la Información Pública del Estado de México y Municipios</w:t>
      </w:r>
      <w:r w:rsidRPr="00893C7D">
        <w:rPr>
          <w:rFonts w:ascii="Palatino Linotype" w:hAnsi="Palatino Linotype" w:cs="Arial"/>
          <w:sz w:val="24"/>
          <w:szCs w:val="24"/>
        </w:rPr>
        <w:t>, los cuales son del tenor literal siguiente:</w:t>
      </w:r>
    </w:p>
    <w:p w:rsidR="00E50BBA" w:rsidRPr="00893C7D" w:rsidRDefault="00E50BBA" w:rsidP="00E50BBA">
      <w:pPr>
        <w:pStyle w:val="Sinespaciado"/>
        <w:ind w:left="567" w:right="567"/>
        <w:jc w:val="both"/>
        <w:rPr>
          <w:rFonts w:ascii="Palatino Linotype" w:hAnsi="Palatino Linotype"/>
          <w:sz w:val="24"/>
          <w:szCs w:val="24"/>
        </w:rPr>
      </w:pP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i/>
        </w:rPr>
        <w:t>…</w:t>
      </w: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w:t>
      </w:r>
      <w:r w:rsidRPr="00820C21">
        <w:rPr>
          <w:rFonts w:ascii="Palatino Linotype" w:hAnsi="Palatino Linotype"/>
          <w:i/>
        </w:rPr>
        <w:t xml:space="preserve">, </w:t>
      </w:r>
      <w:r w:rsidRPr="00820C21">
        <w:rPr>
          <w:rFonts w:ascii="Palatino Linotype" w:hAnsi="Palatino Linotype"/>
          <w:b/>
          <w:i/>
          <w:u w:val="single"/>
        </w:rPr>
        <w:t>oficios</w:t>
      </w:r>
      <w:r w:rsidRPr="006376FA">
        <w:rPr>
          <w:rFonts w:ascii="Palatino Linotype" w:hAnsi="Palatino Linotype"/>
          <w:i/>
        </w:rPr>
        <w:t xml:space="preserve">, correspondencia, acuerdos, directivas, directrices, circulares, contratos, convenios, </w:t>
      </w:r>
      <w:r w:rsidRPr="006376FA">
        <w:rPr>
          <w:rFonts w:ascii="Palatino Linotype" w:hAnsi="Palatino Linotype"/>
          <w:i/>
        </w:rPr>
        <w:lastRenderedPageBreak/>
        <w:t xml:space="preserve">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E50BBA" w:rsidRPr="006376FA" w:rsidRDefault="00E50BBA" w:rsidP="00E50BBA">
      <w:pPr>
        <w:pStyle w:val="Sinespaciado"/>
        <w:ind w:left="567" w:right="567"/>
        <w:jc w:val="both"/>
        <w:rPr>
          <w:rFonts w:ascii="Palatino Linotype" w:hAnsi="Palatino Linotype"/>
          <w:i/>
        </w:rPr>
      </w:pPr>
    </w:p>
    <w:p w:rsidR="00E50BBA" w:rsidRPr="006376FA" w:rsidRDefault="00E50BBA" w:rsidP="00E50BBA">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50BBA" w:rsidRPr="006376FA" w:rsidRDefault="00E50BBA" w:rsidP="00E50BBA">
      <w:pPr>
        <w:pStyle w:val="Sinespaciado"/>
        <w:ind w:left="567" w:right="567"/>
        <w:jc w:val="both"/>
        <w:rPr>
          <w:rFonts w:ascii="Palatino Linotype" w:hAnsi="Palatino Linotype"/>
          <w:bCs/>
          <w:i/>
        </w:rPr>
      </w:pPr>
    </w:p>
    <w:p w:rsidR="00E50BBA" w:rsidRPr="006376FA" w:rsidRDefault="00E50BBA" w:rsidP="00E50BBA">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50BBA" w:rsidRPr="006376FA" w:rsidRDefault="00E50BBA" w:rsidP="00E50BBA">
      <w:pPr>
        <w:pStyle w:val="Sinespaciado"/>
        <w:ind w:left="567" w:right="567"/>
        <w:jc w:val="both"/>
        <w:rPr>
          <w:rFonts w:ascii="Palatino Linotype" w:hAnsi="Palatino Linotype"/>
          <w:bCs/>
          <w:i/>
        </w:rPr>
      </w:pPr>
    </w:p>
    <w:p w:rsidR="00E50BBA" w:rsidRPr="006376FA" w:rsidRDefault="00E50BBA" w:rsidP="00E50BBA">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E50BBA" w:rsidRPr="006376FA" w:rsidRDefault="00E50BBA" w:rsidP="00E50BBA">
      <w:pPr>
        <w:pStyle w:val="Sinespaciado"/>
        <w:ind w:left="567" w:right="567"/>
        <w:jc w:val="both"/>
        <w:rPr>
          <w:rFonts w:ascii="Palatino Linotype" w:hAnsi="Palatino Linotype"/>
          <w:i/>
        </w:rPr>
      </w:pPr>
    </w:p>
    <w:p w:rsidR="00E50BBA" w:rsidRPr="006376FA" w:rsidRDefault="00E50BBA" w:rsidP="00E50BBA">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E50BBA" w:rsidRPr="006376FA" w:rsidRDefault="00E50BBA" w:rsidP="00E50BBA">
      <w:pPr>
        <w:pStyle w:val="Sinespaciado"/>
        <w:ind w:left="567" w:right="567"/>
        <w:jc w:val="both"/>
        <w:rPr>
          <w:rFonts w:ascii="Palatino Linotype" w:hAnsi="Palatino Linotype"/>
          <w:i/>
        </w:rPr>
      </w:pPr>
    </w:p>
    <w:p w:rsidR="00E50BBA" w:rsidRPr="004E6B5B" w:rsidRDefault="00E50BBA" w:rsidP="00E50BBA">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E50BBA" w:rsidRPr="00893C7D" w:rsidRDefault="00E50BBA" w:rsidP="00E50BBA">
      <w:pPr>
        <w:pStyle w:val="Sinespaciado"/>
        <w:spacing w:line="360" w:lineRule="auto"/>
        <w:jc w:val="both"/>
        <w:rPr>
          <w:rFonts w:ascii="Palatino Linotype" w:hAnsi="Palatino Linotype"/>
          <w:sz w:val="24"/>
          <w:szCs w:val="24"/>
        </w:rPr>
      </w:pPr>
    </w:p>
    <w:p w:rsidR="00E50BBA" w:rsidRDefault="00E50BBA" w:rsidP="00E50BBA">
      <w:pPr>
        <w:pStyle w:val="Sinespaciado"/>
        <w:spacing w:line="360" w:lineRule="auto"/>
        <w:jc w:val="both"/>
        <w:rPr>
          <w:rFonts w:ascii="Palatino Linotype" w:hAnsi="Palatino Linotype"/>
          <w:sz w:val="24"/>
          <w:szCs w:val="24"/>
        </w:rPr>
      </w:pPr>
      <w:r w:rsidRPr="00893C7D">
        <w:rPr>
          <w:rFonts w:ascii="Palatino Linotype" w:hAnsi="Palatino Linotype" w:cs="Arial"/>
          <w:sz w:val="24"/>
          <w:szCs w:val="24"/>
        </w:rPr>
        <w:t xml:space="preserve">De la interpretación a los preceptos citados, se desprende que es información pública la contenida en los documentos, entre ellos los oficios, que los sujetos obligados generen, administren o se encuentren en su posesión en el ejercicio de sus atribuciones </w:t>
      </w:r>
      <w:r w:rsidRPr="00893C7D">
        <w:rPr>
          <w:rFonts w:ascii="Palatino Linotype" w:hAnsi="Palatino Linotype" w:cs="Arial"/>
          <w:sz w:val="24"/>
          <w:szCs w:val="24"/>
        </w:rPr>
        <w:lastRenderedPageBreak/>
        <w:t>y que toda la información generada, obtenida, adquirida, transformada, administrada o en posesión de los sujetos obligados es pública y accesible de manera permanente a cualquier persona.</w:t>
      </w:r>
    </w:p>
    <w:p w:rsidR="00E50BBA" w:rsidRDefault="00E50BBA" w:rsidP="00E50BBA">
      <w:pPr>
        <w:pStyle w:val="Sinespaciado"/>
        <w:spacing w:line="360" w:lineRule="auto"/>
        <w:jc w:val="both"/>
        <w:rPr>
          <w:rFonts w:ascii="Palatino Linotype" w:hAnsi="Palatino Linotype" w:cs="Arial"/>
          <w:sz w:val="24"/>
          <w:szCs w:val="24"/>
        </w:rPr>
      </w:pPr>
    </w:p>
    <w:p w:rsidR="00BA7ED8" w:rsidRDefault="00E50BBA" w:rsidP="00DA45C4">
      <w:pPr>
        <w:pStyle w:val="Sinespaciado"/>
        <w:spacing w:line="360" w:lineRule="auto"/>
        <w:jc w:val="both"/>
        <w:rPr>
          <w:rFonts w:ascii="Palatino Linotype" w:hAnsi="Palatino Linotype"/>
          <w:sz w:val="24"/>
          <w:szCs w:val="24"/>
        </w:rPr>
      </w:pPr>
      <w:r w:rsidRPr="00745488">
        <w:rPr>
          <w:rFonts w:ascii="Palatino Linotype" w:hAnsi="Palatino Linotype"/>
          <w:sz w:val="24"/>
          <w:szCs w:val="24"/>
        </w:rPr>
        <w:t xml:space="preserve">En segundo término, </w:t>
      </w:r>
      <w:r w:rsidR="00F93AAA">
        <w:rPr>
          <w:rFonts w:ascii="Palatino Linotype" w:hAnsi="Palatino Linotype"/>
          <w:sz w:val="24"/>
          <w:szCs w:val="24"/>
        </w:rPr>
        <w:t xml:space="preserve">se debe </w:t>
      </w:r>
      <w:r w:rsidR="00BA7ED8">
        <w:rPr>
          <w:rFonts w:ascii="Palatino Linotype" w:hAnsi="Palatino Linotype"/>
          <w:sz w:val="24"/>
          <w:szCs w:val="24"/>
        </w:rPr>
        <w:t xml:space="preserve">hacer referencia a la información que desea </w:t>
      </w:r>
      <w:r w:rsidR="00CE7BD7">
        <w:rPr>
          <w:rFonts w:ascii="Palatino Linotype" w:hAnsi="Palatino Linotype"/>
          <w:sz w:val="24"/>
          <w:szCs w:val="24"/>
        </w:rPr>
        <w:t xml:space="preserve">obtener </w:t>
      </w:r>
      <w:r w:rsidR="00BB4BDC">
        <w:rPr>
          <w:rFonts w:ascii="Palatino Linotype" w:hAnsi="Palatino Linotype"/>
          <w:sz w:val="24"/>
          <w:szCs w:val="24"/>
        </w:rPr>
        <w:t xml:space="preserve">el hoy Recurrente consiste en los estudios y anexos requeridos por el municipio de Tlalnepantla de Baz a la Coordinación de Regulación Sanitaria </w:t>
      </w:r>
      <w:r w:rsidR="00BB4BDC" w:rsidRPr="00BB4BDC">
        <w:rPr>
          <w:rFonts w:ascii="Palatino Linotype" w:hAnsi="Palatino Linotype"/>
          <w:sz w:val="24"/>
          <w:szCs w:val="24"/>
        </w:rPr>
        <w:t>para determinar la mejor opción de tratamiento de residuos y confirmar el tiempo de vida del relleno sanitario de ese municipio</w:t>
      </w:r>
      <w:r w:rsidR="00BB4BDC">
        <w:rPr>
          <w:rFonts w:ascii="Palatino Linotype" w:hAnsi="Palatino Linotype"/>
          <w:sz w:val="24"/>
          <w:szCs w:val="24"/>
        </w:rPr>
        <w:t>, manifestando que se han solicitado cinco estudios de los cuales han sido atendidos tres por parte del área de Salud Ambiental y Ocupación de esa Coordinación.</w:t>
      </w:r>
    </w:p>
    <w:p w:rsidR="00CE7BD7" w:rsidRDefault="00CE7BD7" w:rsidP="00DA45C4">
      <w:pPr>
        <w:pStyle w:val="Sinespaciado"/>
        <w:spacing w:line="360" w:lineRule="auto"/>
        <w:jc w:val="both"/>
        <w:rPr>
          <w:rFonts w:ascii="Palatino Linotype" w:hAnsi="Palatino Linotype"/>
          <w:sz w:val="24"/>
          <w:szCs w:val="24"/>
        </w:rPr>
      </w:pPr>
    </w:p>
    <w:p w:rsidR="005E1A04" w:rsidRDefault="00CE7BD7"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A lo anterior, el Sujeto Obligado se declaró incompetente para conocer del proceso referido por el p</w:t>
      </w:r>
      <w:r w:rsidR="00A17502">
        <w:rPr>
          <w:rFonts w:ascii="Palatino Linotype" w:hAnsi="Palatino Linotype"/>
          <w:sz w:val="24"/>
          <w:szCs w:val="24"/>
        </w:rPr>
        <w:t>articular, dado que la Coordinación referida pertenece a la estructura del Instituto de Salud del Estado de México, el cual es un</w:t>
      </w:r>
      <w:r w:rsidR="00A17502" w:rsidRPr="00A17502">
        <w:rPr>
          <w:rFonts w:ascii="Palatino Linotype" w:hAnsi="Palatino Linotype"/>
          <w:sz w:val="24"/>
          <w:szCs w:val="24"/>
        </w:rPr>
        <w:t xml:space="preserve"> </w:t>
      </w:r>
      <w:r w:rsidR="00A17502">
        <w:rPr>
          <w:rFonts w:ascii="Palatino Linotype" w:hAnsi="Palatino Linotype"/>
          <w:sz w:val="24"/>
          <w:szCs w:val="24"/>
        </w:rPr>
        <w:t xml:space="preserve">organismo público descentralizado, con personalidad jurídica y patrimonio propios, por lo que no cuenta con la información solicitada y sugiere que se canalice la solicitud a ese Instituto. </w:t>
      </w:r>
    </w:p>
    <w:p w:rsidR="005E1A04" w:rsidRDefault="005E1A04" w:rsidP="00DA45C4">
      <w:pPr>
        <w:pStyle w:val="Sinespaciado"/>
        <w:spacing w:line="360" w:lineRule="auto"/>
        <w:jc w:val="both"/>
        <w:rPr>
          <w:rFonts w:ascii="Palatino Linotype" w:hAnsi="Palatino Linotype"/>
          <w:sz w:val="24"/>
          <w:szCs w:val="24"/>
        </w:rPr>
      </w:pPr>
    </w:p>
    <w:p w:rsidR="001B108B" w:rsidRPr="001D06F1" w:rsidRDefault="005E1A04" w:rsidP="001B108B">
      <w:pPr>
        <w:pStyle w:val="Sinespaciado"/>
        <w:spacing w:line="360" w:lineRule="auto"/>
        <w:jc w:val="both"/>
        <w:rPr>
          <w:rFonts w:ascii="Palatino Linotype" w:hAnsi="Palatino Linotype" w:cs="Arial"/>
          <w:sz w:val="24"/>
          <w:szCs w:val="24"/>
          <w:lang w:eastAsia="es-MX"/>
        </w:rPr>
      </w:pPr>
      <w:r>
        <w:rPr>
          <w:rFonts w:ascii="Palatino Linotype" w:hAnsi="Palatino Linotype"/>
          <w:sz w:val="24"/>
          <w:szCs w:val="24"/>
        </w:rPr>
        <w:t xml:space="preserve">En este punto es necesario resalar que </w:t>
      </w:r>
      <w:r w:rsidR="001B108B">
        <w:rPr>
          <w:rFonts w:ascii="Palatino Linotype" w:hAnsi="Palatino Linotype"/>
          <w:sz w:val="24"/>
          <w:szCs w:val="24"/>
        </w:rPr>
        <w:t xml:space="preserve">el Sujeto Obligado emitió una pronunciamiento en sentido negativo en el sentido de que no cuenta con la información requerida debido a que no genera, posee o administra </w:t>
      </w:r>
      <w:r>
        <w:rPr>
          <w:rFonts w:ascii="Palatino Linotype" w:hAnsi="Palatino Linotype"/>
          <w:sz w:val="24"/>
          <w:szCs w:val="24"/>
        </w:rPr>
        <w:t>la información solicitada en razón de que la Coordinación de Regulación Sanitaria no pertenece a su estructura</w:t>
      </w:r>
      <w:r w:rsidR="007C1B1A">
        <w:rPr>
          <w:rFonts w:ascii="Palatino Linotype" w:hAnsi="Palatino Linotype"/>
          <w:sz w:val="24"/>
          <w:szCs w:val="24"/>
        </w:rPr>
        <w:t>;</w:t>
      </w:r>
      <w:r w:rsidR="001B108B">
        <w:rPr>
          <w:rFonts w:ascii="Palatino Linotype" w:hAnsi="Palatino Linotype"/>
          <w:sz w:val="24"/>
          <w:szCs w:val="24"/>
        </w:rPr>
        <w:t xml:space="preserve"> en virtud de lo anterior, se concluye que la respuesta constituye hechos negativos, pues no se ha generado, poseído o administrado documentos relativos a lo solicitado por el </w:t>
      </w:r>
      <w:r w:rsidR="001B108B">
        <w:rPr>
          <w:rFonts w:ascii="Palatino Linotype" w:hAnsi="Palatino Linotype"/>
          <w:sz w:val="24"/>
          <w:szCs w:val="24"/>
        </w:rPr>
        <w:lastRenderedPageBreak/>
        <w:t xml:space="preserve">Recurrente. </w:t>
      </w:r>
      <w:r w:rsidR="001B108B" w:rsidRPr="001D06F1">
        <w:rPr>
          <w:rFonts w:ascii="Palatino Linotype" w:hAnsi="Palatino Linotype" w:cs="Arial"/>
          <w:sz w:val="24"/>
          <w:szCs w:val="24"/>
          <w:lang w:eastAsia="es-MX"/>
        </w:rPr>
        <w:t>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1B108B" w:rsidRPr="003F6BC5" w:rsidRDefault="001B108B" w:rsidP="001B108B">
      <w:pPr>
        <w:pStyle w:val="Sinespaciado"/>
        <w:spacing w:line="360" w:lineRule="auto"/>
        <w:rPr>
          <w:rFonts w:ascii="Palatino Linotype" w:hAnsi="Palatino Linotype"/>
          <w:sz w:val="24"/>
          <w:szCs w:val="24"/>
          <w:lang w:eastAsia="es-MX"/>
        </w:rPr>
      </w:pPr>
    </w:p>
    <w:p w:rsidR="001B108B" w:rsidRDefault="001B108B" w:rsidP="001B108B">
      <w:pPr>
        <w:ind w:left="567" w:right="567"/>
        <w:jc w:val="both"/>
        <w:rPr>
          <w:rFonts w:ascii="Palatino Linotype" w:hAnsi="Palatino Linotype" w:cs="Arial"/>
          <w:i/>
          <w:lang w:eastAsia="es-MX"/>
        </w:rPr>
      </w:pPr>
      <w:r>
        <w:rPr>
          <w:rFonts w:ascii="Palatino Linotype" w:hAnsi="Palatino Linotype" w:cs="Arial"/>
          <w:b/>
          <w:i/>
          <w:lang w:eastAsia="es-MX"/>
        </w:rPr>
        <w:t>HECHOS NEGATIVOS, NO SON SUSCEPTIBLES DE DEMOSTRACIÓN</w:t>
      </w:r>
      <w:r>
        <w:rPr>
          <w:rFonts w:ascii="Palatino Linotype" w:hAnsi="Palatino Linotype" w:cs="Arial"/>
          <w:i/>
          <w:lang w:eastAsia="es-MX"/>
        </w:rPr>
        <w:t xml:space="preserve">. </w:t>
      </w:r>
    </w:p>
    <w:p w:rsidR="001B108B" w:rsidRDefault="001B108B" w:rsidP="001B108B">
      <w:pPr>
        <w:ind w:left="567" w:right="567"/>
        <w:jc w:val="both"/>
        <w:rPr>
          <w:rFonts w:ascii="Palatino Linotype" w:hAnsi="Palatino Linotype" w:cs="Arial"/>
          <w:i/>
          <w:lang w:eastAsia="es-MX"/>
        </w:rPr>
      </w:pPr>
      <w:r>
        <w:rPr>
          <w:rFonts w:ascii="Palatino Linotype" w:hAnsi="Palatino Linotype" w:cs="Arial"/>
          <w:i/>
          <w:lang w:eastAsia="es-MX"/>
        </w:rPr>
        <w:t>Tratándose de un hecho negativo, el Juez no tiene por qué invocar prueba alguna de la que se desprenda, ya que es bien sabido que esta clase de hechos no son susceptibles de demostración.</w:t>
      </w:r>
    </w:p>
    <w:p w:rsidR="001B108B" w:rsidRDefault="001B108B" w:rsidP="001B108B">
      <w:pPr>
        <w:ind w:left="567" w:right="567"/>
        <w:jc w:val="both"/>
        <w:rPr>
          <w:rFonts w:ascii="Palatino Linotype" w:hAnsi="Palatino Linotype" w:cs="Arial"/>
          <w:i/>
          <w:lang w:eastAsia="es-MX"/>
        </w:rPr>
      </w:pPr>
    </w:p>
    <w:p w:rsidR="001B108B" w:rsidRDefault="001B108B" w:rsidP="001B108B">
      <w:pPr>
        <w:ind w:left="567" w:right="567"/>
        <w:jc w:val="both"/>
        <w:rPr>
          <w:rFonts w:ascii="Palatino Linotype" w:hAnsi="Palatino Linotype" w:cs="Arial"/>
          <w:i/>
          <w:lang w:eastAsia="es-MX"/>
        </w:rPr>
      </w:pPr>
      <w:r>
        <w:rPr>
          <w:rFonts w:ascii="Palatino Linotype" w:hAnsi="Palatino Linotype" w:cs="Arial"/>
          <w:i/>
          <w:lang w:eastAsia="es-MX"/>
        </w:rPr>
        <w:t>Amparo en revisión 2022/61. José García Florín (Menor). 9 de octubre de 1961. Cinco votos. Ponente: José Rivera Pérez Campos.”</w:t>
      </w:r>
    </w:p>
    <w:p w:rsidR="001B108B" w:rsidRPr="001D06F1" w:rsidRDefault="001B108B" w:rsidP="001B108B">
      <w:pPr>
        <w:pStyle w:val="Sinespaciado"/>
        <w:spacing w:line="360" w:lineRule="auto"/>
        <w:jc w:val="both"/>
        <w:rPr>
          <w:rFonts w:ascii="Palatino Linotype" w:hAnsi="Palatino Linotype"/>
          <w:sz w:val="24"/>
          <w:szCs w:val="24"/>
          <w:lang w:eastAsia="es-MX"/>
        </w:rPr>
      </w:pPr>
    </w:p>
    <w:p w:rsidR="001B108B" w:rsidRDefault="001B108B" w:rsidP="001B108B">
      <w:pPr>
        <w:pStyle w:val="Sinespaciado"/>
        <w:spacing w:line="360" w:lineRule="auto"/>
        <w:jc w:val="both"/>
        <w:rPr>
          <w:rFonts w:ascii="Palatino Linotype" w:hAnsi="Palatino Linotype"/>
          <w:sz w:val="24"/>
          <w:szCs w:val="24"/>
        </w:rPr>
      </w:pPr>
      <w:r w:rsidRPr="001D06F1">
        <w:rPr>
          <w:rFonts w:ascii="Palatino Linotype" w:hAnsi="Palatino Linotype"/>
          <w:sz w:val="24"/>
          <w:szCs w:val="24"/>
          <w:lang w:eastAsia="es-MX"/>
        </w:rPr>
        <w:t xml:space="preserve">Además, y de conformidad con lo establecido en el artículo 12 de la Ley de Transparencia y Acceso a la Información Pública del Estado de México y Municipios, </w:t>
      </w:r>
      <w:r>
        <w:rPr>
          <w:rFonts w:ascii="Palatino Linotype" w:hAnsi="Palatino Linotype"/>
          <w:sz w:val="24"/>
          <w:szCs w:val="24"/>
          <w:lang w:eastAsia="es-MX"/>
        </w:rPr>
        <w:t>el Sujeto O</w:t>
      </w:r>
      <w:r w:rsidRPr="001D06F1">
        <w:rPr>
          <w:rFonts w:ascii="Palatino Linotype" w:hAnsi="Palatino Linotype"/>
          <w:sz w:val="24"/>
          <w:szCs w:val="24"/>
          <w:lang w:eastAsia="es-MX"/>
        </w:rPr>
        <w:t>bligado sólo proporcionará la información que obra en sus archivos, lo que a contrario sensu significa que no se está obligado a proporcionar lo que no obre en sus archivos.</w:t>
      </w:r>
    </w:p>
    <w:p w:rsidR="001B108B" w:rsidRDefault="001B108B" w:rsidP="001B108B">
      <w:pPr>
        <w:pStyle w:val="Sinespaciado"/>
        <w:spacing w:line="360" w:lineRule="auto"/>
        <w:jc w:val="both"/>
        <w:rPr>
          <w:rFonts w:ascii="Palatino Linotype" w:hAnsi="Palatino Linotype"/>
          <w:sz w:val="24"/>
          <w:szCs w:val="24"/>
        </w:rPr>
      </w:pPr>
    </w:p>
    <w:p w:rsidR="001B108B" w:rsidRPr="003E48CD" w:rsidRDefault="001B108B" w:rsidP="001B108B">
      <w:pPr>
        <w:pStyle w:val="Sinespaciado"/>
        <w:spacing w:line="360" w:lineRule="auto"/>
        <w:jc w:val="both"/>
        <w:rPr>
          <w:rFonts w:ascii="Palatino Linotype" w:eastAsia="Times New Roman" w:hAnsi="Palatino Linotype"/>
          <w:sz w:val="24"/>
          <w:szCs w:val="24"/>
        </w:rPr>
      </w:pPr>
      <w:r>
        <w:rPr>
          <w:rFonts w:ascii="Palatino Linotype" w:hAnsi="Palatino Linotype"/>
          <w:sz w:val="24"/>
          <w:szCs w:val="24"/>
        </w:rPr>
        <w:t xml:space="preserve">Asimismo, se destaca que el Sujeto Obligado emitió un pronunciamiento. Así, al existir un pronunciamiento, aun en sentido negativo por parte del Sujeto Obligado, </w:t>
      </w:r>
      <w:r w:rsidRPr="003E48CD">
        <w:rPr>
          <w:rFonts w:ascii="Palatino Linotype" w:hAnsi="Palatino Linotype"/>
          <w:sz w:val="24"/>
          <w:szCs w:val="24"/>
          <w:lang w:eastAsia="es-MX"/>
        </w:rPr>
        <w:t xml:space="preserve">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w:t>
      </w:r>
      <w:r w:rsidRPr="003E48CD">
        <w:rPr>
          <w:rFonts w:ascii="Palatino Linotype" w:hAnsi="Palatino Linotype"/>
          <w:sz w:val="24"/>
          <w:szCs w:val="24"/>
          <w:lang w:eastAsia="es-MX"/>
        </w:rPr>
        <w:lastRenderedPageBreak/>
        <w:t>entonces Instituto Federal de Accesos a la Información y Protección de Datos, que a la letra establece lo siguiente:</w:t>
      </w:r>
    </w:p>
    <w:p w:rsidR="001B108B" w:rsidRPr="00427C7F" w:rsidRDefault="001B108B" w:rsidP="001B108B">
      <w:pPr>
        <w:spacing w:line="360" w:lineRule="auto"/>
        <w:jc w:val="both"/>
        <w:rPr>
          <w:rFonts w:ascii="Palatino Linotype" w:hAnsi="Palatino Linotype"/>
          <w:lang w:eastAsia="es-MX"/>
        </w:rPr>
      </w:pPr>
    </w:p>
    <w:p w:rsidR="001B108B" w:rsidRDefault="001B108B" w:rsidP="001B108B">
      <w:pPr>
        <w:pStyle w:val="Sinespaciado"/>
        <w:ind w:left="567" w:right="567"/>
        <w:jc w:val="both"/>
        <w:rPr>
          <w:rFonts w:ascii="Palatino Linotype" w:hAnsi="Palatino Linotype"/>
          <w:sz w:val="24"/>
          <w:szCs w:val="24"/>
        </w:rPr>
      </w:pPr>
      <w:r w:rsidRPr="00AB48CB">
        <w:rPr>
          <w:rFonts w:ascii="Palatino Linotype" w:hAnsi="Palatino Linotype" w:cs="Arial"/>
          <w:b/>
          <w:i/>
          <w:lang w:eastAsia="es-MX"/>
        </w:rPr>
        <w:t>EL INSTITUTO FEDERAL DE ACCESO A LA INFORMACIÓN Y PROTECCIÓN DE DATOS NO CUENTA CON FACULTADES PARA PRONUNCIARSE RESPECTO DE LA VERACIDAD DE LOS DOCUMENTOS PROPORCIONADOS POR LOS SUJETOS OBLIGADOS.</w:t>
      </w:r>
      <w:r w:rsidRPr="00AB48CB">
        <w:rPr>
          <w:rFonts w:ascii="Palatino Linotype" w:hAnsi="Palatino Linotype" w:cs="Arial"/>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w:t>
      </w:r>
      <w:r>
        <w:rPr>
          <w:rFonts w:ascii="Palatino Linotype" w:hAnsi="Palatino Linotype" w:cs="Arial"/>
          <w:i/>
          <w:lang w:eastAsia="es-MX"/>
        </w:rPr>
        <w:t>curso de revisión, al respecto.</w:t>
      </w:r>
    </w:p>
    <w:p w:rsidR="001B108B" w:rsidRDefault="001B108B" w:rsidP="001B108B">
      <w:pPr>
        <w:pStyle w:val="Sinespaciado"/>
        <w:spacing w:line="360" w:lineRule="auto"/>
        <w:jc w:val="both"/>
        <w:rPr>
          <w:rFonts w:ascii="Palatino Linotype" w:hAnsi="Palatino Linotype"/>
          <w:sz w:val="24"/>
          <w:szCs w:val="24"/>
        </w:rPr>
      </w:pPr>
    </w:p>
    <w:p w:rsidR="005E1A04" w:rsidRDefault="007C1B1A"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No obstante, p</w:t>
      </w:r>
      <w:r w:rsidR="0086075F">
        <w:rPr>
          <w:rFonts w:ascii="Palatino Linotype" w:hAnsi="Palatino Linotype"/>
          <w:sz w:val="24"/>
          <w:szCs w:val="24"/>
        </w:rPr>
        <w:t>or lo manifestado por el Sujeto Obligado</w:t>
      </w:r>
      <w:r w:rsidR="00C0339F">
        <w:rPr>
          <w:rFonts w:ascii="Palatino Linotype" w:hAnsi="Palatino Linotype"/>
          <w:sz w:val="24"/>
          <w:szCs w:val="24"/>
        </w:rPr>
        <w:t xml:space="preserve">, </w:t>
      </w:r>
      <w:r w:rsidR="005E1A04">
        <w:rPr>
          <w:rFonts w:ascii="Palatino Linotype" w:hAnsi="Palatino Linotype"/>
          <w:sz w:val="24"/>
          <w:szCs w:val="24"/>
        </w:rPr>
        <w:t xml:space="preserve">se considera </w:t>
      </w:r>
      <w:r w:rsidR="00C0339F">
        <w:rPr>
          <w:rFonts w:ascii="Palatino Linotype" w:hAnsi="Palatino Linotype"/>
          <w:sz w:val="24"/>
          <w:szCs w:val="24"/>
        </w:rPr>
        <w:t xml:space="preserve">viable realizar la verificación de las </w:t>
      </w:r>
      <w:r w:rsidR="005E1A04">
        <w:rPr>
          <w:rFonts w:ascii="Palatino Linotype" w:hAnsi="Palatino Linotype"/>
          <w:sz w:val="24"/>
          <w:szCs w:val="24"/>
        </w:rPr>
        <w:t xml:space="preserve">unidades administrativas pertenecientes a </w:t>
      </w:r>
      <w:r w:rsidR="00C0339F">
        <w:rPr>
          <w:rFonts w:ascii="Palatino Linotype" w:hAnsi="Palatino Linotype"/>
          <w:sz w:val="24"/>
          <w:szCs w:val="24"/>
        </w:rPr>
        <w:t xml:space="preserve">la Secretaría de </w:t>
      </w:r>
      <w:r w:rsidR="005E1A04">
        <w:rPr>
          <w:rFonts w:ascii="Palatino Linotype" w:hAnsi="Palatino Linotype"/>
          <w:sz w:val="24"/>
          <w:szCs w:val="24"/>
        </w:rPr>
        <w:t>Salud que aparecen en e</w:t>
      </w:r>
      <w:r w:rsidR="001B108B">
        <w:rPr>
          <w:rFonts w:ascii="Palatino Linotype" w:hAnsi="Palatino Linotype"/>
          <w:sz w:val="24"/>
          <w:szCs w:val="24"/>
        </w:rPr>
        <w:t xml:space="preserve">l Reglamento Interior de la Secretaría de </w:t>
      </w:r>
      <w:r w:rsidR="005E1A04">
        <w:rPr>
          <w:rFonts w:ascii="Palatino Linotype" w:hAnsi="Palatino Linotype"/>
          <w:sz w:val="24"/>
          <w:szCs w:val="24"/>
        </w:rPr>
        <w:t>Salud, que en sus artículos 2 y 3 estipulan lo siguiente:</w:t>
      </w:r>
    </w:p>
    <w:p w:rsidR="005E1A04" w:rsidRDefault="005E1A04" w:rsidP="00DA45C4">
      <w:pPr>
        <w:pStyle w:val="Sinespaciado"/>
        <w:spacing w:line="360" w:lineRule="auto"/>
        <w:jc w:val="both"/>
        <w:rPr>
          <w:rFonts w:ascii="Palatino Linotype" w:hAnsi="Palatino Linotype"/>
          <w:sz w:val="24"/>
          <w:szCs w:val="24"/>
        </w:rPr>
      </w:pPr>
    </w:p>
    <w:p w:rsidR="00AD2580" w:rsidRPr="00AD2580" w:rsidRDefault="00AD2580" w:rsidP="00AD2580">
      <w:pPr>
        <w:pStyle w:val="Sinespaciado"/>
        <w:ind w:left="567" w:right="567"/>
        <w:jc w:val="both"/>
        <w:rPr>
          <w:rFonts w:ascii="Palatino Linotype" w:hAnsi="Palatino Linotype"/>
          <w:i/>
        </w:rPr>
      </w:pPr>
      <w:r w:rsidRPr="00AD2580">
        <w:rPr>
          <w:rFonts w:ascii="Palatino Linotype" w:hAnsi="Palatino Linotype"/>
          <w:b/>
          <w:i/>
        </w:rPr>
        <w:t>Artículo 2.</w:t>
      </w:r>
      <w:r w:rsidRPr="00AD2580">
        <w:rPr>
          <w:rFonts w:ascii="Palatino Linotype" w:hAnsi="Palatino Linotype"/>
          <w:i/>
        </w:rPr>
        <w:t xml:space="preserve"> La Secretaría de Salud tiene a su cargo el despacho de los asuntos que le encomiendan la Ley Orgánica de la Administración Pública del Estado de México, el Libro Segundo del Código Administrativo del Estado de México, el Reglamento de Salud del Estado de México y en otras leyes, reglamentos, decretos, acuerdos y demás disposiciones que expida el Gobernador Constitucional del Estado de México o aquellos que por razón de sus atribuciones le correspondan.</w:t>
      </w:r>
    </w:p>
    <w:p w:rsidR="00AD2580" w:rsidRPr="00AD2580" w:rsidRDefault="00AD2580" w:rsidP="00AD2580">
      <w:pPr>
        <w:pStyle w:val="Sinespaciado"/>
        <w:ind w:left="567" w:right="567"/>
        <w:jc w:val="both"/>
        <w:rPr>
          <w:rFonts w:ascii="Palatino Linotype" w:hAnsi="Palatino Linotype"/>
          <w:i/>
        </w:rPr>
      </w:pPr>
    </w:p>
    <w:p w:rsidR="00AD2580" w:rsidRPr="00AD2580" w:rsidRDefault="00AD2580" w:rsidP="00AD2580">
      <w:pPr>
        <w:pStyle w:val="Sinespaciado"/>
        <w:ind w:left="567" w:right="567"/>
        <w:jc w:val="both"/>
        <w:rPr>
          <w:rFonts w:ascii="Palatino Linotype" w:hAnsi="Palatino Linotype"/>
          <w:i/>
        </w:rPr>
      </w:pPr>
      <w:r w:rsidRPr="00AD2580">
        <w:rPr>
          <w:rFonts w:ascii="Palatino Linotype" w:hAnsi="Palatino Linotype"/>
          <w:b/>
          <w:i/>
        </w:rPr>
        <w:lastRenderedPageBreak/>
        <w:t>Artículo 3.</w:t>
      </w:r>
      <w:r w:rsidRPr="00AD2580">
        <w:rPr>
          <w:rFonts w:ascii="Palatino Linotype" w:hAnsi="Palatino Linotype"/>
          <w:i/>
        </w:rPr>
        <w:t xml:space="preserve"> Para el estudio, planeación y despacho de los asuntos de su competencia, así como para atender las funciones de control y evaluación que le corresponden, la Secretaría contará con un Secretario, quien se auxiliará de las unidades administrativas siguientes:</w:t>
      </w:r>
    </w:p>
    <w:p w:rsidR="00AD2580" w:rsidRPr="00AD2580" w:rsidRDefault="00AD2580" w:rsidP="00AD2580">
      <w:pPr>
        <w:pStyle w:val="Sinespaciado"/>
        <w:ind w:left="567" w:right="567"/>
        <w:jc w:val="both"/>
        <w:rPr>
          <w:rFonts w:ascii="Palatino Linotype" w:hAnsi="Palatino Linotype"/>
          <w:i/>
        </w:rPr>
      </w:pPr>
      <w:r w:rsidRPr="00AD2580">
        <w:rPr>
          <w:rFonts w:ascii="Palatino Linotype" w:hAnsi="Palatino Linotype"/>
          <w:i/>
        </w:rPr>
        <w:t>I. Unidad de Estudios y Proyectos Especiales.</w:t>
      </w:r>
    </w:p>
    <w:p w:rsidR="00AD2580" w:rsidRPr="00AD2580" w:rsidRDefault="00AD2580" w:rsidP="00AD2580">
      <w:pPr>
        <w:pStyle w:val="Sinespaciado"/>
        <w:ind w:left="567" w:right="567"/>
        <w:jc w:val="both"/>
        <w:rPr>
          <w:rFonts w:ascii="Palatino Linotype" w:hAnsi="Palatino Linotype"/>
          <w:i/>
        </w:rPr>
      </w:pPr>
      <w:r w:rsidRPr="00AD2580">
        <w:rPr>
          <w:rFonts w:ascii="Palatino Linotype" w:hAnsi="Palatino Linotype"/>
          <w:i/>
        </w:rPr>
        <w:t>II. Oficina Ejecutiva de Vinculación Interinstitucional.</w:t>
      </w:r>
    </w:p>
    <w:p w:rsidR="00AD2580" w:rsidRPr="00AD2580" w:rsidRDefault="00AD2580" w:rsidP="00AD2580">
      <w:pPr>
        <w:pStyle w:val="Sinespaciado"/>
        <w:ind w:left="567" w:right="567"/>
        <w:jc w:val="both"/>
        <w:rPr>
          <w:rFonts w:ascii="Palatino Linotype" w:hAnsi="Palatino Linotype"/>
          <w:i/>
        </w:rPr>
      </w:pPr>
      <w:r w:rsidRPr="00AD2580">
        <w:rPr>
          <w:rFonts w:ascii="Palatino Linotype" w:hAnsi="Palatino Linotype"/>
          <w:i/>
        </w:rPr>
        <w:t>III. Coordinación Jurídica.</w:t>
      </w:r>
    </w:p>
    <w:p w:rsidR="00AD2580" w:rsidRPr="00AD2580" w:rsidRDefault="00AD2580" w:rsidP="00AD2580">
      <w:pPr>
        <w:pStyle w:val="Sinespaciado"/>
        <w:ind w:left="567" w:right="567"/>
        <w:jc w:val="both"/>
        <w:rPr>
          <w:rFonts w:ascii="Palatino Linotype" w:hAnsi="Palatino Linotype"/>
          <w:i/>
        </w:rPr>
      </w:pPr>
      <w:r w:rsidRPr="00AD2580">
        <w:rPr>
          <w:rFonts w:ascii="Palatino Linotype" w:hAnsi="Palatino Linotype"/>
          <w:i/>
        </w:rPr>
        <w:t>IV. Coordinación Administrativa.</w:t>
      </w:r>
    </w:p>
    <w:p w:rsidR="00AD2580" w:rsidRPr="00AD2580" w:rsidRDefault="00AD2580" w:rsidP="00AD2580">
      <w:pPr>
        <w:pStyle w:val="Sinespaciado"/>
        <w:ind w:left="567" w:right="567"/>
        <w:jc w:val="both"/>
        <w:rPr>
          <w:rFonts w:ascii="Palatino Linotype" w:hAnsi="Palatino Linotype"/>
          <w:i/>
        </w:rPr>
      </w:pPr>
      <w:r w:rsidRPr="00AD2580">
        <w:rPr>
          <w:rFonts w:ascii="Palatino Linotype" w:hAnsi="Palatino Linotype"/>
          <w:i/>
        </w:rPr>
        <w:t>V. Coordinación de Hospitales de Alta Especialidad.</w:t>
      </w:r>
    </w:p>
    <w:p w:rsidR="00AD2580" w:rsidRPr="00AD2580" w:rsidRDefault="00AD2580" w:rsidP="00AD2580">
      <w:pPr>
        <w:pStyle w:val="Sinespaciado"/>
        <w:ind w:left="567" w:right="567"/>
        <w:jc w:val="both"/>
        <w:rPr>
          <w:rFonts w:ascii="Palatino Linotype" w:hAnsi="Palatino Linotype"/>
          <w:i/>
        </w:rPr>
      </w:pPr>
      <w:r w:rsidRPr="00AD2580">
        <w:rPr>
          <w:rFonts w:ascii="Palatino Linotype" w:hAnsi="Palatino Linotype"/>
          <w:i/>
        </w:rPr>
        <w:t>VI. Coordinación Estatal de Lactancia Materna y Bancos de Leche.</w:t>
      </w:r>
    </w:p>
    <w:p w:rsidR="00AD2580" w:rsidRPr="00AD2580" w:rsidRDefault="00AD2580" w:rsidP="00AD2580">
      <w:pPr>
        <w:pStyle w:val="Sinespaciado"/>
        <w:ind w:left="567" w:right="567"/>
        <w:jc w:val="both"/>
        <w:rPr>
          <w:rFonts w:ascii="Palatino Linotype" w:hAnsi="Palatino Linotype"/>
          <w:i/>
        </w:rPr>
      </w:pPr>
      <w:r w:rsidRPr="00AD2580">
        <w:rPr>
          <w:rFonts w:ascii="Palatino Linotype" w:hAnsi="Palatino Linotype"/>
          <w:i/>
        </w:rPr>
        <w:t>VII. Coordinación de Voluntades Anticipadas.</w:t>
      </w:r>
    </w:p>
    <w:p w:rsidR="00AD2580" w:rsidRPr="00AD2580" w:rsidRDefault="00AD2580" w:rsidP="00AD2580">
      <w:pPr>
        <w:pStyle w:val="Sinespaciado"/>
        <w:ind w:left="567" w:right="567"/>
        <w:jc w:val="both"/>
        <w:rPr>
          <w:rFonts w:ascii="Palatino Linotype" w:hAnsi="Palatino Linotype"/>
          <w:i/>
        </w:rPr>
      </w:pPr>
      <w:r w:rsidRPr="00AD2580">
        <w:rPr>
          <w:rFonts w:ascii="Palatino Linotype" w:hAnsi="Palatino Linotype"/>
          <w:i/>
        </w:rPr>
        <w:t>VIII. Contraloría Interna.</w:t>
      </w:r>
    </w:p>
    <w:p w:rsidR="00AD2580" w:rsidRPr="00AD2580" w:rsidRDefault="00AD2580" w:rsidP="00AD2580">
      <w:pPr>
        <w:pStyle w:val="Sinespaciado"/>
        <w:ind w:left="567" w:right="567"/>
        <w:jc w:val="both"/>
        <w:rPr>
          <w:rFonts w:ascii="Palatino Linotype" w:hAnsi="Palatino Linotype"/>
          <w:i/>
        </w:rPr>
      </w:pPr>
    </w:p>
    <w:p w:rsidR="005E1A04" w:rsidRPr="00AD2580" w:rsidRDefault="00AD2580" w:rsidP="00AD2580">
      <w:pPr>
        <w:pStyle w:val="Sinespaciado"/>
        <w:ind w:left="567" w:right="567"/>
        <w:jc w:val="both"/>
        <w:rPr>
          <w:rFonts w:ascii="Palatino Linotype" w:hAnsi="Palatino Linotype"/>
          <w:i/>
        </w:rPr>
      </w:pPr>
      <w:r w:rsidRPr="00AD2580">
        <w:rPr>
          <w:rFonts w:ascii="Palatino Linotype" w:hAnsi="Palatino Linotype"/>
          <w:i/>
        </w:rPr>
        <w:t>La Secretaría se auxiliará de los organismos auxiliares que le sean sectorizados, en términos de las disposiciones aplicables.</w:t>
      </w:r>
    </w:p>
    <w:p w:rsidR="00AD2580" w:rsidRPr="00AD2580" w:rsidRDefault="00AD2580" w:rsidP="00AD2580">
      <w:pPr>
        <w:pStyle w:val="Sinespaciado"/>
        <w:ind w:left="567" w:right="567"/>
        <w:jc w:val="both"/>
        <w:rPr>
          <w:rFonts w:ascii="Palatino Linotype" w:hAnsi="Palatino Linotype"/>
          <w:i/>
        </w:rPr>
      </w:pPr>
    </w:p>
    <w:p w:rsidR="00AD2580" w:rsidRPr="00AD2580" w:rsidRDefault="00AD2580" w:rsidP="00AD2580">
      <w:pPr>
        <w:pStyle w:val="Sinespaciado"/>
        <w:ind w:left="567" w:right="567"/>
        <w:jc w:val="both"/>
        <w:rPr>
          <w:rFonts w:ascii="Palatino Linotype" w:hAnsi="Palatino Linotype"/>
          <w:i/>
        </w:rPr>
      </w:pPr>
      <w:r w:rsidRPr="00AD2580">
        <w:rPr>
          <w:rFonts w:ascii="Palatino Linotype" w:hAnsi="Palatino Linotype"/>
          <w:i/>
        </w:rPr>
        <w:t>El Secretario contará con el número de asesores y órganos técnicos y administrativos necesarios para el cumplimiento de sus atribuciones, de acuerdo con la normatividad, presupuesto y estructura de organización autorizada.</w:t>
      </w:r>
    </w:p>
    <w:p w:rsidR="00AD2580" w:rsidRDefault="00AD2580" w:rsidP="00DA45C4">
      <w:pPr>
        <w:pStyle w:val="Sinespaciado"/>
        <w:spacing w:line="360" w:lineRule="auto"/>
        <w:jc w:val="both"/>
        <w:rPr>
          <w:rFonts w:ascii="Palatino Linotype" w:hAnsi="Palatino Linotype"/>
          <w:sz w:val="24"/>
          <w:szCs w:val="24"/>
        </w:rPr>
      </w:pPr>
    </w:p>
    <w:p w:rsidR="00AD2580" w:rsidRDefault="00AD2580"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De los artículos anteriores se desprende que el Sujeto Obligado no cuenta entre sus unidades administrativas con la Coordinación de Protección Sanitaria, por lo que se estima necesario verificar si el Instituto de Salud del Estado de México es el competente para conocer de la solicitud del Recurrente.</w:t>
      </w:r>
    </w:p>
    <w:p w:rsidR="00AD2580" w:rsidRDefault="00AD2580" w:rsidP="00DA45C4">
      <w:pPr>
        <w:pStyle w:val="Sinespaciado"/>
        <w:spacing w:line="360" w:lineRule="auto"/>
        <w:jc w:val="both"/>
        <w:rPr>
          <w:rFonts w:ascii="Palatino Linotype" w:hAnsi="Palatino Linotype"/>
          <w:sz w:val="24"/>
          <w:szCs w:val="24"/>
        </w:rPr>
      </w:pPr>
    </w:p>
    <w:p w:rsidR="00AD2580" w:rsidRDefault="00AD2580"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Para tal fin, es menester remitirse al </w:t>
      </w:r>
      <w:r w:rsidR="00421FC3">
        <w:rPr>
          <w:rFonts w:ascii="Palatino Linotype" w:hAnsi="Palatino Linotype"/>
          <w:sz w:val="24"/>
          <w:szCs w:val="24"/>
        </w:rPr>
        <w:t>Manual General de Organización del Instituto de Salud del Estado de México, publicado en el Periódico O</w:t>
      </w:r>
      <w:r w:rsidR="00E57FD5">
        <w:rPr>
          <w:rFonts w:ascii="Palatino Linotype" w:hAnsi="Palatino Linotype"/>
          <w:sz w:val="24"/>
          <w:szCs w:val="24"/>
        </w:rPr>
        <w:t>ficial Gaceta del Gobierno el día dieciocho de diciembre de dos mil trece. En dicho Manual se observa que en la estructura de ese Instituto se encuentra la Coordinación de Regulación Sanitaria, como puede observarse en la siguiente imagen:</w:t>
      </w:r>
    </w:p>
    <w:p w:rsidR="00E57FD5" w:rsidRDefault="00E57FD5" w:rsidP="00DA45C4">
      <w:pPr>
        <w:pStyle w:val="Sinespaciado"/>
        <w:spacing w:line="360" w:lineRule="auto"/>
        <w:jc w:val="both"/>
        <w:rPr>
          <w:rFonts w:ascii="Palatino Linotype" w:hAnsi="Palatino Linotype"/>
          <w:sz w:val="24"/>
          <w:szCs w:val="24"/>
        </w:rPr>
      </w:pPr>
    </w:p>
    <w:p w:rsidR="00E57FD5" w:rsidRDefault="00E57FD5" w:rsidP="00DA45C4">
      <w:pPr>
        <w:pStyle w:val="Sinespaciado"/>
        <w:spacing w:line="360" w:lineRule="auto"/>
        <w:jc w:val="both"/>
        <w:rPr>
          <w:noProof/>
          <w:lang w:eastAsia="es-MX"/>
        </w:rPr>
      </w:pPr>
    </w:p>
    <w:p w:rsidR="00E57FD5" w:rsidRDefault="00E57FD5" w:rsidP="00E57FD5">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1E13E9C8" wp14:editId="63CC183C">
            <wp:extent cx="5167424" cy="52014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178" t="25604" r="47760" b="24161"/>
                    <a:stretch/>
                  </pic:blipFill>
                  <pic:spPr bwMode="auto">
                    <a:xfrm>
                      <a:off x="0" y="0"/>
                      <a:ext cx="5224471" cy="5258842"/>
                    </a:xfrm>
                    <a:prstGeom prst="rect">
                      <a:avLst/>
                    </a:prstGeom>
                    <a:ln>
                      <a:noFill/>
                    </a:ln>
                    <a:extLst>
                      <a:ext uri="{53640926-AAD7-44D8-BBD7-CCE9431645EC}">
                        <a14:shadowObscured xmlns:a14="http://schemas.microsoft.com/office/drawing/2010/main"/>
                      </a:ext>
                    </a:extLst>
                  </pic:spPr>
                </pic:pic>
              </a:graphicData>
            </a:graphic>
          </wp:inline>
        </w:drawing>
      </w:r>
    </w:p>
    <w:p w:rsidR="00E57FD5" w:rsidRDefault="00E57FD5" w:rsidP="00E57FD5">
      <w:pPr>
        <w:pStyle w:val="Sinespaciado"/>
        <w:spacing w:line="360" w:lineRule="auto"/>
        <w:jc w:val="center"/>
        <w:rPr>
          <w:rFonts w:ascii="Palatino Linotype" w:hAnsi="Palatino Linotype"/>
          <w:sz w:val="24"/>
          <w:szCs w:val="24"/>
        </w:rPr>
      </w:pPr>
      <w:r>
        <w:rPr>
          <w:noProof/>
          <w:lang w:eastAsia="es-MX"/>
        </w:rPr>
        <w:drawing>
          <wp:inline distT="0" distB="0" distL="0" distR="0" wp14:anchorId="07AAEF02" wp14:editId="261A986E">
            <wp:extent cx="5169555" cy="1520456"/>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053" t="64994" r="43697" b="20229"/>
                    <a:stretch/>
                  </pic:blipFill>
                  <pic:spPr bwMode="auto">
                    <a:xfrm>
                      <a:off x="0" y="0"/>
                      <a:ext cx="5322929" cy="1565566"/>
                    </a:xfrm>
                    <a:prstGeom prst="rect">
                      <a:avLst/>
                    </a:prstGeom>
                    <a:ln>
                      <a:noFill/>
                    </a:ln>
                    <a:extLst>
                      <a:ext uri="{53640926-AAD7-44D8-BBD7-CCE9431645EC}">
                        <a14:shadowObscured xmlns:a14="http://schemas.microsoft.com/office/drawing/2010/main"/>
                      </a:ext>
                    </a:extLst>
                  </pic:spPr>
                </pic:pic>
              </a:graphicData>
            </a:graphic>
          </wp:inline>
        </w:drawing>
      </w:r>
    </w:p>
    <w:p w:rsidR="00E57FD5" w:rsidRDefault="00E57FD5" w:rsidP="00DA45C4">
      <w:pPr>
        <w:pStyle w:val="Sinespaciado"/>
        <w:spacing w:line="360" w:lineRule="auto"/>
        <w:jc w:val="both"/>
        <w:rPr>
          <w:rFonts w:ascii="Palatino Linotype" w:hAnsi="Palatino Linotype"/>
          <w:sz w:val="24"/>
          <w:szCs w:val="24"/>
        </w:rPr>
      </w:pPr>
    </w:p>
    <w:p w:rsidR="00E57FD5" w:rsidRDefault="00E57FD5"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En ese mismo cuerpo normativo se observa lo siguiente:</w:t>
      </w:r>
    </w:p>
    <w:p w:rsidR="00E57FD5" w:rsidRDefault="00E57FD5" w:rsidP="00DA45C4">
      <w:pPr>
        <w:pStyle w:val="Sinespaciado"/>
        <w:spacing w:line="360" w:lineRule="auto"/>
        <w:jc w:val="both"/>
        <w:rPr>
          <w:rFonts w:ascii="Palatino Linotype" w:hAnsi="Palatino Linotype"/>
          <w:sz w:val="24"/>
          <w:szCs w:val="24"/>
        </w:rPr>
      </w:pPr>
      <w:r>
        <w:rPr>
          <w:noProof/>
          <w:lang w:eastAsia="es-MX"/>
        </w:rPr>
        <w:drawing>
          <wp:inline distT="0" distB="0" distL="0" distR="0" wp14:anchorId="080B8A9E" wp14:editId="3F66A69C">
            <wp:extent cx="5679172" cy="3349256"/>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964" t="25604" r="27636" b="21534"/>
                    <a:stretch/>
                  </pic:blipFill>
                  <pic:spPr bwMode="auto">
                    <a:xfrm>
                      <a:off x="0" y="0"/>
                      <a:ext cx="5719671" cy="3373140"/>
                    </a:xfrm>
                    <a:prstGeom prst="rect">
                      <a:avLst/>
                    </a:prstGeom>
                    <a:ln>
                      <a:noFill/>
                    </a:ln>
                    <a:extLst>
                      <a:ext uri="{53640926-AAD7-44D8-BBD7-CCE9431645EC}">
                        <a14:shadowObscured xmlns:a14="http://schemas.microsoft.com/office/drawing/2010/main"/>
                      </a:ext>
                    </a:extLst>
                  </pic:spPr>
                </pic:pic>
              </a:graphicData>
            </a:graphic>
          </wp:inline>
        </w:drawing>
      </w:r>
    </w:p>
    <w:p w:rsidR="00E57FD5" w:rsidRDefault="00E57FD5" w:rsidP="00DA45C4">
      <w:pPr>
        <w:pStyle w:val="Sinespaciado"/>
        <w:spacing w:line="360" w:lineRule="auto"/>
        <w:jc w:val="both"/>
        <w:rPr>
          <w:rFonts w:ascii="Palatino Linotype" w:hAnsi="Palatino Linotype"/>
          <w:sz w:val="24"/>
          <w:szCs w:val="24"/>
        </w:rPr>
      </w:pPr>
      <w:r>
        <w:rPr>
          <w:noProof/>
          <w:lang w:eastAsia="es-MX"/>
        </w:rPr>
        <w:drawing>
          <wp:inline distT="0" distB="0" distL="0" distR="0" wp14:anchorId="419E0D7F" wp14:editId="0927A7F9">
            <wp:extent cx="5666953" cy="30515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394" t="21664" r="23210" b="30071"/>
                    <a:stretch/>
                  </pic:blipFill>
                  <pic:spPr bwMode="auto">
                    <a:xfrm>
                      <a:off x="0" y="0"/>
                      <a:ext cx="5726565" cy="3083645"/>
                    </a:xfrm>
                    <a:prstGeom prst="rect">
                      <a:avLst/>
                    </a:prstGeom>
                    <a:ln>
                      <a:noFill/>
                    </a:ln>
                    <a:extLst>
                      <a:ext uri="{53640926-AAD7-44D8-BBD7-CCE9431645EC}">
                        <a14:shadowObscured xmlns:a14="http://schemas.microsoft.com/office/drawing/2010/main"/>
                      </a:ext>
                    </a:extLst>
                  </pic:spPr>
                </pic:pic>
              </a:graphicData>
            </a:graphic>
          </wp:inline>
        </w:drawing>
      </w:r>
    </w:p>
    <w:p w:rsidR="00E57FD5" w:rsidRDefault="00E57FD5" w:rsidP="00DA45C4">
      <w:pPr>
        <w:pStyle w:val="Sinespaciado"/>
        <w:spacing w:line="360" w:lineRule="auto"/>
        <w:jc w:val="both"/>
        <w:rPr>
          <w:rFonts w:ascii="Palatino Linotype" w:hAnsi="Palatino Linotype"/>
          <w:sz w:val="24"/>
          <w:szCs w:val="24"/>
        </w:rPr>
      </w:pPr>
    </w:p>
    <w:p w:rsidR="00E57FD5" w:rsidRDefault="00E57FD5"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En ese mismo tenor, en el Manual en cita se establece que el Departamento de Salud Ambiental y Ocupacional referido por el Recurrente es un área adscrita a la Coordinación de Regulación Sanitaria y tiene por objetivo prevenir los riesgos y daños para la salud pública, derivados del proceso y uso de plaguicidas, fertilizantes y sustancias tóxicas; la calidad del agua</w:t>
      </w:r>
      <w:r w:rsidR="00094E75">
        <w:rPr>
          <w:rFonts w:ascii="Palatino Linotype" w:hAnsi="Palatino Linotype"/>
          <w:sz w:val="24"/>
          <w:szCs w:val="24"/>
        </w:rPr>
        <w:t xml:space="preserve"> para uso y consumo humano; la recolección, tratamiento y destino final de desechos líquidos y sólidos humanos, domésticos e industriales que afecten la salud humana; así como el manejo de sustancias, maquinaria, equipos y aparatos que representen un riesgo para la salud del personal ocupacionalmente expuesto.</w:t>
      </w:r>
    </w:p>
    <w:p w:rsidR="00094E75" w:rsidRDefault="00094E75" w:rsidP="00DA45C4">
      <w:pPr>
        <w:pStyle w:val="Sinespaciado"/>
        <w:spacing w:line="360" w:lineRule="auto"/>
        <w:jc w:val="both"/>
        <w:rPr>
          <w:rFonts w:ascii="Palatino Linotype" w:hAnsi="Palatino Linotype"/>
          <w:sz w:val="24"/>
          <w:szCs w:val="24"/>
        </w:rPr>
      </w:pPr>
    </w:p>
    <w:p w:rsidR="00094E75" w:rsidRDefault="00094E75" w:rsidP="00DA45C4">
      <w:pPr>
        <w:pStyle w:val="Sinespaciado"/>
        <w:spacing w:line="360" w:lineRule="auto"/>
        <w:jc w:val="both"/>
        <w:rPr>
          <w:rFonts w:ascii="Palatino Linotype" w:hAnsi="Palatino Linotype"/>
          <w:sz w:val="24"/>
          <w:szCs w:val="24"/>
        </w:rPr>
      </w:pPr>
      <w:r>
        <w:rPr>
          <w:rFonts w:ascii="Palatino Linotype" w:hAnsi="Palatino Linotype"/>
          <w:sz w:val="24"/>
          <w:szCs w:val="24"/>
        </w:rPr>
        <w:t>En consecuencia, es evidente que el Sujeto Obligado no es la instancia competente para generar, poseer o administrar la información solicitada por el Recurrente, puesto que es el Instituto de Salud del Estado de México quien cuenta con la unidad administrativa con las atribuciones para conocer de la solicitud de información; máxime que dicho Instituto es considerado como un sujeto obligado independiente, en apego a lo dispuesto en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el Periódico Oficial Gaceta del Gobierno el día veintisiete de febrero de dos mil diecisiete, visible en el numeral 91 del Ramo Salud.</w:t>
      </w:r>
    </w:p>
    <w:p w:rsidR="00E57FD5" w:rsidRDefault="00E57FD5" w:rsidP="00DA45C4">
      <w:pPr>
        <w:pStyle w:val="Sinespaciado"/>
        <w:spacing w:line="360" w:lineRule="auto"/>
        <w:jc w:val="both"/>
        <w:rPr>
          <w:rFonts w:ascii="Palatino Linotype" w:hAnsi="Palatino Linotype"/>
          <w:sz w:val="24"/>
          <w:szCs w:val="24"/>
        </w:rPr>
      </w:pPr>
    </w:p>
    <w:p w:rsidR="00D94304" w:rsidRDefault="00094E75" w:rsidP="001D06F1">
      <w:pPr>
        <w:pStyle w:val="Sinespaciado"/>
        <w:spacing w:line="360" w:lineRule="auto"/>
        <w:jc w:val="both"/>
        <w:rPr>
          <w:rFonts w:ascii="Palatino Linotype" w:hAnsi="Palatino Linotype"/>
          <w:sz w:val="24"/>
          <w:szCs w:val="24"/>
          <w:lang w:eastAsia="es-MX"/>
        </w:rPr>
      </w:pPr>
      <w:r>
        <w:rPr>
          <w:rFonts w:ascii="Palatino Linotype" w:hAnsi="Palatino Linotype"/>
          <w:sz w:val="24"/>
          <w:szCs w:val="24"/>
        </w:rPr>
        <w:t xml:space="preserve">No obstante, </w:t>
      </w:r>
      <w:r w:rsidR="00D94304">
        <w:rPr>
          <w:rFonts w:ascii="Palatino Linotype" w:hAnsi="Palatino Linotype"/>
          <w:sz w:val="24"/>
          <w:szCs w:val="24"/>
          <w:lang w:eastAsia="es-MX"/>
        </w:rPr>
        <w:t xml:space="preserve">si bien es cierto que el Sujeto Obligado manifestó que no generó, poseyó o administró la información solicitada, también lo es que la misma </w:t>
      </w:r>
      <w:r w:rsidR="00586461">
        <w:rPr>
          <w:rFonts w:ascii="Palatino Linotype" w:hAnsi="Palatino Linotype"/>
          <w:sz w:val="24"/>
          <w:szCs w:val="24"/>
          <w:lang w:eastAsia="es-MX"/>
        </w:rPr>
        <w:t xml:space="preserve">es competencia de </w:t>
      </w:r>
      <w:r w:rsidR="00586461">
        <w:rPr>
          <w:rFonts w:ascii="Palatino Linotype" w:hAnsi="Palatino Linotype"/>
          <w:sz w:val="24"/>
          <w:szCs w:val="24"/>
          <w:lang w:eastAsia="es-MX"/>
        </w:rPr>
        <w:lastRenderedPageBreak/>
        <w:t xml:space="preserve">otra autoridad, en el caso en concreto del </w:t>
      </w:r>
      <w:r>
        <w:rPr>
          <w:rFonts w:ascii="Palatino Linotype" w:hAnsi="Palatino Linotype"/>
          <w:sz w:val="24"/>
          <w:szCs w:val="24"/>
          <w:lang w:eastAsia="es-MX"/>
        </w:rPr>
        <w:t>Instituto de Salud del Estado de México</w:t>
      </w:r>
      <w:r w:rsidR="00586461">
        <w:rPr>
          <w:rFonts w:ascii="Palatino Linotype" w:hAnsi="Palatino Linotype"/>
          <w:sz w:val="24"/>
          <w:szCs w:val="24"/>
          <w:lang w:eastAsia="es-MX"/>
        </w:rPr>
        <w:t xml:space="preserve">, </w:t>
      </w:r>
      <w:r w:rsidR="00883F0B">
        <w:rPr>
          <w:rFonts w:ascii="Palatino Linotype" w:hAnsi="Palatino Linotype"/>
          <w:sz w:val="24"/>
          <w:szCs w:val="24"/>
          <w:lang w:eastAsia="es-MX"/>
        </w:rPr>
        <w:t>por lo que lo procedente era</w:t>
      </w:r>
      <w:r w:rsidR="00D94304">
        <w:rPr>
          <w:rFonts w:ascii="Palatino Linotype" w:hAnsi="Palatino Linotype"/>
          <w:sz w:val="24"/>
          <w:szCs w:val="24"/>
          <w:lang w:eastAsia="es-MX"/>
        </w:rPr>
        <w:t xml:space="preserve"> declarar la incompetencia para conocer de lo requerido</w:t>
      </w:r>
      <w:r w:rsidR="00883F0B">
        <w:rPr>
          <w:rFonts w:ascii="Palatino Linotype" w:hAnsi="Palatino Linotype"/>
          <w:sz w:val="24"/>
          <w:szCs w:val="24"/>
          <w:lang w:eastAsia="es-MX"/>
        </w:rPr>
        <w:t>, lo cual no fue realizado por el Sujeto Obligado</w:t>
      </w:r>
      <w:r w:rsidR="00586461">
        <w:rPr>
          <w:rFonts w:ascii="Palatino Linotype" w:hAnsi="Palatino Linotype"/>
          <w:sz w:val="24"/>
          <w:szCs w:val="24"/>
          <w:lang w:eastAsia="es-MX"/>
        </w:rPr>
        <w:t xml:space="preserve"> en el término establecido </w:t>
      </w:r>
      <w:r w:rsidR="00883F0B">
        <w:rPr>
          <w:rFonts w:ascii="Palatino Linotype" w:hAnsi="Palatino Linotype"/>
          <w:sz w:val="24"/>
          <w:szCs w:val="24"/>
          <w:lang w:eastAsia="es-MX"/>
        </w:rPr>
        <w:t>por el artículo 167 de la Ley de la Materia, que a la letra establece lo siguiente:</w:t>
      </w:r>
    </w:p>
    <w:p w:rsidR="00883F0B" w:rsidRDefault="00883F0B" w:rsidP="001D06F1">
      <w:pPr>
        <w:pStyle w:val="Sinespaciado"/>
        <w:spacing w:line="360" w:lineRule="auto"/>
        <w:jc w:val="both"/>
        <w:rPr>
          <w:rFonts w:ascii="Palatino Linotype" w:hAnsi="Palatino Linotype"/>
          <w:sz w:val="24"/>
          <w:szCs w:val="24"/>
          <w:lang w:eastAsia="es-MX"/>
        </w:rPr>
      </w:pPr>
    </w:p>
    <w:p w:rsidR="00883F0B" w:rsidRPr="00E55469" w:rsidRDefault="00883F0B" w:rsidP="00883F0B">
      <w:pPr>
        <w:spacing w:after="0" w:line="240" w:lineRule="auto"/>
        <w:ind w:left="567" w:right="567"/>
        <w:jc w:val="both"/>
        <w:rPr>
          <w:rFonts w:ascii="Palatino Linotype" w:hAnsi="Palatino Linotype"/>
          <w:b/>
          <w:i/>
        </w:rPr>
      </w:pPr>
      <w:r w:rsidRPr="00883F0B">
        <w:rPr>
          <w:rFonts w:ascii="Palatino Linotype" w:hAnsi="Palatino Linotype"/>
          <w:b/>
          <w:bCs/>
          <w:i/>
        </w:rPr>
        <w:t xml:space="preserve">Artículo 167. </w:t>
      </w:r>
      <w:r w:rsidRPr="00E55469">
        <w:rPr>
          <w:rFonts w:ascii="Palatino Linotype" w:hAnsi="Palatino Linotype"/>
          <w:b/>
          <w:i/>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r w:rsidRPr="00E55469">
        <w:rPr>
          <w:rFonts w:ascii="Palatino Linotype" w:hAnsi="Palatino Linotype"/>
          <w:b/>
          <w:i/>
        </w:rPr>
        <w:t xml:space="preserve">. </w:t>
      </w:r>
    </w:p>
    <w:p w:rsidR="00883F0B" w:rsidRPr="00883F0B" w:rsidRDefault="00883F0B" w:rsidP="00883F0B">
      <w:pPr>
        <w:spacing w:after="0" w:line="240" w:lineRule="auto"/>
        <w:ind w:left="567" w:right="567"/>
        <w:jc w:val="both"/>
        <w:rPr>
          <w:rFonts w:ascii="Palatino Linotype" w:hAnsi="Palatino Linotype"/>
          <w:i/>
        </w:rPr>
      </w:pPr>
    </w:p>
    <w:p w:rsidR="00883F0B" w:rsidRDefault="00883F0B" w:rsidP="00883F0B">
      <w:pPr>
        <w:spacing w:after="0" w:line="240" w:lineRule="auto"/>
        <w:ind w:left="567" w:right="567"/>
        <w:jc w:val="both"/>
        <w:rPr>
          <w:rFonts w:ascii="Palatino Linotype" w:hAnsi="Palatino Linotype"/>
          <w:i/>
        </w:rPr>
      </w:pPr>
      <w:r w:rsidRPr="00883F0B">
        <w:rPr>
          <w:rFonts w:ascii="Palatino Linotype" w:hAnsi="Palatino Linotype"/>
          <w:i/>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rsidR="00883F0B" w:rsidRDefault="00883F0B" w:rsidP="00883F0B">
      <w:pPr>
        <w:spacing w:after="0" w:line="240" w:lineRule="auto"/>
        <w:ind w:left="567" w:right="567"/>
        <w:jc w:val="both"/>
        <w:rPr>
          <w:rFonts w:ascii="Palatino Linotype" w:hAnsi="Palatino Linotype"/>
          <w:i/>
        </w:rPr>
      </w:pPr>
    </w:p>
    <w:p w:rsidR="00883F0B" w:rsidRDefault="00883F0B" w:rsidP="00883F0B">
      <w:pPr>
        <w:spacing w:after="0" w:line="240" w:lineRule="auto"/>
        <w:ind w:left="567" w:right="567"/>
        <w:jc w:val="both"/>
        <w:rPr>
          <w:rFonts w:ascii="Palatino Linotype" w:hAnsi="Palatino Linotype"/>
          <w:sz w:val="24"/>
          <w:szCs w:val="24"/>
          <w:lang w:eastAsia="es-MX"/>
        </w:rPr>
      </w:pPr>
      <w:r w:rsidRPr="00883F0B">
        <w:rPr>
          <w:rFonts w:ascii="Palatino Linotype" w:hAnsi="Palatino Linotype"/>
          <w:i/>
        </w:rPr>
        <w:t>Si transcurrido el plazo señalado en el primer párrafo de este artículo, el sujeto obligado no declina la competencia en los términos establecidos, podrá canalizar la solicitud ante el sujeto obligado competente.</w:t>
      </w:r>
    </w:p>
    <w:p w:rsidR="00883F0B" w:rsidRDefault="00883F0B" w:rsidP="001D06F1">
      <w:pPr>
        <w:pStyle w:val="Sinespaciado"/>
        <w:spacing w:line="360" w:lineRule="auto"/>
        <w:jc w:val="both"/>
        <w:rPr>
          <w:rFonts w:ascii="Palatino Linotype" w:hAnsi="Palatino Linotype"/>
          <w:sz w:val="24"/>
          <w:szCs w:val="24"/>
          <w:lang w:eastAsia="es-MX"/>
        </w:rPr>
      </w:pPr>
    </w:p>
    <w:p w:rsidR="00883F0B" w:rsidRPr="00883F0B" w:rsidRDefault="00883F0B" w:rsidP="00883F0B">
      <w:pPr>
        <w:spacing w:after="0" w:line="360" w:lineRule="auto"/>
        <w:jc w:val="both"/>
        <w:rPr>
          <w:rFonts w:ascii="Palatino Linotype" w:hAnsi="Palatino Linotype"/>
          <w:sz w:val="24"/>
          <w:szCs w:val="24"/>
        </w:rPr>
      </w:pPr>
      <w:r w:rsidRPr="00883F0B">
        <w:rPr>
          <w:rFonts w:ascii="Palatino Linotype" w:hAnsi="Palatino Linotype"/>
          <w:sz w:val="24"/>
          <w:szCs w:val="24"/>
        </w:rPr>
        <w:t xml:space="preserve">Lo anterior resulta evidente dado que la solicitud de información ingresó el día </w:t>
      </w:r>
      <w:r w:rsidR="00094E75">
        <w:rPr>
          <w:rFonts w:ascii="Palatino Linotype" w:hAnsi="Palatino Linotype"/>
          <w:sz w:val="24"/>
          <w:szCs w:val="24"/>
        </w:rPr>
        <w:t>tres de agosto de dos mil veinte</w:t>
      </w:r>
      <w:r w:rsidRPr="00883F0B">
        <w:rPr>
          <w:rFonts w:ascii="Palatino Linotype" w:hAnsi="Palatino Linotype"/>
          <w:sz w:val="24"/>
          <w:szCs w:val="24"/>
        </w:rPr>
        <w:t xml:space="preserve">, mientras que la respuesta se emitió el día </w:t>
      </w:r>
      <w:r w:rsidR="00094E75">
        <w:rPr>
          <w:rFonts w:ascii="Palatino Linotype" w:hAnsi="Palatino Linotype"/>
          <w:sz w:val="24"/>
          <w:szCs w:val="24"/>
        </w:rPr>
        <w:t>veinticuatro del mismo mes y año</w:t>
      </w:r>
      <w:r w:rsidRPr="00883F0B">
        <w:rPr>
          <w:rFonts w:ascii="Palatino Linotype" w:hAnsi="Palatino Linotype"/>
          <w:sz w:val="24"/>
          <w:szCs w:val="24"/>
        </w:rPr>
        <w:t xml:space="preserve">. Del cómputo realizado, se tiene que transcurrieron </w:t>
      </w:r>
      <w:r w:rsidR="00586461">
        <w:rPr>
          <w:rFonts w:ascii="Palatino Linotype" w:hAnsi="Palatino Linotype"/>
          <w:sz w:val="24"/>
          <w:szCs w:val="24"/>
        </w:rPr>
        <w:t>quince</w:t>
      </w:r>
      <w:r w:rsidRPr="00883F0B">
        <w:rPr>
          <w:rFonts w:ascii="Palatino Linotype" w:hAnsi="Palatino Linotype"/>
          <w:sz w:val="24"/>
          <w:szCs w:val="24"/>
        </w:rPr>
        <w:t xml:space="preserve"> días hábiles para que el Sujeto Obligado emitiera su respuesta, sobrepasando notoriamente el término establecido en el artículo citado.</w:t>
      </w:r>
    </w:p>
    <w:p w:rsidR="00883F0B" w:rsidRDefault="00883F0B" w:rsidP="001D06F1">
      <w:pPr>
        <w:pStyle w:val="Sinespaciado"/>
        <w:spacing w:line="360" w:lineRule="auto"/>
        <w:jc w:val="both"/>
        <w:rPr>
          <w:rFonts w:ascii="Palatino Linotype" w:hAnsi="Palatino Linotype"/>
          <w:sz w:val="24"/>
          <w:szCs w:val="24"/>
          <w:lang w:eastAsia="es-MX"/>
        </w:rPr>
      </w:pPr>
    </w:p>
    <w:p w:rsidR="00950912" w:rsidRPr="00950912" w:rsidRDefault="00950912" w:rsidP="00950912">
      <w:pPr>
        <w:spacing w:after="0" w:line="360" w:lineRule="auto"/>
        <w:jc w:val="both"/>
        <w:rPr>
          <w:rFonts w:ascii="Palatino Linotype" w:hAnsi="Palatino Linotype"/>
          <w:sz w:val="24"/>
          <w:szCs w:val="24"/>
        </w:rPr>
      </w:pPr>
      <w:r w:rsidRPr="00950912">
        <w:rPr>
          <w:rFonts w:ascii="Palatino Linotype" w:hAnsi="Palatino Linotype"/>
          <w:sz w:val="24"/>
          <w:szCs w:val="24"/>
        </w:rPr>
        <w:t>Por tanto, la declaración de incompetencia del Sujeto Obligado debe ser aprobada por su Comité de Transparencia en términos del artículo 49 de la Ley de Transparencia Estatal, el cual dispone lo siguiente:</w:t>
      </w:r>
    </w:p>
    <w:p w:rsidR="00950912" w:rsidRPr="00950912" w:rsidRDefault="00950912" w:rsidP="00950912">
      <w:pPr>
        <w:spacing w:after="0" w:line="360" w:lineRule="auto"/>
        <w:jc w:val="both"/>
        <w:rPr>
          <w:rFonts w:ascii="Palatino Linotype" w:hAnsi="Palatino Linotype"/>
          <w:sz w:val="24"/>
          <w:szCs w:val="24"/>
        </w:rPr>
      </w:pPr>
    </w:p>
    <w:p w:rsidR="00950912" w:rsidRPr="00950912" w:rsidRDefault="00950912" w:rsidP="00950912">
      <w:pPr>
        <w:spacing w:after="0" w:line="240" w:lineRule="auto"/>
        <w:ind w:left="567" w:right="567"/>
        <w:jc w:val="both"/>
        <w:rPr>
          <w:rFonts w:ascii="Palatino Linotype" w:hAnsi="Palatino Linotype"/>
          <w:i/>
        </w:rPr>
      </w:pPr>
      <w:r w:rsidRPr="00950912">
        <w:rPr>
          <w:rFonts w:ascii="Palatino Linotype" w:hAnsi="Palatino Linotype"/>
          <w:b/>
          <w:i/>
        </w:rPr>
        <w:lastRenderedPageBreak/>
        <w:t>Artículo 49</w:t>
      </w:r>
      <w:r w:rsidRPr="00950912">
        <w:rPr>
          <w:rFonts w:ascii="Palatino Linotype" w:hAnsi="Palatino Linotype"/>
          <w:i/>
        </w:rPr>
        <w:t xml:space="preserve">. </w:t>
      </w:r>
      <w:r w:rsidRPr="00950912">
        <w:rPr>
          <w:rFonts w:ascii="Palatino Linotype" w:hAnsi="Palatino Linotype"/>
          <w:b/>
          <w:i/>
          <w:u w:val="single"/>
        </w:rPr>
        <w:t>Los Comités de Transparencia tendrán las siguientes atribuciones</w:t>
      </w:r>
      <w:r w:rsidRPr="00950912">
        <w:rPr>
          <w:rFonts w:ascii="Palatino Linotype" w:hAnsi="Palatino Linotype"/>
          <w:i/>
        </w:rPr>
        <w:t>:</w:t>
      </w:r>
    </w:p>
    <w:p w:rsidR="00950912" w:rsidRPr="00950912" w:rsidRDefault="00950912" w:rsidP="00950912">
      <w:pPr>
        <w:spacing w:after="0" w:line="240" w:lineRule="auto"/>
        <w:ind w:left="567" w:right="567"/>
        <w:jc w:val="both"/>
        <w:rPr>
          <w:rFonts w:ascii="Palatino Linotype" w:hAnsi="Palatino Linotype"/>
          <w:i/>
        </w:rPr>
      </w:pPr>
    </w:p>
    <w:p w:rsidR="00950912" w:rsidRPr="00950912" w:rsidRDefault="00950912" w:rsidP="00950912">
      <w:pPr>
        <w:spacing w:after="0" w:line="240" w:lineRule="auto"/>
        <w:ind w:left="567" w:right="567"/>
        <w:jc w:val="both"/>
        <w:rPr>
          <w:rFonts w:ascii="Palatino Linotype" w:hAnsi="Palatino Linotype"/>
          <w:i/>
        </w:rPr>
      </w:pPr>
      <w:r w:rsidRPr="00950912">
        <w:rPr>
          <w:rFonts w:ascii="Palatino Linotype" w:hAnsi="Palatino Linotype"/>
          <w:b/>
          <w:i/>
        </w:rPr>
        <w:t>I</w:t>
      </w:r>
      <w:r w:rsidRPr="00950912">
        <w:rPr>
          <w:rFonts w:ascii="Palatino Linotype" w:hAnsi="Palatino Linotype"/>
          <w:i/>
        </w:rPr>
        <w:t>. Instituir, coordinar y supervisar en términos de las disposiciones aplicables, las acciones, medidas y procedimientos que coadyuven a asegurar una mayor eficacia en la gestión y atención de las solicitudes en materia de acceso a la información;</w:t>
      </w:r>
    </w:p>
    <w:p w:rsidR="00950912" w:rsidRPr="00950912" w:rsidRDefault="00950912" w:rsidP="00950912">
      <w:pPr>
        <w:spacing w:after="0" w:line="240" w:lineRule="auto"/>
        <w:ind w:left="567" w:right="567"/>
        <w:jc w:val="both"/>
        <w:rPr>
          <w:rFonts w:ascii="Palatino Linotype" w:hAnsi="Palatino Linotype"/>
          <w:i/>
        </w:rPr>
      </w:pPr>
      <w:r w:rsidRPr="00950912">
        <w:rPr>
          <w:rFonts w:ascii="Palatino Linotype" w:hAnsi="Palatino Linotype"/>
          <w:b/>
          <w:i/>
        </w:rPr>
        <w:t>II</w:t>
      </w:r>
      <w:r w:rsidRPr="00950912">
        <w:rPr>
          <w:rFonts w:ascii="Palatino Linotype" w:hAnsi="Palatino Linotype"/>
          <w:i/>
        </w:rPr>
        <w:t xml:space="preserve">. </w:t>
      </w:r>
      <w:r w:rsidRPr="00950912">
        <w:rPr>
          <w:rFonts w:ascii="Palatino Linotype" w:hAnsi="Palatino Linotype"/>
          <w:b/>
          <w:i/>
          <w:u w:val="single"/>
        </w:rPr>
        <w:t>Confirmar, modificar o revocar las determinaciones que en materia</w:t>
      </w:r>
      <w:r w:rsidRPr="00950912">
        <w:rPr>
          <w:rFonts w:ascii="Palatino Linotype" w:hAnsi="Palatino Linotype"/>
          <w:i/>
        </w:rPr>
        <w:t xml:space="preserve"> de ampliación del plazo de respuesta, clasificación de la información y </w:t>
      </w:r>
      <w:r w:rsidRPr="00950912">
        <w:rPr>
          <w:rFonts w:ascii="Palatino Linotype" w:hAnsi="Palatino Linotype"/>
          <w:b/>
          <w:i/>
          <w:u w:val="single"/>
        </w:rPr>
        <w:t>declaración de inexistencia o de incompetencia realicen los titulares de las áreas de los sujetos obligados</w:t>
      </w:r>
      <w:r w:rsidRPr="00950912">
        <w:rPr>
          <w:rFonts w:ascii="Palatino Linotype" w:hAnsi="Palatino Linotype"/>
          <w:i/>
        </w:rPr>
        <w:t>;</w:t>
      </w:r>
    </w:p>
    <w:p w:rsidR="00950912" w:rsidRPr="00950912" w:rsidRDefault="00950912" w:rsidP="00950912">
      <w:pPr>
        <w:spacing w:after="0" w:line="240" w:lineRule="auto"/>
        <w:ind w:left="567" w:right="567"/>
        <w:jc w:val="both"/>
        <w:rPr>
          <w:rFonts w:ascii="Palatino Linotype" w:hAnsi="Palatino Linotype"/>
        </w:rPr>
      </w:pPr>
      <w:r w:rsidRPr="00950912">
        <w:rPr>
          <w:rFonts w:ascii="Palatino Linotype" w:hAnsi="Palatino Linotype"/>
          <w:i/>
        </w:rPr>
        <w:t>(…)</w:t>
      </w:r>
    </w:p>
    <w:p w:rsidR="00950912" w:rsidRPr="00950912" w:rsidRDefault="00950912" w:rsidP="00950912">
      <w:pPr>
        <w:spacing w:after="0" w:line="360" w:lineRule="auto"/>
        <w:jc w:val="both"/>
        <w:rPr>
          <w:rFonts w:ascii="Palatino Linotype" w:hAnsi="Palatino Linotype"/>
          <w:sz w:val="24"/>
          <w:szCs w:val="24"/>
        </w:rPr>
      </w:pPr>
    </w:p>
    <w:p w:rsidR="00950912" w:rsidRPr="00950912" w:rsidRDefault="00950912" w:rsidP="00950912">
      <w:pPr>
        <w:spacing w:after="0" w:line="360" w:lineRule="auto"/>
        <w:jc w:val="both"/>
        <w:rPr>
          <w:rFonts w:ascii="Palatino Linotype" w:hAnsi="Palatino Linotype"/>
          <w:sz w:val="24"/>
          <w:szCs w:val="24"/>
        </w:rPr>
      </w:pPr>
      <w:r w:rsidRPr="00950912">
        <w:rPr>
          <w:rFonts w:ascii="Palatino Linotype" w:hAnsi="Palatino Linotype"/>
          <w:sz w:val="24"/>
          <w:szCs w:val="24"/>
        </w:rPr>
        <w:t xml:space="preserve">En consecuencia, si bien es cierto que el Sujeto Obligado no tiene competencia para administrar, generar o poseer la información solicitada por </w:t>
      </w:r>
      <w:r>
        <w:rPr>
          <w:rFonts w:ascii="Palatino Linotype" w:hAnsi="Palatino Linotype"/>
          <w:sz w:val="24"/>
          <w:szCs w:val="24"/>
        </w:rPr>
        <w:t xml:space="preserve">el </w:t>
      </w:r>
      <w:r w:rsidRPr="00950912">
        <w:rPr>
          <w:rFonts w:ascii="Palatino Linotype" w:hAnsi="Palatino Linotype"/>
          <w:sz w:val="24"/>
          <w:szCs w:val="24"/>
        </w:rPr>
        <w:t xml:space="preserve">Recurrente en el presente asunto, en virtud de </w:t>
      </w:r>
      <w:r w:rsidR="00B6106F">
        <w:rPr>
          <w:rFonts w:ascii="Palatino Linotype" w:hAnsi="Palatino Linotype"/>
          <w:sz w:val="24"/>
          <w:szCs w:val="24"/>
        </w:rPr>
        <w:t xml:space="preserve">que no es una atribución del Sujeto Obligado generar </w:t>
      </w:r>
      <w:r w:rsidR="002568B2">
        <w:rPr>
          <w:rFonts w:ascii="Palatino Linotype" w:hAnsi="Palatino Linotype"/>
          <w:sz w:val="24"/>
          <w:szCs w:val="24"/>
        </w:rPr>
        <w:t>la información solicitada por el Recurrente</w:t>
      </w:r>
      <w:r w:rsidR="00B6106F">
        <w:rPr>
          <w:rFonts w:ascii="Palatino Linotype" w:hAnsi="Palatino Linotype"/>
          <w:sz w:val="24"/>
          <w:szCs w:val="24"/>
        </w:rPr>
        <w:t xml:space="preserve">, </w:t>
      </w:r>
      <w:r w:rsidRPr="00950912">
        <w:rPr>
          <w:rFonts w:ascii="Palatino Linotype" w:hAnsi="Palatino Linotype"/>
          <w:sz w:val="24"/>
          <w:szCs w:val="24"/>
        </w:rPr>
        <w:t xml:space="preserve">también lo es que dicha incompetencia debió haber sido </w:t>
      </w:r>
      <w:r w:rsidR="002568B2">
        <w:rPr>
          <w:rFonts w:ascii="Palatino Linotype" w:hAnsi="Palatino Linotype"/>
          <w:sz w:val="24"/>
          <w:szCs w:val="24"/>
        </w:rPr>
        <w:t xml:space="preserve">comunicada dentro de los tres días hábiles siguientes a la recepción de la solicitud de información, lo que no ocurrió, consecuentemente, dicha incompetencia deberá ser </w:t>
      </w:r>
      <w:r w:rsidRPr="00950912">
        <w:rPr>
          <w:rFonts w:ascii="Palatino Linotype" w:hAnsi="Palatino Linotype"/>
          <w:sz w:val="24"/>
          <w:szCs w:val="24"/>
        </w:rPr>
        <w:t>confirmada, modificada o revocada por su Comité de Transparencia en términos del precepto legal referido, razón por la cual se considera viable ordenar al Sujeto Obl</w:t>
      </w:r>
      <w:r w:rsidR="002568B2">
        <w:rPr>
          <w:rFonts w:ascii="Palatino Linotype" w:hAnsi="Palatino Linotype"/>
          <w:sz w:val="24"/>
          <w:szCs w:val="24"/>
        </w:rPr>
        <w:t>igado a que emita a través del</w:t>
      </w:r>
      <w:r w:rsidRPr="00950912">
        <w:rPr>
          <w:rFonts w:ascii="Palatino Linotype" w:hAnsi="Palatino Linotype"/>
          <w:sz w:val="24"/>
          <w:szCs w:val="24"/>
        </w:rPr>
        <w:t xml:space="preserve"> Comité de Transparencia</w:t>
      </w:r>
      <w:r w:rsidR="002568B2">
        <w:rPr>
          <w:rFonts w:ascii="Palatino Linotype" w:hAnsi="Palatino Linotype"/>
          <w:sz w:val="24"/>
          <w:szCs w:val="24"/>
        </w:rPr>
        <w:t xml:space="preserve"> del Sujeto Obligado</w:t>
      </w:r>
      <w:r w:rsidRPr="00950912">
        <w:rPr>
          <w:rFonts w:ascii="Palatino Linotype" w:hAnsi="Palatino Linotype"/>
          <w:sz w:val="24"/>
          <w:szCs w:val="24"/>
        </w:rPr>
        <w:t>,</w:t>
      </w:r>
      <w:r w:rsidR="002568B2">
        <w:rPr>
          <w:rFonts w:ascii="Palatino Linotype" w:hAnsi="Palatino Linotype"/>
          <w:sz w:val="24"/>
          <w:szCs w:val="24"/>
        </w:rPr>
        <w:t xml:space="preserve"> emitiendo el correspondiente </w:t>
      </w:r>
      <w:r w:rsidRPr="00950912">
        <w:rPr>
          <w:rFonts w:ascii="Palatino Linotype" w:hAnsi="Palatino Linotype"/>
          <w:sz w:val="24"/>
          <w:szCs w:val="24"/>
        </w:rPr>
        <w:t xml:space="preserve">Acuerdo mediante el cual se confirme la incompetencia respecto a la solicitud de información presentada por el Recurrente, debiendo notificarle de igual forma </w:t>
      </w:r>
      <w:r w:rsidR="002568B2">
        <w:rPr>
          <w:rFonts w:ascii="Palatino Linotype" w:hAnsi="Palatino Linotype"/>
          <w:sz w:val="24"/>
          <w:szCs w:val="24"/>
        </w:rPr>
        <w:t>dicho Acuerdo</w:t>
      </w:r>
      <w:r w:rsidRPr="00950912">
        <w:rPr>
          <w:rFonts w:ascii="Palatino Linotype" w:hAnsi="Palatino Linotype"/>
          <w:sz w:val="24"/>
          <w:szCs w:val="24"/>
        </w:rPr>
        <w:t>.</w:t>
      </w:r>
    </w:p>
    <w:p w:rsidR="00950912" w:rsidRPr="00950912" w:rsidRDefault="00950912" w:rsidP="00950912">
      <w:pPr>
        <w:spacing w:after="0" w:line="360" w:lineRule="auto"/>
        <w:jc w:val="both"/>
        <w:rPr>
          <w:rFonts w:ascii="Palatino Linotype" w:hAnsi="Palatino Linotype"/>
          <w:sz w:val="24"/>
          <w:szCs w:val="24"/>
        </w:rPr>
      </w:pPr>
    </w:p>
    <w:p w:rsidR="00950912" w:rsidRPr="00950912" w:rsidRDefault="00950912" w:rsidP="00950912">
      <w:pPr>
        <w:spacing w:after="0" w:line="360" w:lineRule="auto"/>
        <w:jc w:val="both"/>
        <w:rPr>
          <w:rFonts w:ascii="Palatino Linotype" w:hAnsi="Palatino Linotype"/>
          <w:sz w:val="24"/>
          <w:szCs w:val="24"/>
        </w:rPr>
      </w:pPr>
      <w:r w:rsidRPr="00950912">
        <w:rPr>
          <w:rFonts w:ascii="Palatino Linotype" w:hAnsi="Palatino Linotype"/>
          <w:sz w:val="24"/>
          <w:szCs w:val="24"/>
        </w:rPr>
        <w:t xml:space="preserve">No obstante lo anterior, y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w:t>
      </w:r>
      <w:r w:rsidRPr="00950912">
        <w:rPr>
          <w:rFonts w:ascii="Palatino Linotype" w:hAnsi="Palatino Linotype"/>
          <w:sz w:val="24"/>
          <w:szCs w:val="24"/>
        </w:rPr>
        <w:lastRenderedPageBreak/>
        <w:t xml:space="preserve">presentada la solicitud, y a fin de no dilatar el derecho de acceso a la información, como ya fue establecido, se dejan a salvo los derechos del Recurrente para que pueda realizar la solicitud de información ante el Sujeto Obligado </w:t>
      </w:r>
      <w:r w:rsidR="00C76839">
        <w:rPr>
          <w:rFonts w:ascii="Palatino Linotype" w:hAnsi="Palatino Linotype"/>
          <w:sz w:val="24"/>
          <w:szCs w:val="24"/>
        </w:rPr>
        <w:t>que considere competente</w:t>
      </w:r>
      <w:r w:rsidRPr="00950912">
        <w:rPr>
          <w:rFonts w:ascii="Palatino Linotype" w:hAnsi="Palatino Linotype"/>
          <w:sz w:val="24"/>
          <w:szCs w:val="24"/>
        </w:rPr>
        <w:t>.</w:t>
      </w:r>
    </w:p>
    <w:p w:rsidR="00950912" w:rsidRPr="00950912" w:rsidRDefault="00950912" w:rsidP="00950912">
      <w:pPr>
        <w:spacing w:after="0" w:line="360" w:lineRule="auto"/>
        <w:jc w:val="both"/>
        <w:rPr>
          <w:rFonts w:ascii="Palatino Linotype" w:hAnsi="Palatino Linotype"/>
          <w:sz w:val="24"/>
          <w:szCs w:val="24"/>
        </w:rPr>
      </w:pPr>
    </w:p>
    <w:p w:rsidR="00950912" w:rsidRPr="00950912" w:rsidRDefault="00950912" w:rsidP="00950912">
      <w:pPr>
        <w:spacing w:after="0" w:line="360" w:lineRule="auto"/>
        <w:jc w:val="both"/>
        <w:rPr>
          <w:rFonts w:ascii="Palatino Linotype" w:hAnsi="Palatino Linotype"/>
          <w:sz w:val="24"/>
          <w:szCs w:val="24"/>
        </w:rPr>
      </w:pPr>
      <w:r w:rsidRPr="00950912">
        <w:rPr>
          <w:rFonts w:ascii="Palatino Linotype" w:hAnsi="Palatino Linotype"/>
          <w:sz w:val="24"/>
          <w:szCs w:val="24"/>
        </w:rPr>
        <w:t xml:space="preserve">En mérito de lo expuesto en líneas anteriores, resultan </w:t>
      </w:r>
      <w:r w:rsidR="00B6106F">
        <w:rPr>
          <w:rFonts w:ascii="Palatino Linotype" w:hAnsi="Palatino Linotype"/>
          <w:sz w:val="24"/>
          <w:szCs w:val="24"/>
        </w:rPr>
        <w:t xml:space="preserve">parcialmente </w:t>
      </w:r>
      <w:r w:rsidRPr="00950912">
        <w:rPr>
          <w:rFonts w:ascii="Palatino Linotype" w:hAnsi="Palatino Linotype"/>
          <w:sz w:val="24"/>
          <w:szCs w:val="24"/>
        </w:rPr>
        <w:t xml:space="preserve">fundados los motivos de inconformidad que arguye el Recurrente en su medio de impugnación que fue materia de estudio, por ello </w:t>
      </w:r>
      <w:r w:rsidRPr="00950912">
        <w:rPr>
          <w:rFonts w:ascii="Palatino Linotype" w:hAnsi="Palatino Linotype" w:cs="Arial"/>
          <w:b/>
          <w:sz w:val="24"/>
          <w:szCs w:val="24"/>
        </w:rPr>
        <w:t xml:space="preserve">con fundamento en la segunda hipótesis de la fracción III del artículo 186, </w:t>
      </w:r>
      <w:r w:rsidRPr="00950912">
        <w:rPr>
          <w:rFonts w:ascii="Palatino Linotype" w:hAnsi="Palatino Linotype" w:cs="Arial"/>
          <w:sz w:val="24"/>
          <w:szCs w:val="24"/>
        </w:rPr>
        <w:t xml:space="preserve">de la Ley de Transparencia y Acceso a la Información Pública del Estado de México y Municipios, se </w:t>
      </w:r>
      <w:r w:rsidRPr="00950912">
        <w:rPr>
          <w:rFonts w:ascii="Palatino Linotype" w:hAnsi="Palatino Linotype" w:cs="Arial"/>
          <w:b/>
          <w:sz w:val="24"/>
          <w:szCs w:val="24"/>
        </w:rPr>
        <w:t xml:space="preserve">MODIFICA </w:t>
      </w:r>
      <w:r w:rsidRPr="00950912">
        <w:rPr>
          <w:rFonts w:ascii="Palatino Linotype" w:hAnsi="Palatino Linotype" w:cs="Arial"/>
          <w:sz w:val="24"/>
          <w:szCs w:val="24"/>
        </w:rPr>
        <w:t>la respuesta a la solicitud de información número</w:t>
      </w:r>
      <w:r w:rsidRPr="00950912">
        <w:rPr>
          <w:rFonts w:ascii="Palatino Linotype" w:hAnsi="Palatino Linotype"/>
          <w:b/>
          <w:sz w:val="24"/>
          <w:szCs w:val="24"/>
        </w:rPr>
        <w:t xml:space="preserve"> </w:t>
      </w:r>
      <w:r w:rsidR="002568B2" w:rsidRPr="002568B2">
        <w:rPr>
          <w:rFonts w:ascii="Palatino Linotype" w:hAnsi="Palatino Linotype"/>
          <w:b/>
          <w:bCs/>
          <w:sz w:val="24"/>
          <w:szCs w:val="24"/>
        </w:rPr>
        <w:t xml:space="preserve">00277/SSALUD/IP/2020 </w:t>
      </w:r>
      <w:r w:rsidRPr="00950912">
        <w:rPr>
          <w:rFonts w:ascii="Palatino Linotype" w:hAnsi="Palatino Linotype"/>
          <w:sz w:val="24"/>
          <w:szCs w:val="24"/>
        </w:rPr>
        <w:t>que ha sido materia del presente fallo.</w:t>
      </w:r>
    </w:p>
    <w:p w:rsidR="00950912" w:rsidRPr="00950912" w:rsidRDefault="00950912" w:rsidP="00950912">
      <w:pPr>
        <w:spacing w:after="0" w:line="360" w:lineRule="auto"/>
        <w:jc w:val="both"/>
        <w:rPr>
          <w:rFonts w:ascii="Palatino Linotype" w:hAnsi="Palatino Linotype"/>
          <w:sz w:val="24"/>
          <w:szCs w:val="24"/>
        </w:rPr>
      </w:pPr>
    </w:p>
    <w:p w:rsidR="00950912" w:rsidRPr="00950912" w:rsidRDefault="00950912" w:rsidP="00950912">
      <w:pPr>
        <w:spacing w:after="0" w:line="360" w:lineRule="auto"/>
        <w:jc w:val="both"/>
        <w:rPr>
          <w:rFonts w:ascii="Palatino Linotype" w:hAnsi="Palatino Linotype"/>
          <w:sz w:val="24"/>
          <w:szCs w:val="24"/>
        </w:rPr>
      </w:pPr>
      <w:r w:rsidRPr="00950912">
        <w:rPr>
          <w:rFonts w:ascii="Palatino Linotype" w:hAnsi="Palatino Linotype"/>
          <w:sz w:val="24"/>
          <w:szCs w:val="24"/>
        </w:rPr>
        <w:t>Por lo antes expuesto y fundado es de resolverse y se,</w:t>
      </w:r>
    </w:p>
    <w:p w:rsidR="00950912" w:rsidRPr="00950912" w:rsidRDefault="00950912" w:rsidP="00950912">
      <w:pPr>
        <w:spacing w:after="0" w:line="360" w:lineRule="auto"/>
        <w:jc w:val="both"/>
        <w:rPr>
          <w:rFonts w:ascii="Palatino Linotype" w:hAnsi="Palatino Linotype"/>
          <w:sz w:val="24"/>
          <w:szCs w:val="24"/>
        </w:rPr>
      </w:pPr>
    </w:p>
    <w:p w:rsidR="00950912" w:rsidRPr="00950912" w:rsidRDefault="00950912" w:rsidP="00950912">
      <w:pPr>
        <w:spacing w:after="0" w:line="360" w:lineRule="auto"/>
        <w:jc w:val="center"/>
        <w:rPr>
          <w:rFonts w:ascii="Palatino Linotype" w:hAnsi="Palatino Linotype"/>
          <w:b/>
          <w:sz w:val="28"/>
          <w:szCs w:val="28"/>
        </w:rPr>
      </w:pPr>
      <w:r w:rsidRPr="00950912">
        <w:rPr>
          <w:rFonts w:ascii="Palatino Linotype" w:hAnsi="Palatino Linotype"/>
          <w:b/>
          <w:sz w:val="28"/>
          <w:szCs w:val="28"/>
        </w:rPr>
        <w:t>R E S U E L V E</w:t>
      </w:r>
    </w:p>
    <w:p w:rsidR="00950912" w:rsidRPr="00950912" w:rsidRDefault="00950912" w:rsidP="00950912">
      <w:pPr>
        <w:spacing w:after="0" w:line="360" w:lineRule="auto"/>
        <w:jc w:val="both"/>
        <w:rPr>
          <w:rFonts w:ascii="Palatino Linotype" w:hAnsi="Palatino Linotype"/>
          <w:b/>
          <w:sz w:val="2"/>
          <w:szCs w:val="24"/>
        </w:rPr>
      </w:pPr>
    </w:p>
    <w:p w:rsidR="00950912" w:rsidRPr="00950912" w:rsidRDefault="00950912" w:rsidP="00950912">
      <w:pPr>
        <w:spacing w:after="0" w:line="360" w:lineRule="auto"/>
        <w:jc w:val="both"/>
        <w:rPr>
          <w:rFonts w:ascii="Palatino Linotype" w:hAnsi="Palatino Linotype"/>
          <w:b/>
          <w:sz w:val="24"/>
          <w:szCs w:val="24"/>
        </w:rPr>
      </w:pPr>
    </w:p>
    <w:p w:rsidR="00950912" w:rsidRPr="00950912" w:rsidRDefault="00950912" w:rsidP="00950912">
      <w:pPr>
        <w:spacing w:after="0" w:line="360" w:lineRule="auto"/>
        <w:jc w:val="both"/>
        <w:rPr>
          <w:rFonts w:ascii="Palatino Linotype" w:hAnsi="Palatino Linotype"/>
          <w:sz w:val="24"/>
          <w:szCs w:val="24"/>
        </w:rPr>
      </w:pPr>
      <w:r w:rsidRPr="00950912">
        <w:rPr>
          <w:rFonts w:ascii="Palatino Linotype" w:hAnsi="Palatino Linotype"/>
          <w:b/>
          <w:sz w:val="24"/>
          <w:szCs w:val="24"/>
        </w:rPr>
        <w:t xml:space="preserve">PRIMERO. </w:t>
      </w:r>
      <w:r w:rsidRPr="00950912">
        <w:rPr>
          <w:rFonts w:ascii="Palatino Linotype" w:hAnsi="Palatino Linotype"/>
          <w:sz w:val="24"/>
          <w:szCs w:val="24"/>
        </w:rPr>
        <w:t xml:space="preserve">Se </w:t>
      </w:r>
      <w:r w:rsidRPr="00950912">
        <w:rPr>
          <w:rFonts w:ascii="Palatino Linotype" w:hAnsi="Palatino Linotype"/>
          <w:b/>
          <w:sz w:val="24"/>
          <w:szCs w:val="24"/>
        </w:rPr>
        <w:t>MODIFICA</w:t>
      </w:r>
      <w:r w:rsidRPr="00950912">
        <w:rPr>
          <w:rFonts w:ascii="Palatino Linotype" w:hAnsi="Palatino Linotype"/>
          <w:sz w:val="24"/>
          <w:szCs w:val="24"/>
        </w:rPr>
        <w:t xml:space="preserve"> la respuesta del Sujeto Obligado</w:t>
      </w:r>
      <w:r w:rsidRPr="00950912">
        <w:rPr>
          <w:rFonts w:ascii="Palatino Linotype" w:hAnsi="Palatino Linotype"/>
          <w:b/>
          <w:sz w:val="24"/>
          <w:szCs w:val="24"/>
        </w:rPr>
        <w:t xml:space="preserve"> </w:t>
      </w:r>
      <w:r w:rsidRPr="00950912">
        <w:rPr>
          <w:rFonts w:ascii="Palatino Linotype" w:hAnsi="Palatino Linotype"/>
          <w:bCs/>
          <w:sz w:val="24"/>
          <w:szCs w:val="24"/>
        </w:rPr>
        <w:t xml:space="preserve">a la solicitud de información </w:t>
      </w:r>
      <w:r w:rsidR="002568B2" w:rsidRPr="002568B2">
        <w:rPr>
          <w:rFonts w:ascii="Palatino Linotype" w:hAnsi="Palatino Linotype"/>
          <w:b/>
          <w:bCs/>
          <w:sz w:val="24"/>
          <w:szCs w:val="24"/>
        </w:rPr>
        <w:t>00277/SSALUD/IP/2020</w:t>
      </w:r>
      <w:r w:rsidRPr="00950912">
        <w:rPr>
          <w:rFonts w:ascii="Palatino Linotype" w:hAnsi="Palatino Linotype"/>
          <w:bCs/>
          <w:sz w:val="24"/>
          <w:szCs w:val="24"/>
        </w:rPr>
        <w:t xml:space="preserve"> </w:t>
      </w:r>
      <w:r w:rsidRPr="00950912">
        <w:rPr>
          <w:rFonts w:ascii="Palatino Linotype" w:hAnsi="Palatino Linotype"/>
          <w:sz w:val="24"/>
          <w:szCs w:val="24"/>
        </w:rPr>
        <w:t xml:space="preserve">por resultar parcialmente fundadas las razones o motivos de inconformidad hechos valer por el Recurrente, en términos del </w:t>
      </w:r>
      <w:r w:rsidRPr="002568B2">
        <w:rPr>
          <w:rFonts w:ascii="Palatino Linotype" w:hAnsi="Palatino Linotype"/>
          <w:b/>
          <w:sz w:val="24"/>
          <w:szCs w:val="24"/>
        </w:rPr>
        <w:t xml:space="preserve">Considerando </w:t>
      </w:r>
      <w:r w:rsidR="002568B2" w:rsidRPr="002568B2">
        <w:rPr>
          <w:rFonts w:ascii="Palatino Linotype" w:hAnsi="Palatino Linotype"/>
          <w:b/>
          <w:sz w:val="24"/>
          <w:szCs w:val="24"/>
        </w:rPr>
        <w:t>C</w:t>
      </w:r>
      <w:r w:rsidR="002568B2">
        <w:rPr>
          <w:rFonts w:ascii="Palatino Linotype" w:hAnsi="Palatino Linotype"/>
          <w:b/>
          <w:sz w:val="24"/>
          <w:szCs w:val="24"/>
        </w:rPr>
        <w:t>UAR</w:t>
      </w:r>
      <w:r w:rsidRPr="00950912">
        <w:rPr>
          <w:rFonts w:ascii="Palatino Linotype" w:hAnsi="Palatino Linotype"/>
          <w:b/>
          <w:sz w:val="24"/>
          <w:szCs w:val="24"/>
        </w:rPr>
        <w:t xml:space="preserve">TO </w:t>
      </w:r>
      <w:r w:rsidRPr="00950912">
        <w:rPr>
          <w:rFonts w:ascii="Palatino Linotype" w:hAnsi="Palatino Linotype"/>
          <w:sz w:val="24"/>
          <w:szCs w:val="24"/>
        </w:rPr>
        <w:t>de esta resolución.</w:t>
      </w:r>
    </w:p>
    <w:p w:rsidR="00950912" w:rsidRPr="00950912" w:rsidRDefault="00950912" w:rsidP="00950912">
      <w:pPr>
        <w:spacing w:after="0" w:line="360" w:lineRule="auto"/>
        <w:jc w:val="both"/>
        <w:rPr>
          <w:rFonts w:ascii="Palatino Linotype" w:hAnsi="Palatino Linotype"/>
          <w:sz w:val="24"/>
          <w:szCs w:val="24"/>
        </w:rPr>
      </w:pPr>
    </w:p>
    <w:p w:rsidR="00950912" w:rsidRPr="00950912" w:rsidRDefault="00950912" w:rsidP="00950912">
      <w:pPr>
        <w:spacing w:after="0" w:line="360" w:lineRule="auto"/>
        <w:jc w:val="both"/>
        <w:rPr>
          <w:rFonts w:ascii="Palatino Linotype" w:hAnsi="Palatino Linotype" w:cs="Arial"/>
          <w:sz w:val="24"/>
          <w:szCs w:val="24"/>
        </w:rPr>
      </w:pPr>
      <w:r w:rsidRPr="00950912">
        <w:rPr>
          <w:rFonts w:ascii="Palatino Linotype" w:hAnsi="Palatino Linotype" w:cs="Arial"/>
          <w:b/>
          <w:sz w:val="24"/>
          <w:szCs w:val="24"/>
        </w:rPr>
        <w:t>SEGUNDO.</w:t>
      </w:r>
      <w:r w:rsidRPr="00950912">
        <w:rPr>
          <w:rFonts w:ascii="Palatino Linotype" w:hAnsi="Palatino Linotype" w:cs="Arial"/>
          <w:sz w:val="24"/>
          <w:szCs w:val="24"/>
        </w:rPr>
        <w:t xml:space="preserve"> Se </w:t>
      </w:r>
      <w:r w:rsidRPr="00950912">
        <w:rPr>
          <w:rFonts w:ascii="Palatino Linotype" w:hAnsi="Palatino Linotype" w:cs="Arial"/>
          <w:b/>
          <w:sz w:val="24"/>
          <w:szCs w:val="24"/>
        </w:rPr>
        <w:t>ORDENA</w:t>
      </w:r>
      <w:r w:rsidRPr="00950912">
        <w:rPr>
          <w:rFonts w:ascii="Palatino Linotype" w:hAnsi="Palatino Linotype" w:cs="Arial"/>
          <w:sz w:val="24"/>
          <w:szCs w:val="24"/>
        </w:rPr>
        <w:t xml:space="preserve"> al Sujeto Obligado que haga entrega al Recurrente vía SAIMEX</w:t>
      </w:r>
      <w:r w:rsidR="00B6106F">
        <w:rPr>
          <w:rFonts w:ascii="Palatino Linotype" w:hAnsi="Palatino Linotype" w:cs="Arial"/>
          <w:sz w:val="24"/>
          <w:szCs w:val="24"/>
        </w:rPr>
        <w:t xml:space="preserve"> y </w:t>
      </w:r>
      <w:r w:rsidR="002568B2">
        <w:rPr>
          <w:rFonts w:ascii="Palatino Linotype" w:hAnsi="Palatino Linotype" w:cs="Arial"/>
          <w:sz w:val="24"/>
          <w:szCs w:val="24"/>
        </w:rPr>
        <w:t xml:space="preserve">al </w:t>
      </w:r>
      <w:r w:rsidR="00B6106F">
        <w:rPr>
          <w:rFonts w:ascii="Palatino Linotype" w:hAnsi="Palatino Linotype" w:cs="Arial"/>
          <w:sz w:val="24"/>
          <w:szCs w:val="24"/>
        </w:rPr>
        <w:t>correo electrónico</w:t>
      </w:r>
      <w:r w:rsidR="002568B2">
        <w:rPr>
          <w:rFonts w:ascii="Palatino Linotype" w:hAnsi="Palatino Linotype" w:cs="Arial"/>
          <w:sz w:val="24"/>
          <w:szCs w:val="24"/>
        </w:rPr>
        <w:t xml:space="preserve"> señalado</w:t>
      </w:r>
      <w:r w:rsidRPr="00950912">
        <w:rPr>
          <w:rFonts w:ascii="Palatino Linotype" w:hAnsi="Palatino Linotype" w:cs="Arial"/>
          <w:sz w:val="24"/>
          <w:szCs w:val="24"/>
        </w:rPr>
        <w:t xml:space="preserve">, en términos del </w:t>
      </w:r>
      <w:r w:rsidR="00B6106F">
        <w:rPr>
          <w:rFonts w:ascii="Palatino Linotype" w:hAnsi="Palatino Linotype" w:cs="Arial"/>
          <w:b/>
          <w:sz w:val="24"/>
          <w:szCs w:val="24"/>
        </w:rPr>
        <w:t xml:space="preserve">Considerando </w:t>
      </w:r>
      <w:r w:rsidR="002568B2">
        <w:rPr>
          <w:rFonts w:ascii="Palatino Linotype" w:hAnsi="Palatino Linotype" w:cs="Arial"/>
          <w:b/>
          <w:sz w:val="24"/>
          <w:szCs w:val="24"/>
        </w:rPr>
        <w:t>CUAR</w:t>
      </w:r>
      <w:r w:rsidRPr="00950912">
        <w:rPr>
          <w:rFonts w:ascii="Palatino Linotype" w:hAnsi="Palatino Linotype" w:cs="Arial"/>
          <w:b/>
          <w:sz w:val="24"/>
          <w:szCs w:val="24"/>
        </w:rPr>
        <w:t>TO</w:t>
      </w:r>
      <w:r w:rsidRPr="00950912">
        <w:rPr>
          <w:rFonts w:ascii="Palatino Linotype" w:hAnsi="Palatino Linotype" w:cs="Arial"/>
          <w:sz w:val="24"/>
          <w:szCs w:val="24"/>
        </w:rPr>
        <w:t xml:space="preserve"> de la presente resolución, de lo siguiente: </w:t>
      </w:r>
    </w:p>
    <w:p w:rsidR="00950912" w:rsidRPr="00950912" w:rsidRDefault="00950912" w:rsidP="00950912">
      <w:pPr>
        <w:spacing w:after="0" w:line="360" w:lineRule="auto"/>
        <w:jc w:val="both"/>
        <w:rPr>
          <w:rFonts w:ascii="Palatino Linotype" w:hAnsi="Palatino Linotype" w:cs="Arial"/>
          <w:sz w:val="10"/>
          <w:szCs w:val="24"/>
        </w:rPr>
      </w:pPr>
    </w:p>
    <w:p w:rsidR="00950912" w:rsidRPr="00950912" w:rsidRDefault="00950912" w:rsidP="00950912">
      <w:pPr>
        <w:numPr>
          <w:ilvl w:val="0"/>
          <w:numId w:val="27"/>
        </w:numPr>
        <w:spacing w:after="0" w:line="240" w:lineRule="auto"/>
        <w:jc w:val="both"/>
        <w:rPr>
          <w:rFonts w:ascii="Palatino Linotype" w:hAnsi="Palatino Linotype" w:cs="Arial"/>
          <w:i/>
          <w:sz w:val="24"/>
          <w:szCs w:val="24"/>
        </w:rPr>
      </w:pPr>
      <w:r w:rsidRPr="00950912">
        <w:rPr>
          <w:rFonts w:ascii="Palatino Linotype" w:hAnsi="Palatino Linotype"/>
          <w:i/>
          <w:sz w:val="24"/>
          <w:szCs w:val="24"/>
        </w:rPr>
        <w:lastRenderedPageBreak/>
        <w:t>El Acuerdo que emita el Comité de Transparencia en el que se confirme la declaración de incompetencia del Sujeto Obl</w:t>
      </w:r>
      <w:r w:rsidR="00C76839">
        <w:rPr>
          <w:rFonts w:ascii="Palatino Linotype" w:hAnsi="Palatino Linotype"/>
          <w:i/>
          <w:sz w:val="24"/>
          <w:szCs w:val="24"/>
        </w:rPr>
        <w:t>igado respecto de</w:t>
      </w:r>
      <w:r w:rsidR="002568B2">
        <w:rPr>
          <w:rFonts w:ascii="Palatino Linotype" w:hAnsi="Palatino Linotype"/>
          <w:i/>
          <w:sz w:val="24"/>
          <w:szCs w:val="24"/>
        </w:rPr>
        <w:t xml:space="preserve"> </w:t>
      </w:r>
      <w:r w:rsidR="00B6106F">
        <w:rPr>
          <w:rFonts w:ascii="Palatino Linotype" w:hAnsi="Palatino Linotype"/>
          <w:i/>
          <w:sz w:val="24"/>
          <w:szCs w:val="24"/>
        </w:rPr>
        <w:t>l</w:t>
      </w:r>
      <w:r w:rsidR="002568B2">
        <w:rPr>
          <w:rFonts w:ascii="Palatino Linotype" w:hAnsi="Palatino Linotype"/>
          <w:i/>
          <w:sz w:val="24"/>
          <w:szCs w:val="24"/>
        </w:rPr>
        <w:t>os estudios y anexos solicitados a la Coordinación de Regulación Sanitaria.</w:t>
      </w:r>
    </w:p>
    <w:p w:rsidR="00950912" w:rsidRPr="00950912" w:rsidRDefault="00950912" w:rsidP="00950912">
      <w:pPr>
        <w:spacing w:after="0" w:line="360" w:lineRule="auto"/>
        <w:jc w:val="both"/>
        <w:rPr>
          <w:rFonts w:ascii="Palatino Linotype" w:hAnsi="Palatino Linotype" w:cs="Arial"/>
          <w:sz w:val="24"/>
          <w:szCs w:val="24"/>
        </w:rPr>
      </w:pPr>
    </w:p>
    <w:p w:rsidR="00950912" w:rsidRPr="00950912" w:rsidRDefault="00950912" w:rsidP="00950912">
      <w:pPr>
        <w:spacing w:after="0" w:line="360" w:lineRule="auto"/>
        <w:jc w:val="both"/>
        <w:rPr>
          <w:rFonts w:ascii="Palatino Linotype" w:hAnsi="Palatino Linotype" w:cs="Arial"/>
          <w:sz w:val="24"/>
          <w:szCs w:val="24"/>
        </w:rPr>
      </w:pPr>
      <w:r w:rsidRPr="00950912">
        <w:rPr>
          <w:rFonts w:ascii="Palatino Linotype" w:hAnsi="Palatino Linotype" w:cs="Arial"/>
          <w:b/>
          <w:sz w:val="24"/>
          <w:szCs w:val="24"/>
        </w:rPr>
        <w:t>TERCERO. Notifíquese</w:t>
      </w:r>
      <w:r w:rsidRPr="00950912">
        <w:rPr>
          <w:rFonts w:ascii="Palatino Linotype" w:hAnsi="Palatino Linotype" w:cs="Arial"/>
          <w:b/>
          <w:i/>
          <w:sz w:val="24"/>
          <w:szCs w:val="24"/>
        </w:rPr>
        <w:t xml:space="preserve"> </w:t>
      </w:r>
      <w:r w:rsidRPr="00950912">
        <w:rPr>
          <w:rFonts w:ascii="Palatino Linotype" w:hAnsi="Palatino Linotype" w:cs="Arial"/>
          <w:sz w:val="24"/>
          <w:szCs w:val="24"/>
        </w:rPr>
        <w:t>al Titular de la Unidad de Transparencia del</w:t>
      </w:r>
      <w:r w:rsidRPr="00950912">
        <w:rPr>
          <w:rFonts w:ascii="Palatino Linotype" w:hAnsi="Palatino Linotype" w:cs="Arial"/>
          <w:b/>
          <w:sz w:val="24"/>
          <w:szCs w:val="24"/>
        </w:rPr>
        <w:t xml:space="preserve"> </w:t>
      </w:r>
      <w:r w:rsidRPr="00950912">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950912" w:rsidRPr="00950912" w:rsidRDefault="00950912" w:rsidP="00950912">
      <w:pPr>
        <w:spacing w:after="0" w:line="360" w:lineRule="auto"/>
        <w:jc w:val="both"/>
        <w:rPr>
          <w:rFonts w:ascii="Palatino Linotype" w:hAnsi="Palatino Linotype" w:cs="Arial"/>
          <w:sz w:val="24"/>
          <w:szCs w:val="24"/>
        </w:rPr>
      </w:pPr>
    </w:p>
    <w:p w:rsidR="00950912" w:rsidRPr="00950912" w:rsidRDefault="00950912" w:rsidP="002568B2">
      <w:pPr>
        <w:pStyle w:val="Sinespaciado"/>
        <w:spacing w:line="360" w:lineRule="auto"/>
        <w:jc w:val="both"/>
        <w:rPr>
          <w:rFonts w:ascii="Palatino Linotype" w:hAnsi="Palatino Linotype"/>
          <w:color w:val="222222"/>
          <w:sz w:val="24"/>
          <w:szCs w:val="24"/>
          <w:shd w:val="clear" w:color="auto" w:fill="FFFFFF"/>
        </w:rPr>
      </w:pPr>
      <w:r w:rsidRPr="00950912">
        <w:rPr>
          <w:rFonts w:ascii="Palatino Linotype" w:hAnsi="Palatino Linotype" w:cs="Arial"/>
          <w:b/>
          <w:sz w:val="24"/>
          <w:szCs w:val="24"/>
        </w:rPr>
        <w:t xml:space="preserve">CUARTO. </w:t>
      </w:r>
      <w:r w:rsidR="002F3B2E" w:rsidRPr="0014447C">
        <w:rPr>
          <w:rFonts w:ascii="Palatino Linotype" w:hAnsi="Palatino Linotype"/>
          <w:b/>
          <w:sz w:val="24"/>
          <w:szCs w:val="24"/>
        </w:rPr>
        <w:t>NOTIFÍQUESE</w:t>
      </w:r>
      <w:r w:rsidR="002F3B2E" w:rsidRPr="0014447C">
        <w:rPr>
          <w:rFonts w:ascii="Palatino Linotype" w:hAnsi="Palatino Linotype"/>
          <w:sz w:val="24"/>
          <w:szCs w:val="24"/>
        </w:rPr>
        <w:t xml:space="preserve"> a</w:t>
      </w:r>
      <w:r w:rsidR="002F3B2E">
        <w:rPr>
          <w:rFonts w:ascii="Palatino Linotype" w:hAnsi="Palatino Linotype"/>
          <w:sz w:val="24"/>
          <w:szCs w:val="24"/>
        </w:rPr>
        <w:t>l</w:t>
      </w:r>
      <w:r w:rsidR="002F3B2E" w:rsidRPr="0014447C">
        <w:rPr>
          <w:rFonts w:ascii="Palatino Linotype" w:hAnsi="Palatino Linotype"/>
          <w:sz w:val="24"/>
          <w:szCs w:val="24"/>
        </w:rPr>
        <w:t xml:space="preserve"> Recurrente</w:t>
      </w:r>
      <w:r w:rsidR="002F3B2E" w:rsidRPr="0014447C">
        <w:rPr>
          <w:rFonts w:ascii="Palatino Linotype" w:hAnsi="Palatino Linotype"/>
          <w:b/>
          <w:sz w:val="24"/>
          <w:szCs w:val="24"/>
        </w:rPr>
        <w:t xml:space="preserve"> </w:t>
      </w:r>
      <w:r w:rsidR="002F3B2E">
        <w:rPr>
          <w:rFonts w:ascii="Palatino Linotype" w:hAnsi="Palatino Linotype"/>
          <w:sz w:val="24"/>
          <w:szCs w:val="24"/>
        </w:rPr>
        <w:t>la presente resolución</w:t>
      </w:r>
      <w:r w:rsidR="002568B2">
        <w:rPr>
          <w:rFonts w:ascii="Palatino Linotype" w:hAnsi="Palatino Linotype"/>
          <w:sz w:val="24"/>
          <w:szCs w:val="24"/>
        </w:rPr>
        <w:t xml:space="preserve"> y hágase de su conocimiento </w:t>
      </w:r>
      <w:r w:rsidR="002F3B2E" w:rsidRPr="0014447C">
        <w:rPr>
          <w:rFonts w:ascii="Palatino Linotype" w:hAnsi="Palatino Linotype"/>
          <w:sz w:val="24"/>
          <w:szCs w:val="24"/>
        </w:rPr>
        <w:t>que</w:t>
      </w:r>
      <w:r w:rsidR="002F3B2E">
        <w:rPr>
          <w:rFonts w:ascii="Palatino Linotype" w:hAnsi="Palatino Linotype"/>
          <w:sz w:val="24"/>
          <w:szCs w:val="24"/>
        </w:rPr>
        <w:t>, en caso de que considere que la resolución emitida le cause</w:t>
      </w:r>
      <w:r w:rsidR="002F3B2E" w:rsidRPr="0014447C">
        <w:rPr>
          <w:rFonts w:ascii="Palatino Linotype" w:hAnsi="Palatino Linotype"/>
          <w:sz w:val="24"/>
          <w:szCs w:val="24"/>
        </w:rPr>
        <w:t xml:space="preserve"> algún perjuicio, podrá promover el Juicio de Amparo en los términos de las leyes aplicables, de acuerdo a lo estipulado por el artículo 196 de la Ley de Transparencia y Acceso a la Información Pública del Estado de México y Municipios.</w:t>
      </w:r>
    </w:p>
    <w:p w:rsidR="00883F0B" w:rsidRDefault="00883F0B" w:rsidP="001D06F1">
      <w:pPr>
        <w:pStyle w:val="Sinespaciado"/>
        <w:spacing w:line="360" w:lineRule="auto"/>
        <w:jc w:val="both"/>
        <w:rPr>
          <w:rFonts w:ascii="Palatino Linotype" w:hAnsi="Palatino Linotype"/>
          <w:sz w:val="24"/>
          <w:szCs w:val="24"/>
          <w:lang w:eastAsia="es-MX"/>
        </w:rPr>
      </w:pPr>
    </w:p>
    <w:p w:rsidR="006D254A" w:rsidRDefault="007E2E80" w:rsidP="00846CF2">
      <w:pPr>
        <w:pStyle w:val="Sinespaciado"/>
        <w:spacing w:line="276" w:lineRule="auto"/>
        <w:jc w:val="both"/>
        <w:rPr>
          <w:rFonts w:ascii="Palatino Linotype" w:hAnsi="Palatino Linotype"/>
          <w:sz w:val="24"/>
          <w:szCs w:val="24"/>
        </w:rPr>
      </w:pPr>
      <w:r w:rsidRPr="0014447C">
        <w:rPr>
          <w:rFonts w:ascii="Palatino Linotype" w:hAnsi="Palatino Linotype"/>
          <w:sz w:val="24"/>
          <w:szCs w:val="24"/>
        </w:rPr>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w:t>
      </w:r>
      <w:r w:rsidR="00427FEA">
        <w:rPr>
          <w:rFonts w:ascii="Palatino Linotype" w:hAnsi="Palatino Linotype"/>
          <w:sz w:val="24"/>
          <w:szCs w:val="24"/>
        </w:rPr>
        <w:t>,</w:t>
      </w:r>
      <w:r w:rsidRPr="0014447C">
        <w:rPr>
          <w:rFonts w:ascii="Palatino Linotype" w:hAnsi="Palatino Linotype"/>
          <w:sz w:val="24"/>
          <w:szCs w:val="24"/>
        </w:rPr>
        <w:t xml:space="preserve">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7E710A">
        <w:rPr>
          <w:rFonts w:ascii="Palatino Linotype" w:hAnsi="Palatino Linotype"/>
          <w:sz w:val="24"/>
          <w:szCs w:val="24"/>
        </w:rPr>
        <w:t xml:space="preserve"> CON VOTO PARTICULAR</w:t>
      </w:r>
      <w:r w:rsidR="00F91340">
        <w:rPr>
          <w:rFonts w:ascii="Palatino Linotype" w:hAnsi="Palatino Linotype"/>
          <w:sz w:val="24"/>
          <w:szCs w:val="24"/>
        </w:rPr>
        <w:t xml:space="preserve">, </w:t>
      </w:r>
      <w:r w:rsidR="00F91340" w:rsidRPr="0014447C">
        <w:rPr>
          <w:rFonts w:ascii="Palatino Linotype" w:hAnsi="Palatino Linotype"/>
          <w:sz w:val="24"/>
          <w:szCs w:val="24"/>
        </w:rPr>
        <w:t xml:space="preserve">JAVIER </w:t>
      </w:r>
      <w:r w:rsidR="00F91340" w:rsidRPr="00846CF2">
        <w:rPr>
          <w:rFonts w:ascii="Palatino Linotype" w:hAnsi="Palatino Linotype"/>
          <w:sz w:val="24"/>
          <w:szCs w:val="24"/>
        </w:rPr>
        <w:t xml:space="preserve">MARTÍNEZ CRUZ </w:t>
      </w:r>
      <w:r w:rsidR="00D57072" w:rsidRPr="00846CF2">
        <w:rPr>
          <w:rFonts w:ascii="Palatino Linotype" w:hAnsi="Palatino Linotype"/>
          <w:sz w:val="24"/>
          <w:szCs w:val="24"/>
        </w:rPr>
        <w:t>Y</w:t>
      </w:r>
      <w:r w:rsidR="00F91340" w:rsidRPr="00846CF2">
        <w:rPr>
          <w:rFonts w:ascii="Palatino Linotype" w:hAnsi="Palatino Linotype"/>
          <w:sz w:val="24"/>
          <w:szCs w:val="24"/>
        </w:rPr>
        <w:t xml:space="preserve"> LUIS GUSTAVO PARRA NORIEGA</w:t>
      </w:r>
      <w:r w:rsidRPr="00846CF2">
        <w:rPr>
          <w:rFonts w:ascii="Palatino Linotype" w:hAnsi="Palatino Linotype"/>
          <w:sz w:val="24"/>
          <w:szCs w:val="24"/>
        </w:rPr>
        <w:t>, EN LA</w:t>
      </w:r>
      <w:r w:rsidR="00846CF2" w:rsidRPr="00846CF2">
        <w:rPr>
          <w:rFonts w:ascii="Palatino Linotype" w:hAnsi="Palatino Linotype"/>
          <w:sz w:val="24"/>
          <w:szCs w:val="24"/>
        </w:rPr>
        <w:t xml:space="preserve"> VIGÉSIMA SEXTA</w:t>
      </w:r>
      <w:r w:rsidR="00B54E28" w:rsidRPr="00846CF2">
        <w:rPr>
          <w:rFonts w:ascii="Palatino Linotype" w:hAnsi="Palatino Linotype"/>
          <w:sz w:val="24"/>
          <w:szCs w:val="24"/>
        </w:rPr>
        <w:t xml:space="preserve"> SESIÓN ORDINARIA CELEBRADA EL </w:t>
      </w:r>
      <w:r w:rsidR="00846CF2" w:rsidRPr="00846CF2">
        <w:rPr>
          <w:rFonts w:ascii="Palatino Linotype" w:hAnsi="Palatino Linotype"/>
          <w:sz w:val="24"/>
          <w:szCs w:val="24"/>
        </w:rPr>
        <w:t>ONCE DE NOVIEMBRE</w:t>
      </w:r>
      <w:r w:rsidR="00B54E28" w:rsidRPr="00846CF2">
        <w:rPr>
          <w:rFonts w:ascii="Palatino Linotype" w:hAnsi="Palatino Linotype"/>
          <w:sz w:val="24"/>
          <w:szCs w:val="24"/>
        </w:rPr>
        <w:t xml:space="preserve"> DE DOS MIL VEINTE</w:t>
      </w:r>
      <w:r w:rsidRPr="00846CF2">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342DCD">
        <w:rPr>
          <w:rFonts w:ascii="Palatino Linotype" w:hAnsi="Palatino Linotype"/>
          <w:sz w:val="24"/>
          <w:szCs w:val="24"/>
        </w:rPr>
        <w:t>--------------------------</w:t>
      </w:r>
      <w:r w:rsidR="007E710A">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6149F1" w:rsidTr="00F91340">
        <w:tc>
          <w:tcPr>
            <w:tcW w:w="9062" w:type="dxa"/>
            <w:gridSpan w:val="2"/>
          </w:tcPr>
          <w:p w:rsidR="00AA4F9A" w:rsidRDefault="00AA4F9A" w:rsidP="00C10AAE">
            <w:pPr>
              <w:pStyle w:val="Sinespaciado"/>
              <w:jc w:val="center"/>
              <w:rPr>
                <w:rFonts w:ascii="Palatino Linotype" w:hAnsi="Palatino Linotype"/>
                <w:b/>
                <w:sz w:val="24"/>
                <w:szCs w:val="24"/>
              </w:rPr>
            </w:pPr>
          </w:p>
          <w:p w:rsidR="00C10AAE" w:rsidRDefault="00C10AAE" w:rsidP="00C10AAE">
            <w:pPr>
              <w:pStyle w:val="Sinespaciado"/>
              <w:jc w:val="center"/>
              <w:rPr>
                <w:rFonts w:ascii="Palatino Linotype" w:hAnsi="Palatino Linotype"/>
                <w:b/>
                <w:sz w:val="24"/>
                <w:szCs w:val="24"/>
              </w:rPr>
            </w:pPr>
          </w:p>
          <w:p w:rsidR="008418A0" w:rsidRPr="006149F1" w:rsidRDefault="008418A0" w:rsidP="00C10AAE">
            <w:pPr>
              <w:pStyle w:val="Sinespaciado"/>
              <w:jc w:val="center"/>
              <w:rPr>
                <w:rFonts w:ascii="Palatino Linotype" w:hAnsi="Palatino Linotype"/>
                <w:b/>
                <w:sz w:val="24"/>
                <w:szCs w:val="24"/>
              </w:rPr>
            </w:pPr>
          </w:p>
          <w:p w:rsidR="00AA4F9A" w:rsidRDefault="00AA4F9A" w:rsidP="00C10AAE">
            <w:pPr>
              <w:pStyle w:val="Sinespaciado"/>
              <w:jc w:val="center"/>
              <w:rPr>
                <w:rFonts w:ascii="Palatino Linotype" w:hAnsi="Palatino Linotype"/>
                <w:b/>
                <w:sz w:val="24"/>
                <w:szCs w:val="24"/>
              </w:rPr>
            </w:pPr>
          </w:p>
          <w:p w:rsidR="00106160" w:rsidRPr="006149F1" w:rsidRDefault="00106160" w:rsidP="00C10AAE">
            <w:pPr>
              <w:pStyle w:val="Sinespaciado"/>
              <w:jc w:val="center"/>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Zulema Martínez Sánchez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 Presidenta</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6149F1" w:rsidRPr="006149F1" w:rsidTr="00F91340">
        <w:tc>
          <w:tcPr>
            <w:tcW w:w="4531" w:type="dxa"/>
          </w:tcPr>
          <w:p w:rsidR="00AA4F9A"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006849" w:rsidRPr="006149F1" w:rsidRDefault="00006849"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8418A0" w:rsidRDefault="008418A0" w:rsidP="00C10AAE">
            <w:pPr>
              <w:pStyle w:val="Sinespaciado"/>
              <w:jc w:val="both"/>
              <w:rPr>
                <w:rFonts w:ascii="Palatino Linotype" w:hAnsi="Palatino Linotype"/>
                <w:b/>
                <w:sz w:val="24"/>
                <w:szCs w:val="24"/>
              </w:rPr>
            </w:pPr>
          </w:p>
          <w:p w:rsidR="00D57072" w:rsidRPr="006149F1" w:rsidRDefault="00676C32" w:rsidP="00C10AAE">
            <w:pPr>
              <w:pStyle w:val="Sinespaciado"/>
              <w:jc w:val="center"/>
              <w:rPr>
                <w:rFonts w:ascii="Palatino Linotype" w:hAnsi="Palatino Linotype"/>
                <w:b/>
                <w:sz w:val="24"/>
                <w:szCs w:val="24"/>
              </w:rPr>
            </w:pPr>
            <w:r w:rsidRPr="006149F1">
              <w:rPr>
                <w:rFonts w:ascii="Palatino Linotype" w:hAnsi="Palatino Linotype"/>
                <w:b/>
                <w:sz w:val="24"/>
                <w:szCs w:val="24"/>
              </w:rPr>
              <w:t>Eva Ab</w:t>
            </w:r>
            <w:r w:rsidR="00D57072" w:rsidRPr="006149F1">
              <w:rPr>
                <w:rFonts w:ascii="Palatino Linotype" w:hAnsi="Palatino Linotype"/>
                <w:b/>
                <w:sz w:val="24"/>
                <w:szCs w:val="24"/>
              </w:rPr>
              <w:t>aid Yapur</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w:t>
            </w:r>
          </w:p>
          <w:p w:rsidR="00D57072" w:rsidRPr="006149F1" w:rsidRDefault="009330E9" w:rsidP="00C10AAE">
            <w:pPr>
              <w:pStyle w:val="Sinespaciado"/>
              <w:jc w:val="center"/>
              <w:rPr>
                <w:rFonts w:ascii="Palatino Linotype" w:hAnsi="Palatino Linotype"/>
                <w:sz w:val="24"/>
                <w:szCs w:val="24"/>
              </w:rPr>
            </w:pPr>
            <w:r>
              <w:rPr>
                <w:rFonts w:ascii="Palatino Linotype" w:hAnsi="Palatino Linotype"/>
                <w:sz w:val="24"/>
                <w:szCs w:val="24"/>
              </w:rPr>
              <w:t>(Rubrica</w:t>
            </w:r>
            <w:r w:rsidR="00D57072" w:rsidRPr="006149F1">
              <w:rPr>
                <w:rFonts w:ascii="Palatino Linotype" w:hAnsi="Palatino Linotype"/>
                <w:sz w:val="24"/>
                <w:szCs w:val="24"/>
              </w:rPr>
              <w:t>)</w:t>
            </w:r>
          </w:p>
        </w:tc>
        <w:tc>
          <w:tcPr>
            <w:tcW w:w="4531" w:type="dxa"/>
          </w:tcPr>
          <w:p w:rsidR="00AA4F9A" w:rsidRDefault="00AA4F9A" w:rsidP="00C10AAE">
            <w:pPr>
              <w:pStyle w:val="Sinespaciado"/>
              <w:jc w:val="both"/>
              <w:rPr>
                <w:rFonts w:ascii="Palatino Linotype" w:hAnsi="Palatino Linotype"/>
                <w:b/>
                <w:sz w:val="24"/>
                <w:szCs w:val="24"/>
              </w:rPr>
            </w:pPr>
          </w:p>
          <w:p w:rsidR="00006849" w:rsidRPr="006149F1" w:rsidRDefault="00006849"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8418A0" w:rsidRDefault="008418A0"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José Guadalupe Luna Hernández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F91340" w:rsidRPr="006149F1" w:rsidTr="00F91340">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8418A0" w:rsidRDefault="008418A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Pr="006149F1" w:rsidRDefault="00F91340" w:rsidP="00F91340">
            <w:pPr>
              <w:pStyle w:val="Sinespaciado"/>
              <w:jc w:val="center"/>
              <w:rPr>
                <w:rFonts w:ascii="Palatino Linotype" w:hAnsi="Palatino Linotype"/>
                <w:b/>
                <w:sz w:val="24"/>
                <w:szCs w:val="24"/>
              </w:rPr>
            </w:pPr>
            <w:r w:rsidRPr="006149F1">
              <w:rPr>
                <w:rFonts w:ascii="Palatino Linotype" w:hAnsi="Palatino Linotype"/>
                <w:b/>
                <w:sz w:val="24"/>
                <w:szCs w:val="24"/>
              </w:rPr>
              <w:t>Javier Martínez Cruz</w:t>
            </w:r>
          </w:p>
          <w:p w:rsidR="00F91340" w:rsidRPr="006149F1" w:rsidRDefault="00F91340" w:rsidP="00F91340">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F91340" w:rsidRPr="006149F1" w:rsidRDefault="00846CF2" w:rsidP="00F91340">
            <w:pPr>
              <w:pStyle w:val="Sinespaciado"/>
              <w:jc w:val="center"/>
              <w:rPr>
                <w:rFonts w:ascii="Palatino Linotype" w:hAnsi="Palatino Linotype"/>
                <w:b/>
                <w:sz w:val="24"/>
                <w:szCs w:val="24"/>
              </w:rPr>
            </w:pPr>
            <w:r>
              <w:rPr>
                <w:rFonts w:ascii="Palatino Linotype" w:hAnsi="Palatino Linotype"/>
                <w:sz w:val="24"/>
                <w:szCs w:val="24"/>
              </w:rPr>
              <w:t>(Rúbrica</w:t>
            </w:r>
            <w:r w:rsidR="00F91340" w:rsidRPr="006149F1">
              <w:rPr>
                <w:rFonts w:ascii="Palatino Linotype" w:hAnsi="Palatino Linotype"/>
                <w:sz w:val="24"/>
                <w:szCs w:val="24"/>
              </w:rPr>
              <w:t>)</w:t>
            </w:r>
          </w:p>
        </w:tc>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8418A0" w:rsidRDefault="008418A0" w:rsidP="00F91340">
            <w:pPr>
              <w:pStyle w:val="Sinespaciado"/>
              <w:jc w:val="center"/>
              <w:rPr>
                <w:rFonts w:ascii="Palatino Linotype" w:hAnsi="Palatino Linotype"/>
                <w:b/>
                <w:sz w:val="24"/>
                <w:szCs w:val="24"/>
              </w:rPr>
            </w:pPr>
          </w:p>
          <w:p w:rsidR="00006849" w:rsidRDefault="00006849"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r>
              <w:rPr>
                <w:rFonts w:ascii="Palatino Linotype" w:hAnsi="Palatino Linotype"/>
                <w:b/>
                <w:sz w:val="24"/>
                <w:szCs w:val="24"/>
              </w:rPr>
              <w:t>Luis Gustavo Parra Noriega</w:t>
            </w:r>
          </w:p>
          <w:p w:rsid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Comisionado</w:t>
            </w:r>
          </w:p>
          <w:p w:rsidR="00F91340" w:rsidRPr="00F91340" w:rsidRDefault="00771503" w:rsidP="00F91340">
            <w:pPr>
              <w:pStyle w:val="Sinespaciado"/>
              <w:jc w:val="center"/>
              <w:rPr>
                <w:rFonts w:ascii="Palatino Linotype" w:hAnsi="Palatino Linotype"/>
                <w:sz w:val="24"/>
                <w:szCs w:val="24"/>
              </w:rPr>
            </w:pPr>
            <w:r>
              <w:rPr>
                <w:rFonts w:ascii="Palatino Linotype" w:hAnsi="Palatino Linotype"/>
                <w:sz w:val="24"/>
                <w:szCs w:val="24"/>
              </w:rPr>
              <w:t>(Rúbrica</w:t>
            </w:r>
            <w:r w:rsidR="00F91340">
              <w:rPr>
                <w:rFonts w:ascii="Palatino Linotype" w:hAnsi="Palatino Linotype"/>
                <w:sz w:val="24"/>
                <w:szCs w:val="24"/>
              </w:rPr>
              <w:t>)</w:t>
            </w:r>
          </w:p>
        </w:tc>
      </w:tr>
      <w:tr w:rsidR="006149F1" w:rsidRPr="006149F1" w:rsidTr="00F91340">
        <w:tc>
          <w:tcPr>
            <w:tcW w:w="9062" w:type="dxa"/>
            <w:gridSpan w:val="2"/>
          </w:tcPr>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006849" w:rsidRDefault="00006849" w:rsidP="00C10AAE">
            <w:pPr>
              <w:pStyle w:val="Sinespaciado"/>
              <w:jc w:val="both"/>
              <w:rPr>
                <w:rFonts w:ascii="Palatino Linotype" w:hAnsi="Palatino Linotype"/>
                <w:b/>
                <w:sz w:val="24"/>
                <w:szCs w:val="24"/>
              </w:rPr>
            </w:pPr>
          </w:p>
          <w:p w:rsidR="008418A0" w:rsidRDefault="008418A0" w:rsidP="00C10AAE">
            <w:pPr>
              <w:pStyle w:val="Sinespaciado"/>
              <w:jc w:val="both"/>
              <w:rPr>
                <w:rFonts w:ascii="Palatino Linotype" w:hAnsi="Palatino Linotype"/>
                <w:b/>
                <w:sz w:val="24"/>
                <w:szCs w:val="24"/>
              </w:rPr>
            </w:pPr>
          </w:p>
          <w:p w:rsidR="00C911DE" w:rsidRPr="006149F1" w:rsidRDefault="00C911DE" w:rsidP="00C10AAE">
            <w:pPr>
              <w:pStyle w:val="Sinespaciado"/>
              <w:jc w:val="both"/>
              <w:rPr>
                <w:rFonts w:ascii="Palatino Linotype" w:hAnsi="Palatino Linotype"/>
                <w:b/>
                <w:sz w:val="24"/>
                <w:szCs w:val="24"/>
              </w:rPr>
            </w:pPr>
          </w:p>
          <w:p w:rsidR="00D57072" w:rsidRPr="006149F1" w:rsidRDefault="00F2343A" w:rsidP="00C10AAE">
            <w:pPr>
              <w:pStyle w:val="Sinespaciado"/>
              <w:jc w:val="center"/>
              <w:rPr>
                <w:rFonts w:ascii="Palatino Linotype" w:hAnsi="Palatino Linotype"/>
                <w:b/>
                <w:sz w:val="24"/>
                <w:szCs w:val="24"/>
              </w:rPr>
            </w:pPr>
            <w:r w:rsidRPr="006149F1">
              <w:rPr>
                <w:rFonts w:ascii="Palatino Linotype" w:hAnsi="Palatino Linotype"/>
                <w:b/>
                <w:sz w:val="24"/>
                <w:szCs w:val="24"/>
              </w:rPr>
              <w:t>Alexis Tapia Ramírez</w:t>
            </w:r>
          </w:p>
          <w:p w:rsidR="00D57072" w:rsidRPr="006149F1" w:rsidRDefault="00F2343A" w:rsidP="00C10AAE">
            <w:pPr>
              <w:pStyle w:val="Sinespaciado"/>
              <w:jc w:val="center"/>
              <w:rPr>
                <w:rFonts w:ascii="Palatino Linotype" w:hAnsi="Palatino Linotype"/>
                <w:sz w:val="24"/>
                <w:szCs w:val="24"/>
              </w:rPr>
            </w:pPr>
            <w:r w:rsidRPr="006149F1">
              <w:rPr>
                <w:rFonts w:ascii="Palatino Linotype" w:hAnsi="Palatino Linotype"/>
                <w:sz w:val="24"/>
                <w:szCs w:val="24"/>
              </w:rPr>
              <w:t>Secretario Técnico</w:t>
            </w:r>
            <w:r w:rsidR="00D57072" w:rsidRPr="006149F1">
              <w:rPr>
                <w:rFonts w:ascii="Palatino Linotype" w:hAnsi="Palatino Linotype"/>
                <w:sz w:val="24"/>
                <w:szCs w:val="24"/>
              </w:rPr>
              <w:t xml:space="preserve"> del Pleno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bl>
    <w:p w:rsidR="00106160" w:rsidRDefault="00106160" w:rsidP="0014447C">
      <w:pPr>
        <w:pStyle w:val="Sinespaciado"/>
        <w:jc w:val="both"/>
        <w:rPr>
          <w:rFonts w:ascii="Palatino Linotype" w:hAnsi="Palatino Linotype"/>
          <w:sz w:val="36"/>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Esta hoja</w:t>
      </w:r>
      <w:r w:rsidR="00B54E28">
        <w:rPr>
          <w:rFonts w:ascii="Palatino Linotype" w:hAnsi="Palatino Linotype"/>
          <w:sz w:val="16"/>
          <w:szCs w:val="16"/>
        </w:rPr>
        <w:t xml:space="preserve"> corresponde a la resoluci</w:t>
      </w:r>
      <w:r w:rsidR="00846CF2">
        <w:rPr>
          <w:rFonts w:ascii="Palatino Linotype" w:hAnsi="Palatino Linotype"/>
          <w:sz w:val="16"/>
          <w:szCs w:val="16"/>
        </w:rPr>
        <w:t xml:space="preserve">ón de fecha once de noviembre </w:t>
      </w:r>
      <w:r w:rsidR="00B54E28">
        <w:rPr>
          <w:rFonts w:ascii="Palatino Linotype" w:hAnsi="Palatino Linotype"/>
          <w:sz w:val="16"/>
          <w:szCs w:val="16"/>
        </w:rPr>
        <w:t>de dos mil veinte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846CF2">
        <w:rPr>
          <w:rFonts w:ascii="Palatino Linotype" w:hAnsi="Palatino Linotype"/>
          <w:bCs/>
          <w:sz w:val="16"/>
          <w:szCs w:val="16"/>
          <w:lang w:eastAsia="es-MX"/>
        </w:rPr>
        <w:t>03515</w:t>
      </w:r>
      <w:r w:rsidR="00B6106F">
        <w:rPr>
          <w:rFonts w:ascii="Palatino Linotype" w:hAnsi="Palatino Linotype"/>
          <w:bCs/>
          <w:sz w:val="16"/>
          <w:szCs w:val="16"/>
          <w:lang w:eastAsia="es-MX"/>
        </w:rPr>
        <w:t>/INFOEM/IP/RR/2020.</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w:t>
      </w:r>
      <w:proofErr w:type="spellStart"/>
      <w:r w:rsidR="00AA4F9A">
        <w:rPr>
          <w:rFonts w:ascii="Palatino Linotype" w:hAnsi="Palatino Linotype"/>
          <w:bCs/>
          <w:sz w:val="16"/>
          <w:szCs w:val="16"/>
          <w:lang w:eastAsia="es-MX"/>
        </w:rPr>
        <w:t>fzh</w:t>
      </w:r>
      <w:proofErr w:type="spellEnd"/>
    </w:p>
    <w:sectPr w:rsidR="007E2E80" w:rsidRPr="00AA4F9A" w:rsidSect="00050A9C">
      <w:headerReference w:type="even" r:id="rId1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14A" w:rsidRDefault="0091714A" w:rsidP="007E2E80">
      <w:pPr>
        <w:spacing w:after="0" w:line="240" w:lineRule="auto"/>
      </w:pPr>
      <w:r>
        <w:separator/>
      </w:r>
    </w:p>
  </w:endnote>
  <w:endnote w:type="continuationSeparator" w:id="0">
    <w:p w:rsidR="0091714A" w:rsidRDefault="0091714A"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E75" w:rsidRPr="000B69FA" w:rsidRDefault="00094E75"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266AB">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266AB">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E75" w:rsidRPr="000B69FA" w:rsidRDefault="00094E75"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266A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266AB">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14A" w:rsidRDefault="0091714A" w:rsidP="007E2E80">
      <w:pPr>
        <w:spacing w:after="0" w:line="240" w:lineRule="auto"/>
      </w:pPr>
      <w:r>
        <w:separator/>
      </w:r>
    </w:p>
  </w:footnote>
  <w:footnote w:type="continuationSeparator" w:id="0">
    <w:p w:rsidR="0091714A" w:rsidRDefault="0091714A" w:rsidP="007E2E80">
      <w:pPr>
        <w:spacing w:after="0" w:line="240" w:lineRule="auto"/>
      </w:pPr>
      <w:r>
        <w:continuationSeparator/>
      </w:r>
    </w:p>
  </w:footnote>
  <w:footnote w:id="1">
    <w:p w:rsidR="00094E75" w:rsidRPr="00127D4C" w:rsidRDefault="00094E75" w:rsidP="00705D1C">
      <w:pPr>
        <w:pStyle w:val="Textonotapie"/>
        <w:jc w:val="both"/>
        <w:rPr>
          <w:rFonts w:ascii="Palatino Linotype" w:hAnsi="Palatino Linotype" w:cs="Arial"/>
          <w:sz w:val="18"/>
          <w:szCs w:val="18"/>
        </w:rPr>
      </w:pPr>
      <w:r w:rsidRPr="00127D4C">
        <w:rPr>
          <w:rStyle w:val="Refdenotaalpie"/>
          <w:rFonts w:ascii="Palatino Linotype" w:hAnsi="Palatino Linotype"/>
          <w:sz w:val="18"/>
          <w:szCs w:val="18"/>
        </w:rPr>
        <w:footnoteRef/>
      </w:r>
      <w:r w:rsidRPr="00127D4C">
        <w:rPr>
          <w:rFonts w:ascii="Palatino Linotype" w:hAnsi="Palatino Linotype"/>
          <w:sz w:val="18"/>
          <w:szCs w:val="18"/>
        </w:rPr>
        <w:t xml:space="preserve"> </w:t>
      </w:r>
      <w:r w:rsidRPr="00127D4C">
        <w:rPr>
          <w:rFonts w:ascii="Palatino Linotype" w:hAnsi="Palatino Linotype" w:cs="Arial"/>
          <w:sz w:val="18"/>
          <w:szCs w:val="18"/>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094E75" w:rsidRPr="00127D4C" w:rsidRDefault="00094E75" w:rsidP="00705D1C">
      <w:pPr>
        <w:pStyle w:val="Textonotapie"/>
        <w:jc w:val="both"/>
        <w:rPr>
          <w:rFonts w:ascii="Palatino Linotype" w:hAnsi="Palatino Linotype" w:cs="Arial"/>
          <w:sz w:val="18"/>
          <w:szCs w:val="18"/>
        </w:rPr>
      </w:pPr>
    </w:p>
    <w:p w:rsidR="00094E75" w:rsidRPr="00127D4C" w:rsidRDefault="00094E75" w:rsidP="00705D1C">
      <w:pPr>
        <w:jc w:val="both"/>
        <w:rPr>
          <w:rFonts w:ascii="Palatino Linotype" w:hAnsi="Palatino Linotype"/>
          <w:i/>
          <w:sz w:val="18"/>
          <w:szCs w:val="18"/>
        </w:rPr>
      </w:pPr>
      <w:r w:rsidRPr="00127D4C">
        <w:rPr>
          <w:rFonts w:ascii="Palatino Linotype" w:hAnsi="Palatino Linotype"/>
          <w:b/>
          <w:bCs/>
          <w:i/>
          <w:sz w:val="18"/>
          <w:szCs w:val="18"/>
        </w:rPr>
        <w:t xml:space="preserve">IMPROCEDENCIA Y SOBRESEIMIENTO EN EL JUICIO DE AMPARO. LAS CAUSAS PREVISTAS EN LOS ARTÍCULOS 73 Y 74 DE LA LEY DE LA MATERIA, RESPECTIVAMENTE, NO SON INCOMPATIBLES CON EL ARTÍCULO 25.1 DE LA CONVENCIÓN AMERICANA SOBRE DERECHOS HUMANOS. </w:t>
      </w:r>
      <w:r w:rsidRPr="00127D4C">
        <w:rPr>
          <w:rFonts w:ascii="Palatino Linotype" w:hAnsi="Palatino Linotype"/>
          <w:i/>
          <w:sz w:val="18"/>
          <w:szCs w:val="18"/>
        </w:rPr>
        <w:t>Del examen de compatibilidad de los artículos</w:t>
      </w:r>
      <w:r w:rsidRPr="00127D4C">
        <w:rPr>
          <w:rStyle w:val="apple-converted-space"/>
          <w:rFonts w:ascii="Palatino Linotype" w:hAnsi="Palatino Linotype"/>
          <w:i/>
          <w:sz w:val="18"/>
          <w:szCs w:val="18"/>
        </w:rPr>
        <w:t> </w:t>
      </w:r>
      <w:hyperlink r:id="rId1" w:history="1">
        <w:r w:rsidRPr="00127D4C">
          <w:rPr>
            <w:rStyle w:val="Hipervnculo"/>
            <w:rFonts w:ascii="Palatino Linotype" w:hAnsi="Palatino Linotype"/>
            <w:i/>
            <w:color w:val="auto"/>
            <w:sz w:val="18"/>
            <w:szCs w:val="18"/>
          </w:rPr>
          <w:t>73 y 74 de la Ley de Amparo</w:t>
        </w:r>
      </w:hyperlink>
      <w:r w:rsidRPr="00127D4C">
        <w:rPr>
          <w:rStyle w:val="apple-converted-space"/>
          <w:rFonts w:ascii="Palatino Linotype" w:hAnsi="Palatino Linotype"/>
          <w:i/>
          <w:sz w:val="18"/>
          <w:szCs w:val="18"/>
        </w:rPr>
        <w:t> </w:t>
      </w:r>
      <w:r w:rsidRPr="00127D4C">
        <w:rPr>
          <w:rFonts w:ascii="Palatino Linotype" w:hAnsi="Palatino Linotype"/>
          <w:i/>
          <w:sz w:val="18"/>
          <w:szCs w:val="18"/>
        </w:rPr>
        <w:t>con el artículo</w:t>
      </w:r>
      <w:r w:rsidRPr="00127D4C">
        <w:rPr>
          <w:rStyle w:val="apple-converted-space"/>
          <w:rFonts w:ascii="Palatino Linotype" w:hAnsi="Palatino Linotype"/>
          <w:i/>
          <w:sz w:val="18"/>
          <w:szCs w:val="18"/>
        </w:rPr>
        <w:t> </w:t>
      </w:r>
      <w:hyperlink r:id="rId2" w:history="1">
        <w:r w:rsidRPr="00127D4C">
          <w:rPr>
            <w:rStyle w:val="Hipervnculo"/>
            <w:rFonts w:ascii="Palatino Linotype" w:hAnsi="Palatino Linotype"/>
            <w:i/>
            <w:color w:val="auto"/>
            <w:sz w:val="18"/>
            <w:szCs w:val="18"/>
          </w:rPr>
          <w:t>25.1 de la Convención Americana sobre Derechos Humanos</w:t>
        </w:r>
      </w:hyperlink>
      <w:r w:rsidRPr="00127D4C">
        <w:rPr>
          <w:rStyle w:val="apple-converted-space"/>
          <w:rFonts w:ascii="Palatino Linotype" w:hAnsi="Palatino Linotype"/>
          <w:i/>
          <w:sz w:val="18"/>
          <w:szCs w:val="18"/>
        </w:rPr>
        <w:t> </w:t>
      </w:r>
      <w:r w:rsidRPr="00127D4C">
        <w:rPr>
          <w:rFonts w:ascii="Palatino Linotype" w:hAnsi="Palatino Linotype"/>
          <w:b/>
          <w:i/>
          <w:sz w:val="18"/>
          <w:szCs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127D4C">
        <w:rPr>
          <w:rFonts w:ascii="Palatino Linotype" w:hAnsi="Palatino Linotype"/>
          <w:i/>
          <w:sz w:val="18"/>
          <w:szCs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127D4C">
        <w:rPr>
          <w:rFonts w:ascii="Palatino Linotype" w:hAnsi="Palatino Linotype"/>
          <w:i/>
          <w:sz w:val="18"/>
          <w:szCs w:val="18"/>
        </w:rPr>
        <w:t>concesoria</w:t>
      </w:r>
      <w:proofErr w:type="spellEnd"/>
      <w:r w:rsidRPr="00127D4C">
        <w:rPr>
          <w:rFonts w:ascii="Palatino Linotype" w:hAnsi="Palatino Linotype"/>
          <w:i/>
          <w:sz w:val="18"/>
          <w:szCs w:val="18"/>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094E75" w:rsidRDefault="00094E75" w:rsidP="00BB4BDC">
      <w:pPr>
        <w:pStyle w:val="Textonotapie"/>
        <w:rPr>
          <w:rFonts w:ascii="Palatino Linotype" w:hAnsi="Palatino Linotype"/>
          <w:sz w:val="18"/>
          <w:szCs w:val="18"/>
        </w:rPr>
      </w:pPr>
      <w:r>
        <w:rPr>
          <w:rStyle w:val="Refdenotaalpie"/>
          <w:rFonts w:ascii="Palatino Linotype" w:hAnsi="Palatino Linotype"/>
          <w:sz w:val="18"/>
          <w:szCs w:val="18"/>
        </w:rPr>
        <w:footnoteRef/>
      </w:r>
      <w:r>
        <w:rPr>
          <w:rFonts w:ascii="Palatino Linotype" w:hAnsi="Palatino Linotype"/>
          <w:sz w:val="18"/>
          <w:szCs w:val="18"/>
        </w:rPr>
        <w:t xml:space="preserve">[TA] 2a. XXII/96, </w:t>
      </w:r>
      <w:r>
        <w:rPr>
          <w:rFonts w:ascii="Palatino Linotype" w:hAnsi="Palatino Linotype"/>
          <w:i/>
          <w:sz w:val="18"/>
          <w:szCs w:val="18"/>
        </w:rPr>
        <w:t>Semanario Judicial de la Federación y su Gaceta,</w:t>
      </w:r>
      <w:r>
        <w:rPr>
          <w:rFonts w:ascii="Palatino Linotype" w:hAnsi="Palatino Linotype"/>
          <w:sz w:val="18"/>
          <w:szCs w:val="18"/>
        </w:rPr>
        <w:t xml:space="preserve"> Novena Época, t. III, abril de 1996, p. 207.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30" w:rsidRDefault="0091714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E75" w:rsidRDefault="0091714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4.85pt;margin-top:-144.15pt;width:609.4pt;height:793.75pt;z-index:-251656192;mso-position-horizontal-relative:margin;mso-position-vertical-relative:margin" o:allowincell="f">
          <v:imagedata r:id="rId1" o:title="logo infoem (1)"/>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094E75" w:rsidTr="00182616">
      <w:trPr>
        <w:trHeight w:val="227"/>
      </w:trPr>
      <w:tc>
        <w:tcPr>
          <w:tcW w:w="5949" w:type="dxa"/>
          <w:hideMark/>
        </w:tcPr>
        <w:p w:rsidR="00094E75" w:rsidRDefault="00094E75"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094E75" w:rsidRDefault="00094E75"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03515/INFOEM/IP/RR/2020</w:t>
          </w:r>
        </w:p>
      </w:tc>
    </w:tr>
    <w:tr w:rsidR="00094E75" w:rsidTr="00182616">
      <w:trPr>
        <w:trHeight w:val="242"/>
      </w:trPr>
      <w:tc>
        <w:tcPr>
          <w:tcW w:w="5949" w:type="dxa"/>
          <w:hideMark/>
        </w:tcPr>
        <w:p w:rsidR="00094E75" w:rsidRDefault="00094E75"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094E75" w:rsidRDefault="00094E75" w:rsidP="006D711D">
          <w:pPr>
            <w:spacing w:after="120" w:line="256" w:lineRule="auto"/>
            <w:ind w:left="72" w:right="214"/>
            <w:jc w:val="right"/>
            <w:rPr>
              <w:rFonts w:ascii="Palatino Linotype" w:hAnsi="Palatino Linotype" w:cs="Arial"/>
              <w:szCs w:val="20"/>
            </w:rPr>
          </w:pPr>
          <w:r>
            <w:rPr>
              <w:rFonts w:ascii="Palatino Linotype" w:hAnsi="Palatino Linotype" w:cs="Arial"/>
              <w:szCs w:val="20"/>
            </w:rPr>
            <w:t>Secretaría de Salud</w:t>
          </w:r>
        </w:p>
      </w:tc>
    </w:tr>
    <w:tr w:rsidR="00094E75" w:rsidTr="00182616">
      <w:trPr>
        <w:trHeight w:val="342"/>
      </w:trPr>
      <w:tc>
        <w:tcPr>
          <w:tcW w:w="5949" w:type="dxa"/>
          <w:hideMark/>
        </w:tcPr>
        <w:p w:rsidR="00094E75" w:rsidRDefault="00094E75"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094E75" w:rsidRDefault="00094E75"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094E75" w:rsidRDefault="00094E75">
    <w:pPr>
      <w:pStyle w:val="Encabezado"/>
    </w:pPr>
  </w:p>
  <w:p w:rsidR="00094E75" w:rsidRDefault="00094E7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094E75" w:rsidTr="00182616">
      <w:trPr>
        <w:trHeight w:val="227"/>
      </w:trPr>
      <w:tc>
        <w:tcPr>
          <w:tcW w:w="5103" w:type="dxa"/>
          <w:hideMark/>
        </w:tcPr>
        <w:p w:rsidR="00094E75" w:rsidRDefault="00094E75"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094E75" w:rsidRPr="00B4142F" w:rsidRDefault="00094E75"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03515/INFOEM/IP/RR/2020</w:t>
          </w:r>
        </w:p>
      </w:tc>
    </w:tr>
    <w:tr w:rsidR="00094E75" w:rsidTr="00182616">
      <w:trPr>
        <w:trHeight w:val="196"/>
      </w:trPr>
      <w:tc>
        <w:tcPr>
          <w:tcW w:w="5103" w:type="dxa"/>
          <w:hideMark/>
        </w:tcPr>
        <w:p w:rsidR="00094E75" w:rsidRDefault="00094E75"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094E75" w:rsidRPr="00F06FED" w:rsidRDefault="00F266AB" w:rsidP="00212498">
          <w:pPr>
            <w:spacing w:after="120" w:line="256" w:lineRule="auto"/>
            <w:ind w:left="208" w:right="214"/>
            <w:jc w:val="right"/>
            <w:rPr>
              <w:rFonts w:ascii="Palatino Linotype" w:hAnsi="Palatino Linotype" w:cs="Arial"/>
            </w:rPr>
          </w:pPr>
          <w:proofErr w:type="spellStart"/>
          <w:r>
            <w:rPr>
              <w:rFonts w:ascii="Palatino Linotype" w:hAnsi="Palatino Linotype" w:cs="Arial"/>
            </w:rPr>
            <w:t>xxxxxxxxxxxxxxxxxxxxx</w:t>
          </w:r>
          <w:proofErr w:type="spellEnd"/>
        </w:p>
      </w:tc>
    </w:tr>
    <w:tr w:rsidR="00094E75" w:rsidTr="00182616">
      <w:trPr>
        <w:trHeight w:val="242"/>
      </w:trPr>
      <w:tc>
        <w:tcPr>
          <w:tcW w:w="5103" w:type="dxa"/>
          <w:hideMark/>
        </w:tcPr>
        <w:p w:rsidR="00094E75" w:rsidRDefault="00094E75"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094E75" w:rsidRDefault="00094E75" w:rsidP="005E3F88">
          <w:pPr>
            <w:spacing w:after="120" w:line="256" w:lineRule="auto"/>
            <w:ind w:left="208" w:right="214"/>
            <w:jc w:val="right"/>
            <w:rPr>
              <w:rFonts w:ascii="Palatino Linotype" w:hAnsi="Palatino Linotype" w:cs="Arial"/>
              <w:szCs w:val="20"/>
            </w:rPr>
          </w:pPr>
          <w:r>
            <w:rPr>
              <w:rFonts w:ascii="Palatino Linotype" w:hAnsi="Palatino Linotype" w:cs="Arial"/>
              <w:szCs w:val="20"/>
            </w:rPr>
            <w:t>Secretaría de Salud</w:t>
          </w:r>
        </w:p>
      </w:tc>
    </w:tr>
    <w:tr w:rsidR="00094E75" w:rsidTr="00182616">
      <w:trPr>
        <w:trHeight w:val="342"/>
      </w:trPr>
      <w:tc>
        <w:tcPr>
          <w:tcW w:w="5103" w:type="dxa"/>
          <w:hideMark/>
        </w:tcPr>
        <w:p w:rsidR="00094E75" w:rsidRDefault="00094E75"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094E75" w:rsidRDefault="00094E75"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094E75" w:rsidRDefault="0091714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84.85pt;margin-top:-138.25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40E58"/>
    <w:multiLevelType w:val="hybridMultilevel"/>
    <w:tmpl w:val="C90A423E"/>
    <w:lvl w:ilvl="0" w:tplc="A986ECB0">
      <w:start w:val="1"/>
      <w:numFmt w:val="upperRoman"/>
      <w:lvlText w:val="%1."/>
      <w:lvlJc w:val="left"/>
      <w:pPr>
        <w:ind w:left="1211" w:hanging="360"/>
      </w:pPr>
      <w:rPr>
        <w:rFonts w:ascii="Palatino Linotype" w:hAnsi="Palatino Linotype" w:hint="default"/>
        <w:b w:val="0"/>
        <w:i/>
        <w:sz w:val="22"/>
        <w:szCs w:val="22"/>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940ABA"/>
    <w:multiLevelType w:val="hybridMultilevel"/>
    <w:tmpl w:val="629C7F84"/>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nsid w:val="0CFF5539"/>
    <w:multiLevelType w:val="hybridMultilevel"/>
    <w:tmpl w:val="7916E2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1BE6747"/>
    <w:multiLevelType w:val="hybridMultilevel"/>
    <w:tmpl w:val="D62E4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93262B0"/>
    <w:multiLevelType w:val="hybridMultilevel"/>
    <w:tmpl w:val="AA4A84B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CEF4A56"/>
    <w:multiLevelType w:val="hybridMultilevel"/>
    <w:tmpl w:val="37D09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6D50B12"/>
    <w:multiLevelType w:val="hybridMultilevel"/>
    <w:tmpl w:val="B3BCE7B6"/>
    <w:lvl w:ilvl="0" w:tplc="C6367BAC">
      <w:start w:val="1"/>
      <w:numFmt w:val="upperRoman"/>
      <w:lvlText w:val="%1."/>
      <w:lvlJc w:val="left"/>
      <w:pPr>
        <w:ind w:left="10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F240DD4">
      <w:start w:val="1"/>
      <w:numFmt w:val="lowerLetter"/>
      <w:lvlText w:val="%2"/>
      <w:lvlJc w:val="left"/>
      <w:pPr>
        <w:ind w:left="1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DC66D8">
      <w:start w:val="1"/>
      <w:numFmt w:val="lowerRoman"/>
      <w:lvlText w:val="%3"/>
      <w:lvlJc w:val="left"/>
      <w:pPr>
        <w:ind w:left="2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9AE734E">
      <w:start w:val="1"/>
      <w:numFmt w:val="decimal"/>
      <w:lvlText w:val="%4"/>
      <w:lvlJc w:val="left"/>
      <w:pPr>
        <w:ind w:left="2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C5C638C">
      <w:start w:val="1"/>
      <w:numFmt w:val="lowerLetter"/>
      <w:lvlText w:val="%5"/>
      <w:lvlJc w:val="left"/>
      <w:pPr>
        <w:ind w:left="3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B3081F2">
      <w:start w:val="1"/>
      <w:numFmt w:val="lowerRoman"/>
      <w:lvlText w:val="%6"/>
      <w:lvlJc w:val="left"/>
      <w:pPr>
        <w:ind w:left="42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0A8B214">
      <w:start w:val="1"/>
      <w:numFmt w:val="decimal"/>
      <w:lvlText w:val="%7"/>
      <w:lvlJc w:val="left"/>
      <w:pPr>
        <w:ind w:left="49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1ABE00">
      <w:start w:val="1"/>
      <w:numFmt w:val="lowerLetter"/>
      <w:lvlText w:val="%8"/>
      <w:lvlJc w:val="left"/>
      <w:pPr>
        <w:ind w:left="5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58C536C">
      <w:start w:val="1"/>
      <w:numFmt w:val="lowerRoman"/>
      <w:lvlText w:val="%9"/>
      <w:lvlJc w:val="left"/>
      <w:pPr>
        <w:ind w:left="64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nsid w:val="4959167A"/>
    <w:multiLevelType w:val="hybridMultilevel"/>
    <w:tmpl w:val="011CC9A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54557CD4"/>
    <w:multiLevelType w:val="hybridMultilevel"/>
    <w:tmpl w:val="3014F6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A716EA6"/>
    <w:multiLevelType w:val="hybridMultilevel"/>
    <w:tmpl w:val="35D817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BF84D0C"/>
    <w:multiLevelType w:val="hybridMultilevel"/>
    <w:tmpl w:val="1E340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8704178"/>
    <w:multiLevelType w:val="hybridMultilevel"/>
    <w:tmpl w:val="AE825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0"/>
  </w:num>
  <w:num w:numId="3">
    <w:abstractNumId w:val="2"/>
  </w:num>
  <w:num w:numId="4">
    <w:abstractNumId w:val="29"/>
  </w:num>
  <w:num w:numId="5">
    <w:abstractNumId w:val="8"/>
  </w:num>
  <w:num w:numId="6">
    <w:abstractNumId w:val="6"/>
  </w:num>
  <w:num w:numId="7">
    <w:abstractNumId w:val="17"/>
  </w:num>
  <w:num w:numId="8">
    <w:abstractNumId w:val="15"/>
  </w:num>
  <w:num w:numId="9">
    <w:abstractNumId w:val="25"/>
  </w:num>
  <w:num w:numId="10">
    <w:abstractNumId w:val="9"/>
  </w:num>
  <w:num w:numId="11">
    <w:abstractNumId w:val="26"/>
  </w:num>
  <w:num w:numId="12">
    <w:abstractNumId w:val="21"/>
  </w:num>
  <w:num w:numId="13">
    <w:abstractNumId w:val="20"/>
  </w:num>
  <w:num w:numId="14">
    <w:abstractNumId w:val="12"/>
  </w:num>
  <w:num w:numId="15">
    <w:abstractNumId w:val="5"/>
  </w:num>
  <w:num w:numId="16">
    <w:abstractNumId w:val="11"/>
  </w:num>
  <w:num w:numId="17">
    <w:abstractNumId w:val="14"/>
  </w:num>
  <w:num w:numId="18">
    <w:abstractNumId w:val="24"/>
  </w:num>
  <w:num w:numId="19">
    <w:abstractNumId w:val="22"/>
  </w:num>
  <w:num w:numId="20">
    <w:abstractNumId w:val="4"/>
  </w:num>
  <w:num w:numId="21">
    <w:abstractNumId w:val="13"/>
  </w:num>
  <w:num w:numId="22">
    <w:abstractNumId w:val="16"/>
  </w:num>
  <w:num w:numId="23">
    <w:abstractNumId w:val="23"/>
  </w:num>
  <w:num w:numId="24">
    <w:abstractNumId w:val="18"/>
  </w:num>
  <w:num w:numId="25">
    <w:abstractNumId w:val="3"/>
  </w:num>
  <w:num w:numId="26">
    <w:abstractNumId w:val="0"/>
  </w:num>
  <w:num w:numId="27">
    <w:abstractNumId w:val="28"/>
  </w:num>
  <w:num w:numId="28">
    <w:abstractNumId w:val="27"/>
  </w:num>
  <w:num w:numId="29">
    <w:abstractNumId w:val="7"/>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22E72"/>
    <w:rsid w:val="000237A7"/>
    <w:rsid w:val="000276E0"/>
    <w:rsid w:val="00027CD3"/>
    <w:rsid w:val="00031486"/>
    <w:rsid w:val="00032DBD"/>
    <w:rsid w:val="00033949"/>
    <w:rsid w:val="00033A37"/>
    <w:rsid w:val="00037385"/>
    <w:rsid w:val="000402BD"/>
    <w:rsid w:val="0004291A"/>
    <w:rsid w:val="00043018"/>
    <w:rsid w:val="000452B6"/>
    <w:rsid w:val="00050A9C"/>
    <w:rsid w:val="00051311"/>
    <w:rsid w:val="000536F3"/>
    <w:rsid w:val="00053C9B"/>
    <w:rsid w:val="00057570"/>
    <w:rsid w:val="000604C3"/>
    <w:rsid w:val="00062DC7"/>
    <w:rsid w:val="000646FA"/>
    <w:rsid w:val="000674FE"/>
    <w:rsid w:val="000728C1"/>
    <w:rsid w:val="0007328F"/>
    <w:rsid w:val="000738E9"/>
    <w:rsid w:val="0008042E"/>
    <w:rsid w:val="0008795C"/>
    <w:rsid w:val="00092E51"/>
    <w:rsid w:val="0009497C"/>
    <w:rsid w:val="00094E75"/>
    <w:rsid w:val="00095218"/>
    <w:rsid w:val="000A1CC8"/>
    <w:rsid w:val="000A27C1"/>
    <w:rsid w:val="000D1A12"/>
    <w:rsid w:val="000D47AB"/>
    <w:rsid w:val="000D56BD"/>
    <w:rsid w:val="000D6982"/>
    <w:rsid w:val="000D756B"/>
    <w:rsid w:val="000E3285"/>
    <w:rsid w:val="000E7C0A"/>
    <w:rsid w:val="000F199E"/>
    <w:rsid w:val="000F3722"/>
    <w:rsid w:val="000F7DBD"/>
    <w:rsid w:val="000F7F09"/>
    <w:rsid w:val="00106160"/>
    <w:rsid w:val="00114C3C"/>
    <w:rsid w:val="00115767"/>
    <w:rsid w:val="00116B4C"/>
    <w:rsid w:val="00122CD0"/>
    <w:rsid w:val="00122D78"/>
    <w:rsid w:val="0012508A"/>
    <w:rsid w:val="001252E9"/>
    <w:rsid w:val="00127D4C"/>
    <w:rsid w:val="00132E9F"/>
    <w:rsid w:val="00135494"/>
    <w:rsid w:val="00140AE4"/>
    <w:rsid w:val="00140C2F"/>
    <w:rsid w:val="0014191F"/>
    <w:rsid w:val="00143AC6"/>
    <w:rsid w:val="0014447C"/>
    <w:rsid w:val="001510E8"/>
    <w:rsid w:val="001541BC"/>
    <w:rsid w:val="001552E9"/>
    <w:rsid w:val="00162176"/>
    <w:rsid w:val="00165929"/>
    <w:rsid w:val="00166046"/>
    <w:rsid w:val="00166822"/>
    <w:rsid w:val="00166FB7"/>
    <w:rsid w:val="00175717"/>
    <w:rsid w:val="00180F6B"/>
    <w:rsid w:val="00182616"/>
    <w:rsid w:val="0018326A"/>
    <w:rsid w:val="001869B0"/>
    <w:rsid w:val="00193991"/>
    <w:rsid w:val="001A17B9"/>
    <w:rsid w:val="001A4700"/>
    <w:rsid w:val="001A4930"/>
    <w:rsid w:val="001B108B"/>
    <w:rsid w:val="001C0CE9"/>
    <w:rsid w:val="001D06F1"/>
    <w:rsid w:val="001D288A"/>
    <w:rsid w:val="001D6114"/>
    <w:rsid w:val="001D61D0"/>
    <w:rsid w:val="001E07AC"/>
    <w:rsid w:val="001E1E50"/>
    <w:rsid w:val="001E60B7"/>
    <w:rsid w:val="001F021C"/>
    <w:rsid w:val="001F2BC9"/>
    <w:rsid w:val="001F50B1"/>
    <w:rsid w:val="001F5577"/>
    <w:rsid w:val="001F60B6"/>
    <w:rsid w:val="00201358"/>
    <w:rsid w:val="00203FA5"/>
    <w:rsid w:val="00207ACC"/>
    <w:rsid w:val="00207DA3"/>
    <w:rsid w:val="002108D8"/>
    <w:rsid w:val="00211473"/>
    <w:rsid w:val="00212498"/>
    <w:rsid w:val="00213EE6"/>
    <w:rsid w:val="00216B8D"/>
    <w:rsid w:val="002251B6"/>
    <w:rsid w:val="002252AD"/>
    <w:rsid w:val="00233B37"/>
    <w:rsid w:val="00241177"/>
    <w:rsid w:val="002450D9"/>
    <w:rsid w:val="00246D94"/>
    <w:rsid w:val="00247E1F"/>
    <w:rsid w:val="00254523"/>
    <w:rsid w:val="002568B2"/>
    <w:rsid w:val="002572CF"/>
    <w:rsid w:val="0026191D"/>
    <w:rsid w:val="00271762"/>
    <w:rsid w:val="002773C5"/>
    <w:rsid w:val="00282166"/>
    <w:rsid w:val="002835B6"/>
    <w:rsid w:val="0028585E"/>
    <w:rsid w:val="00285899"/>
    <w:rsid w:val="00287072"/>
    <w:rsid w:val="00290397"/>
    <w:rsid w:val="00293445"/>
    <w:rsid w:val="00296F49"/>
    <w:rsid w:val="002A1927"/>
    <w:rsid w:val="002B1519"/>
    <w:rsid w:val="002B2165"/>
    <w:rsid w:val="002B2B28"/>
    <w:rsid w:val="002B451D"/>
    <w:rsid w:val="002B5B14"/>
    <w:rsid w:val="002B7051"/>
    <w:rsid w:val="002C1DFC"/>
    <w:rsid w:val="002C2A2E"/>
    <w:rsid w:val="002C2D19"/>
    <w:rsid w:val="002C529C"/>
    <w:rsid w:val="002C56B2"/>
    <w:rsid w:val="002C7D47"/>
    <w:rsid w:val="002D4991"/>
    <w:rsid w:val="002D5D67"/>
    <w:rsid w:val="002D6110"/>
    <w:rsid w:val="002E084C"/>
    <w:rsid w:val="002E22D8"/>
    <w:rsid w:val="002E2D4C"/>
    <w:rsid w:val="002E3978"/>
    <w:rsid w:val="002E6036"/>
    <w:rsid w:val="002F044A"/>
    <w:rsid w:val="002F0481"/>
    <w:rsid w:val="002F160B"/>
    <w:rsid w:val="002F17FB"/>
    <w:rsid w:val="002F3B2E"/>
    <w:rsid w:val="00301A01"/>
    <w:rsid w:val="003021C1"/>
    <w:rsid w:val="00303FAF"/>
    <w:rsid w:val="00304C91"/>
    <w:rsid w:val="00307784"/>
    <w:rsid w:val="00310760"/>
    <w:rsid w:val="00311191"/>
    <w:rsid w:val="00312CAC"/>
    <w:rsid w:val="00312E7E"/>
    <w:rsid w:val="00315192"/>
    <w:rsid w:val="00326D4D"/>
    <w:rsid w:val="00327932"/>
    <w:rsid w:val="00336EDF"/>
    <w:rsid w:val="00336F8B"/>
    <w:rsid w:val="0034042F"/>
    <w:rsid w:val="00341639"/>
    <w:rsid w:val="00342DCD"/>
    <w:rsid w:val="00363308"/>
    <w:rsid w:val="00365ADF"/>
    <w:rsid w:val="003678AA"/>
    <w:rsid w:val="00374450"/>
    <w:rsid w:val="00374A79"/>
    <w:rsid w:val="00375FF5"/>
    <w:rsid w:val="00381C2F"/>
    <w:rsid w:val="0038385D"/>
    <w:rsid w:val="003908F4"/>
    <w:rsid w:val="003919AC"/>
    <w:rsid w:val="00395C1A"/>
    <w:rsid w:val="003A087A"/>
    <w:rsid w:val="003A13D2"/>
    <w:rsid w:val="003A1968"/>
    <w:rsid w:val="003A3096"/>
    <w:rsid w:val="003A695C"/>
    <w:rsid w:val="003B0A18"/>
    <w:rsid w:val="003B2BFE"/>
    <w:rsid w:val="003B4E89"/>
    <w:rsid w:val="003B5524"/>
    <w:rsid w:val="003C3124"/>
    <w:rsid w:val="003C74AF"/>
    <w:rsid w:val="003D0425"/>
    <w:rsid w:val="003D2672"/>
    <w:rsid w:val="003D2A1C"/>
    <w:rsid w:val="003D3420"/>
    <w:rsid w:val="003D399E"/>
    <w:rsid w:val="003D6DBD"/>
    <w:rsid w:val="003E08B9"/>
    <w:rsid w:val="003E48CD"/>
    <w:rsid w:val="003E5DB5"/>
    <w:rsid w:val="003F046E"/>
    <w:rsid w:val="003F2B65"/>
    <w:rsid w:val="003F6BC5"/>
    <w:rsid w:val="00400097"/>
    <w:rsid w:val="00400852"/>
    <w:rsid w:val="004027A1"/>
    <w:rsid w:val="00404F9D"/>
    <w:rsid w:val="00405574"/>
    <w:rsid w:val="00406B61"/>
    <w:rsid w:val="00407282"/>
    <w:rsid w:val="00410A41"/>
    <w:rsid w:val="004132B8"/>
    <w:rsid w:val="00413DCA"/>
    <w:rsid w:val="00417EBD"/>
    <w:rsid w:val="00421FC3"/>
    <w:rsid w:val="00423C27"/>
    <w:rsid w:val="00424A8A"/>
    <w:rsid w:val="00425199"/>
    <w:rsid w:val="00427FEA"/>
    <w:rsid w:val="00432605"/>
    <w:rsid w:val="00443826"/>
    <w:rsid w:val="004440A9"/>
    <w:rsid w:val="00446F94"/>
    <w:rsid w:val="0045270C"/>
    <w:rsid w:val="0045396C"/>
    <w:rsid w:val="004572BE"/>
    <w:rsid w:val="004617C7"/>
    <w:rsid w:val="004625C1"/>
    <w:rsid w:val="004657BE"/>
    <w:rsid w:val="0047200D"/>
    <w:rsid w:val="004737E6"/>
    <w:rsid w:val="00473B0B"/>
    <w:rsid w:val="00474288"/>
    <w:rsid w:val="004757BD"/>
    <w:rsid w:val="004807F7"/>
    <w:rsid w:val="00481A0C"/>
    <w:rsid w:val="004830B5"/>
    <w:rsid w:val="00484E47"/>
    <w:rsid w:val="00487B8B"/>
    <w:rsid w:val="00490BD4"/>
    <w:rsid w:val="00496755"/>
    <w:rsid w:val="004979C5"/>
    <w:rsid w:val="00497B93"/>
    <w:rsid w:val="004A2FA3"/>
    <w:rsid w:val="004A51FF"/>
    <w:rsid w:val="004B2C63"/>
    <w:rsid w:val="004B4721"/>
    <w:rsid w:val="004B5E7C"/>
    <w:rsid w:val="004C192D"/>
    <w:rsid w:val="004C204A"/>
    <w:rsid w:val="004C2708"/>
    <w:rsid w:val="004C6655"/>
    <w:rsid w:val="004C7E18"/>
    <w:rsid w:val="004D2CC3"/>
    <w:rsid w:val="004E2FA6"/>
    <w:rsid w:val="004E3718"/>
    <w:rsid w:val="004E37E9"/>
    <w:rsid w:val="004F2B0D"/>
    <w:rsid w:val="004F483E"/>
    <w:rsid w:val="004F4B8F"/>
    <w:rsid w:val="0050104C"/>
    <w:rsid w:val="005023F4"/>
    <w:rsid w:val="005033CC"/>
    <w:rsid w:val="00507715"/>
    <w:rsid w:val="00516BA8"/>
    <w:rsid w:val="00523885"/>
    <w:rsid w:val="0052393E"/>
    <w:rsid w:val="00524986"/>
    <w:rsid w:val="005328FB"/>
    <w:rsid w:val="005334B5"/>
    <w:rsid w:val="00536896"/>
    <w:rsid w:val="00537419"/>
    <w:rsid w:val="00537D90"/>
    <w:rsid w:val="00541B17"/>
    <w:rsid w:val="005421C7"/>
    <w:rsid w:val="005448FA"/>
    <w:rsid w:val="00546FF4"/>
    <w:rsid w:val="00566699"/>
    <w:rsid w:val="005733EB"/>
    <w:rsid w:val="005747D1"/>
    <w:rsid w:val="0057534D"/>
    <w:rsid w:val="00586461"/>
    <w:rsid w:val="00590126"/>
    <w:rsid w:val="00591988"/>
    <w:rsid w:val="00596856"/>
    <w:rsid w:val="005A117C"/>
    <w:rsid w:val="005A1AA4"/>
    <w:rsid w:val="005A5465"/>
    <w:rsid w:val="005A6F55"/>
    <w:rsid w:val="005B2A31"/>
    <w:rsid w:val="005B7E58"/>
    <w:rsid w:val="005C057C"/>
    <w:rsid w:val="005C464B"/>
    <w:rsid w:val="005C5DE2"/>
    <w:rsid w:val="005C76AA"/>
    <w:rsid w:val="005C76D5"/>
    <w:rsid w:val="005D02A8"/>
    <w:rsid w:val="005D26F8"/>
    <w:rsid w:val="005D5EEB"/>
    <w:rsid w:val="005E0F64"/>
    <w:rsid w:val="005E1A04"/>
    <w:rsid w:val="005E20E1"/>
    <w:rsid w:val="005E36A7"/>
    <w:rsid w:val="005E3F88"/>
    <w:rsid w:val="005E7489"/>
    <w:rsid w:val="005F083B"/>
    <w:rsid w:val="005F49E8"/>
    <w:rsid w:val="005F577C"/>
    <w:rsid w:val="00600575"/>
    <w:rsid w:val="00600D67"/>
    <w:rsid w:val="0060623B"/>
    <w:rsid w:val="0060633A"/>
    <w:rsid w:val="00607E09"/>
    <w:rsid w:val="006110C1"/>
    <w:rsid w:val="006149F1"/>
    <w:rsid w:val="00620FA6"/>
    <w:rsid w:val="006214A1"/>
    <w:rsid w:val="006246A5"/>
    <w:rsid w:val="00625709"/>
    <w:rsid w:val="0062686A"/>
    <w:rsid w:val="00627F9C"/>
    <w:rsid w:val="00631F1B"/>
    <w:rsid w:val="00631FF9"/>
    <w:rsid w:val="00633C3F"/>
    <w:rsid w:val="00640D07"/>
    <w:rsid w:val="00642541"/>
    <w:rsid w:val="00644363"/>
    <w:rsid w:val="006446F7"/>
    <w:rsid w:val="00647B4C"/>
    <w:rsid w:val="00652906"/>
    <w:rsid w:val="0065519D"/>
    <w:rsid w:val="00661204"/>
    <w:rsid w:val="00661F03"/>
    <w:rsid w:val="006621E2"/>
    <w:rsid w:val="0066610F"/>
    <w:rsid w:val="00673D7C"/>
    <w:rsid w:val="006749FD"/>
    <w:rsid w:val="00676C32"/>
    <w:rsid w:val="00680D39"/>
    <w:rsid w:val="00686046"/>
    <w:rsid w:val="0068613E"/>
    <w:rsid w:val="00691AB7"/>
    <w:rsid w:val="0069776E"/>
    <w:rsid w:val="006A0ADE"/>
    <w:rsid w:val="006A29C5"/>
    <w:rsid w:val="006A3A54"/>
    <w:rsid w:val="006A4A87"/>
    <w:rsid w:val="006A561E"/>
    <w:rsid w:val="006B5A87"/>
    <w:rsid w:val="006B7184"/>
    <w:rsid w:val="006C04C7"/>
    <w:rsid w:val="006C33E8"/>
    <w:rsid w:val="006C43CE"/>
    <w:rsid w:val="006C5AE3"/>
    <w:rsid w:val="006C6176"/>
    <w:rsid w:val="006D01DC"/>
    <w:rsid w:val="006D1136"/>
    <w:rsid w:val="006D254A"/>
    <w:rsid w:val="006D4AD4"/>
    <w:rsid w:val="006D711D"/>
    <w:rsid w:val="006D780C"/>
    <w:rsid w:val="006E0601"/>
    <w:rsid w:val="006E2D42"/>
    <w:rsid w:val="006E6394"/>
    <w:rsid w:val="006E6C81"/>
    <w:rsid w:val="006F18FD"/>
    <w:rsid w:val="006F4A35"/>
    <w:rsid w:val="006F4ABB"/>
    <w:rsid w:val="00702DB6"/>
    <w:rsid w:val="00705D1C"/>
    <w:rsid w:val="00707021"/>
    <w:rsid w:val="0071210D"/>
    <w:rsid w:val="007158BB"/>
    <w:rsid w:val="00716888"/>
    <w:rsid w:val="007211A8"/>
    <w:rsid w:val="007218F2"/>
    <w:rsid w:val="007256EA"/>
    <w:rsid w:val="00727412"/>
    <w:rsid w:val="00730DE0"/>
    <w:rsid w:val="0073345D"/>
    <w:rsid w:val="007354C5"/>
    <w:rsid w:val="0073758D"/>
    <w:rsid w:val="0074093D"/>
    <w:rsid w:val="00741C5B"/>
    <w:rsid w:val="00743113"/>
    <w:rsid w:val="007475B3"/>
    <w:rsid w:val="00751BBC"/>
    <w:rsid w:val="00755CE4"/>
    <w:rsid w:val="0075676A"/>
    <w:rsid w:val="0076120C"/>
    <w:rsid w:val="00763D73"/>
    <w:rsid w:val="007640C8"/>
    <w:rsid w:val="00765D17"/>
    <w:rsid w:val="007676AF"/>
    <w:rsid w:val="00771503"/>
    <w:rsid w:val="0077311A"/>
    <w:rsid w:val="00776087"/>
    <w:rsid w:val="00785145"/>
    <w:rsid w:val="00786497"/>
    <w:rsid w:val="00790289"/>
    <w:rsid w:val="007931B9"/>
    <w:rsid w:val="00794322"/>
    <w:rsid w:val="0079496F"/>
    <w:rsid w:val="00794D57"/>
    <w:rsid w:val="00797BE3"/>
    <w:rsid w:val="007A0571"/>
    <w:rsid w:val="007A11BF"/>
    <w:rsid w:val="007A1D57"/>
    <w:rsid w:val="007A223B"/>
    <w:rsid w:val="007A4E13"/>
    <w:rsid w:val="007B0292"/>
    <w:rsid w:val="007B0E30"/>
    <w:rsid w:val="007B1050"/>
    <w:rsid w:val="007C11C3"/>
    <w:rsid w:val="007C1B1A"/>
    <w:rsid w:val="007C49A1"/>
    <w:rsid w:val="007D0CFF"/>
    <w:rsid w:val="007D2DCA"/>
    <w:rsid w:val="007E2E80"/>
    <w:rsid w:val="007E39F7"/>
    <w:rsid w:val="007E710A"/>
    <w:rsid w:val="007F054B"/>
    <w:rsid w:val="007F1984"/>
    <w:rsid w:val="007F282E"/>
    <w:rsid w:val="007F7846"/>
    <w:rsid w:val="008041A7"/>
    <w:rsid w:val="00805376"/>
    <w:rsid w:val="008103B2"/>
    <w:rsid w:val="0081299A"/>
    <w:rsid w:val="00821898"/>
    <w:rsid w:val="00823454"/>
    <w:rsid w:val="00824894"/>
    <w:rsid w:val="008279C6"/>
    <w:rsid w:val="00830360"/>
    <w:rsid w:val="008307E5"/>
    <w:rsid w:val="00834A37"/>
    <w:rsid w:val="008418A0"/>
    <w:rsid w:val="008431A4"/>
    <w:rsid w:val="0084469C"/>
    <w:rsid w:val="008455DC"/>
    <w:rsid w:val="00846CF2"/>
    <w:rsid w:val="008509EE"/>
    <w:rsid w:val="00853CC3"/>
    <w:rsid w:val="008566F6"/>
    <w:rsid w:val="0086075F"/>
    <w:rsid w:val="00864BFE"/>
    <w:rsid w:val="008659E5"/>
    <w:rsid w:val="00867D56"/>
    <w:rsid w:val="00870064"/>
    <w:rsid w:val="008725EE"/>
    <w:rsid w:val="008731D1"/>
    <w:rsid w:val="00882E8A"/>
    <w:rsid w:val="00883F0B"/>
    <w:rsid w:val="00885E61"/>
    <w:rsid w:val="00886627"/>
    <w:rsid w:val="00892543"/>
    <w:rsid w:val="008A1C19"/>
    <w:rsid w:val="008A46B7"/>
    <w:rsid w:val="008C0E72"/>
    <w:rsid w:val="008C0F70"/>
    <w:rsid w:val="008C15FF"/>
    <w:rsid w:val="008C651F"/>
    <w:rsid w:val="008C7CEB"/>
    <w:rsid w:val="008D0960"/>
    <w:rsid w:val="008D17A8"/>
    <w:rsid w:val="008E572E"/>
    <w:rsid w:val="008E63C2"/>
    <w:rsid w:val="008E64C8"/>
    <w:rsid w:val="008F28B6"/>
    <w:rsid w:val="00903599"/>
    <w:rsid w:val="00905CE1"/>
    <w:rsid w:val="009151CF"/>
    <w:rsid w:val="0091714A"/>
    <w:rsid w:val="009272C6"/>
    <w:rsid w:val="00930F68"/>
    <w:rsid w:val="009330E9"/>
    <w:rsid w:val="009339EC"/>
    <w:rsid w:val="00936CE7"/>
    <w:rsid w:val="0093743A"/>
    <w:rsid w:val="00942349"/>
    <w:rsid w:val="00943448"/>
    <w:rsid w:val="00943B37"/>
    <w:rsid w:val="00950912"/>
    <w:rsid w:val="00950ABA"/>
    <w:rsid w:val="00952999"/>
    <w:rsid w:val="00954DC1"/>
    <w:rsid w:val="00957907"/>
    <w:rsid w:val="00960CF3"/>
    <w:rsid w:val="00960D8F"/>
    <w:rsid w:val="0096284F"/>
    <w:rsid w:val="0096359D"/>
    <w:rsid w:val="00967270"/>
    <w:rsid w:val="0097416D"/>
    <w:rsid w:val="00974BC5"/>
    <w:rsid w:val="009759F9"/>
    <w:rsid w:val="00977F3E"/>
    <w:rsid w:val="00984CA8"/>
    <w:rsid w:val="00985573"/>
    <w:rsid w:val="009859B8"/>
    <w:rsid w:val="0099000E"/>
    <w:rsid w:val="00992548"/>
    <w:rsid w:val="00993234"/>
    <w:rsid w:val="00994FE7"/>
    <w:rsid w:val="009A355B"/>
    <w:rsid w:val="009B1934"/>
    <w:rsid w:val="009B205B"/>
    <w:rsid w:val="009B3592"/>
    <w:rsid w:val="009B70C3"/>
    <w:rsid w:val="009C1EA2"/>
    <w:rsid w:val="009C3FC7"/>
    <w:rsid w:val="009C6FE6"/>
    <w:rsid w:val="009D1E63"/>
    <w:rsid w:val="009D2DC1"/>
    <w:rsid w:val="009D34B0"/>
    <w:rsid w:val="009D56AA"/>
    <w:rsid w:val="009D7BF3"/>
    <w:rsid w:val="009E0089"/>
    <w:rsid w:val="009E14E7"/>
    <w:rsid w:val="009E396D"/>
    <w:rsid w:val="009E7128"/>
    <w:rsid w:val="009F223E"/>
    <w:rsid w:val="009F7B22"/>
    <w:rsid w:val="00A01F59"/>
    <w:rsid w:val="00A06551"/>
    <w:rsid w:val="00A10000"/>
    <w:rsid w:val="00A10775"/>
    <w:rsid w:val="00A11244"/>
    <w:rsid w:val="00A112EB"/>
    <w:rsid w:val="00A137DB"/>
    <w:rsid w:val="00A17502"/>
    <w:rsid w:val="00A17D7B"/>
    <w:rsid w:val="00A20405"/>
    <w:rsid w:val="00A2199B"/>
    <w:rsid w:val="00A22469"/>
    <w:rsid w:val="00A24022"/>
    <w:rsid w:val="00A25435"/>
    <w:rsid w:val="00A25EBC"/>
    <w:rsid w:val="00A26AC5"/>
    <w:rsid w:val="00A3134D"/>
    <w:rsid w:val="00A32C17"/>
    <w:rsid w:val="00A33B3A"/>
    <w:rsid w:val="00A35B31"/>
    <w:rsid w:val="00A4214D"/>
    <w:rsid w:val="00A4363D"/>
    <w:rsid w:val="00A62727"/>
    <w:rsid w:val="00A64D7F"/>
    <w:rsid w:val="00A65C29"/>
    <w:rsid w:val="00A666CE"/>
    <w:rsid w:val="00A70D00"/>
    <w:rsid w:val="00A823B0"/>
    <w:rsid w:val="00A854D1"/>
    <w:rsid w:val="00A871F0"/>
    <w:rsid w:val="00A9172E"/>
    <w:rsid w:val="00A94BF6"/>
    <w:rsid w:val="00AA4F9A"/>
    <w:rsid w:val="00AA5A0A"/>
    <w:rsid w:val="00AA73A2"/>
    <w:rsid w:val="00AB1AF3"/>
    <w:rsid w:val="00AB481C"/>
    <w:rsid w:val="00AB4C64"/>
    <w:rsid w:val="00AB55FC"/>
    <w:rsid w:val="00AB6FE4"/>
    <w:rsid w:val="00AC1CFD"/>
    <w:rsid w:val="00AC2366"/>
    <w:rsid w:val="00AC438B"/>
    <w:rsid w:val="00AC599E"/>
    <w:rsid w:val="00AD0168"/>
    <w:rsid w:val="00AD2580"/>
    <w:rsid w:val="00AD3C94"/>
    <w:rsid w:val="00AD4AD8"/>
    <w:rsid w:val="00AE658B"/>
    <w:rsid w:val="00AF1F1C"/>
    <w:rsid w:val="00AF2459"/>
    <w:rsid w:val="00AF53AF"/>
    <w:rsid w:val="00B070F5"/>
    <w:rsid w:val="00B12CBA"/>
    <w:rsid w:val="00B16CAC"/>
    <w:rsid w:val="00B303EA"/>
    <w:rsid w:val="00B31ACE"/>
    <w:rsid w:val="00B31BB2"/>
    <w:rsid w:val="00B33A21"/>
    <w:rsid w:val="00B33DCC"/>
    <w:rsid w:val="00B34950"/>
    <w:rsid w:val="00B37304"/>
    <w:rsid w:val="00B377AC"/>
    <w:rsid w:val="00B501B2"/>
    <w:rsid w:val="00B50E01"/>
    <w:rsid w:val="00B51B2F"/>
    <w:rsid w:val="00B549E1"/>
    <w:rsid w:val="00B54E28"/>
    <w:rsid w:val="00B55DF7"/>
    <w:rsid w:val="00B56587"/>
    <w:rsid w:val="00B57BF4"/>
    <w:rsid w:val="00B6106F"/>
    <w:rsid w:val="00B649E6"/>
    <w:rsid w:val="00B65887"/>
    <w:rsid w:val="00B72EC9"/>
    <w:rsid w:val="00B75842"/>
    <w:rsid w:val="00B7657B"/>
    <w:rsid w:val="00B7794E"/>
    <w:rsid w:val="00B871E0"/>
    <w:rsid w:val="00B92989"/>
    <w:rsid w:val="00B93C5C"/>
    <w:rsid w:val="00B97CAC"/>
    <w:rsid w:val="00BA0F0A"/>
    <w:rsid w:val="00BA11F9"/>
    <w:rsid w:val="00BA6922"/>
    <w:rsid w:val="00BA69A0"/>
    <w:rsid w:val="00BA79BA"/>
    <w:rsid w:val="00BA7ED8"/>
    <w:rsid w:val="00BB2359"/>
    <w:rsid w:val="00BB337D"/>
    <w:rsid w:val="00BB4BDC"/>
    <w:rsid w:val="00BB648E"/>
    <w:rsid w:val="00BC3487"/>
    <w:rsid w:val="00BC396E"/>
    <w:rsid w:val="00BC508B"/>
    <w:rsid w:val="00BC55DA"/>
    <w:rsid w:val="00BC64D4"/>
    <w:rsid w:val="00BD1DE7"/>
    <w:rsid w:val="00BD20DA"/>
    <w:rsid w:val="00BE100C"/>
    <w:rsid w:val="00BE13AB"/>
    <w:rsid w:val="00BE23C5"/>
    <w:rsid w:val="00BE48F3"/>
    <w:rsid w:val="00BE5ED3"/>
    <w:rsid w:val="00BE6D77"/>
    <w:rsid w:val="00BF0AEC"/>
    <w:rsid w:val="00BF123B"/>
    <w:rsid w:val="00BF123D"/>
    <w:rsid w:val="00BF148F"/>
    <w:rsid w:val="00BF2438"/>
    <w:rsid w:val="00BF3765"/>
    <w:rsid w:val="00BF5EE2"/>
    <w:rsid w:val="00BF69B1"/>
    <w:rsid w:val="00C01402"/>
    <w:rsid w:val="00C0339F"/>
    <w:rsid w:val="00C034B9"/>
    <w:rsid w:val="00C0611E"/>
    <w:rsid w:val="00C07EF0"/>
    <w:rsid w:val="00C10AAE"/>
    <w:rsid w:val="00C10F70"/>
    <w:rsid w:val="00C115F4"/>
    <w:rsid w:val="00C1174D"/>
    <w:rsid w:val="00C170F3"/>
    <w:rsid w:val="00C2107B"/>
    <w:rsid w:val="00C23BE9"/>
    <w:rsid w:val="00C2473C"/>
    <w:rsid w:val="00C25822"/>
    <w:rsid w:val="00C25B89"/>
    <w:rsid w:val="00C277F4"/>
    <w:rsid w:val="00C27DB4"/>
    <w:rsid w:val="00C34B47"/>
    <w:rsid w:val="00C35F18"/>
    <w:rsid w:val="00C40345"/>
    <w:rsid w:val="00C456B0"/>
    <w:rsid w:val="00C50A40"/>
    <w:rsid w:val="00C53430"/>
    <w:rsid w:val="00C67A59"/>
    <w:rsid w:val="00C74951"/>
    <w:rsid w:val="00C76839"/>
    <w:rsid w:val="00C771CB"/>
    <w:rsid w:val="00C779B6"/>
    <w:rsid w:val="00C8573E"/>
    <w:rsid w:val="00C85A14"/>
    <w:rsid w:val="00C85DC7"/>
    <w:rsid w:val="00C90CE9"/>
    <w:rsid w:val="00C911DE"/>
    <w:rsid w:val="00C921D5"/>
    <w:rsid w:val="00C95F13"/>
    <w:rsid w:val="00CA2ED9"/>
    <w:rsid w:val="00CA3DD3"/>
    <w:rsid w:val="00CA5EC1"/>
    <w:rsid w:val="00CC5AB7"/>
    <w:rsid w:val="00CD2946"/>
    <w:rsid w:val="00CD4230"/>
    <w:rsid w:val="00CD5C46"/>
    <w:rsid w:val="00CD5D9E"/>
    <w:rsid w:val="00CD7271"/>
    <w:rsid w:val="00CE15C8"/>
    <w:rsid w:val="00CE7BD7"/>
    <w:rsid w:val="00CF27C6"/>
    <w:rsid w:val="00CF7E3D"/>
    <w:rsid w:val="00D01A00"/>
    <w:rsid w:val="00D01B24"/>
    <w:rsid w:val="00D020E2"/>
    <w:rsid w:val="00D04234"/>
    <w:rsid w:val="00D04E44"/>
    <w:rsid w:val="00D0540D"/>
    <w:rsid w:val="00D0673B"/>
    <w:rsid w:val="00D12552"/>
    <w:rsid w:val="00D13B83"/>
    <w:rsid w:val="00D14D51"/>
    <w:rsid w:val="00D14E3B"/>
    <w:rsid w:val="00D157A3"/>
    <w:rsid w:val="00D22967"/>
    <w:rsid w:val="00D23F11"/>
    <w:rsid w:val="00D25566"/>
    <w:rsid w:val="00D32449"/>
    <w:rsid w:val="00D3297A"/>
    <w:rsid w:val="00D32E6F"/>
    <w:rsid w:val="00D46D29"/>
    <w:rsid w:val="00D5329C"/>
    <w:rsid w:val="00D54889"/>
    <w:rsid w:val="00D57072"/>
    <w:rsid w:val="00D57A8D"/>
    <w:rsid w:val="00D61A59"/>
    <w:rsid w:val="00D633B6"/>
    <w:rsid w:val="00D64314"/>
    <w:rsid w:val="00D64F6D"/>
    <w:rsid w:val="00D70758"/>
    <w:rsid w:val="00D7105B"/>
    <w:rsid w:val="00D7133B"/>
    <w:rsid w:val="00D72377"/>
    <w:rsid w:val="00D72FD2"/>
    <w:rsid w:val="00D75DD0"/>
    <w:rsid w:val="00D760EF"/>
    <w:rsid w:val="00D77C13"/>
    <w:rsid w:val="00D77F62"/>
    <w:rsid w:val="00D80239"/>
    <w:rsid w:val="00D82C3F"/>
    <w:rsid w:val="00D83461"/>
    <w:rsid w:val="00D85C97"/>
    <w:rsid w:val="00D867E7"/>
    <w:rsid w:val="00D94304"/>
    <w:rsid w:val="00DA0E70"/>
    <w:rsid w:val="00DA1B7C"/>
    <w:rsid w:val="00DA21DB"/>
    <w:rsid w:val="00DA3C0E"/>
    <w:rsid w:val="00DA45C4"/>
    <w:rsid w:val="00DA5A00"/>
    <w:rsid w:val="00DA6917"/>
    <w:rsid w:val="00DB01B2"/>
    <w:rsid w:val="00DB199F"/>
    <w:rsid w:val="00DB5FF7"/>
    <w:rsid w:val="00DB7DDE"/>
    <w:rsid w:val="00DC0CB0"/>
    <w:rsid w:val="00DC4E35"/>
    <w:rsid w:val="00DC5801"/>
    <w:rsid w:val="00DD0417"/>
    <w:rsid w:val="00DD13E2"/>
    <w:rsid w:val="00DD2781"/>
    <w:rsid w:val="00DD2D53"/>
    <w:rsid w:val="00DD5971"/>
    <w:rsid w:val="00DD5DC9"/>
    <w:rsid w:val="00DE0587"/>
    <w:rsid w:val="00DE16E2"/>
    <w:rsid w:val="00DE3D2F"/>
    <w:rsid w:val="00DE3DD9"/>
    <w:rsid w:val="00DF0AF9"/>
    <w:rsid w:val="00DF1527"/>
    <w:rsid w:val="00DF2F2C"/>
    <w:rsid w:val="00DF3485"/>
    <w:rsid w:val="00DF51C8"/>
    <w:rsid w:val="00DF5C1F"/>
    <w:rsid w:val="00DF641D"/>
    <w:rsid w:val="00E00C04"/>
    <w:rsid w:val="00E014FE"/>
    <w:rsid w:val="00E03F66"/>
    <w:rsid w:val="00E07BD1"/>
    <w:rsid w:val="00E132AC"/>
    <w:rsid w:val="00E1520C"/>
    <w:rsid w:val="00E209BB"/>
    <w:rsid w:val="00E22D2E"/>
    <w:rsid w:val="00E237C9"/>
    <w:rsid w:val="00E23E06"/>
    <w:rsid w:val="00E25492"/>
    <w:rsid w:val="00E2738B"/>
    <w:rsid w:val="00E31685"/>
    <w:rsid w:val="00E37AA1"/>
    <w:rsid w:val="00E426C9"/>
    <w:rsid w:val="00E50BBA"/>
    <w:rsid w:val="00E50EFF"/>
    <w:rsid w:val="00E50F4B"/>
    <w:rsid w:val="00E51947"/>
    <w:rsid w:val="00E52335"/>
    <w:rsid w:val="00E53096"/>
    <w:rsid w:val="00E55469"/>
    <w:rsid w:val="00E55F2C"/>
    <w:rsid w:val="00E56111"/>
    <w:rsid w:val="00E57FD5"/>
    <w:rsid w:val="00E60476"/>
    <w:rsid w:val="00E61468"/>
    <w:rsid w:val="00E65AE8"/>
    <w:rsid w:val="00E70CAE"/>
    <w:rsid w:val="00E70CC2"/>
    <w:rsid w:val="00E70D08"/>
    <w:rsid w:val="00E726BA"/>
    <w:rsid w:val="00E72712"/>
    <w:rsid w:val="00E749B5"/>
    <w:rsid w:val="00E761A2"/>
    <w:rsid w:val="00E76EA9"/>
    <w:rsid w:val="00E83DA0"/>
    <w:rsid w:val="00E93579"/>
    <w:rsid w:val="00EA0886"/>
    <w:rsid w:val="00EA2AAB"/>
    <w:rsid w:val="00EA6705"/>
    <w:rsid w:val="00EB2068"/>
    <w:rsid w:val="00EC1776"/>
    <w:rsid w:val="00EC4B6A"/>
    <w:rsid w:val="00EC63B8"/>
    <w:rsid w:val="00ED17AC"/>
    <w:rsid w:val="00ED1BBA"/>
    <w:rsid w:val="00ED4829"/>
    <w:rsid w:val="00ED5C30"/>
    <w:rsid w:val="00ED60C2"/>
    <w:rsid w:val="00ED634A"/>
    <w:rsid w:val="00ED78F3"/>
    <w:rsid w:val="00EE03F5"/>
    <w:rsid w:val="00EE08F5"/>
    <w:rsid w:val="00EE5CE9"/>
    <w:rsid w:val="00EF4D17"/>
    <w:rsid w:val="00EF6B28"/>
    <w:rsid w:val="00F07DC2"/>
    <w:rsid w:val="00F14105"/>
    <w:rsid w:val="00F1657E"/>
    <w:rsid w:val="00F1770B"/>
    <w:rsid w:val="00F2178A"/>
    <w:rsid w:val="00F2343A"/>
    <w:rsid w:val="00F266AB"/>
    <w:rsid w:val="00F41E98"/>
    <w:rsid w:val="00F44637"/>
    <w:rsid w:val="00F44967"/>
    <w:rsid w:val="00F45389"/>
    <w:rsid w:val="00F46398"/>
    <w:rsid w:val="00F4708B"/>
    <w:rsid w:val="00F53B53"/>
    <w:rsid w:val="00F612DC"/>
    <w:rsid w:val="00F66A72"/>
    <w:rsid w:val="00F7667E"/>
    <w:rsid w:val="00F83F9F"/>
    <w:rsid w:val="00F8521C"/>
    <w:rsid w:val="00F86466"/>
    <w:rsid w:val="00F8666D"/>
    <w:rsid w:val="00F91340"/>
    <w:rsid w:val="00F92D09"/>
    <w:rsid w:val="00F93AAA"/>
    <w:rsid w:val="00F96AD5"/>
    <w:rsid w:val="00FA47E2"/>
    <w:rsid w:val="00FA55D2"/>
    <w:rsid w:val="00FB2F77"/>
    <w:rsid w:val="00FB55E9"/>
    <w:rsid w:val="00FC716A"/>
    <w:rsid w:val="00FC7D8B"/>
    <w:rsid w:val="00FD3A3C"/>
    <w:rsid w:val="00FD4EB1"/>
    <w:rsid w:val="00FD7EE2"/>
    <w:rsid w:val="00FE4562"/>
    <w:rsid w:val="00FF0836"/>
    <w:rsid w:val="00FF1E85"/>
    <w:rsid w:val="00FF2A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table" w:styleId="Tabladecuadrcula4-nfasis5">
    <w:name w:val="Grid Table 4 Accent 5"/>
    <w:basedOn w:val="Tablanormal"/>
    <w:uiPriority w:val="49"/>
    <w:rsid w:val="00DB7DDE"/>
    <w:pPr>
      <w:spacing w:after="0" w:line="240" w:lineRule="auto"/>
    </w:pPr>
    <w:rPr>
      <w:rFonts w:eastAsiaTheme="minorEastAsia"/>
      <w:lang w:eastAsia="es-MX"/>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840823">
      <w:bodyDiv w:val="1"/>
      <w:marLeft w:val="0"/>
      <w:marRight w:val="0"/>
      <w:marTop w:val="0"/>
      <w:marBottom w:val="0"/>
      <w:divBdr>
        <w:top w:val="none" w:sz="0" w:space="0" w:color="auto"/>
        <w:left w:val="none" w:sz="0" w:space="0" w:color="auto"/>
        <w:bottom w:val="none" w:sz="0" w:space="0" w:color="auto"/>
        <w:right w:val="none" w:sz="0" w:space="0" w:color="auto"/>
      </w:divBdr>
    </w:div>
    <w:div w:id="750002763">
      <w:bodyDiv w:val="1"/>
      <w:marLeft w:val="0"/>
      <w:marRight w:val="0"/>
      <w:marTop w:val="0"/>
      <w:marBottom w:val="0"/>
      <w:divBdr>
        <w:top w:val="none" w:sz="0" w:space="0" w:color="auto"/>
        <w:left w:val="none" w:sz="0" w:space="0" w:color="auto"/>
        <w:bottom w:val="none" w:sz="0" w:space="0" w:color="auto"/>
        <w:right w:val="none" w:sz="0" w:space="0" w:color="auto"/>
      </w:divBdr>
    </w:div>
    <w:div w:id="892693629">
      <w:bodyDiv w:val="1"/>
      <w:marLeft w:val="0"/>
      <w:marRight w:val="0"/>
      <w:marTop w:val="0"/>
      <w:marBottom w:val="0"/>
      <w:divBdr>
        <w:top w:val="none" w:sz="0" w:space="0" w:color="auto"/>
        <w:left w:val="none" w:sz="0" w:space="0" w:color="auto"/>
        <w:bottom w:val="none" w:sz="0" w:space="0" w:color="auto"/>
        <w:right w:val="none" w:sz="0" w:space="0" w:color="auto"/>
      </w:divBdr>
      <w:divsChild>
        <w:div w:id="880552187">
          <w:marLeft w:val="0"/>
          <w:marRight w:val="0"/>
          <w:marTop w:val="0"/>
          <w:marBottom w:val="0"/>
          <w:divBdr>
            <w:top w:val="none" w:sz="0" w:space="0" w:color="auto"/>
            <w:left w:val="none" w:sz="0" w:space="0" w:color="auto"/>
            <w:bottom w:val="none" w:sz="0" w:space="0" w:color="auto"/>
            <w:right w:val="none" w:sz="0" w:space="0" w:color="auto"/>
          </w:divBdr>
          <w:divsChild>
            <w:div w:id="371812161">
              <w:marLeft w:val="1440"/>
              <w:marRight w:val="0"/>
              <w:marTop w:val="0"/>
              <w:marBottom w:val="0"/>
              <w:divBdr>
                <w:top w:val="none" w:sz="0" w:space="0" w:color="auto"/>
                <w:left w:val="none" w:sz="0" w:space="0" w:color="auto"/>
                <w:bottom w:val="none" w:sz="0" w:space="0" w:color="auto"/>
                <w:right w:val="none" w:sz="0" w:space="0" w:color="auto"/>
              </w:divBdr>
            </w:div>
            <w:div w:id="1102411394">
              <w:marLeft w:val="1440"/>
              <w:marRight w:val="0"/>
              <w:marTop w:val="0"/>
              <w:marBottom w:val="0"/>
              <w:divBdr>
                <w:top w:val="none" w:sz="0" w:space="0" w:color="auto"/>
                <w:left w:val="none" w:sz="0" w:space="0" w:color="auto"/>
                <w:bottom w:val="none" w:sz="0" w:space="0" w:color="auto"/>
                <w:right w:val="none" w:sz="0" w:space="0" w:color="auto"/>
              </w:divBdr>
            </w:div>
            <w:div w:id="2002346532">
              <w:marLeft w:val="1440"/>
              <w:marRight w:val="0"/>
              <w:marTop w:val="0"/>
              <w:marBottom w:val="0"/>
              <w:divBdr>
                <w:top w:val="none" w:sz="0" w:space="0" w:color="auto"/>
                <w:left w:val="none" w:sz="0" w:space="0" w:color="auto"/>
                <w:bottom w:val="none" w:sz="0" w:space="0" w:color="auto"/>
                <w:right w:val="none" w:sz="0" w:space="0" w:color="auto"/>
              </w:divBdr>
            </w:div>
            <w:div w:id="719551696">
              <w:marLeft w:val="1440"/>
              <w:marRight w:val="0"/>
              <w:marTop w:val="0"/>
              <w:marBottom w:val="0"/>
              <w:divBdr>
                <w:top w:val="none" w:sz="0" w:space="0" w:color="auto"/>
                <w:left w:val="none" w:sz="0" w:space="0" w:color="auto"/>
                <w:bottom w:val="none" w:sz="0" w:space="0" w:color="auto"/>
                <w:right w:val="none" w:sz="0" w:space="0" w:color="auto"/>
              </w:divBdr>
            </w:div>
            <w:div w:id="1620792853">
              <w:marLeft w:val="1440"/>
              <w:marRight w:val="0"/>
              <w:marTop w:val="0"/>
              <w:marBottom w:val="0"/>
              <w:divBdr>
                <w:top w:val="none" w:sz="0" w:space="0" w:color="auto"/>
                <w:left w:val="none" w:sz="0" w:space="0" w:color="auto"/>
                <w:bottom w:val="none" w:sz="0" w:space="0" w:color="auto"/>
                <w:right w:val="none" w:sz="0" w:space="0" w:color="auto"/>
              </w:divBdr>
            </w:div>
            <w:div w:id="2045255112">
              <w:marLeft w:val="1440"/>
              <w:marRight w:val="0"/>
              <w:marTop w:val="0"/>
              <w:marBottom w:val="0"/>
              <w:divBdr>
                <w:top w:val="none" w:sz="0" w:space="0" w:color="auto"/>
                <w:left w:val="none" w:sz="0" w:space="0" w:color="auto"/>
                <w:bottom w:val="none" w:sz="0" w:space="0" w:color="auto"/>
                <w:right w:val="none" w:sz="0" w:space="0" w:color="auto"/>
              </w:divBdr>
            </w:div>
            <w:div w:id="384836290">
              <w:marLeft w:val="1440"/>
              <w:marRight w:val="0"/>
              <w:marTop w:val="0"/>
              <w:marBottom w:val="0"/>
              <w:divBdr>
                <w:top w:val="none" w:sz="0" w:space="0" w:color="auto"/>
                <w:left w:val="none" w:sz="0" w:space="0" w:color="auto"/>
                <w:bottom w:val="none" w:sz="0" w:space="0" w:color="auto"/>
                <w:right w:val="none" w:sz="0" w:space="0" w:color="auto"/>
              </w:divBdr>
            </w:div>
            <w:div w:id="174417427">
              <w:marLeft w:val="1440"/>
              <w:marRight w:val="0"/>
              <w:marTop w:val="0"/>
              <w:marBottom w:val="0"/>
              <w:divBdr>
                <w:top w:val="none" w:sz="0" w:space="0" w:color="auto"/>
                <w:left w:val="none" w:sz="0" w:space="0" w:color="auto"/>
                <w:bottom w:val="none" w:sz="0" w:space="0" w:color="auto"/>
                <w:right w:val="none" w:sz="0" w:space="0" w:color="auto"/>
              </w:divBdr>
            </w:div>
            <w:div w:id="159781826">
              <w:marLeft w:val="1440"/>
              <w:marRight w:val="0"/>
              <w:marTop w:val="0"/>
              <w:marBottom w:val="0"/>
              <w:divBdr>
                <w:top w:val="none" w:sz="0" w:space="0" w:color="auto"/>
                <w:left w:val="none" w:sz="0" w:space="0" w:color="auto"/>
                <w:bottom w:val="none" w:sz="0" w:space="0" w:color="auto"/>
                <w:right w:val="none" w:sz="0" w:space="0" w:color="auto"/>
              </w:divBdr>
            </w:div>
            <w:div w:id="175774910">
              <w:marLeft w:val="1440"/>
              <w:marRight w:val="0"/>
              <w:marTop w:val="0"/>
              <w:marBottom w:val="0"/>
              <w:divBdr>
                <w:top w:val="none" w:sz="0" w:space="0" w:color="auto"/>
                <w:left w:val="none" w:sz="0" w:space="0" w:color="auto"/>
                <w:bottom w:val="none" w:sz="0" w:space="0" w:color="auto"/>
                <w:right w:val="none" w:sz="0" w:space="0" w:color="auto"/>
              </w:divBdr>
            </w:div>
            <w:div w:id="944506109">
              <w:marLeft w:val="1440"/>
              <w:marRight w:val="0"/>
              <w:marTop w:val="0"/>
              <w:marBottom w:val="0"/>
              <w:divBdr>
                <w:top w:val="none" w:sz="0" w:space="0" w:color="auto"/>
                <w:left w:val="none" w:sz="0" w:space="0" w:color="auto"/>
                <w:bottom w:val="none" w:sz="0" w:space="0" w:color="auto"/>
                <w:right w:val="none" w:sz="0" w:space="0" w:color="auto"/>
              </w:divBdr>
            </w:div>
            <w:div w:id="2019841067">
              <w:marLeft w:val="1440"/>
              <w:marRight w:val="0"/>
              <w:marTop w:val="0"/>
              <w:marBottom w:val="0"/>
              <w:divBdr>
                <w:top w:val="none" w:sz="0" w:space="0" w:color="auto"/>
                <w:left w:val="none" w:sz="0" w:space="0" w:color="auto"/>
                <w:bottom w:val="none" w:sz="0" w:space="0" w:color="auto"/>
                <w:right w:val="none" w:sz="0" w:space="0" w:color="auto"/>
              </w:divBdr>
            </w:div>
            <w:div w:id="88619300">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13532530">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69463732">
      <w:bodyDiv w:val="1"/>
      <w:marLeft w:val="0"/>
      <w:marRight w:val="0"/>
      <w:marTop w:val="0"/>
      <w:marBottom w:val="0"/>
      <w:divBdr>
        <w:top w:val="none" w:sz="0" w:space="0" w:color="auto"/>
        <w:left w:val="none" w:sz="0" w:space="0" w:color="auto"/>
        <w:bottom w:val="none" w:sz="0" w:space="0" w:color="auto"/>
        <w:right w:val="none" w:sz="0" w:space="0" w:color="auto"/>
      </w:divBdr>
      <w:divsChild>
        <w:div w:id="2099057901">
          <w:marLeft w:val="0"/>
          <w:marRight w:val="0"/>
          <w:marTop w:val="0"/>
          <w:marBottom w:val="0"/>
          <w:divBdr>
            <w:top w:val="none" w:sz="0" w:space="0" w:color="auto"/>
            <w:left w:val="none" w:sz="0" w:space="0" w:color="auto"/>
            <w:bottom w:val="none" w:sz="0" w:space="0" w:color="auto"/>
            <w:right w:val="none" w:sz="0" w:space="0" w:color="auto"/>
          </w:divBdr>
          <w:divsChild>
            <w:div w:id="1081416109">
              <w:marLeft w:val="1440"/>
              <w:marRight w:val="0"/>
              <w:marTop w:val="0"/>
              <w:marBottom w:val="0"/>
              <w:divBdr>
                <w:top w:val="none" w:sz="0" w:space="0" w:color="auto"/>
                <w:left w:val="none" w:sz="0" w:space="0" w:color="auto"/>
                <w:bottom w:val="none" w:sz="0" w:space="0" w:color="auto"/>
                <w:right w:val="none" w:sz="0" w:space="0" w:color="auto"/>
              </w:divBdr>
            </w:div>
            <w:div w:id="361976546">
              <w:marLeft w:val="1440"/>
              <w:marRight w:val="0"/>
              <w:marTop w:val="0"/>
              <w:marBottom w:val="0"/>
              <w:divBdr>
                <w:top w:val="none" w:sz="0" w:space="0" w:color="auto"/>
                <w:left w:val="none" w:sz="0" w:space="0" w:color="auto"/>
                <w:bottom w:val="none" w:sz="0" w:space="0" w:color="auto"/>
                <w:right w:val="none" w:sz="0" w:space="0" w:color="auto"/>
              </w:divBdr>
            </w:div>
            <w:div w:id="1390377529">
              <w:marLeft w:val="2016"/>
              <w:marRight w:val="0"/>
              <w:marTop w:val="0"/>
              <w:marBottom w:val="0"/>
              <w:divBdr>
                <w:top w:val="none" w:sz="0" w:space="0" w:color="auto"/>
                <w:left w:val="none" w:sz="0" w:space="0" w:color="auto"/>
                <w:bottom w:val="none" w:sz="0" w:space="0" w:color="auto"/>
                <w:right w:val="none" w:sz="0" w:space="0" w:color="auto"/>
              </w:divBdr>
            </w:div>
            <w:div w:id="61828332">
              <w:marLeft w:val="2016"/>
              <w:marRight w:val="0"/>
              <w:marTop w:val="0"/>
              <w:marBottom w:val="0"/>
              <w:divBdr>
                <w:top w:val="none" w:sz="0" w:space="0" w:color="auto"/>
                <w:left w:val="none" w:sz="0" w:space="0" w:color="auto"/>
                <w:bottom w:val="none" w:sz="0" w:space="0" w:color="auto"/>
                <w:right w:val="none" w:sz="0" w:space="0" w:color="auto"/>
              </w:divBdr>
            </w:div>
            <w:div w:id="1426806534">
              <w:marLeft w:val="2016"/>
              <w:marRight w:val="0"/>
              <w:marTop w:val="0"/>
              <w:marBottom w:val="0"/>
              <w:divBdr>
                <w:top w:val="none" w:sz="0" w:space="0" w:color="auto"/>
                <w:left w:val="none" w:sz="0" w:space="0" w:color="auto"/>
                <w:bottom w:val="none" w:sz="0" w:space="0" w:color="auto"/>
                <w:right w:val="none" w:sz="0" w:space="0" w:color="auto"/>
              </w:divBdr>
            </w:div>
            <w:div w:id="367492703">
              <w:marLeft w:val="2016"/>
              <w:marRight w:val="0"/>
              <w:marTop w:val="0"/>
              <w:marBottom w:val="0"/>
              <w:divBdr>
                <w:top w:val="none" w:sz="0" w:space="0" w:color="auto"/>
                <w:left w:val="none" w:sz="0" w:space="0" w:color="auto"/>
                <w:bottom w:val="none" w:sz="0" w:space="0" w:color="auto"/>
                <w:right w:val="none" w:sz="0" w:space="0" w:color="auto"/>
              </w:divBdr>
            </w:div>
            <w:div w:id="954479678">
              <w:marLeft w:val="2016"/>
              <w:marRight w:val="0"/>
              <w:marTop w:val="0"/>
              <w:marBottom w:val="0"/>
              <w:divBdr>
                <w:top w:val="none" w:sz="0" w:space="0" w:color="auto"/>
                <w:left w:val="none" w:sz="0" w:space="0" w:color="auto"/>
                <w:bottom w:val="none" w:sz="0" w:space="0" w:color="auto"/>
                <w:right w:val="none" w:sz="0" w:space="0" w:color="auto"/>
              </w:divBdr>
            </w:div>
            <w:div w:id="1181893160">
              <w:marLeft w:val="2016"/>
              <w:marRight w:val="0"/>
              <w:marTop w:val="0"/>
              <w:marBottom w:val="0"/>
              <w:divBdr>
                <w:top w:val="none" w:sz="0" w:space="0" w:color="auto"/>
                <w:left w:val="none" w:sz="0" w:space="0" w:color="auto"/>
                <w:bottom w:val="none" w:sz="0" w:space="0" w:color="auto"/>
                <w:right w:val="none" w:sz="0" w:space="0" w:color="auto"/>
              </w:divBdr>
            </w:div>
            <w:div w:id="106052286">
              <w:marLeft w:val="2016"/>
              <w:marRight w:val="0"/>
              <w:marTop w:val="0"/>
              <w:marBottom w:val="0"/>
              <w:divBdr>
                <w:top w:val="none" w:sz="0" w:space="0" w:color="auto"/>
                <w:left w:val="none" w:sz="0" w:space="0" w:color="auto"/>
                <w:bottom w:val="none" w:sz="0" w:space="0" w:color="auto"/>
                <w:right w:val="none" w:sz="0" w:space="0" w:color="auto"/>
              </w:divBdr>
            </w:div>
            <w:div w:id="926230013">
              <w:marLeft w:val="2016"/>
              <w:marRight w:val="0"/>
              <w:marTop w:val="0"/>
              <w:marBottom w:val="0"/>
              <w:divBdr>
                <w:top w:val="none" w:sz="0" w:space="0" w:color="auto"/>
                <w:left w:val="none" w:sz="0" w:space="0" w:color="auto"/>
                <w:bottom w:val="none" w:sz="0" w:space="0" w:color="auto"/>
                <w:right w:val="none" w:sz="0" w:space="0" w:color="auto"/>
              </w:divBdr>
            </w:div>
            <w:div w:id="1748573991">
              <w:marLeft w:val="2016"/>
              <w:marRight w:val="0"/>
              <w:marTop w:val="0"/>
              <w:marBottom w:val="0"/>
              <w:divBdr>
                <w:top w:val="none" w:sz="0" w:space="0" w:color="auto"/>
                <w:left w:val="none" w:sz="0" w:space="0" w:color="auto"/>
                <w:bottom w:val="none" w:sz="0" w:space="0" w:color="auto"/>
                <w:right w:val="none" w:sz="0" w:space="0" w:color="auto"/>
              </w:divBdr>
            </w:div>
            <w:div w:id="968241855">
              <w:marLeft w:val="2016"/>
              <w:marRight w:val="0"/>
              <w:marTop w:val="0"/>
              <w:marBottom w:val="0"/>
              <w:divBdr>
                <w:top w:val="none" w:sz="0" w:space="0" w:color="auto"/>
                <w:left w:val="none" w:sz="0" w:space="0" w:color="auto"/>
                <w:bottom w:val="none" w:sz="0" w:space="0" w:color="auto"/>
                <w:right w:val="none" w:sz="0" w:space="0" w:color="auto"/>
              </w:divBdr>
            </w:div>
            <w:div w:id="1306818622">
              <w:marLeft w:val="2016"/>
              <w:marRight w:val="0"/>
              <w:marTop w:val="0"/>
              <w:marBottom w:val="0"/>
              <w:divBdr>
                <w:top w:val="none" w:sz="0" w:space="0" w:color="auto"/>
                <w:left w:val="none" w:sz="0" w:space="0" w:color="auto"/>
                <w:bottom w:val="none" w:sz="0" w:space="0" w:color="auto"/>
                <w:right w:val="none" w:sz="0" w:space="0" w:color="auto"/>
              </w:divBdr>
            </w:div>
            <w:div w:id="185798725">
              <w:marLeft w:val="2016"/>
              <w:marRight w:val="0"/>
              <w:marTop w:val="0"/>
              <w:marBottom w:val="0"/>
              <w:divBdr>
                <w:top w:val="none" w:sz="0" w:space="0" w:color="auto"/>
                <w:left w:val="none" w:sz="0" w:space="0" w:color="auto"/>
                <w:bottom w:val="none" w:sz="0" w:space="0" w:color="auto"/>
                <w:right w:val="none" w:sz="0" w:space="0" w:color="auto"/>
              </w:divBdr>
            </w:div>
            <w:div w:id="1031802468">
              <w:marLeft w:val="2016"/>
              <w:marRight w:val="0"/>
              <w:marTop w:val="0"/>
              <w:marBottom w:val="0"/>
              <w:divBdr>
                <w:top w:val="none" w:sz="0" w:space="0" w:color="auto"/>
                <w:left w:val="none" w:sz="0" w:space="0" w:color="auto"/>
                <w:bottom w:val="none" w:sz="0" w:space="0" w:color="auto"/>
                <w:right w:val="none" w:sz="0" w:space="0" w:color="auto"/>
              </w:divBdr>
            </w:div>
            <w:div w:id="511527534">
              <w:marLeft w:val="2016"/>
              <w:marRight w:val="0"/>
              <w:marTop w:val="0"/>
              <w:marBottom w:val="0"/>
              <w:divBdr>
                <w:top w:val="none" w:sz="0" w:space="0" w:color="auto"/>
                <w:left w:val="none" w:sz="0" w:space="0" w:color="auto"/>
                <w:bottom w:val="none" w:sz="0" w:space="0" w:color="auto"/>
                <w:right w:val="none" w:sz="0" w:space="0" w:color="auto"/>
              </w:divBdr>
            </w:div>
            <w:div w:id="110250611">
              <w:marLeft w:val="2016"/>
              <w:marRight w:val="0"/>
              <w:marTop w:val="0"/>
              <w:marBottom w:val="0"/>
              <w:divBdr>
                <w:top w:val="none" w:sz="0" w:space="0" w:color="auto"/>
                <w:left w:val="none" w:sz="0" w:space="0" w:color="auto"/>
                <w:bottom w:val="none" w:sz="0" w:space="0" w:color="auto"/>
                <w:right w:val="none" w:sz="0" w:space="0" w:color="auto"/>
              </w:divBdr>
            </w:div>
            <w:div w:id="858347795">
              <w:marLeft w:val="2016"/>
              <w:marRight w:val="0"/>
              <w:marTop w:val="0"/>
              <w:marBottom w:val="0"/>
              <w:divBdr>
                <w:top w:val="none" w:sz="0" w:space="0" w:color="auto"/>
                <w:left w:val="none" w:sz="0" w:space="0" w:color="auto"/>
                <w:bottom w:val="none" w:sz="0" w:space="0" w:color="auto"/>
                <w:right w:val="none" w:sz="0" w:space="0" w:color="auto"/>
              </w:divBdr>
            </w:div>
            <w:div w:id="1604528118">
              <w:marLeft w:val="2016"/>
              <w:marRight w:val="0"/>
              <w:marTop w:val="0"/>
              <w:marBottom w:val="0"/>
              <w:divBdr>
                <w:top w:val="none" w:sz="0" w:space="0" w:color="auto"/>
                <w:left w:val="none" w:sz="0" w:space="0" w:color="auto"/>
                <w:bottom w:val="none" w:sz="0" w:space="0" w:color="auto"/>
                <w:right w:val="none" w:sz="0" w:space="0" w:color="auto"/>
              </w:divBdr>
            </w:div>
            <w:div w:id="331683626">
              <w:marLeft w:val="2016"/>
              <w:marRight w:val="0"/>
              <w:marTop w:val="0"/>
              <w:marBottom w:val="0"/>
              <w:divBdr>
                <w:top w:val="none" w:sz="0" w:space="0" w:color="auto"/>
                <w:left w:val="none" w:sz="0" w:space="0" w:color="auto"/>
                <w:bottom w:val="none" w:sz="0" w:space="0" w:color="auto"/>
                <w:right w:val="none" w:sz="0" w:space="0" w:color="auto"/>
              </w:divBdr>
            </w:div>
            <w:div w:id="1176533128">
              <w:marLeft w:val="2016"/>
              <w:marRight w:val="0"/>
              <w:marTop w:val="0"/>
              <w:marBottom w:val="0"/>
              <w:divBdr>
                <w:top w:val="none" w:sz="0" w:space="0" w:color="auto"/>
                <w:left w:val="none" w:sz="0" w:space="0" w:color="auto"/>
                <w:bottom w:val="none" w:sz="0" w:space="0" w:color="auto"/>
                <w:right w:val="none" w:sz="0" w:space="0" w:color="auto"/>
              </w:divBdr>
            </w:div>
            <w:div w:id="647245628">
              <w:marLeft w:val="2016"/>
              <w:marRight w:val="0"/>
              <w:marTop w:val="0"/>
              <w:marBottom w:val="0"/>
              <w:divBdr>
                <w:top w:val="none" w:sz="0" w:space="0" w:color="auto"/>
                <w:left w:val="none" w:sz="0" w:space="0" w:color="auto"/>
                <w:bottom w:val="none" w:sz="0" w:space="0" w:color="auto"/>
                <w:right w:val="none" w:sz="0" w:space="0" w:color="auto"/>
              </w:divBdr>
            </w:div>
            <w:div w:id="733700948">
              <w:marLeft w:val="2016"/>
              <w:marRight w:val="0"/>
              <w:marTop w:val="0"/>
              <w:marBottom w:val="0"/>
              <w:divBdr>
                <w:top w:val="none" w:sz="0" w:space="0" w:color="auto"/>
                <w:left w:val="none" w:sz="0" w:space="0" w:color="auto"/>
                <w:bottom w:val="none" w:sz="0" w:space="0" w:color="auto"/>
                <w:right w:val="none" w:sz="0" w:space="0" w:color="auto"/>
              </w:divBdr>
            </w:div>
            <w:div w:id="633952364">
              <w:marLeft w:val="2016"/>
              <w:marRight w:val="0"/>
              <w:marTop w:val="0"/>
              <w:marBottom w:val="0"/>
              <w:divBdr>
                <w:top w:val="none" w:sz="0" w:space="0" w:color="auto"/>
                <w:left w:val="none" w:sz="0" w:space="0" w:color="auto"/>
                <w:bottom w:val="none" w:sz="0" w:space="0" w:color="auto"/>
                <w:right w:val="none" w:sz="0" w:space="0" w:color="auto"/>
              </w:divBdr>
            </w:div>
            <w:div w:id="1341200731">
              <w:marLeft w:val="2016"/>
              <w:marRight w:val="0"/>
              <w:marTop w:val="0"/>
              <w:marBottom w:val="0"/>
              <w:divBdr>
                <w:top w:val="none" w:sz="0" w:space="0" w:color="auto"/>
                <w:left w:val="none" w:sz="0" w:space="0" w:color="auto"/>
                <w:bottom w:val="none" w:sz="0" w:space="0" w:color="auto"/>
                <w:right w:val="none" w:sz="0" w:space="0" w:color="auto"/>
              </w:divBdr>
            </w:div>
            <w:div w:id="1458454831">
              <w:marLeft w:val="2016"/>
              <w:marRight w:val="0"/>
              <w:marTop w:val="0"/>
              <w:marBottom w:val="0"/>
              <w:divBdr>
                <w:top w:val="none" w:sz="0" w:space="0" w:color="auto"/>
                <w:left w:val="none" w:sz="0" w:space="0" w:color="auto"/>
                <w:bottom w:val="none" w:sz="0" w:space="0" w:color="auto"/>
                <w:right w:val="none" w:sz="0" w:space="0" w:color="auto"/>
              </w:divBdr>
            </w:div>
            <w:div w:id="1248266767">
              <w:marLeft w:val="2016"/>
              <w:marRight w:val="0"/>
              <w:marTop w:val="0"/>
              <w:marBottom w:val="0"/>
              <w:divBdr>
                <w:top w:val="none" w:sz="0" w:space="0" w:color="auto"/>
                <w:left w:val="none" w:sz="0" w:space="0" w:color="auto"/>
                <w:bottom w:val="none" w:sz="0" w:space="0" w:color="auto"/>
                <w:right w:val="none" w:sz="0" w:space="0" w:color="auto"/>
              </w:divBdr>
            </w:div>
            <w:div w:id="2009750302">
              <w:marLeft w:val="2016"/>
              <w:marRight w:val="0"/>
              <w:marTop w:val="0"/>
              <w:marBottom w:val="0"/>
              <w:divBdr>
                <w:top w:val="none" w:sz="0" w:space="0" w:color="auto"/>
                <w:left w:val="none" w:sz="0" w:space="0" w:color="auto"/>
                <w:bottom w:val="none" w:sz="0" w:space="0" w:color="auto"/>
                <w:right w:val="none" w:sz="0" w:space="0" w:color="auto"/>
              </w:divBdr>
            </w:div>
            <w:div w:id="798373986">
              <w:marLeft w:val="1440"/>
              <w:marRight w:val="0"/>
              <w:marTop w:val="0"/>
              <w:marBottom w:val="0"/>
              <w:divBdr>
                <w:top w:val="none" w:sz="0" w:space="0" w:color="auto"/>
                <w:left w:val="none" w:sz="0" w:space="0" w:color="auto"/>
                <w:bottom w:val="none" w:sz="0" w:space="0" w:color="auto"/>
                <w:right w:val="none" w:sz="0" w:space="0" w:color="auto"/>
              </w:divBdr>
            </w:div>
            <w:div w:id="538979009">
              <w:marLeft w:val="1440"/>
              <w:marRight w:val="0"/>
              <w:marTop w:val="0"/>
              <w:marBottom w:val="0"/>
              <w:divBdr>
                <w:top w:val="none" w:sz="0" w:space="0" w:color="auto"/>
                <w:left w:val="none" w:sz="0" w:space="0" w:color="auto"/>
                <w:bottom w:val="none" w:sz="0" w:space="0" w:color="auto"/>
                <w:right w:val="none" w:sz="0" w:space="0" w:color="auto"/>
              </w:divBdr>
            </w:div>
            <w:div w:id="1200823818">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1308509174">
      <w:bodyDiv w:val="1"/>
      <w:marLeft w:val="0"/>
      <w:marRight w:val="0"/>
      <w:marTop w:val="0"/>
      <w:marBottom w:val="0"/>
      <w:divBdr>
        <w:top w:val="none" w:sz="0" w:space="0" w:color="auto"/>
        <w:left w:val="none" w:sz="0" w:space="0" w:color="auto"/>
        <w:bottom w:val="none" w:sz="0" w:space="0" w:color="auto"/>
        <w:right w:val="none" w:sz="0" w:space="0" w:color="auto"/>
      </w:divBdr>
    </w:div>
    <w:div w:id="1365211843">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547526941">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54845-AF3F-40C3-AA48-6D44FCC30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Pages>
  <Words>5918</Words>
  <Characters>32555</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2019-10-14T18:15:00Z</cp:lastPrinted>
  <dcterms:created xsi:type="dcterms:W3CDTF">2020-10-30T00:12:00Z</dcterms:created>
  <dcterms:modified xsi:type="dcterms:W3CDTF">2020-12-17T00:44:00Z</dcterms:modified>
</cp:coreProperties>
</file>