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3AD02"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Resolución del Pleno del Instituto de Transparencia, Acceso a la Información Pública y Protección de Datos Personales del Estado de México y Municipios, con domicilio en Metepec, México, a </w:t>
      </w:r>
      <w:r w:rsidR="000317FB">
        <w:rPr>
          <w:rFonts w:ascii="Palatino Linotype" w:hAnsi="Palatino Linotype"/>
        </w:rPr>
        <w:t>cinco de noviembre</w:t>
      </w:r>
      <w:r w:rsidRPr="009D4091">
        <w:rPr>
          <w:rFonts w:ascii="Palatino Linotype" w:hAnsi="Palatino Linotype"/>
        </w:rPr>
        <w:t xml:space="preserve"> de dos mil veinte.</w:t>
      </w:r>
    </w:p>
    <w:p w14:paraId="0700D41C" w14:textId="77777777" w:rsidR="00AA24E1" w:rsidRPr="009D4091" w:rsidRDefault="00AA24E1" w:rsidP="00AA24E1">
      <w:pPr>
        <w:pStyle w:val="Sinespaciado"/>
        <w:spacing w:line="360" w:lineRule="auto"/>
        <w:jc w:val="both"/>
        <w:rPr>
          <w:rFonts w:ascii="Palatino Linotype" w:hAnsi="Palatino Linotype"/>
        </w:rPr>
      </w:pPr>
    </w:p>
    <w:p w14:paraId="45D5FA5B" w14:textId="793A2CB9"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rPr>
        <w:t>VISTO</w:t>
      </w:r>
      <w:r w:rsidRPr="009D4091">
        <w:rPr>
          <w:rFonts w:ascii="Palatino Linotype" w:hAnsi="Palatino Linotype"/>
        </w:rPr>
        <w:t xml:space="preserve"> el expediente electrónico formado con motivo del recurso de revisión número </w:t>
      </w:r>
      <w:r w:rsidRPr="009D4091">
        <w:rPr>
          <w:rFonts w:ascii="Palatino Linotype" w:hAnsi="Palatino Linotype"/>
          <w:b/>
        </w:rPr>
        <w:t>03</w:t>
      </w:r>
      <w:r w:rsidR="007A09FA">
        <w:rPr>
          <w:rFonts w:ascii="Palatino Linotype" w:hAnsi="Palatino Linotype"/>
          <w:b/>
        </w:rPr>
        <w:t>775/</w:t>
      </w:r>
      <w:r w:rsidRPr="009D4091">
        <w:rPr>
          <w:rFonts w:ascii="Palatino Linotype" w:hAnsi="Palatino Linotype"/>
          <w:b/>
        </w:rPr>
        <w:t>INFOEM/IP/RR/2020</w:t>
      </w:r>
      <w:r w:rsidRPr="009D4091">
        <w:rPr>
          <w:rFonts w:ascii="Palatino Linotype" w:hAnsi="Palatino Linotype"/>
        </w:rPr>
        <w:t xml:space="preserve">, interpuesto por el </w:t>
      </w:r>
      <w:r w:rsidRPr="009D4091">
        <w:rPr>
          <w:rFonts w:ascii="Palatino Linotype" w:hAnsi="Palatino Linotype"/>
          <w:b/>
        </w:rPr>
        <w:t xml:space="preserve">C. </w:t>
      </w:r>
      <w:proofErr w:type="spellStart"/>
      <w:r w:rsidR="00E37010">
        <w:rPr>
          <w:rFonts w:ascii="Palatino Linotype" w:hAnsi="Palatino Linotype"/>
          <w:b/>
        </w:rPr>
        <w:t>xxxxxxxxxxxxxxxxxxxx</w:t>
      </w:r>
      <w:proofErr w:type="spellEnd"/>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 xml:space="preserve">en lo sucesivo </w:t>
      </w:r>
      <w:r w:rsidR="00A106AA" w:rsidRPr="009D4091">
        <w:rPr>
          <w:rFonts w:ascii="Palatino Linotype" w:hAnsi="Palatino Linotype"/>
        </w:rPr>
        <w:t>el</w:t>
      </w:r>
      <w:r w:rsidRPr="009D4091">
        <w:rPr>
          <w:rFonts w:ascii="Palatino Linotype" w:hAnsi="Palatino Linotype"/>
          <w:b/>
        </w:rPr>
        <w:t xml:space="preserve"> Recurrente</w:t>
      </w:r>
      <w:r w:rsidRPr="009D4091">
        <w:rPr>
          <w:rFonts w:ascii="Palatino Linotype" w:hAnsi="Palatino Linotype"/>
        </w:rPr>
        <w:t xml:space="preserve">, en contra de la respuesta del </w:t>
      </w:r>
      <w:r w:rsidR="0083132E" w:rsidRPr="0083132E">
        <w:rPr>
          <w:rFonts w:ascii="Palatino Linotype" w:hAnsi="Palatino Linotype"/>
          <w:b/>
        </w:rPr>
        <w:t>Ayuntamiento de Toluca</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en lo subsecuente</w:t>
      </w:r>
      <w:r w:rsidRPr="009D4091">
        <w:rPr>
          <w:rFonts w:ascii="Palatino Linotype" w:hAnsi="Palatino Linotype"/>
          <w:b/>
        </w:rPr>
        <w:t xml:space="preserve"> </w:t>
      </w:r>
      <w:r w:rsidRPr="009D4091">
        <w:rPr>
          <w:rFonts w:ascii="Palatino Linotype" w:hAnsi="Palatino Linotype"/>
        </w:rPr>
        <w:t>el</w:t>
      </w:r>
      <w:r w:rsidRPr="009D4091">
        <w:rPr>
          <w:rFonts w:ascii="Palatino Linotype" w:hAnsi="Palatino Linotype"/>
          <w:b/>
        </w:rPr>
        <w:t xml:space="preserve"> Sujeto Obligado</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se procede a dictar la presente resolución.</w:t>
      </w:r>
    </w:p>
    <w:p w14:paraId="3CF25A23" w14:textId="77777777" w:rsidR="00AA24E1" w:rsidRPr="009D4091" w:rsidRDefault="00AA24E1" w:rsidP="00AA24E1">
      <w:pPr>
        <w:pStyle w:val="Sinespaciado"/>
        <w:spacing w:line="360" w:lineRule="auto"/>
        <w:jc w:val="both"/>
        <w:rPr>
          <w:rFonts w:ascii="Palatino Linotype" w:hAnsi="Palatino Linotype"/>
        </w:rPr>
      </w:pPr>
    </w:p>
    <w:p w14:paraId="3878CBD4" w14:textId="77777777" w:rsidR="00AA24E1" w:rsidRPr="009D4091" w:rsidRDefault="00AA24E1" w:rsidP="00AA24E1">
      <w:pPr>
        <w:pStyle w:val="Sinespaciado"/>
        <w:spacing w:line="360" w:lineRule="auto"/>
        <w:jc w:val="center"/>
        <w:rPr>
          <w:rFonts w:ascii="Palatino Linotype" w:hAnsi="Palatino Linotype"/>
          <w:b/>
          <w:sz w:val="28"/>
          <w:szCs w:val="28"/>
        </w:rPr>
      </w:pPr>
      <w:r w:rsidRPr="009D4091">
        <w:rPr>
          <w:rFonts w:ascii="Palatino Linotype" w:hAnsi="Palatino Linotype"/>
          <w:b/>
          <w:sz w:val="28"/>
          <w:szCs w:val="28"/>
        </w:rPr>
        <w:t>A N T E C E D E N T E S   D E L   A S U N T O</w:t>
      </w:r>
    </w:p>
    <w:p w14:paraId="0D305910" w14:textId="77777777" w:rsidR="00AA24E1" w:rsidRPr="009D4091" w:rsidRDefault="00AA24E1" w:rsidP="00AA24E1">
      <w:pPr>
        <w:pStyle w:val="Sinespaciado"/>
      </w:pPr>
    </w:p>
    <w:p w14:paraId="12D57483"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PRIMERO.</w:t>
      </w:r>
      <w:r w:rsidRPr="009D4091">
        <w:rPr>
          <w:rFonts w:ascii="Palatino Linotype" w:hAnsi="Palatino Linotype"/>
          <w:sz w:val="28"/>
          <w:szCs w:val="26"/>
        </w:rPr>
        <w:t xml:space="preserve"> </w:t>
      </w:r>
      <w:r w:rsidRPr="009D4091">
        <w:rPr>
          <w:rFonts w:ascii="Palatino Linotype" w:hAnsi="Palatino Linotype"/>
          <w:b/>
          <w:sz w:val="28"/>
          <w:szCs w:val="26"/>
        </w:rPr>
        <w:t>De la Solicitud de Información.</w:t>
      </w:r>
    </w:p>
    <w:p w14:paraId="21E373D3"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El día </w:t>
      </w:r>
      <w:r w:rsidR="0083132E">
        <w:rPr>
          <w:rFonts w:ascii="Palatino Linotype" w:hAnsi="Palatino Linotype"/>
        </w:rPr>
        <w:t>veinticuatro</w:t>
      </w:r>
      <w:r w:rsidR="00A106AA" w:rsidRPr="009D4091">
        <w:rPr>
          <w:rFonts w:ascii="Palatino Linotype" w:hAnsi="Palatino Linotype"/>
        </w:rPr>
        <w:t xml:space="preserve"> de agosto</w:t>
      </w:r>
      <w:r w:rsidRPr="009D4091">
        <w:rPr>
          <w:rFonts w:ascii="Palatino Linotype" w:hAnsi="Palatino Linotype"/>
        </w:rPr>
        <w:t xml:space="preserve"> de dos mil veinte, </w:t>
      </w:r>
      <w:r w:rsidR="00A106AA" w:rsidRPr="009D4091">
        <w:rPr>
          <w:rFonts w:ascii="Palatino Linotype" w:hAnsi="Palatino Linotype"/>
        </w:rPr>
        <w:t>el</w:t>
      </w:r>
      <w:r w:rsidRPr="009D4091">
        <w:rPr>
          <w:rFonts w:ascii="Palatino Linotype" w:hAnsi="Palatino Linotype"/>
        </w:rPr>
        <w:t xml:space="preserve"> </w:t>
      </w:r>
      <w:r w:rsidRPr="009D4091">
        <w:rPr>
          <w:rFonts w:ascii="Palatino Linotype" w:hAnsi="Palatino Linotype"/>
          <w:b/>
        </w:rPr>
        <w:t>Recurrente</w:t>
      </w:r>
      <w:r w:rsidRPr="009D4091">
        <w:rPr>
          <w:rFonts w:ascii="Palatino Linotype" w:hAnsi="Palatino Linotype"/>
        </w:rPr>
        <w:t xml:space="preserve"> presentó a través del Sistema de Acceso a la Información Mexiquense (</w:t>
      </w:r>
      <w:r w:rsidRPr="009D4091">
        <w:rPr>
          <w:rFonts w:ascii="Palatino Linotype" w:hAnsi="Palatino Linotype"/>
          <w:b/>
        </w:rPr>
        <w:t>SAIMEX)</w:t>
      </w:r>
      <w:r w:rsidRPr="009D4091">
        <w:rPr>
          <w:rFonts w:ascii="Palatino Linotype" w:hAnsi="Palatino Linotype"/>
        </w:rPr>
        <w:t xml:space="preserve"> ante el</w:t>
      </w:r>
      <w:r w:rsidRPr="009D4091">
        <w:rPr>
          <w:rFonts w:ascii="Palatino Linotype" w:hAnsi="Palatino Linotype"/>
          <w:b/>
        </w:rPr>
        <w:t xml:space="preserve"> Sujeto Obligado</w:t>
      </w:r>
      <w:r w:rsidRPr="009D4091">
        <w:rPr>
          <w:rFonts w:ascii="Palatino Linotype" w:hAnsi="Palatino Linotype"/>
        </w:rPr>
        <w:t>, solicitud de acceso a la información pública registrada bajo el número de expediente</w:t>
      </w:r>
      <w:r w:rsidRPr="009D4091">
        <w:rPr>
          <w:rFonts w:ascii="Palatino Linotype" w:hAnsi="Palatino Linotype"/>
          <w:b/>
        </w:rPr>
        <w:t xml:space="preserve">   </w:t>
      </w:r>
      <w:r w:rsidR="0083132E" w:rsidRPr="0083132E">
        <w:rPr>
          <w:rFonts w:ascii="Palatino Linotype" w:hAnsi="Palatino Linotype"/>
          <w:b/>
        </w:rPr>
        <w:t>00623/TOLUCA/IP/2020</w:t>
      </w:r>
      <w:r w:rsidRPr="009D4091">
        <w:rPr>
          <w:rFonts w:ascii="Palatino Linotype" w:hAnsi="Palatino Linotype"/>
        </w:rPr>
        <w:t>,</w:t>
      </w:r>
      <w:r w:rsidRPr="009D4091">
        <w:rPr>
          <w:rFonts w:ascii="Palatino Linotype" w:hAnsi="Palatino Linotype"/>
          <w:b/>
        </w:rPr>
        <w:t xml:space="preserve"> </w:t>
      </w:r>
      <w:r w:rsidRPr="009D4091">
        <w:rPr>
          <w:rFonts w:ascii="Palatino Linotype" w:hAnsi="Palatino Linotype"/>
        </w:rPr>
        <w:t>mediante la cual solicitó información en el tenor siguiente:</w:t>
      </w:r>
    </w:p>
    <w:p w14:paraId="2DDF1BE7" w14:textId="77777777" w:rsidR="00AA24E1" w:rsidRPr="009D4091" w:rsidRDefault="00AA24E1" w:rsidP="00AA24E1">
      <w:pPr>
        <w:pStyle w:val="Sinespaciado"/>
      </w:pPr>
    </w:p>
    <w:p w14:paraId="633E33E0" w14:textId="77777777"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83132E" w:rsidRPr="0083132E">
        <w:rPr>
          <w:rFonts w:ascii="Palatino Linotype" w:hAnsi="Palatino Linotype"/>
          <w:i/>
          <w:sz w:val="22"/>
          <w:szCs w:val="22"/>
        </w:rPr>
        <w:t>Por este conducto de acceso a la información solicito que se me proporcione los planes realizados para la educación tras la pandemia de COVID 19.</w:t>
      </w:r>
      <w:r w:rsidRPr="009D4091">
        <w:rPr>
          <w:rFonts w:ascii="Palatino Linotype" w:hAnsi="Palatino Linotype"/>
          <w:i/>
          <w:sz w:val="22"/>
          <w:szCs w:val="22"/>
        </w:rPr>
        <w:t>” (Sic)</w:t>
      </w:r>
    </w:p>
    <w:p w14:paraId="6458F2BD" w14:textId="77777777" w:rsidR="00AA24E1" w:rsidRDefault="00AA24E1" w:rsidP="00AA24E1">
      <w:pPr>
        <w:pStyle w:val="Sinespaciado"/>
        <w:rPr>
          <w:rFonts w:ascii="Palatino Linotype" w:hAnsi="Palatino Linotype"/>
          <w:i/>
          <w:sz w:val="22"/>
          <w:szCs w:val="22"/>
        </w:rPr>
      </w:pPr>
    </w:p>
    <w:p w14:paraId="436518BF" w14:textId="77777777" w:rsidR="0083132E" w:rsidRPr="009D4091" w:rsidRDefault="0083132E" w:rsidP="00AA24E1">
      <w:pPr>
        <w:pStyle w:val="Sinespaciado"/>
      </w:pPr>
    </w:p>
    <w:p w14:paraId="18733A4B" w14:textId="77777777" w:rsidR="00AA24E1" w:rsidRPr="009D4091" w:rsidRDefault="00AA24E1" w:rsidP="00AA24E1">
      <w:pPr>
        <w:pStyle w:val="Sinespaciado"/>
        <w:rPr>
          <w:sz w:val="8"/>
        </w:rPr>
      </w:pPr>
    </w:p>
    <w:p w14:paraId="17902019"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rPr>
        <w:t>MODALIDAD DE ENTREGA:</w:t>
      </w:r>
      <w:r w:rsidR="00A106AA" w:rsidRPr="009D4091">
        <w:rPr>
          <w:rFonts w:ascii="Palatino Linotype" w:hAnsi="Palatino Linotype"/>
        </w:rPr>
        <w:t xml:space="preserve"> A través de </w:t>
      </w:r>
      <w:r w:rsidR="0083132E">
        <w:rPr>
          <w:rFonts w:ascii="Palatino Linotype" w:hAnsi="Palatino Linotype"/>
          <w:b/>
        </w:rPr>
        <w:t>SAIMEX</w:t>
      </w:r>
      <w:r w:rsidRPr="009D4091">
        <w:rPr>
          <w:rFonts w:ascii="Palatino Linotype" w:hAnsi="Palatino Linotype"/>
        </w:rPr>
        <w:t>.</w:t>
      </w:r>
    </w:p>
    <w:p w14:paraId="0F2C1230" w14:textId="77777777" w:rsidR="00AA24E1" w:rsidRPr="009D4091" w:rsidRDefault="00AA24E1" w:rsidP="00AA24E1">
      <w:pPr>
        <w:pStyle w:val="Sinespaciado"/>
        <w:spacing w:line="360" w:lineRule="auto"/>
        <w:jc w:val="both"/>
        <w:rPr>
          <w:rFonts w:ascii="Palatino Linotype" w:hAnsi="Palatino Linotype"/>
          <w:sz w:val="20"/>
        </w:rPr>
      </w:pPr>
    </w:p>
    <w:p w14:paraId="28C26A45"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SEGUNDO. De la respuesta del Sujeto Obligado.</w:t>
      </w:r>
    </w:p>
    <w:p w14:paraId="4573A0B3"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En fecha </w:t>
      </w:r>
      <w:r w:rsidR="0083132E">
        <w:rPr>
          <w:rFonts w:ascii="Palatino Linotype" w:hAnsi="Palatino Linotype"/>
        </w:rPr>
        <w:t>veintiséis de agosto</w:t>
      </w:r>
      <w:r w:rsidRPr="009D4091">
        <w:rPr>
          <w:rFonts w:ascii="Palatino Linotype" w:hAnsi="Palatino Linotype"/>
        </w:rPr>
        <w:t xml:space="preserve"> del año dos mil veinte, el </w:t>
      </w:r>
      <w:r w:rsidRPr="009D4091">
        <w:rPr>
          <w:rFonts w:ascii="Palatino Linotype" w:hAnsi="Palatino Linotype"/>
          <w:b/>
        </w:rPr>
        <w:t xml:space="preserve">Sujeto Obligado </w:t>
      </w:r>
      <w:r w:rsidRPr="009D4091">
        <w:rPr>
          <w:rFonts w:ascii="Palatino Linotype" w:hAnsi="Palatino Linotype"/>
        </w:rPr>
        <w:t>emitió su respuesta a la solicitud de información como se muestra a continuación:</w:t>
      </w:r>
      <w:bookmarkStart w:id="0" w:name="_GoBack"/>
      <w:bookmarkEnd w:id="0"/>
    </w:p>
    <w:p w14:paraId="7FE8BF60" w14:textId="77777777" w:rsidR="00AA24E1" w:rsidRPr="009D4091" w:rsidRDefault="00AA24E1" w:rsidP="00AA24E1">
      <w:pPr>
        <w:pStyle w:val="Sinespaciado"/>
        <w:ind w:right="567"/>
        <w:rPr>
          <w:rFonts w:ascii="Palatino Linotype" w:hAnsi="Palatino Linotype"/>
          <w:i/>
          <w:sz w:val="14"/>
          <w:szCs w:val="22"/>
        </w:rPr>
      </w:pPr>
    </w:p>
    <w:tbl>
      <w:tblPr>
        <w:tblW w:w="6648" w:type="dxa"/>
        <w:jc w:val="center"/>
        <w:tblCellSpacing w:w="0" w:type="dxa"/>
        <w:tblCellMar>
          <w:left w:w="0" w:type="dxa"/>
          <w:right w:w="0" w:type="dxa"/>
        </w:tblCellMar>
        <w:tblLook w:val="04A0" w:firstRow="1" w:lastRow="0" w:firstColumn="1" w:lastColumn="0" w:noHBand="0" w:noVBand="1"/>
      </w:tblPr>
      <w:tblGrid>
        <w:gridCol w:w="6648"/>
      </w:tblGrid>
      <w:tr w:rsidR="0083132E" w:rsidRPr="0083132E" w14:paraId="48FCD902" w14:textId="77777777" w:rsidTr="0083132E">
        <w:trPr>
          <w:trHeight w:val="331"/>
          <w:tblCellSpacing w:w="0" w:type="dxa"/>
          <w:jc w:val="center"/>
        </w:trPr>
        <w:tc>
          <w:tcPr>
            <w:tcW w:w="0" w:type="auto"/>
            <w:vAlign w:val="center"/>
            <w:hideMark/>
          </w:tcPr>
          <w:p w14:paraId="1F02C99A" w14:textId="77777777" w:rsidR="0083132E" w:rsidRPr="0083132E" w:rsidRDefault="0083132E" w:rsidP="0083132E">
            <w:pPr>
              <w:spacing w:after="0" w:line="240" w:lineRule="auto"/>
              <w:jc w:val="right"/>
              <w:rPr>
                <w:rFonts w:ascii="Times New Roman" w:eastAsia="Times New Roman" w:hAnsi="Times New Roman" w:cs="Times New Roman"/>
                <w:sz w:val="24"/>
                <w:szCs w:val="24"/>
                <w:lang w:eastAsia="es-MX"/>
              </w:rPr>
            </w:pPr>
            <w:r w:rsidRPr="0083132E">
              <w:rPr>
                <w:rFonts w:ascii="Verdana" w:eastAsia="Times New Roman" w:hAnsi="Verdana" w:cs="Times New Roman"/>
                <w:sz w:val="18"/>
                <w:szCs w:val="18"/>
                <w:lang w:eastAsia="es-MX"/>
              </w:rPr>
              <w:t>Folio de la solicitud: 00623/TOLUCA/IP/2020</w:t>
            </w:r>
          </w:p>
        </w:tc>
      </w:tr>
      <w:tr w:rsidR="0083132E" w:rsidRPr="0083132E" w14:paraId="4606474D" w14:textId="77777777" w:rsidTr="0083132E">
        <w:trPr>
          <w:trHeight w:val="497"/>
          <w:tblCellSpacing w:w="0" w:type="dxa"/>
          <w:jc w:val="center"/>
        </w:trPr>
        <w:tc>
          <w:tcPr>
            <w:tcW w:w="0" w:type="auto"/>
            <w:vAlign w:val="center"/>
            <w:hideMark/>
          </w:tcPr>
          <w:p w14:paraId="271E072E" w14:textId="77777777" w:rsidR="0083132E" w:rsidRPr="0083132E" w:rsidRDefault="0083132E" w:rsidP="0083132E">
            <w:pPr>
              <w:spacing w:after="0" w:line="240" w:lineRule="auto"/>
              <w:jc w:val="right"/>
              <w:rPr>
                <w:rFonts w:ascii="Times New Roman" w:eastAsia="Times New Roman" w:hAnsi="Times New Roman" w:cs="Times New Roman"/>
                <w:sz w:val="24"/>
                <w:szCs w:val="24"/>
                <w:lang w:eastAsia="es-MX"/>
              </w:rPr>
            </w:pPr>
          </w:p>
        </w:tc>
      </w:tr>
      <w:tr w:rsidR="0083132E" w:rsidRPr="0083132E" w14:paraId="2A03FCDD" w14:textId="77777777" w:rsidTr="0083132E">
        <w:trPr>
          <w:trHeight w:val="165"/>
          <w:tblCellSpacing w:w="0" w:type="dxa"/>
          <w:jc w:val="center"/>
        </w:trPr>
        <w:tc>
          <w:tcPr>
            <w:tcW w:w="0" w:type="auto"/>
            <w:vAlign w:val="center"/>
            <w:hideMark/>
          </w:tcPr>
          <w:p w14:paraId="79EA3BC5" w14:textId="77777777" w:rsidR="0083132E" w:rsidRPr="0083132E" w:rsidRDefault="0083132E" w:rsidP="0083132E">
            <w:pPr>
              <w:spacing w:after="0" w:line="240" w:lineRule="auto"/>
              <w:jc w:val="center"/>
              <w:rPr>
                <w:rFonts w:ascii="Times New Roman" w:eastAsia="Times New Roman" w:hAnsi="Times New Roman" w:cs="Times New Roman"/>
                <w:sz w:val="20"/>
                <w:szCs w:val="20"/>
                <w:lang w:eastAsia="es-MX"/>
              </w:rPr>
            </w:pPr>
          </w:p>
        </w:tc>
      </w:tr>
      <w:tr w:rsidR="0083132E" w:rsidRPr="0083132E" w14:paraId="3C57B89D" w14:textId="77777777" w:rsidTr="0083132E">
        <w:trPr>
          <w:trHeight w:val="414"/>
          <w:tblCellSpacing w:w="0" w:type="dxa"/>
          <w:jc w:val="center"/>
        </w:trPr>
        <w:tc>
          <w:tcPr>
            <w:tcW w:w="0" w:type="auto"/>
            <w:vAlign w:val="center"/>
            <w:hideMark/>
          </w:tcPr>
          <w:p w14:paraId="76086D58" w14:textId="77777777" w:rsidR="0083132E" w:rsidRPr="0083132E" w:rsidRDefault="0083132E" w:rsidP="0083132E">
            <w:pPr>
              <w:spacing w:after="0" w:line="240" w:lineRule="auto"/>
              <w:rPr>
                <w:rFonts w:ascii="Times New Roman" w:eastAsia="Times New Roman" w:hAnsi="Times New Roman" w:cs="Times New Roman"/>
                <w:sz w:val="20"/>
                <w:szCs w:val="20"/>
                <w:lang w:eastAsia="es-MX"/>
              </w:rPr>
            </w:pPr>
          </w:p>
        </w:tc>
      </w:tr>
      <w:tr w:rsidR="0083132E" w:rsidRPr="0083132E" w14:paraId="47575253" w14:textId="77777777" w:rsidTr="0083132E">
        <w:trPr>
          <w:trHeight w:val="165"/>
          <w:tblCellSpacing w:w="0" w:type="dxa"/>
          <w:jc w:val="center"/>
        </w:trPr>
        <w:tc>
          <w:tcPr>
            <w:tcW w:w="0" w:type="auto"/>
            <w:vAlign w:val="center"/>
            <w:hideMark/>
          </w:tcPr>
          <w:p w14:paraId="0C522B64" w14:textId="77777777" w:rsidR="0083132E" w:rsidRPr="0083132E" w:rsidRDefault="0083132E" w:rsidP="0083132E">
            <w:pPr>
              <w:spacing w:after="0" w:line="240" w:lineRule="auto"/>
              <w:rPr>
                <w:rFonts w:ascii="Times New Roman" w:eastAsia="Times New Roman" w:hAnsi="Times New Roman" w:cs="Times New Roman"/>
                <w:sz w:val="24"/>
                <w:szCs w:val="24"/>
                <w:lang w:eastAsia="es-MX"/>
              </w:rPr>
            </w:pPr>
            <w:r w:rsidRPr="0083132E">
              <w:rPr>
                <w:rFonts w:ascii="Verdana" w:eastAsia="Times New Roman" w:hAnsi="Verdana" w:cs="Times New Roman"/>
                <w:sz w:val="18"/>
                <w:szCs w:val="18"/>
                <w:lang w:eastAsia="es-MX"/>
              </w:rPr>
              <w:t>Al respecto se adjunta Acuerdo de Incompetencia.</w:t>
            </w:r>
          </w:p>
        </w:tc>
      </w:tr>
      <w:tr w:rsidR="0083132E" w:rsidRPr="0083132E" w14:paraId="5F2EF37A" w14:textId="77777777" w:rsidTr="0083132E">
        <w:trPr>
          <w:trHeight w:val="414"/>
          <w:tblCellSpacing w:w="0" w:type="dxa"/>
          <w:jc w:val="center"/>
        </w:trPr>
        <w:tc>
          <w:tcPr>
            <w:tcW w:w="0" w:type="auto"/>
            <w:vAlign w:val="center"/>
            <w:hideMark/>
          </w:tcPr>
          <w:p w14:paraId="7BFE206D" w14:textId="77777777" w:rsidR="0083132E" w:rsidRPr="0083132E" w:rsidRDefault="0083132E" w:rsidP="0083132E">
            <w:pPr>
              <w:spacing w:after="0" w:line="240" w:lineRule="auto"/>
              <w:rPr>
                <w:rFonts w:ascii="Times New Roman" w:eastAsia="Times New Roman" w:hAnsi="Times New Roman" w:cs="Times New Roman"/>
                <w:sz w:val="24"/>
                <w:szCs w:val="24"/>
                <w:lang w:eastAsia="es-MX"/>
              </w:rPr>
            </w:pPr>
          </w:p>
        </w:tc>
      </w:tr>
      <w:tr w:rsidR="0083132E" w:rsidRPr="0083132E" w14:paraId="47981138" w14:textId="77777777" w:rsidTr="0083132E">
        <w:trPr>
          <w:trHeight w:val="165"/>
          <w:tblCellSpacing w:w="0" w:type="dxa"/>
          <w:jc w:val="center"/>
        </w:trPr>
        <w:tc>
          <w:tcPr>
            <w:tcW w:w="0" w:type="auto"/>
            <w:vAlign w:val="center"/>
            <w:hideMark/>
          </w:tcPr>
          <w:p w14:paraId="273F6F28" w14:textId="77777777" w:rsidR="0083132E" w:rsidRPr="0083132E" w:rsidRDefault="0083132E" w:rsidP="0083132E">
            <w:pPr>
              <w:spacing w:after="0" w:line="240" w:lineRule="auto"/>
              <w:jc w:val="center"/>
              <w:rPr>
                <w:rFonts w:ascii="Times New Roman" w:eastAsia="Times New Roman" w:hAnsi="Times New Roman" w:cs="Times New Roman"/>
                <w:sz w:val="20"/>
                <w:szCs w:val="20"/>
                <w:lang w:eastAsia="es-MX"/>
              </w:rPr>
            </w:pPr>
          </w:p>
        </w:tc>
      </w:tr>
      <w:tr w:rsidR="0083132E" w:rsidRPr="0083132E" w14:paraId="4536619F" w14:textId="77777777" w:rsidTr="0083132E">
        <w:trPr>
          <w:trHeight w:val="165"/>
          <w:tblCellSpacing w:w="0" w:type="dxa"/>
          <w:jc w:val="center"/>
        </w:trPr>
        <w:tc>
          <w:tcPr>
            <w:tcW w:w="0" w:type="auto"/>
            <w:vAlign w:val="center"/>
            <w:hideMark/>
          </w:tcPr>
          <w:p w14:paraId="2FD97A52" w14:textId="77777777" w:rsidR="0083132E" w:rsidRPr="0083132E" w:rsidRDefault="0083132E" w:rsidP="0083132E">
            <w:pPr>
              <w:spacing w:after="0" w:line="240" w:lineRule="auto"/>
              <w:rPr>
                <w:rFonts w:ascii="Times New Roman" w:eastAsia="Times New Roman" w:hAnsi="Times New Roman" w:cs="Times New Roman"/>
                <w:sz w:val="20"/>
                <w:szCs w:val="20"/>
                <w:lang w:eastAsia="es-MX"/>
              </w:rPr>
            </w:pPr>
          </w:p>
        </w:tc>
      </w:tr>
      <w:tr w:rsidR="0083132E" w:rsidRPr="0083132E" w14:paraId="471D547A" w14:textId="77777777" w:rsidTr="0083132E">
        <w:trPr>
          <w:trHeight w:val="165"/>
          <w:tblCellSpacing w:w="0" w:type="dxa"/>
          <w:jc w:val="center"/>
        </w:trPr>
        <w:tc>
          <w:tcPr>
            <w:tcW w:w="0" w:type="auto"/>
            <w:vAlign w:val="center"/>
            <w:hideMark/>
          </w:tcPr>
          <w:p w14:paraId="524BF5B0" w14:textId="77777777" w:rsidR="0083132E" w:rsidRPr="0083132E" w:rsidRDefault="0083132E" w:rsidP="0083132E">
            <w:pPr>
              <w:spacing w:after="0" w:line="240" w:lineRule="auto"/>
              <w:rPr>
                <w:rFonts w:ascii="Times New Roman" w:eastAsia="Times New Roman" w:hAnsi="Times New Roman" w:cs="Times New Roman"/>
                <w:sz w:val="24"/>
                <w:szCs w:val="24"/>
                <w:lang w:eastAsia="es-MX"/>
              </w:rPr>
            </w:pPr>
            <w:r w:rsidRPr="0083132E">
              <w:rPr>
                <w:rFonts w:ascii="Verdana" w:eastAsia="Times New Roman" w:hAnsi="Verdana" w:cs="Times New Roman"/>
                <w:sz w:val="18"/>
                <w:szCs w:val="18"/>
                <w:lang w:eastAsia="es-MX"/>
              </w:rPr>
              <w:t>ATENTAMENTE</w:t>
            </w:r>
          </w:p>
        </w:tc>
      </w:tr>
      <w:tr w:rsidR="0083132E" w:rsidRPr="0083132E" w14:paraId="3DFD7E9E" w14:textId="77777777" w:rsidTr="0083132E">
        <w:trPr>
          <w:trHeight w:val="248"/>
          <w:tblCellSpacing w:w="0" w:type="dxa"/>
          <w:jc w:val="center"/>
        </w:trPr>
        <w:tc>
          <w:tcPr>
            <w:tcW w:w="0" w:type="auto"/>
            <w:vAlign w:val="center"/>
            <w:hideMark/>
          </w:tcPr>
          <w:p w14:paraId="4B3EA99B" w14:textId="77777777" w:rsidR="0083132E" w:rsidRPr="0083132E" w:rsidRDefault="0083132E" w:rsidP="0083132E">
            <w:pPr>
              <w:spacing w:after="0" w:line="240" w:lineRule="auto"/>
              <w:rPr>
                <w:rFonts w:ascii="Times New Roman" w:eastAsia="Times New Roman" w:hAnsi="Times New Roman" w:cs="Times New Roman"/>
                <w:sz w:val="24"/>
                <w:szCs w:val="24"/>
                <w:lang w:eastAsia="es-MX"/>
              </w:rPr>
            </w:pPr>
          </w:p>
        </w:tc>
      </w:tr>
      <w:tr w:rsidR="0083132E" w:rsidRPr="0083132E" w14:paraId="37B7EBBB" w14:textId="77777777" w:rsidTr="0083132E">
        <w:trPr>
          <w:trHeight w:val="165"/>
          <w:tblCellSpacing w:w="0" w:type="dxa"/>
          <w:jc w:val="center"/>
        </w:trPr>
        <w:tc>
          <w:tcPr>
            <w:tcW w:w="0" w:type="auto"/>
            <w:vAlign w:val="center"/>
            <w:hideMark/>
          </w:tcPr>
          <w:p w14:paraId="40EF4F09" w14:textId="77777777" w:rsidR="0083132E" w:rsidRPr="0083132E" w:rsidRDefault="0083132E" w:rsidP="0083132E">
            <w:pPr>
              <w:spacing w:after="0" w:line="240" w:lineRule="auto"/>
              <w:rPr>
                <w:rFonts w:ascii="Times New Roman" w:eastAsia="Times New Roman" w:hAnsi="Times New Roman" w:cs="Times New Roman"/>
                <w:sz w:val="24"/>
                <w:szCs w:val="24"/>
                <w:lang w:eastAsia="es-MX"/>
              </w:rPr>
            </w:pPr>
            <w:r w:rsidRPr="0083132E">
              <w:rPr>
                <w:rFonts w:ascii="Verdana" w:eastAsia="Times New Roman" w:hAnsi="Verdana" w:cs="Times New Roman"/>
                <w:sz w:val="18"/>
                <w:szCs w:val="18"/>
                <w:lang w:eastAsia="es-MX"/>
              </w:rPr>
              <w:t>MTRA. LORENA NAVARRETE CASTAÑEDA</w:t>
            </w:r>
          </w:p>
        </w:tc>
      </w:tr>
    </w:tbl>
    <w:p w14:paraId="25DB2825" w14:textId="77777777" w:rsidR="00A106AA" w:rsidRPr="009D4091" w:rsidRDefault="00A106AA" w:rsidP="00A106AA">
      <w:pPr>
        <w:pStyle w:val="Sinespaciado"/>
        <w:ind w:left="567" w:right="567"/>
        <w:jc w:val="both"/>
        <w:rPr>
          <w:rFonts w:ascii="Palatino Linotype" w:hAnsi="Palatino Linotype"/>
          <w:i/>
          <w:sz w:val="22"/>
          <w:szCs w:val="22"/>
        </w:rPr>
      </w:pPr>
    </w:p>
    <w:p w14:paraId="639FEAA8" w14:textId="77777777" w:rsidR="00AA24E1" w:rsidRDefault="0083132E"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drawing>
          <wp:inline distT="0" distB="0" distL="0" distR="0" wp14:anchorId="6CD6053B" wp14:editId="699394ED">
            <wp:extent cx="3916908" cy="503121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009" cy="5035198"/>
                    </a:xfrm>
                    <a:prstGeom prst="rect">
                      <a:avLst/>
                    </a:prstGeom>
                    <a:noFill/>
                    <a:ln>
                      <a:noFill/>
                    </a:ln>
                  </pic:spPr>
                </pic:pic>
              </a:graphicData>
            </a:graphic>
          </wp:inline>
        </w:drawing>
      </w:r>
    </w:p>
    <w:p w14:paraId="08FA195C" w14:textId="77777777" w:rsidR="0083132E" w:rsidRDefault="0083132E"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lastRenderedPageBreak/>
        <w:drawing>
          <wp:inline distT="0" distB="0" distL="0" distR="0" wp14:anchorId="5DC548E6" wp14:editId="748A829B">
            <wp:extent cx="4981432" cy="6157866"/>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8538" cy="6166650"/>
                    </a:xfrm>
                    <a:prstGeom prst="rect">
                      <a:avLst/>
                    </a:prstGeom>
                    <a:noFill/>
                    <a:ln>
                      <a:noFill/>
                    </a:ln>
                  </pic:spPr>
                </pic:pic>
              </a:graphicData>
            </a:graphic>
          </wp:inline>
        </w:drawing>
      </w:r>
    </w:p>
    <w:p w14:paraId="7DAB883A" w14:textId="77777777" w:rsidR="0083132E" w:rsidRDefault="0083132E"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lastRenderedPageBreak/>
        <w:drawing>
          <wp:inline distT="0" distB="0" distL="0" distR="0" wp14:anchorId="00C17976" wp14:editId="195D4ECE">
            <wp:extent cx="5542288" cy="6851176"/>
            <wp:effectExtent l="0" t="0" r="1270"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6286" cy="6856118"/>
                    </a:xfrm>
                    <a:prstGeom prst="rect">
                      <a:avLst/>
                    </a:prstGeom>
                    <a:noFill/>
                    <a:ln>
                      <a:noFill/>
                    </a:ln>
                  </pic:spPr>
                </pic:pic>
              </a:graphicData>
            </a:graphic>
          </wp:inline>
        </w:drawing>
      </w:r>
    </w:p>
    <w:p w14:paraId="389626E9" w14:textId="77777777" w:rsidR="0083132E" w:rsidRDefault="0083132E"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lastRenderedPageBreak/>
        <w:drawing>
          <wp:inline distT="0" distB="0" distL="0" distR="0" wp14:anchorId="2BA4EB63" wp14:editId="70E6FCEE">
            <wp:extent cx="5393617" cy="6728346"/>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98173" cy="6734030"/>
                    </a:xfrm>
                    <a:prstGeom prst="rect">
                      <a:avLst/>
                    </a:prstGeom>
                    <a:noFill/>
                    <a:ln>
                      <a:noFill/>
                    </a:ln>
                  </pic:spPr>
                </pic:pic>
              </a:graphicData>
            </a:graphic>
          </wp:inline>
        </w:drawing>
      </w:r>
    </w:p>
    <w:p w14:paraId="735F8CA3" w14:textId="77777777" w:rsidR="00EC7F80" w:rsidRDefault="00EC7F80"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lastRenderedPageBreak/>
        <w:drawing>
          <wp:inline distT="0" distB="0" distL="0" distR="0" wp14:anchorId="6882355A" wp14:editId="66459BBA">
            <wp:extent cx="5135624" cy="6523630"/>
            <wp:effectExtent l="0" t="0" r="825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9588" cy="6528666"/>
                    </a:xfrm>
                    <a:prstGeom prst="rect">
                      <a:avLst/>
                    </a:prstGeom>
                    <a:noFill/>
                    <a:ln>
                      <a:noFill/>
                    </a:ln>
                  </pic:spPr>
                </pic:pic>
              </a:graphicData>
            </a:graphic>
          </wp:inline>
        </w:drawing>
      </w:r>
    </w:p>
    <w:p w14:paraId="33A33ACF" w14:textId="77777777" w:rsidR="00EC7F80" w:rsidRPr="009D4091" w:rsidRDefault="00EC7F80" w:rsidP="0083132E">
      <w:pPr>
        <w:pStyle w:val="Sinespaciado"/>
        <w:ind w:right="567"/>
        <w:jc w:val="center"/>
        <w:rPr>
          <w:rFonts w:ascii="Palatino Linotype" w:hAnsi="Palatino Linotype"/>
          <w:i/>
          <w:sz w:val="22"/>
          <w:szCs w:val="22"/>
        </w:rPr>
      </w:pPr>
      <w:r>
        <w:rPr>
          <w:rFonts w:ascii="Palatino Linotype" w:hAnsi="Palatino Linotype"/>
          <w:i/>
          <w:noProof/>
          <w:sz w:val="22"/>
          <w:szCs w:val="22"/>
          <w:lang w:eastAsia="es-MX"/>
        </w:rPr>
        <w:lastRenderedPageBreak/>
        <w:drawing>
          <wp:inline distT="0" distB="0" distL="0" distR="0" wp14:anchorId="17742D34" wp14:editId="5EF6D651">
            <wp:extent cx="4676775" cy="578167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6775" cy="5781675"/>
                    </a:xfrm>
                    <a:prstGeom prst="rect">
                      <a:avLst/>
                    </a:prstGeom>
                    <a:noFill/>
                    <a:ln>
                      <a:noFill/>
                    </a:ln>
                  </pic:spPr>
                </pic:pic>
              </a:graphicData>
            </a:graphic>
          </wp:inline>
        </w:drawing>
      </w:r>
    </w:p>
    <w:p w14:paraId="1813D8C4" w14:textId="77777777" w:rsidR="00A106AA" w:rsidRPr="009D4091" w:rsidRDefault="00A106AA" w:rsidP="00AA24E1">
      <w:pPr>
        <w:pStyle w:val="Sinespaciado"/>
        <w:spacing w:line="276" w:lineRule="auto"/>
        <w:ind w:right="567"/>
        <w:jc w:val="both"/>
        <w:rPr>
          <w:rFonts w:ascii="Palatino Linotype" w:hAnsi="Palatino Linotype"/>
          <w:szCs w:val="22"/>
        </w:rPr>
      </w:pPr>
    </w:p>
    <w:p w14:paraId="4C6F8835" w14:textId="77777777" w:rsidR="00AA24E1" w:rsidRPr="009D4091" w:rsidRDefault="00AA24E1" w:rsidP="00AA24E1">
      <w:pPr>
        <w:pStyle w:val="Sinespaciado"/>
        <w:spacing w:line="276" w:lineRule="auto"/>
        <w:ind w:right="567"/>
        <w:jc w:val="both"/>
        <w:rPr>
          <w:rFonts w:ascii="Palatino Linotype" w:hAnsi="Palatino Linotype"/>
          <w:szCs w:val="22"/>
        </w:rPr>
      </w:pPr>
      <w:r w:rsidRPr="009D4091">
        <w:rPr>
          <w:rFonts w:ascii="Palatino Linotype" w:hAnsi="Palatino Linotype"/>
          <w:b/>
          <w:sz w:val="28"/>
          <w:szCs w:val="26"/>
        </w:rPr>
        <w:t>TECERO. Del recurso de revisión.</w:t>
      </w:r>
    </w:p>
    <w:p w14:paraId="6DC92B26"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No conforme con la respuesta otorgada por parte del </w:t>
      </w:r>
      <w:r w:rsidRPr="009D4091">
        <w:rPr>
          <w:rFonts w:ascii="Palatino Linotype" w:hAnsi="Palatino Linotype"/>
          <w:b/>
        </w:rPr>
        <w:t>Sujeto Obligado</w:t>
      </w:r>
      <w:r w:rsidRPr="009D4091">
        <w:rPr>
          <w:rFonts w:ascii="Palatino Linotype" w:hAnsi="Palatino Linotype"/>
        </w:rPr>
        <w:t xml:space="preserve">, en fecha </w:t>
      </w:r>
      <w:r w:rsidR="00EC7F80">
        <w:rPr>
          <w:rFonts w:ascii="Palatino Linotype" w:hAnsi="Palatino Linotype"/>
        </w:rPr>
        <w:t>veintiséis de agosto</w:t>
      </w:r>
      <w:r w:rsidRPr="009D4091">
        <w:rPr>
          <w:rFonts w:ascii="Palatino Linotype" w:hAnsi="Palatino Linotype"/>
        </w:rPr>
        <w:t xml:space="preserve"> de dos mil veinte, el </w:t>
      </w:r>
      <w:r w:rsidRPr="009D4091">
        <w:rPr>
          <w:rFonts w:ascii="Palatino Linotype" w:hAnsi="Palatino Linotype"/>
          <w:b/>
        </w:rPr>
        <w:t>Recurrente</w:t>
      </w:r>
      <w:r w:rsidRPr="009D4091">
        <w:rPr>
          <w:rFonts w:ascii="Palatino Linotype" w:hAnsi="Palatino Linotype"/>
        </w:rPr>
        <w:t xml:space="preserve"> interpuso el recurso de revisión, el cual fue registrado</w:t>
      </w:r>
      <w:r w:rsidRPr="009D4091">
        <w:rPr>
          <w:rFonts w:ascii="Palatino Linotype" w:hAnsi="Palatino Linotype"/>
          <w:b/>
        </w:rPr>
        <w:t xml:space="preserve"> </w:t>
      </w:r>
      <w:r w:rsidRPr="009D4091">
        <w:rPr>
          <w:rFonts w:ascii="Palatino Linotype" w:hAnsi="Palatino Linotype"/>
        </w:rPr>
        <w:t xml:space="preserve">en el </w:t>
      </w:r>
      <w:r w:rsidRPr="009D4091">
        <w:rPr>
          <w:rFonts w:ascii="Palatino Linotype" w:hAnsi="Palatino Linotype"/>
          <w:b/>
        </w:rPr>
        <w:t>SAIMEX</w:t>
      </w:r>
      <w:r w:rsidRPr="009D4091">
        <w:rPr>
          <w:rFonts w:ascii="Palatino Linotype" w:hAnsi="Palatino Linotype"/>
        </w:rPr>
        <w:t xml:space="preserve"> con el expediente número </w:t>
      </w:r>
      <w:r w:rsidR="00EC7F80">
        <w:rPr>
          <w:rFonts w:ascii="Palatino Linotype" w:hAnsi="Palatino Linotype"/>
          <w:b/>
        </w:rPr>
        <w:t>03445</w:t>
      </w:r>
      <w:r w:rsidRPr="009D4091">
        <w:rPr>
          <w:rFonts w:ascii="Palatino Linotype" w:hAnsi="Palatino Linotype"/>
          <w:b/>
        </w:rPr>
        <w:t>/INFOEM/IP/RR/2020</w:t>
      </w:r>
      <w:r w:rsidRPr="009D4091">
        <w:rPr>
          <w:rFonts w:ascii="Palatino Linotype" w:hAnsi="Palatino Linotype"/>
        </w:rPr>
        <w:t>, manifestando lo siguiente:</w:t>
      </w:r>
    </w:p>
    <w:p w14:paraId="59893F19" w14:textId="77777777" w:rsidR="00AA24E1" w:rsidRPr="009D4091" w:rsidRDefault="00AA24E1" w:rsidP="00AA24E1">
      <w:pPr>
        <w:pStyle w:val="Ttulo1"/>
      </w:pPr>
    </w:p>
    <w:p w14:paraId="01468A50" w14:textId="77777777" w:rsidR="00AA24E1" w:rsidRPr="009D4091" w:rsidRDefault="00AA24E1" w:rsidP="00AA24E1">
      <w:pPr>
        <w:pStyle w:val="Sinespaciado"/>
        <w:numPr>
          <w:ilvl w:val="0"/>
          <w:numId w:val="1"/>
        </w:numPr>
        <w:jc w:val="both"/>
        <w:rPr>
          <w:rFonts w:ascii="Palatino Linotype" w:hAnsi="Palatino Linotype"/>
          <w:b/>
        </w:rPr>
      </w:pPr>
      <w:r w:rsidRPr="009D4091">
        <w:rPr>
          <w:rFonts w:ascii="Palatino Linotype" w:hAnsi="Palatino Linotype"/>
          <w:b/>
        </w:rPr>
        <w:t>Acto Impugnado:</w:t>
      </w:r>
    </w:p>
    <w:p w14:paraId="0A34C594" w14:textId="77777777"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EC7F80" w:rsidRPr="00EC7F80">
        <w:rPr>
          <w:rFonts w:ascii="Palatino Linotype" w:hAnsi="Palatino Linotype"/>
          <w:i/>
          <w:sz w:val="22"/>
          <w:szCs w:val="22"/>
        </w:rPr>
        <w:t xml:space="preserve">No me explique adecuadamente en mi solicitud de información </w:t>
      </w:r>
      <w:r w:rsidRPr="009D4091">
        <w:rPr>
          <w:rFonts w:ascii="Palatino Linotype" w:hAnsi="Palatino Linotype"/>
          <w:i/>
          <w:sz w:val="22"/>
          <w:szCs w:val="22"/>
        </w:rPr>
        <w:t>" (Sic)</w:t>
      </w:r>
    </w:p>
    <w:p w14:paraId="258C802E" w14:textId="77777777" w:rsidR="00AA24E1" w:rsidRPr="009D4091" w:rsidRDefault="00AA24E1" w:rsidP="00AA24E1">
      <w:pPr>
        <w:pStyle w:val="Sinespaciado"/>
        <w:ind w:left="567" w:right="567"/>
        <w:jc w:val="both"/>
        <w:rPr>
          <w:rFonts w:ascii="Palatino Linotype" w:hAnsi="Palatino Linotype"/>
          <w:i/>
          <w:szCs w:val="22"/>
        </w:rPr>
      </w:pPr>
    </w:p>
    <w:p w14:paraId="1A1E39A5" w14:textId="77777777" w:rsidR="00AA24E1" w:rsidRPr="009D4091" w:rsidRDefault="00AA24E1" w:rsidP="00AA24E1">
      <w:pPr>
        <w:pStyle w:val="Sinespaciado"/>
        <w:numPr>
          <w:ilvl w:val="0"/>
          <w:numId w:val="1"/>
        </w:numPr>
        <w:jc w:val="both"/>
        <w:rPr>
          <w:rFonts w:ascii="Palatino Linotype" w:hAnsi="Palatino Linotype"/>
          <w:b/>
        </w:rPr>
      </w:pPr>
      <w:r w:rsidRPr="009D4091">
        <w:rPr>
          <w:rFonts w:ascii="Palatino Linotype" w:hAnsi="Palatino Linotype"/>
          <w:b/>
        </w:rPr>
        <w:t xml:space="preserve">Razones o Motivos de Inconformidad: </w:t>
      </w:r>
    </w:p>
    <w:p w14:paraId="1496315E" w14:textId="77777777" w:rsidR="00AA24E1" w:rsidRPr="009D4091" w:rsidRDefault="00AA24E1" w:rsidP="00AA24E1">
      <w:pPr>
        <w:pStyle w:val="Sinespaciado"/>
        <w:ind w:left="567" w:right="567"/>
        <w:jc w:val="both"/>
        <w:rPr>
          <w:rFonts w:ascii="Palatino Linotype" w:hAnsi="Palatino Linotype"/>
          <w:i/>
          <w:sz w:val="22"/>
          <w:szCs w:val="22"/>
        </w:rPr>
      </w:pPr>
      <w:r w:rsidRPr="009D4091">
        <w:rPr>
          <w:rFonts w:ascii="Palatino Linotype" w:hAnsi="Palatino Linotype"/>
          <w:i/>
          <w:sz w:val="22"/>
          <w:szCs w:val="22"/>
        </w:rPr>
        <w:t>“</w:t>
      </w:r>
      <w:r w:rsidR="00EC7F80" w:rsidRPr="00EC7F80">
        <w:rPr>
          <w:rFonts w:ascii="Palatino Linotype" w:hAnsi="Palatino Linotype"/>
          <w:i/>
          <w:sz w:val="22"/>
          <w:szCs w:val="22"/>
        </w:rPr>
        <w:t xml:space="preserve">Solicito que se me proporcione las medidas en el sector educación que se han realizado por parte del municipio de </w:t>
      </w:r>
      <w:proofErr w:type="spellStart"/>
      <w:r w:rsidR="00EC7F80" w:rsidRPr="00EC7F80">
        <w:rPr>
          <w:rFonts w:ascii="Palatino Linotype" w:hAnsi="Palatino Linotype"/>
          <w:i/>
          <w:sz w:val="22"/>
          <w:szCs w:val="22"/>
        </w:rPr>
        <w:t>toluca</w:t>
      </w:r>
      <w:proofErr w:type="spellEnd"/>
      <w:r w:rsidRPr="009D4091">
        <w:rPr>
          <w:rFonts w:ascii="Palatino Linotype" w:hAnsi="Palatino Linotype"/>
          <w:i/>
          <w:sz w:val="22"/>
          <w:szCs w:val="22"/>
        </w:rPr>
        <w:t>” (Sic)</w:t>
      </w:r>
    </w:p>
    <w:p w14:paraId="60F0AABE" w14:textId="77777777" w:rsidR="00AA24E1" w:rsidRPr="009D4091" w:rsidRDefault="00AA24E1" w:rsidP="00AA24E1">
      <w:pPr>
        <w:rPr>
          <w:sz w:val="24"/>
        </w:rPr>
      </w:pPr>
    </w:p>
    <w:p w14:paraId="0BD31714"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CUARTO. Del turno del recurso de revisión.</w:t>
      </w:r>
    </w:p>
    <w:p w14:paraId="3C29002E"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El medio de impugnación le fue turnado a la Comisionada Zulema Martínez Sánchez, en términos del numeral 185, fracción I, de la Ley de Transparencia y Acceso a la Información Pública del Estado de México y Municipios, el cual, en fecha </w:t>
      </w:r>
      <w:r w:rsidR="00240D52">
        <w:rPr>
          <w:rFonts w:ascii="Palatino Linotype" w:hAnsi="Palatino Linotype"/>
        </w:rPr>
        <w:t>veintiocho de septiembre</w:t>
      </w:r>
      <w:r w:rsidRPr="009D4091">
        <w:rPr>
          <w:rFonts w:ascii="Palatino Linotype" w:hAnsi="Palatino Linotype"/>
        </w:rPr>
        <w:t xml:space="preserve"> de dos mil veinte,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0BF8BB1B" w14:textId="77777777" w:rsidR="00AA24E1" w:rsidRPr="009D4091" w:rsidRDefault="00AA24E1" w:rsidP="00AA24E1">
      <w:pPr>
        <w:pStyle w:val="Sinespaciado"/>
      </w:pPr>
    </w:p>
    <w:p w14:paraId="602EBED8" w14:textId="77777777" w:rsidR="00AA24E1" w:rsidRPr="009D4091" w:rsidRDefault="00AA24E1" w:rsidP="00AA24E1">
      <w:pPr>
        <w:pStyle w:val="Sinespaciado"/>
      </w:pPr>
    </w:p>
    <w:p w14:paraId="7C5C3B9B"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SEXTO. De la etapa de instrucción.</w:t>
      </w:r>
    </w:p>
    <w:p w14:paraId="7967B306" w14:textId="77777777" w:rsidR="00AA24E1" w:rsidRPr="009D4091" w:rsidRDefault="00AA24E1" w:rsidP="00AA24E1">
      <w:pPr>
        <w:spacing w:after="0" w:line="360" w:lineRule="auto"/>
        <w:jc w:val="both"/>
        <w:rPr>
          <w:rFonts w:ascii="Palatino Linotype" w:hAnsi="Palatino Linotype" w:cs="Arial"/>
          <w:sz w:val="24"/>
          <w:szCs w:val="24"/>
        </w:rPr>
      </w:pPr>
      <w:r w:rsidRPr="009D4091">
        <w:rPr>
          <w:rFonts w:ascii="Palatino Linotype" w:hAnsi="Palatino Linotype" w:cs="Arial"/>
          <w:sz w:val="24"/>
          <w:szCs w:val="24"/>
        </w:rPr>
        <w:t xml:space="preserve">Así, en la etapa de instrucción, se desprende que </w:t>
      </w:r>
      <w:r w:rsidRPr="009D4091">
        <w:rPr>
          <w:rFonts w:ascii="Palatino Linotype" w:hAnsi="Palatino Linotype" w:cs="Arial"/>
          <w:b/>
          <w:sz w:val="24"/>
          <w:szCs w:val="24"/>
        </w:rPr>
        <w:t>El Sujeto Obligado</w:t>
      </w:r>
      <w:r w:rsidRPr="009D4091">
        <w:rPr>
          <w:rFonts w:ascii="Palatino Linotype" w:hAnsi="Palatino Linotype" w:cs="Arial"/>
          <w:sz w:val="24"/>
          <w:szCs w:val="24"/>
        </w:rPr>
        <w:t xml:space="preserve"> en fecha </w:t>
      </w:r>
      <w:r w:rsidR="00240D52">
        <w:rPr>
          <w:rFonts w:ascii="Palatino Linotype" w:hAnsi="Palatino Linotype" w:cs="Arial"/>
          <w:sz w:val="24"/>
          <w:szCs w:val="24"/>
        </w:rPr>
        <w:t>diez</w:t>
      </w:r>
      <w:r w:rsidRPr="009D4091">
        <w:rPr>
          <w:rFonts w:ascii="Palatino Linotype" w:hAnsi="Palatino Linotype" w:cs="Arial"/>
          <w:sz w:val="24"/>
          <w:szCs w:val="24"/>
        </w:rPr>
        <w:t xml:space="preserve"> de septiembre del año en curso, remitió el respectivo informe justificado, mediante </w:t>
      </w:r>
      <w:r w:rsidR="00AB231C" w:rsidRPr="009D4091">
        <w:rPr>
          <w:rFonts w:ascii="Palatino Linotype" w:hAnsi="Palatino Linotype" w:cs="Arial"/>
          <w:sz w:val="24"/>
          <w:szCs w:val="24"/>
        </w:rPr>
        <w:t>tres archivos electrónicos</w:t>
      </w:r>
      <w:r w:rsidRPr="009D4091">
        <w:rPr>
          <w:rFonts w:ascii="Palatino Linotype" w:hAnsi="Palatino Linotype" w:cs="Arial"/>
          <w:sz w:val="24"/>
          <w:szCs w:val="24"/>
        </w:rPr>
        <w:t xml:space="preserve">; asimismo, se advierte que </w:t>
      </w:r>
      <w:r w:rsidRPr="009D4091">
        <w:rPr>
          <w:rFonts w:ascii="Palatino Linotype" w:hAnsi="Palatino Linotype" w:cs="Arial"/>
          <w:b/>
          <w:sz w:val="24"/>
          <w:szCs w:val="24"/>
        </w:rPr>
        <w:t>El Recurrente</w:t>
      </w:r>
      <w:r w:rsidRPr="009D4091">
        <w:rPr>
          <w:rFonts w:ascii="Palatino Linotype" w:hAnsi="Palatino Linotype" w:cs="Arial"/>
          <w:sz w:val="24"/>
          <w:szCs w:val="24"/>
        </w:rPr>
        <w:t xml:space="preserve">, no rindió alegatos, pruebas o manifestaciones; de igual modo se aprecia del expediente electrónico en estudio que obra en el sistema </w:t>
      </w:r>
      <w:r w:rsidRPr="009D4091">
        <w:rPr>
          <w:rFonts w:ascii="Palatino Linotype" w:hAnsi="Palatino Linotype" w:cs="Arial"/>
          <w:b/>
          <w:sz w:val="24"/>
          <w:szCs w:val="24"/>
        </w:rPr>
        <w:t>SAIMEX</w:t>
      </w:r>
      <w:r w:rsidRPr="009D4091">
        <w:rPr>
          <w:rFonts w:ascii="Palatino Linotype" w:hAnsi="Palatino Linotype" w:cs="Arial"/>
          <w:sz w:val="24"/>
          <w:szCs w:val="24"/>
        </w:rPr>
        <w:t>, que no se llevaron a acabo a</w:t>
      </w:r>
      <w:r w:rsidR="00240D52">
        <w:rPr>
          <w:rFonts w:ascii="Palatino Linotype" w:hAnsi="Palatino Linotype" w:cs="Arial"/>
          <w:sz w:val="24"/>
          <w:szCs w:val="24"/>
        </w:rPr>
        <w:t>udiencias ni diligencia alguna.</w:t>
      </w:r>
    </w:p>
    <w:p w14:paraId="1A4BE7FD" w14:textId="77777777" w:rsidR="00AA24E1" w:rsidRPr="009D4091" w:rsidRDefault="00AA24E1" w:rsidP="00AA24E1"/>
    <w:p w14:paraId="6D0FA3A8"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lastRenderedPageBreak/>
        <w:t>SEXTO. Del cierre de instrucción.</w:t>
      </w:r>
    </w:p>
    <w:p w14:paraId="0C066091"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 xml:space="preserve">Así, en fecha </w:t>
      </w:r>
      <w:r w:rsidR="00240D52">
        <w:rPr>
          <w:rFonts w:ascii="Palatino Linotype" w:hAnsi="Palatino Linotype"/>
        </w:rPr>
        <w:t>cuatro de noviembre</w:t>
      </w:r>
      <w:r w:rsidRPr="009D4091">
        <w:rPr>
          <w:rFonts w:ascii="Palatino Linotype" w:hAnsi="Palatino Linotype"/>
        </w:rPr>
        <w:t xml:space="preserve"> de dos mil veinte, mediante acuerdo de la Comisionada Zulema Martínez Sánchez, y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6BB349F4" w14:textId="77777777" w:rsidR="00AB231C" w:rsidRPr="009D4091" w:rsidRDefault="00AB231C" w:rsidP="00AA24E1">
      <w:pPr>
        <w:pStyle w:val="Sinespaciado"/>
        <w:spacing w:line="360" w:lineRule="auto"/>
        <w:jc w:val="both"/>
        <w:rPr>
          <w:rFonts w:ascii="Palatino Linotype" w:hAnsi="Palatino Linotype"/>
        </w:rPr>
      </w:pPr>
    </w:p>
    <w:p w14:paraId="58290715" w14:textId="77777777" w:rsidR="00AA24E1" w:rsidRPr="009D4091" w:rsidRDefault="00AA24E1" w:rsidP="00AA24E1">
      <w:pPr>
        <w:pStyle w:val="Sinespaciado"/>
        <w:spacing w:line="360" w:lineRule="auto"/>
        <w:jc w:val="center"/>
        <w:rPr>
          <w:rFonts w:ascii="Palatino Linotype" w:hAnsi="Palatino Linotype"/>
          <w:b/>
          <w:sz w:val="28"/>
          <w:szCs w:val="28"/>
        </w:rPr>
      </w:pPr>
      <w:r w:rsidRPr="009D4091">
        <w:rPr>
          <w:rFonts w:ascii="Palatino Linotype" w:hAnsi="Palatino Linotype"/>
          <w:b/>
          <w:sz w:val="28"/>
          <w:szCs w:val="28"/>
        </w:rPr>
        <w:t>C O N S I D E R A N D O</w:t>
      </w:r>
    </w:p>
    <w:p w14:paraId="39018AC5" w14:textId="77777777" w:rsidR="00AA24E1" w:rsidRPr="009D4091" w:rsidRDefault="00AA24E1" w:rsidP="00AA24E1">
      <w:pPr>
        <w:pStyle w:val="Sinespaciado"/>
        <w:spacing w:line="360" w:lineRule="auto"/>
        <w:jc w:val="both"/>
        <w:rPr>
          <w:rFonts w:ascii="Palatino Linotype" w:hAnsi="Palatino Linotype"/>
          <w:sz w:val="20"/>
        </w:rPr>
      </w:pPr>
    </w:p>
    <w:p w14:paraId="0B356EC0"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PRIMERO. De la competencia.</w:t>
      </w:r>
    </w:p>
    <w:p w14:paraId="1BE684A8"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757BF0C1" w14:textId="77777777" w:rsidR="00AA24E1" w:rsidRPr="009D4091" w:rsidRDefault="00AA24E1" w:rsidP="00AA24E1">
      <w:pPr>
        <w:pStyle w:val="Sinespaciado"/>
        <w:spacing w:line="360" w:lineRule="auto"/>
        <w:jc w:val="both"/>
        <w:rPr>
          <w:rFonts w:ascii="Palatino Linotype" w:hAnsi="Palatino Linotype"/>
        </w:rPr>
      </w:pPr>
    </w:p>
    <w:p w14:paraId="2ED00025" w14:textId="77777777" w:rsidR="00AA24E1" w:rsidRPr="009D4091" w:rsidRDefault="00AA24E1" w:rsidP="00AA24E1">
      <w:pPr>
        <w:pStyle w:val="Sinespaciado"/>
        <w:spacing w:line="360" w:lineRule="auto"/>
        <w:jc w:val="both"/>
        <w:rPr>
          <w:rFonts w:ascii="Palatino Linotype" w:hAnsi="Palatino Linotype"/>
          <w:b/>
          <w:sz w:val="28"/>
          <w:szCs w:val="26"/>
        </w:rPr>
      </w:pPr>
      <w:r w:rsidRPr="009D4091">
        <w:rPr>
          <w:rFonts w:ascii="Palatino Linotype" w:hAnsi="Palatino Linotype"/>
          <w:b/>
          <w:sz w:val="28"/>
          <w:szCs w:val="26"/>
        </w:rPr>
        <w:t xml:space="preserve">SEGUNDO. Sobre los alcances del recurso de revisión. </w:t>
      </w:r>
    </w:p>
    <w:p w14:paraId="7CA251CC"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A28EE73" w14:textId="77777777" w:rsidR="00AA24E1" w:rsidRPr="009D4091" w:rsidRDefault="00AA24E1" w:rsidP="00AA24E1">
      <w:pPr>
        <w:pStyle w:val="Sinespaciado"/>
        <w:spacing w:line="360" w:lineRule="auto"/>
        <w:jc w:val="both"/>
        <w:rPr>
          <w:rFonts w:ascii="Palatino Linotype" w:hAnsi="Palatino Linotype"/>
        </w:rPr>
      </w:pPr>
    </w:p>
    <w:p w14:paraId="0F50AEFC"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b/>
          <w:sz w:val="28"/>
          <w:szCs w:val="26"/>
        </w:rPr>
        <w:t>TERCERO. De las causas de improcedencia.</w:t>
      </w:r>
    </w:p>
    <w:p w14:paraId="2555C11B"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5DDEE31" w14:textId="77777777" w:rsidR="00AA24E1" w:rsidRPr="009D4091" w:rsidRDefault="00AA24E1" w:rsidP="00AA24E1">
      <w:pPr>
        <w:pStyle w:val="Sinespaciado"/>
        <w:spacing w:line="360" w:lineRule="auto"/>
        <w:jc w:val="both"/>
        <w:rPr>
          <w:rFonts w:ascii="Palatino Linotype" w:hAnsi="Palatino Linotype"/>
        </w:rPr>
      </w:pPr>
    </w:p>
    <w:p w14:paraId="0E07AF49"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D4091">
        <w:rPr>
          <w:rStyle w:val="Refdenotaalpie"/>
          <w:rFonts w:ascii="Palatino Linotype" w:hAnsi="Palatino Linotype" w:cs="Arial"/>
        </w:rPr>
        <w:footnoteReference w:id="1"/>
      </w:r>
      <w:r w:rsidRPr="009D4091">
        <w:rPr>
          <w:rFonts w:ascii="Palatino Linotype" w:hAnsi="Palatino Linotype"/>
        </w:rPr>
        <w:t xml:space="preserve">, la cual permite </w:t>
      </w:r>
      <w:r w:rsidRPr="009D4091">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57DC430F" w14:textId="77777777" w:rsidR="00AA24E1" w:rsidRPr="009D4091" w:rsidRDefault="00AA24E1" w:rsidP="00AA24E1">
      <w:pPr>
        <w:pStyle w:val="Sinespaciado"/>
        <w:spacing w:line="360" w:lineRule="auto"/>
        <w:jc w:val="both"/>
        <w:rPr>
          <w:rFonts w:ascii="Palatino Linotype" w:hAnsi="Palatino Linotype"/>
        </w:rPr>
      </w:pPr>
    </w:p>
    <w:p w14:paraId="3805717D" w14:textId="77777777" w:rsidR="00AA24E1" w:rsidRPr="009D4091" w:rsidRDefault="00AA24E1" w:rsidP="00AA24E1">
      <w:pPr>
        <w:pStyle w:val="Sinespaciado"/>
        <w:spacing w:line="360" w:lineRule="auto"/>
        <w:jc w:val="both"/>
        <w:rPr>
          <w:rFonts w:ascii="Palatino Linotype" w:hAnsi="Palatino Linotype"/>
        </w:rPr>
      </w:pPr>
      <w:r w:rsidRPr="009D4091">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3DF967C" w14:textId="77777777" w:rsidR="009D20B7" w:rsidRPr="008C3CD8" w:rsidRDefault="009D20B7" w:rsidP="009D20B7">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739CF739" w14:textId="77777777" w:rsidR="009D20B7" w:rsidRPr="009572B3" w:rsidRDefault="009D20B7" w:rsidP="009D20B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w:t>
      </w:r>
      <w:r w:rsidRPr="00E42C3F">
        <w:rPr>
          <w:rFonts w:ascii="Palatino Linotype" w:hAnsi="Palatino Linotype" w:cs="Arial"/>
        </w:rPr>
        <w:lastRenderedPageBreak/>
        <w:t>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67C5404A" w14:textId="77777777" w:rsidR="009D20B7" w:rsidRDefault="009D20B7" w:rsidP="009D20B7">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en primer término, es de mencionar que el hoy recurrente tuvo a bien solicitar información en el tenor siguiente:</w:t>
      </w:r>
    </w:p>
    <w:p w14:paraId="15403705" w14:textId="77777777" w:rsidR="009D20B7" w:rsidRPr="0066339D" w:rsidRDefault="009F30F8" w:rsidP="009F30F8">
      <w:pPr>
        <w:pStyle w:val="Prrafodelista"/>
        <w:numPr>
          <w:ilvl w:val="0"/>
          <w:numId w:val="11"/>
        </w:numPr>
        <w:spacing w:before="240" w:after="240" w:line="360" w:lineRule="auto"/>
        <w:jc w:val="both"/>
        <w:rPr>
          <w:rFonts w:ascii="Palatino Linotype" w:hAnsi="Palatino Linotype" w:cs="Arial"/>
          <w:color w:val="000000" w:themeColor="text1"/>
        </w:rPr>
      </w:pPr>
      <w:r w:rsidRPr="009F30F8">
        <w:rPr>
          <w:rFonts w:ascii="Palatino Linotype" w:hAnsi="Palatino Linotype" w:cs="Arial"/>
          <w:color w:val="000000" w:themeColor="text1"/>
        </w:rPr>
        <w:t>Por este conducto de acceso a la información solicito que se me proporcione los planes realizados para la educación tras la pandemia de COVID 19.</w:t>
      </w:r>
    </w:p>
    <w:p w14:paraId="5B8B7004" w14:textId="77777777" w:rsidR="009D20B7" w:rsidRPr="00A859D1" w:rsidRDefault="009D20B7" w:rsidP="009D20B7">
      <w:pPr>
        <w:spacing w:before="240" w:line="480" w:lineRule="auto"/>
        <w:jc w:val="both"/>
        <w:rPr>
          <w:rFonts w:ascii="Palatino Linotype" w:hAnsi="Palatino Linotype" w:cs="Arial"/>
          <w:sz w:val="24"/>
        </w:rPr>
      </w:pPr>
      <w:r>
        <w:rPr>
          <w:rFonts w:ascii="Palatino Linotype" w:hAnsi="Palatino Linotype" w:cs="Arial"/>
          <w:sz w:val="24"/>
        </w:rPr>
        <w:t xml:space="preserve">En ese sentido, en el expediente electrónico </w:t>
      </w:r>
      <w:proofErr w:type="spellStart"/>
      <w:r>
        <w:rPr>
          <w:rFonts w:ascii="Palatino Linotype" w:hAnsi="Palatino Linotype" w:cs="Arial"/>
          <w:sz w:val="24"/>
        </w:rPr>
        <w:t>saimex</w:t>
      </w:r>
      <w:proofErr w:type="spellEnd"/>
      <w:r>
        <w:rPr>
          <w:rFonts w:ascii="Palatino Linotype" w:hAnsi="Palatino Linotype" w:cs="Arial"/>
          <w:sz w:val="24"/>
        </w:rPr>
        <w:t xml:space="preserve"> se aprecia que el Titular de la Unidad de Transparencia dio respuesta remitiendo para tales efectos el documento: </w:t>
      </w:r>
      <w:r w:rsidRPr="00A859D1">
        <w:rPr>
          <w:rFonts w:ascii="Palatino Linotype" w:hAnsi="Palatino Linotype" w:cs="Arial"/>
          <w:b/>
          <w:sz w:val="24"/>
        </w:rPr>
        <w:t>“</w:t>
      </w:r>
      <w:r w:rsidR="009F30F8" w:rsidRPr="009F30F8">
        <w:rPr>
          <w:rFonts w:ascii="Palatino Linotype" w:hAnsi="Palatino Linotype" w:cs="Arial"/>
          <w:b/>
          <w:sz w:val="24"/>
        </w:rPr>
        <w:t>623_ INCOMPETENCIA.docx</w:t>
      </w:r>
      <w:r>
        <w:rPr>
          <w:rFonts w:ascii="Palatino Linotype" w:hAnsi="Palatino Linotype" w:cs="Arial"/>
          <w:sz w:val="24"/>
        </w:rPr>
        <w:t>”, el cual medularmente consta de</w:t>
      </w:r>
      <w:r w:rsidR="009F30F8">
        <w:rPr>
          <w:rFonts w:ascii="Palatino Linotype" w:hAnsi="Palatino Linotype" w:cs="Arial"/>
          <w:sz w:val="24"/>
        </w:rPr>
        <w:t xml:space="preserve"> documento en formato Word, con seis páginas en las cuales en lo medular se refiere a que la información no se cuenta dentro de las facultades, competencias o funciones del municipio, por lo tanto las Unidades de Transparencia determinen la notoria incompetencia por parte de los Sujetos Obligados, así mismo se hace la orientación para que realice una nueva solicitud al </w:t>
      </w:r>
      <w:r w:rsidR="00C403D9">
        <w:rPr>
          <w:rFonts w:ascii="Palatino Linotype" w:hAnsi="Palatino Linotype" w:cs="Arial"/>
          <w:sz w:val="24"/>
        </w:rPr>
        <w:t>Sujeto Obligado correspondiente.</w:t>
      </w:r>
    </w:p>
    <w:p w14:paraId="0F5521F2" w14:textId="77777777" w:rsidR="009F30F8" w:rsidRDefault="009D20B7" w:rsidP="009D20B7">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9F30F8">
        <w:rPr>
          <w:rFonts w:ascii="Palatino Linotype" w:hAnsi="Palatino Linotype" w:cs="Arial"/>
          <w:sz w:val="24"/>
        </w:rPr>
        <w:t xml:space="preserve"> no se explicó correctamente en la solicitud de información, a su vez solicita que se le </w:t>
      </w:r>
      <w:r w:rsidR="009F30F8">
        <w:rPr>
          <w:rFonts w:ascii="Palatino Linotype" w:hAnsi="Palatino Linotype" w:cs="Arial"/>
          <w:sz w:val="24"/>
        </w:rPr>
        <w:lastRenderedPageBreak/>
        <w:t>proporcione las medidas en el sector salud que se han realizado por parte del municipio.</w:t>
      </w:r>
    </w:p>
    <w:p w14:paraId="5004083F" w14:textId="77777777" w:rsidR="009D20B7" w:rsidRDefault="009D20B7" w:rsidP="009D20B7">
      <w:pPr>
        <w:spacing w:before="240" w:line="360" w:lineRule="auto"/>
        <w:jc w:val="both"/>
        <w:rPr>
          <w:rFonts w:ascii="Palatino Linotype" w:hAnsi="Palatino Linotype"/>
          <w:sz w:val="24"/>
          <w:szCs w:val="24"/>
        </w:rPr>
      </w:pPr>
      <w:r>
        <w:rPr>
          <w:rFonts w:ascii="Palatino Linotype" w:hAnsi="Palatino Linotype"/>
          <w:sz w:val="24"/>
          <w:szCs w:val="24"/>
        </w:rPr>
        <w:t xml:space="preserve">Ahora bien, es necesario dejar en claro que no es necesario entrar al estudio del análisis del marco normativo del sujeto obligado para verificar si tiene la obligación de generar, administrar o poseer la información solicitada, ya que ha realizado de manifiesto tácito que </w:t>
      </w:r>
      <w:r w:rsidR="00AF45D0">
        <w:rPr>
          <w:rFonts w:ascii="Palatino Linotype" w:hAnsi="Palatino Linotype"/>
          <w:sz w:val="24"/>
          <w:szCs w:val="24"/>
        </w:rPr>
        <w:t xml:space="preserve">no </w:t>
      </w:r>
      <w:r>
        <w:rPr>
          <w:rFonts w:ascii="Palatino Linotype" w:hAnsi="Palatino Linotype"/>
          <w:sz w:val="24"/>
          <w:szCs w:val="24"/>
        </w:rPr>
        <w:t>cuenta con los requerimientos vertidos por el particular en su solicitud de información.</w:t>
      </w:r>
    </w:p>
    <w:p w14:paraId="45BD2FBB" w14:textId="77777777" w:rsidR="009D20B7" w:rsidRPr="00525565" w:rsidRDefault="009D20B7" w:rsidP="009D20B7">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05DCE06B" w14:textId="77777777" w:rsidR="009D20B7" w:rsidRPr="008A5D92" w:rsidRDefault="009D20B7" w:rsidP="009D20B7">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059A274A" w14:textId="77777777" w:rsidR="009D20B7" w:rsidRPr="008A5D92" w:rsidRDefault="009D20B7" w:rsidP="009D20B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05E20120" w14:textId="77777777" w:rsidR="009D20B7" w:rsidRPr="008A5D92" w:rsidRDefault="009D20B7" w:rsidP="009D20B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4A51E7CA" w14:textId="77777777" w:rsidR="009D20B7" w:rsidRPr="008A5D92" w:rsidRDefault="009D20B7" w:rsidP="009D20B7">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3360EF1" w14:textId="77777777" w:rsidR="009D20B7" w:rsidRPr="008A5D92" w:rsidRDefault="009D20B7" w:rsidP="009D20B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0BE8163C" w14:textId="77777777" w:rsidR="009D20B7" w:rsidRDefault="009D20B7" w:rsidP="009D20B7">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61A9B7BD" w14:textId="77777777" w:rsidR="009D20B7" w:rsidRPr="008A5D92" w:rsidRDefault="009D20B7" w:rsidP="009D20B7">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46FAB37D" w14:textId="77777777" w:rsidR="009D20B7" w:rsidRPr="008A5D92" w:rsidRDefault="009D20B7" w:rsidP="009D20B7">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AC4967B" w14:textId="77777777" w:rsidR="009D20B7" w:rsidRPr="008A5D92" w:rsidRDefault="009D20B7" w:rsidP="009D20B7">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En consecuencia el acceso a la información se refiere a que se cumplan cualquiera de los siguientes tres supuestos:</w:t>
      </w:r>
    </w:p>
    <w:p w14:paraId="02CDBEE2" w14:textId="77777777" w:rsidR="009D20B7" w:rsidRPr="008A5D92" w:rsidRDefault="009D20B7" w:rsidP="009D20B7">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2A20A18B" w14:textId="77777777" w:rsidR="009D20B7" w:rsidRPr="008A5D92" w:rsidRDefault="009D20B7" w:rsidP="009D20B7">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0E2293D" w14:textId="77777777" w:rsidR="009D20B7" w:rsidRPr="008A5D92" w:rsidRDefault="009D20B7" w:rsidP="009D20B7">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3F54EE8A" w14:textId="77777777" w:rsidR="009D20B7" w:rsidRDefault="009D20B7" w:rsidP="009D20B7">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384FF4C2" w14:textId="77777777" w:rsidR="009D20B7" w:rsidRDefault="009D20B7" w:rsidP="009D20B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entonces, el sujeto obligado ha dado cabal cumplimiento a la solicitud de información presentada por el particular, toda vez que, se pronunció al respecto, ahora bien es necesario hacer una acotación respecto de la inconformidad del hoy recurrente, ya que alude que “</w:t>
      </w:r>
      <w:r w:rsidR="001F723D" w:rsidRPr="001F723D">
        <w:rPr>
          <w:rFonts w:ascii="Palatino Linotype" w:hAnsi="Palatino Linotype"/>
          <w:sz w:val="24"/>
          <w:szCs w:val="24"/>
        </w:rPr>
        <w:t>No me explique adecuadamente en mi solicitud de información</w:t>
      </w:r>
      <w:r>
        <w:rPr>
          <w:rFonts w:ascii="Palatino Linotype" w:hAnsi="Palatino Linotype"/>
          <w:sz w:val="24"/>
          <w:szCs w:val="24"/>
        </w:rPr>
        <w:t>”, sin embargo, dicha manifestación fue solventada con la respuesta del sujeto obligado, toda vez que, hizo</w:t>
      </w:r>
      <w:r w:rsidR="00C403D9">
        <w:rPr>
          <w:rFonts w:ascii="Palatino Linotype" w:hAnsi="Palatino Linotype"/>
          <w:sz w:val="24"/>
          <w:szCs w:val="24"/>
        </w:rPr>
        <w:t xml:space="preserve"> mención que es incompetente para responder la solicitud de información,</w:t>
      </w:r>
      <w:r w:rsidR="00C403D9" w:rsidRPr="00C403D9">
        <w:rPr>
          <w:rFonts w:ascii="Palatino Linotype" w:hAnsi="Palatino Linotype" w:cs="Arial"/>
          <w:sz w:val="24"/>
        </w:rPr>
        <w:t xml:space="preserve"> </w:t>
      </w:r>
      <w:r w:rsidR="00C403D9">
        <w:rPr>
          <w:rFonts w:ascii="Palatino Linotype" w:hAnsi="Palatino Linotype" w:cs="Arial"/>
          <w:sz w:val="24"/>
        </w:rPr>
        <w:t>con lo cual medularmente consta de documento en formato Word, con seis páginas en las cuales en lo medular se refiere a que la información no se cuenta dentro de las facultades, competencias o funciones del municipio, por lo tanto las Unidades de Transparencia determinen la notoria incompetencia por parte de los Sujetos Obligados, así mismo se hace la orientación para que realice una nueva solicitud al Sujeto Obligado correspondiente</w:t>
      </w:r>
    </w:p>
    <w:p w14:paraId="6E6D7B09" w14:textId="77777777" w:rsidR="009D20B7" w:rsidRDefault="009D20B7" w:rsidP="009D20B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Asimismo, en el apartado de manifestaciones, el sujeto obligado remitió </w:t>
      </w:r>
      <w:r w:rsidR="00C403D9">
        <w:rPr>
          <w:rFonts w:ascii="Palatino Linotype" w:hAnsi="Palatino Linotype"/>
          <w:sz w:val="24"/>
          <w:szCs w:val="24"/>
        </w:rPr>
        <w:t>un</w:t>
      </w:r>
      <w:r>
        <w:rPr>
          <w:rFonts w:ascii="Palatino Linotype" w:hAnsi="Palatino Linotype"/>
          <w:sz w:val="24"/>
          <w:szCs w:val="24"/>
        </w:rPr>
        <w:t xml:space="preserve"> archivo electrónico que medularmente contiene lo siguiente:</w:t>
      </w:r>
    </w:p>
    <w:p w14:paraId="7915E9D3" w14:textId="77777777" w:rsidR="00C403D9" w:rsidRDefault="00C403D9" w:rsidP="009D20B7">
      <w:pPr>
        <w:tabs>
          <w:tab w:val="left" w:pos="709"/>
        </w:tabs>
        <w:spacing w:before="240" w:line="360" w:lineRule="auto"/>
        <w:ind w:right="51"/>
        <w:jc w:val="both"/>
        <w:rPr>
          <w:rFonts w:ascii="Palatino Linotype" w:hAnsi="Palatino Linotype"/>
          <w:sz w:val="24"/>
          <w:szCs w:val="24"/>
        </w:rPr>
      </w:pPr>
    </w:p>
    <w:p w14:paraId="58B830AC" w14:textId="61F2216E" w:rsidR="009D20B7" w:rsidRPr="00C330C1" w:rsidRDefault="009D20B7" w:rsidP="009D20B7">
      <w:pPr>
        <w:pStyle w:val="Prrafodelista"/>
        <w:numPr>
          <w:ilvl w:val="0"/>
          <w:numId w:val="13"/>
        </w:numPr>
        <w:tabs>
          <w:tab w:val="left" w:pos="709"/>
        </w:tabs>
        <w:spacing w:before="240" w:line="360" w:lineRule="auto"/>
        <w:ind w:right="51"/>
        <w:jc w:val="both"/>
        <w:rPr>
          <w:rFonts w:ascii="Palatino Linotype" w:hAnsi="Palatino Linotype"/>
        </w:rPr>
      </w:pPr>
      <w:r w:rsidRPr="0032711F">
        <w:rPr>
          <w:rFonts w:ascii="Palatino Linotype" w:hAnsi="Palatino Linotype"/>
          <w:b/>
        </w:rPr>
        <w:t>“</w:t>
      </w:r>
      <w:r w:rsidR="00C403D9" w:rsidRPr="00C403D9">
        <w:rPr>
          <w:rFonts w:ascii="Palatino Linotype" w:hAnsi="Palatino Linotype"/>
          <w:b/>
        </w:rPr>
        <w:t>RR 03445_2020.pdf</w:t>
      </w:r>
      <w:r w:rsidRPr="0032711F">
        <w:rPr>
          <w:rFonts w:ascii="Palatino Linotype" w:hAnsi="Palatino Linotype"/>
          <w:b/>
        </w:rPr>
        <w:t xml:space="preserve">”: </w:t>
      </w:r>
      <w:r w:rsidRPr="0032711F">
        <w:rPr>
          <w:rFonts w:ascii="Palatino Linotype" w:hAnsi="Palatino Linotype"/>
        </w:rPr>
        <w:t xml:space="preserve">El cual contiene </w:t>
      </w:r>
      <w:r w:rsidR="00E50773">
        <w:rPr>
          <w:rFonts w:ascii="Palatino Linotype" w:hAnsi="Palatino Linotype"/>
        </w:rPr>
        <w:t xml:space="preserve">un documento signado por la Titular de la unidad de Transparencia, la cual hace referencia a que los motivos de inconformidad presentados por el ahora recurrente pretende obtener información diversa a </w:t>
      </w:r>
      <w:r w:rsidR="00C330C1">
        <w:rPr>
          <w:rFonts w:ascii="Palatino Linotype" w:hAnsi="Palatino Linotype"/>
        </w:rPr>
        <w:t xml:space="preserve">la inicialmente requerida en la solicitud de información por lo cual no resulta procedente ampliar </w:t>
      </w:r>
      <w:r w:rsidR="007A09FA">
        <w:rPr>
          <w:rFonts w:ascii="Palatino Linotype" w:hAnsi="Palatino Linotype"/>
        </w:rPr>
        <w:t xml:space="preserve">la solicitud de información vía </w:t>
      </w:r>
      <w:r w:rsidR="00C330C1">
        <w:rPr>
          <w:rFonts w:ascii="Palatino Linotype" w:hAnsi="Palatino Linotype"/>
        </w:rPr>
        <w:t>recurso de revisión.</w:t>
      </w:r>
    </w:p>
    <w:p w14:paraId="2D301B6A" w14:textId="77777777" w:rsidR="009D20B7" w:rsidRPr="00BB6D63" w:rsidRDefault="009D20B7" w:rsidP="009D20B7">
      <w:pPr>
        <w:spacing w:line="360" w:lineRule="auto"/>
        <w:jc w:val="both"/>
        <w:rPr>
          <w:rFonts w:ascii="Palatino Linotype" w:hAnsi="Palatino Linotype"/>
          <w:color w:val="000000"/>
        </w:rPr>
      </w:pPr>
    </w:p>
    <w:p w14:paraId="29987EB0" w14:textId="19040779" w:rsidR="009D20B7" w:rsidRDefault="009D20B7" w:rsidP="009D20B7">
      <w:pPr>
        <w:spacing w:line="360" w:lineRule="auto"/>
        <w:jc w:val="both"/>
        <w:rPr>
          <w:rFonts w:ascii="Palatino Linotype" w:hAnsi="Palatino Linotype" w:cs="Arial"/>
        </w:rPr>
      </w:pPr>
      <w:r w:rsidRPr="007A09FA">
        <w:rPr>
          <w:rFonts w:ascii="Palatino Linotype" w:hAnsi="Palatino Linotype"/>
          <w:color w:val="000000"/>
        </w:rPr>
        <w:t>En tiempo y forma el Recurrente suscribió recurso de revisión en donde manifestó que “</w:t>
      </w:r>
      <w:r w:rsidR="00236445" w:rsidRPr="007A09FA">
        <w:rPr>
          <w:rFonts w:ascii="Palatino Linotype" w:hAnsi="Palatino Linotype"/>
          <w:i/>
          <w:color w:val="000000"/>
        </w:rPr>
        <w:t xml:space="preserve">Solicito que se me proporcione las medidas en el sector educación que se han realizado por parte del municipio de </w:t>
      </w:r>
      <w:proofErr w:type="spellStart"/>
      <w:r w:rsidR="00236445" w:rsidRPr="007A09FA">
        <w:rPr>
          <w:rFonts w:ascii="Palatino Linotype" w:hAnsi="Palatino Linotype"/>
          <w:i/>
          <w:color w:val="000000"/>
        </w:rPr>
        <w:t>toluca</w:t>
      </w:r>
      <w:proofErr w:type="spellEnd"/>
      <w:r w:rsidRPr="007A09FA">
        <w:rPr>
          <w:rFonts w:ascii="Palatino Linotype" w:hAnsi="Palatino Linotype"/>
          <w:i/>
        </w:rPr>
        <w:t xml:space="preserve">”, </w:t>
      </w:r>
      <w:r w:rsidRPr="007A09FA">
        <w:rPr>
          <w:rFonts w:ascii="Palatino Linotype" w:hAnsi="Palatino Linotype"/>
        </w:rPr>
        <w:t>de estas manifestaciones es claro que el solicitante, mediante recurso de revisión pretende ampliar sus requerimientos</w:t>
      </w:r>
      <w:r w:rsidRPr="007A09FA">
        <w:rPr>
          <w:rFonts w:ascii="Palatino Linotype" w:hAnsi="Palatino Linotype" w:cs="Arial"/>
        </w:rPr>
        <w:t xml:space="preserve">, inconformándose con nuevos requerimientos, respecto a lo requerido originalmente, siendo el caso que pretende ampliar lo solicitado de origen, emanando lo que en la teoría jurídica se le denomina como </w:t>
      </w:r>
      <w:r w:rsidRPr="007A09FA">
        <w:rPr>
          <w:rFonts w:ascii="Palatino Linotype" w:hAnsi="Palatino Linotype" w:cs="Arial"/>
          <w:b/>
          <w:i/>
          <w:u w:val="single"/>
        </w:rPr>
        <w:t xml:space="preserve">plus </w:t>
      </w:r>
      <w:proofErr w:type="spellStart"/>
      <w:r w:rsidRPr="007A09FA">
        <w:rPr>
          <w:rFonts w:ascii="Palatino Linotype" w:hAnsi="Palatino Linotype" w:cs="Arial"/>
          <w:b/>
          <w:i/>
          <w:u w:val="single"/>
        </w:rPr>
        <w:t>petitio</w:t>
      </w:r>
      <w:proofErr w:type="spellEnd"/>
      <w:r w:rsidRPr="007A09FA">
        <w:rPr>
          <w:rFonts w:ascii="Palatino Linotype" w:hAnsi="Palatino Linotype" w:cs="Arial"/>
        </w:rPr>
        <w:t>; por lo que, dichas razones y motivos de inconformidad son inoperantes</w:t>
      </w:r>
      <w:r w:rsidR="007A09FA">
        <w:rPr>
          <w:rFonts w:ascii="Palatino Linotype" w:hAnsi="Palatino Linotype" w:cs="Arial"/>
        </w:rPr>
        <w:t>.</w:t>
      </w:r>
    </w:p>
    <w:p w14:paraId="5A40DCDC" w14:textId="77777777" w:rsidR="009D20B7" w:rsidRPr="00377223" w:rsidRDefault="009D20B7" w:rsidP="009D20B7">
      <w:pPr>
        <w:spacing w:after="0" w:line="360" w:lineRule="auto"/>
        <w:jc w:val="both"/>
        <w:rPr>
          <w:rFonts w:ascii="Palatino Linotype" w:hAnsi="Palatino Linotype" w:cs="Arial"/>
          <w:color w:val="000000"/>
          <w:sz w:val="24"/>
          <w:szCs w:val="24"/>
        </w:rPr>
      </w:pPr>
      <w:r w:rsidRPr="00377223">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enseña:</w:t>
      </w:r>
    </w:p>
    <w:p w14:paraId="0565C33C" w14:textId="77777777" w:rsidR="009D20B7" w:rsidRPr="00377223" w:rsidRDefault="009D20B7" w:rsidP="009D20B7">
      <w:pPr>
        <w:spacing w:before="240" w:after="240"/>
        <w:ind w:left="851" w:right="901"/>
        <w:jc w:val="both"/>
        <w:rPr>
          <w:rFonts w:ascii="Palatino Linotype" w:hAnsi="Palatino Linotype" w:cs="Arial"/>
          <w:color w:val="000000"/>
        </w:rPr>
      </w:pPr>
      <w:r w:rsidRPr="00377223">
        <w:rPr>
          <w:rFonts w:ascii="Palatino Linotype" w:hAnsi="Palatino Linotype" w:cs="Arial"/>
          <w:b/>
          <w:color w:val="000000"/>
        </w:rPr>
        <w:t>"</w:t>
      </w:r>
      <w:r w:rsidRPr="00377223">
        <w:rPr>
          <w:rFonts w:ascii="Palatino Linotype" w:hAnsi="Palatino Linotype" w:cs="Arial"/>
          <w:i/>
          <w:color w:val="000000"/>
        </w:rPr>
        <w:t xml:space="preserve">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w:t>
      </w:r>
      <w:r w:rsidRPr="00377223">
        <w:rPr>
          <w:rFonts w:ascii="Palatino Linotype" w:hAnsi="Palatino Linotype" w:cs="Arial"/>
          <w:i/>
          <w:color w:val="000000"/>
        </w:rPr>
        <w:lastRenderedPageBreak/>
        <w:t>se limita al estudio integral del fallo que se combate, con vista de los motivos de inconformidad que plantean los recurrentes.</w:t>
      </w:r>
      <w:r w:rsidRPr="00377223">
        <w:rPr>
          <w:rFonts w:ascii="Palatino Linotype" w:hAnsi="Palatino Linotype" w:cs="Arial"/>
          <w:b/>
          <w:color w:val="000000"/>
        </w:rPr>
        <w:t>"</w:t>
      </w:r>
    </w:p>
    <w:p w14:paraId="2BFF8A13" w14:textId="77777777" w:rsidR="009D20B7" w:rsidRPr="00377223" w:rsidRDefault="009D20B7" w:rsidP="009D20B7">
      <w:pPr>
        <w:spacing w:after="0" w:line="360" w:lineRule="auto"/>
        <w:jc w:val="both"/>
        <w:rPr>
          <w:rFonts w:ascii="Palatino Linotype" w:eastAsia="Times New Roman" w:hAnsi="Palatino Linotype" w:cs="Times New Roman"/>
          <w:sz w:val="24"/>
          <w:szCs w:val="24"/>
          <w:lang w:eastAsia="es-MX"/>
        </w:rPr>
      </w:pPr>
    </w:p>
    <w:p w14:paraId="0560B400" w14:textId="77777777" w:rsidR="009D20B7" w:rsidRPr="004F0802" w:rsidRDefault="009D20B7" w:rsidP="009D20B7">
      <w:pPr>
        <w:spacing w:after="0" w:line="360" w:lineRule="auto"/>
        <w:jc w:val="both"/>
        <w:rPr>
          <w:rFonts w:ascii="Palatino Linotype" w:eastAsia="Times New Roman" w:hAnsi="Palatino Linotype" w:cs="Times New Roman"/>
          <w:sz w:val="24"/>
          <w:szCs w:val="24"/>
          <w:lang w:eastAsia="es-MX"/>
        </w:rPr>
      </w:pPr>
      <w:r w:rsidRPr="004F0802">
        <w:rPr>
          <w:rFonts w:ascii="Palatino Linotype" w:eastAsia="Times New Roman" w:hAnsi="Palatino Linotype" w:cs="Times New Roman"/>
          <w:sz w:val="24"/>
          <w:szCs w:val="24"/>
          <w:lang w:eastAsia="es-MX"/>
        </w:rPr>
        <w:t>Así entonces dichas manifestaciones no serán materia de estudio, no obstante se dejan a salvo los derechos del particular, si es que así lo desea, podrá suscribir una nueva solicitud de información.</w:t>
      </w:r>
    </w:p>
    <w:p w14:paraId="69E62735" w14:textId="77777777" w:rsidR="009D20B7" w:rsidRPr="004F0802" w:rsidRDefault="009D20B7" w:rsidP="009D20B7">
      <w:pPr>
        <w:spacing w:line="360" w:lineRule="auto"/>
        <w:jc w:val="both"/>
        <w:rPr>
          <w:rFonts w:ascii="Palatino Linotype" w:hAnsi="Palatino Linotype"/>
          <w:color w:val="000000"/>
          <w:sz w:val="24"/>
          <w:szCs w:val="24"/>
        </w:rPr>
      </w:pPr>
    </w:p>
    <w:p w14:paraId="3D7B19D6" w14:textId="77777777" w:rsidR="009D20B7" w:rsidRDefault="009D20B7" w:rsidP="009D20B7">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14:paraId="369AEAB4" w14:textId="77777777" w:rsidR="009D20B7" w:rsidRDefault="009D20B7" w:rsidP="009D20B7">
      <w:pPr>
        <w:spacing w:line="360" w:lineRule="auto"/>
        <w:jc w:val="both"/>
        <w:rPr>
          <w:rFonts w:ascii="Palatino Linotype" w:hAnsi="Palatino Linotype"/>
          <w:color w:val="000000"/>
          <w:sz w:val="24"/>
          <w:szCs w:val="24"/>
        </w:rPr>
      </w:pPr>
    </w:p>
    <w:p w14:paraId="702ACB90" w14:textId="77777777" w:rsidR="009D20B7" w:rsidRDefault="009D20B7" w:rsidP="009D20B7">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que la obligación de acceso a la información se tendrá por cumplida cuando el solicitante tenga a su disposición la información requerida, o cuando realice su consulta en el lugar que ésta se localice, conforme a los artículos 3, fracción XI, XII4, 12 y 24 último párrafo de la Ley de Transparencia y Acceso a la Información Pública del Estado de México y Municipios:</w:t>
      </w:r>
    </w:p>
    <w:p w14:paraId="34D03ACA" w14:textId="77777777" w:rsidR="009D20B7" w:rsidRDefault="009D20B7" w:rsidP="009D20B7">
      <w:pPr>
        <w:spacing w:line="360" w:lineRule="auto"/>
        <w:jc w:val="both"/>
        <w:rPr>
          <w:rFonts w:ascii="Palatino Linotype" w:hAnsi="Palatino Linotype"/>
          <w:color w:val="000000"/>
          <w:sz w:val="24"/>
          <w:szCs w:val="24"/>
        </w:rPr>
      </w:pPr>
    </w:p>
    <w:p w14:paraId="336C2B61"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14:paraId="57C8F377" w14:textId="77777777" w:rsidR="009D20B7" w:rsidRPr="00377223" w:rsidRDefault="009D20B7" w:rsidP="009D20B7">
      <w:pPr>
        <w:spacing w:after="0" w:line="240" w:lineRule="auto"/>
        <w:ind w:left="851" w:right="850"/>
        <w:jc w:val="both"/>
        <w:rPr>
          <w:rFonts w:ascii="Palatino Linotype" w:hAnsi="Palatino Linotype" w:cs="Arial"/>
          <w:i/>
        </w:rPr>
      </w:pPr>
      <w:r w:rsidRPr="00377223">
        <w:rPr>
          <w:rFonts w:ascii="Palatino Linotype" w:hAnsi="Palatino Linotype" w:cs="Arial"/>
          <w:i/>
        </w:rPr>
        <w:t>…</w:t>
      </w:r>
    </w:p>
    <w:p w14:paraId="53310428"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7949E6" w14:textId="77777777" w:rsidR="009D20B7" w:rsidRPr="00377223" w:rsidRDefault="009D20B7" w:rsidP="009D20B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lastRenderedPageBreak/>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3A14CE74"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14:paraId="4B410012" w14:textId="77777777" w:rsidR="009D20B7" w:rsidRPr="00377223" w:rsidRDefault="009D20B7" w:rsidP="009D20B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14:paraId="17AC9AC4"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53BA1E14"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2620CD0B"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366E86D"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DEF77BD"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14:paraId="56D154D7"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37B0AB60"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14:paraId="0FAB519A" w14:textId="77777777" w:rsidR="009D20B7" w:rsidRPr="00377223" w:rsidRDefault="009D20B7" w:rsidP="009D20B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3A663E9D" w14:textId="77777777" w:rsidR="009D20B7" w:rsidRPr="00377223" w:rsidRDefault="009D20B7" w:rsidP="009D20B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14:paraId="7F7CD350" w14:textId="77777777" w:rsidR="009D20B7" w:rsidRPr="00377223" w:rsidRDefault="009D20B7" w:rsidP="009D20B7">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2C3B2CC"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14:paraId="58AF3D5C" w14:textId="77777777" w:rsidR="009D20B7" w:rsidRPr="00377223" w:rsidRDefault="009D20B7" w:rsidP="009D20B7">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55D1D8FF" w14:textId="77777777" w:rsidR="009D20B7" w:rsidRPr="00377223" w:rsidRDefault="009D20B7" w:rsidP="009D20B7">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6E7EA206" w14:textId="77777777" w:rsidR="009D20B7" w:rsidRPr="00377223" w:rsidRDefault="009D20B7" w:rsidP="009D20B7">
      <w:pPr>
        <w:spacing w:after="0" w:line="360" w:lineRule="auto"/>
        <w:ind w:left="851" w:right="851"/>
        <w:jc w:val="both"/>
        <w:rPr>
          <w:rFonts w:ascii="Palatino Linotype" w:hAnsi="Palatino Linotype" w:cs="Arial"/>
          <w:i/>
          <w:color w:val="000000" w:themeColor="text1"/>
        </w:rPr>
      </w:pPr>
    </w:p>
    <w:p w14:paraId="0B1AB5E5" w14:textId="77777777" w:rsidR="009D20B7" w:rsidRDefault="009D20B7" w:rsidP="009D20B7">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AC0D375" w14:textId="77777777" w:rsidR="009D20B7" w:rsidRDefault="009D20B7" w:rsidP="009D20B7">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727CEAFF" w14:textId="77777777" w:rsidR="009D20B7" w:rsidRPr="00236445" w:rsidRDefault="009D20B7" w:rsidP="00236445">
      <w:pPr>
        <w:spacing w:line="360" w:lineRule="auto"/>
        <w:jc w:val="both"/>
        <w:rPr>
          <w:rFonts w:ascii="Palatino Linotype" w:hAnsi="Palatino Linotype"/>
          <w:color w:val="000000"/>
          <w:sz w:val="24"/>
          <w:szCs w:val="24"/>
        </w:rPr>
      </w:pPr>
      <w:r>
        <w:rPr>
          <w:rFonts w:ascii="Palatino Linotype" w:hAnsi="Palatino Linotype"/>
          <w:sz w:val="24"/>
          <w:szCs w:val="24"/>
        </w:rPr>
        <w:t xml:space="preserve">Por lo tanto, en consecuencia y en mérito de lo expuesto en líneas anteriores, resultan infundadas las razones o motivos de inconformidad que arguye El Recurrente en su medio de impugnación que fue materia de estudio, por ello </w:t>
      </w:r>
      <w:r>
        <w:rPr>
          <w:rFonts w:ascii="Palatino Linotype" w:hAnsi="Palatino Linotype" w:cs="Arial"/>
          <w:b/>
          <w:sz w:val="24"/>
        </w:rPr>
        <w:t xml:space="preserve">con fundamento en la fracción II del artículo 186, </w:t>
      </w:r>
      <w:r>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Pr="00F36C4A">
        <w:rPr>
          <w:rFonts w:ascii="Palatino Linotype" w:hAnsi="Palatino Linotype" w:cs="Arial"/>
          <w:b/>
          <w:sz w:val="24"/>
        </w:rPr>
        <w:t>01028/FGJ/IP/2019</w:t>
      </w:r>
      <w:r>
        <w:rPr>
          <w:rFonts w:ascii="Palatino Linotype" w:hAnsi="Palatino Linotype"/>
          <w:sz w:val="24"/>
          <w:szCs w:val="24"/>
        </w:rPr>
        <w:t>, que ha sido materia del presente fallo.</w:t>
      </w:r>
    </w:p>
    <w:p w14:paraId="3D501B05" w14:textId="77777777" w:rsidR="009D20B7" w:rsidRDefault="009D20B7" w:rsidP="009D20B7">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45295553" w14:textId="77777777" w:rsidR="009D20B7" w:rsidRDefault="009D20B7" w:rsidP="009D20B7">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5DBB2811" w14:textId="77777777" w:rsidR="009D20B7" w:rsidRDefault="009D20B7" w:rsidP="009D20B7">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Confirma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236445" w:rsidRPr="00236445">
        <w:rPr>
          <w:rFonts w:ascii="Palatino Linotype" w:hAnsi="Palatino Linotype" w:cs="Arial"/>
          <w:b/>
          <w:sz w:val="24"/>
        </w:rPr>
        <w:t>00623/TOLUCA/IP/2020</w:t>
      </w:r>
      <w:r>
        <w:rPr>
          <w:rFonts w:ascii="Palatino Linotype" w:hAnsi="Palatino Linotype"/>
          <w:i/>
          <w:lang w:val="es-ES_tradnl"/>
        </w:rPr>
        <w:t xml:space="preserve">, </w:t>
      </w:r>
      <w:r>
        <w:rPr>
          <w:rFonts w:ascii="Palatino Linotype" w:hAnsi="Palatino Linotype" w:cs="Arial"/>
          <w:sz w:val="24"/>
          <w:lang w:val="es-ES_tradnl"/>
        </w:rPr>
        <w:t>por resultar infundadas</w:t>
      </w:r>
      <w:r w:rsidRPr="001D420F">
        <w:rPr>
          <w:rFonts w:ascii="Palatino Linotype" w:hAnsi="Palatino Linotype" w:cs="Arial"/>
          <w:sz w:val="24"/>
          <w:lang w:val="es-ES_tradnl"/>
        </w:rPr>
        <w:t xml:space="preserve"> las razones o motivos </w:t>
      </w:r>
      <w:r w:rsidRPr="001D420F">
        <w:rPr>
          <w:rFonts w:ascii="Palatino Linotype" w:hAnsi="Palatino Linotype" w:cs="Arial"/>
          <w:sz w:val="24"/>
          <w:lang w:val="es-ES_tradnl"/>
        </w:rPr>
        <w:lastRenderedPageBreak/>
        <w:t xml:space="preserve">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14:paraId="6FFD08FD" w14:textId="77777777" w:rsidR="009D20B7" w:rsidRDefault="009D20B7" w:rsidP="009D20B7">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14:paraId="594EB291" w14:textId="77777777" w:rsidR="009D20B7" w:rsidRDefault="009D20B7" w:rsidP="009D20B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w:t>
      </w:r>
      <w:r w:rsidRPr="002F314A">
        <w:rPr>
          <w:rFonts w:ascii="Palatino Linotype" w:hAnsi="Palatino Linotype" w:cs="Arial"/>
          <w:sz w:val="24"/>
          <w:szCs w:val="24"/>
        </w:rPr>
        <w:t>ágase</w:t>
      </w:r>
      <w:r w:rsidRPr="00C06006">
        <w:rPr>
          <w:rFonts w:ascii="Palatino Linotype" w:hAnsi="Palatino Linotype" w:cs="Arial"/>
          <w:b/>
          <w:sz w:val="24"/>
          <w:szCs w:val="24"/>
        </w:rPr>
        <w:t xml:space="preserve"> </w:t>
      </w:r>
      <w:r>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B254ACE" w14:textId="61E9B579" w:rsidR="009D20B7" w:rsidRDefault="009D20B7" w:rsidP="009D20B7">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 JAVIER MARTÍNEZ CRUZ Y LUIS GUSTAVO PARRA NORIEGA, EN LA</w:t>
      </w:r>
      <w:r w:rsidR="000317FB">
        <w:rPr>
          <w:rFonts w:ascii="Palatino Linotype" w:hAnsi="Palatino Linotype" w:cs="Arial"/>
          <w:sz w:val="24"/>
          <w:szCs w:val="24"/>
        </w:rPr>
        <w:t xml:space="preserve"> VIGÉSIMO</w:t>
      </w:r>
      <w:r w:rsidRPr="000317FB">
        <w:rPr>
          <w:rFonts w:ascii="Palatino Linotype" w:hAnsi="Palatino Linotype" w:cs="Arial"/>
          <w:color w:val="000000" w:themeColor="text1"/>
          <w:sz w:val="24"/>
          <w:szCs w:val="24"/>
        </w:rPr>
        <w:t xml:space="preserve"> </w:t>
      </w:r>
      <w:r w:rsidR="003C2795">
        <w:rPr>
          <w:rFonts w:ascii="Palatino Linotype" w:hAnsi="Palatino Linotype" w:cs="Arial"/>
          <w:color w:val="000000" w:themeColor="text1"/>
          <w:sz w:val="24"/>
          <w:szCs w:val="24"/>
        </w:rPr>
        <w:t>QUINTA</w:t>
      </w:r>
      <w:r w:rsidRPr="000317FB">
        <w:rPr>
          <w:rFonts w:ascii="Palatino Linotype" w:hAnsi="Palatino Linotype" w:cs="Arial"/>
          <w:color w:val="000000" w:themeColor="text1"/>
          <w:sz w:val="24"/>
          <w:szCs w:val="24"/>
        </w:rPr>
        <w:t xml:space="preserve"> SESIÓN ORDINARIA </w:t>
      </w:r>
      <w:r>
        <w:rPr>
          <w:rFonts w:ascii="Palatino Linotype" w:hAnsi="Palatino Linotype" w:cs="Arial"/>
          <w:sz w:val="24"/>
          <w:szCs w:val="24"/>
        </w:rPr>
        <w:t xml:space="preserve">CELEBRADA EL </w:t>
      </w:r>
      <w:r w:rsidR="000317FB">
        <w:rPr>
          <w:rFonts w:ascii="Palatino Linotype" w:hAnsi="Palatino Linotype" w:cs="Arial"/>
          <w:sz w:val="24"/>
          <w:szCs w:val="24"/>
        </w:rPr>
        <w:t>CINCO DE NOVIEMBRE DE DOS MIL VEINTE</w:t>
      </w:r>
      <w:r>
        <w:rPr>
          <w:rFonts w:ascii="Palatino Linotype" w:hAnsi="Palatino Linotype" w:cs="Arial"/>
          <w:sz w:val="24"/>
          <w:szCs w:val="24"/>
        </w:rPr>
        <w:t>, ANTE EL SECRETARIO TÉCNICO DEL PLENO, ALEXIS TAPIA RAMÍREZ</w:t>
      </w:r>
      <w:r w:rsidR="007A09FA">
        <w:rPr>
          <w:rFonts w:ascii="Palatino Linotype" w:hAnsi="Palatino Linotype" w:cs="Arial"/>
          <w:sz w:val="24"/>
          <w:szCs w:val="24"/>
        </w:rPr>
        <w:t>---------------------------------------------------------------------------------------------------------------------------------------------------------------------------------------------------------------------------------------------------------------------------------------------------------------------------------------------------------------------------------------------------------------------------------------------------------------------------------------------------------------------------------------------------------------------------------------------------------------------------------------------------------------------------------------------------------------------------------------------------------------------------------------------------------</w:t>
      </w:r>
    </w:p>
    <w:p w14:paraId="20B38A6B" w14:textId="77777777" w:rsidR="009D20B7" w:rsidRDefault="009D20B7" w:rsidP="009D20B7">
      <w:pPr>
        <w:spacing w:before="240"/>
        <w:jc w:val="both"/>
        <w:rPr>
          <w:rFonts w:ascii="Palatino Linotype" w:hAnsi="Palatino Linotype"/>
        </w:rPr>
      </w:pPr>
    </w:p>
    <w:p w14:paraId="5DE3D539" w14:textId="77777777" w:rsidR="007A09FA" w:rsidRDefault="007A09FA" w:rsidP="009D20B7">
      <w:pPr>
        <w:spacing w:before="240"/>
        <w:jc w:val="both"/>
        <w:rPr>
          <w:rFonts w:ascii="Palatino Linotype" w:hAnsi="Palatino Linotype"/>
        </w:rPr>
      </w:pPr>
    </w:p>
    <w:p w14:paraId="22D1EC96" w14:textId="77777777" w:rsidR="009D20B7" w:rsidRDefault="009D20B7" w:rsidP="009D20B7">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E88C4A2" wp14:editId="1FEC4136">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58D952F1" w14:textId="77777777"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244FCAAF" w14:textId="77777777" w:rsidR="009D20B7"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41F5AF7"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9280C5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9D20B7"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6A6DF56E" w14:textId="77777777" w:rsidR="009D20B7" w:rsidRPr="00D54B7D" w:rsidRDefault="009D20B7" w:rsidP="009D20B7">
      <w:pPr>
        <w:spacing w:before="240"/>
        <w:jc w:val="both"/>
        <w:rPr>
          <w:rFonts w:ascii="Palatino Linotype" w:hAnsi="Palatino Linotype"/>
        </w:rPr>
      </w:pPr>
    </w:p>
    <w:p w14:paraId="176D6CFB" w14:textId="77777777" w:rsidR="009D20B7" w:rsidRDefault="009D20B7" w:rsidP="009D20B7">
      <w:pPr>
        <w:spacing w:before="240"/>
        <w:rPr>
          <w:rFonts w:ascii="Palatino Linotype" w:hAnsi="Palatino Linotype"/>
        </w:rPr>
      </w:pPr>
    </w:p>
    <w:p w14:paraId="5BFAA1DD" w14:textId="77777777" w:rsidR="009D20B7" w:rsidRDefault="009D20B7" w:rsidP="009D20B7">
      <w:pPr>
        <w:spacing w:before="240"/>
        <w:rPr>
          <w:rFonts w:ascii="Palatino Linotype" w:hAnsi="Palatino Linotype"/>
          <w:b/>
        </w:rPr>
      </w:pPr>
    </w:p>
    <w:p w14:paraId="39207C78" w14:textId="77777777" w:rsidR="009D20B7" w:rsidRDefault="009D20B7" w:rsidP="009D20B7">
      <w:pPr>
        <w:spacing w:before="240"/>
        <w:rPr>
          <w:rFonts w:ascii="Palatino Linotype" w:hAnsi="Palatino Linotype"/>
          <w:b/>
        </w:rPr>
      </w:pPr>
    </w:p>
    <w:p w14:paraId="2E53D1A0" w14:textId="77777777" w:rsidR="009D20B7" w:rsidRDefault="009D20B7" w:rsidP="009D20B7">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58E7D99" wp14:editId="06752D4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34FBB3" w14:textId="77777777" w:rsidR="009D20B7" w:rsidRPr="00EF2FC0" w:rsidRDefault="009D20B7" w:rsidP="009D20B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50A8BF18" w14:textId="77777777" w:rsidR="009D20B7"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4B7D6FB"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14:paraId="4BBF3E2A" w14:textId="77777777" w:rsidR="009D20B7" w:rsidRPr="00797B31" w:rsidRDefault="009D20B7" w:rsidP="009D20B7">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0A097"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9D20B7" w:rsidRPr="00EF2FC0" w:rsidRDefault="009D20B7" w:rsidP="009D20B7">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9D20B7"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rsidR="009D20B7" w:rsidRPr="00797B31" w:rsidRDefault="009D20B7" w:rsidP="009D20B7">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856B656" wp14:editId="119DEE44">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425F31E" w14:textId="77777777" w:rsidR="009D20B7" w:rsidRPr="00EF2FC0" w:rsidRDefault="009D20B7" w:rsidP="009D20B7">
                            <w:pPr>
                              <w:jc w:val="center"/>
                              <w:rPr>
                                <w:rFonts w:ascii="Palatino Linotype" w:hAnsi="Palatino Linotype"/>
                                <w:b/>
                                <w:sz w:val="24"/>
                                <w:szCs w:val="24"/>
                              </w:rPr>
                            </w:pPr>
                            <w:r w:rsidRPr="00EF2FC0">
                              <w:rPr>
                                <w:rFonts w:ascii="Palatino Linotype" w:hAnsi="Palatino Linotype"/>
                                <w:b/>
                                <w:sz w:val="24"/>
                                <w:szCs w:val="24"/>
                              </w:rPr>
                              <w:t>Eva Abaid Yapur</w:t>
                            </w:r>
                          </w:p>
                          <w:p w14:paraId="2EEC9759" w14:textId="77777777" w:rsidR="009D20B7" w:rsidRPr="00EF2FC0" w:rsidRDefault="009D20B7" w:rsidP="009D20B7">
                            <w:pPr>
                              <w:jc w:val="center"/>
                              <w:rPr>
                                <w:rFonts w:ascii="Palatino Linotype" w:hAnsi="Palatino Linotype"/>
                                <w:sz w:val="24"/>
                                <w:szCs w:val="24"/>
                              </w:rPr>
                            </w:pPr>
                            <w:r w:rsidRPr="00EF2FC0">
                              <w:rPr>
                                <w:rFonts w:ascii="Palatino Linotype" w:hAnsi="Palatino Linotype"/>
                                <w:sz w:val="24"/>
                                <w:szCs w:val="24"/>
                              </w:rPr>
                              <w:t>Comisionada</w:t>
                            </w:r>
                          </w:p>
                          <w:p w14:paraId="45770CD2"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14:paraId="0333A5D1" w14:textId="77777777" w:rsidR="009D20B7" w:rsidRDefault="009D20B7" w:rsidP="009D20B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D058C"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9D20B7" w:rsidRPr="00EF2FC0" w:rsidRDefault="009D20B7" w:rsidP="009D20B7">
                      <w:pPr>
                        <w:jc w:val="center"/>
                        <w:rPr>
                          <w:rFonts w:ascii="Palatino Linotype" w:hAnsi="Palatino Linotype"/>
                          <w:b/>
                          <w:sz w:val="24"/>
                          <w:szCs w:val="24"/>
                        </w:rPr>
                      </w:pPr>
                      <w:r w:rsidRPr="00EF2FC0">
                        <w:rPr>
                          <w:rFonts w:ascii="Palatino Linotype" w:hAnsi="Palatino Linotype"/>
                          <w:b/>
                          <w:sz w:val="24"/>
                          <w:szCs w:val="24"/>
                        </w:rPr>
                        <w:t>Eva Abaid Yapur</w:t>
                      </w:r>
                    </w:p>
                    <w:p w:rsidR="009D20B7" w:rsidRPr="00EF2FC0" w:rsidRDefault="009D20B7" w:rsidP="009D20B7">
                      <w:pPr>
                        <w:jc w:val="center"/>
                        <w:rPr>
                          <w:rFonts w:ascii="Palatino Linotype" w:hAnsi="Palatino Linotype"/>
                          <w:sz w:val="24"/>
                          <w:szCs w:val="24"/>
                        </w:rPr>
                      </w:pPr>
                      <w:r w:rsidRPr="00EF2FC0">
                        <w:rPr>
                          <w:rFonts w:ascii="Palatino Linotype" w:hAnsi="Palatino Linotype"/>
                          <w:sz w:val="24"/>
                          <w:szCs w:val="24"/>
                        </w:rPr>
                        <w:t>Comisionada</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rsidR="009D20B7" w:rsidRDefault="009D20B7" w:rsidP="009D20B7">
                      <w:pPr>
                        <w:jc w:val="center"/>
                      </w:pPr>
                    </w:p>
                  </w:txbxContent>
                </v:textbox>
                <w10:wrap anchorx="margin"/>
              </v:shape>
            </w:pict>
          </mc:Fallback>
        </mc:AlternateContent>
      </w:r>
    </w:p>
    <w:p w14:paraId="609DAC48" w14:textId="77777777" w:rsidR="009D20B7" w:rsidRPr="00D54B7D" w:rsidRDefault="009D20B7" w:rsidP="009D20B7">
      <w:pPr>
        <w:spacing w:before="240"/>
        <w:rPr>
          <w:rFonts w:ascii="Palatino Linotype" w:hAnsi="Palatino Linotype"/>
          <w:b/>
        </w:rPr>
      </w:pPr>
    </w:p>
    <w:p w14:paraId="1BE73919" w14:textId="77777777" w:rsidR="009D20B7" w:rsidRPr="00D54B7D" w:rsidRDefault="009D20B7" w:rsidP="009D20B7">
      <w:pPr>
        <w:spacing w:before="240"/>
        <w:rPr>
          <w:rFonts w:ascii="Palatino Linotype" w:hAnsi="Palatino Linotype"/>
          <w:b/>
        </w:rPr>
      </w:pPr>
    </w:p>
    <w:p w14:paraId="10863FFD" w14:textId="77777777" w:rsidR="009D20B7" w:rsidRDefault="009D20B7" w:rsidP="009D20B7">
      <w:pPr>
        <w:spacing w:before="240"/>
        <w:rPr>
          <w:rFonts w:ascii="Palatino Linotype" w:hAnsi="Palatino Linotype"/>
          <w:b/>
        </w:rPr>
      </w:pPr>
    </w:p>
    <w:p w14:paraId="09518077" w14:textId="77777777" w:rsidR="009D20B7" w:rsidRPr="00B93570" w:rsidRDefault="009D20B7" w:rsidP="009D20B7">
      <w:pPr>
        <w:spacing w:before="240"/>
        <w:rPr>
          <w:rFonts w:ascii="Palatino Linotype" w:hAnsi="Palatino Linotype"/>
          <w:b/>
          <w:sz w:val="18"/>
          <w:szCs w:val="18"/>
        </w:rPr>
      </w:pPr>
    </w:p>
    <w:p w14:paraId="16BA0783" w14:textId="77777777" w:rsidR="009D20B7" w:rsidRPr="00B93570" w:rsidRDefault="009D20B7" w:rsidP="009D20B7">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72CA6531" wp14:editId="5998F55F">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0DB7EC" w14:textId="77777777" w:rsidR="009D20B7" w:rsidRPr="00EF2FC0" w:rsidRDefault="009D20B7" w:rsidP="009D20B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6955BAD0" w14:textId="77777777"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8ECB4DA"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14:paraId="4BE2C944" w14:textId="77777777" w:rsidR="009D20B7" w:rsidRDefault="009D20B7" w:rsidP="009D2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EEFD3"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9D20B7" w:rsidRPr="00EF2FC0" w:rsidRDefault="009D20B7" w:rsidP="009D20B7">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rsidR="009D20B7" w:rsidRDefault="009D20B7" w:rsidP="009D20B7"/>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5C0A1EFE" wp14:editId="0B53DC2E">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20C84C" w14:textId="77777777"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FB0FACE" w14:textId="77777777"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3927997"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Rúbrica</w:t>
                            </w:r>
                            <w:r>
                              <w:rPr>
                                <w:rFonts w:ascii="Palatino Linotype" w:hAnsi="Palatino Linotype"/>
                                <w:sz w:val="24"/>
                                <w:szCs w:val="24"/>
                              </w:rPr>
                              <w:t>)</w:t>
                            </w:r>
                          </w:p>
                          <w:p w14:paraId="054F7E02" w14:textId="77777777" w:rsidR="009D20B7" w:rsidRDefault="009D20B7" w:rsidP="009D2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0724"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9D20B7" w:rsidRPr="00EF2FC0" w:rsidRDefault="009D20B7" w:rsidP="009D20B7">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w:t>
                      </w:r>
                      <w:r>
                        <w:rPr>
                          <w:rFonts w:ascii="Palatino Linotype" w:hAnsi="Palatino Linotype" w:cs="Arial"/>
                          <w:sz w:val="24"/>
                          <w:szCs w:val="24"/>
                        </w:rPr>
                        <w:t>Rúbrica</w:t>
                      </w:r>
                      <w:r>
                        <w:rPr>
                          <w:rFonts w:ascii="Palatino Linotype" w:hAnsi="Palatino Linotype"/>
                          <w:sz w:val="24"/>
                          <w:szCs w:val="24"/>
                        </w:rPr>
                        <w:t>)</w:t>
                      </w:r>
                    </w:p>
                    <w:p w:rsidR="009D20B7" w:rsidRDefault="009D20B7" w:rsidP="009D20B7"/>
                  </w:txbxContent>
                </v:textbox>
                <w10:wrap anchorx="page"/>
              </v:shape>
            </w:pict>
          </mc:Fallback>
        </mc:AlternateContent>
      </w:r>
    </w:p>
    <w:p w14:paraId="79BEDB7E" w14:textId="77777777" w:rsidR="009D20B7" w:rsidRDefault="009D20B7" w:rsidP="009D20B7">
      <w:pPr>
        <w:spacing w:before="240"/>
        <w:rPr>
          <w:rFonts w:ascii="Palatino Linotype" w:hAnsi="Palatino Linotype"/>
          <w:b/>
        </w:rPr>
      </w:pPr>
    </w:p>
    <w:p w14:paraId="29F765BD" w14:textId="77777777" w:rsidR="009D20B7" w:rsidRDefault="009D20B7" w:rsidP="009D20B7">
      <w:pPr>
        <w:spacing w:before="240"/>
        <w:rPr>
          <w:rFonts w:ascii="Palatino Linotype" w:hAnsi="Palatino Linotype"/>
          <w:b/>
        </w:rPr>
      </w:pPr>
    </w:p>
    <w:p w14:paraId="1306CBF8" w14:textId="77777777" w:rsidR="009D20B7" w:rsidRDefault="009D20B7" w:rsidP="009D20B7">
      <w:pPr>
        <w:spacing w:before="240"/>
        <w:rPr>
          <w:rFonts w:ascii="Palatino Linotype" w:hAnsi="Palatino Linotype" w:cs="Arial"/>
          <w:szCs w:val="20"/>
        </w:rPr>
      </w:pPr>
    </w:p>
    <w:p w14:paraId="06CBA770" w14:textId="77777777" w:rsidR="009D20B7" w:rsidRDefault="009D20B7" w:rsidP="009D20B7">
      <w:pPr>
        <w:spacing w:before="240"/>
        <w:rPr>
          <w:rFonts w:ascii="Palatino Linotype" w:hAnsi="Palatino Linotype" w:cs="Arial"/>
          <w:szCs w:val="20"/>
        </w:rPr>
      </w:pPr>
    </w:p>
    <w:p w14:paraId="4DE32BF5" w14:textId="77777777" w:rsidR="009D20B7" w:rsidRDefault="009D20B7" w:rsidP="009D20B7">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B328563" wp14:editId="4C33F50A">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D00AAC0" w14:textId="77777777" w:rsidR="009D20B7" w:rsidRPr="007F6133" w:rsidRDefault="009D20B7" w:rsidP="009D20B7">
                            <w:pPr>
                              <w:jc w:val="center"/>
                              <w:rPr>
                                <w:rFonts w:ascii="Palatino Linotype" w:hAnsi="Palatino Linotype"/>
                                <w:b/>
                                <w:sz w:val="24"/>
                                <w:szCs w:val="24"/>
                              </w:rPr>
                            </w:pPr>
                            <w:r w:rsidRPr="00B86F1F">
                              <w:rPr>
                                <w:rFonts w:ascii="Palatino Linotype" w:hAnsi="Palatino Linotype"/>
                                <w:b/>
                                <w:sz w:val="24"/>
                                <w:szCs w:val="24"/>
                              </w:rPr>
                              <w:t>Alexis Tapia Ramírez</w:t>
                            </w:r>
                          </w:p>
                          <w:p w14:paraId="5DA350CE" w14:textId="77777777" w:rsidR="009D20B7" w:rsidRDefault="009D20B7" w:rsidP="009D20B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D5FCC7F" w14:textId="77777777"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14:paraId="3F34FFED" w14:textId="77777777" w:rsidR="009D20B7" w:rsidRDefault="009D20B7" w:rsidP="009D20B7">
                            <w:pPr>
                              <w:jc w:val="center"/>
                              <w:rPr>
                                <w:rFonts w:ascii="Palatino Linotype" w:hAnsi="Palatino Linotype"/>
                                <w:sz w:val="24"/>
                                <w:szCs w:val="24"/>
                              </w:rPr>
                            </w:pPr>
                          </w:p>
                          <w:p w14:paraId="6F4AEE21" w14:textId="77777777" w:rsidR="009D20B7" w:rsidRPr="00EF2FC0" w:rsidRDefault="009D20B7" w:rsidP="009D20B7">
                            <w:pPr>
                              <w:jc w:val="center"/>
                              <w:rPr>
                                <w:rFonts w:ascii="Palatino Linotype" w:hAnsi="Palatino Linotype"/>
                                <w:sz w:val="24"/>
                                <w:szCs w:val="24"/>
                              </w:rPr>
                            </w:pPr>
                          </w:p>
                          <w:p w14:paraId="289E4952" w14:textId="77777777" w:rsidR="009D20B7" w:rsidRDefault="009D20B7" w:rsidP="009D20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0049E"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9D20B7" w:rsidRPr="007F6133" w:rsidRDefault="009D20B7" w:rsidP="009D20B7">
                      <w:pPr>
                        <w:jc w:val="center"/>
                        <w:rPr>
                          <w:rFonts w:ascii="Palatino Linotype" w:hAnsi="Palatino Linotype"/>
                          <w:b/>
                          <w:sz w:val="24"/>
                          <w:szCs w:val="24"/>
                        </w:rPr>
                      </w:pPr>
                      <w:r w:rsidRPr="00B86F1F">
                        <w:rPr>
                          <w:rFonts w:ascii="Palatino Linotype" w:hAnsi="Palatino Linotype"/>
                          <w:b/>
                          <w:sz w:val="24"/>
                          <w:szCs w:val="24"/>
                        </w:rPr>
                        <w:t>Alexis Tapia Ramírez</w:t>
                      </w:r>
                    </w:p>
                    <w:p w:rsidR="009D20B7" w:rsidRDefault="009D20B7" w:rsidP="009D20B7">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9D20B7" w:rsidRDefault="009D20B7" w:rsidP="009D20B7">
                      <w:pPr>
                        <w:spacing w:line="240" w:lineRule="auto"/>
                        <w:jc w:val="center"/>
                        <w:rPr>
                          <w:rFonts w:ascii="Palatino Linotype" w:hAnsi="Palatino Linotype"/>
                          <w:sz w:val="24"/>
                          <w:szCs w:val="24"/>
                        </w:rPr>
                      </w:pPr>
                      <w:r>
                        <w:rPr>
                          <w:rFonts w:ascii="Palatino Linotype" w:hAnsi="Palatino Linotype"/>
                          <w:sz w:val="24"/>
                          <w:szCs w:val="24"/>
                        </w:rPr>
                        <w:t>(Rúbrica)</w:t>
                      </w:r>
                    </w:p>
                    <w:p w:rsidR="009D20B7" w:rsidRDefault="009D20B7" w:rsidP="009D20B7">
                      <w:pPr>
                        <w:jc w:val="center"/>
                        <w:rPr>
                          <w:rFonts w:ascii="Palatino Linotype" w:hAnsi="Palatino Linotype"/>
                          <w:sz w:val="24"/>
                          <w:szCs w:val="24"/>
                        </w:rPr>
                      </w:pPr>
                    </w:p>
                    <w:p w:rsidR="009D20B7" w:rsidRPr="00EF2FC0" w:rsidRDefault="009D20B7" w:rsidP="009D20B7">
                      <w:pPr>
                        <w:jc w:val="center"/>
                        <w:rPr>
                          <w:rFonts w:ascii="Palatino Linotype" w:hAnsi="Palatino Linotype"/>
                          <w:sz w:val="24"/>
                          <w:szCs w:val="24"/>
                        </w:rPr>
                      </w:pPr>
                    </w:p>
                    <w:p w:rsidR="009D20B7" w:rsidRDefault="009D20B7" w:rsidP="009D20B7"/>
                  </w:txbxContent>
                </v:textbox>
                <w10:wrap anchorx="page"/>
              </v:shape>
            </w:pict>
          </mc:Fallback>
        </mc:AlternateContent>
      </w:r>
    </w:p>
    <w:p w14:paraId="1F1A3FA8" w14:textId="77777777" w:rsidR="009D20B7" w:rsidRDefault="009D20B7" w:rsidP="009D20B7">
      <w:pPr>
        <w:spacing w:before="240"/>
        <w:rPr>
          <w:rFonts w:ascii="Palatino Linotype" w:hAnsi="Palatino Linotype" w:cs="Arial"/>
          <w:sz w:val="18"/>
          <w:szCs w:val="18"/>
        </w:rPr>
      </w:pPr>
    </w:p>
    <w:p w14:paraId="4D08C7DA" w14:textId="77777777" w:rsidR="009D20B7" w:rsidRDefault="009D20B7" w:rsidP="009D20B7">
      <w:pPr>
        <w:spacing w:before="240"/>
        <w:jc w:val="both"/>
        <w:rPr>
          <w:rFonts w:ascii="Palatino Linotype" w:hAnsi="Palatino Linotype" w:cs="Arial"/>
          <w:sz w:val="18"/>
          <w:szCs w:val="18"/>
        </w:rPr>
      </w:pPr>
    </w:p>
    <w:p w14:paraId="64E7DC65" w14:textId="77777777" w:rsidR="009D20B7" w:rsidRDefault="009D20B7" w:rsidP="009D20B7">
      <w:pPr>
        <w:spacing w:before="240" w:line="240" w:lineRule="auto"/>
        <w:jc w:val="both"/>
        <w:rPr>
          <w:rFonts w:ascii="Palatino Linotype" w:hAnsi="Palatino Linotype" w:cs="Arial"/>
          <w:sz w:val="14"/>
          <w:szCs w:val="14"/>
        </w:rPr>
      </w:pPr>
    </w:p>
    <w:p w14:paraId="2DFF059B" w14:textId="7889C7AF" w:rsidR="009D20B7" w:rsidRPr="002052F6" w:rsidRDefault="009D20B7" w:rsidP="009D20B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0317FB">
        <w:rPr>
          <w:rFonts w:ascii="Palatino Linotype" w:hAnsi="Palatino Linotype" w:cs="Arial"/>
          <w:sz w:val="16"/>
          <w:szCs w:val="16"/>
        </w:rPr>
        <w:t xml:space="preserve">cinco de noviembre </w:t>
      </w:r>
      <w:r>
        <w:rPr>
          <w:rFonts w:ascii="Palatino Linotype" w:hAnsi="Palatino Linotype" w:cs="Arial"/>
          <w:sz w:val="16"/>
          <w:szCs w:val="16"/>
        </w:rPr>
        <w:t>de dos mil veinte</w:t>
      </w:r>
      <w:r w:rsidRPr="002052F6">
        <w:rPr>
          <w:rFonts w:ascii="Palatino Linotype" w:hAnsi="Palatino Linotype" w:cs="Arial"/>
          <w:sz w:val="16"/>
          <w:szCs w:val="16"/>
        </w:rPr>
        <w:t xml:space="preserve">, emitida en el recurso de revisión </w:t>
      </w:r>
      <w:r w:rsidR="000317FB">
        <w:rPr>
          <w:rFonts w:ascii="Palatino Linotype" w:hAnsi="Palatino Linotype" w:cs="Arial"/>
          <w:bCs/>
          <w:sz w:val="16"/>
          <w:szCs w:val="16"/>
          <w:lang w:eastAsia="es-MX"/>
        </w:rPr>
        <w:t>03445</w:t>
      </w:r>
      <w:r w:rsidR="007A09FA">
        <w:rPr>
          <w:rFonts w:ascii="Palatino Linotype" w:hAnsi="Palatino Linotype" w:cs="Arial"/>
          <w:bCs/>
          <w:sz w:val="16"/>
          <w:szCs w:val="16"/>
          <w:lang w:eastAsia="es-MX"/>
        </w:rPr>
        <w:t>/INFOEM/IP/RR/2020</w:t>
      </w:r>
    </w:p>
    <w:p w14:paraId="2B86C8E7" w14:textId="77777777" w:rsidR="00C665A5" w:rsidRPr="000317FB" w:rsidRDefault="009D20B7" w:rsidP="000317FB">
      <w:pPr>
        <w:spacing w:after="0"/>
      </w:pPr>
      <w:r>
        <w:t>ZMS/OSAM/FJJC</w:t>
      </w:r>
    </w:p>
    <w:sectPr w:rsidR="00C665A5" w:rsidRPr="000317FB" w:rsidSect="00671BE8">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3CD14" w14:textId="77777777" w:rsidR="00E3532E" w:rsidRDefault="00E3532E" w:rsidP="00AA24E1">
      <w:pPr>
        <w:spacing w:after="0" w:line="240" w:lineRule="auto"/>
      </w:pPr>
      <w:r>
        <w:separator/>
      </w:r>
    </w:p>
  </w:endnote>
  <w:endnote w:type="continuationSeparator" w:id="0">
    <w:p w14:paraId="1FB7A146" w14:textId="77777777" w:rsidR="00E3532E" w:rsidRDefault="00E3532E" w:rsidP="00AA2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3DC13" w14:textId="77777777"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701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7010">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40C7A" w14:textId="77777777" w:rsidR="00466564" w:rsidRPr="000B69FA" w:rsidRDefault="00745FCF"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3701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37010">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CE403" w14:textId="77777777" w:rsidR="00E3532E" w:rsidRDefault="00E3532E" w:rsidP="00AA24E1">
      <w:pPr>
        <w:spacing w:after="0" w:line="240" w:lineRule="auto"/>
      </w:pPr>
      <w:r>
        <w:separator/>
      </w:r>
    </w:p>
  </w:footnote>
  <w:footnote w:type="continuationSeparator" w:id="0">
    <w:p w14:paraId="4F8E7556" w14:textId="77777777" w:rsidR="00E3532E" w:rsidRDefault="00E3532E" w:rsidP="00AA24E1">
      <w:pPr>
        <w:spacing w:after="0" w:line="240" w:lineRule="auto"/>
      </w:pPr>
      <w:r>
        <w:continuationSeparator/>
      </w:r>
    </w:p>
  </w:footnote>
  <w:footnote w:id="1">
    <w:p w14:paraId="6DD26FA8" w14:textId="77777777" w:rsidR="00AA24E1" w:rsidRPr="00615B4B" w:rsidRDefault="00AA24E1" w:rsidP="00AA24E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D1275E5" w14:textId="77777777" w:rsidR="00AA24E1" w:rsidRPr="00615B4B" w:rsidRDefault="00AA24E1" w:rsidP="00AA24E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22B3C" w14:textId="77777777" w:rsidR="00B05C6E" w:rsidRDefault="00E3532E">
    <w:pPr>
      <w:pStyle w:val="Encabezado"/>
    </w:pPr>
    <w:r>
      <w:rPr>
        <w:noProof/>
        <w:lang w:val="es-MX" w:eastAsia="es-MX"/>
      </w:rPr>
      <w:pict w14:anchorId="21897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03670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6"/>
      <w:gridCol w:w="3969"/>
    </w:tblGrid>
    <w:tr w:rsidR="00466564" w14:paraId="54F0BEEC" w14:textId="77777777" w:rsidTr="00886FFF">
      <w:trPr>
        <w:trHeight w:val="227"/>
      </w:trPr>
      <w:tc>
        <w:tcPr>
          <w:tcW w:w="6096" w:type="dxa"/>
          <w:hideMark/>
        </w:tcPr>
        <w:p w14:paraId="02675F2A" w14:textId="77777777"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69" w:type="dxa"/>
          <w:hideMark/>
        </w:tcPr>
        <w:p w14:paraId="52BA6CE7" w14:textId="34EED116" w:rsidR="00466564" w:rsidRDefault="007A09FA" w:rsidP="00FB11C3">
          <w:pPr>
            <w:spacing w:after="120" w:line="256" w:lineRule="auto"/>
            <w:ind w:left="71"/>
            <w:jc w:val="right"/>
            <w:rPr>
              <w:rFonts w:ascii="Palatino Linotype" w:hAnsi="Palatino Linotype" w:cs="Arial"/>
              <w:szCs w:val="20"/>
            </w:rPr>
          </w:pPr>
          <w:r w:rsidRPr="007A09FA">
            <w:rPr>
              <w:rFonts w:ascii="Palatino Linotype" w:hAnsi="Palatino Linotype" w:cs="Arial"/>
              <w:color w:val="000000" w:themeColor="text1"/>
              <w:szCs w:val="20"/>
            </w:rPr>
            <w:t>03775</w:t>
          </w:r>
          <w:r w:rsidR="00745FCF" w:rsidRPr="007A09FA">
            <w:rPr>
              <w:rFonts w:ascii="Palatino Linotype" w:hAnsi="Palatino Linotype" w:cs="Arial"/>
              <w:szCs w:val="20"/>
            </w:rPr>
            <w:t>/</w:t>
          </w:r>
          <w:r w:rsidR="00745FCF">
            <w:rPr>
              <w:rFonts w:ascii="Palatino Linotype" w:hAnsi="Palatino Linotype" w:cs="Arial"/>
              <w:szCs w:val="20"/>
            </w:rPr>
            <w:t>INFOEM/IP/RR/2020</w:t>
          </w:r>
        </w:p>
      </w:tc>
    </w:tr>
    <w:tr w:rsidR="00466564" w14:paraId="2A8BA650" w14:textId="77777777" w:rsidTr="00886FFF">
      <w:trPr>
        <w:trHeight w:val="242"/>
      </w:trPr>
      <w:tc>
        <w:tcPr>
          <w:tcW w:w="6096" w:type="dxa"/>
          <w:hideMark/>
        </w:tcPr>
        <w:p w14:paraId="32D94EE2" w14:textId="77777777"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69" w:type="dxa"/>
          <w:hideMark/>
        </w:tcPr>
        <w:p w14:paraId="7611F908" w14:textId="5CFFD032" w:rsidR="00466564" w:rsidRPr="00415C42" w:rsidRDefault="007A09FA" w:rsidP="00A36CA4">
          <w:pPr>
            <w:spacing w:after="120" w:line="256" w:lineRule="auto"/>
            <w:jc w:val="right"/>
            <w:rPr>
              <w:rFonts w:ascii="Palatino Linotype" w:hAnsi="Palatino Linotype" w:cs="Arial"/>
              <w:color w:val="FF0000"/>
              <w:szCs w:val="20"/>
            </w:rPr>
          </w:pPr>
          <w:r w:rsidRPr="00CF5A7A">
            <w:rPr>
              <w:rFonts w:ascii="Palatino Linotype" w:hAnsi="Palatino Linotype" w:cs="Arial"/>
              <w:szCs w:val="20"/>
            </w:rPr>
            <w:t>Ayuntamiento de Toluca</w:t>
          </w:r>
        </w:p>
      </w:tc>
    </w:tr>
    <w:tr w:rsidR="00466564" w14:paraId="4470492C" w14:textId="77777777" w:rsidTr="00886FFF">
      <w:trPr>
        <w:trHeight w:val="342"/>
      </w:trPr>
      <w:tc>
        <w:tcPr>
          <w:tcW w:w="6096" w:type="dxa"/>
          <w:hideMark/>
        </w:tcPr>
        <w:p w14:paraId="4A780F06" w14:textId="77777777"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969" w:type="dxa"/>
          <w:hideMark/>
        </w:tcPr>
        <w:p w14:paraId="7AE5295A" w14:textId="77777777"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22B3F0FB" w14:textId="77777777" w:rsidR="00466564" w:rsidRDefault="00E3532E" w:rsidP="00B11CE4">
    <w:pPr>
      <w:pStyle w:val="Encabezado"/>
    </w:pPr>
    <w:r>
      <w:rPr>
        <w:noProof/>
        <w:lang w:val="es-MX" w:eastAsia="es-MX"/>
      </w:rPr>
      <w:pict w14:anchorId="31B45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036705" o:spid="_x0000_s2051" type="#_x0000_t75" style="position:absolute;margin-left:-90.85pt;margin-top:-133.8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6096"/>
      <w:gridCol w:w="3827"/>
    </w:tblGrid>
    <w:tr w:rsidR="00466564" w:rsidRPr="00633CD9" w14:paraId="2A9016C0" w14:textId="77777777" w:rsidTr="00B11CE4">
      <w:trPr>
        <w:trHeight w:val="227"/>
      </w:trPr>
      <w:tc>
        <w:tcPr>
          <w:tcW w:w="6096" w:type="dxa"/>
          <w:hideMark/>
        </w:tcPr>
        <w:p w14:paraId="6470F70C" w14:textId="77777777"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14:paraId="5CC271AE" w14:textId="77777777" w:rsidR="00466564" w:rsidRPr="00B4142F" w:rsidRDefault="00CF5A7A" w:rsidP="00CF5A7A">
          <w:pPr>
            <w:spacing w:after="120" w:line="256" w:lineRule="auto"/>
            <w:ind w:left="-486"/>
            <w:jc w:val="right"/>
            <w:rPr>
              <w:rFonts w:ascii="Palatino Linotype" w:hAnsi="Palatino Linotype" w:cs="Arial"/>
              <w:szCs w:val="20"/>
            </w:rPr>
          </w:pPr>
          <w:r>
            <w:rPr>
              <w:rFonts w:ascii="Palatino Linotype" w:hAnsi="Palatino Linotype" w:cs="Arial"/>
              <w:szCs w:val="20"/>
            </w:rPr>
            <w:t>03445</w:t>
          </w:r>
          <w:r w:rsidR="00745FCF">
            <w:rPr>
              <w:rFonts w:ascii="Palatino Linotype" w:hAnsi="Palatino Linotype" w:cs="Arial"/>
              <w:szCs w:val="20"/>
            </w:rPr>
            <w:t>/INFOEM/IP/RR/2020</w:t>
          </w:r>
        </w:p>
      </w:tc>
    </w:tr>
    <w:tr w:rsidR="00466564" w:rsidRPr="00633CD9" w14:paraId="4A3A4383" w14:textId="77777777" w:rsidTr="00B11CE4">
      <w:trPr>
        <w:trHeight w:val="196"/>
      </w:trPr>
      <w:tc>
        <w:tcPr>
          <w:tcW w:w="6096" w:type="dxa"/>
          <w:hideMark/>
        </w:tcPr>
        <w:p w14:paraId="74C584DC" w14:textId="77777777"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14:paraId="5886E634" w14:textId="6CF0BAB2" w:rsidR="00466564" w:rsidRPr="00840752" w:rsidRDefault="00E37010" w:rsidP="00B11CE4">
          <w:pPr>
            <w:spacing w:after="120" w:line="256" w:lineRule="auto"/>
            <w:ind w:left="-486" w:firstLine="567"/>
            <w:jc w:val="right"/>
            <w:rPr>
              <w:rFonts w:ascii="Palatino Linotype" w:hAnsi="Palatino Linotype" w:cs="Arial"/>
              <w:szCs w:val="20"/>
            </w:rPr>
          </w:pPr>
          <w:proofErr w:type="spellStart"/>
          <w:r>
            <w:rPr>
              <w:rFonts w:ascii="Palatino Linotype" w:hAnsi="Palatino Linotype" w:cs="Arial"/>
              <w:szCs w:val="20"/>
            </w:rPr>
            <w:t>xxxxxxxxxxxxxxxxxxxxx</w:t>
          </w:r>
          <w:proofErr w:type="spellEnd"/>
        </w:p>
      </w:tc>
    </w:tr>
    <w:tr w:rsidR="00466564" w:rsidRPr="00633CD9" w14:paraId="37D97EAC" w14:textId="77777777" w:rsidTr="00B11CE4">
      <w:trPr>
        <w:trHeight w:val="242"/>
      </w:trPr>
      <w:tc>
        <w:tcPr>
          <w:tcW w:w="6096" w:type="dxa"/>
          <w:hideMark/>
        </w:tcPr>
        <w:p w14:paraId="383CE4A3" w14:textId="77777777" w:rsidR="00466564" w:rsidRDefault="00745FCF"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14:paraId="131C1836" w14:textId="77777777" w:rsidR="00466564" w:rsidRDefault="00CF5A7A" w:rsidP="002D5900">
          <w:pPr>
            <w:spacing w:after="120" w:line="256" w:lineRule="auto"/>
            <w:ind w:left="72"/>
            <w:jc w:val="right"/>
            <w:rPr>
              <w:rFonts w:ascii="Palatino Linotype" w:hAnsi="Palatino Linotype" w:cs="Arial"/>
              <w:szCs w:val="20"/>
            </w:rPr>
          </w:pPr>
          <w:r w:rsidRPr="00CF5A7A">
            <w:rPr>
              <w:rFonts w:ascii="Palatino Linotype" w:hAnsi="Palatino Linotype" w:cs="Arial"/>
              <w:szCs w:val="20"/>
            </w:rPr>
            <w:t>Ayuntamiento de Toluca</w:t>
          </w:r>
        </w:p>
      </w:tc>
    </w:tr>
    <w:tr w:rsidR="00466564" w14:paraId="46090F1B" w14:textId="77777777" w:rsidTr="00B11CE4">
      <w:trPr>
        <w:trHeight w:val="342"/>
      </w:trPr>
      <w:tc>
        <w:tcPr>
          <w:tcW w:w="6096" w:type="dxa"/>
          <w:hideMark/>
        </w:tcPr>
        <w:p w14:paraId="2DDD6906" w14:textId="77777777" w:rsidR="00466564" w:rsidRDefault="00745FCF"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14:paraId="2212CB2C" w14:textId="77777777" w:rsidR="00466564" w:rsidRDefault="00745FCF" w:rsidP="00B11CE4">
          <w:pPr>
            <w:spacing w:after="120" w:line="256" w:lineRule="auto"/>
            <w:ind w:left="-486" w:firstLine="567"/>
            <w:jc w:val="right"/>
            <w:rPr>
              <w:rFonts w:ascii="Palatino Linotype" w:hAnsi="Palatino Linotype" w:cs="Arial"/>
              <w:szCs w:val="20"/>
            </w:rPr>
          </w:pPr>
          <w:r>
            <w:rPr>
              <w:rFonts w:ascii="Palatino Linotype" w:hAnsi="Palatino Linotype" w:cs="Arial"/>
              <w:szCs w:val="20"/>
            </w:rPr>
            <w:t>Zulema Martínez Sánchez</w:t>
          </w:r>
        </w:p>
      </w:tc>
    </w:tr>
  </w:tbl>
  <w:p w14:paraId="64955A85" w14:textId="77777777" w:rsidR="00466564" w:rsidRDefault="00E3532E">
    <w:pPr>
      <w:pStyle w:val="Encabezado"/>
    </w:pPr>
    <w:r>
      <w:rPr>
        <w:noProof/>
        <w:lang w:val="es-MX" w:eastAsia="es-MX"/>
      </w:rPr>
      <w:pict w14:anchorId="6E166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036703" o:spid="_x0000_s2049" type="#_x0000_t75" style="position:absolute;margin-left:-91.05pt;margin-top:-146.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138948F"/>
    <w:multiLevelType w:val="hybridMultilevel"/>
    <w:tmpl w:val="33A94F78"/>
    <w:lvl w:ilvl="0" w:tplc="FFFFFFFF">
      <w:start w:val="1"/>
      <w:numFmt w:val="upperRoman"/>
      <w:lvlText w:val="%1"/>
      <w:lvlJc w:val="left"/>
    </w:lvl>
    <w:lvl w:ilvl="1" w:tplc="FFFFFFFF">
      <w:start w:val="1"/>
      <w:numFmt w:val="lowerLetter"/>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E16D5A"/>
    <w:multiLevelType w:val="hybridMultilevel"/>
    <w:tmpl w:val="E91EB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AAC5CBC"/>
    <w:multiLevelType w:val="hybridMultilevel"/>
    <w:tmpl w:val="8EF487C4"/>
    <w:lvl w:ilvl="0" w:tplc="F83A5B84">
      <w:start w:val="1"/>
      <w:numFmt w:val="lowerLetter"/>
      <w:lvlText w:val="%1)"/>
      <w:lvlJc w:val="left"/>
      <w:pPr>
        <w:ind w:left="420" w:hanging="36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nsid w:val="210C77AF"/>
    <w:multiLevelType w:val="hybridMultilevel"/>
    <w:tmpl w:val="264C860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D893CC9"/>
    <w:multiLevelType w:val="hybridMultilevel"/>
    <w:tmpl w:val="6B062F5E"/>
    <w:lvl w:ilvl="0" w:tplc="08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639D5891"/>
    <w:multiLevelType w:val="hybridMultilevel"/>
    <w:tmpl w:val="C93C7F8E"/>
    <w:lvl w:ilvl="0" w:tplc="080A0017">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652E06"/>
    <w:multiLevelType w:val="hybridMultilevel"/>
    <w:tmpl w:val="AD94AE3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90A79D7"/>
    <w:multiLevelType w:val="hybridMultilevel"/>
    <w:tmpl w:val="570CBFFE"/>
    <w:lvl w:ilvl="0" w:tplc="E348F6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2"/>
  </w:num>
  <w:num w:numId="3">
    <w:abstractNumId w:val="4"/>
  </w:num>
  <w:num w:numId="4">
    <w:abstractNumId w:val="10"/>
  </w:num>
  <w:num w:numId="5">
    <w:abstractNumId w:val="2"/>
  </w:num>
  <w:num w:numId="6">
    <w:abstractNumId w:val="8"/>
  </w:num>
  <w:num w:numId="7">
    <w:abstractNumId w:val="9"/>
  </w:num>
  <w:num w:numId="8">
    <w:abstractNumId w:val="0"/>
  </w:num>
  <w:num w:numId="9">
    <w:abstractNumId w:val="3"/>
  </w:num>
  <w:num w:numId="10">
    <w:abstractNumId w:val="11"/>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4E1"/>
    <w:rsid w:val="00023AFE"/>
    <w:rsid w:val="000317FB"/>
    <w:rsid w:val="00070873"/>
    <w:rsid w:val="000A02C2"/>
    <w:rsid w:val="000A4B5A"/>
    <w:rsid w:val="0012241B"/>
    <w:rsid w:val="00174FB1"/>
    <w:rsid w:val="001D0A27"/>
    <w:rsid w:val="001F723D"/>
    <w:rsid w:val="00236445"/>
    <w:rsid w:val="00240D52"/>
    <w:rsid w:val="002E1A2B"/>
    <w:rsid w:val="00362773"/>
    <w:rsid w:val="003C2795"/>
    <w:rsid w:val="00415C42"/>
    <w:rsid w:val="00435C2B"/>
    <w:rsid w:val="0046745C"/>
    <w:rsid w:val="004E7EEB"/>
    <w:rsid w:val="004F7E72"/>
    <w:rsid w:val="005945DD"/>
    <w:rsid w:val="005C3D45"/>
    <w:rsid w:val="005F0563"/>
    <w:rsid w:val="006A5396"/>
    <w:rsid w:val="006E01DD"/>
    <w:rsid w:val="00706FB8"/>
    <w:rsid w:val="00735DC0"/>
    <w:rsid w:val="00745FCF"/>
    <w:rsid w:val="007A09FA"/>
    <w:rsid w:val="007C0AE9"/>
    <w:rsid w:val="007E07F7"/>
    <w:rsid w:val="0083132E"/>
    <w:rsid w:val="00837696"/>
    <w:rsid w:val="00844B0A"/>
    <w:rsid w:val="009D20B7"/>
    <w:rsid w:val="009D4091"/>
    <w:rsid w:val="009F30F8"/>
    <w:rsid w:val="00A106AA"/>
    <w:rsid w:val="00A86BE5"/>
    <w:rsid w:val="00AA24E1"/>
    <w:rsid w:val="00AA720F"/>
    <w:rsid w:val="00AB231C"/>
    <w:rsid w:val="00AF45D0"/>
    <w:rsid w:val="00B05C6E"/>
    <w:rsid w:val="00B94A43"/>
    <w:rsid w:val="00BC7298"/>
    <w:rsid w:val="00C330C1"/>
    <w:rsid w:val="00C403D9"/>
    <w:rsid w:val="00C665A5"/>
    <w:rsid w:val="00C93D65"/>
    <w:rsid w:val="00CE53D2"/>
    <w:rsid w:val="00CF3F70"/>
    <w:rsid w:val="00CF5A7A"/>
    <w:rsid w:val="00DA2F11"/>
    <w:rsid w:val="00DA7AFF"/>
    <w:rsid w:val="00E02158"/>
    <w:rsid w:val="00E12775"/>
    <w:rsid w:val="00E3532E"/>
    <w:rsid w:val="00E37010"/>
    <w:rsid w:val="00E50773"/>
    <w:rsid w:val="00E9047A"/>
    <w:rsid w:val="00EC5AF0"/>
    <w:rsid w:val="00EC7F80"/>
    <w:rsid w:val="00EF2EFD"/>
    <w:rsid w:val="00F16741"/>
    <w:rsid w:val="00F859A8"/>
    <w:rsid w:val="00FB11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4C9E2"/>
  <w15:chartTrackingRefBased/>
  <w15:docId w15:val="{A9A0AC1B-6F04-45D1-A878-8276886B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4E1"/>
  </w:style>
  <w:style w:type="paragraph" w:styleId="Ttulo1">
    <w:name w:val="heading 1"/>
    <w:basedOn w:val="Normal"/>
    <w:next w:val="Normal"/>
    <w:link w:val="Ttulo1Car"/>
    <w:qFormat/>
    <w:rsid w:val="00AA24E1"/>
    <w:pPr>
      <w:keepNext/>
      <w:spacing w:after="0" w:line="240" w:lineRule="auto"/>
      <w:jc w:val="both"/>
      <w:outlineLvl w:val="0"/>
    </w:pPr>
    <w:rPr>
      <w:rFonts w:ascii="Arial" w:eastAsia="Arial Unicode MS"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A24E1"/>
    <w:rPr>
      <w:rFonts w:ascii="Arial" w:eastAsia="Arial Unicode MS" w:hAnsi="Arial" w:cs="Arial"/>
      <w:b/>
      <w:bCs/>
      <w:sz w:val="24"/>
      <w:szCs w:val="24"/>
      <w:lang w:eastAsia="es-ES"/>
    </w:rPr>
  </w:style>
  <w:style w:type="paragraph" w:styleId="Encabezado">
    <w:name w:val="header"/>
    <w:basedOn w:val="Normal"/>
    <w:link w:val="Encabezado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A24E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A24E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A24E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24E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A24E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A24E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A24E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A24E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A24E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A24E1"/>
    <w:rPr>
      <w:color w:val="0563C1" w:themeColor="hyperlink"/>
      <w:u w:val="single"/>
    </w:rPr>
  </w:style>
  <w:style w:type="paragraph" w:customStyle="1" w:styleId="Default">
    <w:name w:val="Default"/>
    <w:rsid w:val="00AA24E1"/>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qFormat/>
    <w:rsid w:val="00AA24E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24E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24E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24E1"/>
    <w:rPr>
      <w:rFonts w:ascii="Times New Roman" w:eastAsia="Times New Roman" w:hAnsi="Times New Roman"/>
      <w:sz w:val="25"/>
      <w:szCs w:val="25"/>
      <w:lang w:val="en-US"/>
    </w:rPr>
  </w:style>
  <w:style w:type="table" w:styleId="Tablaconcuadrcula">
    <w:name w:val="Table Grid"/>
    <w:basedOn w:val="Tablanormal"/>
    <w:uiPriority w:val="59"/>
    <w:rsid w:val="00AA2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1D0A27"/>
    <w:pPr>
      <w:spacing w:after="0" w:line="240" w:lineRule="auto"/>
    </w:pPr>
    <w:rPr>
      <w:rFonts w:ascii="Palatino Linotype" w:eastAsia="Cambria" w:hAnsi="Palatino Linotype" w:cs="Times New Roman"/>
      <w:sz w:val="20"/>
      <w:szCs w:val="20"/>
    </w:rPr>
  </w:style>
  <w:style w:type="character" w:styleId="Refdecomentario">
    <w:name w:val="annotation reference"/>
    <w:basedOn w:val="Fuentedeprrafopredeter"/>
    <w:uiPriority w:val="99"/>
    <w:semiHidden/>
    <w:unhideWhenUsed/>
    <w:rsid w:val="00415C42"/>
    <w:rPr>
      <w:sz w:val="16"/>
      <w:szCs w:val="16"/>
    </w:rPr>
  </w:style>
  <w:style w:type="paragraph" w:styleId="Textocomentario">
    <w:name w:val="annotation text"/>
    <w:basedOn w:val="Normal"/>
    <w:link w:val="TextocomentarioCar"/>
    <w:uiPriority w:val="99"/>
    <w:semiHidden/>
    <w:unhideWhenUsed/>
    <w:rsid w:val="00415C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5C42"/>
    <w:rPr>
      <w:sz w:val="20"/>
      <w:szCs w:val="20"/>
    </w:rPr>
  </w:style>
  <w:style w:type="paragraph" w:styleId="Asuntodelcomentario">
    <w:name w:val="annotation subject"/>
    <w:basedOn w:val="Textocomentario"/>
    <w:next w:val="Textocomentario"/>
    <w:link w:val="AsuntodelcomentarioCar"/>
    <w:uiPriority w:val="99"/>
    <w:semiHidden/>
    <w:unhideWhenUsed/>
    <w:rsid w:val="00415C42"/>
    <w:rPr>
      <w:b/>
      <w:bCs/>
    </w:rPr>
  </w:style>
  <w:style w:type="character" w:customStyle="1" w:styleId="AsuntodelcomentarioCar">
    <w:name w:val="Asunto del comentario Car"/>
    <w:basedOn w:val="TextocomentarioCar"/>
    <w:link w:val="Asuntodelcomentario"/>
    <w:uiPriority w:val="99"/>
    <w:semiHidden/>
    <w:rsid w:val="00415C42"/>
    <w:rPr>
      <w:b/>
      <w:bCs/>
      <w:sz w:val="20"/>
      <w:szCs w:val="20"/>
    </w:rPr>
  </w:style>
  <w:style w:type="paragraph" w:styleId="Textodeglobo">
    <w:name w:val="Balloon Text"/>
    <w:basedOn w:val="Normal"/>
    <w:link w:val="TextodegloboCar"/>
    <w:uiPriority w:val="99"/>
    <w:semiHidden/>
    <w:unhideWhenUsed/>
    <w:rsid w:val="00415C4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15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8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3602</Words>
  <Characters>19814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dcterms:created xsi:type="dcterms:W3CDTF">2020-11-10T23:19:00Z</dcterms:created>
  <dcterms:modified xsi:type="dcterms:W3CDTF">2020-12-16T22:23:00Z</dcterms:modified>
</cp:coreProperties>
</file>