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4BC" w:rsidRDefault="00CE5214">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7804BC" w:rsidRDefault="00CE5214">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01287/INFOEM/IP/RR/2020</w:t>
      </w:r>
      <w:r>
        <w:rPr>
          <w:rFonts w:ascii="Palatino Linotype" w:hAnsi="Palatino Linotype"/>
        </w:rPr>
        <w:t xml:space="preserve">, promovido por el C. </w:t>
      </w:r>
      <w:r w:rsidR="00357FBE">
        <w:rPr>
          <w:rFonts w:ascii="Palatino Linotype" w:hAnsi="Palatino Linotype"/>
          <w:b/>
        </w:rPr>
        <w:t>XXXXXXX XXXX XXXXXXXXXX</w:t>
      </w:r>
      <w:r>
        <w:rPr>
          <w:rFonts w:ascii="Palatino Linotype" w:hAnsi="Palatino Linotype" w:cs="Arial"/>
        </w:rPr>
        <w:t>, en lo sucesivo</w:t>
      </w:r>
      <w:r>
        <w:rPr>
          <w:rFonts w:ascii="Palatino Linotype" w:hAnsi="Palatino Linotype" w:cs="Arial"/>
          <w:b/>
        </w:rPr>
        <w:t xml:space="preserve"> EL RECURRENTE</w:t>
      </w:r>
      <w:r>
        <w:rPr>
          <w:rFonts w:ascii="Palatino Linotype" w:hAnsi="Palatino Linotype"/>
        </w:rPr>
        <w:t>, en contra de l</w:t>
      </w:r>
      <w:bookmarkStart w:id="0" w:name="_GoBack"/>
      <w:bookmarkEnd w:id="0"/>
      <w:r>
        <w:rPr>
          <w:rFonts w:ascii="Palatino Linotype" w:hAnsi="Palatino Linotype"/>
        </w:rPr>
        <w:t xml:space="preserve">a respuesta del </w:t>
      </w:r>
      <w:r>
        <w:rPr>
          <w:rFonts w:ascii="Palatino Linotype" w:hAnsi="Palatino Linotype"/>
          <w:b/>
          <w:bCs/>
        </w:rPr>
        <w:t>Ayuntamiento de Cuautitlán</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7804BC" w:rsidRDefault="00CE5214">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7804BC" w:rsidRDefault="00CE5214">
      <w:pPr>
        <w:pStyle w:val="Prrafodelista"/>
        <w:numPr>
          <w:ilvl w:val="0"/>
          <w:numId w:val="2"/>
        </w:numPr>
        <w:tabs>
          <w:tab w:val="left" w:pos="709"/>
        </w:tabs>
        <w:spacing w:beforeAutospacing="1" w:afterAutospacing="1" w:line="360" w:lineRule="auto"/>
        <w:ind w:left="0" w:firstLine="0"/>
        <w:jc w:val="both"/>
        <w:rPr>
          <w:rFonts w:ascii="Palatino Linotype" w:hAnsi="Palatino Linotype" w:cs="Arial"/>
        </w:rPr>
      </w:pPr>
      <w:r>
        <w:rPr>
          <w:rFonts w:ascii="Palatino Linotype" w:hAnsi="Palatino Linotype"/>
        </w:rPr>
        <w:t xml:space="preserve">En </w:t>
      </w:r>
      <w:r>
        <w:rPr>
          <w:rFonts w:ascii="Palatino Linotype" w:hAnsi="Palatino Linotype" w:cs="Arial"/>
        </w:rPr>
        <w:t>fecha</w:t>
      </w:r>
      <w:r>
        <w:rPr>
          <w:rFonts w:ascii="Palatino Linotype" w:hAnsi="Palatino Linotype"/>
        </w:rPr>
        <w:t xml:space="preserve"> veintisiete de enero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00023/CUAUTIT/IP/2020</w:t>
      </w:r>
      <w:r>
        <w:rPr>
          <w:rFonts w:ascii="Palatino Linotype" w:hAnsi="Palatino Linotype"/>
        </w:rPr>
        <w:t xml:space="preserve">, mediante la cual requirió vía </w:t>
      </w:r>
      <w:r>
        <w:rPr>
          <w:rFonts w:ascii="Palatino Linotype" w:hAnsi="Palatino Linotype"/>
          <w:b/>
        </w:rPr>
        <w:t>SAIMEX</w:t>
      </w:r>
      <w:r>
        <w:rPr>
          <w:rFonts w:ascii="Palatino Linotype" w:hAnsi="Palatino Linotype"/>
        </w:rPr>
        <w:t>, lo siguiente:</w:t>
      </w:r>
    </w:p>
    <w:p w:rsidR="007804BC" w:rsidRDefault="00CE5214">
      <w:pPr>
        <w:spacing w:beforeAutospacing="1" w:afterAutospacing="1"/>
        <w:ind w:left="709" w:right="709"/>
        <w:jc w:val="both"/>
        <w:rPr>
          <w:rFonts w:ascii="Palatino Linotype" w:hAnsi="Palatino Linotype"/>
          <w:sz w:val="22"/>
          <w:szCs w:val="22"/>
        </w:rPr>
      </w:pPr>
      <w:r>
        <w:rPr>
          <w:rFonts w:ascii="Palatino Linotype" w:hAnsi="Palatino Linotype" w:cs="Arial"/>
          <w:i/>
          <w:sz w:val="22"/>
          <w:szCs w:val="22"/>
        </w:rPr>
        <w:t xml:space="preserve">“Solicito saber a que se debe la falta de suministro de agua la Unidad Habitacional Juan Diego, en Cuautitlán estado de México, si existe algún impedimento para que los habitantes de dicha unidad no cuenten con el suministro del líquido vital, asimismo, saber por qué desde el 2017 únicamente dan el suministro 3 veces a la semana con pipas.” </w:t>
      </w:r>
      <w:r>
        <w:rPr>
          <w:rFonts w:ascii="Palatino Linotype" w:hAnsi="Palatino Linotype"/>
          <w:sz w:val="22"/>
          <w:szCs w:val="22"/>
        </w:rPr>
        <w:t>(Sic)</w:t>
      </w:r>
    </w:p>
    <w:p w:rsidR="007804BC" w:rsidRDefault="00CE5214">
      <w:pPr>
        <w:pStyle w:val="Prrafodelista"/>
        <w:numPr>
          <w:ilvl w:val="0"/>
          <w:numId w:val="5"/>
        </w:numPr>
        <w:spacing w:before="240" w:after="240" w:line="360" w:lineRule="auto"/>
        <w:ind w:left="0" w:firstLine="0"/>
        <w:jc w:val="both"/>
        <w:rPr>
          <w:rFonts w:ascii="Palatino Linotype" w:hAnsi="Palatino Linotype" w:cs="Arial"/>
        </w:rPr>
      </w:pPr>
      <w:r>
        <w:rPr>
          <w:rFonts w:ascii="Palatino Linotype" w:hAnsi="Palatino Linotype" w:cs="Arial"/>
        </w:rPr>
        <w:t xml:space="preserve">De las constancias que integran el expediente electrónico del </w:t>
      </w:r>
      <w:r>
        <w:rPr>
          <w:rFonts w:ascii="Palatino Linotype" w:hAnsi="Palatino Linotype" w:cs="Arial"/>
          <w:b/>
        </w:rPr>
        <w:t>SAIMEX</w:t>
      </w:r>
      <w:r>
        <w:rPr>
          <w:rFonts w:ascii="Palatino Linotype" w:hAnsi="Palatino Linotype" w:cs="Arial"/>
        </w:rPr>
        <w:t xml:space="preserve">, se advierte que, en fecha diecisiete de febrero de dos mil veinte, </w:t>
      </w:r>
      <w:r>
        <w:rPr>
          <w:rFonts w:ascii="Palatino Linotype" w:hAnsi="Palatino Linotype" w:cs="Arial"/>
          <w:b/>
        </w:rPr>
        <w:t>EL SUJETO OBLIGADO</w:t>
      </w:r>
      <w:r>
        <w:rPr>
          <w:rFonts w:ascii="Palatino Linotype" w:hAnsi="Palatino Linotype" w:cs="Arial"/>
        </w:rPr>
        <w:t xml:space="preserve"> dio respuesta a la solicitud de acceso a la información, en los términos siguientes:</w:t>
      </w:r>
    </w:p>
    <w:p w:rsidR="007804BC" w:rsidRDefault="00CE5214">
      <w:pPr>
        <w:pStyle w:val="Prrafodelista"/>
        <w:ind w:left="851" w:right="902"/>
        <w:jc w:val="both"/>
        <w:rPr>
          <w:rFonts w:ascii="Palatino Linotype" w:hAnsi="Palatino Linotype" w:cs="Arial"/>
          <w:i/>
          <w:sz w:val="22"/>
        </w:rPr>
      </w:pPr>
      <w:r>
        <w:rPr>
          <w:rFonts w:ascii="Palatino Linotype" w:hAnsi="Palatino Linotype" w:cs="Arial"/>
          <w:i/>
          <w:sz w:val="22"/>
        </w:rPr>
        <w:lastRenderedPageBreak/>
        <w:t xml:space="preserve">“Cuautitlán, México a 17 de Febrero de 2020. Nombre del solicitante: </w:t>
      </w:r>
      <w:r w:rsidR="00357FBE">
        <w:rPr>
          <w:rFonts w:ascii="Palatino Linotype" w:hAnsi="Palatino Linotype" w:cs="Arial"/>
          <w:i/>
          <w:sz w:val="22"/>
        </w:rPr>
        <w:t>XXXXXXX XXXX XXXXXXXXXX</w:t>
      </w:r>
      <w:r>
        <w:rPr>
          <w:rFonts w:ascii="Palatino Linotype" w:hAnsi="Palatino Linotype" w:cs="Arial"/>
          <w:i/>
          <w:sz w:val="22"/>
        </w:rPr>
        <w:t xml:space="preserve"> Folio de la solicitud: 00023 /CUAUTIT/IP/2019 Por medio del presente reciba un cordial y respetuoso saludo, al mismo tiempo hacemos entrega de la información solicitada tal como lo establece la Ley de Transparencia y Acceso a la Información Pública del Estado de México y Municipios en el Articulo 53, fracciones II, V Y VI. ATENTAMENTE LIC. MARIA DE JESUS RODRIGUEZ ESCAMILLA Responsable de la Unidad de Transparencia del Ayuntamiento de Cuautitlán.” (Sic)</w:t>
      </w:r>
    </w:p>
    <w:bookmarkStart w:id="1" w:name="_Ref531692384"/>
    <w:bookmarkStart w:id="2" w:name="_Ref516764469"/>
    <w:bookmarkStart w:id="3" w:name="_Ref507070922"/>
    <w:bookmarkEnd w:id="1"/>
    <w:bookmarkEnd w:id="2"/>
    <w:p w:rsidR="007804BC" w:rsidRDefault="0087226A">
      <w:pPr>
        <w:pStyle w:val="Prrafodelista"/>
        <w:widowControl w:val="0"/>
        <w:tabs>
          <w:tab w:val="left" w:pos="0"/>
        </w:tabs>
        <w:spacing w:beforeAutospacing="1" w:afterAutospacing="1" w:line="360" w:lineRule="auto"/>
        <w:ind w:left="0"/>
        <w:jc w:val="both"/>
        <w:rPr>
          <w:rFonts w:ascii="Palatino Linotype" w:hAnsi="Palatino Linotype" w:cs="Arial"/>
        </w:rPr>
      </w:pPr>
      <w:r>
        <w:rPr>
          <w:rFonts w:ascii="Palatino Linotype" w:hAnsi="Palatino Linotype" w:cs="Arial"/>
          <w:noProof/>
          <w:lang w:eastAsia="es-MX"/>
        </w:rPr>
        <mc:AlternateContent>
          <mc:Choice Requires="wps">
            <w:drawing>
              <wp:anchor distT="0" distB="0" distL="0" distR="0" simplePos="0" relativeHeight="18" behindDoc="0" locked="0" layoutInCell="1" allowOverlap="1" wp14:anchorId="4395070D">
                <wp:simplePos x="0" y="0"/>
                <wp:positionH relativeFrom="column">
                  <wp:posOffset>-22860</wp:posOffset>
                </wp:positionH>
                <wp:positionV relativeFrom="paragraph">
                  <wp:posOffset>734060</wp:posOffset>
                </wp:positionV>
                <wp:extent cx="6019800" cy="4972050"/>
                <wp:effectExtent l="38100" t="19050" r="76200" b="95250"/>
                <wp:wrapNone/>
                <wp:docPr id="1" name="Conector recto 16"/>
                <wp:cNvGraphicFramePr/>
                <a:graphic xmlns:a="http://schemas.openxmlformats.org/drawingml/2006/main">
                  <a:graphicData uri="http://schemas.microsoft.com/office/word/2010/wordprocessingShape">
                    <wps:wsp>
                      <wps:cNvCnPr/>
                      <wps:spPr>
                        <a:xfrm>
                          <a:off x="0" y="0"/>
                          <a:ext cx="6019800" cy="4972050"/>
                        </a:xfrm>
                        <a:prstGeom prst="line">
                          <a:avLst/>
                        </a:prstGeom>
                        <a:ln>
                          <a:round/>
                        </a:ln>
                      </wps:spPr>
                      <wps:style>
                        <a:lnRef idx="2">
                          <a:schemeClr val="accent1"/>
                        </a:lnRef>
                        <a:fillRef idx="0">
                          <a:schemeClr val="accent1"/>
                        </a:fillRef>
                        <a:effectRef idx="1">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line w14:anchorId="12E2CF5B" id="Conector recto 16" o:spid="_x0000_s1026" style="position:absolute;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8pt,57.8pt" to="472.2pt,4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" strokecolor="#4f81bd [3204]" strokeweight="2pt">
                <v:shadow on="t" color="black" opacity="24903f" origin=",.5" offset="0,.55556mm"/>
              </v:line>
            </w:pict>
          </mc:Fallback>
        </mc:AlternateContent>
      </w:r>
      <w:r w:rsidR="00CE5214">
        <w:rPr>
          <w:rFonts w:ascii="Palatino Linotype" w:hAnsi="Palatino Linotype" w:cs="Arial"/>
        </w:rPr>
        <w:t xml:space="preserve">Asimismo, </w:t>
      </w:r>
      <w:r w:rsidR="00CE5214">
        <w:rPr>
          <w:rFonts w:ascii="Palatino Linotype" w:hAnsi="Palatino Linotype" w:cs="Arial"/>
          <w:b/>
        </w:rPr>
        <w:t>EL SUJETO OBLIGADO</w:t>
      </w:r>
      <w:r w:rsidR="00CE5214">
        <w:rPr>
          <w:rFonts w:ascii="Palatino Linotype" w:hAnsi="Palatino Linotype" w:cs="Arial"/>
        </w:rPr>
        <w:t xml:space="preserve"> adjuntó a su respuesta los siguientes archivos electrónicos:</w:t>
      </w:r>
    </w:p>
    <w:p w:rsidR="007804BC" w:rsidRDefault="007804BC">
      <w:pPr>
        <w:pStyle w:val="Prrafodelista"/>
        <w:widowControl w:val="0"/>
        <w:tabs>
          <w:tab w:val="left" w:pos="0"/>
        </w:tabs>
        <w:spacing w:beforeAutospacing="1" w:afterAutospacing="1" w:line="360" w:lineRule="auto"/>
        <w:ind w:left="0"/>
        <w:jc w:val="both"/>
        <w:rPr>
          <w:rFonts w:ascii="Palatino Linotype" w:hAnsi="Palatino Linotype" w:cs="Arial"/>
        </w:rPr>
      </w:pPr>
    </w:p>
    <w:p w:rsidR="007804BC" w:rsidRDefault="00CE5214">
      <w:pPr>
        <w:pStyle w:val="Prrafodelista"/>
        <w:widowControl w:val="0"/>
        <w:tabs>
          <w:tab w:val="left" w:pos="0"/>
        </w:tabs>
        <w:spacing w:beforeAutospacing="1" w:afterAutospacing="1" w:line="360" w:lineRule="auto"/>
        <w:ind w:left="0"/>
        <w:jc w:val="both"/>
        <w:rPr>
          <w:rFonts w:ascii="Palatino Linotype" w:hAnsi="Palatino Linotype" w:cs="Arial"/>
        </w:rPr>
      </w:pPr>
      <w:r>
        <w:rPr>
          <w:noProof/>
          <w:lang w:eastAsia="es-MX"/>
        </w:rPr>
        <w:lastRenderedPageBreak/>
        <w:drawing>
          <wp:inline distT="0" distB="0" distL="0" distR="0">
            <wp:extent cx="5700395" cy="7358380"/>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pic:cNvPicPr>
                      <a:picLocks noChangeAspect="1" noChangeArrowheads="1"/>
                    </pic:cNvPicPr>
                  </pic:nvPicPr>
                  <pic:blipFill>
                    <a:blip r:embed="rId8"/>
                    <a:srcRect l="35006" t="22785" r="35358" b="9651"/>
                    <a:stretch>
                      <a:fillRect/>
                    </a:stretch>
                  </pic:blipFill>
                  <pic:spPr bwMode="auto">
                    <a:xfrm>
                      <a:off x="0" y="0"/>
                      <a:ext cx="5700395" cy="7358380"/>
                    </a:xfrm>
                    <a:prstGeom prst="rect">
                      <a:avLst/>
                    </a:prstGeom>
                  </pic:spPr>
                </pic:pic>
              </a:graphicData>
            </a:graphic>
          </wp:inline>
        </w:drawing>
      </w:r>
    </w:p>
    <w:p w:rsidR="007804BC" w:rsidRDefault="00CE5214">
      <w:pPr>
        <w:pStyle w:val="Prrafodelista"/>
        <w:widowControl w:val="0"/>
        <w:tabs>
          <w:tab w:val="left" w:pos="0"/>
        </w:tabs>
        <w:spacing w:beforeAutospacing="1" w:afterAutospacing="1" w:line="360" w:lineRule="auto"/>
        <w:ind w:left="0"/>
        <w:jc w:val="both"/>
        <w:rPr>
          <w:rFonts w:ascii="Palatino Linotype" w:hAnsi="Palatino Linotype" w:cs="Arial"/>
        </w:rPr>
      </w:pPr>
      <w:r>
        <w:rPr>
          <w:noProof/>
          <w:lang w:eastAsia="es-MX"/>
        </w:rPr>
        <w:lastRenderedPageBreak/>
        <w:drawing>
          <wp:inline distT="0" distB="0" distL="0" distR="0">
            <wp:extent cx="5779135" cy="728916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noChangeArrowheads="1"/>
                    </pic:cNvPicPr>
                  </pic:nvPicPr>
                  <pic:blipFill>
                    <a:blip r:embed="rId9"/>
                    <a:srcRect l="35153" t="19070" r="35504" b="11772"/>
                    <a:stretch>
                      <a:fillRect/>
                    </a:stretch>
                  </pic:blipFill>
                  <pic:spPr bwMode="auto">
                    <a:xfrm>
                      <a:off x="0" y="0"/>
                      <a:ext cx="5779135" cy="7289165"/>
                    </a:xfrm>
                    <a:prstGeom prst="rect">
                      <a:avLst/>
                    </a:prstGeom>
                  </pic:spPr>
                </pic:pic>
              </a:graphicData>
            </a:graphic>
          </wp:inline>
        </w:drawing>
      </w:r>
      <w:r>
        <w:rPr>
          <w:noProof/>
          <w:lang w:eastAsia="es-MX"/>
        </w:rPr>
        <w:lastRenderedPageBreak/>
        <w:drawing>
          <wp:inline distT="0" distB="0" distL="0" distR="0">
            <wp:extent cx="5744210" cy="73323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0"/>
                    <a:srcRect l="35006" t="25704" r="35358" b="6486"/>
                    <a:stretch>
                      <a:fillRect/>
                    </a:stretch>
                  </pic:blipFill>
                  <pic:spPr bwMode="auto">
                    <a:xfrm>
                      <a:off x="0" y="0"/>
                      <a:ext cx="5744210" cy="7332345"/>
                    </a:xfrm>
                    <a:prstGeom prst="rect">
                      <a:avLst/>
                    </a:prstGeom>
                  </pic:spPr>
                </pic:pic>
              </a:graphicData>
            </a:graphic>
          </wp:inline>
        </w:drawing>
      </w:r>
    </w:p>
    <w:p w:rsidR="007804BC" w:rsidRDefault="00CE5214">
      <w:pPr>
        <w:pStyle w:val="Prrafodelista"/>
        <w:widowControl w:val="0"/>
        <w:numPr>
          <w:ilvl w:val="0"/>
          <w:numId w:val="5"/>
        </w:numPr>
        <w:tabs>
          <w:tab w:val="left" w:pos="0"/>
        </w:tabs>
        <w:spacing w:beforeAutospacing="1" w:afterAutospacing="1" w:line="360" w:lineRule="auto"/>
        <w:ind w:left="0" w:firstLine="0"/>
        <w:jc w:val="both"/>
        <w:rPr>
          <w:rFonts w:ascii="Palatino Linotype" w:hAnsi="Palatino Linotype" w:cs="Arial"/>
        </w:rPr>
      </w:pPr>
      <w:r>
        <w:rPr>
          <w:rFonts w:ascii="Palatino Linotype" w:hAnsi="Palatino Linotype"/>
        </w:rPr>
        <w:lastRenderedPageBreak/>
        <w:t xml:space="preserve">Inconforme con la respuesta del </w:t>
      </w:r>
      <w:r>
        <w:rPr>
          <w:rFonts w:ascii="Palatino Linotype" w:hAnsi="Palatino Linotype"/>
          <w:b/>
        </w:rPr>
        <w:t>SUJETO OBLIGADO</w:t>
      </w:r>
      <w:r>
        <w:rPr>
          <w:rFonts w:ascii="Palatino Linotype" w:hAnsi="Palatino Linotype"/>
        </w:rPr>
        <w:t xml:space="preserve">, en fecha veintiocho de febrero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al rubro citado, en el que señaló como acto impugnado, lo siguiente:</w:t>
      </w:r>
      <w:bookmarkEnd w:id="3"/>
    </w:p>
    <w:p w:rsidR="007804BC" w:rsidRDefault="00CE5214">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Respuesta a la solicitud de información.</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7804BC" w:rsidRDefault="00CE5214">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rsidR="007804BC" w:rsidRDefault="00CE5214">
      <w:pPr>
        <w:spacing w:beforeAutospacing="1" w:afterAutospacing="1"/>
        <w:ind w:left="709" w:right="709"/>
        <w:jc w:val="both"/>
        <w:rPr>
          <w:rFonts w:ascii="Palatino Linotype" w:hAnsi="Palatino Linotype" w:cs="Arial"/>
          <w:sz w:val="22"/>
          <w:szCs w:val="22"/>
          <w:lang w:eastAsia="es-MX"/>
        </w:rPr>
      </w:pPr>
      <w:r>
        <w:rPr>
          <w:rFonts w:ascii="Palatino Linotype" w:hAnsi="Palatino Linotype" w:cs="Arial"/>
          <w:i/>
          <w:sz w:val="22"/>
          <w:szCs w:val="22"/>
          <w:lang w:eastAsia="es-MX"/>
        </w:rPr>
        <w:t>“</w:t>
      </w:r>
      <w:r>
        <w:rPr>
          <w:rFonts w:ascii="Palatino Linotype" w:hAnsi="Palatino Linotype" w:cs="Arial"/>
          <w:i/>
          <w:sz w:val="22"/>
          <w:szCs w:val="22"/>
        </w:rPr>
        <w:t>No proporcionan la información solicitada respecto a costos ni de donde se sustrae el agua.</w:t>
      </w:r>
      <w:r>
        <w:rPr>
          <w:rFonts w:ascii="Palatino Linotype" w:hAnsi="Palatino Linotype" w:cs="Arial"/>
          <w:i/>
          <w:sz w:val="22"/>
          <w:szCs w:val="22"/>
          <w:lang w:eastAsia="es-MX"/>
        </w:rPr>
        <w:t xml:space="preserve">” </w:t>
      </w:r>
      <w:r>
        <w:rPr>
          <w:rFonts w:ascii="Palatino Linotype" w:hAnsi="Palatino Linotype" w:cs="Arial"/>
          <w:sz w:val="22"/>
          <w:szCs w:val="22"/>
          <w:lang w:eastAsia="es-MX"/>
        </w:rPr>
        <w:t>(Sic)</w:t>
      </w:r>
    </w:p>
    <w:p w:rsidR="007804BC" w:rsidRDefault="00CE5214">
      <w:pPr>
        <w:pStyle w:val="Prrafodelista"/>
        <w:widowControl w:val="0"/>
        <w:numPr>
          <w:ilvl w:val="0"/>
          <w:numId w:val="5"/>
        </w:numPr>
        <w:tabs>
          <w:tab w:val="left" w:pos="0"/>
        </w:tabs>
        <w:spacing w:before="240" w:after="240" w:line="360" w:lineRule="auto"/>
        <w:ind w:left="0" w:firstLine="0"/>
        <w:jc w:val="both"/>
        <w:rPr>
          <w:rFonts w:ascii="Palatino Linotype" w:hAnsi="Palatino Linotype" w:cs="Arial"/>
          <w:lang w:val="es-ES_tradnl"/>
        </w:rPr>
      </w:pPr>
      <w:r>
        <w:rPr>
          <w:rFonts w:ascii="Palatino Linotype" w:hAnsi="Palatino Linotype" w:cs="Arial"/>
        </w:rPr>
        <w:t xml:space="preserve">En fecha </w:t>
      </w:r>
      <w:r>
        <w:rPr>
          <w:rFonts w:ascii="Palatino Linotype" w:hAnsi="Palatino Linotype"/>
        </w:rPr>
        <w:t>veintiocho de febrero de dos mil veinte</w:t>
      </w:r>
      <w:r>
        <w:rPr>
          <w:rFonts w:ascii="Palatino Linotype" w:hAnsi="Palatino Linotype" w:cs="Arial"/>
        </w:rPr>
        <w:t>, 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Ley de Transparencia y Acceso a la Información 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rsidR="007804BC" w:rsidRDefault="00CE5214">
      <w:pPr>
        <w:pStyle w:val="Prrafodelista"/>
        <w:widowControl w:val="0"/>
        <w:numPr>
          <w:ilvl w:val="0"/>
          <w:numId w:val="5"/>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 xml:space="preserve">En fecha </w:t>
      </w:r>
      <w:r>
        <w:rPr>
          <w:rFonts w:ascii="Palatino Linotype" w:hAnsi="Palatino Linotype"/>
        </w:rPr>
        <w:t>seis de marzo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xml:space="preserve">, para que exhibiera el </w:t>
      </w:r>
      <w:r>
        <w:rPr>
          <w:rFonts w:ascii="Palatino Linotype" w:hAnsi="Palatino Linotype" w:cs="Arial"/>
        </w:rPr>
        <w:lastRenderedPageBreak/>
        <w:t>Informe Justificado correspondiente.</w:t>
      </w:r>
    </w:p>
    <w:p w:rsidR="007804BC" w:rsidRDefault="00CE5214">
      <w:pPr>
        <w:pStyle w:val="Prrafodelista"/>
        <w:widowControl w:val="0"/>
        <w:numPr>
          <w:ilvl w:val="0"/>
          <w:numId w:val="5"/>
        </w:numPr>
        <w:tabs>
          <w:tab w:val="left" w:pos="0"/>
        </w:tabs>
        <w:spacing w:before="240" w:after="240" w:line="360" w:lineRule="auto"/>
        <w:ind w:left="0" w:firstLine="0"/>
        <w:jc w:val="both"/>
        <w:rPr>
          <w:rFonts w:ascii="Palatino Linotype" w:hAnsi="Palatino Linotype" w:cs="Arial"/>
        </w:rPr>
      </w:pPr>
      <w:r>
        <w:rPr>
          <w:rFonts w:ascii="Palatino Linotype" w:hAnsi="Palatino Linotype" w:cs="Arial"/>
        </w:rPr>
        <w:t xml:space="preserve">Cabe destacarse, que </w:t>
      </w:r>
      <w:r>
        <w:rPr>
          <w:rFonts w:ascii="Palatino Linotype" w:hAnsi="Palatino Linotype" w:cs="Arial"/>
          <w:b/>
        </w:rPr>
        <w:t>EL SUJETO OBLIGADO</w:t>
      </w:r>
      <w:r>
        <w:rPr>
          <w:rFonts w:ascii="Palatino Linotype" w:hAnsi="Palatino Linotype" w:cs="Arial"/>
        </w:rPr>
        <w:t xml:space="preserve"> no rindió su Informe Justificado; p</w:t>
      </w:r>
      <w:r>
        <w:rPr>
          <w:rFonts w:ascii="Palatino Linotype" w:hAnsi="Palatino Linotype"/>
        </w:rPr>
        <w:t xml:space="preserve">or su parte, </w:t>
      </w:r>
      <w:r>
        <w:rPr>
          <w:rFonts w:ascii="Palatino Linotype" w:hAnsi="Palatino Linotype"/>
          <w:b/>
        </w:rPr>
        <w:t>EL RECURRENTE</w:t>
      </w:r>
      <w:r>
        <w:rPr>
          <w:rFonts w:ascii="Palatino Linotype" w:hAnsi="Palatino Linotype"/>
        </w:rPr>
        <w:t xml:space="preserve"> no presentó manifestaciones, alegatos ni ofreció los medios de prueba que a su derecho convinieran.</w:t>
      </w:r>
    </w:p>
    <w:p w:rsidR="007804BC" w:rsidRDefault="00CE5214">
      <w:pPr>
        <w:pStyle w:val="Prrafodelista"/>
        <w:numPr>
          <w:ilvl w:val="0"/>
          <w:numId w:val="2"/>
        </w:numPr>
        <w:spacing w:before="240" w:after="240" w:line="360" w:lineRule="auto"/>
        <w:ind w:left="0" w:firstLine="0"/>
        <w:jc w:val="both"/>
        <w:rPr>
          <w:rFonts w:ascii="Palatino Linotype" w:hAnsi="Palatino Linotype"/>
        </w:rPr>
      </w:pPr>
      <w:r>
        <w:rPr>
          <w:rFonts w:ascii="Palatino Linotype" w:hAnsi="Palatino Linotype" w:cs="Arial"/>
        </w:rPr>
        <w:t xml:space="preserve">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diecinueve de marzo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804BC" w:rsidRDefault="00CE5214">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rsidR="007804BC" w:rsidRDefault="00CE5214">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rsidR="007804BC" w:rsidRDefault="00CE5214">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lastRenderedPageBreak/>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 </w:t>
      </w:r>
      <w:r>
        <w:rPr>
          <w:rFonts w:ascii="Palatino Linotype" w:hAnsi="Palatino Linotype"/>
        </w:rPr>
        <w:t>número</w:t>
      </w:r>
      <w:r>
        <w:rPr>
          <w:rFonts w:ascii="Palatino Linotype" w:hAnsi="Palatino Linotype" w:cs="Arial"/>
        </w:rPr>
        <w:t xml:space="preserve"> </w:t>
      </w:r>
      <w:r>
        <w:rPr>
          <w:rFonts w:ascii="Palatino Linotype" w:hAnsi="Palatino Linotype"/>
          <w:b/>
          <w:bCs/>
        </w:rPr>
        <w:t>00023/CUAUTIT/IP/2020</w:t>
      </w:r>
      <w:r>
        <w:rPr>
          <w:rFonts w:ascii="Palatino Linotype" w:hAnsi="Palatino Linotype" w:cs="Arial"/>
          <w:lang w:val="es-ES_tradnl"/>
        </w:rPr>
        <w:t>.</w:t>
      </w:r>
    </w:p>
    <w:p w:rsidR="007804BC" w:rsidRDefault="00CE5214">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color w:val="000000"/>
        </w:rPr>
        <w:t>Oportunidad.</w:t>
      </w:r>
      <w:r>
        <w:rPr>
          <w:rFonts w:ascii="Palatino Linotype" w:hAnsi="Palatino Linotype" w:cs="Arial"/>
          <w:color w:val="000000"/>
        </w:rPr>
        <w:t xml:space="preserve">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7804BC" w:rsidRDefault="00CE5214">
      <w:pPr>
        <w:spacing w:beforeAutospacing="1" w:afterAutospacing="1"/>
        <w:ind w:left="720" w:right="709"/>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804BC" w:rsidRDefault="00CE5214">
      <w:pPr>
        <w:spacing w:beforeAutospacing="1" w:afterAutospacing="1"/>
        <w:ind w:left="720" w:right="709"/>
        <w:contextualSpacing/>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804BC" w:rsidRDefault="00CE5214">
      <w:pPr>
        <w:spacing w:before="240" w:afterAutospacing="1"/>
        <w:ind w:left="720" w:right="709"/>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7804BC" w:rsidRDefault="00CE5214">
      <w:pPr>
        <w:spacing w:before="240" w:afterAutospacing="1" w:line="360" w:lineRule="auto"/>
        <w:jc w:val="both"/>
        <w:rPr>
          <w:rFonts w:ascii="Palatino Linotype" w:hAnsi="Palatino Linotype"/>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acceso a la información pública el día</w:t>
      </w:r>
      <w:r>
        <w:rPr>
          <w:rFonts w:ascii="Palatino Linotype" w:hAnsi="Palatino Linotype" w:cs="Arial"/>
          <w:b/>
        </w:rPr>
        <w:t xml:space="preserve"> diecisiete de febrero de dos mil veinte</w:t>
      </w:r>
      <w:r>
        <w:rPr>
          <w:rFonts w:ascii="Palatino Linotype" w:hAnsi="Palatino Linotype" w:cs="Arial"/>
        </w:rPr>
        <w:t xml:space="preserve">; así, el plazo de quince días hábiles que el artículo 178 de la Ley de la materia otorga a </w:t>
      </w:r>
      <w:r>
        <w:rPr>
          <w:rFonts w:ascii="Palatino Linotype" w:hAnsi="Palatino Linotype" w:cs="Arial"/>
          <w:b/>
        </w:rPr>
        <w:t>EL RECURRENTE</w:t>
      </w:r>
      <w:r>
        <w:rPr>
          <w:rFonts w:ascii="Palatino Linotype" w:hAnsi="Palatino Linotype" w:cs="Arial"/>
        </w:rPr>
        <w:t xml:space="preserve"> para presentar el respectivo recurso de revisión, transcurrió del </w:t>
      </w:r>
      <w:r>
        <w:rPr>
          <w:rFonts w:ascii="Palatino Linotype" w:hAnsi="Palatino Linotype" w:cs="Arial"/>
          <w:b/>
        </w:rPr>
        <w:t>dieciocho de febrero al doce de marzo de dos mil veinte</w:t>
      </w:r>
      <w:r>
        <w:rPr>
          <w:rFonts w:ascii="Palatino Linotype" w:hAnsi="Palatino Linotype" w:cs="Arial"/>
        </w:rPr>
        <w:t xml:space="preserve">, sin contemplar en el cómputo los días veintidós, veintitrés y veintinueve de febrero, uno, siete y ocho de marzo de dos mil veinte, por corresponder a sábados y domingos, considerados como días inhábiles, en términos del artículo 3, fracción X de la </w:t>
      </w:r>
      <w:r>
        <w:rPr>
          <w:rFonts w:ascii="Palatino Linotype" w:hAnsi="Palatino Linotype"/>
        </w:rPr>
        <w:t xml:space="preserve">Ley de </w:t>
      </w:r>
      <w:r>
        <w:rPr>
          <w:rFonts w:ascii="Palatino Linotype" w:hAnsi="Palatino Linotype"/>
        </w:rPr>
        <w:lastRenderedPageBreak/>
        <w:t>Transparencia y Acceso a la Información Pública del Estado de México y Municipios; así como, los días dos y nueve de marzo de dos mil veinte, por ser considerados como suspensión de labores, de conformidad con el Calendario Oficial en Materia de Transparencia, Acceso a la Información Pública y Protección de Datos Personales para el año dos mil veinte y enero dos mil veintiuno, aprobado por el Pleno de este Instituto, el diecinueve de diciembre de dos mil diecinueve y en términos del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w:t>
      </w:r>
    </w:p>
    <w:p w:rsidR="007804BC" w:rsidRDefault="00CE5214">
      <w:pPr>
        <w:spacing w:beforeAutospacing="1" w:afterAutospacing="1" w:line="360" w:lineRule="auto"/>
        <w:jc w:val="both"/>
        <w:rPr>
          <w:rFonts w:ascii="Palatino Linotype" w:hAnsi="Palatino Linotype" w:cs="Arial"/>
        </w:rPr>
      </w:pPr>
      <w:r>
        <w:rPr>
          <w:rFonts w:ascii="Palatino Linotype" w:hAnsi="Palatino Linotype" w:cs="Arial"/>
        </w:rPr>
        <w:t>En ese tenor, si el recurso de revisión que nos ocupa, se interpuso el</w:t>
      </w:r>
      <w:r>
        <w:rPr>
          <w:rFonts w:ascii="Palatino Linotype" w:hAnsi="Palatino Linotype" w:cs="Arial"/>
          <w:b/>
        </w:rPr>
        <w:t xml:space="preserve"> </w:t>
      </w:r>
      <w:r>
        <w:rPr>
          <w:rFonts w:ascii="Palatino Linotype" w:hAnsi="Palatino Linotype" w:cs="Arial"/>
          <w:b/>
          <w:u w:val="single"/>
        </w:rPr>
        <w:t>veintiocho de febrero de dos mil veinte</w:t>
      </w:r>
      <w:r>
        <w:rPr>
          <w:rFonts w:ascii="Palatino Linotype" w:hAnsi="Palatino Linotype" w:cs="Arial"/>
        </w:rPr>
        <w:t>, éste se encuentra dentro de los márgenes temporales previstos en el precepto legal citado en el párrafo anterior y, por tanto, su interposición se considera oportuna.</w:t>
      </w:r>
    </w:p>
    <w:p w:rsidR="007804BC" w:rsidRDefault="00CE5214">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lang w:val="es-ES"/>
        </w:rPr>
      </w:pPr>
      <w:r>
        <w:rPr>
          <w:rFonts w:ascii="Palatino Linotype" w:hAnsi="Palatino Linotype" w:cs="Arial"/>
          <w:b/>
        </w:rPr>
        <w:t xml:space="preserve">Procedibilidad. </w:t>
      </w:r>
      <w:r>
        <w:rPr>
          <w:rFonts w:ascii="Palatino Linotype" w:hAnsi="Palatino Linotype" w:cs="Arial"/>
        </w:rPr>
        <w:t>Del análisis efectuado, se advierte la procedibilidad del presente Recurso de Revisión, en razón de acreditación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rsidR="007804BC" w:rsidRDefault="00CE5214">
      <w:pPr>
        <w:pStyle w:val="Prrafodelista"/>
        <w:widowControl w:val="0"/>
        <w:numPr>
          <w:ilvl w:val="0"/>
          <w:numId w:val="1"/>
        </w:numPr>
        <w:tabs>
          <w:tab w:val="left" w:pos="1276"/>
          <w:tab w:val="left" w:pos="1701"/>
          <w:tab w:val="left" w:pos="1843"/>
        </w:tabs>
        <w:spacing w:afterAutospacing="1" w:line="360" w:lineRule="auto"/>
        <w:ind w:left="0" w:right="49" w:firstLine="0"/>
        <w:jc w:val="both"/>
        <w:rPr>
          <w:rFonts w:ascii="Palatino Linotype" w:hAnsi="Palatino Linotype"/>
        </w:rPr>
      </w:pPr>
      <w:r>
        <w:rPr>
          <w:rFonts w:ascii="Palatino Linotype" w:hAnsi="Palatino Linotype" w:cs="Arial"/>
          <w:b/>
        </w:rPr>
        <w:t>Análisis de las causales de sobreseimiento</w:t>
      </w:r>
      <w:r>
        <w:rPr>
          <w:rFonts w:ascii="Palatino Linotype" w:hAnsi="Palatino Linotype" w:cs="Arial"/>
          <w:b/>
          <w:color w:val="000000" w:themeColor="text1"/>
        </w:rPr>
        <w:t>.</w:t>
      </w:r>
      <w:r>
        <w:rPr>
          <w:rFonts w:ascii="Palatino Linotype" w:hAnsi="Palatino Linotype" w:cs="Arial"/>
        </w:rPr>
        <w:t xml:space="preserve"> Previo al estudio de fondo del asuntos, este Instituto procede a analizar si en el presente caso se actualiza alguna causal de improcedencia</w:t>
      </w:r>
      <w:r>
        <w:rPr>
          <w:rFonts w:ascii="Palatino Linotype" w:hAnsi="Palatino Linotype"/>
        </w:rPr>
        <w:t xml:space="preserve">; así, este Órgano Colegiado advierte que en el caso se </w:t>
      </w:r>
      <w:r>
        <w:rPr>
          <w:rFonts w:ascii="Palatino Linotype" w:hAnsi="Palatino Linotype"/>
        </w:rPr>
        <w:lastRenderedPageBreak/>
        <w:t xml:space="preserve">actualiza la causal de sobreseimiento prevista en la fracción IV del artículo 192, en relación con el diverso artículo 191, fracción VII de la Ley de Transparencia y Acceso a la Información Pública del Estado de México y Municipios, que a la letra dicen: </w:t>
      </w:r>
    </w:p>
    <w:p w:rsidR="007804BC" w:rsidRDefault="00CE5214">
      <w:pPr>
        <w:tabs>
          <w:tab w:val="left" w:pos="851"/>
        </w:tabs>
        <w:ind w:left="851" w:right="902"/>
        <w:jc w:val="both"/>
        <w:rPr>
          <w:rFonts w:ascii="Palatino Linotype" w:hAnsi="Palatino Linotype" w:cs="Arial"/>
          <w:i/>
          <w:sz w:val="22"/>
          <w:szCs w:val="22"/>
        </w:rPr>
      </w:pPr>
      <w:r>
        <w:rPr>
          <w:rFonts w:ascii="Palatino Linotype" w:hAnsi="Palatino Linotype" w:cs="Arial"/>
          <w:i/>
          <w:sz w:val="22"/>
        </w:rPr>
        <w:t>“</w:t>
      </w:r>
      <w:r>
        <w:rPr>
          <w:rFonts w:ascii="Palatino Linotype" w:hAnsi="Palatino Linotype"/>
          <w:b/>
          <w:i/>
          <w:sz w:val="22"/>
          <w:szCs w:val="22"/>
        </w:rPr>
        <w:t>Artículo 191.</w:t>
      </w:r>
      <w:r>
        <w:rPr>
          <w:rFonts w:ascii="Palatino Linotype" w:hAnsi="Palatino Linotype"/>
          <w:i/>
          <w:sz w:val="22"/>
          <w:szCs w:val="22"/>
        </w:rPr>
        <w:t xml:space="preserve"> El recurso será desechado por improcedente cuando:</w:t>
      </w:r>
    </w:p>
    <w:p w:rsidR="007804BC" w:rsidRDefault="00CE5214">
      <w:pPr>
        <w:tabs>
          <w:tab w:val="left" w:pos="851"/>
        </w:tabs>
        <w:ind w:left="851" w:right="902"/>
        <w:jc w:val="both"/>
        <w:rPr>
          <w:rFonts w:ascii="Palatino Linotype" w:hAnsi="Palatino Linotype" w:cs="Arial"/>
          <w:i/>
          <w:sz w:val="22"/>
          <w:szCs w:val="22"/>
        </w:rPr>
      </w:pPr>
      <w:r>
        <w:rPr>
          <w:rFonts w:ascii="Palatino Linotype" w:hAnsi="Palatino Linotype" w:cs="Arial"/>
          <w:i/>
          <w:sz w:val="22"/>
          <w:szCs w:val="22"/>
        </w:rPr>
        <w:t>(…)</w:t>
      </w:r>
    </w:p>
    <w:p w:rsidR="007804BC" w:rsidRDefault="00CE5214">
      <w:pPr>
        <w:tabs>
          <w:tab w:val="left" w:pos="851"/>
        </w:tabs>
        <w:ind w:left="851" w:right="902"/>
        <w:jc w:val="both"/>
        <w:rPr>
          <w:rFonts w:ascii="Palatino Linotype" w:hAnsi="Palatino Linotype" w:cs="Arial"/>
          <w:b/>
          <w:i/>
          <w:sz w:val="22"/>
          <w:szCs w:val="22"/>
        </w:rPr>
      </w:pPr>
      <w:r>
        <w:rPr>
          <w:rFonts w:ascii="Palatino Linotype" w:hAnsi="Palatino Linotype"/>
          <w:b/>
          <w:i/>
          <w:sz w:val="22"/>
          <w:szCs w:val="22"/>
        </w:rPr>
        <w:t>VII. El recurrente amplíe su solicitud en el recurso de revisión, únicamente respecto de los nuevos contenidos.</w:t>
      </w:r>
    </w:p>
    <w:p w:rsidR="007804BC" w:rsidRDefault="00CE5214">
      <w:pPr>
        <w:tabs>
          <w:tab w:val="left" w:pos="851"/>
        </w:tabs>
        <w:ind w:left="851" w:right="902"/>
        <w:jc w:val="both"/>
        <w:rPr>
          <w:rFonts w:ascii="Palatino Linotype" w:hAnsi="Palatino Linotype" w:cs="Arial"/>
          <w:i/>
          <w:sz w:val="22"/>
        </w:rPr>
      </w:pPr>
      <w:r>
        <w:rPr>
          <w:rFonts w:ascii="Palatino Linotype" w:hAnsi="Palatino Linotype" w:cs="Arial"/>
          <w:b/>
          <w:i/>
          <w:sz w:val="22"/>
        </w:rPr>
        <w:t xml:space="preserve">Artículo 192. </w:t>
      </w:r>
      <w:r>
        <w:rPr>
          <w:rFonts w:ascii="Palatino Linotype" w:hAnsi="Palatino Linotype" w:cs="Arial"/>
          <w:i/>
          <w:sz w:val="22"/>
        </w:rPr>
        <w:t>El recurso será sobreseído, en todo o en parte, cuando una vez admitido, se actualicen alguno de los siguientes supuestos:</w:t>
      </w:r>
    </w:p>
    <w:p w:rsidR="007804BC" w:rsidRDefault="00CE5214">
      <w:pPr>
        <w:ind w:left="851" w:right="902"/>
        <w:jc w:val="both"/>
        <w:rPr>
          <w:rFonts w:ascii="Palatino Linotype" w:hAnsi="Palatino Linotype" w:cs="Arial"/>
          <w:i/>
          <w:sz w:val="22"/>
        </w:rPr>
      </w:pPr>
      <w:r>
        <w:rPr>
          <w:rFonts w:ascii="Palatino Linotype" w:hAnsi="Palatino Linotype" w:cs="Arial"/>
          <w:i/>
          <w:sz w:val="22"/>
        </w:rPr>
        <w:t>(…)</w:t>
      </w:r>
    </w:p>
    <w:p w:rsidR="007804BC" w:rsidRDefault="00CE5214">
      <w:pPr>
        <w:tabs>
          <w:tab w:val="left" w:pos="851"/>
        </w:tabs>
        <w:ind w:left="851" w:right="902"/>
        <w:jc w:val="both"/>
        <w:rPr>
          <w:rFonts w:ascii="Palatino Linotype" w:hAnsi="Palatino Linotype" w:cs="Arial"/>
          <w:b/>
          <w:i/>
          <w:sz w:val="22"/>
        </w:rPr>
      </w:pPr>
      <w:r>
        <w:rPr>
          <w:rFonts w:ascii="Palatino Linotype" w:hAnsi="Palatino Linotype" w:cs="Arial"/>
          <w:b/>
          <w:i/>
          <w:sz w:val="22"/>
        </w:rPr>
        <w:t>IV. Admitido el recurso de revisión, aparezca alguna causal de improcedencia en los términos de la presente Ley; y</w:t>
      </w:r>
    </w:p>
    <w:p w:rsidR="007804BC" w:rsidRDefault="00CE5214">
      <w:pPr>
        <w:tabs>
          <w:tab w:val="left" w:pos="851"/>
        </w:tabs>
        <w:ind w:left="851" w:right="902"/>
        <w:jc w:val="both"/>
        <w:rPr>
          <w:rFonts w:ascii="Palatino Linotype" w:hAnsi="Palatino Linotype" w:cs="Arial"/>
          <w:i/>
          <w:sz w:val="22"/>
        </w:rPr>
      </w:pPr>
      <w:r>
        <w:rPr>
          <w:rFonts w:ascii="Palatino Linotype" w:hAnsi="Palatino Linotype" w:cs="Arial"/>
          <w:i/>
          <w:sz w:val="22"/>
        </w:rPr>
        <w:t xml:space="preserve">(Énfasis añadido)” </w:t>
      </w:r>
    </w:p>
    <w:p w:rsidR="007804BC" w:rsidRDefault="00CE5214">
      <w:pPr>
        <w:spacing w:beforeAutospacing="1" w:afterAutospacing="1" w:line="360" w:lineRule="auto"/>
        <w:jc w:val="both"/>
        <w:rPr>
          <w:rFonts w:ascii="Palatino Linotype" w:hAnsi="Palatino Linotype" w:cs="Arial"/>
        </w:rPr>
      </w:pPr>
      <w:r>
        <w:rPr>
          <w:rFonts w:ascii="Palatino Linotype" w:hAnsi="Palatino Linotype" w:cs="Arial"/>
        </w:rPr>
        <w:t>Luego, conforme a la transcripción que antecede conviene desglosar los elementos de la disposición enunciada, de manera tal que procede el sobreseimiento del recurso de revisión cuando aparezca alguna causal de improcedencia, en los términos del artículo 191 de la Ley de Transparencia y Acceso a la Información Pública del Estado de México y Municipios.</w:t>
      </w:r>
    </w:p>
    <w:p w:rsidR="007804BC" w:rsidRDefault="00CE5214">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Esto es así, ya que el particular requirió del </w:t>
      </w:r>
      <w:r>
        <w:rPr>
          <w:rFonts w:ascii="Palatino Linotype" w:hAnsi="Palatino Linotype"/>
          <w:b/>
          <w:lang w:eastAsia="es-MX"/>
        </w:rPr>
        <w:t xml:space="preserve">SUJETO OBLIGADO </w:t>
      </w:r>
      <w:r>
        <w:rPr>
          <w:rFonts w:ascii="Palatino Linotype" w:hAnsi="Palatino Linotype"/>
          <w:lang w:eastAsia="es-MX"/>
        </w:rPr>
        <w:t xml:space="preserve"> los kotivos por los cuáles no hay suministro de agua en una unidad habitacional es específico; conocer si ala fecha de la solicitud, esto es al 27 de enero de 2020</w:t>
      </w:r>
      <w:r>
        <w:rPr>
          <w:rStyle w:val="Ancladenotaalpie"/>
          <w:rFonts w:ascii="Palatino Linotype" w:hAnsi="Palatino Linotype"/>
          <w:lang w:eastAsia="es-MX"/>
        </w:rPr>
        <w:footnoteReference w:id="1"/>
      </w:r>
      <w:r>
        <w:rPr>
          <w:rFonts w:ascii="Palatino Linotype" w:hAnsi="Palatino Linotype"/>
          <w:lang w:eastAsia="es-MX"/>
        </w:rPr>
        <w:t xml:space="preserve">, existe algúnn impedimento para que los habitantes de dicha unidad habitacionalcuenten con el suministro y el documento donde conste por qué desde el año 2017, se brinda el suministro de agua 3 </w:t>
      </w:r>
      <w:r>
        <w:rPr>
          <w:rFonts w:ascii="Palatino Linotype" w:hAnsi="Palatino Linotype"/>
          <w:lang w:eastAsia="es-MX"/>
        </w:rPr>
        <w:lastRenderedPageBreak/>
        <w:t>veces por semana, mediante pipas.</w:t>
      </w:r>
    </w:p>
    <w:p w:rsidR="007804BC" w:rsidRDefault="00CE5214">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Al respecto,</w:t>
      </w:r>
      <w:r>
        <w:rPr>
          <w:rFonts w:ascii="Palatino Linotype" w:hAnsi="Palatino Linotype"/>
          <w:b/>
          <w:lang w:eastAsia="es-MX"/>
        </w:rPr>
        <w:t xml:space="preserve"> EL SUJETO OBLIGADO </w:t>
      </w:r>
      <w:r>
        <w:rPr>
          <w:rFonts w:ascii="Palatino Linotype" w:hAnsi="Palatino Linotype"/>
          <w:lang w:eastAsia="es-MX"/>
        </w:rPr>
        <w:t>respondió al particular que se han generado problemas por deficiencias de falta de agua potable debido adepende de la red de agua que viene del ramal de Teoloyucan, dependiente de la Comisión Nacional del Agua; que dicha Comisión ha sufrido severas complicaciones en diferentes pozos, lo que provoca baja presión en el sumnisitro del líquido. Asimismo, refirió que la entrega de agua con camiones tipo cisternas, se debe a que en el Municipio se tienen varias colonias sin servicio de agua potable, lo que conlleva dotar de agua; por lo que, únicamente se tiene una pipa que está en apoyo para cubrir las necesidades de cada una de las localidades.</w:t>
      </w:r>
    </w:p>
    <w:p w:rsidR="007804BC" w:rsidRDefault="00CE5214">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Inconforme con la respuesta, el hoy </w:t>
      </w:r>
      <w:r>
        <w:rPr>
          <w:rFonts w:ascii="Palatino Linotype" w:hAnsi="Palatino Linotype"/>
          <w:b/>
          <w:lang w:eastAsia="es-MX"/>
        </w:rPr>
        <w:t>RECURRENTE</w:t>
      </w:r>
      <w:r>
        <w:rPr>
          <w:rFonts w:ascii="Palatino Linotype" w:hAnsi="Palatino Linotype"/>
          <w:lang w:eastAsia="es-MX"/>
        </w:rPr>
        <w:t xml:space="preserve"> interpuso el medio de defensa de mérito, en el cual, únicamente se dolio de la respuesta otorgada, puesto que consideró que no se le entregó .información respecto a los costos ni respecto al lugar del cual se sustrae el agua.</w:t>
      </w:r>
    </w:p>
    <w:p w:rsidR="007804BC" w:rsidRDefault="00CE5214">
      <w:pPr>
        <w:widowControl w:val="0"/>
        <w:tabs>
          <w:tab w:val="left" w:pos="1276"/>
        </w:tabs>
        <w:spacing w:before="240" w:afterAutospacing="1" w:line="360" w:lineRule="auto"/>
        <w:jc w:val="both"/>
        <w:rPr>
          <w:rFonts w:ascii="Palatino Linotype" w:hAnsi="Palatino Linotype"/>
          <w:lang w:eastAsia="es-MX"/>
        </w:rPr>
      </w:pPr>
      <w:r>
        <w:rPr>
          <w:rFonts w:ascii="Palatino Linotype" w:hAnsi="Palatino Linotype"/>
          <w:lang w:eastAsia="es-MX"/>
        </w:rPr>
        <w:t xml:space="preserve">Cabe destacarse, que </w:t>
      </w:r>
      <w:r>
        <w:rPr>
          <w:rFonts w:ascii="Palatino Linotype" w:hAnsi="Palatino Linotype"/>
          <w:b/>
          <w:lang w:eastAsia="es-MX"/>
        </w:rPr>
        <w:t>EL SUJETO OBLIGADO</w:t>
      </w:r>
      <w:r>
        <w:rPr>
          <w:rFonts w:ascii="Palatino Linotype" w:hAnsi="Palatino Linotype"/>
          <w:lang w:eastAsia="es-MX"/>
        </w:rPr>
        <w:t xml:space="preserve"> no rindió su Informe Justificado. Por su parte, </w:t>
      </w:r>
      <w:r>
        <w:rPr>
          <w:rFonts w:ascii="Palatino Linotype" w:hAnsi="Palatino Linotype"/>
          <w:b/>
          <w:lang w:eastAsia="es-MX"/>
        </w:rPr>
        <w:t>EL RECURRENTE</w:t>
      </w:r>
      <w:r>
        <w:rPr>
          <w:rFonts w:ascii="Palatino Linotype" w:hAnsi="Palatino Linotype"/>
          <w:lang w:eastAsia="es-MX"/>
        </w:rPr>
        <w:t xml:space="preserve"> no presentó manifestaciones, alegatos ni ofreció los medios de prueba que a su derecho convinieran.</w:t>
      </w:r>
    </w:p>
    <w:p w:rsidR="007804BC" w:rsidRDefault="00CE5214">
      <w:pPr>
        <w:widowControl w:val="0"/>
        <w:tabs>
          <w:tab w:val="left" w:pos="1276"/>
        </w:tabs>
        <w:spacing w:before="240" w:afterAutospacing="1" w:line="360" w:lineRule="auto"/>
        <w:jc w:val="both"/>
        <w:rPr>
          <w:rFonts w:ascii="Palatino Linotype" w:eastAsia="Calibri" w:hAnsi="Palatino Linotype"/>
          <w:szCs w:val="22"/>
          <w:lang w:eastAsia="en-US"/>
        </w:rPr>
      </w:pPr>
      <w:r>
        <w:rPr>
          <w:rFonts w:ascii="Palatino Linotype" w:eastAsia="Calibri" w:hAnsi="Palatino Linotype" w:cs="Arial"/>
        </w:rPr>
        <w:t xml:space="preserve">Bajo ese contexto, este Instituto analizó la totalidad de constancias que integran el expediente electrónico del </w:t>
      </w:r>
      <w:r>
        <w:rPr>
          <w:rFonts w:ascii="Palatino Linotype" w:eastAsia="Calibri" w:hAnsi="Palatino Linotype" w:cs="Arial"/>
          <w:b/>
        </w:rPr>
        <w:t>SAIMEX</w:t>
      </w:r>
      <w:r>
        <w:rPr>
          <w:rFonts w:ascii="Palatino Linotype" w:eastAsia="Calibri" w:hAnsi="Palatino Linotype" w:cs="Arial"/>
        </w:rPr>
        <w:t xml:space="preserve"> y advirtió que el presente Recurso de Revisión es improcedente, puesto que los requerimientos solicitados en la interposición del medio de defensa</w:t>
      </w:r>
      <w:r>
        <w:rPr>
          <w:rFonts w:ascii="Palatino Linotype" w:eastAsia="Calibri" w:hAnsi="Palatino Linotype"/>
          <w:szCs w:val="22"/>
          <w:lang w:eastAsia="en-US"/>
        </w:rPr>
        <w:t xml:space="preserve"> </w:t>
      </w:r>
      <w:r>
        <w:rPr>
          <w:rFonts w:ascii="Palatino Linotype" w:eastAsia="Calibri" w:hAnsi="Palatino Linotype"/>
          <w:b/>
          <w:szCs w:val="22"/>
          <w:lang w:eastAsia="en-US"/>
        </w:rPr>
        <w:t xml:space="preserve">no formaron parte </w:t>
      </w:r>
      <w:r>
        <w:rPr>
          <w:rFonts w:ascii="Palatino Linotype" w:eastAsia="Calibri" w:hAnsi="Palatino Linotype"/>
          <w:szCs w:val="22"/>
          <w:lang w:eastAsia="en-US"/>
        </w:rPr>
        <w:t xml:space="preserve">de la solicitud de acceso a la información; </w:t>
      </w:r>
      <w:r>
        <w:rPr>
          <w:rFonts w:ascii="Palatino Linotype" w:eastAsia="Calibri" w:hAnsi="Palatino Linotype"/>
          <w:bCs/>
          <w:szCs w:val="22"/>
          <w:lang w:eastAsia="en-US"/>
        </w:rPr>
        <w:t xml:space="preserve">por lo tanto, </w:t>
      </w:r>
      <w:r>
        <w:rPr>
          <w:rFonts w:ascii="Palatino Linotype" w:eastAsia="Calibri" w:hAnsi="Palatino Linotype"/>
          <w:bCs/>
          <w:szCs w:val="22"/>
          <w:lang w:eastAsia="en-US"/>
        </w:rPr>
        <w:lastRenderedPageBreak/>
        <w:t xml:space="preserve">la solicitud aludida debe considerarse como una </w:t>
      </w:r>
      <w:r>
        <w:rPr>
          <w:rFonts w:ascii="Palatino Linotype" w:eastAsia="Calibri" w:hAnsi="Palatino Linotype"/>
          <w:szCs w:val="22"/>
          <w:lang w:eastAsia="en-US"/>
        </w:rPr>
        <w:t xml:space="preserve">petición adicional o </w:t>
      </w:r>
      <w:r>
        <w:rPr>
          <w:rFonts w:ascii="Palatino Linotype" w:eastAsia="Calibri" w:hAnsi="Palatino Linotype"/>
          <w:i/>
          <w:szCs w:val="22"/>
          <w:lang w:eastAsia="en-US"/>
        </w:rPr>
        <w:t>plus petitio</w:t>
      </w:r>
      <w:r>
        <w:rPr>
          <w:rFonts w:ascii="Palatino Linotype" w:eastAsia="Calibri" w:hAnsi="Palatino Linotype"/>
          <w:szCs w:val="22"/>
          <w:lang w:eastAsia="en-US"/>
        </w:rPr>
        <w:t>; es decir, que se trata de una nueva solicitud de información, puesto que no había sido previamente requerida, mediante su solicitud de información.</w:t>
      </w:r>
    </w:p>
    <w:p w:rsidR="007804BC" w:rsidRDefault="00CE5214">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De esta forma, al realizarse una solicitud adicional a manera de razones o motivos de inconformidad; éstos resultan </w:t>
      </w:r>
      <w:r>
        <w:rPr>
          <w:rFonts w:ascii="Palatino Linotype" w:eastAsia="Calibri" w:hAnsi="Palatino Linotype"/>
          <w:b/>
          <w:szCs w:val="22"/>
          <w:lang w:eastAsia="en-US"/>
        </w:rPr>
        <w:t>inoperantes e inatendibles</w:t>
      </w:r>
      <w:r>
        <w:rPr>
          <w:rFonts w:ascii="Palatino Linotype" w:eastAsia="Calibri" w:hAnsi="Palatino Linotype"/>
          <w:szCs w:val="22"/>
          <w:lang w:eastAsia="en-US"/>
        </w:rPr>
        <w:t xml:space="preserve">, esto es así, debido a que al ser argumentos que no se plantearon ante </w:t>
      </w:r>
      <w:r>
        <w:rPr>
          <w:rFonts w:ascii="Palatino Linotype" w:eastAsia="Calibri" w:hAnsi="Palatino Linotype"/>
          <w:b/>
          <w:szCs w:val="22"/>
          <w:lang w:eastAsia="en-US"/>
        </w:rPr>
        <w:t xml:space="preserve">EL SUJETO OBLIGADO </w:t>
      </w:r>
      <w:r>
        <w:rPr>
          <w:rFonts w:ascii="Palatino Linotype" w:eastAsia="Calibri" w:hAnsi="Palatino Linotype"/>
          <w:szCs w:val="22"/>
          <w:lang w:eastAsia="en-US"/>
        </w:rPr>
        <w:t xml:space="preserve">que respondió a la solicitud de acceso a la información, respuesta que constituyen el acto que se reclama o impugna; resultaría injustificado examinar tales argumentos pues éstos no fueron del conocimiento del </w:t>
      </w:r>
      <w:r>
        <w:rPr>
          <w:rFonts w:ascii="Palatino Linotype" w:eastAsia="Calibri" w:hAnsi="Palatino Linotype"/>
          <w:b/>
          <w:szCs w:val="22"/>
          <w:lang w:eastAsia="en-US"/>
        </w:rPr>
        <w:t xml:space="preserve">SUJETO OBLIGADO </w:t>
      </w:r>
      <w:r>
        <w:rPr>
          <w:rFonts w:ascii="Palatino Linotype" w:eastAsia="Calibri" w:hAnsi="Palatino Linotype"/>
          <w:szCs w:val="22"/>
          <w:lang w:eastAsia="en-US"/>
        </w:rPr>
        <w:t xml:space="preserve">al momento de dar respuesta a la solicitud de acceso a la información pública; por lo que, no tuvo la oportunidad legal de analizarla ni de pronunciarse sobre ella; atento a ello, </w:t>
      </w:r>
      <w:r>
        <w:rPr>
          <w:rFonts w:ascii="Palatino Linotype" w:eastAsia="Calibri" w:hAnsi="Palatino Linotype"/>
          <w:b/>
          <w:szCs w:val="22"/>
          <w:lang w:eastAsia="en-US"/>
        </w:rPr>
        <w:t>se dejan a salvo los derechos</w:t>
      </w:r>
      <w:r>
        <w:rPr>
          <w:rFonts w:ascii="Palatino Linotype" w:eastAsia="Calibri" w:hAnsi="Palatino Linotype"/>
          <w:szCs w:val="22"/>
          <w:lang w:eastAsia="en-US"/>
        </w:rPr>
        <w:t xml:space="preserve"> del hoy</w:t>
      </w:r>
      <w:r>
        <w:rPr>
          <w:rFonts w:ascii="Palatino Linotype" w:eastAsia="Calibri" w:hAnsi="Palatino Linotype"/>
          <w:b/>
          <w:szCs w:val="22"/>
          <w:lang w:eastAsia="en-US"/>
        </w:rPr>
        <w:t xml:space="preserve"> RECURRENTE,</w:t>
      </w:r>
      <w:r>
        <w:rPr>
          <w:rFonts w:ascii="Palatino Linotype" w:eastAsia="Calibri" w:hAnsi="Palatino Linotype"/>
          <w:szCs w:val="22"/>
          <w:lang w:eastAsia="en-US"/>
        </w:rPr>
        <w:t xml:space="preserve"> a fin de que pueda formular una nueva solicitud requiriendo el acceso a la información pública que su derecho corresponda.</w:t>
      </w:r>
    </w:p>
    <w:p w:rsidR="007804BC" w:rsidRDefault="00CE5214">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En esa virtud es claro que se actualiza lo dispuesto por el artículo 191, fracción VII, en relación con el diverso artículo 192, fracción IV de la Ley de Transparencia y Acceso a la Información Pública del Estado de México y Municipios; por lo que, lo procedente es </w:t>
      </w:r>
      <w:r>
        <w:rPr>
          <w:rFonts w:ascii="Palatino Linotype" w:eastAsia="Calibri" w:hAnsi="Palatino Linotype"/>
          <w:b/>
          <w:szCs w:val="22"/>
          <w:lang w:eastAsia="en-US"/>
        </w:rPr>
        <w:t>SOBRESEER</w:t>
      </w:r>
      <w:r>
        <w:rPr>
          <w:rFonts w:ascii="Palatino Linotype" w:eastAsia="Calibri" w:hAnsi="Palatino Linotype"/>
          <w:szCs w:val="22"/>
          <w:lang w:eastAsia="en-US"/>
        </w:rPr>
        <w:t xml:space="preserve"> en el presente medio de impugnación, ya que, una vez admitido, se advirtió una causal de improcedencia.</w:t>
      </w:r>
    </w:p>
    <w:p w:rsidR="007804BC" w:rsidRDefault="00CE5214">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188, 191, fracción VII y 192, fracción IV</w:t>
      </w:r>
      <w:r>
        <w:rPr>
          <w:rFonts w:ascii="Palatino Linotype" w:eastAsia="Calibri" w:hAnsi="Palatino Linotype" w:cs="Arial"/>
        </w:rPr>
        <w:t xml:space="preserve"> de la Ley de </w:t>
      </w:r>
      <w:r>
        <w:rPr>
          <w:rFonts w:ascii="Palatino Linotype" w:eastAsia="Calibri" w:hAnsi="Palatino Linotype" w:cs="Arial"/>
        </w:rPr>
        <w:lastRenderedPageBreak/>
        <w:t xml:space="preserve">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7804BC" w:rsidRDefault="00CE5214">
      <w:pPr>
        <w:spacing w:before="240" w:afterAutospacing="1" w:line="360" w:lineRule="auto"/>
        <w:jc w:val="center"/>
        <w:rPr>
          <w:rFonts w:ascii="Palatino Linotype" w:hAnsi="Palatino Linotype"/>
          <w:b/>
          <w:bCs/>
          <w:spacing w:val="60"/>
          <w:sz w:val="28"/>
        </w:rPr>
      </w:pPr>
      <w:r>
        <w:rPr>
          <w:rFonts w:ascii="Palatino Linotype" w:hAnsi="Palatino Linotype"/>
          <w:b/>
          <w:bCs/>
          <w:spacing w:val="60"/>
          <w:sz w:val="28"/>
        </w:rPr>
        <w:t>RESUELVE</w:t>
      </w:r>
    </w:p>
    <w:p w:rsidR="007804BC" w:rsidRDefault="00CE5214">
      <w:pPr>
        <w:spacing w:beforeAutospacing="1" w:afterAutospacing="1" w:line="360" w:lineRule="auto"/>
        <w:jc w:val="both"/>
        <w:rPr>
          <w:rFonts w:ascii="Palatino Linotype" w:hAnsi="Palatino Linotype" w:cs="Arial"/>
          <w:lang w:val="es-ES"/>
        </w:rPr>
      </w:pPr>
      <w:r w:rsidRPr="0087226A">
        <w:rPr>
          <w:rFonts w:ascii="Palatino Linotype" w:hAnsi="Palatino Linotype" w:cs="Arial"/>
          <w:b/>
          <w:sz w:val="28"/>
        </w:rPr>
        <w:t>PRIMERO</w:t>
      </w:r>
      <w:r>
        <w:rPr>
          <w:rFonts w:ascii="Palatino Linotype" w:hAnsi="Palatino Linotype" w:cs="Arial"/>
          <w:b/>
        </w:rPr>
        <w:t>.</w:t>
      </w:r>
      <w:r>
        <w:rPr>
          <w:rFonts w:ascii="Palatino Linotype" w:hAnsi="Palatino Linotype" w:cs="Arial"/>
        </w:rPr>
        <w:t xml:space="preserve"> Se </w:t>
      </w:r>
      <w:r>
        <w:rPr>
          <w:rFonts w:ascii="Palatino Linotype" w:hAnsi="Palatino Linotype" w:cs="Arial"/>
          <w:b/>
        </w:rPr>
        <w:t>SOBRESEE por improcedente</w:t>
      </w:r>
      <w:r>
        <w:rPr>
          <w:rFonts w:ascii="Palatino Linotype" w:hAnsi="Palatino Linotype" w:cs="Arial"/>
        </w:rPr>
        <w:t xml:space="preserve"> el recurso de revisión número </w:t>
      </w:r>
      <w:r>
        <w:rPr>
          <w:rFonts w:ascii="Palatino Linotype" w:hAnsi="Palatino Linotype" w:cs="Arial"/>
          <w:b/>
        </w:rPr>
        <w:t>01287/INFOEM/IP/RR/2020</w:t>
      </w:r>
      <w:r>
        <w:rPr>
          <w:rFonts w:ascii="Palatino Linotype" w:hAnsi="Palatino Linotype" w:cs="Arial"/>
          <w:b/>
          <w:lang w:val="es-ES"/>
        </w:rPr>
        <w:t xml:space="preserve">, </w:t>
      </w:r>
      <w:r>
        <w:rPr>
          <w:rFonts w:ascii="Palatino Linotype" w:hAnsi="Palatino Linotype" w:cs="Arial"/>
        </w:rPr>
        <w:t xml:space="preserve">en términos del Considerando </w:t>
      </w:r>
      <w:r>
        <w:rPr>
          <w:rFonts w:ascii="Palatino Linotype" w:hAnsi="Palatino Linotype" w:cs="Arial"/>
          <w:b/>
        </w:rPr>
        <w:t>QUINTO</w:t>
      </w:r>
      <w:r>
        <w:rPr>
          <w:rFonts w:ascii="Palatino Linotype" w:hAnsi="Palatino Linotype" w:cs="Arial"/>
          <w:lang w:val="es-ES"/>
        </w:rPr>
        <w:t xml:space="preserve"> de la presente resolución.</w:t>
      </w:r>
    </w:p>
    <w:p w:rsidR="007804BC" w:rsidRDefault="00CE5214">
      <w:pPr>
        <w:spacing w:beforeAutospacing="1" w:afterAutospacing="1" w:line="360" w:lineRule="auto"/>
        <w:jc w:val="both"/>
        <w:rPr>
          <w:rFonts w:ascii="Palatino Linotype" w:hAnsi="Palatino Linotype" w:cs="Arial"/>
          <w:lang w:val="es-ES"/>
        </w:rPr>
      </w:pPr>
      <w:r w:rsidRPr="0087226A">
        <w:rPr>
          <w:rFonts w:ascii="Palatino Linotype" w:hAnsi="Palatino Linotype" w:cs="Arial"/>
          <w:b/>
          <w:sz w:val="28"/>
          <w:lang w:val="es-ES"/>
        </w:rPr>
        <w:t>SEGUNDO</w:t>
      </w:r>
      <w:r>
        <w:rPr>
          <w:rFonts w:ascii="Palatino Linotype" w:hAnsi="Palatino Linotype" w:cs="Arial"/>
          <w:lang w:val="es-ES"/>
        </w:rPr>
        <w:t xml:space="preserve">. </w:t>
      </w:r>
      <w:r>
        <w:rPr>
          <w:rFonts w:ascii="Palatino Linotype" w:hAnsi="Palatino Linotype" w:cs="Arial"/>
          <w:b/>
          <w:lang w:val="es-ES"/>
        </w:rPr>
        <w:t xml:space="preserve">Notifíquese </w:t>
      </w:r>
      <w:r>
        <w:rPr>
          <w:rFonts w:ascii="Palatino Linotype" w:hAnsi="Palatino Linotype" w:cs="Arial"/>
          <w:lang w:val="es-ES"/>
        </w:rPr>
        <w:t>al Titular de la Unidad de Transparencia del</w:t>
      </w:r>
      <w:r>
        <w:rPr>
          <w:rFonts w:ascii="Palatino Linotype" w:hAnsi="Palatino Linotype" w:cs="Arial"/>
          <w:b/>
          <w:lang w:val="es-ES"/>
        </w:rPr>
        <w:t xml:space="preserve"> SUJETO OBLIGADO</w:t>
      </w:r>
      <w:r>
        <w:rPr>
          <w:rFonts w:ascii="Palatino Linotype" w:hAnsi="Palatino Linotype" w:cs="Arial"/>
          <w:lang w:val="es-ES"/>
        </w:rPr>
        <w:t xml:space="preserve"> para su conocimiento. </w:t>
      </w:r>
    </w:p>
    <w:p w:rsidR="007804BC" w:rsidRDefault="00CE5214">
      <w:pPr>
        <w:spacing w:beforeAutospacing="1" w:afterAutospacing="1" w:line="360" w:lineRule="auto"/>
        <w:jc w:val="both"/>
        <w:rPr>
          <w:rFonts w:ascii="Palatino Linotype" w:hAnsi="Palatino Linotype" w:cs="Arial"/>
          <w:lang w:val="es-ES"/>
        </w:rPr>
      </w:pPr>
      <w:r w:rsidRPr="0087226A">
        <w:rPr>
          <w:rFonts w:ascii="Palatino Linotype" w:hAnsi="Palatino Linotype" w:cs="Arial"/>
          <w:b/>
          <w:sz w:val="28"/>
          <w:lang w:val="es-ES"/>
        </w:rPr>
        <w:t>TERCERO</w:t>
      </w:r>
      <w:r>
        <w:rPr>
          <w:rFonts w:ascii="Palatino Linotype" w:hAnsi="Palatino Linotype" w:cs="Arial"/>
          <w:b/>
          <w:lang w:val="es-ES"/>
        </w:rPr>
        <w:t>. Notifíquese</w:t>
      </w:r>
      <w:r>
        <w:rPr>
          <w:rFonts w:ascii="Palatino Linotype" w:hAnsi="Palatino Linotype" w:cs="Arial"/>
          <w:lang w:val="es-ES"/>
        </w:rPr>
        <w:t xml:space="preserve"> al </w:t>
      </w:r>
      <w:r>
        <w:rPr>
          <w:rFonts w:ascii="Palatino Linotype" w:hAnsi="Palatino Linotype" w:cs="Arial"/>
          <w:b/>
          <w:lang w:val="es-ES"/>
        </w:rPr>
        <w:t>RECURRENTE</w:t>
      </w:r>
      <w:r>
        <w:rPr>
          <w:rFonts w:ascii="Palatino Linotype" w:hAnsi="Palatino Linotype" w:cs="Arial"/>
          <w:lang w:val="es-ES"/>
        </w:rPr>
        <w:t xml:space="preserve"> la presente resolución.</w:t>
      </w:r>
    </w:p>
    <w:p w:rsidR="007804BC" w:rsidRDefault="00CE5214">
      <w:pPr>
        <w:spacing w:beforeAutospacing="1" w:afterAutospacing="1" w:line="360" w:lineRule="auto"/>
        <w:jc w:val="both"/>
        <w:rPr>
          <w:rFonts w:ascii="Palatino Linotype" w:hAnsi="Palatino Linotype" w:cs="Arial"/>
          <w:lang w:val="es-ES"/>
        </w:rPr>
      </w:pPr>
      <w:r w:rsidRPr="0087226A">
        <w:rPr>
          <w:rFonts w:ascii="Palatino Linotype" w:hAnsi="Palatino Linotype" w:cs="Arial"/>
          <w:b/>
          <w:sz w:val="28"/>
          <w:lang w:val="es-ES"/>
        </w:rPr>
        <w:t>CUARTO</w:t>
      </w:r>
      <w:r>
        <w:rPr>
          <w:rFonts w:ascii="Palatino Linotype" w:hAnsi="Palatino Linotype" w:cs="Arial"/>
          <w:b/>
          <w:lang w:val="es-ES"/>
        </w:rPr>
        <w:t>. Hágase del conocimiento</w:t>
      </w:r>
      <w:r>
        <w:rPr>
          <w:rFonts w:ascii="Palatino Linotype" w:hAnsi="Palatino Linotype" w:cs="Arial"/>
          <w:lang w:val="es-ES"/>
        </w:rPr>
        <w:t xml:space="preserve"> del </w:t>
      </w:r>
      <w:r>
        <w:rPr>
          <w:rFonts w:ascii="Palatino Linotype" w:hAnsi="Palatino Linotype" w:cs="Arial"/>
          <w:b/>
          <w:lang w:val="es-ES"/>
        </w:rPr>
        <w:t>RECURRENTE</w:t>
      </w:r>
      <w:r>
        <w:rPr>
          <w:rFonts w:ascii="Palatino Linotype" w:hAnsi="Palatino Linotype" w:cs="Arial"/>
          <w:lang w:val="es-ES"/>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7804BC" w:rsidRDefault="00CE5214">
      <w:pPr>
        <w:spacing w:beforeAutospacing="1" w:afterAutospacing="1" w:line="360" w:lineRule="auto"/>
        <w:jc w:val="both"/>
        <w:rPr>
          <w:rFonts w:ascii="Palatino Linotype" w:hAnsi="Palatino Linotype" w:cs="Arial"/>
          <w:lang w:val="es-ES"/>
        </w:rPr>
      </w:pPr>
      <w:r>
        <w:rPr>
          <w:rFonts w:ascii="Palatino Linotype" w:hAnsi="Palatino Linotype" w:cs="Arial"/>
          <w:lang w:val="es-ES"/>
        </w:rPr>
        <w:t xml:space="preserve">Se dejan a salvo los derechos del </w:t>
      </w:r>
      <w:r>
        <w:rPr>
          <w:rFonts w:ascii="Palatino Linotype" w:hAnsi="Palatino Linotype" w:cs="Arial"/>
          <w:b/>
          <w:lang w:val="es-ES"/>
        </w:rPr>
        <w:t>RECURRENTE</w:t>
      </w:r>
      <w:r>
        <w:rPr>
          <w:rFonts w:ascii="Palatino Linotype" w:hAnsi="Palatino Linotype" w:cs="Arial"/>
          <w:lang w:val="es-ES"/>
        </w:rPr>
        <w:t>, a efecto de que de considerarlo pertinente realice las solicitudes de información que a su derecho convengan.</w:t>
      </w:r>
    </w:p>
    <w:p w:rsidR="007804BC" w:rsidRDefault="00CE5214">
      <w:pPr>
        <w:spacing w:beforeAutospacing="1" w:afterAutospacing="1" w:line="360" w:lineRule="auto"/>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xml:space="preserve">, CONFORMADO POR LOS COMISIONADOS ZULEMA MARTÍNEZ SÁNCHEZ; </w:t>
      </w:r>
      <w:r>
        <w:rPr>
          <w:rFonts w:ascii="Palatino Linotype" w:hAnsi="Palatino Linotype" w:cs="Arial"/>
        </w:rPr>
        <w:lastRenderedPageBreak/>
        <w:t>EVA ABAID YAPUR; JOSÉ GUADALUPE LUNA HERNÁNDEZ; JAVIER MARTÍNEZ CRUZ Y LUIS GUSTAVO PARRA NORIEGA; EN LA DÉCIMA CUARTA SESIÓN ORDINARIA CELEBRADA EL DÍA DIECINUEVE DE AGOSTO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7804BC">
        <w:trPr>
          <w:jc w:val="center"/>
        </w:trPr>
        <w:tc>
          <w:tcPr>
            <w:tcW w:w="9213" w:type="dxa"/>
            <w:gridSpan w:val="2"/>
            <w:shd w:val="clear" w:color="auto" w:fill="auto"/>
          </w:tcPr>
          <w:p w:rsidR="0087226A" w:rsidRDefault="0087226A">
            <w:pPr>
              <w:jc w:val="center"/>
              <w:rPr>
                <w:rFonts w:ascii="Palatino Linotype" w:hAnsi="Palatino Linotype" w:cs="Arial"/>
                <w:b/>
                <w:lang w:val="es-ES_tradnl"/>
              </w:rPr>
            </w:pPr>
          </w:p>
          <w:p w:rsidR="0087226A" w:rsidRDefault="0087226A">
            <w:pPr>
              <w:jc w:val="center"/>
              <w:rPr>
                <w:rFonts w:ascii="Palatino Linotype" w:hAnsi="Palatino Linotype" w:cs="Arial"/>
                <w:b/>
                <w:lang w:val="es-ES_tradnl"/>
              </w:rPr>
            </w:pPr>
          </w:p>
          <w:p w:rsidR="007804BC" w:rsidRDefault="00CE5214">
            <w:pPr>
              <w:jc w:val="center"/>
              <w:rPr>
                <w:rFonts w:ascii="Palatino Linotype" w:hAnsi="Palatino Linotype" w:cs="Arial"/>
                <w:b/>
                <w:lang w:val="es-ES_tradnl"/>
              </w:rPr>
            </w:pPr>
            <w:r>
              <w:rPr>
                <w:rFonts w:ascii="Palatino Linotype" w:hAnsi="Palatino Linotype" w:cs="Arial"/>
                <w:b/>
                <w:lang w:val="es-ES_tradnl"/>
              </w:rPr>
              <w:t>Zulema Martínez Sánchez</w:t>
            </w:r>
          </w:p>
          <w:p w:rsidR="007804BC" w:rsidRDefault="00CE5214">
            <w:pPr>
              <w:jc w:val="center"/>
              <w:rPr>
                <w:rFonts w:ascii="Palatino Linotype" w:hAnsi="Palatino Linotype" w:cs="Arial"/>
                <w:b/>
                <w:lang w:val="es-ES_tradnl"/>
              </w:rPr>
            </w:pPr>
            <w:r>
              <w:rPr>
                <w:rFonts w:ascii="Palatino Linotype" w:hAnsi="Palatino Linotype" w:cs="Arial"/>
                <w:lang w:val="es-ES_tradnl"/>
              </w:rPr>
              <w:t>Comisionada Presidenta</w:t>
            </w:r>
          </w:p>
          <w:p w:rsidR="007804BC" w:rsidRDefault="00CE5214" w:rsidP="0087226A">
            <w:pPr>
              <w:jc w:val="center"/>
              <w:rPr>
                <w:rFonts w:ascii="Palatino Linotype" w:hAnsi="Palatino Linotype" w:cs="Arial"/>
                <w:b/>
                <w:lang w:val="es-ES_tradnl"/>
              </w:rPr>
            </w:pPr>
            <w:r>
              <w:rPr>
                <w:rFonts w:ascii="Palatino Linotype" w:hAnsi="Palatino Linotype" w:cs="Arial"/>
                <w:b/>
                <w:lang w:val="es-ES_tradnl"/>
              </w:rPr>
              <w:t>(RÚBRICA)</w:t>
            </w:r>
          </w:p>
        </w:tc>
      </w:tr>
      <w:tr w:rsidR="007804BC">
        <w:trPr>
          <w:jc w:val="center"/>
        </w:trPr>
        <w:tc>
          <w:tcPr>
            <w:tcW w:w="4756" w:type="dxa"/>
            <w:shd w:val="clear" w:color="auto" w:fill="auto"/>
          </w:tcPr>
          <w:p w:rsidR="0087226A" w:rsidRDefault="0087226A">
            <w:pPr>
              <w:jc w:val="center"/>
              <w:rPr>
                <w:rFonts w:ascii="Palatino Linotype" w:hAnsi="Palatino Linotype" w:cs="Arial"/>
                <w:b/>
                <w:lang w:val="es-ES_tradnl"/>
              </w:rPr>
            </w:pPr>
          </w:p>
          <w:p w:rsidR="0087226A" w:rsidRDefault="0087226A">
            <w:pPr>
              <w:jc w:val="center"/>
              <w:rPr>
                <w:rFonts w:ascii="Palatino Linotype" w:hAnsi="Palatino Linotype" w:cs="Arial"/>
                <w:b/>
                <w:lang w:val="es-ES_tradnl"/>
              </w:rPr>
            </w:pPr>
          </w:p>
          <w:p w:rsidR="007804BC" w:rsidRDefault="00CE5214">
            <w:pPr>
              <w:jc w:val="center"/>
              <w:rPr>
                <w:rFonts w:ascii="Palatino Linotype" w:hAnsi="Palatino Linotype" w:cs="Arial"/>
                <w:b/>
                <w:lang w:val="es-ES_tradnl"/>
              </w:rPr>
            </w:pPr>
            <w:r>
              <w:rPr>
                <w:rFonts w:ascii="Palatino Linotype" w:hAnsi="Palatino Linotype" w:cs="Arial"/>
                <w:b/>
                <w:lang w:val="es-ES_tradnl"/>
              </w:rPr>
              <w:t>Eva Abaid Yapur</w:t>
            </w:r>
          </w:p>
          <w:p w:rsidR="007804BC" w:rsidRDefault="00CE5214">
            <w:pPr>
              <w:jc w:val="center"/>
              <w:rPr>
                <w:rFonts w:ascii="Palatino Linotype" w:hAnsi="Palatino Linotype" w:cs="Arial"/>
                <w:lang w:val="es-ES_tradnl"/>
              </w:rPr>
            </w:pPr>
            <w:r>
              <w:rPr>
                <w:rFonts w:ascii="Palatino Linotype" w:hAnsi="Palatino Linotype" w:cs="Arial"/>
                <w:lang w:val="es-ES_tradnl"/>
              </w:rPr>
              <w:t>Comisionada</w:t>
            </w:r>
          </w:p>
          <w:p w:rsidR="007804BC" w:rsidRDefault="00CE5214">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rsidR="0087226A" w:rsidRDefault="0087226A">
            <w:pPr>
              <w:jc w:val="center"/>
              <w:rPr>
                <w:rFonts w:ascii="Palatino Linotype" w:hAnsi="Palatino Linotype" w:cs="Arial"/>
                <w:b/>
                <w:lang w:val="es-ES_tradnl"/>
              </w:rPr>
            </w:pPr>
          </w:p>
          <w:p w:rsidR="0087226A" w:rsidRDefault="0087226A">
            <w:pPr>
              <w:jc w:val="center"/>
              <w:rPr>
                <w:rFonts w:ascii="Palatino Linotype" w:hAnsi="Palatino Linotype" w:cs="Arial"/>
                <w:b/>
                <w:lang w:val="es-ES_tradnl"/>
              </w:rPr>
            </w:pPr>
          </w:p>
          <w:p w:rsidR="007804BC" w:rsidRDefault="00CE5214">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7804BC" w:rsidRDefault="00CE5214">
            <w:pPr>
              <w:jc w:val="center"/>
              <w:rPr>
                <w:rFonts w:ascii="Palatino Linotype" w:hAnsi="Palatino Linotype" w:cs="Arial"/>
                <w:lang w:val="es-ES_tradnl"/>
              </w:rPr>
            </w:pPr>
            <w:r>
              <w:rPr>
                <w:rFonts w:ascii="Palatino Linotype" w:hAnsi="Palatino Linotype" w:cs="Arial"/>
                <w:lang w:val="es-ES_tradnl"/>
              </w:rPr>
              <w:t>Comisionado</w:t>
            </w:r>
          </w:p>
          <w:p w:rsidR="007804BC" w:rsidRDefault="00CE5214">
            <w:pPr>
              <w:jc w:val="center"/>
              <w:rPr>
                <w:rFonts w:ascii="Palatino Linotype" w:hAnsi="Palatino Linotype" w:cs="Arial"/>
                <w:b/>
                <w:lang w:val="es-ES_tradnl"/>
              </w:rPr>
            </w:pPr>
            <w:r>
              <w:rPr>
                <w:rFonts w:ascii="Palatino Linotype" w:hAnsi="Palatino Linotype" w:cs="Arial"/>
                <w:b/>
                <w:lang w:val="es-ES_tradnl"/>
              </w:rPr>
              <w:t>(RÚBRICA)</w:t>
            </w:r>
          </w:p>
        </w:tc>
      </w:tr>
      <w:tr w:rsidR="007804BC">
        <w:trPr>
          <w:jc w:val="center"/>
        </w:trPr>
        <w:tc>
          <w:tcPr>
            <w:tcW w:w="4756" w:type="dxa"/>
            <w:shd w:val="clear" w:color="auto" w:fill="auto"/>
          </w:tcPr>
          <w:p w:rsidR="007804BC" w:rsidRDefault="007804BC">
            <w:pPr>
              <w:jc w:val="center"/>
              <w:rPr>
                <w:rFonts w:ascii="Palatino Linotype" w:hAnsi="Palatino Linotype" w:cs="Arial"/>
                <w:b/>
                <w:lang w:val="es-ES_tradnl"/>
              </w:rPr>
            </w:pPr>
          </w:p>
          <w:p w:rsidR="0087226A" w:rsidRDefault="0087226A">
            <w:pPr>
              <w:jc w:val="center"/>
              <w:rPr>
                <w:rFonts w:ascii="Palatino Linotype" w:hAnsi="Palatino Linotype" w:cs="Arial"/>
                <w:b/>
                <w:lang w:val="es-ES_tradnl"/>
              </w:rPr>
            </w:pPr>
          </w:p>
          <w:p w:rsidR="0087226A" w:rsidRDefault="0087226A">
            <w:pPr>
              <w:jc w:val="center"/>
              <w:rPr>
                <w:rFonts w:ascii="Palatino Linotype" w:hAnsi="Palatino Linotype" w:cs="Arial"/>
                <w:b/>
                <w:lang w:val="es-ES_tradnl"/>
              </w:rPr>
            </w:pPr>
          </w:p>
          <w:p w:rsidR="007804BC" w:rsidRDefault="00CE5214">
            <w:pPr>
              <w:jc w:val="center"/>
              <w:rPr>
                <w:rFonts w:ascii="Palatino Linotype" w:hAnsi="Palatino Linotype" w:cs="Arial"/>
                <w:b/>
                <w:lang w:val="es-ES_tradnl"/>
              </w:rPr>
            </w:pPr>
            <w:r>
              <w:rPr>
                <w:rFonts w:ascii="Palatino Linotype" w:hAnsi="Palatino Linotype" w:cs="Arial"/>
                <w:b/>
                <w:lang w:val="es-ES_tradnl"/>
              </w:rPr>
              <w:t>Javier Martínez Cruz</w:t>
            </w:r>
          </w:p>
          <w:p w:rsidR="007804BC" w:rsidRDefault="00CE5214">
            <w:pPr>
              <w:jc w:val="center"/>
              <w:rPr>
                <w:rFonts w:ascii="Palatino Linotype" w:hAnsi="Palatino Linotype" w:cs="Arial"/>
                <w:lang w:val="es-ES_tradnl"/>
              </w:rPr>
            </w:pPr>
            <w:r>
              <w:rPr>
                <w:rFonts w:ascii="Palatino Linotype" w:hAnsi="Palatino Linotype" w:cs="Arial"/>
                <w:lang w:val="es-ES_tradnl"/>
              </w:rPr>
              <w:t>Comisionado</w:t>
            </w:r>
          </w:p>
          <w:p w:rsidR="007804BC" w:rsidRDefault="00CE5214">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rsidR="007804BC" w:rsidRDefault="007804BC">
            <w:pPr>
              <w:jc w:val="center"/>
              <w:rPr>
                <w:rFonts w:ascii="Palatino Linotype" w:hAnsi="Palatino Linotype" w:cs="Arial"/>
                <w:b/>
                <w:lang w:val="es-ES_tradnl"/>
              </w:rPr>
            </w:pPr>
          </w:p>
          <w:p w:rsidR="007804BC" w:rsidRDefault="007804BC">
            <w:pPr>
              <w:jc w:val="center"/>
              <w:rPr>
                <w:rFonts w:ascii="Palatino Linotype" w:hAnsi="Palatino Linotype" w:cs="Arial"/>
                <w:b/>
                <w:lang w:val="es-ES_tradnl"/>
              </w:rPr>
            </w:pPr>
          </w:p>
          <w:p w:rsidR="0087226A" w:rsidRDefault="0087226A">
            <w:pPr>
              <w:jc w:val="center"/>
              <w:rPr>
                <w:rFonts w:ascii="Palatino Linotype" w:hAnsi="Palatino Linotype" w:cs="Arial"/>
                <w:b/>
                <w:lang w:val="es-ES_tradnl"/>
              </w:rPr>
            </w:pPr>
          </w:p>
          <w:p w:rsidR="007804BC" w:rsidRDefault="00CE5214">
            <w:pPr>
              <w:jc w:val="center"/>
              <w:rPr>
                <w:rFonts w:ascii="Palatino Linotype" w:hAnsi="Palatino Linotype" w:cs="Arial"/>
                <w:b/>
                <w:lang w:val="es-ES_tradnl"/>
              </w:rPr>
            </w:pPr>
            <w:r>
              <w:rPr>
                <w:rFonts w:ascii="Palatino Linotype" w:hAnsi="Palatino Linotype" w:cs="Arial"/>
                <w:b/>
                <w:lang w:val="es-ES_tradnl"/>
              </w:rPr>
              <w:t>Luis Gustavo Parra Noriega</w:t>
            </w:r>
          </w:p>
          <w:p w:rsidR="007804BC" w:rsidRDefault="00CE5214">
            <w:pPr>
              <w:jc w:val="center"/>
              <w:rPr>
                <w:rFonts w:ascii="Palatino Linotype" w:hAnsi="Palatino Linotype" w:cs="Arial"/>
                <w:lang w:val="es-ES_tradnl"/>
              </w:rPr>
            </w:pPr>
            <w:r>
              <w:rPr>
                <w:rFonts w:ascii="Palatino Linotype" w:hAnsi="Palatino Linotype" w:cs="Arial"/>
                <w:lang w:val="es-ES_tradnl"/>
              </w:rPr>
              <w:t>Comisionado</w:t>
            </w:r>
          </w:p>
          <w:p w:rsidR="007804BC" w:rsidRDefault="00CE5214" w:rsidP="0087226A">
            <w:pPr>
              <w:jc w:val="center"/>
              <w:rPr>
                <w:rFonts w:ascii="Palatino Linotype" w:hAnsi="Palatino Linotype" w:cs="Arial"/>
                <w:b/>
                <w:lang w:val="es-ES_tradnl"/>
              </w:rPr>
            </w:pPr>
            <w:r>
              <w:rPr>
                <w:rFonts w:ascii="Palatino Linotype" w:hAnsi="Palatino Linotype" w:cs="Arial"/>
                <w:b/>
                <w:lang w:val="es-ES_tradnl"/>
              </w:rPr>
              <w:t>(RÚBRICA)</w:t>
            </w:r>
          </w:p>
        </w:tc>
      </w:tr>
      <w:tr w:rsidR="007804BC">
        <w:trPr>
          <w:jc w:val="center"/>
        </w:trPr>
        <w:tc>
          <w:tcPr>
            <w:tcW w:w="9213" w:type="dxa"/>
            <w:gridSpan w:val="2"/>
            <w:shd w:val="clear" w:color="auto" w:fill="auto"/>
          </w:tcPr>
          <w:p w:rsidR="0087226A" w:rsidRDefault="0087226A">
            <w:pPr>
              <w:jc w:val="center"/>
              <w:rPr>
                <w:rFonts w:ascii="Palatino Linotype" w:hAnsi="Palatino Linotype" w:cs="Arial"/>
                <w:b/>
                <w:lang w:val="es-ES_tradnl"/>
              </w:rPr>
            </w:pPr>
          </w:p>
          <w:p w:rsidR="0087226A" w:rsidRDefault="0087226A">
            <w:pPr>
              <w:jc w:val="center"/>
              <w:rPr>
                <w:rFonts w:ascii="Palatino Linotype" w:hAnsi="Palatino Linotype" w:cs="Arial"/>
                <w:b/>
                <w:lang w:val="es-ES_tradnl"/>
              </w:rPr>
            </w:pPr>
          </w:p>
          <w:p w:rsidR="0087226A" w:rsidRDefault="0087226A">
            <w:pPr>
              <w:jc w:val="center"/>
              <w:rPr>
                <w:rFonts w:ascii="Palatino Linotype" w:hAnsi="Palatino Linotype" w:cs="Arial"/>
                <w:b/>
                <w:lang w:val="es-ES_tradnl"/>
              </w:rPr>
            </w:pPr>
          </w:p>
          <w:p w:rsidR="0087226A" w:rsidRDefault="0087226A">
            <w:pPr>
              <w:jc w:val="center"/>
              <w:rPr>
                <w:rFonts w:ascii="Palatino Linotype" w:hAnsi="Palatino Linotype" w:cs="Arial"/>
                <w:b/>
                <w:lang w:val="es-ES_tradnl"/>
              </w:rPr>
            </w:pPr>
          </w:p>
          <w:p w:rsidR="007804BC" w:rsidRDefault="00CE5214">
            <w:pPr>
              <w:jc w:val="center"/>
              <w:rPr>
                <w:rFonts w:ascii="Palatino Linotype" w:hAnsi="Palatino Linotype" w:cs="Arial"/>
                <w:b/>
                <w:lang w:val="es-ES_tradnl"/>
              </w:rPr>
            </w:pPr>
            <w:r>
              <w:rPr>
                <w:rFonts w:ascii="Palatino Linotype" w:hAnsi="Palatino Linotype" w:cs="Arial"/>
                <w:b/>
                <w:lang w:val="es-ES_tradnl"/>
              </w:rPr>
              <w:t>Alexis Tapia Ramírez</w:t>
            </w:r>
          </w:p>
          <w:p w:rsidR="007804BC" w:rsidRDefault="00CE5214">
            <w:pPr>
              <w:jc w:val="center"/>
              <w:rPr>
                <w:rFonts w:ascii="Palatino Linotype" w:hAnsi="Palatino Linotype" w:cs="Arial"/>
                <w:lang w:val="es-ES_tradnl"/>
              </w:rPr>
            </w:pPr>
            <w:r>
              <w:rPr>
                <w:rFonts w:ascii="Palatino Linotype" w:hAnsi="Palatino Linotype" w:cs="Arial"/>
                <w:lang w:val="es-ES_tradnl"/>
              </w:rPr>
              <w:t>Secretario Técnico del Pleno</w:t>
            </w:r>
          </w:p>
          <w:p w:rsidR="007804BC" w:rsidRDefault="00CE5214" w:rsidP="0087226A">
            <w:pPr>
              <w:jc w:val="center"/>
              <w:rPr>
                <w:rFonts w:ascii="Palatino Linotype" w:hAnsi="Palatino Linotype" w:cs="Arial"/>
                <w:lang w:val="es-ES_tradnl"/>
              </w:rPr>
            </w:pPr>
            <w:r>
              <w:rPr>
                <w:rFonts w:ascii="Palatino Linotype" w:hAnsi="Palatino Linotype" w:cs="Arial"/>
                <w:b/>
                <w:lang w:val="es-ES_tradnl"/>
              </w:rPr>
              <w:t>(RÚBRICA)</w:t>
            </w:r>
          </w:p>
        </w:tc>
      </w:tr>
    </w:tbl>
    <w:p w:rsidR="007804BC" w:rsidRDefault="00CE5214">
      <w:pPr>
        <w:jc w:val="both"/>
        <w:rPr>
          <w:rFonts w:ascii="Palatino Linotype" w:hAnsi="Palatino Linotype" w:cs="Arial"/>
          <w:sz w:val="22"/>
          <w:szCs w:val="22"/>
          <w:lang w:val="es-ES"/>
        </w:rPr>
      </w:pPr>
      <w:r>
        <w:rPr>
          <w:rFonts w:ascii="Palatino Linotype" w:hAnsi="Palatino Linotype" w:cs="Arial"/>
          <w:sz w:val="22"/>
          <w:szCs w:val="22"/>
          <w:lang w:val="es-ES"/>
        </w:rPr>
        <w:t xml:space="preserve">Esta hoja corresponde a la resolución de fecha diecinueve de agosto de dos mil veinte, emitida en el recurso de revisión número 01287/INFOEM/IP/RR/2020. </w:t>
      </w:r>
    </w:p>
    <w:p w:rsidR="007804BC" w:rsidRDefault="00CE5214">
      <w:pPr>
        <w:spacing w:beforeAutospacing="1" w:afterAutospacing="1" w:line="360" w:lineRule="auto"/>
        <w:jc w:val="both"/>
        <w:rPr>
          <w:rFonts w:ascii="Palatino Linotype" w:hAnsi="Palatino Linotype" w:cs="Arial"/>
          <w:sz w:val="22"/>
          <w:szCs w:val="22"/>
          <w:lang w:val="es-ES"/>
        </w:rPr>
      </w:pPr>
      <w:r>
        <w:rPr>
          <w:rFonts w:ascii="Palatino Linotype" w:hAnsi="Palatino Linotype" w:cs="Arial"/>
          <w:sz w:val="22"/>
          <w:szCs w:val="22"/>
          <w:lang w:val="es-ES"/>
        </w:rPr>
        <w:t>YSM/CBO</w:t>
      </w:r>
    </w:p>
    <w:sectPr w:rsidR="007804BC">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E0D" w:rsidRDefault="00745E0D">
      <w:r>
        <w:separator/>
      </w:r>
    </w:p>
  </w:endnote>
  <w:endnote w:type="continuationSeparator" w:id="0">
    <w:p w:rsidR="00745E0D" w:rsidRDefault="0074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BC" w:rsidRDefault="00CE5214">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357FBE">
      <w:rPr>
        <w:rFonts w:ascii="Palatino Linotype" w:hAnsi="Palatino Linotype" w:cs="Arial"/>
        <w:bCs/>
        <w:noProof/>
        <w:sz w:val="22"/>
        <w:szCs w:val="22"/>
      </w:rPr>
      <w:t>8</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357FBE">
      <w:rPr>
        <w:rFonts w:ascii="Palatino Linotype" w:hAnsi="Palatino Linotype" w:cs="Arial"/>
        <w:bCs/>
        <w:noProof/>
        <w:sz w:val="22"/>
        <w:szCs w:val="22"/>
      </w:rPr>
      <w:t>14</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BC" w:rsidRDefault="00CE5214">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357FBE">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357FBE">
      <w:rPr>
        <w:rFonts w:ascii="Palatino Linotype" w:hAnsi="Palatino Linotype" w:cs="Arial"/>
        <w:bCs/>
        <w:noProof/>
        <w:sz w:val="22"/>
        <w:szCs w:val="22"/>
      </w:rPr>
      <w:t>14</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E0D" w:rsidRDefault="00745E0D">
      <w:pPr>
        <w:rPr>
          <w:sz w:val="12"/>
        </w:rPr>
      </w:pPr>
      <w:r>
        <w:separator/>
      </w:r>
    </w:p>
  </w:footnote>
  <w:footnote w:type="continuationSeparator" w:id="0">
    <w:p w:rsidR="00745E0D" w:rsidRDefault="00745E0D">
      <w:pPr>
        <w:rPr>
          <w:sz w:val="12"/>
        </w:rPr>
      </w:pPr>
      <w:r>
        <w:continuationSeparator/>
      </w:r>
    </w:p>
  </w:footnote>
  <w:footnote w:id="1">
    <w:p w:rsidR="007804BC" w:rsidRDefault="00CE5214">
      <w:pPr>
        <w:pStyle w:val="Textonotapie"/>
        <w:jc w:val="both"/>
      </w:pPr>
      <w:r>
        <w:rPr>
          <w:rStyle w:val="Caracteresdenotaalpie"/>
        </w:rPr>
        <w:footnoteRef/>
      </w:r>
      <w:r>
        <w:t xml:space="preserve"> </w:t>
      </w:r>
      <w:r>
        <w:rPr>
          <w:rFonts w:ascii="Palatino Linotype" w:hAnsi="Palatino Linotype"/>
        </w:rPr>
        <w:t>Cabe destacarse que el particular no refirió la temporalidad de la información a la que pretende acceso, por ello, tomando en consideración la fecha de la solicitud de acceso a la información, este Instituto suple la deficiencia en que incurre; en términos de lo dispuesto por los artículos 13 y 181, cuarto párrafo de la Ley de Transparencia y Acceso a la Información Pública del Estado de México y Municipios.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BC" w:rsidRDefault="00CE5214">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13" behindDoc="1" locked="0" layoutInCell="1" allowOverlap="1">
          <wp:simplePos x="0" y="0"/>
          <wp:positionH relativeFrom="column">
            <wp:align>center</wp:align>
          </wp:positionH>
          <wp:positionV relativeFrom="margin">
            <wp:align>center</wp:align>
          </wp:positionV>
          <wp:extent cx="6858635" cy="9144635"/>
          <wp:effectExtent l="0" t="0" r="0" b="0"/>
          <wp:wrapNone/>
          <wp:docPr id="5"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5"/>
      <w:gridCol w:w="2555"/>
      <w:gridCol w:w="3724"/>
    </w:tblGrid>
    <w:tr w:rsidR="007804BC">
      <w:tc>
        <w:tcPr>
          <w:tcW w:w="3255" w:type="dxa"/>
          <w:vMerge w:val="restart"/>
        </w:tcPr>
        <w:p w:rsidR="007804BC" w:rsidRDefault="00CE5214">
          <w:pPr>
            <w:rPr>
              <w:rFonts w:ascii="Palatino Linotype" w:hAnsi="Palatino Linotype"/>
              <w:b/>
              <w:sz w:val="22"/>
              <w:szCs w:val="22"/>
              <w:lang w:val="es-ES_tradnl"/>
            </w:rPr>
          </w:pPr>
          <w:r>
            <w:rPr>
              <w:noProof/>
              <w:lang w:eastAsia="es-MX"/>
            </w:rPr>
            <w:drawing>
              <wp:inline distT="0" distB="0" distL="0" distR="0">
                <wp:extent cx="1663700" cy="838200"/>
                <wp:effectExtent l="0" t="0" r="0" b="0"/>
                <wp:docPr id="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5" w:type="dxa"/>
          <w:shd w:val="clear" w:color="auto" w:fill="auto"/>
        </w:tcPr>
        <w:p w:rsidR="007804BC" w:rsidRDefault="00CE521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7804BC" w:rsidRDefault="00CE5214">
          <w:pPr>
            <w:jc w:val="both"/>
            <w:rPr>
              <w:rFonts w:ascii="Palatino Linotype" w:hAnsi="Palatino Linotype"/>
              <w:b/>
              <w:sz w:val="22"/>
              <w:szCs w:val="22"/>
              <w:lang w:val="es-ES_tradnl"/>
            </w:rPr>
          </w:pPr>
          <w:r>
            <w:rPr>
              <w:rFonts w:ascii="Palatino Linotype" w:hAnsi="Palatino Linotype"/>
              <w:b/>
              <w:sz w:val="22"/>
              <w:szCs w:val="22"/>
              <w:lang w:val="es-ES_tradnl"/>
            </w:rPr>
            <w:t>01287/INFOEM/IP/RR/2020</w:t>
          </w:r>
        </w:p>
      </w:tc>
    </w:tr>
    <w:tr w:rsidR="007804BC">
      <w:tc>
        <w:tcPr>
          <w:tcW w:w="3255" w:type="dxa"/>
          <w:vMerge/>
        </w:tcPr>
        <w:p w:rsidR="007804BC" w:rsidRDefault="007804BC">
          <w:pPr>
            <w:rPr>
              <w:rFonts w:ascii="Palatino Linotype" w:hAnsi="Palatino Linotype"/>
              <w:b/>
              <w:sz w:val="22"/>
              <w:szCs w:val="22"/>
              <w:lang w:val="es-ES_tradnl"/>
            </w:rPr>
          </w:pPr>
        </w:p>
      </w:tc>
      <w:tc>
        <w:tcPr>
          <w:tcW w:w="2555" w:type="dxa"/>
          <w:shd w:val="clear" w:color="auto" w:fill="auto"/>
        </w:tcPr>
        <w:p w:rsidR="007804BC" w:rsidRDefault="00CE521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7804BC" w:rsidRDefault="00CE5214">
          <w:pPr>
            <w:jc w:val="both"/>
            <w:rPr>
              <w:rFonts w:ascii="Palatino Linotype" w:hAnsi="Palatino Linotype"/>
              <w:b/>
              <w:sz w:val="22"/>
              <w:szCs w:val="22"/>
            </w:rPr>
          </w:pPr>
          <w:r>
            <w:rPr>
              <w:rFonts w:ascii="Palatino Linotype" w:hAnsi="Palatino Linotype"/>
              <w:b/>
              <w:bCs/>
              <w:sz w:val="22"/>
              <w:szCs w:val="22"/>
            </w:rPr>
            <w:t>Ayuntamiento de Cuautitlán</w:t>
          </w:r>
        </w:p>
      </w:tc>
    </w:tr>
    <w:tr w:rsidR="007804BC">
      <w:trPr>
        <w:trHeight w:val="228"/>
      </w:trPr>
      <w:tc>
        <w:tcPr>
          <w:tcW w:w="3255" w:type="dxa"/>
          <w:vMerge/>
        </w:tcPr>
        <w:p w:rsidR="007804BC" w:rsidRDefault="007804BC">
          <w:pPr>
            <w:rPr>
              <w:rFonts w:ascii="Palatino Linotype" w:hAnsi="Palatino Linotype"/>
              <w:b/>
              <w:sz w:val="22"/>
              <w:szCs w:val="22"/>
              <w:lang w:val="es-ES_tradnl"/>
            </w:rPr>
          </w:pPr>
        </w:p>
      </w:tc>
      <w:tc>
        <w:tcPr>
          <w:tcW w:w="2555" w:type="dxa"/>
          <w:shd w:val="clear" w:color="auto" w:fill="auto"/>
        </w:tcPr>
        <w:p w:rsidR="007804BC" w:rsidRDefault="00CE521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7804BC" w:rsidRDefault="00CE5214">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7804BC" w:rsidRDefault="007804BC">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4BC" w:rsidRDefault="00CE5214">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14" behindDoc="1" locked="0" layoutInCell="1" allowOverlap="1">
          <wp:simplePos x="0" y="0"/>
          <wp:positionH relativeFrom="column">
            <wp:align>center</wp:align>
          </wp:positionH>
          <wp:positionV relativeFrom="margin">
            <wp:align>center</wp:align>
          </wp:positionV>
          <wp:extent cx="6858635" cy="9144635"/>
          <wp:effectExtent l="0" t="0" r="0" b="0"/>
          <wp:wrapNone/>
          <wp:docPr id="7"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9"/>
      <w:gridCol w:w="3691"/>
    </w:tblGrid>
    <w:tr w:rsidR="007804BC">
      <w:tc>
        <w:tcPr>
          <w:tcW w:w="4250" w:type="dxa"/>
          <w:vMerge w:val="restart"/>
          <w:shd w:val="clear" w:color="auto" w:fill="auto"/>
        </w:tcPr>
        <w:p w:rsidR="007804BC" w:rsidRDefault="00CE5214">
          <w:pPr>
            <w:rPr>
              <w:rFonts w:ascii="Palatino Linotype" w:hAnsi="Palatino Linotype"/>
              <w:b/>
              <w:sz w:val="22"/>
              <w:szCs w:val="22"/>
              <w:lang w:val="es-ES_tradnl"/>
            </w:rPr>
          </w:pPr>
          <w:r>
            <w:rPr>
              <w:noProof/>
              <w:lang w:eastAsia="es-MX"/>
            </w:rPr>
            <w:drawing>
              <wp:inline distT="0" distB="0" distL="0" distR="0">
                <wp:extent cx="1663700" cy="8382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9" w:type="dxa"/>
          <w:shd w:val="clear" w:color="auto" w:fill="auto"/>
        </w:tcPr>
        <w:p w:rsidR="007804BC" w:rsidRDefault="00CE521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1" w:type="dxa"/>
          <w:shd w:val="clear" w:color="auto" w:fill="auto"/>
          <w:vAlign w:val="center"/>
        </w:tcPr>
        <w:p w:rsidR="007804BC" w:rsidRDefault="00CE5214">
          <w:pPr>
            <w:jc w:val="both"/>
            <w:rPr>
              <w:rFonts w:ascii="Palatino Linotype" w:hAnsi="Palatino Linotype"/>
              <w:b/>
              <w:sz w:val="22"/>
              <w:szCs w:val="22"/>
              <w:lang w:val="es-ES_tradnl"/>
            </w:rPr>
          </w:pPr>
          <w:r>
            <w:rPr>
              <w:rFonts w:ascii="Palatino Linotype" w:hAnsi="Palatino Linotype"/>
              <w:b/>
              <w:sz w:val="22"/>
              <w:szCs w:val="22"/>
              <w:lang w:val="es-ES_tradnl"/>
            </w:rPr>
            <w:t>01287/INFOEM/IP/RR/2020</w:t>
          </w:r>
        </w:p>
      </w:tc>
    </w:tr>
    <w:tr w:rsidR="007804BC">
      <w:tc>
        <w:tcPr>
          <w:tcW w:w="4250" w:type="dxa"/>
          <w:vMerge/>
          <w:shd w:val="clear" w:color="auto" w:fill="auto"/>
        </w:tcPr>
        <w:p w:rsidR="007804BC" w:rsidRDefault="007804BC">
          <w:pPr>
            <w:rPr>
              <w:rFonts w:ascii="Palatino Linotype" w:hAnsi="Palatino Linotype"/>
              <w:b/>
              <w:sz w:val="22"/>
              <w:szCs w:val="22"/>
              <w:lang w:val="es-ES_tradnl"/>
            </w:rPr>
          </w:pPr>
        </w:p>
      </w:tc>
      <w:tc>
        <w:tcPr>
          <w:tcW w:w="2549" w:type="dxa"/>
          <w:shd w:val="clear" w:color="auto" w:fill="auto"/>
        </w:tcPr>
        <w:p w:rsidR="007804BC" w:rsidRDefault="00CE5214">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1" w:type="dxa"/>
          <w:shd w:val="clear" w:color="auto" w:fill="auto"/>
          <w:vAlign w:val="center"/>
        </w:tcPr>
        <w:p w:rsidR="007804BC" w:rsidRDefault="00357FBE">
          <w:pPr>
            <w:jc w:val="both"/>
            <w:rPr>
              <w:rFonts w:ascii="Palatino Linotype" w:hAnsi="Palatino Linotype"/>
              <w:b/>
              <w:sz w:val="22"/>
              <w:szCs w:val="22"/>
              <w:lang w:val="es-ES_tradnl"/>
            </w:rPr>
          </w:pPr>
          <w:r w:rsidRPr="00357FBE">
            <w:rPr>
              <w:rFonts w:ascii="Palatino Linotype" w:hAnsi="Palatino Linotype"/>
              <w:b/>
              <w:sz w:val="22"/>
              <w:szCs w:val="22"/>
              <w:lang w:val="es-ES_tradnl"/>
            </w:rPr>
            <w:t>XXXXXXX XXXX XXXXXXXXXX</w:t>
          </w:r>
        </w:p>
      </w:tc>
    </w:tr>
    <w:tr w:rsidR="007804BC">
      <w:trPr>
        <w:trHeight w:val="228"/>
      </w:trPr>
      <w:tc>
        <w:tcPr>
          <w:tcW w:w="4250" w:type="dxa"/>
          <w:vMerge/>
          <w:shd w:val="clear" w:color="auto" w:fill="auto"/>
        </w:tcPr>
        <w:p w:rsidR="007804BC" w:rsidRDefault="007804BC">
          <w:pPr>
            <w:rPr>
              <w:rFonts w:ascii="Palatino Linotype" w:hAnsi="Palatino Linotype"/>
              <w:b/>
              <w:sz w:val="22"/>
              <w:szCs w:val="22"/>
              <w:lang w:val="es-ES_tradnl"/>
            </w:rPr>
          </w:pPr>
        </w:p>
      </w:tc>
      <w:tc>
        <w:tcPr>
          <w:tcW w:w="2549" w:type="dxa"/>
          <w:shd w:val="clear" w:color="auto" w:fill="auto"/>
        </w:tcPr>
        <w:p w:rsidR="007804BC" w:rsidRDefault="00CE521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1" w:type="dxa"/>
          <w:shd w:val="clear" w:color="auto" w:fill="auto"/>
          <w:vAlign w:val="center"/>
        </w:tcPr>
        <w:p w:rsidR="007804BC" w:rsidRDefault="00CE5214">
          <w:pPr>
            <w:jc w:val="both"/>
            <w:rPr>
              <w:rFonts w:ascii="Palatino Linotype" w:hAnsi="Palatino Linotype"/>
              <w:b/>
              <w:sz w:val="22"/>
              <w:szCs w:val="22"/>
            </w:rPr>
          </w:pPr>
          <w:r>
            <w:rPr>
              <w:rFonts w:ascii="Palatino Linotype" w:hAnsi="Palatino Linotype"/>
              <w:b/>
              <w:bCs/>
              <w:sz w:val="22"/>
              <w:szCs w:val="22"/>
            </w:rPr>
            <w:t>Ayuntamiento de Cuautitlán</w:t>
          </w:r>
        </w:p>
      </w:tc>
    </w:tr>
    <w:tr w:rsidR="007804BC">
      <w:tc>
        <w:tcPr>
          <w:tcW w:w="4250" w:type="dxa"/>
          <w:vMerge/>
          <w:shd w:val="clear" w:color="auto" w:fill="auto"/>
        </w:tcPr>
        <w:p w:rsidR="007804BC" w:rsidRDefault="007804BC">
          <w:pPr>
            <w:rPr>
              <w:rFonts w:ascii="Palatino Linotype" w:hAnsi="Palatino Linotype"/>
              <w:b/>
              <w:sz w:val="22"/>
              <w:szCs w:val="22"/>
              <w:lang w:val="es-ES_tradnl"/>
            </w:rPr>
          </w:pPr>
        </w:p>
      </w:tc>
      <w:tc>
        <w:tcPr>
          <w:tcW w:w="2549" w:type="dxa"/>
          <w:shd w:val="clear" w:color="auto" w:fill="auto"/>
        </w:tcPr>
        <w:p w:rsidR="007804BC" w:rsidRDefault="00CE521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1" w:type="dxa"/>
          <w:shd w:val="clear" w:color="auto" w:fill="auto"/>
        </w:tcPr>
        <w:p w:rsidR="007804BC" w:rsidRDefault="00CE5214">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7804BC" w:rsidRDefault="007804B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CBA"/>
    <w:multiLevelType w:val="multilevel"/>
    <w:tmpl w:val="97E6FD32"/>
    <w:lvl w:ilvl="0">
      <w:start w:val="1"/>
      <w:numFmt w:val="ordinalText"/>
      <w:lvlText w:val="%1."/>
      <w:lvlJc w:val="left"/>
      <w:pPr>
        <w:ind w:left="720" w:hanging="360"/>
      </w:pPr>
      <w:rPr>
        <w:rFonts w:hint="default"/>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84428C"/>
    <w:multiLevelType w:val="multilevel"/>
    <w:tmpl w:val="6E808DDA"/>
    <w:lvl w:ilvl="0">
      <w:start w:val="1"/>
      <w:numFmt w:val="upperRoman"/>
      <w:lvlText w:val="%1."/>
      <w:lvlJc w:val="left"/>
      <w:pPr>
        <w:ind w:left="2062"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9A3F50"/>
    <w:multiLevelType w:val="multilevel"/>
    <w:tmpl w:val="228A4FA4"/>
    <w:lvl w:ilvl="0">
      <w:start w:val="1"/>
      <w:numFmt w:val="upperRoman"/>
      <w:lvlText w:val="%1."/>
      <w:lvlJc w:val="left"/>
      <w:pPr>
        <w:ind w:left="2062"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cs="Arial" w:hint="default"/>
      </w:rPr>
    </w:lvl>
    <w:lvl w:ilvl="6">
      <w:start w:val="1"/>
      <w:numFmt w:val="upperLetter"/>
      <w:lvlText w:val="%7)"/>
      <w:lvlJc w:val="left"/>
      <w:pPr>
        <w:ind w:left="5085" w:hanging="405"/>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8568F5"/>
    <w:multiLevelType w:val="multilevel"/>
    <w:tmpl w:val="99B8BD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 w:numId="4">
    <w:abstractNumId w:val="3"/>
  </w:num>
  <w:num w:numId="5">
    <w:abstractNumId w:val="1"/>
    <w:lvlOverride w:ilvl="0">
      <w:lvl w:ilvl="0">
        <w:start w:val="1"/>
        <w:numFmt w:val="upperRoman"/>
        <w:lvlText w:val="%1."/>
        <w:lvlJc w:val="left"/>
        <w:pPr>
          <w:ind w:left="2062" w:hanging="360"/>
        </w:pPr>
        <w:rPr>
          <w:b/>
          <w:i w:val="0"/>
          <w:caps/>
          <w:color w:val="auto"/>
          <w:sz w:val="28"/>
        </w:rPr>
      </w:lvl>
    </w:lvlOverride>
    <w:lvlOverride w:ilvl="5">
      <w:lvl w:ilvl="5">
        <w:start w:val="1"/>
        <w:numFmt w:val="bullet"/>
        <w:lvlText w:val=""/>
        <w:lvlJc w:val="left"/>
        <w:pPr>
          <w:ind w:left="4500" w:hanging="360"/>
        </w:pPr>
        <w:rPr>
          <w:rFonts w:ascii="Symbol" w:hAnsi="Symbo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BC"/>
    <w:rsid w:val="00357FBE"/>
    <w:rsid w:val="00745E0D"/>
    <w:rsid w:val="007804BC"/>
    <w:rsid w:val="0087226A"/>
    <w:rsid w:val="00CE5214"/>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7DC3A-60B3-4C64-B120-DB5B508A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C9308-5CD6-4A90-8E67-7B2F1D95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2396</Words>
  <Characters>13180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 INFOEM</cp:lastModifiedBy>
  <cp:revision>2</cp:revision>
  <cp:lastPrinted>2020-01-22T19:55:00Z</cp:lastPrinted>
  <dcterms:created xsi:type="dcterms:W3CDTF">2020-08-27T00:11:00Z</dcterms:created>
  <dcterms:modified xsi:type="dcterms:W3CDTF">2020-08-27T00:11:00Z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