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B0142">
        <w:rPr>
          <w:rFonts w:ascii="Palatino Linotype" w:hAnsi="Palatino Linotype"/>
          <w:sz w:val="24"/>
          <w:szCs w:val="24"/>
          <w:lang w:eastAsia="es-MX"/>
        </w:rPr>
        <w:t>cinco de agosto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E94D55">
        <w:rPr>
          <w:rFonts w:ascii="Palatino Linotype" w:hAnsi="Palatino Linotype"/>
          <w:b/>
          <w:bCs/>
          <w:sz w:val="24"/>
          <w:szCs w:val="24"/>
          <w:lang w:eastAsia="es-MX"/>
        </w:rPr>
        <w:t>00440/INFOEM/IP/RR/2020</w:t>
      </w:r>
      <w:r w:rsidR="003C3124">
        <w:rPr>
          <w:rFonts w:ascii="Palatino Linotype" w:hAnsi="Palatino Linotype"/>
          <w:sz w:val="24"/>
          <w:szCs w:val="24"/>
        </w:rPr>
        <w:t>, interpuest</w:t>
      </w:r>
      <w:r w:rsidR="00F766CF">
        <w:rPr>
          <w:rFonts w:ascii="Palatino Linotype" w:hAnsi="Palatino Linotype"/>
          <w:sz w:val="24"/>
          <w:szCs w:val="24"/>
        </w:rPr>
        <w:t>o por</w:t>
      </w:r>
      <w:r w:rsidR="00474C4E">
        <w:rPr>
          <w:rFonts w:ascii="Palatino Linotype" w:hAnsi="Palatino Linotype"/>
          <w:sz w:val="24"/>
          <w:szCs w:val="24"/>
        </w:rPr>
        <w:t xml:space="preserve"> el </w:t>
      </w:r>
      <w:r w:rsidR="00474C4E" w:rsidRPr="00474C4E">
        <w:rPr>
          <w:rFonts w:ascii="Palatino Linotype" w:hAnsi="Palatino Linotype"/>
          <w:b/>
          <w:sz w:val="24"/>
          <w:szCs w:val="24"/>
        </w:rPr>
        <w:t>C.</w:t>
      </w:r>
      <w:r w:rsidR="00BE2ADA">
        <w:rPr>
          <w:rFonts w:ascii="Palatino Linotype" w:hAnsi="Palatino Linotype"/>
          <w:b/>
          <w:sz w:val="24"/>
          <w:szCs w:val="24"/>
        </w:rPr>
        <w:t xml:space="preserve">                 </w:t>
      </w:r>
      <w:proofErr w:type="gramStart"/>
      <w:r w:rsidR="006811AF">
        <w:rPr>
          <w:rFonts w:ascii="Palatino Linotype" w:hAnsi="Palatino Linotype"/>
          <w:b/>
          <w:sz w:val="24"/>
          <w:szCs w:val="24"/>
        </w:rPr>
        <w:t>xxxx</w:t>
      </w:r>
      <w:bookmarkStart w:id="0" w:name="_GoBack"/>
      <w:bookmarkEnd w:id="0"/>
      <w:proofErr w:type="gramEnd"/>
      <w:r w:rsidR="00BE2ADA">
        <w:rPr>
          <w:rFonts w:ascii="Palatino Linotype" w:hAnsi="Palatino Linotype"/>
          <w:b/>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E94D55">
        <w:rPr>
          <w:rFonts w:ascii="Palatino Linotype" w:hAnsi="Palatino Linotype" w:cs="Arial"/>
          <w:b/>
          <w:sz w:val="24"/>
          <w:szCs w:val="24"/>
        </w:rPr>
        <w:t>Ayuntamiento de Coyotepec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94D55">
        <w:rPr>
          <w:rFonts w:ascii="Palatino Linotype" w:hAnsi="Palatino Linotype"/>
          <w:sz w:val="24"/>
          <w:szCs w:val="24"/>
        </w:rPr>
        <w:t>se</w:t>
      </w:r>
      <w:r w:rsidR="00581A6F">
        <w:rPr>
          <w:rFonts w:ascii="Palatino Linotype" w:hAnsi="Palatino Linotype"/>
          <w:sz w:val="24"/>
          <w:szCs w:val="24"/>
        </w:rPr>
        <w:t>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E94D55" w:rsidRPr="00E94D55">
        <w:rPr>
          <w:rFonts w:ascii="Palatino Linotype" w:hAnsi="Palatino Linotype"/>
          <w:b/>
          <w:bCs/>
          <w:sz w:val="24"/>
          <w:szCs w:val="24"/>
        </w:rPr>
        <w:t>00458/COYOTEP/IP/2019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E94D55" w:rsidRPr="00E94D55">
        <w:rPr>
          <w:rFonts w:ascii="Palatino Linotype" w:eastAsia="Times New Roman" w:hAnsi="Palatino Linotype" w:cs="Times New Roman"/>
          <w:i/>
          <w:sz w:val="24"/>
          <w:szCs w:val="24"/>
          <w:lang w:val="es-ES_tradnl" w:eastAsia="es-ES"/>
        </w:rPr>
        <w:t xml:space="preserve">En otras ocasiones ya </w:t>
      </w:r>
      <w:proofErr w:type="spellStart"/>
      <w:r w:rsidR="00E94D55" w:rsidRPr="00E94D55">
        <w:rPr>
          <w:rFonts w:ascii="Palatino Linotype" w:eastAsia="Times New Roman" w:hAnsi="Palatino Linotype" w:cs="Times New Roman"/>
          <w:i/>
          <w:sz w:val="24"/>
          <w:szCs w:val="24"/>
          <w:lang w:val="es-ES_tradnl" w:eastAsia="es-ES"/>
        </w:rPr>
        <w:t>habia</w:t>
      </w:r>
      <w:proofErr w:type="spellEnd"/>
      <w:r w:rsidR="00E94D55" w:rsidRPr="00E94D55">
        <w:rPr>
          <w:rFonts w:ascii="Palatino Linotype" w:eastAsia="Times New Roman" w:hAnsi="Palatino Linotype" w:cs="Times New Roman"/>
          <w:i/>
          <w:sz w:val="24"/>
          <w:szCs w:val="24"/>
          <w:lang w:val="es-ES_tradnl" w:eastAsia="es-ES"/>
        </w:rPr>
        <w:t xml:space="preserve"> solicitado la </w:t>
      </w:r>
      <w:proofErr w:type="spellStart"/>
      <w:r w:rsidR="00E94D55" w:rsidRPr="00E94D55">
        <w:rPr>
          <w:rFonts w:ascii="Palatino Linotype" w:eastAsia="Times New Roman" w:hAnsi="Palatino Linotype" w:cs="Times New Roman"/>
          <w:i/>
          <w:sz w:val="24"/>
          <w:szCs w:val="24"/>
          <w:lang w:val="es-ES_tradnl" w:eastAsia="es-ES"/>
        </w:rPr>
        <w:t>nomina</w:t>
      </w:r>
      <w:proofErr w:type="spellEnd"/>
      <w:r w:rsidR="00E94D55" w:rsidRPr="00E94D55">
        <w:rPr>
          <w:rFonts w:ascii="Palatino Linotype" w:eastAsia="Times New Roman" w:hAnsi="Palatino Linotype" w:cs="Times New Roman"/>
          <w:i/>
          <w:sz w:val="24"/>
          <w:szCs w:val="24"/>
          <w:lang w:val="es-ES_tradnl" w:eastAsia="es-ES"/>
        </w:rPr>
        <w:t xml:space="preserve"> completa de ayuntamiento y DIF y no se me han proporcionado, ya que en el portal de transparencia IPOMEX no existen los registros completos de todos los servidores </w:t>
      </w:r>
      <w:proofErr w:type="spellStart"/>
      <w:r w:rsidR="00E94D55" w:rsidRPr="00E94D55">
        <w:rPr>
          <w:rFonts w:ascii="Palatino Linotype" w:eastAsia="Times New Roman" w:hAnsi="Palatino Linotype" w:cs="Times New Roman"/>
          <w:i/>
          <w:sz w:val="24"/>
          <w:szCs w:val="24"/>
          <w:lang w:val="es-ES_tradnl" w:eastAsia="es-ES"/>
        </w:rPr>
        <w:t>publicos</w:t>
      </w:r>
      <w:proofErr w:type="spellEnd"/>
      <w:r w:rsidR="00E94D55" w:rsidRPr="00E94D55">
        <w:rPr>
          <w:rFonts w:ascii="Palatino Linotype" w:eastAsia="Times New Roman" w:hAnsi="Palatino Linotype" w:cs="Times New Roman"/>
          <w:i/>
          <w:sz w:val="24"/>
          <w:szCs w:val="24"/>
          <w:lang w:val="es-ES_tradnl" w:eastAsia="es-ES"/>
        </w:rPr>
        <w:t xml:space="preserve"> del Ayuntamiento de Coyotepec. Por lo cual me di a la tarea de solicitar al ISSEMYM la lista completa de todos los servidores </w:t>
      </w:r>
      <w:proofErr w:type="spellStart"/>
      <w:r w:rsidR="00E94D55" w:rsidRPr="00E94D55">
        <w:rPr>
          <w:rFonts w:ascii="Palatino Linotype" w:eastAsia="Times New Roman" w:hAnsi="Palatino Linotype" w:cs="Times New Roman"/>
          <w:i/>
          <w:sz w:val="24"/>
          <w:szCs w:val="24"/>
          <w:lang w:val="es-ES_tradnl" w:eastAsia="es-ES"/>
        </w:rPr>
        <w:t>publicos</w:t>
      </w:r>
      <w:proofErr w:type="spellEnd"/>
      <w:r w:rsidR="00E94D55" w:rsidRPr="00E94D55">
        <w:rPr>
          <w:rFonts w:ascii="Palatino Linotype" w:eastAsia="Times New Roman" w:hAnsi="Palatino Linotype" w:cs="Times New Roman"/>
          <w:i/>
          <w:sz w:val="24"/>
          <w:szCs w:val="24"/>
          <w:lang w:val="es-ES_tradnl" w:eastAsia="es-ES"/>
        </w:rPr>
        <w:t xml:space="preserve"> del municipio de Coyotepec a partir del 01 de enero de 2019 a la fecha; por ello a diferencia de lo que registra en el portal IPOMEX que son 355 servidores </w:t>
      </w:r>
      <w:proofErr w:type="spellStart"/>
      <w:r w:rsidR="00E94D55" w:rsidRPr="00E94D55">
        <w:rPr>
          <w:rFonts w:ascii="Palatino Linotype" w:eastAsia="Times New Roman" w:hAnsi="Palatino Linotype" w:cs="Times New Roman"/>
          <w:i/>
          <w:sz w:val="24"/>
          <w:szCs w:val="24"/>
          <w:lang w:val="es-ES_tradnl" w:eastAsia="es-ES"/>
        </w:rPr>
        <w:t>publicos</w:t>
      </w:r>
      <w:proofErr w:type="spellEnd"/>
      <w:r w:rsidR="00E94D55" w:rsidRPr="00E94D55">
        <w:rPr>
          <w:rFonts w:ascii="Palatino Linotype" w:eastAsia="Times New Roman" w:hAnsi="Palatino Linotype" w:cs="Times New Roman"/>
          <w:i/>
          <w:sz w:val="24"/>
          <w:szCs w:val="24"/>
          <w:lang w:val="es-ES_tradnl" w:eastAsia="es-ES"/>
        </w:rPr>
        <w:t xml:space="preserve">; el ISSEMYM tiene </w:t>
      </w:r>
      <w:proofErr w:type="spellStart"/>
      <w:r w:rsidR="00E94D55" w:rsidRPr="00E94D55">
        <w:rPr>
          <w:rFonts w:ascii="Palatino Linotype" w:eastAsia="Times New Roman" w:hAnsi="Palatino Linotype" w:cs="Times New Roman"/>
          <w:i/>
          <w:sz w:val="24"/>
          <w:szCs w:val="24"/>
          <w:lang w:val="es-ES_tradnl" w:eastAsia="es-ES"/>
        </w:rPr>
        <w:t>registratos</w:t>
      </w:r>
      <w:proofErr w:type="spellEnd"/>
      <w:r w:rsidR="00E94D55" w:rsidRPr="00E94D55">
        <w:rPr>
          <w:rFonts w:ascii="Palatino Linotype" w:eastAsia="Times New Roman" w:hAnsi="Palatino Linotype" w:cs="Times New Roman"/>
          <w:i/>
          <w:sz w:val="24"/>
          <w:szCs w:val="24"/>
          <w:lang w:val="es-ES_tradnl" w:eastAsia="es-ES"/>
        </w:rPr>
        <w:t xml:space="preserve"> a 456 lo cual compruebo con el anexo del documento que </w:t>
      </w:r>
      <w:proofErr w:type="spellStart"/>
      <w:r w:rsidR="00E94D55" w:rsidRPr="00E94D55">
        <w:rPr>
          <w:rFonts w:ascii="Palatino Linotype" w:eastAsia="Times New Roman" w:hAnsi="Palatino Linotype" w:cs="Times New Roman"/>
          <w:i/>
          <w:sz w:val="24"/>
          <w:szCs w:val="24"/>
          <w:lang w:val="es-ES_tradnl" w:eastAsia="es-ES"/>
        </w:rPr>
        <w:t>envia</w:t>
      </w:r>
      <w:proofErr w:type="spellEnd"/>
      <w:r w:rsidR="00E94D55" w:rsidRPr="00E94D55">
        <w:rPr>
          <w:rFonts w:ascii="Palatino Linotype" w:eastAsia="Times New Roman" w:hAnsi="Palatino Linotype" w:cs="Times New Roman"/>
          <w:i/>
          <w:sz w:val="24"/>
          <w:szCs w:val="24"/>
          <w:lang w:val="es-ES_tradnl" w:eastAsia="es-ES"/>
        </w:rPr>
        <w:t xml:space="preserve"> EL </w:t>
      </w:r>
      <w:proofErr w:type="gramStart"/>
      <w:r w:rsidR="00E94D55" w:rsidRPr="00E94D55">
        <w:rPr>
          <w:rFonts w:ascii="Palatino Linotype" w:eastAsia="Times New Roman" w:hAnsi="Palatino Linotype" w:cs="Times New Roman"/>
          <w:i/>
          <w:sz w:val="24"/>
          <w:szCs w:val="24"/>
          <w:lang w:val="es-ES_tradnl" w:eastAsia="es-ES"/>
        </w:rPr>
        <w:t>ISSEMYM(</w:t>
      </w:r>
      <w:proofErr w:type="gramEnd"/>
      <w:r w:rsidR="00E94D55" w:rsidRPr="00E94D55">
        <w:rPr>
          <w:rFonts w:ascii="Palatino Linotype" w:eastAsia="Times New Roman" w:hAnsi="Palatino Linotype" w:cs="Times New Roman"/>
          <w:i/>
          <w:sz w:val="24"/>
          <w:szCs w:val="24"/>
          <w:lang w:val="es-ES_tradnl" w:eastAsia="es-ES"/>
        </w:rPr>
        <w:t xml:space="preserve">solo de Ayuntamiento). </w:t>
      </w:r>
      <w:proofErr w:type="gramStart"/>
      <w:r w:rsidR="00E94D55" w:rsidRPr="00E94D55">
        <w:rPr>
          <w:rFonts w:ascii="Palatino Linotype" w:eastAsia="Times New Roman" w:hAnsi="Palatino Linotype" w:cs="Times New Roman"/>
          <w:i/>
          <w:sz w:val="24"/>
          <w:szCs w:val="24"/>
          <w:lang w:val="es-ES_tradnl" w:eastAsia="es-ES"/>
        </w:rPr>
        <w:t>por</w:t>
      </w:r>
      <w:proofErr w:type="gramEnd"/>
      <w:r w:rsidR="00E94D55" w:rsidRPr="00E94D55">
        <w:rPr>
          <w:rFonts w:ascii="Palatino Linotype" w:eastAsia="Times New Roman" w:hAnsi="Palatino Linotype" w:cs="Times New Roman"/>
          <w:i/>
          <w:sz w:val="24"/>
          <w:szCs w:val="24"/>
          <w:lang w:val="es-ES_tradnl" w:eastAsia="es-ES"/>
        </w:rPr>
        <w:t xml:space="preserve"> lo tanto le solicito la lista completa de todos los 456 servidores </w:t>
      </w:r>
      <w:proofErr w:type="spellStart"/>
      <w:r w:rsidR="00E94D55" w:rsidRPr="00E94D55">
        <w:rPr>
          <w:rFonts w:ascii="Palatino Linotype" w:eastAsia="Times New Roman" w:hAnsi="Palatino Linotype" w:cs="Times New Roman"/>
          <w:i/>
          <w:sz w:val="24"/>
          <w:szCs w:val="24"/>
          <w:lang w:val="es-ES_tradnl" w:eastAsia="es-ES"/>
        </w:rPr>
        <w:t>publicos</w:t>
      </w:r>
      <w:proofErr w:type="spellEnd"/>
      <w:r w:rsidR="00E94D55" w:rsidRPr="00E94D55">
        <w:rPr>
          <w:rFonts w:ascii="Palatino Linotype" w:eastAsia="Times New Roman" w:hAnsi="Palatino Linotype" w:cs="Times New Roman"/>
          <w:i/>
          <w:sz w:val="24"/>
          <w:szCs w:val="24"/>
          <w:lang w:val="es-ES_tradnl" w:eastAsia="es-ES"/>
        </w:rPr>
        <w:t xml:space="preserve"> con </w:t>
      </w:r>
      <w:r w:rsidR="00E94D55" w:rsidRPr="00E94D55">
        <w:rPr>
          <w:rFonts w:ascii="Palatino Linotype" w:eastAsia="Times New Roman" w:hAnsi="Palatino Linotype" w:cs="Times New Roman"/>
          <w:i/>
          <w:sz w:val="24"/>
          <w:szCs w:val="24"/>
          <w:lang w:val="es-ES_tradnl" w:eastAsia="es-ES"/>
        </w:rPr>
        <w:lastRenderedPageBreak/>
        <w:t xml:space="preserve">remuneraciones y donde se incluyan todo tipo de prestaciones del 01 de enero de 2019 a la fecha; </w:t>
      </w:r>
      <w:proofErr w:type="spellStart"/>
      <w:r w:rsidR="00E94D55" w:rsidRPr="00E94D55">
        <w:rPr>
          <w:rFonts w:ascii="Palatino Linotype" w:eastAsia="Times New Roman" w:hAnsi="Palatino Linotype" w:cs="Times New Roman"/>
          <w:i/>
          <w:sz w:val="24"/>
          <w:szCs w:val="24"/>
          <w:lang w:val="es-ES_tradnl" w:eastAsia="es-ES"/>
        </w:rPr>
        <w:t>asi</w:t>
      </w:r>
      <w:proofErr w:type="spellEnd"/>
      <w:r w:rsidR="00E94D55" w:rsidRPr="00E94D55">
        <w:rPr>
          <w:rFonts w:ascii="Palatino Linotype" w:eastAsia="Times New Roman" w:hAnsi="Palatino Linotype" w:cs="Times New Roman"/>
          <w:i/>
          <w:sz w:val="24"/>
          <w:szCs w:val="24"/>
          <w:lang w:val="es-ES_tradnl" w:eastAsia="es-ES"/>
        </w:rPr>
        <w:t xml:space="preserve"> </w:t>
      </w:r>
      <w:proofErr w:type="spellStart"/>
      <w:r w:rsidR="00E94D55" w:rsidRPr="00E94D55">
        <w:rPr>
          <w:rFonts w:ascii="Palatino Linotype" w:eastAsia="Times New Roman" w:hAnsi="Palatino Linotype" w:cs="Times New Roman"/>
          <w:i/>
          <w:sz w:val="24"/>
          <w:szCs w:val="24"/>
          <w:lang w:val="es-ES_tradnl" w:eastAsia="es-ES"/>
        </w:rPr>
        <w:t>tambien</w:t>
      </w:r>
      <w:proofErr w:type="spellEnd"/>
      <w:r w:rsidR="00E94D55" w:rsidRPr="00E94D55">
        <w:rPr>
          <w:rFonts w:ascii="Palatino Linotype" w:eastAsia="Times New Roman" w:hAnsi="Palatino Linotype" w:cs="Times New Roman"/>
          <w:i/>
          <w:sz w:val="24"/>
          <w:szCs w:val="24"/>
          <w:lang w:val="es-ES_tradnl" w:eastAsia="es-ES"/>
        </w:rPr>
        <w:t xml:space="preserve"> le solicito cargue a esos 456 servidores </w:t>
      </w:r>
      <w:proofErr w:type="spellStart"/>
      <w:r w:rsidR="00E94D55" w:rsidRPr="00E94D55">
        <w:rPr>
          <w:rFonts w:ascii="Palatino Linotype" w:eastAsia="Times New Roman" w:hAnsi="Palatino Linotype" w:cs="Times New Roman"/>
          <w:i/>
          <w:sz w:val="24"/>
          <w:szCs w:val="24"/>
          <w:lang w:val="es-ES_tradnl" w:eastAsia="es-ES"/>
        </w:rPr>
        <w:t>publicos</w:t>
      </w:r>
      <w:proofErr w:type="spellEnd"/>
      <w:r w:rsidR="00E94D55" w:rsidRPr="00E94D55">
        <w:rPr>
          <w:rFonts w:ascii="Palatino Linotype" w:eastAsia="Times New Roman" w:hAnsi="Palatino Linotype" w:cs="Times New Roman"/>
          <w:i/>
          <w:sz w:val="24"/>
          <w:szCs w:val="24"/>
          <w:lang w:val="es-ES_tradnl" w:eastAsia="es-ES"/>
        </w:rPr>
        <w:t xml:space="preserve"> en la plataforma IPOMEX, ya que es parte de sus obligaciones de transparencia, en caso contrario es ocultación de información como lo establece la Ley de Responsabilidades y es considerado delito grave.</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E94D55">
        <w:rPr>
          <w:rFonts w:ascii="Palatino Linotype" w:hAnsi="Palatino Linotype"/>
          <w:sz w:val="24"/>
          <w:szCs w:val="24"/>
        </w:rPr>
        <w:t>nueve de enero de dos mil veinte</w:t>
      </w:r>
      <w:r w:rsidRPr="00D04234">
        <w:rPr>
          <w:rFonts w:ascii="Palatino Linotype" w:hAnsi="Palatino Linotype"/>
          <w:sz w:val="24"/>
          <w:szCs w:val="24"/>
        </w:rPr>
        <w:t xml:space="preserve">, en el sistema electrónico con el expediente número </w:t>
      </w:r>
      <w:r w:rsidR="00E94D55">
        <w:rPr>
          <w:rFonts w:ascii="Palatino Linotype" w:hAnsi="Palatino Linotype"/>
          <w:b/>
          <w:bCs/>
          <w:sz w:val="24"/>
          <w:szCs w:val="24"/>
          <w:lang w:eastAsia="es-MX"/>
        </w:rPr>
        <w:t>00440/INFOEM/IP/RR/2020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E94D55" w:rsidRPr="00E94D55">
        <w:rPr>
          <w:rFonts w:ascii="Palatino Linotype" w:hAnsi="Palatino Linotype" w:cs="Arial"/>
          <w:i/>
        </w:rPr>
        <w:t>Solicitud de 458</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lastRenderedPageBreak/>
        <w:t>“</w:t>
      </w:r>
      <w:r w:rsidR="00E94D55" w:rsidRPr="00E94D55">
        <w:rPr>
          <w:rFonts w:ascii="Palatino Linotype" w:hAnsi="Palatino Linotype" w:cs="Arial"/>
          <w:i/>
        </w:rPr>
        <w:t>No se me proporciono la lista completa de servidores públicos de Ayuntamiento y DIF con sus remuneraciones y prestaciones, aunque anexe la lista de servidores públicos registrados en el ISSEMYM.</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94D55">
        <w:rPr>
          <w:rFonts w:ascii="Palatino Linotype" w:hAnsi="Palatino Linotype"/>
          <w:sz w:val="24"/>
          <w:szCs w:val="24"/>
        </w:rPr>
        <w:t>quince</w:t>
      </w:r>
      <w:r w:rsidR="00B038F7">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5B0142" w:rsidRDefault="005B0142" w:rsidP="00F23C77">
      <w:pPr>
        <w:pStyle w:val="Sinespaciado"/>
        <w:spacing w:line="360" w:lineRule="auto"/>
        <w:jc w:val="both"/>
        <w:rPr>
          <w:rFonts w:ascii="Palatino Linotype" w:hAnsi="Palatino Linotype"/>
          <w:sz w:val="24"/>
          <w:szCs w:val="24"/>
        </w:rPr>
      </w:pPr>
    </w:p>
    <w:p w:rsidR="00F23C77" w:rsidRPr="006D2AB0" w:rsidRDefault="00E94D55"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1128FA0F" wp14:editId="6295E8A5">
            <wp:extent cx="5798939" cy="1819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0" t="18224" r="29068" b="58260"/>
                    <a:stretch/>
                  </pic:blipFill>
                  <pic:spPr bwMode="auto">
                    <a:xfrm>
                      <a:off x="0" y="0"/>
                      <a:ext cx="5828710" cy="1828615"/>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94D55">
        <w:rPr>
          <w:rFonts w:ascii="Palatino Linotype" w:hAnsi="Palatino Linotype"/>
          <w:sz w:val="24"/>
          <w:szCs w:val="24"/>
        </w:rPr>
        <w:t>seis</w:t>
      </w:r>
      <w:r w:rsidR="00B038F7">
        <w:rPr>
          <w:rFonts w:ascii="Palatino Linotype" w:hAnsi="Palatino Linotype"/>
          <w:sz w:val="24"/>
          <w:szCs w:val="24"/>
        </w:rPr>
        <w:t xml:space="preserve">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4612B1" w:rsidRPr="00D00FA4" w:rsidRDefault="00541B17" w:rsidP="004612B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D04978">
        <w:rPr>
          <w:rFonts w:ascii="Palatino Linotype" w:hAnsi="Palatino Linotype"/>
          <w:sz w:val="24"/>
          <w:szCs w:val="24"/>
        </w:rPr>
        <w:t>seis</w:t>
      </w:r>
      <w:r w:rsidR="00B038F7">
        <w:rPr>
          <w:rFonts w:ascii="Palatino Linotype" w:hAnsi="Palatino Linotype"/>
          <w:sz w:val="24"/>
          <w:szCs w:val="24"/>
        </w:rPr>
        <w:t xml:space="preserve">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4612B1">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4447C">
        <w:rPr>
          <w:rFonts w:ascii="Palatino Linotype" w:hAnsi="Palatino Linotype"/>
          <w:sz w:val="24"/>
          <w:szCs w:val="24"/>
        </w:rPr>
        <w:lastRenderedPageBreak/>
        <w:t>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D04978"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FC6862">
        <w:rPr>
          <w:rFonts w:ascii="Palatino Linotype" w:hAnsi="Palatino Linotype"/>
          <w:sz w:val="24"/>
          <w:szCs w:val="24"/>
        </w:rPr>
        <w:lastRenderedPageBreak/>
        <w:t xml:space="preserve">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lastRenderedPageBreak/>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lastRenderedPageBreak/>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Así, se debe recordar que el Recurre</w:t>
      </w:r>
      <w:r w:rsidR="00D04978">
        <w:rPr>
          <w:rFonts w:ascii="Palatino Linotype" w:hAnsi="Palatino Linotype" w:cstheme="minorHAnsi"/>
          <w:sz w:val="24"/>
          <w:szCs w:val="24"/>
        </w:rPr>
        <w:t>nte solicitó al Sujeto Obligado la lista completa de todos los trabajadores del A</w:t>
      </w:r>
      <w:r w:rsidR="002F7309">
        <w:rPr>
          <w:rFonts w:ascii="Palatino Linotype" w:hAnsi="Palatino Linotype" w:cstheme="minorHAnsi"/>
          <w:sz w:val="24"/>
          <w:szCs w:val="24"/>
        </w:rPr>
        <w:t>yuntamiento con sus remuneraciones en la que se incluyan todo tipo de prestaciones del primero de enero al seis de noviembre de dos mil diecinueve y que dicha información sea cargada en la plataforma de Información Pública de Oficio Mexiquense.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w:t>
      </w:r>
      <w:r w:rsidRPr="00FC6862">
        <w:rPr>
          <w:rFonts w:ascii="Palatino Linotype" w:hAnsi="Palatino Linotype"/>
          <w:i/>
          <w:sz w:val="24"/>
          <w:szCs w:val="24"/>
        </w:rPr>
        <w:lastRenderedPageBreak/>
        <w:t>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FC6862">
        <w:rPr>
          <w:rFonts w:ascii="Palatino Linotype" w:hAnsi="Palatino Linotype"/>
          <w:i/>
          <w:sz w:val="24"/>
          <w:szCs w:val="24"/>
        </w:rPr>
        <w:lastRenderedPageBreak/>
        <w:t>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FC6862">
        <w:rPr>
          <w:rFonts w:ascii="Palatino Linotype" w:hAnsi="Palatino Linotype" w:cs="Arial"/>
          <w:sz w:val="24"/>
          <w:szCs w:val="24"/>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w:t>
      </w:r>
      <w:r w:rsidR="004556AA">
        <w:rPr>
          <w:rFonts w:ascii="Palatino Linotype" w:hAnsi="Palatino Linotype"/>
          <w:sz w:val="24"/>
          <w:szCs w:val="24"/>
        </w:rPr>
        <w:t xml:space="preserve">a materia, puesto, aunque se realizaron los requerimientos necesarios, no se entregó ninguna respuesta al solicitante, </w:t>
      </w:r>
      <w:r w:rsidRPr="00FC6862">
        <w:rPr>
          <w:rFonts w:ascii="Palatino Linotype" w:hAnsi="Palatino Linotype"/>
          <w:sz w:val="24"/>
          <w:szCs w:val="24"/>
        </w:rPr>
        <w:t>limitando el dere</w:t>
      </w:r>
      <w:r w:rsidR="004556AA">
        <w:rPr>
          <w:rFonts w:ascii="Palatino Linotype" w:hAnsi="Palatino Linotype"/>
          <w:sz w:val="24"/>
          <w:szCs w:val="24"/>
        </w:rPr>
        <w:t>cho de acceso a la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FC6862">
        <w:rPr>
          <w:rFonts w:ascii="Palatino Linotype" w:hAnsi="Palatino Linotype"/>
          <w:sz w:val="24"/>
          <w:szCs w:val="24"/>
        </w:rPr>
        <w:lastRenderedPageBreak/>
        <w:t>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lastRenderedPageBreak/>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w:t>
      </w:r>
      <w:r w:rsidRPr="00FC6862">
        <w:rPr>
          <w:rFonts w:ascii="Palatino Linotype" w:eastAsia="Calibri" w:hAnsi="Palatino Linotype"/>
          <w:i/>
          <w:sz w:val="24"/>
          <w:szCs w:val="24"/>
        </w:rPr>
        <w:lastRenderedPageBreak/>
        <w:t xml:space="preserve">distinguir esas diferencias y formular una idónea y adecuada clasificación de la información, generando así una regla individualizada y pertinente para el caso, a través de aplicar la "prueba de daño e interés público" ex </w:t>
      </w:r>
      <w:proofErr w:type="spellStart"/>
      <w:r w:rsidRPr="00FC6862">
        <w:rPr>
          <w:rFonts w:ascii="Palatino Linotype" w:eastAsia="Calibri" w:hAnsi="Palatino Linotype"/>
          <w:i/>
          <w:sz w:val="24"/>
          <w:szCs w:val="24"/>
        </w:rPr>
        <w:t>officio</w:t>
      </w:r>
      <w:proofErr w:type="spellEnd"/>
      <w:r w:rsidRPr="00FC6862">
        <w:rPr>
          <w:rFonts w:ascii="Palatino Linotype" w:eastAsia="Calibri" w:hAnsi="Palatino Linotype"/>
          <w:i/>
          <w:sz w:val="24"/>
          <w:szCs w:val="24"/>
        </w:rPr>
        <w:t>,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FC6862">
        <w:rPr>
          <w:rFonts w:ascii="Palatino Linotype" w:hAnsi="Palatino Linotype"/>
          <w:sz w:val="24"/>
          <w:szCs w:val="24"/>
        </w:rPr>
        <w:lastRenderedPageBreak/>
        <w:t>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w:t>
      </w:r>
      <w:r w:rsidRPr="00FC6862">
        <w:rPr>
          <w:rFonts w:ascii="Palatino Linotype" w:hAnsi="Palatino Linotype" w:cs="Arial"/>
          <w:sz w:val="24"/>
          <w:szCs w:val="24"/>
        </w:rPr>
        <w:lastRenderedPageBreak/>
        <w:t xml:space="preserve">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w:t>
      </w:r>
      <w:r w:rsidRPr="00FC6862">
        <w:rPr>
          <w:rFonts w:ascii="Palatino Linotype" w:hAnsi="Palatino Linotype" w:cs="Arial"/>
          <w:sz w:val="24"/>
          <w:szCs w:val="24"/>
          <w:lang w:val="es-ES_tradnl"/>
        </w:rPr>
        <w:lastRenderedPageBreak/>
        <w:t>ordenar al Sujeto Obligado dé trámite y respuesta a la solicitud de acceso a la información, atendiendo lo señalado en el presente Considerando.</w:t>
      </w:r>
    </w:p>
    <w:p w:rsidR="009D0D73" w:rsidRDefault="009D0D73" w:rsidP="00FC6862">
      <w:pPr>
        <w:pStyle w:val="Sinespaciado"/>
        <w:spacing w:line="360" w:lineRule="auto"/>
        <w:jc w:val="both"/>
        <w:rPr>
          <w:rFonts w:ascii="Palatino Linotype" w:hAnsi="Palatino Linotype" w:cs="Arial"/>
          <w:sz w:val="24"/>
          <w:szCs w:val="24"/>
          <w:lang w:val="es-ES_tradnl"/>
        </w:rPr>
      </w:pPr>
    </w:p>
    <w:p w:rsidR="009D0D73" w:rsidRPr="00FC6862" w:rsidRDefault="009D0D73" w:rsidP="00FC6862">
      <w:pPr>
        <w:pStyle w:val="Sinespaciado"/>
        <w:spacing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xml:space="preserve">, 36, fracciones I y II, 176, 178, </w:t>
      </w:r>
      <w:r w:rsidRPr="00FC6862">
        <w:rPr>
          <w:rFonts w:ascii="Palatino Linotype" w:hAnsi="Palatino Linotype"/>
          <w:sz w:val="24"/>
          <w:szCs w:val="24"/>
        </w:rPr>
        <w:lastRenderedPageBreak/>
        <w:t>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9D0D73" w:rsidRDefault="00FC6862" w:rsidP="00FC6862">
      <w:pPr>
        <w:pStyle w:val="Sinespaciado"/>
        <w:spacing w:line="360" w:lineRule="auto"/>
        <w:jc w:val="both"/>
        <w:rPr>
          <w:rFonts w:ascii="Palatino Linotype" w:eastAsia="Calibri" w:hAnsi="Palatino Linotype" w:cstheme="minorHAnsi"/>
          <w:sz w:val="18"/>
          <w:szCs w:val="24"/>
        </w:rPr>
      </w:pPr>
    </w:p>
    <w:p w:rsidR="00FC6862" w:rsidRPr="009D0D73" w:rsidRDefault="00FC6862" w:rsidP="00FC6862">
      <w:pPr>
        <w:pStyle w:val="Sinespaciado"/>
        <w:spacing w:line="360" w:lineRule="auto"/>
        <w:jc w:val="center"/>
        <w:rPr>
          <w:rFonts w:ascii="Palatino Linotype" w:hAnsi="Palatino Linotype" w:cstheme="minorHAnsi"/>
          <w:b/>
          <w:sz w:val="28"/>
          <w:szCs w:val="28"/>
          <w:lang w:val="pt-BR"/>
        </w:rPr>
      </w:pPr>
      <w:r w:rsidRPr="009D0D73">
        <w:rPr>
          <w:rFonts w:ascii="Palatino Linotype" w:hAnsi="Palatino Linotype" w:cstheme="minorHAnsi"/>
          <w:b/>
          <w:sz w:val="28"/>
          <w:szCs w:val="28"/>
          <w:lang w:val="pt-BR"/>
        </w:rPr>
        <w:t>R E S U E L V E</w:t>
      </w:r>
    </w:p>
    <w:p w:rsidR="00FC6862" w:rsidRPr="009D0D73" w:rsidRDefault="00FC6862" w:rsidP="00FC6862">
      <w:pPr>
        <w:pStyle w:val="Sinespaciado"/>
        <w:spacing w:line="360" w:lineRule="auto"/>
        <w:jc w:val="both"/>
        <w:rPr>
          <w:rFonts w:ascii="Palatino Linotype" w:hAnsi="Palatino Linotype" w:cstheme="minorHAnsi"/>
          <w:sz w:val="18"/>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00C474B4">
        <w:rPr>
          <w:rFonts w:ascii="Palatino Linotype" w:hAnsi="Palatino Linotype" w:cstheme="minorHAnsi"/>
          <w:b/>
          <w:sz w:val="24"/>
          <w:szCs w:val="24"/>
        </w:rPr>
        <w:t>Considerando CUAR</w:t>
      </w:r>
      <w:r w:rsidRPr="00FC6862">
        <w:rPr>
          <w:rFonts w:ascii="Palatino Linotype" w:hAnsi="Palatino Linotype" w:cstheme="minorHAnsi"/>
          <w:b/>
          <w:sz w:val="24"/>
          <w:szCs w:val="24"/>
        </w:rPr>
        <w:t xml:space="preserve">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C474B4" w:rsidRPr="00C474B4">
        <w:rPr>
          <w:rFonts w:ascii="Palatino Linotype" w:hAnsi="Palatino Linotype"/>
          <w:b/>
          <w:bCs/>
          <w:color w:val="000000" w:themeColor="text1"/>
          <w:sz w:val="24"/>
          <w:szCs w:val="24"/>
        </w:rPr>
        <w:t>00458/COYOTEP/IP/2019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00C474B4">
        <w:rPr>
          <w:rFonts w:ascii="Palatino Linotype" w:hAnsi="Palatino Linotype"/>
          <w:b/>
          <w:bCs/>
          <w:color w:val="222222"/>
          <w:sz w:val="24"/>
          <w:szCs w:val="24"/>
          <w:lang w:eastAsia="es-MX"/>
        </w:rPr>
        <w:t>CUAR</w:t>
      </w:r>
      <w:r w:rsidRPr="00FC6862">
        <w:rPr>
          <w:rFonts w:ascii="Palatino Linotype" w:hAnsi="Palatino Linotype"/>
          <w:b/>
          <w:bCs/>
          <w:color w:val="222222"/>
          <w:sz w:val="24"/>
          <w:szCs w:val="24"/>
          <w:lang w:eastAsia="es-MX"/>
        </w:rPr>
        <w:t xml:space="preserve">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00C474B4">
        <w:rPr>
          <w:rFonts w:ascii="Palatino Linotype" w:eastAsia="MS Mincho" w:hAnsi="Palatino Linotype" w:cstheme="minorHAnsi"/>
          <w:b/>
          <w:sz w:val="24"/>
          <w:szCs w:val="24"/>
        </w:rPr>
        <w:t>CUAR</w:t>
      </w:r>
      <w:r w:rsidRPr="00FC6862">
        <w:rPr>
          <w:rFonts w:ascii="Palatino Linotype" w:eastAsia="MS Mincho" w:hAnsi="Palatino Linotype" w:cstheme="minorHAnsi"/>
          <w:b/>
          <w:sz w:val="24"/>
          <w:szCs w:val="24"/>
        </w:rPr>
        <w:t>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D14E3B" w:rsidRPr="00060800"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060800" w:rsidRPr="00060800">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5B0142">
        <w:rPr>
          <w:rFonts w:ascii="Palatino Linotype" w:hAnsi="Palatino Linotype"/>
          <w:sz w:val="24"/>
          <w:szCs w:val="24"/>
        </w:rPr>
        <w:t>R MAYORÍA</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5B0142">
        <w:rPr>
          <w:rFonts w:ascii="Palatino Linotype" w:hAnsi="Palatino Linotype"/>
          <w:sz w:val="24"/>
          <w:szCs w:val="24"/>
        </w:rPr>
        <w:t xml:space="preserve">EMITIENDO VOTO EN CONTRA CON VOTO DISIDENTE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5B0142">
        <w:rPr>
          <w:rFonts w:ascii="Palatino Linotype" w:hAnsi="Palatino Linotype"/>
          <w:sz w:val="24"/>
          <w:szCs w:val="24"/>
        </w:rPr>
        <w:t>, EN LA DÉCIMA SEGUNDA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C474B4">
        <w:rPr>
          <w:rFonts w:ascii="Palatino Linotype" w:hAnsi="Palatino Linotype"/>
          <w:sz w:val="24"/>
          <w:szCs w:val="24"/>
        </w:rPr>
        <w:t>CINCO</w:t>
      </w:r>
      <w:r w:rsidR="005B0142">
        <w:rPr>
          <w:rFonts w:ascii="Palatino Linotype" w:hAnsi="Palatino Linotype"/>
          <w:sz w:val="24"/>
          <w:szCs w:val="24"/>
        </w:rPr>
        <w:t xml:space="preserve"> DE AGOSTO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9D0D73">
        <w:rPr>
          <w:rFonts w:ascii="Palatino Linotype" w:hAnsi="Palatino Linotype"/>
          <w:sz w:val="24"/>
          <w:szCs w:val="24"/>
        </w:rPr>
        <w:t>-------------</w:t>
      </w:r>
      <w:r w:rsidR="005B014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5B0142">
        <w:rPr>
          <w:rFonts w:ascii="Palatino Linotype" w:hAnsi="Palatino Linotype"/>
          <w:sz w:val="16"/>
          <w:szCs w:val="16"/>
        </w:rPr>
        <w:t>cinco de agosto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474B4">
        <w:rPr>
          <w:rFonts w:ascii="Palatino Linotype" w:hAnsi="Palatino Linotype"/>
          <w:bCs/>
          <w:sz w:val="16"/>
          <w:szCs w:val="16"/>
          <w:lang w:eastAsia="es-MX"/>
        </w:rPr>
        <w:t>00440/INFOEM/IP/RR/2020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A5" w:rsidRDefault="00902DA5" w:rsidP="007E2E80">
      <w:pPr>
        <w:spacing w:after="0" w:line="240" w:lineRule="auto"/>
      </w:pPr>
      <w:r>
        <w:separator/>
      </w:r>
    </w:p>
  </w:endnote>
  <w:endnote w:type="continuationSeparator" w:id="0">
    <w:p w:rsidR="00902DA5" w:rsidRDefault="00902DA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11AF">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11AF">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11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11AF">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A5" w:rsidRDefault="00902DA5" w:rsidP="007E2E80">
      <w:pPr>
        <w:spacing w:after="0" w:line="240" w:lineRule="auto"/>
      </w:pPr>
      <w:r>
        <w:separator/>
      </w:r>
    </w:p>
  </w:footnote>
  <w:footnote w:type="continuationSeparator" w:id="0">
    <w:p w:rsidR="00902DA5" w:rsidRDefault="00902DA5"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FA106A"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00440/INFOEM/IP/RR/2020</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FA106A"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Coyotepec</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p w:rsidR="0082243B" w:rsidRDefault="008224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FA106A"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00440/INFOEM/IP/RR/2020</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6811AF"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FA106A"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Coyotepec</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080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40AE4"/>
    <w:rsid w:val="00140C2F"/>
    <w:rsid w:val="0014191F"/>
    <w:rsid w:val="00143727"/>
    <w:rsid w:val="00143AC6"/>
    <w:rsid w:val="0014447C"/>
    <w:rsid w:val="0014568C"/>
    <w:rsid w:val="001510E8"/>
    <w:rsid w:val="0015116D"/>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A0445"/>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2F730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0DE2"/>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14F6"/>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56AA"/>
    <w:rsid w:val="00456616"/>
    <w:rsid w:val="004572BE"/>
    <w:rsid w:val="004612B1"/>
    <w:rsid w:val="004617C7"/>
    <w:rsid w:val="004625C1"/>
    <w:rsid w:val="004657BE"/>
    <w:rsid w:val="004737E6"/>
    <w:rsid w:val="00473B0B"/>
    <w:rsid w:val="004740BE"/>
    <w:rsid w:val="00474C4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468DD"/>
    <w:rsid w:val="005533C9"/>
    <w:rsid w:val="005641F9"/>
    <w:rsid w:val="00566699"/>
    <w:rsid w:val="00567C71"/>
    <w:rsid w:val="005733EB"/>
    <w:rsid w:val="0057534D"/>
    <w:rsid w:val="00581A6F"/>
    <w:rsid w:val="00587771"/>
    <w:rsid w:val="00590126"/>
    <w:rsid w:val="00591988"/>
    <w:rsid w:val="0059515F"/>
    <w:rsid w:val="00596856"/>
    <w:rsid w:val="005A05D5"/>
    <w:rsid w:val="005A117C"/>
    <w:rsid w:val="005A6F55"/>
    <w:rsid w:val="005B0142"/>
    <w:rsid w:val="005B2A31"/>
    <w:rsid w:val="005B2B70"/>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11AF"/>
    <w:rsid w:val="006851B0"/>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DA5"/>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0D73"/>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2ADA"/>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4B4"/>
    <w:rsid w:val="00C47BC9"/>
    <w:rsid w:val="00C50BA6"/>
    <w:rsid w:val="00C5369B"/>
    <w:rsid w:val="00C53CB3"/>
    <w:rsid w:val="00C62015"/>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978"/>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BA2"/>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94D55"/>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106A"/>
    <w:rsid w:val="00FA47E2"/>
    <w:rsid w:val="00FA6099"/>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75A1-B3DF-4800-8884-2C535217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7782</Words>
  <Characters>42801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2019-12-13T16:14:00Z</cp:lastPrinted>
  <dcterms:created xsi:type="dcterms:W3CDTF">2020-06-15T18:50:00Z</dcterms:created>
  <dcterms:modified xsi:type="dcterms:W3CDTF">2021-05-13T21:52:00Z</dcterms:modified>
</cp:coreProperties>
</file>