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31D17">
        <w:rPr>
          <w:rFonts w:ascii="Palatino Linotype" w:eastAsia="Times New Roman" w:hAnsi="Palatino Linotype" w:cs="Arial"/>
          <w:color w:val="000000"/>
          <w:sz w:val="24"/>
          <w:szCs w:val="24"/>
          <w:lang w:eastAsia="es-MX"/>
        </w:rPr>
        <w:t>veintiuno de octubre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9417AD" w:rsidRDefault="00EF4493" w:rsidP="00EF4493">
      <w:pPr>
        <w:tabs>
          <w:tab w:val="left" w:pos="1701"/>
        </w:tabs>
        <w:spacing w:before="240" w:line="360" w:lineRule="auto"/>
        <w:jc w:val="both"/>
        <w:rPr>
          <w:rFonts w:ascii="Palatino Linotype" w:hAnsi="Palatino Linotype" w:cs="Arial"/>
          <w:sz w:val="24"/>
          <w:szCs w:val="24"/>
        </w:rPr>
      </w:pPr>
      <w:r w:rsidRPr="009417AD">
        <w:rPr>
          <w:rFonts w:ascii="Palatino Linotype" w:hAnsi="Palatino Linotype" w:cs="Arial"/>
          <w:b/>
          <w:sz w:val="24"/>
          <w:szCs w:val="24"/>
        </w:rPr>
        <w:t>VISTO</w:t>
      </w:r>
      <w:r w:rsidRPr="009417AD">
        <w:rPr>
          <w:rFonts w:ascii="Palatino Linotype" w:hAnsi="Palatino Linotype" w:cs="Arial"/>
          <w:sz w:val="24"/>
          <w:szCs w:val="24"/>
        </w:rPr>
        <w:t xml:space="preserve"> el expediente electrónico formado con motivo del recurso de revisión número </w:t>
      </w:r>
      <w:r w:rsidR="008D2E13">
        <w:rPr>
          <w:rFonts w:ascii="Palatino Linotype" w:hAnsi="Palatino Linotype" w:cs="Arial"/>
          <w:b/>
          <w:bCs/>
          <w:sz w:val="24"/>
          <w:szCs w:val="24"/>
          <w:lang w:eastAsia="es-MX"/>
        </w:rPr>
        <w:t>0291</w:t>
      </w:r>
      <w:r w:rsidR="00FF3BB5" w:rsidRPr="00FF3BB5">
        <w:rPr>
          <w:rFonts w:ascii="Palatino Linotype" w:hAnsi="Palatino Linotype" w:cs="Arial"/>
          <w:b/>
          <w:bCs/>
          <w:sz w:val="24"/>
          <w:szCs w:val="24"/>
          <w:lang w:eastAsia="es-MX"/>
        </w:rPr>
        <w:t>0/INFOEM/IP/RR/2020</w:t>
      </w:r>
      <w:r w:rsidRPr="009417AD">
        <w:rPr>
          <w:rFonts w:ascii="Palatino Linotype" w:hAnsi="Palatino Linotype" w:cs="Arial"/>
          <w:sz w:val="24"/>
          <w:szCs w:val="24"/>
        </w:rPr>
        <w:t xml:space="preserve">, </w:t>
      </w:r>
      <w:r w:rsidR="00DA5E3B">
        <w:rPr>
          <w:rFonts w:ascii="Palatino Linotype" w:hAnsi="Palatino Linotype" w:cs="Arial"/>
          <w:sz w:val="24"/>
          <w:szCs w:val="24"/>
        </w:rPr>
        <w:t xml:space="preserve">interpuesto por </w:t>
      </w:r>
      <w:r w:rsidR="00FF3BB5">
        <w:rPr>
          <w:rFonts w:ascii="Palatino Linotype" w:hAnsi="Palatino Linotype" w:cs="Arial"/>
          <w:sz w:val="24"/>
          <w:szCs w:val="24"/>
        </w:rPr>
        <w:t>el</w:t>
      </w:r>
      <w:r w:rsidR="009257B1" w:rsidRPr="009417AD">
        <w:rPr>
          <w:rFonts w:ascii="Palatino Linotype" w:hAnsi="Palatino Linotype" w:cs="Arial"/>
          <w:sz w:val="24"/>
          <w:szCs w:val="24"/>
        </w:rPr>
        <w:t xml:space="preserve"> </w:t>
      </w:r>
      <w:r w:rsidR="009257B1" w:rsidRPr="009417AD">
        <w:rPr>
          <w:rFonts w:ascii="Palatino Linotype" w:hAnsi="Palatino Linotype" w:cs="Arial"/>
          <w:b/>
          <w:sz w:val="24"/>
          <w:szCs w:val="24"/>
        </w:rPr>
        <w:t xml:space="preserve">C. </w:t>
      </w:r>
      <w:r w:rsidR="00437F7D">
        <w:rPr>
          <w:rFonts w:ascii="Palatino Linotype" w:hAnsi="Palatino Linotype" w:cs="Arial"/>
          <w:b/>
          <w:sz w:val="24"/>
          <w:szCs w:val="24"/>
        </w:rPr>
        <w:t>xxxxxxxxxxxxxxxxx</w:t>
      </w:r>
      <w:bookmarkStart w:id="0" w:name="_GoBack"/>
      <w:bookmarkEnd w:id="0"/>
      <w:r w:rsidRPr="009417AD">
        <w:rPr>
          <w:rFonts w:ascii="Palatino Linotype" w:hAnsi="Palatino Linotype" w:cs="Arial"/>
          <w:b/>
          <w:sz w:val="24"/>
          <w:szCs w:val="24"/>
        </w:rPr>
        <w:t>,</w:t>
      </w:r>
      <w:r w:rsidRPr="009417AD">
        <w:rPr>
          <w:rFonts w:ascii="Palatino Linotype" w:hAnsi="Palatino Linotype" w:cs="Arial"/>
          <w:sz w:val="24"/>
          <w:szCs w:val="24"/>
        </w:rPr>
        <w:t xml:space="preserve"> en lo sucesivo </w:t>
      </w:r>
      <w:r w:rsidR="00FF3BB5">
        <w:rPr>
          <w:rFonts w:ascii="Palatino Linotype" w:hAnsi="Palatino Linotype" w:cs="Arial"/>
          <w:b/>
          <w:sz w:val="24"/>
          <w:szCs w:val="24"/>
        </w:rPr>
        <w:t>el</w:t>
      </w:r>
      <w:r w:rsidR="009417AD" w:rsidRPr="009417AD">
        <w:rPr>
          <w:rFonts w:ascii="Palatino Linotype" w:hAnsi="Palatino Linotype" w:cs="Arial"/>
          <w:b/>
          <w:sz w:val="24"/>
          <w:szCs w:val="24"/>
        </w:rPr>
        <w:t xml:space="preserve"> Recurrente</w:t>
      </w:r>
      <w:r w:rsidRPr="009417AD">
        <w:rPr>
          <w:rFonts w:ascii="Palatino Linotype" w:hAnsi="Palatino Linotype" w:cs="Arial"/>
          <w:b/>
          <w:sz w:val="24"/>
          <w:szCs w:val="24"/>
        </w:rPr>
        <w:t xml:space="preserve">, </w:t>
      </w:r>
      <w:r w:rsidR="009417AD" w:rsidRPr="009417AD">
        <w:rPr>
          <w:rFonts w:ascii="Palatino Linotype" w:hAnsi="Palatino Linotype" w:cs="Arial"/>
          <w:sz w:val="24"/>
          <w:szCs w:val="24"/>
        </w:rPr>
        <w:t>en contra de la respuesta del</w:t>
      </w:r>
      <w:r w:rsidR="00390B6D" w:rsidRPr="009417AD">
        <w:rPr>
          <w:rFonts w:ascii="Palatino Linotype" w:hAnsi="Palatino Linotype" w:cs="Arial"/>
          <w:sz w:val="24"/>
          <w:szCs w:val="24"/>
        </w:rPr>
        <w:t xml:space="preserve"> </w:t>
      </w:r>
      <w:r w:rsidR="008D2E13" w:rsidRPr="008D2E13">
        <w:rPr>
          <w:rFonts w:ascii="Palatino Linotype" w:hAnsi="Palatino Linotype" w:cs="Arial"/>
          <w:b/>
          <w:bCs/>
          <w:sz w:val="24"/>
          <w:szCs w:val="24"/>
        </w:rPr>
        <w:t>Ayuntamiento de Ixtapan de la Sal</w:t>
      </w:r>
      <w:r w:rsidRPr="009417AD">
        <w:rPr>
          <w:rFonts w:ascii="Palatino Linotype" w:hAnsi="Palatino Linotype" w:cs="Arial"/>
          <w:b/>
          <w:sz w:val="24"/>
          <w:szCs w:val="24"/>
        </w:rPr>
        <w:t xml:space="preserve">, </w:t>
      </w:r>
      <w:r w:rsidRPr="009417AD">
        <w:rPr>
          <w:rFonts w:ascii="Palatino Linotype" w:hAnsi="Palatino Linotype" w:cs="Arial"/>
          <w:sz w:val="24"/>
          <w:szCs w:val="24"/>
        </w:rPr>
        <w:t>en lo subsecuente</w:t>
      </w:r>
      <w:r w:rsidRPr="009417AD">
        <w:rPr>
          <w:rFonts w:ascii="Palatino Linotype" w:hAnsi="Palatino Linotype" w:cs="Arial"/>
          <w:b/>
          <w:sz w:val="24"/>
          <w:szCs w:val="24"/>
        </w:rPr>
        <w:t xml:space="preserve"> El Sujeto Obligado, </w:t>
      </w:r>
      <w:r w:rsidRPr="009417AD">
        <w:rPr>
          <w:rFonts w:ascii="Palatino Linotype" w:hAnsi="Palatino Linotype" w:cs="Arial"/>
          <w:sz w:val="24"/>
          <w:szCs w:val="24"/>
        </w:rPr>
        <w:t>se procede a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FF3BB5">
        <w:rPr>
          <w:rFonts w:ascii="Palatino Linotype" w:hAnsi="Palatino Linotype" w:cs="Arial"/>
          <w:sz w:val="24"/>
        </w:rPr>
        <w:t>trece de abril</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9417AD">
        <w:rPr>
          <w:rFonts w:ascii="Palatino Linotype" w:hAnsi="Palatino Linotype" w:cs="Arial"/>
          <w:b/>
          <w:sz w:val="24"/>
        </w:rPr>
        <w:t>El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8D2E13" w:rsidRPr="008D2E13">
        <w:rPr>
          <w:rFonts w:ascii="Palatino Linotype" w:hAnsi="Palatino Linotype" w:cs="Arial"/>
          <w:b/>
          <w:sz w:val="24"/>
        </w:rPr>
        <w:t xml:space="preserve"> 00063/IXTASAL/IP/2020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8D2E13" w:rsidRPr="008D2E13">
        <w:rPr>
          <w:rFonts w:ascii="Palatino Linotype" w:hAnsi="Palatino Linotype"/>
          <w:i/>
          <w:color w:val="000000"/>
          <w:sz w:val="24"/>
        </w:rPr>
        <w:t xml:space="preserve">Del Presidente, Síndico y Regidores, solicito, los documentos que acreditan la experiencia mínima de un año en el cargo de Contralor Municipal, así como, la certificación de competencia laboral expedida por el IHAEM, del C. José Luis Vázquez Gamboa, a quien recientemente designaron contralor municipal, en el entendido, qué tanto tesorero, como Contralor, deben estar certificados con anterioridad a la fecha de su designación, independientemente del tiempo que tengan para acreditarlo, de acuerdo a lo previsto en los artículos 96 y 113 de la Ley Orgánica Municipal, lo </w:t>
      </w:r>
      <w:proofErr w:type="spellStart"/>
      <w:r w:rsidR="008D2E13" w:rsidRPr="008D2E13">
        <w:rPr>
          <w:rFonts w:ascii="Palatino Linotype" w:hAnsi="Palatino Linotype"/>
          <w:i/>
          <w:color w:val="000000"/>
          <w:sz w:val="24"/>
        </w:rPr>
        <w:t>qué</w:t>
      </w:r>
      <w:proofErr w:type="spellEnd"/>
      <w:r w:rsidR="008D2E13" w:rsidRPr="008D2E13">
        <w:rPr>
          <w:rFonts w:ascii="Palatino Linotype" w:hAnsi="Palatino Linotype"/>
          <w:i/>
          <w:color w:val="000000"/>
          <w:sz w:val="24"/>
        </w:rPr>
        <w:t xml:space="preserve"> debieron verificar a fin de no realizar una Contratación </w:t>
      </w:r>
      <w:r w:rsidR="008D2E13" w:rsidRPr="008D2E13">
        <w:rPr>
          <w:rFonts w:ascii="Palatino Linotype" w:hAnsi="Palatino Linotype"/>
          <w:i/>
          <w:color w:val="000000"/>
          <w:sz w:val="24"/>
        </w:rPr>
        <w:lastRenderedPageBreak/>
        <w:t>Indebida e incurrir en violación a la Ley y en diversas faltas administrativas graves señaladas en la Ley General y en la Ley de Responsabilidades Administrativas del Estado de México y Municipios.</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CC29A6" w:rsidRDefault="00EF4493" w:rsidP="00316705">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rsidR="00C75866" w:rsidRPr="00316705" w:rsidRDefault="00EF4493" w:rsidP="00316705">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tud de información en fecha once</w:t>
      </w:r>
      <w:r w:rsidR="00EC3B3A">
        <w:rPr>
          <w:rFonts w:ascii="Palatino Linotype" w:hAnsi="Palatino Linotype" w:cs="Arial"/>
          <w:sz w:val="24"/>
        </w:rPr>
        <w:t xml:space="preserv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FF3BB5">
            <w:pPr>
              <w:spacing w:after="0" w:line="240" w:lineRule="auto"/>
              <w:ind w:left="1276" w:right="719" w:hanging="567"/>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FF3BB5">
            <w:pPr>
              <w:spacing w:after="0" w:line="240" w:lineRule="auto"/>
              <w:ind w:left="1276" w:right="719" w:hanging="567"/>
              <w:jc w:val="right"/>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FF3BB5">
            <w:pPr>
              <w:spacing w:after="0" w:line="240" w:lineRule="auto"/>
              <w:ind w:left="1276" w:right="719" w:hanging="567"/>
              <w:rPr>
                <w:rFonts w:ascii="Verdana" w:eastAsia="Times New Roman" w:hAnsi="Verdana" w:cs="Times New Roman"/>
                <w:sz w:val="18"/>
                <w:szCs w:val="18"/>
                <w:lang w:eastAsia="es-MX"/>
              </w:rPr>
            </w:pPr>
          </w:p>
        </w:tc>
      </w:tr>
      <w:tr w:rsidR="00FF3BB5" w:rsidRPr="00EC3B3A" w:rsidTr="00783B1A">
        <w:trPr>
          <w:trHeight w:val="150"/>
          <w:tblCellSpacing w:w="0" w:type="dxa"/>
          <w:jc w:val="center"/>
        </w:trPr>
        <w:tc>
          <w:tcPr>
            <w:tcW w:w="0" w:type="auto"/>
            <w:hideMark/>
          </w:tcPr>
          <w:p w:rsidR="00FF3BB5" w:rsidRPr="00FC1EFC" w:rsidRDefault="008D2E13" w:rsidP="00FF3BB5">
            <w:pPr>
              <w:ind w:left="709" w:right="719"/>
              <w:jc w:val="both"/>
            </w:pPr>
            <w:r>
              <w:rPr>
                <w:rFonts w:ascii="Verdana" w:hAnsi="Verdana"/>
                <w:color w:val="000000"/>
                <w:sz w:val="18"/>
                <w:szCs w:val="18"/>
              </w:rPr>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00063/IXTASAL/IP/2020, presentada mediante el Sistema de Acceso a la Información Mexiquense (SAIMEX), adjunto al presente, se servirá encontrar respuesta a su solicitud proporcionada por el Servidor Público Habilitado de la Presidencia, Secretaria y Sindicatura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Pr>
                <w:rFonts w:ascii="Verdana" w:hAnsi="Verdana"/>
                <w:color w:val="000000"/>
                <w:sz w:val="18"/>
                <w:szCs w:val="18"/>
              </w:rPr>
              <w:t>Ixtapita</w:t>
            </w:r>
            <w:proofErr w:type="spellEnd"/>
            <w:r>
              <w:rPr>
                <w:rFonts w:ascii="Verdana" w:hAnsi="Verdana"/>
                <w:color w:val="000000"/>
                <w:sz w:val="18"/>
                <w:szCs w:val="18"/>
              </w:rPr>
              <w:t>, cp. 51907, Ixtapan de la Sal, México, oficina en el interior de Tesorería Municipal, de lunes a viernes en un horario de 09:00 a 17:00 horas, para cualquier solicitud, aclaración, duda, sugerencia o asesoría.</w:t>
            </w:r>
            <w:r w:rsidR="00FF3BB5" w:rsidRPr="00FC1EFC">
              <w:t>.</w:t>
            </w:r>
          </w:p>
        </w:tc>
      </w:tr>
    </w:tbl>
    <w:p w:rsidR="00AA3F09" w:rsidRPr="00AA3F09" w:rsidRDefault="00743681" w:rsidP="00AA3F09">
      <w:pPr>
        <w:spacing w:before="240" w:line="360" w:lineRule="auto"/>
        <w:jc w:val="both"/>
        <w:rPr>
          <w:rFonts w:ascii="Palatino Linotype" w:hAnsi="Palatino Linotype" w:cs="Arial"/>
        </w:rPr>
      </w:pPr>
      <w:r>
        <w:rPr>
          <w:rFonts w:ascii="Palatino Linotype" w:hAnsi="Palatino Linotype" w:cs="Arial"/>
          <w:sz w:val="24"/>
        </w:rPr>
        <w:t xml:space="preserve">Adjuntando </w:t>
      </w:r>
      <w:r w:rsidR="00AA3F09">
        <w:rPr>
          <w:rFonts w:ascii="Palatino Linotype" w:hAnsi="Palatino Linotype" w:cs="Arial"/>
          <w:sz w:val="24"/>
        </w:rPr>
        <w:t xml:space="preserve">tres </w:t>
      </w:r>
      <w:r w:rsidR="0029144A">
        <w:rPr>
          <w:rFonts w:ascii="Palatino Linotype" w:hAnsi="Palatino Linotype" w:cs="Arial"/>
          <w:sz w:val="24"/>
        </w:rPr>
        <w:t>archivo</w:t>
      </w:r>
      <w:r w:rsidR="00AA3F09">
        <w:rPr>
          <w:rFonts w:ascii="Palatino Linotype" w:hAnsi="Palatino Linotype" w:cs="Arial"/>
          <w:sz w:val="24"/>
        </w:rPr>
        <w:t>s</w:t>
      </w:r>
      <w:r w:rsidR="0029144A">
        <w:rPr>
          <w:rFonts w:ascii="Palatino Linotype" w:hAnsi="Palatino Linotype" w:cs="Arial"/>
          <w:sz w:val="24"/>
        </w:rPr>
        <w:t xml:space="preserve"> electrónico</w:t>
      </w:r>
      <w:r w:rsidR="00AA3F09">
        <w:rPr>
          <w:rFonts w:ascii="Palatino Linotype" w:hAnsi="Palatino Linotype" w:cs="Arial"/>
          <w:sz w:val="24"/>
        </w:rPr>
        <w:t>s</w:t>
      </w:r>
      <w:r w:rsidR="00B800D6">
        <w:rPr>
          <w:rFonts w:ascii="Palatino Linotype" w:hAnsi="Palatino Linotype" w:cs="Arial"/>
          <w:sz w:val="24"/>
        </w:rPr>
        <w:t xml:space="preserve"> </w:t>
      </w:r>
      <w:r w:rsidR="00DB7D43">
        <w:rPr>
          <w:rFonts w:ascii="Palatino Linotype" w:hAnsi="Palatino Linotype" w:cs="Arial"/>
          <w:sz w:val="24"/>
        </w:rPr>
        <w:t>denominado</w:t>
      </w:r>
      <w:r w:rsidR="00AA3F09">
        <w:rPr>
          <w:rFonts w:ascii="Palatino Linotype" w:hAnsi="Palatino Linotype" w:cs="Arial"/>
          <w:sz w:val="24"/>
        </w:rPr>
        <w:t>s</w:t>
      </w:r>
      <w:r w:rsidR="00B800D6">
        <w:rPr>
          <w:rFonts w:ascii="Palatino Linotype" w:hAnsi="Palatino Linotype" w:cs="Arial"/>
          <w:i/>
          <w:sz w:val="24"/>
        </w:rPr>
        <w:t xml:space="preserve"> </w:t>
      </w:r>
      <w:r w:rsidR="00B800D6" w:rsidRPr="00B053B3">
        <w:rPr>
          <w:rFonts w:ascii="Palatino Linotype" w:hAnsi="Palatino Linotype" w:cs="Arial"/>
        </w:rPr>
        <w:t>“</w:t>
      </w:r>
      <w:proofErr w:type="spellStart"/>
      <w:r w:rsidR="00AA3F09" w:rsidRPr="00AA3F09">
        <w:rPr>
          <w:rFonts w:ascii="Palatino Linotype" w:hAnsi="Palatino Linotype" w:cs="Arial"/>
        </w:rPr>
        <w:t>Contestacion</w:t>
      </w:r>
      <w:proofErr w:type="spellEnd"/>
      <w:r w:rsidR="00AA3F09" w:rsidRPr="00AA3F09">
        <w:rPr>
          <w:rFonts w:ascii="Palatino Linotype" w:hAnsi="Palatino Linotype" w:cs="Arial"/>
        </w:rPr>
        <w:t xml:space="preserve"> Presidencia 63.pdf</w:t>
      </w:r>
      <w:r w:rsidR="00AA3F09">
        <w:rPr>
          <w:rFonts w:ascii="Palatino Linotype" w:hAnsi="Palatino Linotype" w:cs="Arial"/>
        </w:rPr>
        <w:t>”</w:t>
      </w:r>
    </w:p>
    <w:p w:rsidR="00410477" w:rsidRPr="00B800D6" w:rsidRDefault="00AA3F09" w:rsidP="00AA3F09">
      <w:pPr>
        <w:spacing w:before="240" w:line="360" w:lineRule="auto"/>
        <w:jc w:val="both"/>
        <w:rPr>
          <w:rFonts w:ascii="Palatino Linotype" w:hAnsi="Palatino Linotype" w:cs="Arial"/>
          <w:sz w:val="24"/>
        </w:rPr>
      </w:pPr>
      <w:r>
        <w:rPr>
          <w:rFonts w:ascii="Palatino Linotype" w:hAnsi="Palatino Linotype" w:cs="Arial"/>
        </w:rPr>
        <w:lastRenderedPageBreak/>
        <w:t>“</w:t>
      </w:r>
      <w:proofErr w:type="spellStart"/>
      <w:r w:rsidRPr="00AA3F09">
        <w:rPr>
          <w:rFonts w:ascii="Palatino Linotype" w:hAnsi="Palatino Linotype" w:cs="Arial"/>
        </w:rPr>
        <w:t>Contestacion</w:t>
      </w:r>
      <w:proofErr w:type="spellEnd"/>
      <w:r w:rsidRPr="00AA3F09">
        <w:rPr>
          <w:rFonts w:ascii="Palatino Linotype" w:hAnsi="Palatino Linotype" w:cs="Arial"/>
        </w:rPr>
        <w:t xml:space="preserve"> Secretaria 63.pdf</w:t>
      </w:r>
      <w:r>
        <w:rPr>
          <w:rFonts w:ascii="Palatino Linotype" w:hAnsi="Palatino Linotype" w:cs="Arial"/>
        </w:rPr>
        <w:t>” y “</w:t>
      </w:r>
      <w:proofErr w:type="spellStart"/>
      <w:r w:rsidRPr="00AA3F09">
        <w:rPr>
          <w:rFonts w:ascii="Palatino Linotype" w:hAnsi="Palatino Linotype" w:cs="Arial"/>
        </w:rPr>
        <w:t>Contestacion</w:t>
      </w:r>
      <w:proofErr w:type="spellEnd"/>
      <w:r w:rsidRPr="00AA3F09">
        <w:rPr>
          <w:rFonts w:ascii="Palatino Linotype" w:hAnsi="Palatino Linotype" w:cs="Arial"/>
        </w:rPr>
        <w:t xml:space="preserve"> Sindicatura 63.pdf</w:t>
      </w:r>
      <w:r w:rsidR="00924DC7">
        <w:rPr>
          <w:rFonts w:ascii="Palatino Linotype" w:hAnsi="Palatino Linotype" w:cs="Arial"/>
        </w:rPr>
        <w:t>”</w:t>
      </w:r>
      <w:r w:rsidR="00251626">
        <w:rPr>
          <w:rFonts w:ascii="Palatino Linotype" w:hAnsi="Palatino Linotype" w:cs="Arial"/>
          <w:sz w:val="24"/>
        </w:rPr>
        <w:t>, mismo</w:t>
      </w:r>
      <w:r>
        <w:rPr>
          <w:rFonts w:ascii="Palatino Linotype" w:hAnsi="Palatino Linotype" w:cs="Arial"/>
          <w:sz w:val="24"/>
        </w:rPr>
        <w:t>s</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9417AD">
        <w:rPr>
          <w:rFonts w:ascii="Palatino Linotype" w:hAnsi="Palatino Linotype" w:cs="Arial"/>
          <w:b/>
          <w:sz w:val="24"/>
          <w:szCs w:val="24"/>
        </w:rPr>
        <w:t>El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AA3F09">
        <w:rPr>
          <w:rFonts w:ascii="Palatino Linotype" w:hAnsi="Palatino Linotype" w:cs="Arial"/>
          <w:sz w:val="24"/>
          <w:szCs w:val="24"/>
        </w:rPr>
        <w:t>veinte</w:t>
      </w:r>
      <w:r w:rsidR="005A1285">
        <w:rPr>
          <w:rFonts w:ascii="Palatino Linotype" w:hAnsi="Palatino Linotype" w:cs="Arial"/>
          <w:sz w:val="24"/>
          <w:szCs w:val="24"/>
        </w:rPr>
        <w:t xml:space="preserve"> de agosto</w:t>
      </w:r>
      <w:r w:rsidR="00924DC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AA3F09">
        <w:rPr>
          <w:rFonts w:ascii="Palatino Linotype" w:hAnsi="Palatino Linotype" w:cs="Arial"/>
          <w:b/>
          <w:sz w:val="24"/>
          <w:szCs w:val="24"/>
        </w:rPr>
        <w:t>02910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AA3F09" w:rsidRPr="00AA3F09">
        <w:rPr>
          <w:rFonts w:ascii="Palatino Linotype" w:hAnsi="Palatino Linotype" w:cs="Arial"/>
          <w:i/>
        </w:rPr>
        <w:t xml:space="preserve">La respuesta otorgada por el sujeto obligado. </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AA3F09" w:rsidRPr="00AA3F09">
        <w:rPr>
          <w:rFonts w:ascii="Palatino Linotype" w:hAnsi="Palatino Linotype" w:cs="Arial"/>
          <w:i/>
        </w:rPr>
        <w:t>El sujeto obligado argumenta que no existe la información solicitada, aún y cuando la misma debe existir conforme a sus atribuciones, pero omite adjuntar el acta del comité de transparencia que avale el simple dicho de los servidores públicos habilitados respecto a la inexistencia de la información, por lo demás, la solicitud no fue debidamente canalizada internamente.</w:t>
      </w:r>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proofErr w:type="spellStart"/>
      <w:r w:rsidR="00AA3F09">
        <w:rPr>
          <w:rFonts w:ascii="Palatino Linotype" w:hAnsi="Palatino Linotype" w:cs="Arial"/>
          <w:sz w:val="24"/>
          <w:szCs w:val="24"/>
        </w:rPr>
        <w:t>veintiseis</w:t>
      </w:r>
      <w:proofErr w:type="spellEnd"/>
      <w:r w:rsidR="005415FD">
        <w:rPr>
          <w:rFonts w:ascii="Palatino Linotype" w:hAnsi="Palatino Linotype" w:cs="Arial"/>
          <w:sz w:val="24"/>
          <w:szCs w:val="24"/>
        </w:rPr>
        <w:t xml:space="preserve"> de agosto</w:t>
      </w:r>
      <w:r w:rsidR="005D40BD">
        <w:rPr>
          <w:rFonts w:ascii="Palatino Linotype" w:hAnsi="Palatino Linotype" w:cs="Arial"/>
          <w:sz w:val="24"/>
          <w:szCs w:val="24"/>
        </w:rPr>
        <w:t xml:space="preserve"> </w:t>
      </w:r>
      <w:r w:rsidR="00D632D6">
        <w:rPr>
          <w:rFonts w:ascii="Palatino Linotype" w:hAnsi="Palatino Linotype" w:cs="Arial"/>
          <w:sz w:val="24"/>
          <w:szCs w:val="24"/>
        </w:rPr>
        <w:t xml:space="preserve">de dos </w:t>
      </w:r>
      <w:r w:rsidR="00D632D6">
        <w:rPr>
          <w:rFonts w:ascii="Palatino Linotype" w:hAnsi="Palatino Linotype" w:cs="Arial"/>
          <w:sz w:val="24"/>
          <w:szCs w:val="24"/>
        </w:rPr>
        <w:lastRenderedPageBreak/>
        <w:t>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AA3F09" w:rsidRDefault="00AA3F09" w:rsidP="00EF4493">
      <w:pPr>
        <w:spacing w:before="240" w:line="360" w:lineRule="auto"/>
        <w:jc w:val="both"/>
        <w:rPr>
          <w:rFonts w:ascii="Palatino Linotype" w:hAnsi="Palatino Linotype" w:cs="Arial"/>
          <w:b/>
          <w:sz w:val="2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5415FD">
        <w:rPr>
          <w:rFonts w:ascii="Palatino Linotype" w:hAnsi="Palatino Linotype" w:cs="Arial"/>
          <w:sz w:val="24"/>
          <w:szCs w:val="24"/>
        </w:rPr>
        <w:t xml:space="preserve"> </w:t>
      </w:r>
      <w:r w:rsidR="00133054">
        <w:rPr>
          <w:rFonts w:ascii="Palatino Linotype" w:hAnsi="Palatino Linotype" w:cs="Arial"/>
          <w:sz w:val="24"/>
          <w:szCs w:val="24"/>
        </w:rPr>
        <w:t>presento</w:t>
      </w:r>
      <w:r w:rsidR="002F2886">
        <w:rPr>
          <w:rFonts w:ascii="Palatino Linotype" w:hAnsi="Palatino Linotype" w:cs="Arial"/>
          <w:sz w:val="24"/>
          <w:szCs w:val="24"/>
        </w:rPr>
        <w:t xml:space="preserve"> su informe justificado. </w:t>
      </w:r>
      <w:r w:rsidR="005415FD">
        <w:rPr>
          <w:rFonts w:ascii="Palatino Linotype" w:hAnsi="Palatino Linotype" w:cs="Arial"/>
          <w:sz w:val="24"/>
          <w:szCs w:val="24"/>
        </w:rPr>
        <w:t>Por su parte</w:t>
      </w:r>
      <w:r w:rsidR="00F13F6A">
        <w:rPr>
          <w:rFonts w:ascii="Palatino Linotype" w:hAnsi="Palatino Linotype" w:cs="Arial"/>
          <w:sz w:val="24"/>
          <w:szCs w:val="24"/>
        </w:rPr>
        <w:t xml:space="preserve"> </w:t>
      </w:r>
      <w:r w:rsidR="009417AD">
        <w:rPr>
          <w:rFonts w:ascii="Palatino Linotype" w:hAnsi="Palatino Linotype" w:cs="Arial"/>
          <w:sz w:val="24"/>
          <w:szCs w:val="24"/>
        </w:rPr>
        <w:t>El Recurrente</w:t>
      </w:r>
      <w:r w:rsidR="005415FD">
        <w:rPr>
          <w:rFonts w:ascii="Palatino Linotype" w:hAnsi="Palatino Linotype" w:cs="Arial"/>
          <w:sz w:val="24"/>
          <w:szCs w:val="24"/>
        </w:rPr>
        <w:t xml:space="preserv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5D5E71">
        <w:rPr>
          <w:rFonts w:ascii="Palatino Linotype" w:hAnsi="Palatino Linotype" w:cs="Arial"/>
          <w:sz w:val="24"/>
          <w:szCs w:val="24"/>
        </w:rPr>
        <w:t>doce de octubre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rPr>
          <w:rFonts w:ascii="Palatino Linotype" w:eastAsiaTheme="minorHAnsi" w:hAnsi="Palatino Linotype" w:cs="Arial"/>
          <w:b/>
          <w:sz w:val="26"/>
          <w:szCs w:val="26"/>
          <w:lang w:eastAsia="en-US"/>
        </w:rPr>
      </w:pPr>
    </w:p>
    <w:p w:rsidR="00E1276D" w:rsidRDefault="00E1276D"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w:t>
      </w:r>
      <w:r w:rsidRPr="00AD2A55">
        <w:rPr>
          <w:rFonts w:ascii="Palatino Linotype" w:hAnsi="Palatino Linotype" w:cs="Arial"/>
          <w:sz w:val="24"/>
          <w:szCs w:val="24"/>
        </w:rPr>
        <w:lastRenderedPageBreak/>
        <w:t>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0C7A" w:rsidRDefault="004A0C7A" w:rsidP="00A955FC">
      <w:pPr>
        <w:pStyle w:val="Sinespaciado"/>
        <w:spacing w:line="360" w:lineRule="auto"/>
        <w:jc w:val="both"/>
        <w:rPr>
          <w:rFonts w:ascii="Palatino Linotype" w:hAnsi="Palatino Linotype"/>
          <w:b/>
          <w:sz w:val="26"/>
          <w:szCs w:val="26"/>
        </w:rPr>
      </w:pPr>
    </w:p>
    <w:p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D5E71" w:rsidRPr="0014447C" w:rsidRDefault="005D5E71"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rPr>
        <w:lastRenderedPageBreak/>
        <w:t>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423AF9" w:rsidRPr="00407282" w:rsidRDefault="00423AF9" w:rsidP="00A955FC">
      <w:pPr>
        <w:pStyle w:val="Sinespaciado"/>
        <w:spacing w:line="360" w:lineRule="auto"/>
        <w:jc w:val="both"/>
        <w:rPr>
          <w:rFonts w:ascii="Palatino Linotype" w:hAnsi="Palatino Linotype" w:cs="Arial"/>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el ejercicio de las facultades, funciones y competencias de los sujetos </w:t>
      </w:r>
      <w:r w:rsidRPr="00993DE1">
        <w:rPr>
          <w:rFonts w:ascii="Palatino Linotype" w:hAnsi="Palatino Linotype"/>
          <w:i/>
        </w:rPr>
        <w:lastRenderedPageBreak/>
        <w:t>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1276D" w:rsidRDefault="00E1276D" w:rsidP="00A955FC">
      <w:pPr>
        <w:pStyle w:val="Sinespaciado"/>
        <w:spacing w:line="360" w:lineRule="auto"/>
        <w:jc w:val="both"/>
        <w:rPr>
          <w:rFonts w:ascii="Palatino Linotype" w:hAnsi="Palatino Linotype" w:cs="Arial"/>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rPr>
        <w:lastRenderedPageBreak/>
        <w:t>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9417AD">
        <w:rPr>
          <w:rFonts w:ascii="Palatino Linotype" w:hAnsi="Palatino Linotype"/>
        </w:rPr>
        <w:t>El Recurrente</w:t>
      </w:r>
      <w:r>
        <w:rPr>
          <w:rFonts w:ascii="Palatino Linotype" w:hAnsi="Palatino Linotype"/>
        </w:rPr>
        <w:t xml:space="preserve"> requirió lo siguiente:</w:t>
      </w:r>
    </w:p>
    <w:p w:rsidR="005A1285" w:rsidRDefault="005A1285" w:rsidP="00AC4ABC">
      <w:pPr>
        <w:pStyle w:val="Sinespaciado"/>
        <w:spacing w:line="360" w:lineRule="auto"/>
        <w:jc w:val="both"/>
        <w:rPr>
          <w:rFonts w:ascii="Palatino Linotype" w:hAnsi="Palatino Linotype"/>
        </w:rPr>
      </w:pPr>
    </w:p>
    <w:p w:rsidR="00423AF9" w:rsidRDefault="00423AF9" w:rsidP="00C44839">
      <w:pPr>
        <w:pStyle w:val="Prrafodelista"/>
        <w:numPr>
          <w:ilvl w:val="0"/>
          <w:numId w:val="12"/>
        </w:numPr>
        <w:rPr>
          <w:rFonts w:ascii="Palatino Linotype" w:hAnsi="Palatino Linotype"/>
          <w:color w:val="000000"/>
        </w:rPr>
      </w:pPr>
      <w:r w:rsidRPr="00C44839">
        <w:rPr>
          <w:rFonts w:ascii="Palatino Linotype" w:hAnsi="Palatino Linotype"/>
          <w:color w:val="000000"/>
        </w:rPr>
        <w:t xml:space="preserve">Los documentos que acreditan la experiencia mínima de un año en el cargo de Contralor Municipal, </w:t>
      </w:r>
    </w:p>
    <w:p w:rsidR="00C44839" w:rsidRPr="00C44839" w:rsidRDefault="00C44839" w:rsidP="00C44839">
      <w:pPr>
        <w:pStyle w:val="Prrafodelista"/>
        <w:ind w:left="720"/>
        <w:rPr>
          <w:rFonts w:ascii="Palatino Linotype" w:hAnsi="Palatino Linotype"/>
          <w:color w:val="000000"/>
        </w:rPr>
      </w:pPr>
    </w:p>
    <w:p w:rsidR="005A1285" w:rsidRPr="00C44839" w:rsidRDefault="00C44839" w:rsidP="00C44839">
      <w:pPr>
        <w:pStyle w:val="Prrafodelista"/>
        <w:numPr>
          <w:ilvl w:val="0"/>
          <w:numId w:val="12"/>
        </w:numPr>
        <w:rPr>
          <w:rFonts w:ascii="Palatino Linotype" w:hAnsi="Palatino Linotype"/>
          <w:color w:val="000000"/>
        </w:rPr>
      </w:pPr>
      <w:r w:rsidRPr="00C44839">
        <w:rPr>
          <w:rFonts w:ascii="Palatino Linotype" w:hAnsi="Palatino Linotype"/>
          <w:color w:val="000000"/>
        </w:rPr>
        <w:t>Del Contralor y T</w:t>
      </w:r>
      <w:r w:rsidR="00423AF9" w:rsidRPr="00C44839">
        <w:rPr>
          <w:rFonts w:ascii="Palatino Linotype" w:hAnsi="Palatino Linotype"/>
          <w:color w:val="000000"/>
        </w:rPr>
        <w:t>esorero</w:t>
      </w:r>
      <w:r w:rsidRPr="00C44839">
        <w:rPr>
          <w:rFonts w:ascii="Palatino Linotype" w:hAnsi="Palatino Linotype"/>
          <w:color w:val="000000"/>
        </w:rPr>
        <w:t xml:space="preserve"> Municipal; </w:t>
      </w:r>
      <w:r w:rsidR="00423AF9" w:rsidRPr="00C44839">
        <w:rPr>
          <w:rFonts w:ascii="Palatino Linotype" w:hAnsi="Palatino Linotype"/>
          <w:color w:val="000000"/>
        </w:rPr>
        <w:t>la certificación de competencia laboral expedida por el</w:t>
      </w:r>
      <w:r w:rsidRPr="00C44839">
        <w:rPr>
          <w:rFonts w:ascii="Palatino Linotype" w:hAnsi="Palatino Linotype"/>
          <w:color w:val="000000"/>
        </w:rPr>
        <w:t xml:space="preserve"> IHAEM.</w:t>
      </w:r>
    </w:p>
    <w:p w:rsidR="00423AF9" w:rsidRPr="00423AF9" w:rsidRDefault="00423AF9" w:rsidP="00423AF9"/>
    <w:p w:rsidR="00C44839" w:rsidRDefault="00EE4E36" w:rsidP="00E53C79">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E53C79">
        <w:rPr>
          <w:rFonts w:ascii="Palatino Linotype" w:hAnsi="Palatino Linotype"/>
        </w:rPr>
        <w:t>El</w:t>
      </w:r>
      <w:r w:rsidR="009417AD">
        <w:rPr>
          <w:rFonts w:ascii="Palatino Linotype" w:hAnsi="Palatino Linotype"/>
        </w:rPr>
        <w:t xml:space="preserve"> Recurrente</w:t>
      </w:r>
      <w:r w:rsidR="002F06E4" w:rsidRPr="00E53C79">
        <w:rPr>
          <w:rFonts w:ascii="Palatino Linotype" w:hAnsi="Palatino Linotype"/>
        </w:rPr>
        <w:t xml:space="preserve">, </w:t>
      </w:r>
    </w:p>
    <w:p w:rsidR="00210DCE" w:rsidRDefault="00210DCE" w:rsidP="00210DC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esta tesitura, como se mencionó en el antecedente segundo, </w:t>
      </w:r>
      <w:r>
        <w:rPr>
          <w:rFonts w:ascii="Palatino Linotype" w:hAnsi="Palatino Linotype" w:cs="Arial"/>
          <w:b/>
        </w:rPr>
        <w:t xml:space="preserve">El Sujeto Obligado </w:t>
      </w:r>
      <w:r>
        <w:rPr>
          <w:rFonts w:ascii="Palatino Linotype" w:hAnsi="Palatino Linotype" w:cs="Arial"/>
        </w:rPr>
        <w:t xml:space="preserve">en fecha veinticinco de mayo, rindió su respuesta formulada por </w:t>
      </w:r>
      <w:r>
        <w:rPr>
          <w:rFonts w:ascii="Palatino Linotype" w:hAnsi="Palatino Linotype" w:cs="Arial"/>
          <w:b/>
        </w:rPr>
        <w:t xml:space="preserve">El Recurrente, </w:t>
      </w:r>
      <w:r>
        <w:rPr>
          <w:rFonts w:ascii="Palatino Linotype" w:hAnsi="Palatino Linotype" w:cs="Arial"/>
        </w:rPr>
        <w:t>resultando</w:t>
      </w:r>
      <w:r w:rsidR="00FE0C2B">
        <w:rPr>
          <w:rFonts w:ascii="Palatino Linotype" w:hAnsi="Palatino Linotype" w:cs="Arial"/>
        </w:rPr>
        <w:t xml:space="preserve"> de nuestro interés los</w:t>
      </w:r>
      <w:r>
        <w:rPr>
          <w:rFonts w:ascii="Palatino Linotype" w:hAnsi="Palatino Linotype" w:cs="Arial"/>
        </w:rPr>
        <w:t xml:space="preserve"> siguiente</w:t>
      </w:r>
      <w:r w:rsidR="00FE0C2B">
        <w:rPr>
          <w:rFonts w:ascii="Palatino Linotype" w:hAnsi="Palatino Linotype" w:cs="Arial"/>
        </w:rPr>
        <w:t>s</w:t>
      </w:r>
      <w:r>
        <w:rPr>
          <w:rFonts w:ascii="Palatino Linotype" w:hAnsi="Palatino Linotype" w:cs="Arial"/>
        </w:rPr>
        <w:t xml:space="preserve"> extracto</w:t>
      </w:r>
      <w:r w:rsidR="00FE0C2B">
        <w:rPr>
          <w:rFonts w:ascii="Palatino Linotype" w:hAnsi="Palatino Linotype" w:cs="Arial"/>
        </w:rPr>
        <w:t>s</w:t>
      </w:r>
      <w:r>
        <w:rPr>
          <w:rFonts w:ascii="Palatino Linotype" w:hAnsi="Palatino Linotype" w:cs="Arial"/>
        </w:rPr>
        <w:t xml:space="preserve">: </w:t>
      </w:r>
    </w:p>
    <w:p w:rsidR="00210DCE" w:rsidRDefault="00210DCE" w:rsidP="00210DCE">
      <w:pPr>
        <w:pStyle w:val="Prrafodelista"/>
        <w:autoSpaceDE w:val="0"/>
        <w:autoSpaceDN w:val="0"/>
        <w:adjustRightInd w:val="0"/>
        <w:spacing w:before="240" w:after="160" w:line="360" w:lineRule="auto"/>
        <w:ind w:left="0"/>
        <w:jc w:val="center"/>
        <w:rPr>
          <w:rFonts w:ascii="Palatino Linotype" w:hAnsi="Palatino Linotype" w:cs="Arial"/>
        </w:rPr>
      </w:pPr>
      <w:r>
        <w:rPr>
          <w:noProof/>
          <w:lang w:val="es-MX" w:eastAsia="es-MX"/>
        </w:rPr>
        <w:drawing>
          <wp:inline distT="0" distB="0" distL="0" distR="0" wp14:anchorId="27C5B43D" wp14:editId="5336CA98">
            <wp:extent cx="4791075" cy="2438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075" cy="2438400"/>
                    </a:xfrm>
                    <a:prstGeom prst="rect">
                      <a:avLst/>
                    </a:prstGeom>
                  </pic:spPr>
                </pic:pic>
              </a:graphicData>
            </a:graphic>
          </wp:inline>
        </w:drawing>
      </w:r>
    </w:p>
    <w:p w:rsidR="00210DCE" w:rsidRDefault="00210DCE" w:rsidP="00E53C79">
      <w:pPr>
        <w:pStyle w:val="Sinespaciado"/>
        <w:spacing w:line="360" w:lineRule="auto"/>
        <w:jc w:val="both"/>
        <w:rPr>
          <w:rFonts w:ascii="Palatino Linotype" w:hAnsi="Palatino Linotype"/>
        </w:rPr>
      </w:pPr>
    </w:p>
    <w:p w:rsidR="00210DCE" w:rsidRDefault="00210DCE" w:rsidP="00E53C79">
      <w:pPr>
        <w:pStyle w:val="Sinespaciado"/>
        <w:spacing w:line="360" w:lineRule="auto"/>
        <w:jc w:val="both"/>
        <w:rPr>
          <w:rFonts w:ascii="Palatino Linotype" w:hAnsi="Palatino Linotype"/>
        </w:rPr>
      </w:pPr>
    </w:p>
    <w:p w:rsidR="00210DCE" w:rsidRDefault="00FE0C2B" w:rsidP="00FE0C2B">
      <w:pPr>
        <w:pStyle w:val="Sinespaciado"/>
        <w:spacing w:line="360" w:lineRule="auto"/>
        <w:jc w:val="center"/>
        <w:rPr>
          <w:rFonts w:ascii="Palatino Linotype" w:hAnsi="Palatino Linotype"/>
        </w:rPr>
      </w:pPr>
      <w:r>
        <w:rPr>
          <w:noProof/>
          <w:lang w:eastAsia="es-MX"/>
        </w:rPr>
        <w:drawing>
          <wp:inline distT="0" distB="0" distL="0" distR="0" wp14:anchorId="1E0B0F88" wp14:editId="104BD167">
            <wp:extent cx="4162425"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2425" cy="2762250"/>
                    </a:xfrm>
                    <a:prstGeom prst="rect">
                      <a:avLst/>
                    </a:prstGeom>
                  </pic:spPr>
                </pic:pic>
              </a:graphicData>
            </a:graphic>
          </wp:inline>
        </w:drawing>
      </w:r>
    </w:p>
    <w:p w:rsidR="00210DCE" w:rsidRDefault="00210DCE" w:rsidP="00E53C79">
      <w:pPr>
        <w:pStyle w:val="Sinespaciado"/>
        <w:spacing w:line="360" w:lineRule="auto"/>
        <w:jc w:val="both"/>
        <w:rPr>
          <w:rFonts w:ascii="Palatino Linotype" w:hAnsi="Palatino Linotype"/>
        </w:rPr>
      </w:pPr>
    </w:p>
    <w:p w:rsidR="00210DCE" w:rsidRDefault="00FE0C2B" w:rsidP="00FE0C2B">
      <w:pPr>
        <w:pStyle w:val="Sinespaciado"/>
        <w:spacing w:line="360" w:lineRule="auto"/>
        <w:jc w:val="center"/>
        <w:rPr>
          <w:rFonts w:ascii="Palatino Linotype" w:hAnsi="Palatino Linotype"/>
        </w:rPr>
      </w:pPr>
      <w:r>
        <w:rPr>
          <w:noProof/>
          <w:lang w:eastAsia="es-MX"/>
        </w:rPr>
        <w:drawing>
          <wp:inline distT="0" distB="0" distL="0" distR="0" wp14:anchorId="73042E2F" wp14:editId="014355B5">
            <wp:extent cx="4352925" cy="2152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52925" cy="2152650"/>
                    </a:xfrm>
                    <a:prstGeom prst="rect">
                      <a:avLst/>
                    </a:prstGeom>
                  </pic:spPr>
                </pic:pic>
              </a:graphicData>
            </a:graphic>
          </wp:inline>
        </w:drawing>
      </w:r>
    </w:p>
    <w:p w:rsidR="00210DCE" w:rsidRDefault="00210DCE" w:rsidP="00E53C79">
      <w:pPr>
        <w:pStyle w:val="Sinespaciado"/>
        <w:spacing w:line="360" w:lineRule="auto"/>
        <w:jc w:val="both"/>
        <w:rPr>
          <w:rFonts w:ascii="Palatino Linotype" w:hAnsi="Palatino Linotype"/>
        </w:rPr>
      </w:pPr>
    </w:p>
    <w:p w:rsidR="00A75C41" w:rsidRPr="00B34942" w:rsidRDefault="00A75C41" w:rsidP="00A75C4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veinte de agosto, admitiéndose el veintiocho de agosto, ambos de dos mil veinte. Señalando como razones o motivos de inconformidad: </w:t>
      </w:r>
    </w:p>
    <w:p w:rsidR="00A75C41" w:rsidRPr="00A51024" w:rsidRDefault="00A75C41" w:rsidP="00A75C41">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A51024">
        <w:rPr>
          <w:rFonts w:ascii="Palatino Linotype" w:hAnsi="Palatino Linotype"/>
          <w:i/>
          <w:color w:val="000000"/>
          <w:sz w:val="22"/>
          <w:szCs w:val="22"/>
        </w:rPr>
        <w:lastRenderedPageBreak/>
        <w:t>“</w:t>
      </w:r>
      <w:r w:rsidRPr="00A75C41">
        <w:rPr>
          <w:rFonts w:ascii="Palatino Linotype" w:hAnsi="Palatino Linotype"/>
          <w:i/>
          <w:color w:val="000000"/>
          <w:sz w:val="22"/>
          <w:szCs w:val="22"/>
        </w:rPr>
        <w:t>El sujeto obligado argumenta que no existe la información solicitada, aún y cuando la misma debe existir conforme a sus atribuciones, pero omite adjuntar el acta del comité de transparencia que avale el simple dicho de los servidores públicos habilitados respecto a la inexistencia de la información, por lo demás, la solicitud no fue debidamente canalizada internamente.</w:t>
      </w:r>
      <w:r w:rsidRPr="00A51024">
        <w:rPr>
          <w:rFonts w:ascii="Palatino Linotype" w:hAnsi="Palatino Linotype"/>
          <w:i/>
          <w:color w:val="000000"/>
          <w:sz w:val="22"/>
          <w:szCs w:val="22"/>
        </w:rPr>
        <w:t xml:space="preserve">” </w:t>
      </w:r>
      <w:r w:rsidRPr="00A51024">
        <w:rPr>
          <w:rFonts w:ascii="Palatino Linotype" w:hAnsi="Palatino Linotype"/>
          <w:b/>
          <w:i/>
          <w:color w:val="000000"/>
          <w:sz w:val="22"/>
          <w:szCs w:val="22"/>
        </w:rPr>
        <w:t>[Sic]</w:t>
      </w:r>
    </w:p>
    <w:p w:rsidR="00210DCE" w:rsidRDefault="00210DCE" w:rsidP="00E53C79">
      <w:pPr>
        <w:pStyle w:val="Sinespaciado"/>
        <w:spacing w:line="360" w:lineRule="auto"/>
        <w:jc w:val="both"/>
        <w:rPr>
          <w:rFonts w:ascii="Palatino Linotype" w:hAnsi="Palatino Linotype"/>
        </w:rPr>
      </w:pPr>
    </w:p>
    <w:p w:rsidR="002B7B6D" w:rsidRDefault="002B7B6D" w:rsidP="002B7B6D">
      <w:pPr>
        <w:pStyle w:val="Prrafodelista"/>
        <w:autoSpaceDE w:val="0"/>
        <w:autoSpaceDN w:val="0"/>
        <w:adjustRightInd w:val="0"/>
        <w:spacing w:before="240" w:after="160" w:line="360" w:lineRule="auto"/>
        <w:ind w:left="0"/>
        <w:jc w:val="both"/>
        <w:rPr>
          <w:rFonts w:ascii="Palatino Linotype" w:hAnsi="Palatino Linotype"/>
        </w:rPr>
      </w:pPr>
      <w:r w:rsidRPr="0004199A">
        <w:rPr>
          <w:rFonts w:ascii="Palatino Linotype" w:hAnsi="Palatino Linotype"/>
        </w:rPr>
        <w:t xml:space="preserve">Bajo tal tesitura, </w:t>
      </w:r>
      <w:r>
        <w:rPr>
          <w:rFonts w:ascii="Palatino Linotype" w:hAnsi="Palatino Linotype"/>
        </w:rPr>
        <w:t xml:space="preserve"> resulta oportuno traer a colación los artículos 32, 92, fracción IV, 96, fracción I, 96 Ter, 96 </w:t>
      </w:r>
      <w:proofErr w:type="spellStart"/>
      <w:r>
        <w:rPr>
          <w:rFonts w:ascii="Palatino Linotype" w:hAnsi="Palatino Linotype"/>
        </w:rPr>
        <w:t>Septies</w:t>
      </w:r>
      <w:proofErr w:type="spellEnd"/>
      <w:r>
        <w:rPr>
          <w:rFonts w:ascii="Palatino Linotype" w:hAnsi="Palatino Linotype"/>
        </w:rPr>
        <w:t xml:space="preserve">  de la Ley Orgánica Municipal del Estado de México y Municipios, dispositivo jurídico que dispone a la literalidad: </w:t>
      </w:r>
    </w:p>
    <w:p w:rsidR="002B7B6D" w:rsidRPr="00410AC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410ACB">
        <w:rPr>
          <w:rFonts w:ascii="Palatino Linotype" w:hAnsi="Palatino Linotype"/>
          <w:b/>
          <w:i/>
          <w:sz w:val="22"/>
          <w:szCs w:val="22"/>
          <w:u w:val="single"/>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2B7B6D" w:rsidRPr="007505EB" w:rsidRDefault="002B7B6D" w:rsidP="002B7B6D">
      <w:pPr>
        <w:pStyle w:val="Prrafodelista"/>
        <w:numPr>
          <w:ilvl w:val="0"/>
          <w:numId w:val="1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505EB">
        <w:rPr>
          <w:rFonts w:ascii="Palatino Linotype" w:hAnsi="Palatino Linotype"/>
          <w:i/>
          <w:sz w:val="22"/>
          <w:szCs w:val="22"/>
        </w:rPr>
        <w:t>Ser ciudadano del Estado en pleno uso de sus derechos;</w:t>
      </w:r>
    </w:p>
    <w:p w:rsidR="002B7B6D" w:rsidRPr="007505EB" w:rsidRDefault="002B7B6D" w:rsidP="002B7B6D">
      <w:pPr>
        <w:pStyle w:val="Prrafodelista"/>
        <w:numPr>
          <w:ilvl w:val="0"/>
          <w:numId w:val="1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505EB">
        <w:rPr>
          <w:rFonts w:ascii="Palatino Linotype" w:hAnsi="Palatino Linotype"/>
          <w:i/>
          <w:sz w:val="22"/>
          <w:szCs w:val="22"/>
        </w:rPr>
        <w:t>No estar inhabilitado para desempeñar cargo, empleo, o comisión pública;</w:t>
      </w:r>
    </w:p>
    <w:p w:rsidR="002B7B6D" w:rsidRPr="007505EB" w:rsidRDefault="002B7B6D" w:rsidP="002B7B6D">
      <w:pPr>
        <w:pStyle w:val="Prrafodelista"/>
        <w:numPr>
          <w:ilvl w:val="0"/>
          <w:numId w:val="1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505EB">
        <w:rPr>
          <w:rFonts w:ascii="Palatino Linotype" w:hAnsi="Palatino Linotype"/>
          <w:i/>
          <w:sz w:val="22"/>
          <w:szCs w:val="22"/>
        </w:rPr>
        <w:t>No haber sido condenado en proceso penal, por delito intencional que amerite pena privativa de libertad.</w:t>
      </w:r>
    </w:p>
    <w:p w:rsidR="002B7B6D" w:rsidRPr="007505EB" w:rsidRDefault="002B7B6D" w:rsidP="002B7B6D">
      <w:pPr>
        <w:pStyle w:val="Prrafodelista"/>
        <w:numPr>
          <w:ilvl w:val="0"/>
          <w:numId w:val="1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505EB">
        <w:rPr>
          <w:rFonts w:ascii="Palatino Linotype" w:hAnsi="Palatino Linotype"/>
          <w:i/>
          <w:sz w:val="22"/>
          <w:szCs w:val="22"/>
        </w:rPr>
        <w:t>Contar con título profesional o acreditar experiencia mínima de un año en la materia, ante el Presidente o el Ayuntamiento, cuando sea el caso, para el desempeño de los cargos que así lo requieran; y</w:t>
      </w:r>
    </w:p>
    <w:p w:rsidR="002B7B6D" w:rsidRPr="007505EB" w:rsidRDefault="002B7B6D" w:rsidP="002B7B6D">
      <w:pPr>
        <w:pStyle w:val="Prrafodelista"/>
        <w:numPr>
          <w:ilvl w:val="0"/>
          <w:numId w:val="13"/>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7505EB">
        <w:rPr>
          <w:rFonts w:ascii="Palatino Linotype" w:hAnsi="Palatino Linotype"/>
          <w:b/>
          <w:i/>
          <w:sz w:val="22"/>
          <w:szCs w:val="22"/>
          <w:u w:val="single"/>
        </w:rPr>
        <w:lastRenderedPageBreak/>
        <w:t>En su caso, contar con certificación en la materia del cargo que se desempeñará.</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i/>
          <w:sz w:val="22"/>
          <w:szCs w:val="22"/>
        </w:rPr>
        <w:t xml:space="preserve">Artículo 92.- Para ser secretario del ayuntamiento se requiere, además de los requisitos establecidos en el artículo 32 de esta Ley, los siguientes: </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i/>
          <w:sz w:val="22"/>
          <w:szCs w:val="22"/>
        </w:rPr>
        <w:t>(…)</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i/>
          <w:sz w:val="22"/>
          <w:szCs w:val="22"/>
        </w:rPr>
        <w:t>IV. Contar con la certificación de competencia laboral expedida por el Instituto Hacendario del Estado de México, dentro de los seis meses siguientes a la fecha en que inicie sus funciones</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505EB">
        <w:rPr>
          <w:rFonts w:ascii="Palatino Linotype" w:hAnsi="Palatino Linotype"/>
          <w:b/>
          <w:i/>
          <w:sz w:val="22"/>
          <w:szCs w:val="22"/>
          <w:u w:val="single"/>
        </w:rPr>
        <w:t>(…)</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b/>
          <w:i/>
          <w:sz w:val="22"/>
          <w:szCs w:val="22"/>
          <w:u w:val="single"/>
        </w:rPr>
        <w:t>Artículo 96.- Para ser tesorero municipal</w:t>
      </w:r>
      <w:r w:rsidRPr="007505EB">
        <w:rPr>
          <w:rFonts w:ascii="Palatino Linotype" w:hAnsi="Palatino Linotype"/>
          <w:i/>
          <w:sz w:val="22"/>
          <w:szCs w:val="22"/>
        </w:rPr>
        <w:t xml:space="preserve"> se requiere, además de los requisitos </w:t>
      </w:r>
      <w:proofErr w:type="gramStart"/>
      <w:r w:rsidRPr="007505EB">
        <w:rPr>
          <w:rFonts w:ascii="Palatino Linotype" w:hAnsi="Palatino Linotype"/>
          <w:i/>
          <w:sz w:val="22"/>
          <w:szCs w:val="22"/>
        </w:rPr>
        <w:t>del</w:t>
      </w:r>
      <w:proofErr w:type="gramEnd"/>
      <w:r w:rsidRPr="007505EB">
        <w:rPr>
          <w:rFonts w:ascii="Palatino Linotype" w:hAnsi="Palatino Linotype"/>
          <w:i/>
          <w:sz w:val="22"/>
          <w:szCs w:val="22"/>
        </w:rPr>
        <w:t xml:space="preserve"> artículos 32 de esta Ley:</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505EB">
        <w:rPr>
          <w:rFonts w:ascii="Palatino Linotype" w:hAnsi="Palatino Linotype"/>
          <w:i/>
          <w:sz w:val="22"/>
          <w:szCs w:val="22"/>
        </w:rPr>
        <w:t xml:space="preserve">I. Tener los conocimientos suficientes para poder desempeñar el cargo, a juicio del Ayuntamiento; contar con título profesional en las áreas jurídicas, económicas o contable administrativas, con experiencia mínima de un año </w:t>
      </w:r>
      <w:r w:rsidRPr="007505EB">
        <w:rPr>
          <w:rFonts w:ascii="Palatino Linotype" w:hAnsi="Palatino Linotype"/>
          <w:b/>
          <w:i/>
          <w:sz w:val="22"/>
          <w:szCs w:val="22"/>
          <w:u w:val="single"/>
        </w:rPr>
        <w:t>y con la certificación de competencia laboral en funciones expedida por el Instituto Hacendario del Estado de México, con anterioridad a la fecha de su designación;</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505EB">
        <w:rPr>
          <w:rFonts w:ascii="Palatino Linotype" w:hAnsi="Palatino Linotype"/>
          <w:b/>
          <w:i/>
          <w:sz w:val="22"/>
          <w:szCs w:val="22"/>
          <w:u w:val="single"/>
        </w:rPr>
        <w:t>(…)</w:t>
      </w:r>
      <w:r>
        <w:rPr>
          <w:rFonts w:ascii="Palatino Linotype" w:hAnsi="Palatino Linotype"/>
          <w:b/>
          <w:i/>
          <w:sz w:val="22"/>
          <w:szCs w:val="22"/>
          <w:u w:val="single"/>
        </w:rPr>
        <w:t xml:space="preserve"> </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i/>
          <w:sz w:val="22"/>
          <w:szCs w:val="22"/>
        </w:rPr>
        <w:t xml:space="preserve">Artículo 96 Ter.- </w:t>
      </w:r>
      <w:r w:rsidRPr="007505EB">
        <w:rPr>
          <w:rFonts w:ascii="Palatino Linotype" w:hAnsi="Palatino Linotype"/>
          <w:b/>
          <w:i/>
          <w:sz w:val="22"/>
          <w:szCs w:val="22"/>
          <w:u w:val="single"/>
        </w:rPr>
        <w:t>El Director de Obras Públicas o Titular de la Unidad Administrativa equivalente,</w:t>
      </w:r>
      <w:r w:rsidRPr="007505EB">
        <w:rPr>
          <w:rFonts w:ascii="Palatino Linotype" w:hAnsi="Palatino Linotype"/>
          <w:i/>
          <w:sz w:val="22"/>
          <w:szCs w:val="22"/>
        </w:rPr>
        <w:t xml:space="preserve"> además de los requisitos del artículo 32 de esta Ley, requiere contar con título profesional en ingeniería, arquitectura o alguna área afín, o contar con una experiencia mínima de un año, con anterioridad a la fecha de su designación.</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505EB">
        <w:rPr>
          <w:rFonts w:ascii="Palatino Linotype" w:hAnsi="Palatino Linotype"/>
          <w:b/>
          <w:i/>
          <w:sz w:val="22"/>
          <w:szCs w:val="22"/>
          <w:u w:val="single"/>
        </w:rPr>
        <w:lastRenderedPageBreak/>
        <w:t xml:space="preserve">Además deberá acreditar, dentro de los seis meses siguientes a la fecha en que inicie funciones, la certificación de competencia laboral expedida por el Instituto Hacendario del Estado de México. </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b/>
          <w:i/>
          <w:sz w:val="22"/>
          <w:szCs w:val="22"/>
          <w:u w:val="single"/>
        </w:rPr>
        <w:t xml:space="preserve">Artículo 96 </w:t>
      </w:r>
      <w:proofErr w:type="spellStart"/>
      <w:r w:rsidRPr="007505EB">
        <w:rPr>
          <w:rFonts w:ascii="Palatino Linotype" w:hAnsi="Palatino Linotype"/>
          <w:b/>
          <w:i/>
          <w:sz w:val="22"/>
          <w:szCs w:val="22"/>
          <w:u w:val="single"/>
        </w:rPr>
        <w:t>Quintus</w:t>
      </w:r>
      <w:proofErr w:type="spellEnd"/>
      <w:r w:rsidRPr="007505EB">
        <w:rPr>
          <w:rFonts w:ascii="Palatino Linotype" w:hAnsi="Palatino Linotype"/>
          <w:b/>
          <w:i/>
          <w:sz w:val="22"/>
          <w:szCs w:val="22"/>
          <w:u w:val="single"/>
        </w:rPr>
        <w:t>.- El Director de Desarrollo Económico o Titular de la Unidad Administrativa equivalente, además de los requisitos del artículo 32 de esta Ley,</w:t>
      </w:r>
      <w:r w:rsidRPr="007505EB">
        <w:rPr>
          <w:rFonts w:ascii="Palatino Linotype" w:hAnsi="Palatino Linotype"/>
          <w:i/>
          <w:sz w:val="22"/>
          <w:szCs w:val="22"/>
        </w:rPr>
        <w:t xml:space="preserve"> requiere contar con título profesional en el área económico-administrativa o contar con experiencia mínima de un año, con anterioridad a la fecha de su designación.</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505EB">
        <w:rPr>
          <w:rFonts w:ascii="Palatino Linotype" w:hAnsi="Palatino Linotype"/>
          <w:b/>
          <w:i/>
          <w:sz w:val="22"/>
          <w:szCs w:val="22"/>
          <w:u w:val="single"/>
        </w:rPr>
        <w:t xml:space="preserve">Artículo 96. </w:t>
      </w:r>
      <w:proofErr w:type="spellStart"/>
      <w:r w:rsidRPr="007505EB">
        <w:rPr>
          <w:rFonts w:ascii="Palatino Linotype" w:hAnsi="Palatino Linotype"/>
          <w:b/>
          <w:i/>
          <w:sz w:val="22"/>
          <w:szCs w:val="22"/>
          <w:u w:val="single"/>
        </w:rPr>
        <w:t>Septies</w:t>
      </w:r>
      <w:proofErr w:type="spellEnd"/>
      <w:r w:rsidRPr="007505EB">
        <w:rPr>
          <w:rFonts w:ascii="Palatino Linotype" w:hAnsi="Palatino Linotype"/>
          <w:b/>
          <w:i/>
          <w:sz w:val="22"/>
          <w:szCs w:val="22"/>
          <w:u w:val="single"/>
        </w:rPr>
        <w:t>. El Director de Desarrollo Urbano o el Titular de la Unidad Administrativa equivalente,</w:t>
      </w:r>
      <w:r w:rsidRPr="007505EB">
        <w:rPr>
          <w:rFonts w:ascii="Palatino Linotype" w:hAnsi="Palatino Linotype"/>
          <w:i/>
          <w:sz w:val="22"/>
          <w:szCs w:val="22"/>
        </w:rPr>
        <w:t xml:space="preserve"> además de los requisitos establecidos en el artículo 32 de esta Ley, requiere contar con título profesional en el área de ingeniería civil arquitectura o afín, o contar con una experiencia mínima de un año, con anterioridad a la fecha de su designación; </w:t>
      </w:r>
      <w:r w:rsidRPr="007505EB">
        <w:rPr>
          <w:rFonts w:ascii="Palatino Linotype" w:hAnsi="Palatino Linotype"/>
          <w:b/>
          <w:i/>
          <w:sz w:val="22"/>
          <w:szCs w:val="22"/>
          <w:u w:val="single"/>
        </w:rPr>
        <w:t>además deberá acreditar, dentro de los seis meses siguientes a la fecha en que inicie sus funciones, la certificación de competencia laboral expedida por el Instituto Hacendario del Estado de México.</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b/>
          <w:i/>
          <w:sz w:val="22"/>
          <w:szCs w:val="22"/>
          <w:u w:val="single"/>
        </w:rPr>
        <w:t xml:space="preserve">Artículo 96. </w:t>
      </w:r>
      <w:proofErr w:type="spellStart"/>
      <w:r w:rsidRPr="007505EB">
        <w:rPr>
          <w:rFonts w:ascii="Palatino Linotype" w:hAnsi="Palatino Linotype"/>
          <w:b/>
          <w:i/>
          <w:sz w:val="22"/>
          <w:szCs w:val="22"/>
          <w:u w:val="single"/>
        </w:rPr>
        <w:t>Octies</w:t>
      </w:r>
      <w:proofErr w:type="spellEnd"/>
      <w:r w:rsidRPr="007505EB">
        <w:rPr>
          <w:rFonts w:ascii="Palatino Linotype" w:hAnsi="Palatino Linotype"/>
          <w:b/>
          <w:i/>
          <w:sz w:val="22"/>
          <w:szCs w:val="22"/>
          <w:u w:val="single"/>
        </w:rPr>
        <w:t>. El Director de Ecología</w:t>
      </w:r>
      <w:r w:rsidRPr="007505EB">
        <w:rPr>
          <w:rFonts w:ascii="Palatino Linotype" w:hAnsi="Palatino Linotype"/>
          <w:i/>
          <w:sz w:val="22"/>
          <w:szCs w:val="22"/>
        </w:rPr>
        <w:t xml:space="preserve"> o el Titular de la Unidad Administrativa equivalente, tiene las atribuciones siguientes:</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i/>
          <w:sz w:val="22"/>
          <w:szCs w:val="22"/>
        </w:rPr>
        <w:t>(…)</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505EB">
        <w:rPr>
          <w:rFonts w:ascii="Palatino Linotype" w:hAnsi="Palatino Linotype"/>
          <w:i/>
          <w:sz w:val="22"/>
          <w:szCs w:val="22"/>
        </w:rPr>
        <w:t xml:space="preserve">III. Proponer convenios para la protección al ambiente, al Presidente Municipal, en términos de las disposiciones jurídicas aplicables; </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505EB">
        <w:rPr>
          <w:rFonts w:ascii="Palatino Linotype" w:hAnsi="Palatino Linotype"/>
          <w:b/>
          <w:i/>
          <w:sz w:val="22"/>
          <w:szCs w:val="22"/>
          <w:u w:val="single"/>
        </w:rPr>
        <w:lastRenderedPageBreak/>
        <w:t>Además deberá acreditar, dentro de los seis meses siguientes a la fecha en que inicie funciones, la certificación de competencia laboral expedida por el Instituto Hacendario del Estado de México.</w:t>
      </w:r>
    </w:p>
    <w:p w:rsidR="002B7B6D" w:rsidRPr="007505EB" w:rsidRDefault="002B7B6D" w:rsidP="002B7B6D">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7505EB">
        <w:rPr>
          <w:rFonts w:ascii="Palatino Linotype" w:hAnsi="Palatino Linotype"/>
          <w:b/>
          <w:i/>
          <w:sz w:val="22"/>
          <w:szCs w:val="22"/>
          <w:u w:val="single"/>
        </w:rPr>
        <w:t>Artículo 113.- Para ser contralor se requiere cumplir con los requisitos que se exigen para ser tesorero municipal, a excepción de la caución correspondiente.</w:t>
      </w:r>
      <w:r w:rsidRPr="007505EB">
        <w:rPr>
          <w:rFonts w:ascii="Palatino Linotype" w:hAnsi="Palatino Linotype"/>
          <w:b/>
          <w:i/>
          <w:sz w:val="22"/>
          <w:szCs w:val="22"/>
        </w:rPr>
        <w:t>” [Sic]</w:t>
      </w:r>
    </w:p>
    <w:p w:rsidR="002B7B6D" w:rsidRPr="002027AC" w:rsidRDefault="002B7B6D" w:rsidP="002027AC">
      <w:pPr>
        <w:autoSpaceDE w:val="0"/>
        <w:autoSpaceDN w:val="0"/>
        <w:adjustRightInd w:val="0"/>
        <w:spacing w:before="240" w:line="360" w:lineRule="auto"/>
        <w:jc w:val="both"/>
        <w:rPr>
          <w:rFonts w:ascii="Palatino Linotype" w:hAnsi="Palatino Linotype"/>
          <w:sz w:val="24"/>
          <w:szCs w:val="24"/>
        </w:rPr>
      </w:pPr>
      <w:r w:rsidRPr="00C24A09">
        <w:rPr>
          <w:rFonts w:ascii="Palatino Linotype" w:hAnsi="Palatino Linotype"/>
          <w:sz w:val="24"/>
          <w:szCs w:val="24"/>
        </w:rPr>
        <w:t xml:space="preserve">Bajo tal tesitura, </w:t>
      </w:r>
      <w:r>
        <w:rPr>
          <w:rFonts w:ascii="Palatino Linotype" w:hAnsi="Palatino Linotype"/>
          <w:sz w:val="24"/>
          <w:szCs w:val="24"/>
        </w:rPr>
        <w:t>resulta inconcuso que para ocupar los cargos de Tesorero</w:t>
      </w:r>
      <w:r w:rsidR="002027AC">
        <w:rPr>
          <w:rFonts w:ascii="Palatino Linotype" w:hAnsi="Palatino Linotype"/>
          <w:sz w:val="24"/>
          <w:szCs w:val="24"/>
        </w:rPr>
        <w:t xml:space="preserve"> y</w:t>
      </w:r>
      <w:r>
        <w:rPr>
          <w:rFonts w:ascii="Palatino Linotype" w:hAnsi="Palatino Linotype"/>
          <w:sz w:val="24"/>
          <w:szCs w:val="24"/>
        </w:rPr>
        <w:t xml:space="preserve"> Contralor, y/o equivalentes, deberán de acreditar dentro de los seis meses siguientes a la fecha en que inicien funciones la certificación de competencia laboral expedida por el Instituto Hacendario del</w:t>
      </w:r>
      <w:r w:rsidR="002027AC">
        <w:rPr>
          <w:rFonts w:ascii="Palatino Linotype" w:hAnsi="Palatino Linotype"/>
          <w:sz w:val="24"/>
          <w:szCs w:val="24"/>
        </w:rPr>
        <w:t xml:space="preserve"> Estado de México.</w:t>
      </w:r>
      <w:r>
        <w:rPr>
          <w:rFonts w:ascii="Palatino Linotype" w:hAnsi="Palatino Linotype"/>
          <w:sz w:val="24"/>
          <w:szCs w:val="24"/>
        </w:rPr>
        <w:t xml:space="preserve">  </w:t>
      </w:r>
    </w:p>
    <w:p w:rsidR="002B7B6D" w:rsidRDefault="002B7B6D" w:rsidP="002B7B6D">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En atención a lo descrito con anterioridad resulta procedente ordenar la entrega de l</w:t>
      </w:r>
      <w:r w:rsidR="002027AC">
        <w:rPr>
          <w:rFonts w:ascii="Palatino Linotype" w:hAnsi="Palatino Linotype"/>
        </w:rPr>
        <w:t>a certificación del Tesorero y</w:t>
      </w:r>
      <w:r>
        <w:rPr>
          <w:rFonts w:ascii="Palatino Linotype" w:hAnsi="Palatino Linotype"/>
        </w:rPr>
        <w:t xml:space="preserve"> Contralor, todas ellas expedidas por el Instituto Hacendario del Estado de México.</w:t>
      </w:r>
    </w:p>
    <w:p w:rsidR="002027AC" w:rsidRDefault="002B7B6D" w:rsidP="002B7B6D">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Ahora bien, respecto del</w:t>
      </w:r>
      <w:r w:rsidR="002027AC">
        <w:rPr>
          <w:rFonts w:ascii="Palatino Linotype" w:hAnsi="Palatino Linotype"/>
        </w:rPr>
        <w:t xml:space="preserve"> Presidente Municipal, </w:t>
      </w:r>
      <w:proofErr w:type="gramStart"/>
      <w:r w:rsidR="002027AC">
        <w:rPr>
          <w:rFonts w:ascii="Palatino Linotype" w:hAnsi="Palatino Linotype"/>
        </w:rPr>
        <w:t>Sindico</w:t>
      </w:r>
      <w:proofErr w:type="gramEnd"/>
      <w:r w:rsidR="002027AC">
        <w:rPr>
          <w:rFonts w:ascii="Palatino Linotype" w:hAnsi="Palatino Linotype"/>
        </w:rPr>
        <w:t xml:space="preserve"> y Regidores</w:t>
      </w:r>
      <w:r>
        <w:rPr>
          <w:rFonts w:ascii="Palatino Linotype" w:hAnsi="Palatino Linotype"/>
        </w:rPr>
        <w:t xml:space="preserve">, </w:t>
      </w:r>
      <w:r w:rsidR="002027AC">
        <w:rPr>
          <w:rFonts w:ascii="Palatino Linotype" w:hAnsi="Palatino Linotype"/>
        </w:rPr>
        <w:t xml:space="preserve">se advierte que la Ley </w:t>
      </w:r>
      <w:r w:rsidR="00AC78F3">
        <w:rPr>
          <w:rFonts w:ascii="Palatino Linotype" w:hAnsi="Palatino Linotype"/>
        </w:rPr>
        <w:t>Orgánica Municipal del Estado de México y Municipios no advierte contar con certificación alguna para desempeñar dichos cargos, aunado a lo anterior dichas áreas del Sujeto Obligado se pronunciaron de manera puntual enfatizando no contar con dichos requerimientos.</w:t>
      </w:r>
    </w:p>
    <w:p w:rsidR="00BE6CED" w:rsidRPr="00487141" w:rsidRDefault="00BE6CED" w:rsidP="00BE6CE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sz w:val="24"/>
          <w:szCs w:val="24"/>
          <w:lang w:val="es-ES" w:eastAsia="es-ES"/>
        </w:rPr>
        <w:t xml:space="preserve">Respuesta que se traduce que </w:t>
      </w:r>
      <w:r w:rsidRPr="00487141">
        <w:rPr>
          <w:rFonts w:ascii="Palatino Linotype" w:eastAsia="Times New Roman" w:hAnsi="Palatino Linotype" w:cs="Times New Roman"/>
          <w:sz w:val="24"/>
          <w:szCs w:val="24"/>
          <w:lang w:val="es-ES" w:eastAsia="es-ES"/>
        </w:rPr>
        <w:t xml:space="preserve">dentro de las facultades, funciones y atribuciones del </w:t>
      </w:r>
      <w:r w:rsidRPr="00487141">
        <w:rPr>
          <w:rFonts w:ascii="Palatino Linotype" w:eastAsia="Times New Roman" w:hAnsi="Palatino Linotype" w:cs="Times New Roman"/>
          <w:b/>
          <w:sz w:val="24"/>
          <w:szCs w:val="24"/>
          <w:lang w:val="es-ES" w:eastAsia="es-ES"/>
        </w:rPr>
        <w:t>sujeto obligado</w:t>
      </w:r>
      <w:r>
        <w:rPr>
          <w:rFonts w:ascii="Palatino Linotype" w:eastAsia="Times New Roman" w:hAnsi="Palatino Linotype" w:cs="Times New Roman"/>
          <w:b/>
          <w:sz w:val="24"/>
          <w:szCs w:val="24"/>
          <w:lang w:val="es-ES" w:eastAsia="es-ES"/>
        </w:rPr>
        <w:t xml:space="preserve"> no</w:t>
      </w:r>
      <w:r w:rsidRPr="00487141">
        <w:rPr>
          <w:rFonts w:ascii="Palatino Linotype" w:eastAsia="Times New Roman" w:hAnsi="Palatino Linotype" w:cs="Times New Roman"/>
          <w:sz w:val="24"/>
          <w:szCs w:val="24"/>
          <w:lang w:val="es-ES" w:eastAsia="es-ES"/>
        </w:rPr>
        <w:t xml:space="preserve"> se encuentran las de </w:t>
      </w:r>
      <w:r>
        <w:rPr>
          <w:rFonts w:ascii="Palatino Linotype" w:eastAsia="Times New Roman" w:hAnsi="Palatino Linotype" w:cs="Times New Roman"/>
          <w:sz w:val="24"/>
          <w:szCs w:val="24"/>
          <w:lang w:val="es-ES" w:eastAsia="es-ES"/>
        </w:rPr>
        <w:t>contar con certificación de competencia laboral de dichos servidores públicos</w:t>
      </w:r>
      <w:r w:rsidRPr="00487141">
        <w:rPr>
          <w:rFonts w:ascii="Palatino Linotype" w:eastAsia="Times New Roman" w:hAnsi="Palatino Linotype" w:cs="Times New Roman"/>
          <w:sz w:val="24"/>
          <w:szCs w:val="24"/>
          <w:lang w:val="es-ES" w:eastAsia="es-ES"/>
        </w:rPr>
        <w:t xml:space="preserve">, también lo es, que al no haberse generado, éste </w:t>
      </w:r>
      <w:r w:rsidRPr="00487141">
        <w:rPr>
          <w:rFonts w:ascii="Palatino Linotype" w:eastAsia="Times New Roman" w:hAnsi="Palatino Linotype" w:cs="Times New Roman"/>
          <w:sz w:val="24"/>
          <w:szCs w:val="24"/>
          <w:lang w:val="es-ES" w:eastAsia="es-ES"/>
        </w:rPr>
        <w:lastRenderedPageBreak/>
        <w:t xml:space="preserve">se encuentra imposibilitado para su entrega, </w:t>
      </w:r>
      <w:r w:rsidRPr="00487141">
        <w:rPr>
          <w:rFonts w:ascii="Palatino Linotype" w:eastAsia="Times New Roman" w:hAnsi="Palatino Linotype" w:cs="Arial"/>
          <w:sz w:val="24"/>
          <w:szCs w:val="24"/>
          <w:lang w:val="es-ES" w:eastAsia="es-ES"/>
        </w:rPr>
        <w:t>en ese orden de ideas, debemos recordar el contenido del artículo 12 de la Ley de Transparencia local, que establece lo siguiente:</w:t>
      </w:r>
    </w:p>
    <w:p w:rsidR="00BE6CED" w:rsidRPr="00487141" w:rsidRDefault="00BE6CED" w:rsidP="00BE6CED">
      <w:pPr>
        <w:spacing w:after="0" w:line="360" w:lineRule="auto"/>
        <w:jc w:val="both"/>
        <w:rPr>
          <w:rFonts w:ascii="Palatino Linotype" w:eastAsia="Times New Roman" w:hAnsi="Palatino Linotype" w:cs="Arial"/>
          <w:sz w:val="24"/>
          <w:szCs w:val="24"/>
          <w:lang w:val="es-ES" w:eastAsia="es-ES"/>
        </w:rPr>
      </w:pPr>
    </w:p>
    <w:p w:rsidR="00BE6CED" w:rsidRPr="00487141" w:rsidRDefault="00BE6CED" w:rsidP="00BE6CED">
      <w:pPr>
        <w:spacing w:after="0" w:line="240" w:lineRule="auto"/>
        <w:ind w:left="567" w:right="616"/>
        <w:jc w:val="both"/>
        <w:rPr>
          <w:rFonts w:ascii="Palatino Linotype" w:eastAsia="Times New Roman" w:hAnsi="Palatino Linotype" w:cs="Arial"/>
          <w:i/>
          <w:szCs w:val="24"/>
          <w:lang w:val="es-ES" w:eastAsia="es-ES"/>
        </w:rPr>
      </w:pPr>
      <w:r w:rsidRPr="00487141">
        <w:rPr>
          <w:rFonts w:ascii="Palatino Linotype" w:eastAsia="Times New Roman" w:hAnsi="Palatino Linotype" w:cs="Arial"/>
          <w:i/>
          <w:szCs w:val="24"/>
          <w:lang w:val="es-ES" w:eastAsia="es-ES"/>
        </w:rPr>
        <w:t>“</w:t>
      </w:r>
      <w:r w:rsidRPr="00487141">
        <w:rPr>
          <w:rFonts w:ascii="Palatino Linotype" w:eastAsia="Times New Roman" w:hAnsi="Palatino Linotype" w:cs="Arial"/>
          <w:b/>
          <w:i/>
          <w:szCs w:val="24"/>
          <w:lang w:val="es-ES" w:eastAsia="es-ES"/>
        </w:rPr>
        <w:t>Artículo 12.</w:t>
      </w:r>
      <w:r w:rsidRPr="00487141">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BE6CED" w:rsidRPr="00487141" w:rsidRDefault="00BE6CED" w:rsidP="00BE6CED">
      <w:pPr>
        <w:spacing w:after="0" w:line="240" w:lineRule="auto"/>
        <w:ind w:left="567" w:right="616"/>
        <w:jc w:val="both"/>
        <w:rPr>
          <w:rFonts w:ascii="Palatino Linotype" w:eastAsia="Times New Roman" w:hAnsi="Palatino Linotype" w:cs="Arial"/>
          <w:i/>
          <w:szCs w:val="24"/>
          <w:lang w:val="es-ES" w:eastAsia="es-ES"/>
        </w:rPr>
      </w:pPr>
      <w:r w:rsidRPr="00487141">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487141">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BE6CED" w:rsidRPr="00487141" w:rsidRDefault="00BE6CED" w:rsidP="00BE6CED">
      <w:pPr>
        <w:spacing w:after="0" w:line="240" w:lineRule="auto"/>
        <w:ind w:left="567" w:right="616"/>
        <w:jc w:val="both"/>
        <w:rPr>
          <w:rFonts w:ascii="Palatino Linotype" w:eastAsia="Times New Roman" w:hAnsi="Palatino Linotype" w:cs="Arial"/>
          <w:i/>
          <w:szCs w:val="24"/>
          <w:lang w:val="es-ES" w:eastAsia="es-ES"/>
        </w:rPr>
      </w:pPr>
    </w:p>
    <w:p w:rsidR="00BE6CED" w:rsidRPr="00487141" w:rsidRDefault="00BE6CED" w:rsidP="00BE6CED">
      <w:pPr>
        <w:spacing w:after="0" w:line="240" w:lineRule="auto"/>
        <w:ind w:left="567" w:right="616"/>
        <w:jc w:val="right"/>
        <w:rPr>
          <w:rFonts w:ascii="Palatino Linotype" w:eastAsia="Times New Roman" w:hAnsi="Palatino Linotype" w:cs="Arial"/>
          <w:szCs w:val="24"/>
          <w:lang w:val="es-ES" w:eastAsia="es-ES"/>
        </w:rPr>
      </w:pPr>
      <w:r w:rsidRPr="00487141">
        <w:rPr>
          <w:rFonts w:ascii="Palatino Linotype" w:eastAsia="Times New Roman" w:hAnsi="Palatino Linotype" w:cs="Arial"/>
          <w:szCs w:val="24"/>
          <w:lang w:val="es-ES" w:eastAsia="es-ES"/>
        </w:rPr>
        <w:t>(Énfasis añadido)</w:t>
      </w:r>
    </w:p>
    <w:p w:rsidR="00BE6CED" w:rsidRPr="00487141" w:rsidRDefault="00BE6CED" w:rsidP="00BE6CED">
      <w:pPr>
        <w:spacing w:after="0" w:line="360" w:lineRule="auto"/>
        <w:jc w:val="both"/>
        <w:rPr>
          <w:rFonts w:ascii="Palatino Linotype" w:eastAsia="Times New Roman" w:hAnsi="Palatino Linotype" w:cs="Arial"/>
          <w:sz w:val="24"/>
          <w:szCs w:val="24"/>
          <w:lang w:val="es-ES" w:eastAsia="es-ES"/>
        </w:rPr>
      </w:pPr>
    </w:p>
    <w:p w:rsidR="00BE6CED" w:rsidRPr="00487141" w:rsidRDefault="00BE6CED" w:rsidP="00BE6CED">
      <w:pPr>
        <w:spacing w:after="0" w:line="360" w:lineRule="auto"/>
        <w:jc w:val="both"/>
        <w:rPr>
          <w:rFonts w:ascii="Palatino Linotype" w:eastAsia="Times New Roman" w:hAnsi="Palatino Linotype" w:cs="Arial"/>
          <w:b/>
          <w:sz w:val="24"/>
          <w:szCs w:val="24"/>
          <w:lang w:val="es-ES" w:eastAsia="es-ES"/>
        </w:rPr>
      </w:pPr>
      <w:r w:rsidRPr="00487141">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487141">
        <w:rPr>
          <w:rFonts w:ascii="Palatino Linotype" w:eastAsia="Times New Roman" w:hAnsi="Palatino Linotype" w:cs="Arial"/>
          <w:i/>
          <w:sz w:val="24"/>
          <w:szCs w:val="24"/>
          <w:lang w:val="es-ES" w:eastAsia="es-ES"/>
        </w:rPr>
        <w:t>“a contrario sensu”</w:t>
      </w:r>
      <w:r w:rsidRPr="00487141">
        <w:rPr>
          <w:rFonts w:ascii="Palatino Linotype" w:eastAsia="Times New Roman" w:hAnsi="Palatino Linotype" w:cs="Arial"/>
          <w:i/>
          <w:sz w:val="24"/>
          <w:szCs w:val="24"/>
          <w:vertAlign w:val="superscript"/>
          <w:lang w:val="es-ES" w:eastAsia="es-ES"/>
        </w:rPr>
        <w:footnoteReference w:id="2"/>
      </w:r>
      <w:r w:rsidRPr="00487141">
        <w:rPr>
          <w:rFonts w:ascii="Palatino Linotype" w:eastAsia="Times New Roman" w:hAnsi="Palatino Linotype" w:cs="Arial"/>
          <w:sz w:val="24"/>
          <w:szCs w:val="24"/>
          <w:lang w:val="es-ES" w:eastAsia="es-ES"/>
        </w:rPr>
        <w:t xml:space="preserve">, al no tener la información por no </w:t>
      </w:r>
      <w:r w:rsidRPr="00487141">
        <w:rPr>
          <w:rFonts w:ascii="Palatino Linotype" w:eastAsia="Times New Roman" w:hAnsi="Palatino Linotype" w:cs="Arial"/>
          <w:b/>
          <w:sz w:val="24"/>
          <w:szCs w:val="24"/>
          <w:u w:val="single"/>
          <w:lang w:val="es-ES" w:eastAsia="es-ES"/>
        </w:rPr>
        <w:t>generarla</w:t>
      </w:r>
      <w:r w:rsidRPr="00487141">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 derivado de no haber sido ejercidas las facultades, funciones o atribuciones.</w:t>
      </w:r>
    </w:p>
    <w:p w:rsidR="00BE6CED" w:rsidRPr="00487141" w:rsidRDefault="00BE6CED" w:rsidP="00BE6CED">
      <w:pPr>
        <w:tabs>
          <w:tab w:val="left" w:pos="709"/>
        </w:tabs>
        <w:spacing w:after="0" w:line="360" w:lineRule="auto"/>
        <w:jc w:val="both"/>
        <w:rPr>
          <w:rFonts w:ascii="Palatino Linotype" w:hAnsi="Palatino Linotype" w:cs="Arial"/>
          <w:b/>
          <w:sz w:val="24"/>
          <w:szCs w:val="24"/>
        </w:rPr>
      </w:pPr>
    </w:p>
    <w:p w:rsidR="00BE6CED" w:rsidRPr="00487141" w:rsidRDefault="00BE6CED" w:rsidP="00BE6CED">
      <w:pPr>
        <w:shd w:val="clear" w:color="auto" w:fill="FFFFFF"/>
        <w:spacing w:after="0" w:line="360" w:lineRule="auto"/>
        <w:contextualSpacing/>
        <w:jc w:val="both"/>
        <w:rPr>
          <w:rFonts w:ascii="Palatino Linotype" w:eastAsia="Calibri" w:hAnsi="Palatino Linotype" w:cs="Arial"/>
          <w:sz w:val="24"/>
          <w:szCs w:val="24"/>
          <w:lang w:val="es-ES_tradnl"/>
        </w:rPr>
      </w:pPr>
      <w:r w:rsidRPr="00487141">
        <w:rPr>
          <w:rFonts w:ascii="Palatino Linotype" w:eastAsia="Calibri" w:hAnsi="Palatino Linotype" w:cs="Arial"/>
          <w:sz w:val="24"/>
          <w:szCs w:val="24"/>
        </w:rPr>
        <w:t>En ese apartado, es necesario señalar que este Órgano Garante</w:t>
      </w:r>
      <w:r w:rsidRPr="00487141">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487141">
        <w:rPr>
          <w:rFonts w:ascii="Palatino Linotype" w:eastAsia="Calibri" w:hAnsi="Palatino Linotype" w:cs="Arial"/>
          <w:b/>
          <w:sz w:val="24"/>
          <w:szCs w:val="24"/>
          <w:lang w:val="es-ES_tradnl"/>
        </w:rPr>
        <w:t>sujetos obligados</w:t>
      </w:r>
      <w:r w:rsidRPr="00487141">
        <w:rPr>
          <w:rFonts w:ascii="Palatino Linotype" w:eastAsia="Calibri" w:hAnsi="Palatino Linotype" w:cs="Arial"/>
          <w:sz w:val="24"/>
          <w:szCs w:val="24"/>
          <w:lang w:val="es-ES_tradnl"/>
        </w:rPr>
        <w:t xml:space="preserve">, conforme a lo establecido en el Criterio 31/10 emitido </w:t>
      </w:r>
      <w:r w:rsidRPr="00487141">
        <w:rPr>
          <w:rFonts w:ascii="Palatino Linotype" w:eastAsia="Calibri" w:hAnsi="Palatino Linotype" w:cs="Arial"/>
          <w:sz w:val="24"/>
          <w:szCs w:val="24"/>
          <w:lang w:val="es-ES_tradnl"/>
        </w:rPr>
        <w:lastRenderedPageBreak/>
        <w:t>por el Instituto Nacional de Transparencia, Acceso a la Información Pública y Protección de Datos Personales INAI (anteriormente IFAI) que se procede a citar a continuación:</w:t>
      </w:r>
    </w:p>
    <w:p w:rsidR="00BE6CED" w:rsidRPr="00487141" w:rsidRDefault="00BE6CED" w:rsidP="00BE6CED">
      <w:pPr>
        <w:shd w:val="clear" w:color="auto" w:fill="FFFFFF"/>
        <w:spacing w:after="0" w:line="360" w:lineRule="auto"/>
        <w:contextualSpacing/>
        <w:jc w:val="both"/>
        <w:rPr>
          <w:rFonts w:ascii="Palatino Linotype" w:eastAsia="Calibri" w:hAnsi="Palatino Linotype" w:cs="Arial"/>
          <w:sz w:val="24"/>
          <w:szCs w:val="24"/>
          <w:lang w:val="es-ES_tradnl"/>
        </w:rPr>
      </w:pP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lang w:eastAsia="es-ES"/>
        </w:rPr>
      </w:pPr>
      <w:r w:rsidRPr="00487141">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487141">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lang w:eastAsia="es-ES"/>
        </w:rPr>
      </w:pP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Expedientes:</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2440/07 Comisión Federal de Electricidad - Alonso Lujambio Irazábal</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0113/09 Instituto de Seguridad y Servicios Sociales de los Trabajadores del</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Estado – Alonso Lujambio Irazábal</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 xml:space="preserve">1624/09 Instituto Nacional para la Educación de los Adultos - María </w:t>
      </w:r>
      <w:proofErr w:type="spellStart"/>
      <w:r w:rsidRPr="00487141">
        <w:rPr>
          <w:rFonts w:ascii="Palatino Linotype" w:eastAsia="MS Mincho" w:hAnsi="Palatino Linotype" w:cs="Arial"/>
          <w:i/>
          <w:sz w:val="20"/>
          <w:lang w:eastAsia="es-ES"/>
        </w:rPr>
        <w:t>Marván</w:t>
      </w:r>
      <w:proofErr w:type="spellEnd"/>
      <w:r w:rsidRPr="00487141">
        <w:rPr>
          <w:rFonts w:ascii="Palatino Linotype" w:eastAsia="MS Mincho" w:hAnsi="Palatino Linotype" w:cs="Arial"/>
          <w:i/>
          <w:sz w:val="20"/>
          <w:lang w:eastAsia="es-ES"/>
        </w:rPr>
        <w:t xml:space="preserve"> Laborde</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 xml:space="preserve">2395/09 Secretaría de Economía - María </w:t>
      </w:r>
      <w:proofErr w:type="spellStart"/>
      <w:r w:rsidRPr="00487141">
        <w:rPr>
          <w:rFonts w:ascii="Palatino Linotype" w:eastAsia="MS Mincho" w:hAnsi="Palatino Linotype" w:cs="Arial"/>
          <w:i/>
          <w:sz w:val="20"/>
          <w:lang w:eastAsia="es-ES"/>
        </w:rPr>
        <w:t>Marván</w:t>
      </w:r>
      <w:proofErr w:type="spellEnd"/>
      <w:r w:rsidRPr="00487141">
        <w:rPr>
          <w:rFonts w:ascii="Palatino Linotype" w:eastAsia="MS Mincho" w:hAnsi="Palatino Linotype" w:cs="Arial"/>
          <w:i/>
          <w:sz w:val="20"/>
          <w:lang w:eastAsia="es-ES"/>
        </w:rPr>
        <w:t xml:space="preserve"> Laborde</w:t>
      </w:r>
    </w:p>
    <w:p w:rsidR="00BE6CED" w:rsidRPr="00487141" w:rsidRDefault="00BE6CED" w:rsidP="00BE6CE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487141">
        <w:rPr>
          <w:rFonts w:ascii="Palatino Linotype" w:eastAsia="MS Mincho" w:hAnsi="Palatino Linotype" w:cs="Arial"/>
          <w:i/>
          <w:sz w:val="20"/>
          <w:lang w:eastAsia="es-ES"/>
        </w:rPr>
        <w:t xml:space="preserve">0837/10 Administración Portuaria Integral de Veracruz, S.A. de C.V. – María </w:t>
      </w:r>
      <w:proofErr w:type="spellStart"/>
      <w:r w:rsidRPr="00487141">
        <w:rPr>
          <w:rFonts w:ascii="Palatino Linotype" w:eastAsia="MS Mincho" w:hAnsi="Palatino Linotype" w:cs="Arial"/>
          <w:i/>
          <w:sz w:val="20"/>
          <w:lang w:eastAsia="es-ES"/>
        </w:rPr>
        <w:t>Marván</w:t>
      </w:r>
      <w:proofErr w:type="spellEnd"/>
      <w:r w:rsidRPr="00487141">
        <w:rPr>
          <w:rFonts w:ascii="Palatino Linotype" w:eastAsia="MS Mincho" w:hAnsi="Palatino Linotype" w:cs="Arial"/>
          <w:i/>
          <w:sz w:val="20"/>
          <w:lang w:eastAsia="es-ES"/>
        </w:rPr>
        <w:t xml:space="preserve"> Laborde.</w:t>
      </w:r>
    </w:p>
    <w:p w:rsidR="00BE6CED" w:rsidRPr="00487141" w:rsidRDefault="00BE6CED" w:rsidP="00BE6CED">
      <w:pPr>
        <w:tabs>
          <w:tab w:val="left" w:pos="709"/>
        </w:tabs>
        <w:spacing w:after="0" w:line="360" w:lineRule="auto"/>
        <w:jc w:val="both"/>
        <w:rPr>
          <w:rFonts w:ascii="Palatino Linotype" w:hAnsi="Palatino Linotype"/>
          <w:sz w:val="24"/>
          <w:szCs w:val="24"/>
        </w:rPr>
      </w:pPr>
    </w:p>
    <w:p w:rsidR="00AC78F3" w:rsidRDefault="00BE6CED" w:rsidP="00BE6CED">
      <w:pPr>
        <w:tabs>
          <w:tab w:val="left" w:pos="709"/>
        </w:tabs>
        <w:spacing w:after="0" w:line="360" w:lineRule="auto"/>
        <w:jc w:val="both"/>
        <w:rPr>
          <w:rFonts w:ascii="Palatino Linotype" w:hAnsi="Palatino Linotype"/>
          <w:sz w:val="24"/>
          <w:szCs w:val="24"/>
        </w:rPr>
      </w:pPr>
      <w:r w:rsidRPr="00487141">
        <w:rPr>
          <w:rFonts w:ascii="Palatino Linotype" w:hAnsi="Palatino Linotype"/>
          <w:sz w:val="24"/>
          <w:szCs w:val="24"/>
        </w:rPr>
        <w:t xml:space="preserve">En síntesis, al no existir el acto generador de la información, el </w:t>
      </w:r>
      <w:r w:rsidRPr="00487141">
        <w:rPr>
          <w:rFonts w:ascii="Palatino Linotype" w:hAnsi="Palatino Linotype"/>
          <w:b/>
          <w:sz w:val="24"/>
          <w:szCs w:val="24"/>
        </w:rPr>
        <w:t>sujeto obligado</w:t>
      </w:r>
      <w:r w:rsidRPr="00487141">
        <w:rPr>
          <w:rFonts w:ascii="Palatino Linotype" w:hAnsi="Palatino Linotype"/>
          <w:sz w:val="24"/>
          <w:szCs w:val="24"/>
        </w:rPr>
        <w:t xml:space="preserve"> no se encuentra obligado a la entrega de información que no obra en sus archivos, resultando dable tenerse por colmado el punto</w:t>
      </w:r>
      <w:r w:rsidRPr="00487141">
        <w:rPr>
          <w:rFonts w:ascii="Palatino Linotype" w:hAnsi="Palatino Linotype"/>
          <w:sz w:val="28"/>
          <w:szCs w:val="24"/>
        </w:rPr>
        <w:t xml:space="preserve"> </w:t>
      </w:r>
      <w:r w:rsidRPr="00487141">
        <w:rPr>
          <w:rFonts w:ascii="Palatino Linotype" w:hAnsi="Palatino Linotype"/>
          <w:sz w:val="24"/>
          <w:szCs w:val="24"/>
        </w:rPr>
        <w:t>que han sido objeto de análisis en las líneas que anteceden.</w:t>
      </w:r>
    </w:p>
    <w:p w:rsidR="00BE6CED" w:rsidRPr="00BE6CED" w:rsidRDefault="00BE6CED" w:rsidP="00BE6CED">
      <w:pPr>
        <w:tabs>
          <w:tab w:val="left" w:pos="709"/>
        </w:tabs>
        <w:spacing w:after="0" w:line="360" w:lineRule="auto"/>
        <w:jc w:val="both"/>
        <w:rPr>
          <w:rFonts w:ascii="Palatino Linotype" w:hAnsi="Palatino Linotype"/>
          <w:sz w:val="24"/>
          <w:szCs w:val="24"/>
        </w:rPr>
      </w:pPr>
    </w:p>
    <w:p w:rsidR="008A5038" w:rsidRPr="008A5038" w:rsidRDefault="002B7B6D" w:rsidP="008A5038">
      <w:pPr>
        <w:pStyle w:val="Sinespaciado"/>
        <w:spacing w:line="360" w:lineRule="auto"/>
        <w:jc w:val="both"/>
        <w:rPr>
          <w:rFonts w:ascii="Palatino Linotype" w:hAnsi="Palatino Linotype"/>
        </w:rPr>
      </w:pPr>
      <w:r>
        <w:rPr>
          <w:rFonts w:ascii="Palatino Linotype" w:hAnsi="Palatino Linotype"/>
        </w:rPr>
        <w:lastRenderedPageBreak/>
        <w:t>En contraste, en caso de no contar con la certificación de com</w:t>
      </w:r>
      <w:r w:rsidR="00BE6CED">
        <w:rPr>
          <w:rFonts w:ascii="Palatino Linotype" w:hAnsi="Palatino Linotype"/>
        </w:rPr>
        <w:t>petencia laboral del</w:t>
      </w:r>
      <w:r w:rsidR="008A5038">
        <w:rPr>
          <w:rFonts w:ascii="Palatino Linotype" w:hAnsi="Palatino Linotype"/>
        </w:rPr>
        <w:t xml:space="preserve"> Tesorero y Contralor Municipal</w:t>
      </w:r>
      <w:r>
        <w:rPr>
          <w:rFonts w:ascii="Palatino Linotype" w:hAnsi="Palatino Linotype"/>
        </w:rPr>
        <w:t xml:space="preserve">, </w:t>
      </w:r>
      <w:r w:rsidR="008A5038">
        <w:rPr>
          <w:rFonts w:ascii="Palatino Linotype" w:hAnsi="Palatino Linotype"/>
        </w:rPr>
        <w:t>resulta procedente la entrega de la declaratoria de inexistencia</w:t>
      </w:r>
      <w:r>
        <w:rPr>
          <w:rFonts w:ascii="Palatino Linotype" w:hAnsi="Palatino Linotype"/>
        </w:rPr>
        <w:t xml:space="preserve"> al momento de dar cumplimiento a la presente resolución.</w:t>
      </w:r>
    </w:p>
    <w:p w:rsidR="008A5038" w:rsidRPr="001D40EA" w:rsidRDefault="008A5038" w:rsidP="008A5038">
      <w:pPr>
        <w:pStyle w:val="Sinespaciado"/>
        <w:numPr>
          <w:ilvl w:val="0"/>
          <w:numId w:val="11"/>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rsidR="008A5038" w:rsidRPr="005D44D1" w:rsidRDefault="008A5038" w:rsidP="008A5038">
      <w:pPr>
        <w:tabs>
          <w:tab w:val="left" w:pos="709"/>
        </w:tabs>
        <w:spacing w:after="0" w:line="360" w:lineRule="auto"/>
        <w:jc w:val="both"/>
        <w:rPr>
          <w:rFonts w:ascii="Palatino Linotype" w:hAnsi="Palatino Linotype"/>
          <w:sz w:val="24"/>
          <w:szCs w:val="24"/>
        </w:rPr>
      </w:pPr>
      <w:r w:rsidRPr="005D44D1">
        <w:rPr>
          <w:rFonts w:ascii="Palatino Linotype" w:hAnsi="Palatino Linotype"/>
          <w:sz w:val="24"/>
          <w:szCs w:val="24"/>
        </w:rPr>
        <w:t xml:space="preserve">Ahora bien, en la hipótesis de que </w:t>
      </w:r>
      <w:r w:rsidRPr="005D44D1">
        <w:rPr>
          <w:rFonts w:ascii="Palatino Linotype" w:hAnsi="Palatino Linotype"/>
          <w:b/>
          <w:sz w:val="24"/>
          <w:szCs w:val="24"/>
        </w:rPr>
        <w:t>El Sujeto Obligado</w:t>
      </w:r>
      <w:r w:rsidRPr="005D44D1">
        <w:rPr>
          <w:rFonts w:ascii="Palatino Linotype" w:hAnsi="Palatino Linotype"/>
          <w:sz w:val="24"/>
          <w:szCs w:val="24"/>
        </w:rPr>
        <w:t xml:space="preserve"> no cuente con las certificaciones de competencia laboral del Contralor y los Directores de Desarrollo Económico, Desarrollo Urbano y Ecología y/o equivalentes, éste deberá elaborar el acuerdo que contenga la declaratoria de la inexistencia de la información. </w:t>
      </w:r>
    </w:p>
    <w:p w:rsidR="008A5038" w:rsidRDefault="008A5038" w:rsidP="008A5038">
      <w:pPr>
        <w:tabs>
          <w:tab w:val="left" w:pos="709"/>
        </w:tabs>
        <w:spacing w:after="0" w:line="360" w:lineRule="auto"/>
        <w:jc w:val="both"/>
        <w:rPr>
          <w:rFonts w:ascii="Palatino Linotype" w:hAnsi="Palatino Linotype"/>
          <w:sz w:val="24"/>
          <w:szCs w:val="24"/>
        </w:rPr>
      </w:pPr>
    </w:p>
    <w:p w:rsidR="008A5038" w:rsidRDefault="008A5038" w:rsidP="008A503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8A5038" w:rsidRPr="00A975A3" w:rsidRDefault="008A5038" w:rsidP="008A503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rsidR="008A5038" w:rsidRPr="00A975A3" w:rsidRDefault="008A5038" w:rsidP="008A5038">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rsidR="008A5038" w:rsidRPr="00A975A3" w:rsidRDefault="008A5038" w:rsidP="008A503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rsidR="008A5038" w:rsidRPr="00A975A3" w:rsidRDefault="008A5038" w:rsidP="008A503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8A5038" w:rsidRPr="00A975A3" w:rsidRDefault="008A5038" w:rsidP="008A5038">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rsidR="008A5038" w:rsidRDefault="008A5038" w:rsidP="008A5038">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rsidR="008A5038" w:rsidRPr="00ED4EF2" w:rsidRDefault="008A5038" w:rsidP="008A5038">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rsidR="008A5038" w:rsidRPr="00A975A3" w:rsidRDefault="008A5038" w:rsidP="008A503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rsidR="008A5038" w:rsidRPr="00A975A3" w:rsidRDefault="008A5038" w:rsidP="008A503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rsidR="008A5038" w:rsidRPr="00A975A3" w:rsidRDefault="008A5038" w:rsidP="008A503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A5038" w:rsidRPr="00A975A3" w:rsidRDefault="008A5038" w:rsidP="008A5038">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rsidR="008A5038" w:rsidRPr="00A975A3" w:rsidRDefault="008A5038" w:rsidP="008A5038">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rsidR="008A5038" w:rsidRPr="00A975A3" w:rsidRDefault="008A5038" w:rsidP="008A5038">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Este plazo podrá ampliarse hasta por otros siete días hábiles, siempre que existan razones para ello, debiendo notificarse por escrito al solicitante.</w:t>
      </w:r>
    </w:p>
    <w:p w:rsidR="008A5038" w:rsidRPr="00347306" w:rsidRDefault="008A5038" w:rsidP="008A5038">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rsidR="008A5038" w:rsidRPr="00A975A3" w:rsidRDefault="008A5038" w:rsidP="008A5038">
      <w:pPr>
        <w:tabs>
          <w:tab w:val="left" w:pos="709"/>
        </w:tabs>
        <w:spacing w:after="0" w:line="240" w:lineRule="auto"/>
        <w:ind w:left="567" w:right="567"/>
        <w:jc w:val="both"/>
        <w:rPr>
          <w:rFonts w:ascii="Palatino Linotype" w:hAnsi="Palatino Linotype"/>
          <w:i/>
          <w:szCs w:val="24"/>
        </w:rPr>
      </w:pPr>
    </w:p>
    <w:p w:rsidR="008A5038" w:rsidRPr="00A975A3" w:rsidRDefault="008A5038" w:rsidP="008A5038">
      <w:pPr>
        <w:tabs>
          <w:tab w:val="left" w:pos="709"/>
        </w:tabs>
        <w:spacing w:after="0" w:line="240" w:lineRule="auto"/>
        <w:ind w:left="567" w:right="567"/>
        <w:jc w:val="both"/>
        <w:rPr>
          <w:rFonts w:ascii="Palatino Linotype" w:hAnsi="Palatino Linotype"/>
          <w:i/>
          <w:szCs w:val="24"/>
        </w:rPr>
      </w:pPr>
    </w:p>
    <w:p w:rsidR="008A5038" w:rsidRDefault="008A5038" w:rsidP="008A503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rsidR="008A5038" w:rsidRDefault="008A5038" w:rsidP="008A5038">
      <w:pPr>
        <w:tabs>
          <w:tab w:val="left" w:pos="709"/>
        </w:tabs>
        <w:spacing w:after="0" w:line="360" w:lineRule="auto"/>
        <w:jc w:val="both"/>
        <w:rPr>
          <w:rFonts w:ascii="Palatino Linotype" w:hAnsi="Palatino Linotype"/>
        </w:rPr>
      </w:pPr>
    </w:p>
    <w:p w:rsidR="008A5038" w:rsidRDefault="008A5038" w:rsidP="008A5038">
      <w:pPr>
        <w:pStyle w:val="Prrafodelista"/>
        <w:numPr>
          <w:ilvl w:val="0"/>
          <w:numId w:val="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rsidR="008A5038" w:rsidRPr="001571EB" w:rsidRDefault="008A5038" w:rsidP="008A503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8A5038" w:rsidRPr="00E60DEF" w:rsidRDefault="008A5038" w:rsidP="008A503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8A5038" w:rsidRPr="00E60DEF" w:rsidRDefault="008A5038" w:rsidP="008A503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8A5038" w:rsidRPr="001571EB" w:rsidRDefault="008A5038" w:rsidP="008A503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8A5038" w:rsidRPr="001571EB" w:rsidRDefault="008A5038" w:rsidP="008A503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8A5038" w:rsidRPr="001571EB" w:rsidRDefault="008A5038" w:rsidP="008A503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8A5038" w:rsidRPr="001571EB" w:rsidRDefault="008A5038" w:rsidP="008A503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8A5038" w:rsidRPr="001571EB" w:rsidRDefault="008A5038" w:rsidP="008A503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8A5038" w:rsidRPr="001571EB" w:rsidRDefault="008A5038" w:rsidP="008A503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8A5038" w:rsidRPr="001571EB" w:rsidRDefault="008A5038" w:rsidP="008A503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8A5038" w:rsidRPr="00E60DEF" w:rsidRDefault="008A5038" w:rsidP="008A503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8A5038" w:rsidRPr="001571EB" w:rsidRDefault="008A5038" w:rsidP="008A5038">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rsidR="008A5038" w:rsidRPr="00E60DEF" w:rsidRDefault="008A5038" w:rsidP="008A503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8A5038" w:rsidRPr="001571EB" w:rsidRDefault="008A5038" w:rsidP="008A5038">
      <w:pPr>
        <w:spacing w:line="240" w:lineRule="auto"/>
        <w:ind w:left="851" w:right="851"/>
        <w:jc w:val="both"/>
        <w:rPr>
          <w:rFonts w:ascii="Palatino Linotype" w:hAnsi="Palatino Linotype" w:cs="Arial"/>
          <w:b/>
          <w:i/>
          <w:u w:val="single"/>
        </w:rPr>
      </w:pPr>
    </w:p>
    <w:p w:rsidR="008A5038" w:rsidRPr="001571EB" w:rsidRDefault="008A5038" w:rsidP="008A503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B22B39">
        <w:rPr>
          <w:rFonts w:ascii="Palatino Linotype" w:eastAsia="Arial Unicode MS" w:hAnsi="Palatino Linotype" w:cs="Arial"/>
          <w:b/>
          <w:sz w:val="24"/>
          <w:szCs w:val="24"/>
          <w:u w:val="single"/>
        </w:rPr>
        <w:t>la fotografía del Servidor Público,</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8A5038" w:rsidRPr="001571EB" w:rsidRDefault="008A5038" w:rsidP="008A50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A5038" w:rsidRPr="001571EB" w:rsidRDefault="008A5038" w:rsidP="008A503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A5038" w:rsidRPr="001571EB" w:rsidRDefault="008A5038" w:rsidP="008A503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8A5038" w:rsidRPr="001571EB" w:rsidRDefault="008A5038" w:rsidP="008A5038">
      <w:pPr>
        <w:autoSpaceDE w:val="0"/>
        <w:autoSpaceDN w:val="0"/>
        <w:adjustRightInd w:val="0"/>
        <w:spacing w:before="120" w:after="120"/>
        <w:ind w:left="567" w:right="850"/>
        <w:jc w:val="both"/>
        <w:rPr>
          <w:rFonts w:ascii="Palatino Linotype" w:eastAsia="Times New Roman" w:hAnsi="Palatino Linotype" w:cs="Arial"/>
          <w:i/>
        </w:rPr>
      </w:pPr>
    </w:p>
    <w:p w:rsidR="008A5038" w:rsidRPr="001571EB" w:rsidRDefault="008A5038" w:rsidP="008A503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8A5038" w:rsidRPr="001571EB" w:rsidRDefault="008A5038" w:rsidP="008A503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rsidR="008A5038" w:rsidRPr="001571EB" w:rsidRDefault="008A5038" w:rsidP="008A503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8A5038" w:rsidRPr="001571EB" w:rsidRDefault="008A5038" w:rsidP="008A50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rsidR="008A5038" w:rsidRPr="001571EB" w:rsidRDefault="008A5038" w:rsidP="008A5038">
      <w:pPr>
        <w:spacing w:after="0" w:line="360" w:lineRule="auto"/>
        <w:jc w:val="both"/>
        <w:rPr>
          <w:rFonts w:ascii="Palatino Linotype" w:hAnsi="Palatino Linotype" w:cs="Arial"/>
        </w:rPr>
      </w:pPr>
    </w:p>
    <w:p w:rsidR="008A5038" w:rsidRDefault="008A5038" w:rsidP="008A503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8A5038" w:rsidRPr="009A7912" w:rsidRDefault="008A5038" w:rsidP="008A503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Pr="008A5038">
        <w:rPr>
          <w:rFonts w:ascii="Palatino Linotype" w:hAnsi="Palatino Linotype"/>
          <w:b/>
        </w:rPr>
        <w:t>00063/IXTASAL/IP/2020</w:t>
      </w:r>
      <w:r>
        <w:rPr>
          <w:rFonts w:ascii="Palatino Linotype" w:hAnsi="Palatino Linotype"/>
          <w:b/>
        </w:rPr>
        <w:t xml:space="preserve"> </w:t>
      </w:r>
      <w:r>
        <w:rPr>
          <w:rFonts w:ascii="Palatino Linotype" w:hAnsi="Palatino Linotype"/>
        </w:rPr>
        <w:t xml:space="preserve">que ha sido materia del presente fallo. </w:t>
      </w:r>
    </w:p>
    <w:p w:rsidR="008A5038" w:rsidRDefault="008A5038" w:rsidP="008A5038">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rsidR="008A5038" w:rsidRDefault="008A5038" w:rsidP="008A5038">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rsidR="002F06E4" w:rsidRPr="00D05C83" w:rsidRDefault="002F06E4" w:rsidP="002F06E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2F06E4" w:rsidRDefault="002F06E4" w:rsidP="002F06E4">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740078">
        <w:rPr>
          <w:rFonts w:ascii="Palatino Linotype" w:hAnsi="Palatino Linotype" w:cs="Arial"/>
          <w:b/>
          <w:sz w:val="24"/>
          <w:szCs w:val="24"/>
        </w:rPr>
        <w:t>REVOCA</w:t>
      </w:r>
      <w:r>
        <w:rPr>
          <w:rFonts w:ascii="Palatino Linotype" w:hAnsi="Palatino Linotype" w:cs="Arial"/>
          <w:b/>
          <w:sz w:val="24"/>
          <w:szCs w:val="24"/>
        </w:rPr>
        <w:t xml:space="preserve">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008A5038" w:rsidRPr="008A5038">
        <w:rPr>
          <w:rFonts w:ascii="Palatino Linotype" w:hAnsi="Palatino Linotype" w:cs="Arial"/>
          <w:b/>
          <w:sz w:val="24"/>
        </w:rPr>
        <w:t>00063/IXTASAL/IP/2020</w:t>
      </w:r>
      <w:r>
        <w:rPr>
          <w:rFonts w:ascii="Palatino Linotype" w:hAnsi="Palatino Linotype" w:cs="Arial"/>
          <w:b/>
          <w:sz w:val="24"/>
          <w:szCs w:val="24"/>
        </w:rPr>
        <w:t xml:space="preserve">, </w:t>
      </w:r>
      <w:r w:rsidR="000F311C">
        <w:rPr>
          <w:rFonts w:ascii="Palatino Linotype" w:hAnsi="Palatino Linotype" w:cs="Arial"/>
          <w:sz w:val="24"/>
          <w:szCs w:val="24"/>
        </w:rPr>
        <w:t>por resultar</w:t>
      </w:r>
      <w:r>
        <w:rPr>
          <w:rFonts w:ascii="Palatino Linotype" w:hAnsi="Palatino Linotype" w:cs="Arial"/>
          <w:sz w:val="24"/>
          <w:szCs w:val="24"/>
        </w:rPr>
        <w:t xml:space="preserv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rsidR="002F06E4" w:rsidRDefault="002F06E4" w:rsidP="002F06E4">
      <w:pPr>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que realice una búsqueda exhaustiva y razonable</w:t>
      </w:r>
      <w:r>
        <w:rPr>
          <w:rFonts w:ascii="Palatino Linotype" w:hAnsi="Palatino Linotype" w:cs="Arial"/>
          <w:b/>
          <w:sz w:val="24"/>
          <w:szCs w:val="24"/>
        </w:rPr>
        <w:t xml:space="preserve"> </w:t>
      </w:r>
      <w:r w:rsidRPr="00740078">
        <w:rPr>
          <w:rFonts w:ascii="Palatino Linotype" w:hAnsi="Palatino Linotype" w:cs="Arial"/>
          <w:sz w:val="24"/>
          <w:szCs w:val="24"/>
        </w:rPr>
        <w:t>y</w:t>
      </w:r>
      <w:r>
        <w:rPr>
          <w:rFonts w:ascii="Palatino Linotype" w:hAnsi="Palatino Linotype" w:cs="Arial"/>
          <w:b/>
          <w:sz w:val="24"/>
          <w:szCs w:val="24"/>
        </w:rPr>
        <w:t xml:space="preserve"> </w:t>
      </w:r>
      <w:r>
        <w:rPr>
          <w:rFonts w:ascii="Palatino Linotype" w:hAnsi="Palatino Linotype" w:cs="Arial"/>
          <w:sz w:val="24"/>
          <w:szCs w:val="24"/>
        </w:rPr>
        <w:t xml:space="preserve">haga entrega a </w:t>
      </w:r>
      <w:r>
        <w:rPr>
          <w:rFonts w:ascii="Palatino Linotype" w:hAnsi="Palatino Linotype" w:cs="Arial"/>
          <w:b/>
          <w:sz w:val="24"/>
          <w:szCs w:val="24"/>
        </w:rPr>
        <w:t xml:space="preserve">EL RECURRENTE </w:t>
      </w:r>
      <w:r>
        <w:rPr>
          <w:rFonts w:ascii="Palatino Linotype" w:hAnsi="Palatino Linotype" w:cs="Arial"/>
          <w:sz w:val="24"/>
          <w:szCs w:val="24"/>
        </w:rPr>
        <w:t>en versión pública</w:t>
      </w:r>
      <w:r w:rsidR="007129F6">
        <w:rPr>
          <w:rFonts w:ascii="Palatino Linotype" w:hAnsi="Palatino Linotype" w:cs="Arial"/>
          <w:sz w:val="24"/>
          <w:szCs w:val="24"/>
        </w:rPr>
        <w:t xml:space="preserve"> de se</w:t>
      </w:r>
      <w:r w:rsidR="00197EA3">
        <w:rPr>
          <w:rFonts w:ascii="Palatino Linotype" w:hAnsi="Palatino Linotype" w:cs="Arial"/>
          <w:sz w:val="24"/>
          <w:szCs w:val="24"/>
        </w:rPr>
        <w:t>r</w:t>
      </w:r>
      <w:r w:rsidR="007129F6">
        <w:rPr>
          <w:rFonts w:ascii="Palatino Linotype" w:hAnsi="Palatino Linotype" w:cs="Arial"/>
          <w:sz w:val="24"/>
          <w:szCs w:val="24"/>
        </w:rPr>
        <w:t xml:space="preserve"> procedente</w:t>
      </w:r>
      <w:r>
        <w:rPr>
          <w:rFonts w:ascii="Palatino Linotype" w:hAnsi="Palatino Linotype" w:cs="Arial"/>
          <w:sz w:val="24"/>
          <w:szCs w:val="24"/>
        </w:rPr>
        <w:t>, a través del SAIMEX, de lo siguiente:</w:t>
      </w:r>
    </w:p>
    <w:p w:rsidR="00F31D17" w:rsidRDefault="00316705" w:rsidP="00F31D17">
      <w:pPr>
        <w:pStyle w:val="Prrafodelista"/>
        <w:numPr>
          <w:ilvl w:val="0"/>
          <w:numId w:val="10"/>
        </w:numPr>
        <w:spacing w:before="240" w:line="360" w:lineRule="auto"/>
        <w:jc w:val="both"/>
        <w:rPr>
          <w:rFonts w:ascii="Palatino Linotype" w:hAnsi="Palatino Linotype" w:cs="Arial"/>
        </w:rPr>
      </w:pPr>
      <w:r>
        <w:rPr>
          <w:rFonts w:ascii="Palatino Linotype" w:hAnsi="Palatino Linotype"/>
          <w:i/>
          <w:color w:val="000000"/>
        </w:rPr>
        <w:t>Documento o documento donde conste</w:t>
      </w:r>
      <w:r w:rsidRPr="008D2E13">
        <w:rPr>
          <w:rFonts w:ascii="Palatino Linotype" w:hAnsi="Palatino Linotype"/>
          <w:i/>
          <w:color w:val="000000"/>
        </w:rPr>
        <w:t xml:space="preserve"> la</w:t>
      </w:r>
      <w:r w:rsidR="00CC29A6">
        <w:rPr>
          <w:rFonts w:ascii="Palatino Linotype" w:hAnsi="Palatino Linotype"/>
          <w:i/>
          <w:color w:val="000000"/>
        </w:rPr>
        <w:t xml:space="preserve"> experiencia mínima de un año para ocupar el cargo de Contralor Municipa</w:t>
      </w:r>
      <w:r w:rsidR="00F31D17">
        <w:rPr>
          <w:rFonts w:ascii="Palatino Linotype" w:hAnsi="Palatino Linotype"/>
          <w:i/>
        </w:rPr>
        <w:t>l.</w:t>
      </w:r>
      <w:r w:rsidR="00F31D17">
        <w:rPr>
          <w:rFonts w:ascii="Palatino Linotype" w:hAnsi="Palatino Linotype" w:cs="Arial"/>
        </w:rPr>
        <w:t xml:space="preserve"> </w:t>
      </w:r>
    </w:p>
    <w:p w:rsidR="002F06E4" w:rsidRDefault="007129F6" w:rsidP="00343034">
      <w:pPr>
        <w:pStyle w:val="Prrafodelista"/>
        <w:numPr>
          <w:ilvl w:val="0"/>
          <w:numId w:val="10"/>
        </w:numPr>
        <w:spacing w:before="240" w:line="360" w:lineRule="auto"/>
        <w:jc w:val="both"/>
        <w:rPr>
          <w:rFonts w:ascii="Palatino Linotype" w:hAnsi="Palatino Linotype" w:cs="Arial"/>
        </w:rPr>
      </w:pPr>
      <w:r>
        <w:rPr>
          <w:rFonts w:ascii="Palatino Linotype" w:hAnsi="Palatino Linotype"/>
          <w:i/>
        </w:rPr>
        <w:t>Certificación de competencia laboral expedida por el Instituto Hacendario del Estado de México a favor del Tesorero y Contralor Municipal.</w:t>
      </w:r>
      <w:r w:rsidR="00EE2EC7">
        <w:rPr>
          <w:rFonts w:ascii="Palatino Linotype" w:hAnsi="Palatino Linotype" w:cs="Arial"/>
        </w:rPr>
        <w:t xml:space="preserve"> </w:t>
      </w:r>
    </w:p>
    <w:p w:rsidR="006B7BB5" w:rsidRDefault="00867E2F" w:rsidP="00343034">
      <w:pPr>
        <w:spacing w:before="240" w:line="360" w:lineRule="auto"/>
        <w:jc w:val="both"/>
        <w:rPr>
          <w:rFonts w:ascii="Palatino Linotype" w:hAnsi="Palatino Linotype" w:cs="Arial"/>
          <w:i/>
        </w:rPr>
      </w:pPr>
      <w:r w:rsidRPr="00867E2F">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7129F6" w:rsidRPr="007129F6" w:rsidRDefault="00F31D17" w:rsidP="007129F6">
      <w:pPr>
        <w:spacing w:before="240" w:line="360" w:lineRule="auto"/>
        <w:jc w:val="both"/>
        <w:rPr>
          <w:rFonts w:ascii="Palatino Linotype" w:hAnsi="Palatino Linotype" w:cs="Arial"/>
          <w:b/>
          <w:i/>
        </w:rPr>
      </w:pPr>
      <w:r>
        <w:rPr>
          <w:rFonts w:ascii="Palatino Linotype" w:hAnsi="Palatino Linotype" w:cs="Arial"/>
          <w:i/>
        </w:rPr>
        <w:t>En alusión al numeral dos</w:t>
      </w:r>
      <w:r w:rsidR="007129F6" w:rsidRPr="007129F6">
        <w:rPr>
          <w:rFonts w:ascii="Palatino Linotype" w:hAnsi="Palatino Linotype" w:cs="Arial"/>
          <w:b/>
          <w:i/>
        </w:rPr>
        <w:t xml:space="preserve">, </w:t>
      </w:r>
      <w:r w:rsidR="007129F6" w:rsidRPr="007129F6">
        <w:rPr>
          <w:rFonts w:ascii="Palatino Linotype" w:hAnsi="Palatino Linotype" w:cs="Arial"/>
          <w:i/>
        </w:rPr>
        <w:t xml:space="preserve">para el caso de no contar con la certificación de competencia laboral expedida por el Instituto Hacendario del Estado de México, a favor del Tesorero  y Contralor Municipal, </w:t>
      </w:r>
      <w:r w:rsidR="007129F6" w:rsidRPr="007129F6">
        <w:rPr>
          <w:rFonts w:ascii="Palatino Linotype" w:hAnsi="Palatino Linotype" w:cs="Arial"/>
          <w:b/>
          <w:i/>
        </w:rPr>
        <w:t xml:space="preserve">El Sujeto Obligado </w:t>
      </w:r>
      <w:r w:rsidR="007129F6" w:rsidRPr="007129F6">
        <w:rPr>
          <w:rFonts w:ascii="Palatino Linotype" w:hAnsi="Palatino Linotype" w:cs="Arial"/>
          <w:i/>
        </w:rPr>
        <w:t xml:space="preserve">deberá generar y entregar el acuerdo que sustente la inexistencia de la información, en el que se expliquen las razones de por qué no se cuenta con la información, de manera fundada y motivada, en términos del Considerando </w:t>
      </w:r>
      <w:r w:rsidR="007129F6" w:rsidRPr="007129F6">
        <w:rPr>
          <w:rFonts w:ascii="Palatino Linotype" w:hAnsi="Palatino Linotype" w:cs="Arial"/>
          <w:b/>
          <w:i/>
        </w:rPr>
        <w:t xml:space="preserve">CUARTO. </w:t>
      </w:r>
    </w:p>
    <w:p w:rsidR="009945BF" w:rsidRDefault="009945BF" w:rsidP="009945BF">
      <w:pPr>
        <w:pStyle w:val="Textonotapie"/>
      </w:pPr>
    </w:p>
    <w:p w:rsidR="006C140B" w:rsidRPr="00D22D43" w:rsidRDefault="006C140B" w:rsidP="006C140B">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C140B" w:rsidRPr="00D22D43" w:rsidRDefault="006C140B" w:rsidP="009945BF">
      <w:pPr>
        <w:pStyle w:val="Textonotapie"/>
      </w:pPr>
    </w:p>
    <w:p w:rsidR="006C140B" w:rsidRPr="006C140B" w:rsidRDefault="006C140B" w:rsidP="006C140B">
      <w:pPr>
        <w:tabs>
          <w:tab w:val="left" w:pos="3418"/>
        </w:tabs>
        <w:spacing w:before="240" w:line="360" w:lineRule="auto"/>
        <w:jc w:val="both"/>
        <w:rPr>
          <w:rFonts w:ascii="Palatino Linotype" w:hAnsi="Palatino Linotype"/>
          <w:sz w:val="24"/>
        </w:rPr>
      </w:pPr>
      <w:r w:rsidRPr="008359A2">
        <w:rPr>
          <w:rFonts w:ascii="Palatino Linotype" w:hAnsi="Palatino Linotype"/>
          <w:b/>
          <w:sz w:val="24"/>
        </w:rPr>
        <w:t>CUARTO. NOTIFÍQUESE</w:t>
      </w:r>
      <w:r w:rsidRPr="008359A2">
        <w:rPr>
          <w:rFonts w:ascii="Palatino Linotype" w:hAnsi="Palatino Linotype"/>
          <w:sz w:val="24"/>
        </w:rPr>
        <w:t xml:space="preserve"> a El Recurrente la presente resolución</w:t>
      </w:r>
      <w:r w:rsidRPr="008359A2">
        <w:rPr>
          <w:rFonts w:ascii="Palatino Linotype" w:hAnsi="Palatino Linotype"/>
          <w:b/>
          <w:sz w:val="24"/>
        </w:rPr>
        <w:t xml:space="preserve"> </w:t>
      </w:r>
      <w:r w:rsidRPr="008359A2">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F31D17">
        <w:rPr>
          <w:rFonts w:ascii="Palatino Linotype" w:hAnsi="Palatino Linotype" w:cs="Arial"/>
          <w:sz w:val="24"/>
        </w:rPr>
        <w:t>VIGÉSIMA TERCERA</w:t>
      </w:r>
      <w:r w:rsidR="00E1276D">
        <w:rPr>
          <w:rFonts w:ascii="Palatino Linotype" w:hAnsi="Palatino Linotype" w:cs="Arial"/>
          <w:sz w:val="24"/>
        </w:rPr>
        <w:t xml:space="preserve"> </w:t>
      </w:r>
      <w:r w:rsidR="00A00C70">
        <w:rPr>
          <w:rFonts w:ascii="Palatino Linotype" w:hAnsi="Palatino Linotype" w:cs="Arial"/>
          <w:sz w:val="24"/>
        </w:rPr>
        <w:t>SESIÓN</w:t>
      </w:r>
      <w:r w:rsidRPr="00B70902">
        <w:rPr>
          <w:rFonts w:ascii="Palatino Linotype" w:hAnsi="Palatino Linotype" w:cs="Arial"/>
          <w:sz w:val="24"/>
        </w:rPr>
        <w:t xml:space="preserve"> ORDINARIA CELEBRADA EL </w:t>
      </w:r>
      <w:r w:rsidR="00F31D17">
        <w:rPr>
          <w:rFonts w:ascii="Palatino Linotype" w:hAnsi="Palatino Linotype" w:cs="Arial"/>
          <w:sz w:val="24"/>
        </w:rPr>
        <w:t>VEINTIUNO DE OCTUBRE</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9C45CC">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rPr>
                <w:rFonts w:ascii="Palatino Linotype" w:hAnsi="Palatino Linotype"/>
                <w:b/>
              </w:rPr>
            </w:pPr>
          </w:p>
          <w:p w:rsidR="00CC29A6" w:rsidRDefault="00CC29A6" w:rsidP="000101F9">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Zulema Martínez Sánchez</w:t>
            </w:r>
          </w:p>
          <w:p w:rsidR="009C4945" w:rsidRDefault="009C4945" w:rsidP="000101F9">
            <w:pPr>
              <w:pStyle w:val="Sinespaciado"/>
              <w:jc w:val="center"/>
              <w:rPr>
                <w:rFonts w:ascii="Palatino Linotype" w:hAnsi="Palatino Linotype"/>
              </w:rPr>
            </w:pPr>
            <w:r>
              <w:rPr>
                <w:rFonts w:ascii="Palatino Linotype" w:hAnsi="Palatino Linotype"/>
              </w:rPr>
              <w:t>Comisionada Presidenta</w:t>
            </w:r>
          </w:p>
          <w:p w:rsidR="009C4945" w:rsidRDefault="00CE4DDC" w:rsidP="000101F9">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615A60">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Eva Abaid Yapur</w:t>
            </w:r>
          </w:p>
          <w:p w:rsidR="009C4945" w:rsidRDefault="009C4945" w:rsidP="000101F9">
            <w:pPr>
              <w:pStyle w:val="Sinespaciado"/>
              <w:jc w:val="center"/>
              <w:rPr>
                <w:rFonts w:ascii="Palatino Linotype" w:hAnsi="Palatino Linotype"/>
              </w:rPr>
            </w:pPr>
            <w:r>
              <w:rPr>
                <w:rFonts w:ascii="Palatino Linotype" w:hAnsi="Palatino Linotype"/>
              </w:rPr>
              <w:t>Comisionada</w:t>
            </w:r>
          </w:p>
          <w:p w:rsidR="009C4945" w:rsidRDefault="009C4945" w:rsidP="000101F9">
            <w:pPr>
              <w:pStyle w:val="Sinespaciad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615A60">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0101F9">
            <w:pPr>
              <w:pStyle w:val="Sinespaciado"/>
              <w:jc w:val="center"/>
              <w:rPr>
                <w:rFonts w:ascii="Palatino Linotype" w:hAnsi="Palatino Linotype"/>
              </w:rPr>
            </w:pPr>
            <w:r>
              <w:rPr>
                <w:rFonts w:ascii="Palatino Linotype" w:hAnsi="Palatino Linotype"/>
              </w:rPr>
              <w:t>Comisionado</w:t>
            </w:r>
          </w:p>
          <w:p w:rsidR="009C4945" w:rsidRDefault="009C4945" w:rsidP="000101F9">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DC2D36" w:rsidP="000101F9">
            <w:pPr>
              <w:pStyle w:val="Sinespaciado"/>
              <w:spacing w:line="276" w:lineRule="auto"/>
              <w:jc w:val="center"/>
              <w:rPr>
                <w:rFonts w:ascii="Palatino Linotype" w:hAnsi="Palatino Linotype"/>
              </w:rPr>
            </w:pPr>
            <w:r>
              <w:rPr>
                <w:rFonts w:ascii="Palatino Linotype" w:hAnsi="Palatino Linotype"/>
              </w:rPr>
              <w:t>(Ausencia justificada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9062" w:type="dxa"/>
            <w:gridSpan w:val="2"/>
          </w:tcPr>
          <w:p w:rsidR="009C4945" w:rsidRDefault="009C4945" w:rsidP="000101F9">
            <w:pPr>
              <w:pStyle w:val="Sinespaciado"/>
              <w:rPr>
                <w:rFonts w:ascii="Palatino Linotype" w:hAnsi="Palatino Linotype"/>
              </w:rPr>
            </w:pPr>
          </w:p>
        </w:tc>
      </w:tr>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Alexis Tapia Ramírez</w:t>
            </w:r>
          </w:p>
          <w:p w:rsidR="009C4945" w:rsidRDefault="009C4945" w:rsidP="000101F9">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0101F9">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EE2EC7" w:rsidRDefault="00EE2EC7" w:rsidP="00FA19E1">
      <w:pPr>
        <w:spacing w:after="0" w:line="240" w:lineRule="auto"/>
        <w:jc w:val="both"/>
        <w:rPr>
          <w:rFonts w:ascii="Palatino Linotype" w:hAnsi="Palatino Linotype" w:cs="Arial"/>
          <w:sz w:val="18"/>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F31D17">
        <w:rPr>
          <w:rFonts w:ascii="Palatino Linotype" w:hAnsi="Palatino Linotype" w:cs="Arial"/>
          <w:sz w:val="18"/>
          <w:szCs w:val="20"/>
        </w:rPr>
        <w:t xml:space="preserve">veintiuno de </w:t>
      </w:r>
      <w:r w:rsidR="00CC29A6">
        <w:rPr>
          <w:rFonts w:ascii="Palatino Linotype" w:hAnsi="Palatino Linotype" w:cs="Arial"/>
          <w:sz w:val="18"/>
          <w:szCs w:val="20"/>
        </w:rPr>
        <w:t>o</w:t>
      </w:r>
      <w:r w:rsidR="00F31D17">
        <w:rPr>
          <w:rFonts w:ascii="Palatino Linotype" w:hAnsi="Palatino Linotype" w:cs="Arial"/>
          <w:sz w:val="18"/>
          <w:szCs w:val="20"/>
        </w:rPr>
        <w:t>ctubre</w:t>
      </w:r>
      <w:r w:rsidRPr="00601C70">
        <w:rPr>
          <w:rFonts w:ascii="Palatino Linotype" w:hAnsi="Palatino Linotype" w:cs="Arial"/>
          <w:sz w:val="18"/>
          <w:szCs w:val="20"/>
        </w:rPr>
        <w:t xml:space="preserve"> de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9C45CC">
        <w:rPr>
          <w:rFonts w:ascii="Palatino Linotype" w:hAnsi="Palatino Linotype" w:cs="Arial"/>
          <w:bCs/>
          <w:sz w:val="18"/>
          <w:szCs w:val="20"/>
          <w:lang w:eastAsia="es-MX"/>
        </w:rPr>
        <w:t>2910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C52" w:rsidRDefault="005C4C52" w:rsidP="00EF4493">
      <w:pPr>
        <w:spacing w:after="0" w:line="240" w:lineRule="auto"/>
      </w:pPr>
      <w:r>
        <w:separator/>
      </w:r>
    </w:p>
  </w:endnote>
  <w:endnote w:type="continuationSeparator" w:id="0">
    <w:p w:rsidR="005C4C52" w:rsidRDefault="005C4C52"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7F7D">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7F7D">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7F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7F7D">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C52" w:rsidRDefault="005C4C52" w:rsidP="00EF4493">
      <w:pPr>
        <w:spacing w:after="0" w:line="240" w:lineRule="auto"/>
      </w:pPr>
      <w:r>
        <w:separator/>
      </w:r>
    </w:p>
  </w:footnote>
  <w:footnote w:type="continuationSeparator" w:id="0">
    <w:p w:rsidR="005C4C52" w:rsidRDefault="005C4C52" w:rsidP="00EF4493">
      <w:pPr>
        <w:spacing w:after="0" w:line="240" w:lineRule="auto"/>
      </w:pPr>
      <w:r>
        <w:continuationSeparator/>
      </w:r>
    </w:p>
  </w:footnote>
  <w:footnote w:id="1">
    <w:p w:rsidR="00E93715" w:rsidRPr="00615B4B" w:rsidRDefault="00E93715"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93715" w:rsidRPr="00615B4B" w:rsidRDefault="00E93715"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E6CED" w:rsidRPr="00935D10" w:rsidRDefault="00BE6CED" w:rsidP="00BE6CED">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BE6CED" w:rsidRPr="00935D10" w:rsidRDefault="00BE6CED" w:rsidP="00BE6CED">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3D" w:rsidRDefault="005C4C5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71662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Default="005C4C5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716627" o:spid="_x0000_s2051" type="#_x0000_t75" style="position:absolute;margin-left:-87.1pt;margin-top:-117.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8D2E13"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02910</w:t>
          </w:r>
          <w:r w:rsidR="00E93715" w:rsidRPr="006651E0">
            <w:rPr>
              <w:rFonts w:ascii="Palatino Linotype" w:hAnsi="Palatino Linotype" w:cs="Arial"/>
              <w:bCs/>
              <w:sz w:val="24"/>
              <w:lang w:eastAsia="es-MX"/>
            </w:rPr>
            <w:t>/INFOEM/IP/RR/2020</w:t>
          </w:r>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Pr="00F06FED" w:rsidRDefault="008D2E13" w:rsidP="00491469">
          <w:pPr>
            <w:spacing w:after="120" w:line="256" w:lineRule="auto"/>
            <w:ind w:left="639" w:right="214"/>
            <w:jc w:val="both"/>
            <w:rPr>
              <w:rFonts w:ascii="Palatino Linotype" w:hAnsi="Palatino Linotype" w:cs="Arial"/>
            </w:rPr>
          </w:pPr>
          <w:r w:rsidRPr="008D2E13">
            <w:rPr>
              <w:rFonts w:ascii="Palatino Linotype" w:hAnsi="Palatino Linotype" w:cs="Arial"/>
              <w:szCs w:val="20"/>
            </w:rPr>
            <w:t>Ayuntamiento de Ixtapan de la Sal</w:t>
          </w:r>
        </w:p>
      </w:tc>
    </w:tr>
    <w:tr w:rsidR="00E93715" w:rsidTr="006F251D">
      <w:trPr>
        <w:trHeight w:val="342"/>
      </w:trPr>
      <w:tc>
        <w:tcPr>
          <w:tcW w:w="5529" w:type="dxa"/>
          <w:hideMark/>
        </w:tcPr>
        <w:p w:rsidR="00E93715" w:rsidRDefault="00E93715"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E9371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8D2E13" w:rsidP="008D2E1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02910/</w:t>
          </w:r>
          <w:r w:rsidR="00FF3BB5" w:rsidRPr="00FF3BB5">
            <w:rPr>
              <w:rFonts w:ascii="Palatino Linotype" w:hAnsi="Palatino Linotype" w:cs="Arial"/>
              <w:bCs/>
              <w:sz w:val="24"/>
              <w:lang w:eastAsia="es-MX"/>
            </w:rPr>
            <w:t>INFOEM/IP/RR/2020</w:t>
          </w:r>
        </w:p>
      </w:tc>
    </w:tr>
    <w:tr w:rsidR="00E93715" w:rsidTr="006F251D">
      <w:trPr>
        <w:trHeight w:val="196"/>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93715" w:rsidRPr="00F06FED" w:rsidRDefault="00437F7D" w:rsidP="00DA5E3B">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w:t>
          </w:r>
          <w:proofErr w:type="spellEnd"/>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Default="008D2E13" w:rsidP="007B1430">
          <w:pPr>
            <w:spacing w:after="120" w:line="256" w:lineRule="auto"/>
            <w:ind w:left="639" w:right="214"/>
            <w:jc w:val="both"/>
            <w:rPr>
              <w:rFonts w:ascii="Palatino Linotype" w:hAnsi="Palatino Linotype" w:cs="Arial"/>
              <w:szCs w:val="20"/>
            </w:rPr>
          </w:pPr>
          <w:r w:rsidRPr="008D2E13">
            <w:rPr>
              <w:rFonts w:ascii="Palatino Linotype" w:hAnsi="Palatino Linotype" w:cs="Arial"/>
              <w:szCs w:val="20"/>
            </w:rPr>
            <w:t>Ayuntamiento de Ixtapan de la Sal</w:t>
          </w:r>
        </w:p>
      </w:tc>
    </w:tr>
    <w:tr w:rsidR="00E93715" w:rsidTr="006F251D">
      <w:trPr>
        <w:trHeight w:val="342"/>
      </w:trPr>
      <w:tc>
        <w:tcPr>
          <w:tcW w:w="5529" w:type="dxa"/>
          <w:hideMark/>
        </w:tcPr>
        <w:p w:rsidR="00E93715" w:rsidRDefault="00E93715"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5C4C5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716625" o:spid="_x0000_s2049" type="#_x0000_t75" style="position:absolute;margin-left:-84.1pt;margin-top:-132.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F5B"/>
    <w:multiLevelType w:val="hybridMultilevel"/>
    <w:tmpl w:val="C8D05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1815C5"/>
    <w:multiLevelType w:val="hybridMultilevel"/>
    <w:tmpl w:val="691A7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8211A2"/>
    <w:multiLevelType w:val="hybridMultilevel"/>
    <w:tmpl w:val="AA24D156"/>
    <w:lvl w:ilvl="0" w:tplc="B82C16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49A3B75"/>
    <w:multiLevelType w:val="hybridMultilevel"/>
    <w:tmpl w:val="712C0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7515958"/>
    <w:multiLevelType w:val="hybridMultilevel"/>
    <w:tmpl w:val="CE727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6"/>
  </w:num>
  <w:num w:numId="2">
    <w:abstractNumId w:val="4"/>
  </w:num>
  <w:num w:numId="3">
    <w:abstractNumId w:val="2"/>
  </w:num>
  <w:num w:numId="4">
    <w:abstractNumId w:val="5"/>
  </w:num>
  <w:num w:numId="5">
    <w:abstractNumId w:val="10"/>
  </w:num>
  <w:num w:numId="6">
    <w:abstractNumId w:val="0"/>
  </w:num>
  <w:num w:numId="7">
    <w:abstractNumId w:val="1"/>
  </w:num>
  <w:num w:numId="8">
    <w:abstractNumId w:val="12"/>
  </w:num>
  <w:num w:numId="9">
    <w:abstractNumId w:val="8"/>
  </w:num>
  <w:num w:numId="10">
    <w:abstractNumId w:val="3"/>
  </w:num>
  <w:num w:numId="11">
    <w:abstractNumId w:val="11"/>
  </w:num>
  <w:num w:numId="12">
    <w:abstractNumId w:val="9"/>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2ED6"/>
    <w:rsid w:val="00003687"/>
    <w:rsid w:val="00005C16"/>
    <w:rsid w:val="000101F9"/>
    <w:rsid w:val="000154EC"/>
    <w:rsid w:val="00020D57"/>
    <w:rsid w:val="000223B8"/>
    <w:rsid w:val="00025E59"/>
    <w:rsid w:val="000272E9"/>
    <w:rsid w:val="00031321"/>
    <w:rsid w:val="000323C7"/>
    <w:rsid w:val="0003514B"/>
    <w:rsid w:val="00035C45"/>
    <w:rsid w:val="00043A95"/>
    <w:rsid w:val="000455D7"/>
    <w:rsid w:val="00046B26"/>
    <w:rsid w:val="000549BE"/>
    <w:rsid w:val="0005633E"/>
    <w:rsid w:val="00061AAF"/>
    <w:rsid w:val="000668B4"/>
    <w:rsid w:val="00067070"/>
    <w:rsid w:val="000702DB"/>
    <w:rsid w:val="00072FBF"/>
    <w:rsid w:val="00073303"/>
    <w:rsid w:val="00074FB2"/>
    <w:rsid w:val="000750D2"/>
    <w:rsid w:val="0008062C"/>
    <w:rsid w:val="00084FFE"/>
    <w:rsid w:val="000851CB"/>
    <w:rsid w:val="00087BFB"/>
    <w:rsid w:val="0009116D"/>
    <w:rsid w:val="000A6046"/>
    <w:rsid w:val="000A7734"/>
    <w:rsid w:val="000B25C6"/>
    <w:rsid w:val="000B39D1"/>
    <w:rsid w:val="000C2696"/>
    <w:rsid w:val="000C3455"/>
    <w:rsid w:val="000D44C3"/>
    <w:rsid w:val="000E1C5C"/>
    <w:rsid w:val="000E2316"/>
    <w:rsid w:val="000E525F"/>
    <w:rsid w:val="000E610B"/>
    <w:rsid w:val="000E7FFE"/>
    <w:rsid w:val="000F1092"/>
    <w:rsid w:val="000F17F6"/>
    <w:rsid w:val="000F2652"/>
    <w:rsid w:val="000F311C"/>
    <w:rsid w:val="000F62E6"/>
    <w:rsid w:val="001027FD"/>
    <w:rsid w:val="001140E5"/>
    <w:rsid w:val="00114686"/>
    <w:rsid w:val="00123B18"/>
    <w:rsid w:val="00123FCF"/>
    <w:rsid w:val="00124E05"/>
    <w:rsid w:val="001278E0"/>
    <w:rsid w:val="00133054"/>
    <w:rsid w:val="00133719"/>
    <w:rsid w:val="00141D93"/>
    <w:rsid w:val="00143ED3"/>
    <w:rsid w:val="00143FF1"/>
    <w:rsid w:val="001459F4"/>
    <w:rsid w:val="00146C74"/>
    <w:rsid w:val="00147AC4"/>
    <w:rsid w:val="001501CA"/>
    <w:rsid w:val="001559F6"/>
    <w:rsid w:val="001567D0"/>
    <w:rsid w:val="00160690"/>
    <w:rsid w:val="00161CFA"/>
    <w:rsid w:val="001628AE"/>
    <w:rsid w:val="00166192"/>
    <w:rsid w:val="001674AD"/>
    <w:rsid w:val="0017021F"/>
    <w:rsid w:val="001774E1"/>
    <w:rsid w:val="00177ACD"/>
    <w:rsid w:val="00181EB4"/>
    <w:rsid w:val="00183C78"/>
    <w:rsid w:val="00185C3A"/>
    <w:rsid w:val="001863A0"/>
    <w:rsid w:val="00187FF4"/>
    <w:rsid w:val="00190B39"/>
    <w:rsid w:val="00197EA3"/>
    <w:rsid w:val="001A4E38"/>
    <w:rsid w:val="001A77A5"/>
    <w:rsid w:val="001C06D7"/>
    <w:rsid w:val="001C1456"/>
    <w:rsid w:val="001C2191"/>
    <w:rsid w:val="001C40AA"/>
    <w:rsid w:val="001C52D9"/>
    <w:rsid w:val="001D038E"/>
    <w:rsid w:val="001D3BC1"/>
    <w:rsid w:val="001D4B3C"/>
    <w:rsid w:val="001D7469"/>
    <w:rsid w:val="001F42BD"/>
    <w:rsid w:val="001F543E"/>
    <w:rsid w:val="001F60A6"/>
    <w:rsid w:val="002027AC"/>
    <w:rsid w:val="002036D9"/>
    <w:rsid w:val="0020497D"/>
    <w:rsid w:val="00207EE0"/>
    <w:rsid w:val="00210721"/>
    <w:rsid w:val="00210DCE"/>
    <w:rsid w:val="002110D5"/>
    <w:rsid w:val="002120CE"/>
    <w:rsid w:val="00220B82"/>
    <w:rsid w:val="00227832"/>
    <w:rsid w:val="00231C6B"/>
    <w:rsid w:val="00250B56"/>
    <w:rsid w:val="00251626"/>
    <w:rsid w:val="00255CDF"/>
    <w:rsid w:val="00260B88"/>
    <w:rsid w:val="00262B58"/>
    <w:rsid w:val="002717C1"/>
    <w:rsid w:val="002743A3"/>
    <w:rsid w:val="00276BC5"/>
    <w:rsid w:val="00277E83"/>
    <w:rsid w:val="002845F3"/>
    <w:rsid w:val="002856C9"/>
    <w:rsid w:val="00286846"/>
    <w:rsid w:val="00287411"/>
    <w:rsid w:val="0029144A"/>
    <w:rsid w:val="002960B6"/>
    <w:rsid w:val="002A447E"/>
    <w:rsid w:val="002A4EF5"/>
    <w:rsid w:val="002A51E6"/>
    <w:rsid w:val="002A5714"/>
    <w:rsid w:val="002B3A66"/>
    <w:rsid w:val="002B4954"/>
    <w:rsid w:val="002B77C7"/>
    <w:rsid w:val="002B7B6D"/>
    <w:rsid w:val="002C65A8"/>
    <w:rsid w:val="002C7DA2"/>
    <w:rsid w:val="002C7E15"/>
    <w:rsid w:val="002D04E8"/>
    <w:rsid w:val="002E1A8F"/>
    <w:rsid w:val="002E1B68"/>
    <w:rsid w:val="002E28EA"/>
    <w:rsid w:val="002E6FB3"/>
    <w:rsid w:val="002F06E4"/>
    <w:rsid w:val="002F2886"/>
    <w:rsid w:val="002F3ADA"/>
    <w:rsid w:val="002F5E6D"/>
    <w:rsid w:val="002F7951"/>
    <w:rsid w:val="002F7FF2"/>
    <w:rsid w:val="00303BEC"/>
    <w:rsid w:val="00304F9F"/>
    <w:rsid w:val="0030776E"/>
    <w:rsid w:val="0031012E"/>
    <w:rsid w:val="003103B6"/>
    <w:rsid w:val="00310E7D"/>
    <w:rsid w:val="003141D1"/>
    <w:rsid w:val="00316104"/>
    <w:rsid w:val="00316705"/>
    <w:rsid w:val="0032101C"/>
    <w:rsid w:val="0032330B"/>
    <w:rsid w:val="00327E40"/>
    <w:rsid w:val="003329A9"/>
    <w:rsid w:val="0033681C"/>
    <w:rsid w:val="00343034"/>
    <w:rsid w:val="00344264"/>
    <w:rsid w:val="00353C65"/>
    <w:rsid w:val="003564CF"/>
    <w:rsid w:val="003609FD"/>
    <w:rsid w:val="00365561"/>
    <w:rsid w:val="0036658A"/>
    <w:rsid w:val="00370AF0"/>
    <w:rsid w:val="003722E8"/>
    <w:rsid w:val="00376EF6"/>
    <w:rsid w:val="00377A48"/>
    <w:rsid w:val="00380242"/>
    <w:rsid w:val="003879E1"/>
    <w:rsid w:val="00390B6D"/>
    <w:rsid w:val="00391352"/>
    <w:rsid w:val="00394FDB"/>
    <w:rsid w:val="003A137F"/>
    <w:rsid w:val="003A1B28"/>
    <w:rsid w:val="003A2954"/>
    <w:rsid w:val="003A3820"/>
    <w:rsid w:val="003A3C75"/>
    <w:rsid w:val="003A787D"/>
    <w:rsid w:val="003B00FD"/>
    <w:rsid w:val="003B443C"/>
    <w:rsid w:val="003B4D1B"/>
    <w:rsid w:val="003C105B"/>
    <w:rsid w:val="003C1C12"/>
    <w:rsid w:val="003C1ED9"/>
    <w:rsid w:val="003D01F1"/>
    <w:rsid w:val="003D4671"/>
    <w:rsid w:val="003E16AE"/>
    <w:rsid w:val="003E233B"/>
    <w:rsid w:val="003E32F9"/>
    <w:rsid w:val="003E33B1"/>
    <w:rsid w:val="003E6C60"/>
    <w:rsid w:val="003E6C68"/>
    <w:rsid w:val="003F1E4A"/>
    <w:rsid w:val="003F3FEE"/>
    <w:rsid w:val="003F43A3"/>
    <w:rsid w:val="00400AFF"/>
    <w:rsid w:val="00404137"/>
    <w:rsid w:val="00410477"/>
    <w:rsid w:val="004114F3"/>
    <w:rsid w:val="00411C6F"/>
    <w:rsid w:val="004128A4"/>
    <w:rsid w:val="004135BB"/>
    <w:rsid w:val="0041680B"/>
    <w:rsid w:val="00423AF9"/>
    <w:rsid w:val="00427AA8"/>
    <w:rsid w:val="00430DD3"/>
    <w:rsid w:val="00434E57"/>
    <w:rsid w:val="00435738"/>
    <w:rsid w:val="00435E0E"/>
    <w:rsid w:val="00437F7D"/>
    <w:rsid w:val="004426F6"/>
    <w:rsid w:val="004448B0"/>
    <w:rsid w:val="0044634A"/>
    <w:rsid w:val="0045507C"/>
    <w:rsid w:val="004633F6"/>
    <w:rsid w:val="004708EE"/>
    <w:rsid w:val="00473DDA"/>
    <w:rsid w:val="0048479E"/>
    <w:rsid w:val="00485556"/>
    <w:rsid w:val="00487B06"/>
    <w:rsid w:val="00490029"/>
    <w:rsid w:val="004901C7"/>
    <w:rsid w:val="004902C5"/>
    <w:rsid w:val="00491469"/>
    <w:rsid w:val="00491A53"/>
    <w:rsid w:val="0049488A"/>
    <w:rsid w:val="00496327"/>
    <w:rsid w:val="00497B50"/>
    <w:rsid w:val="004A0C7A"/>
    <w:rsid w:val="004A2D40"/>
    <w:rsid w:val="004A33D8"/>
    <w:rsid w:val="004B2188"/>
    <w:rsid w:val="004B24C4"/>
    <w:rsid w:val="004B38C2"/>
    <w:rsid w:val="004C0951"/>
    <w:rsid w:val="004C23E1"/>
    <w:rsid w:val="004C4741"/>
    <w:rsid w:val="004C565B"/>
    <w:rsid w:val="004D2A4B"/>
    <w:rsid w:val="004E4272"/>
    <w:rsid w:val="004F3C66"/>
    <w:rsid w:val="0050008F"/>
    <w:rsid w:val="005058EE"/>
    <w:rsid w:val="005106BB"/>
    <w:rsid w:val="00516471"/>
    <w:rsid w:val="00522B00"/>
    <w:rsid w:val="00523984"/>
    <w:rsid w:val="0052707D"/>
    <w:rsid w:val="005372F2"/>
    <w:rsid w:val="005415FD"/>
    <w:rsid w:val="00541AE9"/>
    <w:rsid w:val="0054587B"/>
    <w:rsid w:val="0054678D"/>
    <w:rsid w:val="00551AF7"/>
    <w:rsid w:val="00557339"/>
    <w:rsid w:val="005620C3"/>
    <w:rsid w:val="005655C9"/>
    <w:rsid w:val="00566F05"/>
    <w:rsid w:val="00571386"/>
    <w:rsid w:val="00572B23"/>
    <w:rsid w:val="00575210"/>
    <w:rsid w:val="00592170"/>
    <w:rsid w:val="005926B3"/>
    <w:rsid w:val="00597B1C"/>
    <w:rsid w:val="005A1285"/>
    <w:rsid w:val="005A30DA"/>
    <w:rsid w:val="005A7CA3"/>
    <w:rsid w:val="005B30AE"/>
    <w:rsid w:val="005B3EB0"/>
    <w:rsid w:val="005B4B11"/>
    <w:rsid w:val="005B511D"/>
    <w:rsid w:val="005C330C"/>
    <w:rsid w:val="005C4C52"/>
    <w:rsid w:val="005D40BD"/>
    <w:rsid w:val="005D4C1B"/>
    <w:rsid w:val="005D5E71"/>
    <w:rsid w:val="005E0C62"/>
    <w:rsid w:val="005E360A"/>
    <w:rsid w:val="005E56B2"/>
    <w:rsid w:val="005F035E"/>
    <w:rsid w:val="005F234A"/>
    <w:rsid w:val="005F72A3"/>
    <w:rsid w:val="00604565"/>
    <w:rsid w:val="006046ED"/>
    <w:rsid w:val="00604CF8"/>
    <w:rsid w:val="00606457"/>
    <w:rsid w:val="006066E9"/>
    <w:rsid w:val="00611BCB"/>
    <w:rsid w:val="00615A60"/>
    <w:rsid w:val="00617F82"/>
    <w:rsid w:val="00621391"/>
    <w:rsid w:val="00623949"/>
    <w:rsid w:val="00625EDA"/>
    <w:rsid w:val="006266C5"/>
    <w:rsid w:val="00631B2A"/>
    <w:rsid w:val="006335E2"/>
    <w:rsid w:val="00641E00"/>
    <w:rsid w:val="00646405"/>
    <w:rsid w:val="00656748"/>
    <w:rsid w:val="00656830"/>
    <w:rsid w:val="00656EAC"/>
    <w:rsid w:val="00663771"/>
    <w:rsid w:val="006651E0"/>
    <w:rsid w:val="006707C7"/>
    <w:rsid w:val="006714EC"/>
    <w:rsid w:val="006833C4"/>
    <w:rsid w:val="00690854"/>
    <w:rsid w:val="006923B5"/>
    <w:rsid w:val="00693F76"/>
    <w:rsid w:val="006959D8"/>
    <w:rsid w:val="00696AC0"/>
    <w:rsid w:val="00696FBF"/>
    <w:rsid w:val="006A2C5A"/>
    <w:rsid w:val="006B69DA"/>
    <w:rsid w:val="006B7BB5"/>
    <w:rsid w:val="006B7C2D"/>
    <w:rsid w:val="006C140B"/>
    <w:rsid w:val="006C31E4"/>
    <w:rsid w:val="006C3946"/>
    <w:rsid w:val="006C6DE3"/>
    <w:rsid w:val="006C721E"/>
    <w:rsid w:val="006D5F3C"/>
    <w:rsid w:val="006D6D37"/>
    <w:rsid w:val="006E085D"/>
    <w:rsid w:val="006E2B78"/>
    <w:rsid w:val="006E6F07"/>
    <w:rsid w:val="006E7D79"/>
    <w:rsid w:val="006F0BB2"/>
    <w:rsid w:val="006F1643"/>
    <w:rsid w:val="006F1A6E"/>
    <w:rsid w:val="006F251D"/>
    <w:rsid w:val="006F35F8"/>
    <w:rsid w:val="006F4E68"/>
    <w:rsid w:val="006F635B"/>
    <w:rsid w:val="006F63D2"/>
    <w:rsid w:val="006F7670"/>
    <w:rsid w:val="00700FB0"/>
    <w:rsid w:val="007012AC"/>
    <w:rsid w:val="00703988"/>
    <w:rsid w:val="00704A9A"/>
    <w:rsid w:val="007053F3"/>
    <w:rsid w:val="00706EBB"/>
    <w:rsid w:val="00710CEC"/>
    <w:rsid w:val="007129F6"/>
    <w:rsid w:val="00720773"/>
    <w:rsid w:val="00722D24"/>
    <w:rsid w:val="0072323C"/>
    <w:rsid w:val="00740078"/>
    <w:rsid w:val="00742497"/>
    <w:rsid w:val="00743681"/>
    <w:rsid w:val="007475F2"/>
    <w:rsid w:val="00750698"/>
    <w:rsid w:val="0075439D"/>
    <w:rsid w:val="00757CA3"/>
    <w:rsid w:val="007648DC"/>
    <w:rsid w:val="00770A89"/>
    <w:rsid w:val="00774ECB"/>
    <w:rsid w:val="00781632"/>
    <w:rsid w:val="00784619"/>
    <w:rsid w:val="00786BBF"/>
    <w:rsid w:val="00790136"/>
    <w:rsid w:val="007939F7"/>
    <w:rsid w:val="00795FE8"/>
    <w:rsid w:val="00796DD6"/>
    <w:rsid w:val="007A63AF"/>
    <w:rsid w:val="007B1430"/>
    <w:rsid w:val="007B46FB"/>
    <w:rsid w:val="007B6E82"/>
    <w:rsid w:val="007C2B1C"/>
    <w:rsid w:val="007C4488"/>
    <w:rsid w:val="007C566E"/>
    <w:rsid w:val="007C59D7"/>
    <w:rsid w:val="007C5F74"/>
    <w:rsid w:val="007C789A"/>
    <w:rsid w:val="007D0F08"/>
    <w:rsid w:val="007D1254"/>
    <w:rsid w:val="007D1A37"/>
    <w:rsid w:val="007D4F94"/>
    <w:rsid w:val="007D6A0F"/>
    <w:rsid w:val="007D7767"/>
    <w:rsid w:val="007D7980"/>
    <w:rsid w:val="007E33EF"/>
    <w:rsid w:val="007E45D5"/>
    <w:rsid w:val="007F1776"/>
    <w:rsid w:val="007F3552"/>
    <w:rsid w:val="0080077B"/>
    <w:rsid w:val="00803465"/>
    <w:rsid w:val="0080606F"/>
    <w:rsid w:val="008130C2"/>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14C5"/>
    <w:rsid w:val="008626E3"/>
    <w:rsid w:val="00865796"/>
    <w:rsid w:val="00865A02"/>
    <w:rsid w:val="00867E2F"/>
    <w:rsid w:val="00876281"/>
    <w:rsid w:val="0088020A"/>
    <w:rsid w:val="008860FD"/>
    <w:rsid w:val="008879BC"/>
    <w:rsid w:val="00891463"/>
    <w:rsid w:val="0089166F"/>
    <w:rsid w:val="00891708"/>
    <w:rsid w:val="0089347E"/>
    <w:rsid w:val="00897427"/>
    <w:rsid w:val="008A5038"/>
    <w:rsid w:val="008A7F6E"/>
    <w:rsid w:val="008B2339"/>
    <w:rsid w:val="008B3130"/>
    <w:rsid w:val="008B51AE"/>
    <w:rsid w:val="008B5D3B"/>
    <w:rsid w:val="008C0AB3"/>
    <w:rsid w:val="008C4D12"/>
    <w:rsid w:val="008C53EF"/>
    <w:rsid w:val="008C78E7"/>
    <w:rsid w:val="008C7F9C"/>
    <w:rsid w:val="008D0D13"/>
    <w:rsid w:val="008D16FA"/>
    <w:rsid w:val="008D26B9"/>
    <w:rsid w:val="008D2E13"/>
    <w:rsid w:val="008D6ABC"/>
    <w:rsid w:val="008D7624"/>
    <w:rsid w:val="008E10AA"/>
    <w:rsid w:val="008E4E35"/>
    <w:rsid w:val="008E56F5"/>
    <w:rsid w:val="008F1C12"/>
    <w:rsid w:val="008F606B"/>
    <w:rsid w:val="009017C6"/>
    <w:rsid w:val="00903DAE"/>
    <w:rsid w:val="0091196D"/>
    <w:rsid w:val="00914170"/>
    <w:rsid w:val="00924B4B"/>
    <w:rsid w:val="00924DC7"/>
    <w:rsid w:val="0092546C"/>
    <w:rsid w:val="009257B1"/>
    <w:rsid w:val="009349FF"/>
    <w:rsid w:val="00935CF4"/>
    <w:rsid w:val="00936E9D"/>
    <w:rsid w:val="009414EB"/>
    <w:rsid w:val="009417AD"/>
    <w:rsid w:val="00941D4A"/>
    <w:rsid w:val="0094208C"/>
    <w:rsid w:val="00962E28"/>
    <w:rsid w:val="00967F96"/>
    <w:rsid w:val="009815D9"/>
    <w:rsid w:val="009900EC"/>
    <w:rsid w:val="009945BF"/>
    <w:rsid w:val="00996301"/>
    <w:rsid w:val="009A2E90"/>
    <w:rsid w:val="009A3635"/>
    <w:rsid w:val="009A59A6"/>
    <w:rsid w:val="009A6F0B"/>
    <w:rsid w:val="009B730F"/>
    <w:rsid w:val="009C279F"/>
    <w:rsid w:val="009C45CC"/>
    <w:rsid w:val="009C4945"/>
    <w:rsid w:val="009C51DF"/>
    <w:rsid w:val="009D0D51"/>
    <w:rsid w:val="009D1921"/>
    <w:rsid w:val="009D41B1"/>
    <w:rsid w:val="009D55B4"/>
    <w:rsid w:val="009D6C57"/>
    <w:rsid w:val="009D7191"/>
    <w:rsid w:val="009E055C"/>
    <w:rsid w:val="009E2AA3"/>
    <w:rsid w:val="009E56E2"/>
    <w:rsid w:val="009F67EC"/>
    <w:rsid w:val="00A00C70"/>
    <w:rsid w:val="00A03835"/>
    <w:rsid w:val="00A03B58"/>
    <w:rsid w:val="00A03E4D"/>
    <w:rsid w:val="00A057BB"/>
    <w:rsid w:val="00A16EF7"/>
    <w:rsid w:val="00A20415"/>
    <w:rsid w:val="00A21EE4"/>
    <w:rsid w:val="00A306FD"/>
    <w:rsid w:val="00A41366"/>
    <w:rsid w:val="00A419B5"/>
    <w:rsid w:val="00A441B5"/>
    <w:rsid w:val="00A4463D"/>
    <w:rsid w:val="00A50738"/>
    <w:rsid w:val="00A53A68"/>
    <w:rsid w:val="00A604AA"/>
    <w:rsid w:val="00A62BC0"/>
    <w:rsid w:val="00A630F6"/>
    <w:rsid w:val="00A65136"/>
    <w:rsid w:val="00A73CDB"/>
    <w:rsid w:val="00A748E1"/>
    <w:rsid w:val="00A74C4D"/>
    <w:rsid w:val="00A75C41"/>
    <w:rsid w:val="00A80953"/>
    <w:rsid w:val="00A814BA"/>
    <w:rsid w:val="00A81FB0"/>
    <w:rsid w:val="00A8531C"/>
    <w:rsid w:val="00A9036E"/>
    <w:rsid w:val="00A9262D"/>
    <w:rsid w:val="00A92C7B"/>
    <w:rsid w:val="00A932F8"/>
    <w:rsid w:val="00A955FC"/>
    <w:rsid w:val="00A963E8"/>
    <w:rsid w:val="00AA02EF"/>
    <w:rsid w:val="00AA3F09"/>
    <w:rsid w:val="00AA4865"/>
    <w:rsid w:val="00AB3A14"/>
    <w:rsid w:val="00AC0CA2"/>
    <w:rsid w:val="00AC350F"/>
    <w:rsid w:val="00AC35D6"/>
    <w:rsid w:val="00AC49F3"/>
    <w:rsid w:val="00AC4ABC"/>
    <w:rsid w:val="00AC594B"/>
    <w:rsid w:val="00AC6197"/>
    <w:rsid w:val="00AC78F3"/>
    <w:rsid w:val="00AD2582"/>
    <w:rsid w:val="00AD4321"/>
    <w:rsid w:val="00AD57F0"/>
    <w:rsid w:val="00AF21DC"/>
    <w:rsid w:val="00B03374"/>
    <w:rsid w:val="00B04B51"/>
    <w:rsid w:val="00B053B3"/>
    <w:rsid w:val="00B07099"/>
    <w:rsid w:val="00B07A5A"/>
    <w:rsid w:val="00B1526E"/>
    <w:rsid w:val="00B26046"/>
    <w:rsid w:val="00B26705"/>
    <w:rsid w:val="00B318E3"/>
    <w:rsid w:val="00B32E88"/>
    <w:rsid w:val="00B34EFB"/>
    <w:rsid w:val="00B35538"/>
    <w:rsid w:val="00B35E03"/>
    <w:rsid w:val="00B37493"/>
    <w:rsid w:val="00B457AB"/>
    <w:rsid w:val="00B45AE1"/>
    <w:rsid w:val="00B45E2E"/>
    <w:rsid w:val="00B46895"/>
    <w:rsid w:val="00B469C1"/>
    <w:rsid w:val="00B47FA3"/>
    <w:rsid w:val="00B500F7"/>
    <w:rsid w:val="00B6131D"/>
    <w:rsid w:val="00B621FA"/>
    <w:rsid w:val="00B63291"/>
    <w:rsid w:val="00B6742E"/>
    <w:rsid w:val="00B70902"/>
    <w:rsid w:val="00B73366"/>
    <w:rsid w:val="00B74D3A"/>
    <w:rsid w:val="00B75328"/>
    <w:rsid w:val="00B76544"/>
    <w:rsid w:val="00B800D6"/>
    <w:rsid w:val="00B82722"/>
    <w:rsid w:val="00B83D4D"/>
    <w:rsid w:val="00B83FF4"/>
    <w:rsid w:val="00B8424D"/>
    <w:rsid w:val="00B84B9B"/>
    <w:rsid w:val="00B86F58"/>
    <w:rsid w:val="00B90738"/>
    <w:rsid w:val="00B92681"/>
    <w:rsid w:val="00B9341C"/>
    <w:rsid w:val="00BA0923"/>
    <w:rsid w:val="00BA584E"/>
    <w:rsid w:val="00BA62C6"/>
    <w:rsid w:val="00BB1037"/>
    <w:rsid w:val="00BB17DE"/>
    <w:rsid w:val="00BB24C3"/>
    <w:rsid w:val="00BB502B"/>
    <w:rsid w:val="00BB6A73"/>
    <w:rsid w:val="00BB7992"/>
    <w:rsid w:val="00BC0760"/>
    <w:rsid w:val="00BC4F22"/>
    <w:rsid w:val="00BC692E"/>
    <w:rsid w:val="00BC6B7C"/>
    <w:rsid w:val="00BC7FA3"/>
    <w:rsid w:val="00BD1A2E"/>
    <w:rsid w:val="00BD2EC9"/>
    <w:rsid w:val="00BD4F31"/>
    <w:rsid w:val="00BD7419"/>
    <w:rsid w:val="00BE1411"/>
    <w:rsid w:val="00BE29B4"/>
    <w:rsid w:val="00BE4CAD"/>
    <w:rsid w:val="00BE6CED"/>
    <w:rsid w:val="00BF2097"/>
    <w:rsid w:val="00BF4A39"/>
    <w:rsid w:val="00BF533D"/>
    <w:rsid w:val="00BF61E3"/>
    <w:rsid w:val="00BF658C"/>
    <w:rsid w:val="00C00296"/>
    <w:rsid w:val="00C041F5"/>
    <w:rsid w:val="00C11C06"/>
    <w:rsid w:val="00C211C6"/>
    <w:rsid w:val="00C24F86"/>
    <w:rsid w:val="00C2663F"/>
    <w:rsid w:val="00C27554"/>
    <w:rsid w:val="00C401D1"/>
    <w:rsid w:val="00C41730"/>
    <w:rsid w:val="00C44839"/>
    <w:rsid w:val="00C47430"/>
    <w:rsid w:val="00C525C5"/>
    <w:rsid w:val="00C64549"/>
    <w:rsid w:val="00C67CCC"/>
    <w:rsid w:val="00C74C20"/>
    <w:rsid w:val="00C75866"/>
    <w:rsid w:val="00C83B14"/>
    <w:rsid w:val="00C905EF"/>
    <w:rsid w:val="00C93731"/>
    <w:rsid w:val="00CA26EC"/>
    <w:rsid w:val="00CA40B2"/>
    <w:rsid w:val="00CA48E7"/>
    <w:rsid w:val="00CA61E2"/>
    <w:rsid w:val="00CA72EE"/>
    <w:rsid w:val="00CB0E4A"/>
    <w:rsid w:val="00CB41FD"/>
    <w:rsid w:val="00CB5F5D"/>
    <w:rsid w:val="00CC00E2"/>
    <w:rsid w:val="00CC29A6"/>
    <w:rsid w:val="00CC77BA"/>
    <w:rsid w:val="00CC7D67"/>
    <w:rsid w:val="00CE0859"/>
    <w:rsid w:val="00CE36D4"/>
    <w:rsid w:val="00CE4DDC"/>
    <w:rsid w:val="00CF0277"/>
    <w:rsid w:val="00CF0763"/>
    <w:rsid w:val="00CF3EF8"/>
    <w:rsid w:val="00CF7094"/>
    <w:rsid w:val="00D00C62"/>
    <w:rsid w:val="00D022D7"/>
    <w:rsid w:val="00D023B8"/>
    <w:rsid w:val="00D05398"/>
    <w:rsid w:val="00D11A4A"/>
    <w:rsid w:val="00D11FC6"/>
    <w:rsid w:val="00D12BE5"/>
    <w:rsid w:val="00D142A0"/>
    <w:rsid w:val="00D14420"/>
    <w:rsid w:val="00D15DF8"/>
    <w:rsid w:val="00D17490"/>
    <w:rsid w:val="00D312C4"/>
    <w:rsid w:val="00D34DD4"/>
    <w:rsid w:val="00D415E4"/>
    <w:rsid w:val="00D43C37"/>
    <w:rsid w:val="00D45D1C"/>
    <w:rsid w:val="00D471D0"/>
    <w:rsid w:val="00D472A7"/>
    <w:rsid w:val="00D475DC"/>
    <w:rsid w:val="00D50574"/>
    <w:rsid w:val="00D510AE"/>
    <w:rsid w:val="00D56955"/>
    <w:rsid w:val="00D57C71"/>
    <w:rsid w:val="00D57E38"/>
    <w:rsid w:val="00D6044A"/>
    <w:rsid w:val="00D605A4"/>
    <w:rsid w:val="00D632D6"/>
    <w:rsid w:val="00D70328"/>
    <w:rsid w:val="00D70452"/>
    <w:rsid w:val="00D70B1F"/>
    <w:rsid w:val="00D713F2"/>
    <w:rsid w:val="00D7439E"/>
    <w:rsid w:val="00D753D4"/>
    <w:rsid w:val="00D763B1"/>
    <w:rsid w:val="00D833EA"/>
    <w:rsid w:val="00D83830"/>
    <w:rsid w:val="00D83A72"/>
    <w:rsid w:val="00D843F6"/>
    <w:rsid w:val="00D92EF6"/>
    <w:rsid w:val="00DA2D80"/>
    <w:rsid w:val="00DA31DC"/>
    <w:rsid w:val="00DA3EAC"/>
    <w:rsid w:val="00DA5E3B"/>
    <w:rsid w:val="00DB7D43"/>
    <w:rsid w:val="00DC2D36"/>
    <w:rsid w:val="00DC3D41"/>
    <w:rsid w:val="00DC63DA"/>
    <w:rsid w:val="00DC700E"/>
    <w:rsid w:val="00DD179D"/>
    <w:rsid w:val="00DD295B"/>
    <w:rsid w:val="00DE3168"/>
    <w:rsid w:val="00DE329E"/>
    <w:rsid w:val="00DF4D3E"/>
    <w:rsid w:val="00E0012E"/>
    <w:rsid w:val="00E1276D"/>
    <w:rsid w:val="00E250DA"/>
    <w:rsid w:val="00E2701D"/>
    <w:rsid w:val="00E368A4"/>
    <w:rsid w:val="00E40234"/>
    <w:rsid w:val="00E41011"/>
    <w:rsid w:val="00E414EB"/>
    <w:rsid w:val="00E438B1"/>
    <w:rsid w:val="00E468F9"/>
    <w:rsid w:val="00E47CDD"/>
    <w:rsid w:val="00E53C79"/>
    <w:rsid w:val="00E564B5"/>
    <w:rsid w:val="00E56A3A"/>
    <w:rsid w:val="00E6186B"/>
    <w:rsid w:val="00E6246D"/>
    <w:rsid w:val="00E6268F"/>
    <w:rsid w:val="00E6561C"/>
    <w:rsid w:val="00E662A6"/>
    <w:rsid w:val="00E66CA0"/>
    <w:rsid w:val="00E71E05"/>
    <w:rsid w:val="00E72A39"/>
    <w:rsid w:val="00E75604"/>
    <w:rsid w:val="00E7581E"/>
    <w:rsid w:val="00E806AE"/>
    <w:rsid w:val="00E80D73"/>
    <w:rsid w:val="00E93715"/>
    <w:rsid w:val="00E939D8"/>
    <w:rsid w:val="00E93CBF"/>
    <w:rsid w:val="00EA0A0F"/>
    <w:rsid w:val="00EA42D4"/>
    <w:rsid w:val="00EA4594"/>
    <w:rsid w:val="00EB293A"/>
    <w:rsid w:val="00EB6941"/>
    <w:rsid w:val="00EC20FC"/>
    <w:rsid w:val="00EC3618"/>
    <w:rsid w:val="00EC3B3A"/>
    <w:rsid w:val="00EC49F7"/>
    <w:rsid w:val="00EC51E2"/>
    <w:rsid w:val="00ED311D"/>
    <w:rsid w:val="00ED35E7"/>
    <w:rsid w:val="00ED5F15"/>
    <w:rsid w:val="00ED6536"/>
    <w:rsid w:val="00EE09AD"/>
    <w:rsid w:val="00EE0E93"/>
    <w:rsid w:val="00EE2EC7"/>
    <w:rsid w:val="00EE4E36"/>
    <w:rsid w:val="00EE4EB1"/>
    <w:rsid w:val="00EE5BF8"/>
    <w:rsid w:val="00EE77A8"/>
    <w:rsid w:val="00EE7D47"/>
    <w:rsid w:val="00EF0523"/>
    <w:rsid w:val="00EF289A"/>
    <w:rsid w:val="00EF3B8F"/>
    <w:rsid w:val="00EF4493"/>
    <w:rsid w:val="00F02CF6"/>
    <w:rsid w:val="00F0597A"/>
    <w:rsid w:val="00F1132A"/>
    <w:rsid w:val="00F11F81"/>
    <w:rsid w:val="00F12645"/>
    <w:rsid w:val="00F13F6A"/>
    <w:rsid w:val="00F17AE2"/>
    <w:rsid w:val="00F2291D"/>
    <w:rsid w:val="00F24B1E"/>
    <w:rsid w:val="00F31D17"/>
    <w:rsid w:val="00F37D99"/>
    <w:rsid w:val="00F400BE"/>
    <w:rsid w:val="00F41C33"/>
    <w:rsid w:val="00F46197"/>
    <w:rsid w:val="00F506E2"/>
    <w:rsid w:val="00F51821"/>
    <w:rsid w:val="00F54E75"/>
    <w:rsid w:val="00F643D3"/>
    <w:rsid w:val="00F77144"/>
    <w:rsid w:val="00F83D6E"/>
    <w:rsid w:val="00F93546"/>
    <w:rsid w:val="00FA19E1"/>
    <w:rsid w:val="00FA76D2"/>
    <w:rsid w:val="00FB41DB"/>
    <w:rsid w:val="00FB5ABC"/>
    <w:rsid w:val="00FB6E08"/>
    <w:rsid w:val="00FC75FB"/>
    <w:rsid w:val="00FD2179"/>
    <w:rsid w:val="00FD2516"/>
    <w:rsid w:val="00FD4831"/>
    <w:rsid w:val="00FD4C8B"/>
    <w:rsid w:val="00FD7A4C"/>
    <w:rsid w:val="00FD7F57"/>
    <w:rsid w:val="00FE0C2B"/>
    <w:rsid w:val="00FE4434"/>
    <w:rsid w:val="00FE6E7D"/>
    <w:rsid w:val="00FE7565"/>
    <w:rsid w:val="00FF1F6E"/>
    <w:rsid w:val="00FF2116"/>
    <w:rsid w:val="00FF2EC1"/>
    <w:rsid w:val="00FF3BB5"/>
    <w:rsid w:val="00FF5455"/>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313A9-ADE9-493E-BB77-FA83FDF7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28</Pages>
  <Words>6164</Words>
  <Characters>33908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2019-09-05T17:37:00Z</cp:lastPrinted>
  <dcterms:created xsi:type="dcterms:W3CDTF">2020-08-21T19:35:00Z</dcterms:created>
  <dcterms:modified xsi:type="dcterms:W3CDTF">2020-11-10T18:24:00Z</dcterms:modified>
</cp:coreProperties>
</file>