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C2A5" w14:textId="7C455CA8" w:rsidR="00A612C0" w:rsidRPr="00F536FA" w:rsidRDefault="00792776" w:rsidP="004B2A20">
      <w:pPr>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r w:rsidRPr="00F536FA">
        <w:rPr>
          <w:rFonts w:ascii="Palatino Linotype" w:eastAsia="MS Mincho" w:hAnsi="Palatino Linotype" w:cs="Times New Roman"/>
          <w:b/>
          <w:sz w:val="24"/>
          <w:szCs w:val="24"/>
          <w:lang w:val="es-ES_tradnl" w:eastAsia="es-ES"/>
        </w:rPr>
        <w:t>LÍNEAS ARGUMENTATIVAS.</w:t>
      </w:r>
      <w:r w:rsidR="00B820B7" w:rsidRPr="00F536FA">
        <w:rPr>
          <w:rFonts w:ascii="Palatino Linotype" w:eastAsia="MS Mincho" w:hAnsi="Palatino Linotype" w:cs="Times New Roman"/>
          <w:b/>
          <w:sz w:val="24"/>
          <w:szCs w:val="24"/>
          <w:lang w:val="es-ES_tradnl" w:eastAsia="es-ES"/>
        </w:rPr>
        <w:t xml:space="preserve"> </w:t>
      </w:r>
    </w:p>
    <w:p w14:paraId="5FB5FD4B" w14:textId="77777777" w:rsidR="006E7900" w:rsidRPr="00F536FA" w:rsidRDefault="006E7900" w:rsidP="004B2A20">
      <w:pPr>
        <w:spacing w:after="0" w:line="360" w:lineRule="auto"/>
        <w:jc w:val="both"/>
        <w:rPr>
          <w:rFonts w:ascii="Palatino Linotype" w:eastAsia="Arial Unicode MS" w:hAnsi="Palatino Linotype" w:cs="Arial"/>
          <w:b/>
          <w:sz w:val="10"/>
          <w:szCs w:val="10"/>
          <w:lang w:val="es-ES_tradnl" w:eastAsia="es-ES"/>
        </w:rPr>
      </w:pPr>
    </w:p>
    <w:p w14:paraId="4A0F22B6" w14:textId="130A0472" w:rsidR="006D540E" w:rsidRPr="00F536FA" w:rsidRDefault="006D540E" w:rsidP="006D540E">
      <w:pPr>
        <w:spacing w:after="0" w:line="360" w:lineRule="auto"/>
        <w:jc w:val="both"/>
        <w:rPr>
          <w:rFonts w:ascii="Palatino Linotype" w:eastAsia="Calibri" w:hAnsi="Palatino Linotype" w:cs="Times New Roman"/>
          <w:bCs/>
          <w:sz w:val="24"/>
          <w:szCs w:val="24"/>
          <w:lang w:eastAsia="es-ES"/>
        </w:rPr>
      </w:pPr>
      <w:r w:rsidRPr="00F536FA">
        <w:rPr>
          <w:rFonts w:ascii="Palatino Linotype" w:eastAsia="Calibri" w:hAnsi="Palatino Linotype" w:cs="Times New Roman"/>
          <w:b/>
          <w:sz w:val="24"/>
          <w:szCs w:val="24"/>
          <w:lang w:eastAsia="es-ES"/>
        </w:rPr>
        <w:t xml:space="preserve">DEBERES DE LAS AUTORIDADES. </w:t>
      </w:r>
      <w:r w:rsidRPr="00F536FA">
        <w:rPr>
          <w:rFonts w:ascii="Palatino Linotype" w:eastAsia="Calibri" w:hAnsi="Palatino Linotype" w:cs="Times New Roman"/>
          <w:bCs/>
          <w:sz w:val="24"/>
          <w:szCs w:val="24"/>
          <w:lang w:eastAsia="es-ES"/>
        </w:rPr>
        <w:t>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CBB0F6B" w14:textId="77777777" w:rsidR="006D540E" w:rsidRPr="00F536FA" w:rsidRDefault="006D540E" w:rsidP="004B2A20">
      <w:pPr>
        <w:spacing w:after="0" w:line="360" w:lineRule="auto"/>
        <w:jc w:val="both"/>
        <w:rPr>
          <w:rFonts w:ascii="Palatino Linotype" w:eastAsia="Calibri" w:hAnsi="Palatino Linotype" w:cs="Times New Roman"/>
          <w:b/>
          <w:sz w:val="24"/>
          <w:szCs w:val="24"/>
          <w:lang w:eastAsia="es-ES"/>
        </w:rPr>
      </w:pPr>
    </w:p>
    <w:p w14:paraId="191417BF" w14:textId="77777777" w:rsidR="002E0764" w:rsidRPr="00F536FA" w:rsidRDefault="002E0764" w:rsidP="004B2A20">
      <w:pPr>
        <w:spacing w:after="0" w:line="360" w:lineRule="auto"/>
        <w:jc w:val="both"/>
        <w:rPr>
          <w:rFonts w:ascii="Palatino Linotype" w:eastAsia="Calibri" w:hAnsi="Palatino Linotype" w:cs="Times New Roman"/>
          <w:sz w:val="24"/>
          <w:szCs w:val="24"/>
          <w:lang w:val="es-ES_tradnl" w:eastAsia="es-ES"/>
        </w:rPr>
      </w:pPr>
      <w:r w:rsidRPr="00F536FA">
        <w:rPr>
          <w:rFonts w:ascii="Palatino Linotype" w:eastAsia="Calibri" w:hAnsi="Palatino Linotype" w:cs="Times New Roman"/>
          <w:b/>
          <w:sz w:val="24"/>
          <w:szCs w:val="24"/>
          <w:lang w:val="es-ES_tradnl" w:eastAsia="es-ES"/>
        </w:rPr>
        <w:t>RESPUESTAS IMPRECISAS O INCOMPLETAS, DEBER DE REPARACIÓN.</w:t>
      </w:r>
      <w:r w:rsidRPr="00F536FA">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12233FC" w14:textId="68310032" w:rsidR="006415FB" w:rsidRPr="00F536FA" w:rsidRDefault="006415FB">
      <w:pPr>
        <w:rPr>
          <w:rFonts w:ascii="Palatino Linotype" w:eastAsia="Calibri" w:hAnsi="Palatino Linotype" w:cs="Times New Roman"/>
          <w:b/>
          <w:sz w:val="24"/>
          <w:szCs w:val="24"/>
          <w:lang w:val="es-ES_tradnl" w:eastAsia="es-ES"/>
        </w:rPr>
      </w:pPr>
    </w:p>
    <w:p w14:paraId="724A6C69" w14:textId="6FF93636" w:rsidR="006415FB" w:rsidRPr="00F536FA" w:rsidRDefault="006415FB" w:rsidP="006415FB">
      <w:pPr>
        <w:spacing w:before="240" w:after="240" w:line="360" w:lineRule="auto"/>
        <w:jc w:val="both"/>
        <w:rPr>
          <w:rFonts w:ascii="Palatino Linotype" w:hAnsi="Palatino Linotype" w:cs="Arial"/>
        </w:rPr>
      </w:pPr>
      <w:r w:rsidRPr="00F536FA">
        <w:rPr>
          <w:rFonts w:ascii="Palatino Linotype" w:eastAsia="Calibri" w:hAnsi="Palatino Linotype" w:cs="Arial"/>
          <w:b/>
          <w:lang w:val="es-ES" w:eastAsia="es-MX"/>
        </w:rPr>
        <w:t>DE LAS FORMALIDADES LEGALES DE LA CLASIFICACIÓN DE LA INFORMACIÓN.</w:t>
      </w:r>
      <w:r w:rsidRPr="00F536FA">
        <w:rPr>
          <w:rFonts w:ascii="Palatino Linotype" w:eastAsia="Calibri" w:hAnsi="Palatino Linotype" w:cs="Arial"/>
          <w:lang w:val="es-ES" w:eastAsia="es-MX"/>
        </w:rPr>
        <w:t xml:space="preserve"> Para que los sujetos obligados procedan a la clasificación de la información como reservada, es necesario que en las documentales públicas se contenga información que comprometa la seguridad pública; menoscabe la conducción de negociaciones; ponga en riesgo la vida, seguridad o salud de una persona; obstruya o cause perjuicio a actividades de fiscalización, persecución de delitos o vulnere la sustanciación de investigaciones; entre otras. Por lo que resulta necesario clasificarlas observando las formalidades que establece la Ley de Transparencia y Acceso a la Información Pública del Estado de México y Municipio, en sus artículos 49 fracción</w:t>
      </w:r>
      <w:r w:rsidRPr="00F536FA">
        <w:rPr>
          <w:rFonts w:ascii="Palatino Linotype" w:eastAsia="Calibri" w:hAnsi="Palatino Linotype" w:cs="Arial"/>
          <w:bCs/>
        </w:rPr>
        <w:t xml:space="preserve"> VIII,</w:t>
      </w:r>
      <w:r w:rsidRPr="00F536FA">
        <w:rPr>
          <w:rFonts w:ascii="Palatino Linotype" w:eastAsia="Calibri" w:hAnsi="Palatino Linotype" w:cs="Arial"/>
          <w:lang w:val="es-ES" w:eastAsia="es-MX"/>
        </w:rPr>
        <w:t xml:space="preserve"> 122, 135 </w:t>
      </w:r>
      <w:r w:rsidRPr="00F536FA">
        <w:rPr>
          <w:rFonts w:ascii="Palatino Linotype" w:hAnsi="Palatino Linotype" w:cs="Arial"/>
        </w:rPr>
        <w:t>140 y 141, así como lo establecido en los Lineamientos Generales en Materia de Clasificación</w:t>
      </w:r>
      <w:r w:rsidRPr="00F536FA">
        <w:rPr>
          <w:rFonts w:ascii="Palatino Linotype" w:hAnsi="Palatino Linotype"/>
        </w:rPr>
        <w:t xml:space="preserve"> </w:t>
      </w:r>
      <w:r w:rsidRPr="00F536FA">
        <w:rPr>
          <w:rFonts w:ascii="Palatino Linotype" w:hAnsi="Palatino Linotype" w:cs="Arial"/>
        </w:rPr>
        <w:t>y Desclasificación de la Información.</w:t>
      </w:r>
    </w:p>
    <w:p w14:paraId="41E08C75" w14:textId="77777777" w:rsidR="00306048" w:rsidRPr="00F536FA" w:rsidRDefault="00306048" w:rsidP="00306048">
      <w:pPr>
        <w:spacing w:line="360" w:lineRule="auto"/>
        <w:jc w:val="both"/>
        <w:rPr>
          <w:rFonts w:ascii="Palatino Linotype" w:eastAsia="Times New Roman" w:hAnsi="Palatino Linotype"/>
        </w:rPr>
      </w:pPr>
      <w:r w:rsidRPr="00F536FA">
        <w:rPr>
          <w:rFonts w:ascii="Palatino Linotype" w:hAnsi="Palatino Linotype"/>
          <w:b/>
          <w:color w:val="000000" w:themeColor="text1"/>
        </w:rPr>
        <w:lastRenderedPageBreak/>
        <w:t>DE LA INFORMACIÓN QUE NO OBRA EN LOS ARCHIVOS DE LOS SUJETOS OBLIGADOS.</w:t>
      </w:r>
      <w:r w:rsidRPr="00F536FA">
        <w:rPr>
          <w:rFonts w:ascii="Palatino Linotype" w:hAnsi="Palatino Linotype"/>
          <w:color w:val="000000" w:themeColor="text1"/>
        </w:rPr>
        <w:t xml:space="preserve"> Cuando los Sujetos Obligados, en el ejercicio de sus atribuciones debían generar, poseer o administrar la información, pero ésta no se encontrase, deberá emitir un Acuerdo de Inexistencia en el que funde y motive las razones por las que no obra en sus archivos a efecto de resarcir de cierta manera el daño devengado a los particulares que solicitasen la información y transparentar su administración de archivos aun cuando éstos no existan por cualquier circunstancia.</w:t>
      </w:r>
    </w:p>
    <w:p w14:paraId="46A1A26A" w14:textId="77777777" w:rsidR="00306048" w:rsidRPr="00F536FA" w:rsidRDefault="00306048" w:rsidP="006415FB">
      <w:pPr>
        <w:spacing w:before="240" w:after="240" w:line="360" w:lineRule="auto"/>
        <w:jc w:val="both"/>
        <w:rPr>
          <w:rFonts w:ascii="Palatino Linotype" w:hAnsi="Palatino Linotype" w:cs="Arial"/>
        </w:rPr>
      </w:pPr>
    </w:p>
    <w:p w14:paraId="24474C3C" w14:textId="6F06622A" w:rsidR="00792776" w:rsidRPr="00F536FA" w:rsidRDefault="000505CB" w:rsidP="00177281">
      <w:pPr>
        <w:jc w:val="center"/>
        <w:rPr>
          <w:rFonts w:ascii="Palatino Linotype" w:eastAsia="MS Mincho" w:hAnsi="Palatino Linotype" w:cs="Times New Roman"/>
          <w:sz w:val="24"/>
          <w:szCs w:val="24"/>
          <w:lang w:val="es-ES_tradnl" w:eastAsia="es-ES"/>
        </w:rPr>
      </w:pPr>
      <w:r w:rsidRPr="00F536FA">
        <w:rPr>
          <w:rFonts w:ascii="Palatino Linotype" w:eastAsia="Calibri" w:hAnsi="Palatino Linotype" w:cs="Times New Roman"/>
          <w:b/>
          <w:sz w:val="24"/>
          <w:szCs w:val="24"/>
          <w:lang w:val="es-ES_tradnl" w:eastAsia="es-ES"/>
        </w:rPr>
        <w:br w:type="page"/>
      </w:r>
      <w:r w:rsidR="008C559D" w:rsidRPr="00F536FA">
        <w:rPr>
          <w:rFonts w:ascii="Palatino Linotype" w:eastAsia="MS Mincho" w:hAnsi="Palatino Linotype" w:cs="Times New Roman"/>
          <w:b/>
          <w:sz w:val="24"/>
          <w:szCs w:val="24"/>
          <w:lang w:val="es-ES_tradnl" w:eastAsia="es-ES"/>
        </w:rPr>
        <w:lastRenderedPageBreak/>
        <w:t>ÍNDICE</w:t>
      </w:r>
      <w:r w:rsidR="00792776" w:rsidRPr="00F536FA">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b/>
          <w:bCs/>
          <w:color w:val="auto"/>
          <w:sz w:val="24"/>
          <w:szCs w:val="24"/>
          <w:lang w:val="es-ES" w:eastAsia="en-US"/>
        </w:rPr>
        <w:id w:val="-1797436068"/>
        <w:docPartObj>
          <w:docPartGallery w:val="Table of Contents"/>
          <w:docPartUnique/>
        </w:docPartObj>
      </w:sdtPr>
      <w:sdtEndPr/>
      <w:sdtContent>
        <w:p w14:paraId="5E4452AA" w14:textId="47A95C0E" w:rsidR="00B85136" w:rsidRPr="00F536FA" w:rsidRDefault="00B85136" w:rsidP="00742205">
          <w:pPr>
            <w:pStyle w:val="TtulodeTDC"/>
            <w:spacing w:before="0" w:line="276" w:lineRule="auto"/>
            <w:jc w:val="both"/>
            <w:rPr>
              <w:rFonts w:ascii="Palatino Linotype" w:hAnsi="Palatino Linotype"/>
              <w:b/>
              <w:bCs/>
              <w:color w:val="auto"/>
              <w:sz w:val="24"/>
              <w:szCs w:val="24"/>
            </w:rPr>
          </w:pPr>
        </w:p>
        <w:p w14:paraId="556AC618" w14:textId="1B1F237C" w:rsidR="00742205" w:rsidRPr="00F536FA" w:rsidRDefault="00B85136" w:rsidP="00742205">
          <w:pPr>
            <w:pStyle w:val="TDC1"/>
            <w:spacing w:line="276" w:lineRule="auto"/>
            <w:rPr>
              <w:rFonts w:ascii="Palatino Linotype" w:eastAsiaTheme="minorEastAsia" w:hAnsi="Palatino Linotype"/>
              <w:b/>
              <w:bCs/>
              <w:noProof/>
              <w:sz w:val="24"/>
              <w:szCs w:val="24"/>
              <w:lang w:eastAsia="es-MX"/>
            </w:rPr>
          </w:pPr>
          <w:r w:rsidRPr="00F536FA">
            <w:rPr>
              <w:rFonts w:ascii="Palatino Linotype" w:hAnsi="Palatino Linotype"/>
              <w:b/>
              <w:bCs/>
              <w:sz w:val="24"/>
              <w:szCs w:val="24"/>
              <w:lang w:val="es-ES"/>
            </w:rPr>
            <w:fldChar w:fldCharType="begin"/>
          </w:r>
          <w:r w:rsidRPr="00F536FA">
            <w:rPr>
              <w:rFonts w:ascii="Palatino Linotype" w:hAnsi="Palatino Linotype"/>
              <w:b/>
              <w:bCs/>
              <w:sz w:val="24"/>
              <w:szCs w:val="24"/>
              <w:lang w:val="es-ES"/>
            </w:rPr>
            <w:instrText xml:space="preserve"> TOC \o "1-3" \h \z \u </w:instrText>
          </w:r>
          <w:r w:rsidRPr="00F536FA">
            <w:rPr>
              <w:rFonts w:ascii="Palatino Linotype" w:hAnsi="Palatino Linotype"/>
              <w:b/>
              <w:bCs/>
              <w:sz w:val="24"/>
              <w:szCs w:val="24"/>
              <w:lang w:val="es-ES"/>
            </w:rPr>
            <w:fldChar w:fldCharType="separate"/>
          </w:r>
          <w:hyperlink w:anchor="_Toc54316026" w:history="1">
            <w:r w:rsidR="00742205" w:rsidRPr="00F536FA">
              <w:rPr>
                <w:rStyle w:val="Hipervnculo"/>
                <w:rFonts w:ascii="Palatino Linotype" w:eastAsia="MS Gothic" w:hAnsi="Palatino Linotype" w:cs="Times New Roman"/>
                <w:b/>
                <w:bCs/>
                <w:noProof/>
                <w:sz w:val="24"/>
                <w:szCs w:val="24"/>
                <w:lang w:val="de-DE"/>
              </w:rPr>
              <w:t>A N T E C E D E N T E S</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_Toc54316026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4</w:t>
            </w:r>
            <w:r w:rsidR="00742205" w:rsidRPr="00F536FA">
              <w:rPr>
                <w:rFonts w:ascii="Palatino Linotype" w:hAnsi="Palatino Linotype"/>
                <w:b/>
                <w:bCs/>
                <w:noProof/>
                <w:webHidden/>
                <w:sz w:val="24"/>
                <w:szCs w:val="24"/>
              </w:rPr>
              <w:fldChar w:fldCharType="end"/>
            </w:r>
          </w:hyperlink>
        </w:p>
        <w:p w14:paraId="7C3E5BAF" w14:textId="7EB6F203"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27" w:history="1">
            <w:r w:rsidR="00742205" w:rsidRPr="00F536FA">
              <w:rPr>
                <w:rStyle w:val="Hipervnculo"/>
                <w:rFonts w:ascii="Palatino Linotype" w:eastAsia="MS Gothic" w:hAnsi="Palatino Linotype" w:cs="Times New Roman"/>
                <w:b/>
                <w:bCs/>
                <w:noProof/>
                <w:sz w:val="24"/>
                <w:szCs w:val="24"/>
              </w:rPr>
              <w:t>CONSIDERANDO</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_Toc54316027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22</w:t>
            </w:r>
            <w:r w:rsidR="00742205" w:rsidRPr="00F536FA">
              <w:rPr>
                <w:rFonts w:ascii="Palatino Linotype" w:hAnsi="Palatino Linotype"/>
                <w:b/>
                <w:bCs/>
                <w:noProof/>
                <w:webHidden/>
                <w:sz w:val="24"/>
                <w:szCs w:val="24"/>
              </w:rPr>
              <w:fldChar w:fldCharType="end"/>
            </w:r>
          </w:hyperlink>
        </w:p>
        <w:p w14:paraId="7F504806" w14:textId="0B6BEBC9"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28" w:history="1">
            <w:r w:rsidR="00742205" w:rsidRPr="00F536FA">
              <w:rPr>
                <w:rStyle w:val="Hipervnculo"/>
                <w:rFonts w:ascii="Palatino Linotype" w:eastAsia="MS Mincho" w:hAnsi="Palatino Linotype" w:cstheme="majorBidi"/>
                <w:b/>
                <w:bCs/>
                <w:noProof/>
                <w:sz w:val="24"/>
                <w:szCs w:val="24"/>
                <w:lang w:val="es-ES_tradnl" w:eastAsia="es-ES"/>
              </w:rPr>
              <w:t>PRIMERO</w:t>
            </w:r>
            <w:r w:rsidR="00742205" w:rsidRPr="00F536FA">
              <w:rPr>
                <w:rStyle w:val="Hipervnculo"/>
                <w:rFonts w:ascii="Palatino Linotype" w:eastAsia="MS Gothic" w:hAnsi="Palatino Linotype" w:cs="Times New Roman"/>
                <w:b/>
                <w:bCs/>
                <w:noProof/>
                <w:sz w:val="24"/>
                <w:szCs w:val="24"/>
              </w:rPr>
              <w:t>. De la competencia.</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_Toc54316028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22</w:t>
            </w:r>
            <w:r w:rsidR="00742205" w:rsidRPr="00F536FA">
              <w:rPr>
                <w:rFonts w:ascii="Palatino Linotype" w:hAnsi="Palatino Linotype"/>
                <w:b/>
                <w:bCs/>
                <w:noProof/>
                <w:webHidden/>
                <w:sz w:val="24"/>
                <w:szCs w:val="24"/>
              </w:rPr>
              <w:fldChar w:fldCharType="end"/>
            </w:r>
          </w:hyperlink>
        </w:p>
        <w:p w14:paraId="45E80D55" w14:textId="4EEC3D1C"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29" w:history="1">
            <w:r w:rsidR="00742205" w:rsidRPr="00F536FA">
              <w:rPr>
                <w:rStyle w:val="Hipervnculo"/>
                <w:rFonts w:ascii="Palatino Linotype" w:eastAsia="MS Mincho" w:hAnsi="Palatino Linotype" w:cstheme="majorBidi"/>
                <w:b/>
                <w:bCs/>
                <w:noProof/>
                <w:sz w:val="24"/>
                <w:szCs w:val="24"/>
                <w:lang w:val="es-ES_tradnl" w:eastAsia="es-ES"/>
              </w:rPr>
              <w:t>SEGUNDO</w:t>
            </w:r>
            <w:r w:rsidR="00742205" w:rsidRPr="00F536FA">
              <w:rPr>
                <w:rStyle w:val="Hipervnculo"/>
                <w:rFonts w:ascii="Palatino Linotype" w:eastAsia="MS Gothic" w:hAnsi="Palatino Linotype" w:cs="Times New Roman"/>
                <w:b/>
                <w:bCs/>
                <w:noProof/>
                <w:sz w:val="24"/>
                <w:szCs w:val="24"/>
              </w:rPr>
              <w:t>. De la oportunidad y procedibilidad del recurso de revisión.</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_Toc54316029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22</w:t>
            </w:r>
            <w:r w:rsidR="00742205" w:rsidRPr="00F536FA">
              <w:rPr>
                <w:rFonts w:ascii="Palatino Linotype" w:hAnsi="Palatino Linotype"/>
                <w:b/>
                <w:bCs/>
                <w:noProof/>
                <w:webHidden/>
                <w:sz w:val="24"/>
                <w:szCs w:val="24"/>
              </w:rPr>
              <w:fldChar w:fldCharType="end"/>
            </w:r>
          </w:hyperlink>
        </w:p>
        <w:p w14:paraId="72545928" w14:textId="5B26EA49"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30" w:history="1">
            <w:r w:rsidR="00742205" w:rsidRPr="00F536FA">
              <w:rPr>
                <w:rStyle w:val="Hipervnculo"/>
                <w:rFonts w:ascii="Palatino Linotype" w:eastAsia="MS Mincho" w:hAnsi="Palatino Linotype" w:cstheme="majorBidi"/>
                <w:b/>
                <w:bCs/>
                <w:noProof/>
                <w:sz w:val="24"/>
                <w:szCs w:val="24"/>
                <w:lang w:val="es-ES_tradnl" w:eastAsia="es-ES"/>
              </w:rPr>
              <w:t xml:space="preserve">TERCERO. Planteamiento de la </w:t>
            </w:r>
            <w:r w:rsidR="00742205" w:rsidRPr="00F536FA">
              <w:rPr>
                <w:rStyle w:val="Hipervnculo"/>
                <w:rFonts w:ascii="Palatino Linotype" w:eastAsia="MS Mincho" w:hAnsi="Palatino Linotype" w:cstheme="majorBidi"/>
                <w:b/>
                <w:bCs/>
                <w:i/>
                <w:iCs/>
                <w:noProof/>
                <w:sz w:val="24"/>
                <w:szCs w:val="24"/>
                <w:lang w:val="es-ES_tradnl" w:eastAsia="es-ES"/>
              </w:rPr>
              <w:t>Litis</w:t>
            </w:r>
            <w:r w:rsidR="00742205" w:rsidRPr="00F536FA">
              <w:rPr>
                <w:rStyle w:val="Hipervnculo"/>
                <w:rFonts w:ascii="Palatino Linotype" w:eastAsia="MS Gothic" w:hAnsi="Palatino Linotype" w:cs="Times New Roman"/>
                <w:b/>
                <w:bCs/>
                <w:noProof/>
                <w:sz w:val="24"/>
                <w:szCs w:val="24"/>
              </w:rPr>
              <w:t>.</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_Toc54316030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23</w:t>
            </w:r>
            <w:r w:rsidR="00742205" w:rsidRPr="00F536FA">
              <w:rPr>
                <w:rFonts w:ascii="Palatino Linotype" w:hAnsi="Palatino Linotype"/>
                <w:b/>
                <w:bCs/>
                <w:noProof/>
                <w:webHidden/>
                <w:sz w:val="24"/>
                <w:szCs w:val="24"/>
              </w:rPr>
              <w:fldChar w:fldCharType="end"/>
            </w:r>
          </w:hyperlink>
        </w:p>
        <w:p w14:paraId="28ED4739" w14:textId="6157A58F"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31" w:history="1">
            <w:r w:rsidR="00742205" w:rsidRPr="00F536FA">
              <w:rPr>
                <w:rStyle w:val="Hipervnculo"/>
                <w:rFonts w:ascii="Palatino Linotype" w:eastAsia="MS Gothic" w:hAnsi="Palatino Linotype" w:cstheme="majorBidi"/>
                <w:b/>
                <w:bCs/>
                <w:noProof/>
                <w:sz w:val="24"/>
                <w:szCs w:val="24"/>
                <w:lang w:val="es-ES_tradnl" w:eastAsia="es-ES"/>
              </w:rPr>
              <w:t>CUARTO. Del estudio y resolución del recurso de revisión.</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_Toc54316031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25</w:t>
            </w:r>
            <w:r w:rsidR="00742205" w:rsidRPr="00F536FA">
              <w:rPr>
                <w:rFonts w:ascii="Palatino Linotype" w:hAnsi="Palatino Linotype"/>
                <w:b/>
                <w:bCs/>
                <w:noProof/>
                <w:webHidden/>
                <w:sz w:val="24"/>
                <w:szCs w:val="24"/>
              </w:rPr>
              <w:fldChar w:fldCharType="end"/>
            </w:r>
          </w:hyperlink>
        </w:p>
        <w:p w14:paraId="31D21A91" w14:textId="4FA9F6ED"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2" w:history="1">
            <w:r w:rsidR="00742205" w:rsidRPr="00F536FA">
              <w:rPr>
                <w:rStyle w:val="Hipervnculo"/>
                <w:rFonts w:ascii="Palatino Linotype" w:eastAsia="MS Gothic" w:hAnsi="Palatino Linotype" w:cstheme="majorBidi"/>
                <w:b/>
                <w:bCs/>
                <w:noProof/>
                <w:sz w:val="24"/>
                <w:szCs w:val="24"/>
                <w:lang w:val="es-ES_tradnl" w:eastAsia="es-ES"/>
              </w:rPr>
              <w:t>I. Del deber de las autoridades de promover, respetar, proteger y garantizar el derecho de acceso a la información pública.</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_Toc54316032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26</w:t>
            </w:r>
            <w:r w:rsidR="00742205" w:rsidRPr="00F536FA">
              <w:rPr>
                <w:rFonts w:ascii="Palatino Linotype" w:hAnsi="Palatino Linotype"/>
                <w:b/>
                <w:bCs/>
                <w:noProof/>
                <w:webHidden/>
                <w:sz w:val="24"/>
                <w:szCs w:val="24"/>
              </w:rPr>
              <w:fldChar w:fldCharType="end"/>
            </w:r>
          </w:hyperlink>
        </w:p>
        <w:p w14:paraId="645203BE" w14:textId="3CBD1F8C"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3" w:history="1">
            <w:r w:rsidR="00742205" w:rsidRPr="00F536FA">
              <w:rPr>
                <w:rStyle w:val="Hipervnculo"/>
                <w:rFonts w:ascii="Palatino Linotype" w:eastAsia="MS Gothic" w:hAnsi="Palatino Linotype"/>
                <w:b/>
                <w:bCs/>
                <w:noProof/>
                <w:sz w:val="24"/>
                <w:szCs w:val="24"/>
                <w:lang w:val="es-ES_tradnl" w:eastAsia="es-ES"/>
              </w:rPr>
              <w:t>II. De la respuesta a la solicitud de información.</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_Toc54316033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28</w:t>
            </w:r>
            <w:r w:rsidR="00742205" w:rsidRPr="00F536FA">
              <w:rPr>
                <w:rFonts w:ascii="Palatino Linotype" w:hAnsi="Palatino Linotype"/>
                <w:b/>
                <w:bCs/>
                <w:noProof/>
                <w:webHidden/>
                <w:sz w:val="24"/>
                <w:szCs w:val="24"/>
              </w:rPr>
              <w:fldChar w:fldCharType="end"/>
            </w:r>
          </w:hyperlink>
        </w:p>
        <w:p w14:paraId="39666C69" w14:textId="6C194D68"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4" w:history="1">
            <w:r w:rsidR="00742205" w:rsidRPr="00F536FA">
              <w:rPr>
                <w:rStyle w:val="Hipervnculo"/>
                <w:rFonts w:ascii="Palatino Linotype" w:hAnsi="Palatino Linotype" w:cs="Arial"/>
                <w:b/>
                <w:bCs/>
                <w:noProof/>
                <w:sz w:val="24"/>
                <w:szCs w:val="24"/>
              </w:rPr>
              <w:t>III. De la Feria de Ixtlahuaca y sus eventos.</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_Toc54316034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36</w:t>
            </w:r>
            <w:r w:rsidR="00742205" w:rsidRPr="00F536FA">
              <w:rPr>
                <w:rFonts w:ascii="Palatino Linotype" w:hAnsi="Palatino Linotype"/>
                <w:b/>
                <w:bCs/>
                <w:noProof/>
                <w:webHidden/>
                <w:sz w:val="24"/>
                <w:szCs w:val="24"/>
              </w:rPr>
              <w:fldChar w:fldCharType="end"/>
            </w:r>
          </w:hyperlink>
        </w:p>
        <w:p w14:paraId="2959D090" w14:textId="2FD154AE"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5" w:history="1">
            <w:r w:rsidR="00742205" w:rsidRPr="00F536FA">
              <w:rPr>
                <w:rStyle w:val="Hipervnculo"/>
                <w:rFonts w:ascii="Palatino Linotype" w:hAnsi="Palatino Linotype" w:cs="Arial"/>
                <w:b/>
                <w:bCs/>
                <w:noProof/>
                <w:sz w:val="24"/>
                <w:szCs w:val="24"/>
              </w:rPr>
              <w:t>III.I De los juegos mecánicos.</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_Toc54316035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37</w:t>
            </w:r>
            <w:r w:rsidR="00742205" w:rsidRPr="00F536FA">
              <w:rPr>
                <w:rFonts w:ascii="Palatino Linotype" w:hAnsi="Palatino Linotype"/>
                <w:b/>
                <w:bCs/>
                <w:noProof/>
                <w:webHidden/>
                <w:sz w:val="24"/>
                <w:szCs w:val="24"/>
              </w:rPr>
              <w:fldChar w:fldCharType="end"/>
            </w:r>
          </w:hyperlink>
        </w:p>
        <w:p w14:paraId="75A2E4AC" w14:textId="7F220F86"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6" w:history="1">
            <w:r w:rsidR="00742205" w:rsidRPr="00F536FA">
              <w:rPr>
                <w:rStyle w:val="Hipervnculo"/>
                <w:rFonts w:ascii="Palatino Linotype" w:hAnsi="Palatino Linotype" w:cs="Arial"/>
                <w:b/>
                <w:bCs/>
                <w:noProof/>
                <w:sz w:val="24"/>
                <w:szCs w:val="24"/>
              </w:rPr>
              <w:t>III.II Del costo de realización.</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_Toc54316036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49</w:t>
            </w:r>
            <w:r w:rsidR="00742205" w:rsidRPr="00F536FA">
              <w:rPr>
                <w:rFonts w:ascii="Palatino Linotype" w:hAnsi="Palatino Linotype"/>
                <w:b/>
                <w:bCs/>
                <w:noProof/>
                <w:webHidden/>
                <w:sz w:val="24"/>
                <w:szCs w:val="24"/>
              </w:rPr>
              <w:fldChar w:fldCharType="end"/>
            </w:r>
          </w:hyperlink>
        </w:p>
        <w:p w14:paraId="052B9BD1" w14:textId="0715999D"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7" w:history="1">
            <w:r w:rsidR="00742205" w:rsidRPr="00F536FA">
              <w:rPr>
                <w:rStyle w:val="Hipervnculo"/>
                <w:rFonts w:ascii="Palatino Linotype" w:hAnsi="Palatino Linotype" w:cs="Arial"/>
                <w:b/>
                <w:bCs/>
                <w:noProof/>
                <w:sz w:val="24"/>
                <w:szCs w:val="24"/>
              </w:rPr>
              <w:t>III.III De los programas y eventos artísticos de la Feria Ixtlahuaca 2015-2019.</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_Toc54316037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56</w:t>
            </w:r>
            <w:r w:rsidR="00742205" w:rsidRPr="00F536FA">
              <w:rPr>
                <w:rFonts w:ascii="Palatino Linotype" w:hAnsi="Palatino Linotype"/>
                <w:b/>
                <w:bCs/>
                <w:noProof/>
                <w:webHidden/>
                <w:sz w:val="24"/>
                <w:szCs w:val="24"/>
              </w:rPr>
              <w:fldChar w:fldCharType="end"/>
            </w:r>
          </w:hyperlink>
        </w:p>
        <w:p w14:paraId="750541D1" w14:textId="00EF44D8"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8" w:history="1">
            <w:r w:rsidR="00742205" w:rsidRPr="00F536FA">
              <w:rPr>
                <w:rStyle w:val="Hipervnculo"/>
                <w:rFonts w:ascii="Palatino Linotype" w:hAnsi="Palatino Linotype" w:cs="Arial"/>
                <w:b/>
                <w:bCs/>
                <w:noProof/>
                <w:sz w:val="24"/>
                <w:szCs w:val="24"/>
              </w:rPr>
              <w:t>III.IV. De los eventos llevados a cabo en la Feria Ixtlahuaca 2019.</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_Toc54316038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67</w:t>
            </w:r>
            <w:r w:rsidR="00742205" w:rsidRPr="00F536FA">
              <w:rPr>
                <w:rFonts w:ascii="Palatino Linotype" w:hAnsi="Palatino Linotype"/>
                <w:b/>
                <w:bCs/>
                <w:noProof/>
                <w:webHidden/>
                <w:sz w:val="24"/>
                <w:szCs w:val="24"/>
              </w:rPr>
              <w:fldChar w:fldCharType="end"/>
            </w:r>
          </w:hyperlink>
        </w:p>
        <w:p w14:paraId="65BAE529" w14:textId="470A1364"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39" w:history="1">
            <w:r w:rsidR="00742205" w:rsidRPr="00F536FA">
              <w:rPr>
                <w:rStyle w:val="Hipervnculo"/>
                <w:rFonts w:ascii="Palatino Linotype" w:hAnsi="Palatino Linotype" w:cs="Arial"/>
                <w:b/>
                <w:bCs/>
                <w:noProof/>
                <w:sz w:val="24"/>
                <w:szCs w:val="24"/>
              </w:rPr>
              <w:t>III.V. De la recaudación por arrendamiento comercial en la Feria Ixtlahuaca 2019.</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_Toc54316039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71</w:t>
            </w:r>
            <w:r w:rsidR="00742205" w:rsidRPr="00F536FA">
              <w:rPr>
                <w:rFonts w:ascii="Palatino Linotype" w:hAnsi="Palatino Linotype"/>
                <w:b/>
                <w:bCs/>
                <w:noProof/>
                <w:webHidden/>
                <w:sz w:val="24"/>
                <w:szCs w:val="24"/>
              </w:rPr>
              <w:fldChar w:fldCharType="end"/>
            </w:r>
          </w:hyperlink>
        </w:p>
        <w:p w14:paraId="4DF64803" w14:textId="7976B134" w:rsidR="00742205" w:rsidRPr="00F536FA" w:rsidRDefault="00193B24" w:rsidP="00742205">
          <w:pPr>
            <w:pStyle w:val="TDC3"/>
            <w:tabs>
              <w:tab w:val="right" w:leader="dot" w:pos="8779"/>
            </w:tabs>
            <w:spacing w:line="276" w:lineRule="auto"/>
            <w:rPr>
              <w:rFonts w:ascii="Palatino Linotype" w:eastAsiaTheme="minorEastAsia" w:hAnsi="Palatino Linotype"/>
              <w:b/>
              <w:bCs/>
              <w:noProof/>
              <w:sz w:val="24"/>
              <w:szCs w:val="24"/>
              <w:lang w:eastAsia="es-MX"/>
            </w:rPr>
          </w:pPr>
          <w:hyperlink w:anchor="_Toc54316040" w:history="1">
            <w:r w:rsidR="00742205" w:rsidRPr="00F536FA">
              <w:rPr>
                <w:rStyle w:val="Hipervnculo"/>
                <w:rFonts w:ascii="Palatino Linotype" w:hAnsi="Palatino Linotype" w:cs="Arial"/>
                <w:b/>
                <w:bCs/>
                <w:noProof/>
                <w:sz w:val="24"/>
                <w:szCs w:val="24"/>
              </w:rPr>
              <w:t>III.VI. De la pelea de gallos llevada a cabo en la Feria Ixtlahuaca 2020.</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_Toc54316040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73</w:t>
            </w:r>
            <w:r w:rsidR="00742205" w:rsidRPr="00F536FA">
              <w:rPr>
                <w:rFonts w:ascii="Palatino Linotype" w:hAnsi="Palatino Linotype"/>
                <w:b/>
                <w:bCs/>
                <w:noProof/>
                <w:webHidden/>
                <w:sz w:val="24"/>
                <w:szCs w:val="24"/>
              </w:rPr>
              <w:fldChar w:fldCharType="end"/>
            </w:r>
          </w:hyperlink>
        </w:p>
        <w:p w14:paraId="7C356710" w14:textId="16059DD0"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41" w:history="1">
            <w:r w:rsidR="00742205" w:rsidRPr="00F536FA">
              <w:rPr>
                <w:rStyle w:val="Hipervnculo"/>
                <w:rFonts w:ascii="Palatino Linotype" w:hAnsi="Palatino Linotype" w:cs="Arial"/>
                <w:b/>
                <w:bCs/>
                <w:noProof/>
                <w:sz w:val="24"/>
                <w:szCs w:val="24"/>
              </w:rPr>
              <w:t>QUINTO. De la versión pública.</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_Toc54316041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79</w:t>
            </w:r>
            <w:r w:rsidR="00742205" w:rsidRPr="00F536FA">
              <w:rPr>
                <w:rFonts w:ascii="Palatino Linotype" w:hAnsi="Palatino Linotype"/>
                <w:b/>
                <w:bCs/>
                <w:noProof/>
                <w:webHidden/>
                <w:sz w:val="24"/>
                <w:szCs w:val="24"/>
              </w:rPr>
              <w:fldChar w:fldCharType="end"/>
            </w:r>
          </w:hyperlink>
        </w:p>
        <w:p w14:paraId="27BFD80F" w14:textId="11272543" w:rsidR="00742205" w:rsidRPr="00F536FA" w:rsidRDefault="00193B24" w:rsidP="00742205">
          <w:pPr>
            <w:pStyle w:val="TDC1"/>
            <w:spacing w:line="276" w:lineRule="auto"/>
            <w:rPr>
              <w:rFonts w:ascii="Palatino Linotype" w:eastAsiaTheme="minorEastAsia" w:hAnsi="Palatino Linotype"/>
              <w:b/>
              <w:bCs/>
              <w:noProof/>
              <w:sz w:val="24"/>
              <w:szCs w:val="24"/>
              <w:lang w:eastAsia="es-MX"/>
            </w:rPr>
          </w:pPr>
          <w:hyperlink w:anchor="_Toc54316042" w:history="1">
            <w:r w:rsidR="00742205" w:rsidRPr="00F536FA">
              <w:rPr>
                <w:rStyle w:val="Hipervnculo"/>
                <w:rFonts w:ascii="Palatino Linotype" w:eastAsia="Times New Roman" w:hAnsi="Palatino Linotype" w:cstheme="majorBidi"/>
                <w:b/>
                <w:bCs/>
                <w:noProof/>
                <w:sz w:val="24"/>
                <w:szCs w:val="24"/>
                <w:lang w:val="es-ES_tradnl" w:eastAsia="es-ES"/>
              </w:rPr>
              <w:t>R E S O L U T I V O S</w:t>
            </w:r>
            <w:r w:rsidR="00742205" w:rsidRPr="00F536FA">
              <w:rPr>
                <w:rFonts w:ascii="Palatino Linotype" w:hAnsi="Palatino Linotype"/>
                <w:b/>
                <w:bCs/>
                <w:noProof/>
                <w:webHidden/>
                <w:sz w:val="24"/>
                <w:szCs w:val="24"/>
              </w:rPr>
              <w:tab/>
            </w:r>
            <w:r w:rsidR="00742205" w:rsidRPr="00F536FA">
              <w:rPr>
                <w:rFonts w:ascii="Palatino Linotype" w:hAnsi="Palatino Linotype"/>
                <w:b/>
                <w:bCs/>
                <w:noProof/>
                <w:webHidden/>
                <w:sz w:val="24"/>
                <w:szCs w:val="24"/>
              </w:rPr>
              <w:fldChar w:fldCharType="begin"/>
            </w:r>
            <w:r w:rsidR="00742205" w:rsidRPr="00F536FA">
              <w:rPr>
                <w:rFonts w:ascii="Palatino Linotype" w:hAnsi="Palatino Linotype"/>
                <w:b/>
                <w:bCs/>
                <w:noProof/>
                <w:webHidden/>
                <w:sz w:val="24"/>
                <w:szCs w:val="24"/>
              </w:rPr>
              <w:instrText xml:space="preserve"> PAGEREF _Toc54316042 \h </w:instrText>
            </w:r>
            <w:r w:rsidR="00742205" w:rsidRPr="00F536FA">
              <w:rPr>
                <w:rFonts w:ascii="Palatino Linotype" w:hAnsi="Palatino Linotype"/>
                <w:b/>
                <w:bCs/>
                <w:noProof/>
                <w:webHidden/>
                <w:sz w:val="24"/>
                <w:szCs w:val="24"/>
              </w:rPr>
            </w:r>
            <w:r w:rsidR="00742205" w:rsidRPr="00F536FA">
              <w:rPr>
                <w:rFonts w:ascii="Palatino Linotype" w:hAnsi="Palatino Linotype"/>
                <w:b/>
                <w:bCs/>
                <w:noProof/>
                <w:webHidden/>
                <w:sz w:val="24"/>
                <w:szCs w:val="24"/>
              </w:rPr>
              <w:fldChar w:fldCharType="separate"/>
            </w:r>
            <w:r w:rsidR="00A07AEF" w:rsidRPr="00F536FA">
              <w:rPr>
                <w:rFonts w:ascii="Palatino Linotype" w:hAnsi="Palatino Linotype"/>
                <w:b/>
                <w:bCs/>
                <w:noProof/>
                <w:webHidden/>
                <w:sz w:val="24"/>
                <w:szCs w:val="24"/>
              </w:rPr>
              <w:t>90</w:t>
            </w:r>
            <w:r w:rsidR="00742205" w:rsidRPr="00F536FA">
              <w:rPr>
                <w:rFonts w:ascii="Palatino Linotype" w:hAnsi="Palatino Linotype"/>
                <w:b/>
                <w:bCs/>
                <w:noProof/>
                <w:webHidden/>
                <w:sz w:val="24"/>
                <w:szCs w:val="24"/>
              </w:rPr>
              <w:fldChar w:fldCharType="end"/>
            </w:r>
          </w:hyperlink>
        </w:p>
        <w:p w14:paraId="0F5500DD" w14:textId="05D08C0C" w:rsidR="00C317BE" w:rsidRPr="00F536FA" w:rsidRDefault="00B85136" w:rsidP="00742205">
          <w:pPr>
            <w:spacing w:after="0" w:line="276" w:lineRule="auto"/>
            <w:jc w:val="both"/>
            <w:rPr>
              <w:rFonts w:ascii="Palatino Linotype" w:hAnsi="Palatino Linotype"/>
              <w:b/>
              <w:bCs/>
              <w:sz w:val="24"/>
              <w:szCs w:val="24"/>
            </w:rPr>
          </w:pPr>
          <w:r w:rsidRPr="00F536FA">
            <w:rPr>
              <w:rFonts w:ascii="Palatino Linotype" w:hAnsi="Palatino Linotype"/>
              <w:b/>
              <w:bCs/>
              <w:sz w:val="24"/>
              <w:szCs w:val="24"/>
              <w:lang w:val="es-ES"/>
            </w:rPr>
            <w:fldChar w:fldCharType="end"/>
          </w:r>
        </w:p>
      </w:sdtContent>
    </w:sdt>
    <w:p w14:paraId="10EB6A87" w14:textId="69FE0D36" w:rsidR="005E4F8B" w:rsidRPr="00F536FA" w:rsidRDefault="005E4F8B">
      <w:pPr>
        <w:rPr>
          <w:rFonts w:ascii="Palatino Linotype" w:eastAsia="MS Mincho" w:hAnsi="Palatino Linotype" w:cs="Times New Roman"/>
          <w:sz w:val="24"/>
          <w:szCs w:val="24"/>
          <w:lang w:val="es-ES_tradnl" w:eastAsia="es-ES"/>
        </w:rPr>
      </w:pPr>
      <w:r w:rsidRPr="00F536FA">
        <w:rPr>
          <w:rFonts w:ascii="Palatino Linotype" w:eastAsia="MS Mincho" w:hAnsi="Palatino Linotype" w:cs="Times New Roman"/>
          <w:sz w:val="24"/>
          <w:szCs w:val="24"/>
          <w:lang w:val="es-ES_tradnl" w:eastAsia="es-ES"/>
        </w:rPr>
        <w:br w:type="page"/>
      </w:r>
    </w:p>
    <w:p w14:paraId="2BC02849" w14:textId="5185777C" w:rsidR="00C07697" w:rsidRPr="00F536FA" w:rsidRDefault="00792776" w:rsidP="004B2A20">
      <w:pPr>
        <w:spacing w:after="0" w:line="360" w:lineRule="auto"/>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F536FA">
        <w:rPr>
          <w:rFonts w:ascii="Palatino Linotype" w:eastAsia="MS Mincho" w:hAnsi="Palatino Linotype" w:cs="Times New Roman"/>
          <w:sz w:val="24"/>
          <w:szCs w:val="24"/>
          <w:lang w:val="es-ES_tradnl" w:eastAsia="es-ES"/>
        </w:rPr>
        <w:t xml:space="preserve"> </w:t>
      </w:r>
      <w:r w:rsidR="00E71454" w:rsidRPr="00F536FA">
        <w:rPr>
          <w:rFonts w:ascii="Palatino Linotype" w:eastAsia="MS Mincho" w:hAnsi="Palatino Linotype" w:cs="Times New Roman"/>
          <w:sz w:val="24"/>
          <w:szCs w:val="24"/>
          <w:lang w:val="es-ES_tradnl" w:eastAsia="es-ES"/>
        </w:rPr>
        <w:t>veintiocho</w:t>
      </w:r>
      <w:r w:rsidR="00392969" w:rsidRPr="00F536FA">
        <w:rPr>
          <w:rFonts w:ascii="Palatino Linotype" w:eastAsia="MS Mincho" w:hAnsi="Palatino Linotype" w:cs="Times New Roman"/>
          <w:sz w:val="24"/>
          <w:szCs w:val="24"/>
          <w:lang w:val="es-ES_tradnl" w:eastAsia="es-ES"/>
        </w:rPr>
        <w:t xml:space="preserve"> (</w:t>
      </w:r>
      <w:r w:rsidR="00787624" w:rsidRPr="00F536FA">
        <w:rPr>
          <w:rFonts w:ascii="Palatino Linotype" w:eastAsia="MS Mincho" w:hAnsi="Palatino Linotype" w:cs="Times New Roman"/>
          <w:sz w:val="24"/>
          <w:szCs w:val="24"/>
          <w:lang w:val="es-ES_tradnl" w:eastAsia="es-ES"/>
        </w:rPr>
        <w:t>2</w:t>
      </w:r>
      <w:r w:rsidR="00E71454" w:rsidRPr="00F536FA">
        <w:rPr>
          <w:rFonts w:ascii="Palatino Linotype" w:eastAsia="MS Mincho" w:hAnsi="Palatino Linotype" w:cs="Times New Roman"/>
          <w:sz w:val="24"/>
          <w:szCs w:val="24"/>
          <w:lang w:val="es-ES_tradnl" w:eastAsia="es-ES"/>
        </w:rPr>
        <w:t>8</w:t>
      </w:r>
      <w:r w:rsidR="00392969" w:rsidRPr="00F536FA">
        <w:rPr>
          <w:rFonts w:ascii="Palatino Linotype" w:eastAsia="MS Mincho" w:hAnsi="Palatino Linotype" w:cs="Times New Roman"/>
          <w:sz w:val="24"/>
          <w:szCs w:val="24"/>
          <w:lang w:val="es-ES_tradnl" w:eastAsia="es-ES"/>
        </w:rPr>
        <w:t xml:space="preserve">) de </w:t>
      </w:r>
      <w:r w:rsidR="00787624" w:rsidRPr="00F536FA">
        <w:rPr>
          <w:rFonts w:ascii="Palatino Linotype" w:eastAsia="MS Mincho" w:hAnsi="Palatino Linotype" w:cs="Times New Roman"/>
          <w:sz w:val="24"/>
          <w:szCs w:val="24"/>
          <w:lang w:val="es-ES_tradnl" w:eastAsia="es-ES"/>
        </w:rPr>
        <w:t>octubre</w:t>
      </w:r>
      <w:r w:rsidR="00392969" w:rsidRPr="00F536FA">
        <w:rPr>
          <w:rFonts w:ascii="Palatino Linotype" w:eastAsia="MS Mincho" w:hAnsi="Palatino Linotype" w:cs="Times New Roman"/>
          <w:sz w:val="24"/>
          <w:szCs w:val="24"/>
          <w:lang w:val="es-ES_tradnl" w:eastAsia="es-ES"/>
        </w:rPr>
        <w:t xml:space="preserve"> de dos mil veinte</w:t>
      </w:r>
      <w:r w:rsidR="00FF1477" w:rsidRPr="00F536FA">
        <w:rPr>
          <w:rFonts w:ascii="Palatino Linotype" w:eastAsia="MS Mincho" w:hAnsi="Palatino Linotype" w:cs="Times New Roman"/>
          <w:sz w:val="24"/>
          <w:szCs w:val="24"/>
          <w:lang w:val="es-ES_tradnl" w:eastAsia="es-ES"/>
        </w:rPr>
        <w:t>.</w:t>
      </w:r>
    </w:p>
    <w:p w14:paraId="05D63ECE" w14:textId="77777777" w:rsidR="00FF1477" w:rsidRPr="00F536FA" w:rsidRDefault="00FF1477" w:rsidP="004B2A20">
      <w:pPr>
        <w:spacing w:after="0" w:line="360" w:lineRule="auto"/>
        <w:jc w:val="both"/>
        <w:rPr>
          <w:rFonts w:ascii="Palatino Linotype" w:eastAsia="MS Mincho" w:hAnsi="Palatino Linotype" w:cs="Times New Roman"/>
          <w:sz w:val="24"/>
          <w:szCs w:val="24"/>
          <w:lang w:val="es-ES_tradnl" w:eastAsia="es-ES"/>
        </w:rPr>
      </w:pPr>
    </w:p>
    <w:p w14:paraId="2C38D3AF" w14:textId="1BE7DDB1" w:rsidR="0038737F" w:rsidRPr="00F536FA" w:rsidRDefault="00792776" w:rsidP="004B2A20">
      <w:pPr>
        <w:spacing w:after="0" w:line="360" w:lineRule="auto"/>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imes New Roman"/>
          <w:b/>
          <w:sz w:val="24"/>
          <w:szCs w:val="24"/>
          <w:lang w:val="es-ES_tradnl" w:eastAsia="es-ES"/>
        </w:rPr>
        <w:t>VISTO</w:t>
      </w:r>
      <w:r w:rsidRPr="00F536FA">
        <w:rPr>
          <w:rFonts w:ascii="Palatino Linotype" w:eastAsia="MS Mincho" w:hAnsi="Palatino Linotype" w:cs="Times New Roman"/>
          <w:sz w:val="24"/>
          <w:szCs w:val="24"/>
          <w:lang w:val="es-ES_tradnl" w:eastAsia="es-ES"/>
        </w:rPr>
        <w:t xml:space="preserve"> el expediente electrónico formado con motivo del recurso de</w:t>
      </w:r>
      <w:r w:rsidR="00B63653" w:rsidRPr="00F536FA">
        <w:rPr>
          <w:rFonts w:ascii="Palatino Linotype" w:eastAsia="MS Mincho" w:hAnsi="Palatino Linotype" w:cs="Times New Roman"/>
          <w:sz w:val="24"/>
          <w:szCs w:val="24"/>
          <w:lang w:val="es-ES_tradnl" w:eastAsia="es-ES"/>
        </w:rPr>
        <w:t xml:space="preserve"> revisión</w:t>
      </w:r>
      <w:r w:rsidR="00B63653" w:rsidRPr="00F536FA">
        <w:rPr>
          <w:rFonts w:ascii="Palatino Linotype" w:eastAsia="MS Mincho" w:hAnsi="Palatino Linotype" w:cs="Arial"/>
          <w:b/>
          <w:bCs/>
          <w:sz w:val="24"/>
          <w:szCs w:val="24"/>
          <w:lang w:val="es-ES_tradnl" w:eastAsia="es-ES"/>
        </w:rPr>
        <w:t xml:space="preserve">, </w:t>
      </w:r>
      <w:r w:rsidR="00E71454" w:rsidRPr="00F536FA">
        <w:rPr>
          <w:rFonts w:ascii="Palatino Linotype" w:hAnsi="Palatino Linotype" w:cs="Arial"/>
          <w:b/>
          <w:bCs/>
          <w:sz w:val="24"/>
          <w:lang w:eastAsia="es-MX"/>
        </w:rPr>
        <w:t xml:space="preserve">03693/INFOEM/IP/RR/2020 </w:t>
      </w:r>
      <w:r w:rsidR="00564AA4" w:rsidRPr="00F536FA">
        <w:rPr>
          <w:rFonts w:ascii="Palatino Linotype" w:hAnsi="Palatino Linotype"/>
          <w:sz w:val="24"/>
          <w:szCs w:val="24"/>
        </w:rPr>
        <w:t>promovido por</w:t>
      </w:r>
      <w:r w:rsidR="0038737F" w:rsidRPr="00F536FA">
        <w:rPr>
          <w:rFonts w:ascii="Palatino Linotype" w:hAnsi="Palatino Linotype"/>
          <w:sz w:val="24"/>
          <w:szCs w:val="24"/>
        </w:rPr>
        <w:t xml:space="preserve"> </w:t>
      </w:r>
      <w:r w:rsidR="002F7869" w:rsidRPr="002F7869">
        <w:rPr>
          <w:rFonts w:ascii="Palatino Linotype" w:hAnsi="Palatino Linotype"/>
          <w:b/>
          <w:bCs/>
          <w:sz w:val="24"/>
          <w:szCs w:val="24"/>
          <w:highlight w:val="black"/>
        </w:rPr>
        <w:t>-----------------------------------</w:t>
      </w:r>
      <w:r w:rsidRPr="00F536FA">
        <w:rPr>
          <w:rFonts w:ascii="Palatino Linotype" w:eastAsia="MS Mincho" w:hAnsi="Palatino Linotype" w:cs="Arial"/>
          <w:sz w:val="24"/>
          <w:szCs w:val="24"/>
          <w:lang w:val="es-ES_tradnl" w:eastAsia="es-ES"/>
        </w:rPr>
        <w:t xml:space="preserve">, en contra de </w:t>
      </w:r>
      <w:r w:rsidR="005E7BEE" w:rsidRPr="00F536FA">
        <w:rPr>
          <w:rFonts w:ascii="Palatino Linotype" w:eastAsia="MS Mincho" w:hAnsi="Palatino Linotype" w:cs="Arial"/>
          <w:sz w:val="24"/>
          <w:szCs w:val="24"/>
          <w:lang w:val="es-ES_tradnl" w:eastAsia="es-ES"/>
        </w:rPr>
        <w:t>la respuesta de</w:t>
      </w:r>
      <w:r w:rsidR="009617E8" w:rsidRPr="00F536FA">
        <w:rPr>
          <w:rFonts w:ascii="Palatino Linotype" w:eastAsia="MS Mincho" w:hAnsi="Palatino Linotype" w:cs="Arial"/>
          <w:sz w:val="24"/>
          <w:szCs w:val="24"/>
          <w:lang w:val="es-ES_tradnl" w:eastAsia="es-ES"/>
        </w:rPr>
        <w:t>l</w:t>
      </w:r>
      <w:r w:rsidR="00B63653" w:rsidRPr="00F536FA">
        <w:rPr>
          <w:rFonts w:ascii="Palatino Linotype" w:eastAsia="MS Mincho" w:hAnsi="Palatino Linotype" w:cs="Arial"/>
          <w:sz w:val="24"/>
          <w:szCs w:val="24"/>
          <w:lang w:val="es-ES_tradnl" w:eastAsia="es-ES"/>
        </w:rPr>
        <w:t xml:space="preserve"> </w:t>
      </w:r>
      <w:r w:rsidR="00E71454" w:rsidRPr="00F536FA">
        <w:rPr>
          <w:rFonts w:ascii="Palatino Linotype" w:eastAsia="MS Mincho" w:hAnsi="Palatino Linotype" w:cs="Arial"/>
          <w:b/>
          <w:sz w:val="24"/>
          <w:szCs w:val="24"/>
          <w:lang w:val="es-ES_tradnl" w:eastAsia="es-ES"/>
        </w:rPr>
        <w:t>Ayuntamiento de Ixtlahuaca</w:t>
      </w:r>
      <w:r w:rsidR="00392969" w:rsidRPr="00F536FA">
        <w:rPr>
          <w:rFonts w:ascii="Palatino Linotype" w:eastAsia="MS Mincho" w:hAnsi="Palatino Linotype" w:cs="Arial"/>
          <w:bCs/>
          <w:sz w:val="24"/>
          <w:szCs w:val="24"/>
          <w:lang w:val="es-ES_tradnl" w:eastAsia="es-ES"/>
        </w:rPr>
        <w:t xml:space="preserve">, </w:t>
      </w:r>
      <w:r w:rsidRPr="00F536FA">
        <w:rPr>
          <w:rFonts w:ascii="Palatino Linotype" w:eastAsia="MS Mincho" w:hAnsi="Palatino Linotype" w:cs="Times New Roman"/>
          <w:sz w:val="24"/>
          <w:szCs w:val="24"/>
          <w:lang w:val="es-ES_tradnl" w:eastAsia="es-ES"/>
        </w:rPr>
        <w:t>en lo sucesivo el</w:t>
      </w:r>
      <w:r w:rsidRPr="00F536FA">
        <w:rPr>
          <w:rFonts w:ascii="Palatino Linotype" w:eastAsia="MS Mincho" w:hAnsi="Palatino Linotype" w:cs="Times New Roman"/>
          <w:b/>
          <w:sz w:val="24"/>
          <w:szCs w:val="24"/>
          <w:lang w:val="es-ES_tradnl" w:eastAsia="es-ES"/>
        </w:rPr>
        <w:t xml:space="preserve"> SUJETO OBLIGADO</w:t>
      </w:r>
      <w:r w:rsidRPr="00F536FA">
        <w:rPr>
          <w:rFonts w:ascii="Palatino Linotype" w:eastAsia="MS Mincho" w:hAnsi="Palatino Linotype" w:cs="Times New Roman"/>
          <w:bCs/>
          <w:sz w:val="24"/>
          <w:szCs w:val="24"/>
          <w:lang w:val="es-ES_tradnl" w:eastAsia="es-ES"/>
        </w:rPr>
        <w:t xml:space="preserve">, </w:t>
      </w:r>
      <w:r w:rsidRPr="00F536FA">
        <w:rPr>
          <w:rFonts w:ascii="Palatino Linotype" w:eastAsia="MS Mincho" w:hAnsi="Palatino Linotype" w:cs="Times New Roman"/>
          <w:sz w:val="24"/>
          <w:szCs w:val="24"/>
          <w:lang w:val="es-ES_tradnl" w:eastAsia="es-ES"/>
        </w:rPr>
        <w:t>se procede a dictar la presente resolución, con base en los siguientes:</w:t>
      </w:r>
    </w:p>
    <w:p w14:paraId="33389E64" w14:textId="77777777" w:rsidR="0038737F" w:rsidRPr="00F536FA" w:rsidRDefault="0038737F" w:rsidP="004B2A20">
      <w:pPr>
        <w:spacing w:after="0" w:line="360" w:lineRule="auto"/>
        <w:jc w:val="both"/>
        <w:rPr>
          <w:rFonts w:ascii="Palatino Linotype" w:eastAsia="MS Mincho" w:hAnsi="Palatino Linotype" w:cs="Times New Roman"/>
          <w:sz w:val="24"/>
          <w:szCs w:val="24"/>
          <w:lang w:val="es-ES_tradnl" w:eastAsia="es-ES"/>
        </w:rPr>
      </w:pPr>
    </w:p>
    <w:p w14:paraId="38BAF27A" w14:textId="77777777" w:rsidR="00792776" w:rsidRPr="00F536FA" w:rsidRDefault="00792776" w:rsidP="004B2A20">
      <w:pPr>
        <w:keepNext/>
        <w:keepLines/>
        <w:spacing w:after="0" w:line="360" w:lineRule="auto"/>
        <w:jc w:val="center"/>
        <w:outlineLvl w:val="0"/>
        <w:rPr>
          <w:rFonts w:ascii="Palatino Linotype" w:eastAsia="MS Gothic" w:hAnsi="Palatino Linotype" w:cs="Times New Roman"/>
          <w:b/>
          <w:sz w:val="24"/>
          <w:szCs w:val="32"/>
          <w:lang w:val="de-DE"/>
        </w:rPr>
      </w:pPr>
      <w:bookmarkStart w:id="1" w:name="_Toc54316026"/>
      <w:r w:rsidRPr="00F536FA">
        <w:rPr>
          <w:rFonts w:ascii="Palatino Linotype" w:eastAsia="MS Gothic" w:hAnsi="Palatino Linotype" w:cs="Times New Roman"/>
          <w:b/>
          <w:sz w:val="24"/>
          <w:szCs w:val="32"/>
          <w:lang w:val="de-DE"/>
        </w:rPr>
        <w:t>A N T E C E D E N T E S</w:t>
      </w:r>
      <w:bookmarkEnd w:id="1"/>
    </w:p>
    <w:p w14:paraId="76F4FC92" w14:textId="77777777" w:rsidR="00792776" w:rsidRPr="00F536FA" w:rsidRDefault="00792776" w:rsidP="004B2A20">
      <w:pPr>
        <w:spacing w:after="0" w:line="360" w:lineRule="auto"/>
        <w:rPr>
          <w:lang w:val="de-DE"/>
        </w:rPr>
      </w:pPr>
    </w:p>
    <w:p w14:paraId="2F8A6D78" w14:textId="3DE76A5B" w:rsidR="00792776" w:rsidRPr="00F536FA" w:rsidRDefault="00792776" w:rsidP="001750B7">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F536FA">
        <w:rPr>
          <w:rFonts w:ascii="Palatino Linotype" w:eastAsia="Calibri" w:hAnsi="Palatino Linotype" w:cs="Arial"/>
          <w:sz w:val="24"/>
          <w:szCs w:val="24"/>
          <w:lang w:val="es-ES" w:eastAsia="es-ES"/>
        </w:rPr>
        <w:t xml:space="preserve">El </w:t>
      </w:r>
      <w:r w:rsidR="00AC0948" w:rsidRPr="00F536FA">
        <w:rPr>
          <w:rFonts w:ascii="Palatino Linotype" w:eastAsia="Calibri" w:hAnsi="Palatino Linotype" w:cs="Arial"/>
          <w:sz w:val="24"/>
          <w:szCs w:val="24"/>
          <w:lang w:val="es-ES" w:eastAsia="es-ES"/>
        </w:rPr>
        <w:t>dieciséis</w:t>
      </w:r>
      <w:r w:rsidR="00AB5EEB" w:rsidRPr="00F536FA">
        <w:rPr>
          <w:rFonts w:ascii="Palatino Linotype" w:eastAsia="Calibri" w:hAnsi="Palatino Linotype" w:cs="Arial"/>
          <w:sz w:val="24"/>
          <w:szCs w:val="24"/>
          <w:lang w:val="es-ES" w:eastAsia="es-ES"/>
        </w:rPr>
        <w:t xml:space="preserve"> </w:t>
      </w:r>
      <w:r w:rsidR="00C25D6B" w:rsidRPr="00F536FA">
        <w:rPr>
          <w:rFonts w:ascii="Palatino Linotype" w:eastAsia="Times New Roman" w:hAnsi="Palatino Linotype" w:cs="Arial"/>
          <w:sz w:val="24"/>
          <w:szCs w:val="24"/>
          <w:lang w:val="es-ES" w:eastAsia="es-ES"/>
        </w:rPr>
        <w:t>(</w:t>
      </w:r>
      <w:r w:rsidR="00AC0948" w:rsidRPr="00F536FA">
        <w:rPr>
          <w:rFonts w:ascii="Palatino Linotype" w:eastAsia="Times New Roman" w:hAnsi="Palatino Linotype" w:cs="Arial"/>
          <w:sz w:val="24"/>
          <w:szCs w:val="24"/>
          <w:lang w:val="es-ES" w:eastAsia="es-ES"/>
        </w:rPr>
        <w:t>16</w:t>
      </w:r>
      <w:r w:rsidR="00960D99" w:rsidRPr="00F536FA">
        <w:rPr>
          <w:rFonts w:ascii="Palatino Linotype" w:eastAsia="Times New Roman" w:hAnsi="Palatino Linotype" w:cs="Arial"/>
          <w:sz w:val="24"/>
          <w:szCs w:val="24"/>
          <w:lang w:val="es-ES" w:eastAsia="es-ES"/>
        </w:rPr>
        <w:t>) d</w:t>
      </w:r>
      <w:r w:rsidR="00836903" w:rsidRPr="00F536FA">
        <w:rPr>
          <w:rFonts w:ascii="Palatino Linotype" w:eastAsia="Times New Roman" w:hAnsi="Palatino Linotype" w:cs="Arial"/>
          <w:sz w:val="24"/>
          <w:szCs w:val="24"/>
          <w:lang w:val="es-ES" w:eastAsia="es-ES"/>
        </w:rPr>
        <w:t>e</w:t>
      </w:r>
      <w:r w:rsidR="00AB5EEB" w:rsidRPr="00F536FA">
        <w:rPr>
          <w:rFonts w:ascii="Palatino Linotype" w:eastAsia="Times New Roman" w:hAnsi="Palatino Linotype" w:cs="Arial"/>
          <w:sz w:val="24"/>
          <w:szCs w:val="24"/>
          <w:lang w:val="es-ES" w:eastAsia="es-ES"/>
        </w:rPr>
        <w:t xml:space="preserve"> </w:t>
      </w:r>
      <w:r w:rsidR="00787624" w:rsidRPr="00F536FA">
        <w:rPr>
          <w:rFonts w:ascii="Palatino Linotype" w:eastAsia="Times New Roman" w:hAnsi="Palatino Linotype" w:cs="Arial"/>
          <w:sz w:val="24"/>
          <w:szCs w:val="24"/>
          <w:lang w:val="es-ES" w:eastAsia="es-ES"/>
        </w:rPr>
        <w:t>ju</w:t>
      </w:r>
      <w:r w:rsidR="00AC0948" w:rsidRPr="00F536FA">
        <w:rPr>
          <w:rFonts w:ascii="Palatino Linotype" w:eastAsia="Times New Roman" w:hAnsi="Palatino Linotype" w:cs="Arial"/>
          <w:sz w:val="24"/>
          <w:szCs w:val="24"/>
          <w:lang w:val="es-ES" w:eastAsia="es-ES"/>
        </w:rPr>
        <w:t>l</w:t>
      </w:r>
      <w:r w:rsidR="00787624" w:rsidRPr="00F536FA">
        <w:rPr>
          <w:rFonts w:ascii="Palatino Linotype" w:eastAsia="Times New Roman" w:hAnsi="Palatino Linotype" w:cs="Arial"/>
          <w:sz w:val="24"/>
          <w:szCs w:val="24"/>
          <w:lang w:val="es-ES" w:eastAsia="es-ES"/>
        </w:rPr>
        <w:t>io</w:t>
      </w:r>
      <w:r w:rsidR="00A16B6C" w:rsidRPr="00F536FA">
        <w:rPr>
          <w:rFonts w:ascii="Palatino Linotype" w:eastAsia="Times New Roman" w:hAnsi="Palatino Linotype" w:cs="Arial"/>
          <w:sz w:val="24"/>
          <w:szCs w:val="24"/>
          <w:lang w:val="es-ES" w:eastAsia="es-ES"/>
        </w:rPr>
        <w:t xml:space="preserve"> </w:t>
      </w:r>
      <w:r w:rsidR="00AB5EEB" w:rsidRPr="00F536FA">
        <w:rPr>
          <w:rFonts w:ascii="Palatino Linotype" w:eastAsia="Times New Roman" w:hAnsi="Palatino Linotype" w:cs="Arial"/>
          <w:sz w:val="24"/>
          <w:szCs w:val="24"/>
          <w:lang w:val="es-ES" w:eastAsia="es-ES"/>
        </w:rPr>
        <w:t>de</w:t>
      </w:r>
      <w:r w:rsidR="00F40914" w:rsidRPr="00F536FA">
        <w:rPr>
          <w:rFonts w:ascii="Palatino Linotype" w:eastAsia="Times New Roman" w:hAnsi="Palatino Linotype" w:cs="Arial"/>
          <w:sz w:val="24"/>
          <w:szCs w:val="24"/>
          <w:lang w:val="es-ES" w:eastAsia="es-ES"/>
        </w:rPr>
        <w:t xml:space="preserve"> dos mil </w:t>
      </w:r>
      <w:r w:rsidR="00AB5EEB" w:rsidRPr="00F536FA">
        <w:rPr>
          <w:rFonts w:ascii="Palatino Linotype" w:eastAsia="Times New Roman" w:hAnsi="Palatino Linotype" w:cs="Arial"/>
          <w:sz w:val="24"/>
          <w:szCs w:val="24"/>
          <w:lang w:val="es-ES" w:eastAsia="es-ES"/>
        </w:rPr>
        <w:t>veinte,</w:t>
      </w:r>
      <w:r w:rsidRPr="00F536FA">
        <w:rPr>
          <w:rFonts w:ascii="Palatino Linotype" w:eastAsia="Calibri" w:hAnsi="Palatino Linotype" w:cs="Times New Roman"/>
          <w:sz w:val="24"/>
          <w:szCs w:val="24"/>
          <w:lang w:val="es-ES" w:eastAsia="es-ES"/>
        </w:rPr>
        <w:t xml:space="preserve"> </w:t>
      </w:r>
      <w:r w:rsidR="005E4F8B" w:rsidRPr="00F536FA">
        <w:rPr>
          <w:rFonts w:ascii="Palatino Linotype" w:eastAsia="Calibri" w:hAnsi="Palatino Linotype" w:cs="Times New Roman"/>
          <w:sz w:val="24"/>
          <w:szCs w:val="24"/>
          <w:lang w:val="es-ES" w:eastAsia="es-ES"/>
        </w:rPr>
        <w:t>el particular</w:t>
      </w:r>
      <w:r w:rsidRPr="00F536FA">
        <w:rPr>
          <w:rFonts w:ascii="Palatino Linotype" w:eastAsia="Calibri" w:hAnsi="Palatino Linotype" w:cs="Times New Roman"/>
          <w:sz w:val="24"/>
          <w:szCs w:val="24"/>
          <w:lang w:val="es-ES" w:eastAsia="es-ES"/>
        </w:rPr>
        <w:t xml:space="preserve"> presentó </w:t>
      </w:r>
      <w:r w:rsidRPr="00F536FA">
        <w:rPr>
          <w:rFonts w:ascii="Palatino Linotype" w:eastAsia="Calibri" w:hAnsi="Palatino Linotype" w:cs="Arial"/>
          <w:sz w:val="24"/>
          <w:szCs w:val="24"/>
          <w:lang w:val="es-ES" w:eastAsia="es-ES"/>
        </w:rPr>
        <w:t xml:space="preserve">ante el </w:t>
      </w:r>
      <w:r w:rsidRPr="00F536FA">
        <w:rPr>
          <w:rFonts w:ascii="Palatino Linotype" w:eastAsia="Calibri" w:hAnsi="Palatino Linotype" w:cs="Arial"/>
          <w:b/>
          <w:sz w:val="24"/>
          <w:szCs w:val="24"/>
          <w:lang w:val="es-ES" w:eastAsia="es-ES"/>
        </w:rPr>
        <w:t>SUJETO OBLIGADO</w:t>
      </w:r>
      <w:r w:rsidR="00B052A7" w:rsidRPr="00F536FA">
        <w:rPr>
          <w:rFonts w:ascii="Palatino Linotype" w:eastAsia="Calibri" w:hAnsi="Palatino Linotype" w:cs="Arial"/>
          <w:b/>
          <w:sz w:val="24"/>
          <w:szCs w:val="24"/>
          <w:lang w:val="es-ES" w:eastAsia="es-ES"/>
        </w:rPr>
        <w:t>,</w:t>
      </w:r>
      <w:r w:rsidRPr="00F536FA">
        <w:rPr>
          <w:rFonts w:ascii="Palatino Linotype" w:eastAsia="Calibri" w:hAnsi="Palatino Linotype" w:cs="Arial"/>
          <w:sz w:val="24"/>
          <w:szCs w:val="24"/>
          <w:lang w:val="es-ES_tradnl" w:eastAsia="es-ES"/>
        </w:rPr>
        <w:t xml:space="preserve"> </w:t>
      </w:r>
      <w:r w:rsidR="00C317BE" w:rsidRPr="00F536FA">
        <w:rPr>
          <w:rFonts w:ascii="Palatino Linotype" w:eastAsia="Calibri" w:hAnsi="Palatino Linotype" w:cs="Arial"/>
          <w:sz w:val="24"/>
          <w:szCs w:val="24"/>
          <w:lang w:val="es-ES_tradnl" w:eastAsia="es-ES"/>
        </w:rPr>
        <w:t>a través del</w:t>
      </w:r>
      <w:r w:rsidRPr="00F536FA">
        <w:rPr>
          <w:rFonts w:ascii="Palatino Linotype" w:eastAsia="Calibri" w:hAnsi="Palatino Linotype" w:cs="Arial"/>
          <w:sz w:val="24"/>
          <w:szCs w:val="24"/>
          <w:lang w:val="es-ES_tradnl" w:eastAsia="es-ES"/>
        </w:rPr>
        <w:t xml:space="preserve"> </w:t>
      </w:r>
      <w:r w:rsidRPr="00F536FA">
        <w:rPr>
          <w:rFonts w:ascii="Palatino Linotype" w:eastAsia="Calibri" w:hAnsi="Palatino Linotype" w:cs="Arial"/>
          <w:sz w:val="24"/>
          <w:szCs w:val="24"/>
          <w:lang w:val="es-ES" w:eastAsia="es-ES"/>
        </w:rPr>
        <w:t xml:space="preserve">Sistema de Acceso a la Información Mexiquense </w:t>
      </w:r>
      <w:r w:rsidRPr="00F536FA">
        <w:rPr>
          <w:rFonts w:ascii="Palatino Linotype" w:eastAsia="Calibri" w:hAnsi="Palatino Linotype" w:cs="Arial"/>
          <w:b/>
          <w:sz w:val="24"/>
          <w:szCs w:val="24"/>
          <w:lang w:val="es-ES" w:eastAsia="es-ES"/>
        </w:rPr>
        <w:t>SAIMEX</w:t>
      </w:r>
      <w:r w:rsidRPr="00F536FA">
        <w:rPr>
          <w:rFonts w:ascii="Palatino Linotype" w:eastAsia="Calibri" w:hAnsi="Palatino Linotype" w:cs="Arial"/>
          <w:sz w:val="24"/>
          <w:szCs w:val="24"/>
          <w:lang w:val="es-ES" w:eastAsia="es-ES"/>
        </w:rPr>
        <w:t>, la solicitud de infor</w:t>
      </w:r>
      <w:r w:rsidR="005D1CFC" w:rsidRPr="00F536FA">
        <w:rPr>
          <w:rFonts w:ascii="Palatino Linotype" w:eastAsia="Calibri" w:hAnsi="Palatino Linotype" w:cs="Arial"/>
          <w:sz w:val="24"/>
          <w:szCs w:val="24"/>
          <w:lang w:val="es-ES" w:eastAsia="es-ES"/>
        </w:rPr>
        <w:t>m</w:t>
      </w:r>
      <w:r w:rsidR="00F40914" w:rsidRPr="00F536FA">
        <w:rPr>
          <w:rFonts w:ascii="Palatino Linotype" w:eastAsia="Calibri" w:hAnsi="Palatino Linotype" w:cs="Arial"/>
          <w:sz w:val="24"/>
          <w:szCs w:val="24"/>
          <w:lang w:val="es-ES" w:eastAsia="es-ES"/>
        </w:rPr>
        <w:t>ación pública registrada con el número</w:t>
      </w:r>
      <w:r w:rsidR="005D1CFC" w:rsidRPr="00F536FA">
        <w:rPr>
          <w:rFonts w:ascii="Palatino Linotype" w:eastAsia="Calibri" w:hAnsi="Palatino Linotype" w:cs="Arial"/>
          <w:sz w:val="24"/>
          <w:szCs w:val="24"/>
          <w:lang w:val="es-ES" w:eastAsia="es-ES"/>
        </w:rPr>
        <w:t xml:space="preserve"> </w:t>
      </w:r>
      <w:r w:rsidR="00E71454" w:rsidRPr="00F536FA">
        <w:rPr>
          <w:rFonts w:ascii="Palatino Linotype" w:eastAsia="Times New Roman" w:hAnsi="Palatino Linotype" w:cs="Arial"/>
          <w:b/>
          <w:bCs/>
          <w:sz w:val="24"/>
          <w:szCs w:val="24"/>
          <w:lang w:eastAsia="es-ES"/>
        </w:rPr>
        <w:t>00072/IXTLAHUA/IP/2020</w:t>
      </w:r>
      <w:r w:rsidR="00AC0948" w:rsidRPr="00F536FA">
        <w:rPr>
          <w:rFonts w:ascii="Palatino Linotype" w:eastAsia="Times New Roman" w:hAnsi="Palatino Linotype" w:cs="Arial"/>
          <w:b/>
          <w:bCs/>
          <w:sz w:val="24"/>
          <w:szCs w:val="24"/>
          <w:lang w:eastAsia="es-ES"/>
        </w:rPr>
        <w:t xml:space="preserve"> </w:t>
      </w:r>
      <w:r w:rsidRPr="00F536FA">
        <w:rPr>
          <w:rFonts w:ascii="Palatino Linotype" w:eastAsia="Calibri" w:hAnsi="Palatino Linotype" w:cs="Arial"/>
          <w:sz w:val="24"/>
          <w:szCs w:val="24"/>
          <w:lang w:val="es-ES" w:eastAsia="es-ES"/>
        </w:rPr>
        <w:t>mediante la cual solicitó:</w:t>
      </w:r>
    </w:p>
    <w:p w14:paraId="6C9654F4" w14:textId="77777777" w:rsidR="004A3422" w:rsidRPr="00F536FA" w:rsidRDefault="004A3422" w:rsidP="004B2A20">
      <w:pPr>
        <w:spacing w:after="0" w:line="360" w:lineRule="auto"/>
        <w:ind w:left="426"/>
        <w:contextualSpacing/>
        <w:jc w:val="both"/>
        <w:rPr>
          <w:rFonts w:ascii="Palatino Linotype" w:eastAsia="Calibri" w:hAnsi="Palatino Linotype" w:cs="Arial"/>
          <w:i/>
          <w:iCs/>
          <w:sz w:val="24"/>
          <w:szCs w:val="24"/>
          <w:lang w:val="es-ES" w:eastAsia="es-ES"/>
        </w:rPr>
      </w:pPr>
    </w:p>
    <w:p w14:paraId="5E4615F7" w14:textId="0F191B19" w:rsidR="00792776" w:rsidRPr="00F536FA" w:rsidRDefault="00853887" w:rsidP="00B052A7">
      <w:pPr>
        <w:pStyle w:val="Prrafodelista"/>
        <w:spacing w:after="0" w:line="276" w:lineRule="auto"/>
        <w:ind w:left="567" w:right="567"/>
        <w:jc w:val="both"/>
        <w:rPr>
          <w:rFonts w:ascii="Palatino Linotype" w:hAnsi="Palatino Linotype"/>
          <w:i/>
          <w:iCs/>
          <w:color w:val="000000"/>
        </w:rPr>
      </w:pPr>
      <w:r w:rsidRPr="00F536FA">
        <w:rPr>
          <w:rFonts w:ascii="Palatino Linotype" w:hAnsi="Palatino Linotype"/>
          <w:i/>
          <w:iCs/>
          <w:color w:val="000000"/>
        </w:rPr>
        <w:t>“</w:t>
      </w:r>
      <w:r w:rsidR="00AC0948" w:rsidRPr="00F536FA">
        <w:rPr>
          <w:rFonts w:ascii="Palatino Linotype" w:hAnsi="Palatino Linotype"/>
          <w:i/>
          <w:iCs/>
          <w:color w:val="000000"/>
        </w:rPr>
        <w:t xml:space="preserve">Solicito saber el monto de las aportaciones realizadas en cualquier modalidad (pago de derechos, donación, </w:t>
      </w:r>
      <w:proofErr w:type="spellStart"/>
      <w:r w:rsidR="00AC0948" w:rsidRPr="00F536FA">
        <w:rPr>
          <w:rFonts w:ascii="Palatino Linotype" w:hAnsi="Palatino Linotype"/>
          <w:i/>
          <w:iCs/>
          <w:color w:val="000000"/>
        </w:rPr>
        <w:t>etc</w:t>
      </w:r>
      <w:proofErr w:type="spellEnd"/>
      <w:r w:rsidR="00AC0948" w:rsidRPr="00F536FA">
        <w:rPr>
          <w:rFonts w:ascii="Palatino Linotype" w:hAnsi="Palatino Linotype"/>
          <w:i/>
          <w:iCs/>
          <w:color w:val="000000"/>
        </w:rPr>
        <w:t xml:space="preserve">), al Ayuntamiento, por parte de las empresas y/o personas físicas de juegos mecánicos que han proporcionado el servicio de juegos mecánicos en las ferias correspondientes a los festejos del mes de octubre de los años 2015 a 2019; así como copia de los recibos otorgados por la tesorería municipal y copia de los permisos otorgados por el ayuntamiento. Solicito copia de los contratos, acuerdos, convenios o documentos jurídicos celebrados entre el Ayuntamiento de Ixtlahuaca y las empresas y/o personas </w:t>
      </w:r>
      <w:proofErr w:type="spellStart"/>
      <w:r w:rsidR="00AC0948" w:rsidRPr="00F536FA">
        <w:rPr>
          <w:rFonts w:ascii="Palatino Linotype" w:hAnsi="Palatino Linotype"/>
          <w:i/>
          <w:iCs/>
          <w:color w:val="000000"/>
        </w:rPr>
        <w:t>fisicas</w:t>
      </w:r>
      <w:proofErr w:type="spellEnd"/>
      <w:r w:rsidR="00AC0948" w:rsidRPr="00F536FA">
        <w:rPr>
          <w:rFonts w:ascii="Palatino Linotype" w:hAnsi="Palatino Linotype"/>
          <w:i/>
          <w:iCs/>
          <w:color w:val="000000"/>
        </w:rPr>
        <w:t xml:space="preserve"> de juegos mecánicos, en los que se establezcan los términos bajo los cuales el ayuntamiento permitirá la instalación de dichas empresas durante las ferias 2015 a 2019. Solicito conocer el costo de la realización de la feria de Ixtlahuaca en los ejercicios 2015 a 2019, así como los programas y elencos artísticos de cada edición. Solicito conocer </w:t>
      </w:r>
      <w:r w:rsidR="00AC0948" w:rsidRPr="00F536FA">
        <w:rPr>
          <w:rFonts w:ascii="Palatino Linotype" w:hAnsi="Palatino Linotype"/>
          <w:i/>
          <w:iCs/>
          <w:color w:val="000000"/>
        </w:rPr>
        <w:lastRenderedPageBreak/>
        <w:t xml:space="preserve">el nombre de la empresa o empresas y/o personas físicas que llevaron a cabo los eventos denominados "cuernos chuecos", concierto de pancho </w:t>
      </w:r>
      <w:proofErr w:type="spellStart"/>
      <w:r w:rsidR="00AC0948" w:rsidRPr="00F536FA">
        <w:rPr>
          <w:rFonts w:ascii="Palatino Linotype" w:hAnsi="Palatino Linotype"/>
          <w:i/>
          <w:iCs/>
          <w:color w:val="000000"/>
        </w:rPr>
        <w:t>barraza</w:t>
      </w:r>
      <w:proofErr w:type="spellEnd"/>
      <w:r w:rsidR="00AC0948" w:rsidRPr="00F536FA">
        <w:rPr>
          <w:rFonts w:ascii="Palatino Linotype" w:hAnsi="Palatino Linotype"/>
          <w:i/>
          <w:iCs/>
          <w:color w:val="000000"/>
        </w:rPr>
        <w:t xml:space="preserve">, concierto </w:t>
      </w:r>
      <w:proofErr w:type="spellStart"/>
      <w:r w:rsidR="00AC0948" w:rsidRPr="00F536FA">
        <w:rPr>
          <w:rFonts w:ascii="Palatino Linotype" w:hAnsi="Palatino Linotype"/>
          <w:i/>
          <w:iCs/>
          <w:color w:val="000000"/>
        </w:rPr>
        <w:t>de el</w:t>
      </w:r>
      <w:proofErr w:type="spellEnd"/>
      <w:r w:rsidR="00AC0948" w:rsidRPr="00F536FA">
        <w:rPr>
          <w:rFonts w:ascii="Palatino Linotype" w:hAnsi="Palatino Linotype"/>
          <w:i/>
          <w:iCs/>
          <w:color w:val="000000"/>
        </w:rPr>
        <w:t xml:space="preserve"> trono de México y Corrida de Toros, durante la feria 2019. Solicito conocer las aportaciones bajo cualquier modalidad que realizaron dichas empresas y/o personas </w:t>
      </w:r>
      <w:proofErr w:type="spellStart"/>
      <w:r w:rsidR="00AC0948" w:rsidRPr="00F536FA">
        <w:rPr>
          <w:rFonts w:ascii="Palatino Linotype" w:hAnsi="Palatino Linotype"/>
          <w:i/>
          <w:iCs/>
          <w:color w:val="000000"/>
        </w:rPr>
        <w:t>fisicas</w:t>
      </w:r>
      <w:proofErr w:type="spellEnd"/>
      <w:r w:rsidR="00AC0948" w:rsidRPr="00F536FA">
        <w:rPr>
          <w:rFonts w:ascii="Palatino Linotype" w:hAnsi="Palatino Linotype"/>
          <w:i/>
          <w:iCs/>
          <w:color w:val="000000"/>
        </w:rPr>
        <w:t xml:space="preserve"> al Ayuntamiento por concepto de la realización de los eventos denominados "cuernos chuecos", concierto de pancho </w:t>
      </w:r>
      <w:proofErr w:type="spellStart"/>
      <w:r w:rsidR="00AC0948" w:rsidRPr="00F536FA">
        <w:rPr>
          <w:rFonts w:ascii="Palatino Linotype" w:hAnsi="Palatino Linotype"/>
          <w:i/>
          <w:iCs/>
          <w:color w:val="000000"/>
        </w:rPr>
        <w:t>barraza</w:t>
      </w:r>
      <w:proofErr w:type="spellEnd"/>
      <w:r w:rsidR="00AC0948" w:rsidRPr="00F536FA">
        <w:rPr>
          <w:rFonts w:ascii="Palatino Linotype" w:hAnsi="Palatino Linotype"/>
          <w:i/>
          <w:iCs/>
          <w:color w:val="000000"/>
        </w:rPr>
        <w:t xml:space="preserve">, concierto </w:t>
      </w:r>
      <w:proofErr w:type="spellStart"/>
      <w:r w:rsidR="00AC0948" w:rsidRPr="00F536FA">
        <w:rPr>
          <w:rFonts w:ascii="Palatino Linotype" w:hAnsi="Palatino Linotype"/>
          <w:i/>
          <w:iCs/>
          <w:color w:val="000000"/>
        </w:rPr>
        <w:t>de el</w:t>
      </w:r>
      <w:proofErr w:type="spellEnd"/>
      <w:r w:rsidR="00AC0948" w:rsidRPr="00F536FA">
        <w:rPr>
          <w:rFonts w:ascii="Palatino Linotype" w:hAnsi="Palatino Linotype"/>
          <w:i/>
          <w:iCs/>
          <w:color w:val="000000"/>
        </w:rPr>
        <w:t xml:space="preserve"> trono de México y Corrida de Toros, durante la feria 2019; así como copia de los recibos expedidos por la tesorería. Solicito copia de los contratos, acuerdos, convenios o documentos jurídicos celebrados por el </w:t>
      </w:r>
      <w:proofErr w:type="spellStart"/>
      <w:r w:rsidR="00AC0948" w:rsidRPr="00F536FA">
        <w:rPr>
          <w:rFonts w:ascii="Palatino Linotype" w:hAnsi="Palatino Linotype"/>
          <w:i/>
          <w:iCs/>
          <w:color w:val="000000"/>
        </w:rPr>
        <w:t>Ayuntamiento</w:t>
      </w:r>
      <w:proofErr w:type="gramStart"/>
      <w:r w:rsidR="00AC0948" w:rsidRPr="00F536FA">
        <w:rPr>
          <w:rFonts w:ascii="Palatino Linotype" w:hAnsi="Palatino Linotype"/>
          <w:i/>
          <w:iCs/>
          <w:color w:val="000000"/>
        </w:rPr>
        <w:t>,en</w:t>
      </w:r>
      <w:proofErr w:type="spellEnd"/>
      <w:proofErr w:type="gramEnd"/>
      <w:r w:rsidR="00AC0948" w:rsidRPr="00F536FA">
        <w:rPr>
          <w:rFonts w:ascii="Palatino Linotype" w:hAnsi="Palatino Linotype"/>
          <w:i/>
          <w:iCs/>
          <w:color w:val="000000"/>
        </w:rPr>
        <w:t xml:space="preserve"> los que se establezcan los términos para realizar los eventos denominados "cuernos chuecos", concierto de pancho </w:t>
      </w:r>
      <w:proofErr w:type="spellStart"/>
      <w:r w:rsidR="00AC0948" w:rsidRPr="00F536FA">
        <w:rPr>
          <w:rFonts w:ascii="Palatino Linotype" w:hAnsi="Palatino Linotype"/>
          <w:i/>
          <w:iCs/>
          <w:color w:val="000000"/>
        </w:rPr>
        <w:t>barraza</w:t>
      </w:r>
      <w:proofErr w:type="spellEnd"/>
      <w:r w:rsidR="00AC0948" w:rsidRPr="00F536FA">
        <w:rPr>
          <w:rFonts w:ascii="Palatino Linotype" w:hAnsi="Palatino Linotype"/>
          <w:i/>
          <w:iCs/>
          <w:color w:val="000000"/>
        </w:rPr>
        <w:t xml:space="preserve">, concierto </w:t>
      </w:r>
      <w:proofErr w:type="spellStart"/>
      <w:r w:rsidR="00AC0948" w:rsidRPr="00F536FA">
        <w:rPr>
          <w:rFonts w:ascii="Palatino Linotype" w:hAnsi="Palatino Linotype"/>
          <w:i/>
          <w:iCs/>
          <w:color w:val="000000"/>
        </w:rPr>
        <w:t>de el</w:t>
      </w:r>
      <w:proofErr w:type="spellEnd"/>
      <w:r w:rsidR="00AC0948" w:rsidRPr="00F536FA">
        <w:rPr>
          <w:rFonts w:ascii="Palatino Linotype" w:hAnsi="Palatino Linotype"/>
          <w:i/>
          <w:iCs/>
          <w:color w:val="000000"/>
        </w:rPr>
        <w:t xml:space="preserve"> trono de México y Corrida de Toros, durante la feria 2019; así como copia de los permisos otorgados por el ayuntamiento para la realización de dichos eventos. Conocer el monto recaudado por el Ayuntamiento, por concepto de arrendamiento de espacios comerciales en la Feria Ixtlahuaca 2019. Solicito el nombre de la empresa o personas física, responsable de la realización del palenque de peleas de gallos, durante la feria </w:t>
      </w:r>
      <w:proofErr w:type="spellStart"/>
      <w:r w:rsidR="00AC0948" w:rsidRPr="00F536FA">
        <w:rPr>
          <w:rFonts w:ascii="Palatino Linotype" w:hAnsi="Palatino Linotype"/>
          <w:i/>
          <w:iCs/>
          <w:color w:val="000000"/>
        </w:rPr>
        <w:t>ixtlahuaca</w:t>
      </w:r>
      <w:proofErr w:type="spellEnd"/>
      <w:r w:rsidR="00AC0948" w:rsidRPr="00F536FA">
        <w:rPr>
          <w:rFonts w:ascii="Palatino Linotype" w:hAnsi="Palatino Linotype"/>
          <w:i/>
          <w:iCs/>
          <w:color w:val="000000"/>
        </w:rPr>
        <w:t xml:space="preserve"> 2019, copia de las aportaciones realizadas por el arrendamiento del salón de la gente , y del permiso otorgado por el ayuntamiento para ocupar dicho inmueble y celebrar dicho evento, de la misma forma conocer las medidas que implemento el ayuntamiento para cerciorarse de que la empresa cumpliera con lo establecido en la Ley Federal de Juegos y Sorteos.</w:t>
      </w:r>
      <w:r w:rsidR="00AB5EEB" w:rsidRPr="00F536FA">
        <w:rPr>
          <w:rFonts w:ascii="Palatino Linotype" w:hAnsi="Palatino Linotype"/>
          <w:i/>
          <w:iCs/>
          <w:color w:val="000000"/>
        </w:rPr>
        <w:t xml:space="preserve">”. </w:t>
      </w:r>
      <w:r w:rsidR="00C64E0E" w:rsidRPr="00F536FA">
        <w:rPr>
          <w:rFonts w:ascii="Palatino Linotype" w:hAnsi="Palatino Linotype"/>
          <w:color w:val="000000"/>
        </w:rPr>
        <w:t>(</w:t>
      </w:r>
      <w:r w:rsidR="00792776" w:rsidRPr="00F536FA">
        <w:rPr>
          <w:rFonts w:ascii="Palatino Linotype" w:hAnsi="Palatino Linotype"/>
          <w:color w:val="000000"/>
        </w:rPr>
        <w:t>Sic)</w:t>
      </w:r>
    </w:p>
    <w:p w14:paraId="41C5925A" w14:textId="77777777" w:rsidR="004A2FBC" w:rsidRPr="00F536FA" w:rsidRDefault="004A2FBC" w:rsidP="004B2A20">
      <w:pPr>
        <w:spacing w:after="0" w:line="360" w:lineRule="auto"/>
        <w:ind w:right="567"/>
        <w:contextualSpacing/>
        <w:jc w:val="both"/>
        <w:rPr>
          <w:rFonts w:ascii="Palatino Linotype" w:eastAsia="Times New Roman" w:hAnsi="Palatino Linotype" w:cs="Arial"/>
          <w:sz w:val="24"/>
          <w:szCs w:val="24"/>
          <w:lang w:val="es-ES" w:eastAsia="es-ES"/>
        </w:rPr>
      </w:pPr>
    </w:p>
    <w:p w14:paraId="538C5691" w14:textId="77777777" w:rsidR="00770F1F" w:rsidRPr="00F536FA" w:rsidRDefault="005D1CFC" w:rsidP="004B2A2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F536FA">
        <w:rPr>
          <w:rFonts w:ascii="Palatino Linotype" w:eastAsia="Times New Roman" w:hAnsi="Palatino Linotype" w:cs="Arial"/>
          <w:sz w:val="24"/>
          <w:szCs w:val="24"/>
          <w:lang w:val="es-ES" w:eastAsia="es-ES"/>
        </w:rPr>
        <w:t>Se señaló</w:t>
      </w:r>
      <w:r w:rsidR="00792776" w:rsidRPr="00F536FA">
        <w:rPr>
          <w:rFonts w:ascii="Palatino Linotype" w:eastAsia="Times New Roman" w:hAnsi="Palatino Linotype" w:cs="Arial"/>
          <w:sz w:val="24"/>
          <w:szCs w:val="24"/>
          <w:lang w:val="es-ES" w:eastAsia="es-ES"/>
        </w:rPr>
        <w:t xml:space="preserve"> como modalidad de entrega de la información</w:t>
      </w:r>
      <w:r w:rsidR="00792776" w:rsidRPr="00F536FA">
        <w:rPr>
          <w:rFonts w:ascii="Palatino Linotype" w:eastAsia="Times New Roman" w:hAnsi="Palatino Linotype" w:cs="Arial"/>
          <w:b/>
          <w:sz w:val="24"/>
          <w:szCs w:val="24"/>
          <w:lang w:val="es-ES" w:eastAsia="es-ES"/>
        </w:rPr>
        <w:t>:</w:t>
      </w:r>
      <w:r w:rsidR="00792776" w:rsidRPr="00F536FA">
        <w:rPr>
          <w:rFonts w:ascii="Palatino Linotype" w:eastAsia="Times New Roman" w:hAnsi="Palatino Linotype" w:cs="Arial"/>
          <w:sz w:val="24"/>
          <w:szCs w:val="24"/>
          <w:lang w:val="es-ES" w:eastAsia="es-ES"/>
        </w:rPr>
        <w:t xml:space="preserve"> </w:t>
      </w:r>
      <w:r w:rsidR="00792776" w:rsidRPr="00F536FA">
        <w:rPr>
          <w:rFonts w:ascii="Palatino Linotype" w:eastAsia="Times New Roman" w:hAnsi="Palatino Linotype" w:cs="Arial"/>
          <w:b/>
          <w:sz w:val="24"/>
          <w:szCs w:val="24"/>
          <w:lang w:val="es-ES" w:eastAsia="es-ES"/>
        </w:rPr>
        <w:t>a través del SAIMEX</w:t>
      </w:r>
      <w:r w:rsidR="00792776" w:rsidRPr="00F536FA">
        <w:rPr>
          <w:rFonts w:ascii="Palatino Linotype" w:eastAsia="MS Mincho" w:hAnsi="Palatino Linotype" w:cs="Times New Roman"/>
          <w:b/>
          <w:color w:val="000000"/>
          <w:sz w:val="24"/>
          <w:szCs w:val="14"/>
          <w:lang w:val="es-ES_tradnl" w:eastAsia="es-ES"/>
        </w:rPr>
        <w:t>.</w:t>
      </w:r>
    </w:p>
    <w:p w14:paraId="49E1EAA4" w14:textId="77777777" w:rsidR="007A0043" w:rsidRPr="00F536FA" w:rsidRDefault="007A0043" w:rsidP="007A0043">
      <w:pPr>
        <w:spacing w:after="0" w:line="360" w:lineRule="auto"/>
        <w:ind w:right="34"/>
        <w:contextualSpacing/>
        <w:jc w:val="both"/>
        <w:rPr>
          <w:rFonts w:ascii="Palatino Linotype" w:eastAsia="MS Mincho" w:hAnsi="Palatino Linotype" w:cs="Arial"/>
          <w:sz w:val="24"/>
          <w:lang w:val="es-ES_tradnl" w:eastAsia="es-ES"/>
        </w:rPr>
      </w:pPr>
    </w:p>
    <w:p w14:paraId="40354BF4" w14:textId="718D2E9A" w:rsidR="00787624" w:rsidRPr="00F536FA" w:rsidRDefault="00787624"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F536FA">
        <w:rPr>
          <w:rFonts w:ascii="Palatino Linotype" w:eastAsia="MS Mincho" w:hAnsi="Palatino Linotype" w:cs="Arial"/>
          <w:sz w:val="24"/>
          <w:lang w:val="es-ES_tradnl" w:eastAsia="es-ES"/>
        </w:rPr>
        <w:t xml:space="preserve">El </w:t>
      </w:r>
      <w:r w:rsidRPr="00F536FA">
        <w:rPr>
          <w:rFonts w:ascii="Palatino Linotype" w:eastAsia="MS Mincho" w:hAnsi="Palatino Linotype" w:cs="Arial"/>
          <w:sz w:val="24"/>
          <w:lang w:val="es-ES" w:eastAsia="es-ES"/>
        </w:rPr>
        <w:t>veinte (20) de agosto de dos mil veinte</w:t>
      </w:r>
      <w:r w:rsidR="00C4243A" w:rsidRPr="00F536FA">
        <w:rPr>
          <w:rFonts w:ascii="Palatino Linotype" w:eastAsia="MS Mincho" w:hAnsi="Palatino Linotype" w:cs="Arial"/>
          <w:sz w:val="24"/>
          <w:lang w:val="es-ES" w:eastAsia="es-ES"/>
        </w:rPr>
        <w:t>,</w:t>
      </w:r>
      <w:r w:rsidRPr="00F536FA">
        <w:rPr>
          <w:rFonts w:ascii="Palatino Linotype" w:eastAsia="MS Mincho" w:hAnsi="Palatino Linotype" w:cs="Arial"/>
          <w:sz w:val="24"/>
          <w:lang w:val="es-ES" w:eastAsia="es-ES"/>
        </w:rPr>
        <w:t xml:space="preserve"> </w:t>
      </w:r>
      <w:r w:rsidR="00C4243A" w:rsidRPr="00F536FA">
        <w:rPr>
          <w:rFonts w:ascii="Palatino Linotype" w:eastAsia="MS Mincho" w:hAnsi="Palatino Linotype" w:cs="Arial"/>
          <w:sz w:val="24"/>
          <w:lang w:val="es-ES_tradnl" w:eastAsia="es-ES"/>
        </w:rPr>
        <w:t xml:space="preserve">el </w:t>
      </w:r>
      <w:r w:rsidR="00C4243A" w:rsidRPr="00F536FA">
        <w:rPr>
          <w:rFonts w:ascii="Palatino Linotype" w:eastAsia="MS Mincho" w:hAnsi="Palatino Linotype" w:cs="Arial"/>
          <w:b/>
          <w:sz w:val="24"/>
          <w:lang w:val="es-ES_tradnl" w:eastAsia="es-ES"/>
        </w:rPr>
        <w:t>SUJETO OBLIGADO</w:t>
      </w:r>
      <w:r w:rsidR="00C4243A" w:rsidRPr="00F536FA">
        <w:rPr>
          <w:rFonts w:ascii="Palatino Linotype" w:eastAsia="MS Mincho" w:hAnsi="Palatino Linotype" w:cs="Arial"/>
          <w:sz w:val="24"/>
          <w:lang w:val="es-ES_tradnl" w:eastAsia="es-ES"/>
        </w:rPr>
        <w:t xml:space="preserve"> notificó al entonces </w:t>
      </w:r>
      <w:r w:rsidR="00C4243A" w:rsidRPr="00F536FA">
        <w:rPr>
          <w:rFonts w:ascii="Palatino Linotype" w:eastAsia="MS Mincho" w:hAnsi="Palatino Linotype" w:cs="Arial"/>
          <w:b/>
          <w:sz w:val="24"/>
          <w:lang w:val="es-ES_tradnl" w:eastAsia="es-ES"/>
        </w:rPr>
        <w:t>SOLICITANTE</w:t>
      </w:r>
      <w:r w:rsidR="00C4243A" w:rsidRPr="00F536FA">
        <w:rPr>
          <w:rFonts w:ascii="Palatino Linotype" w:eastAsia="MS Mincho" w:hAnsi="Palatino Linotype" w:cs="Arial"/>
          <w:sz w:val="24"/>
          <w:lang w:val="es-ES_tradnl" w:eastAsia="es-ES"/>
        </w:rPr>
        <w:t xml:space="preserve"> la ampliación del periodo de respuesta a su solicitud de información, </w:t>
      </w:r>
      <w:r w:rsidR="00AC0948" w:rsidRPr="00F536FA">
        <w:rPr>
          <w:rFonts w:ascii="Palatino Linotype" w:eastAsia="MS Mincho" w:hAnsi="Palatino Linotype" w:cs="Arial"/>
          <w:sz w:val="24"/>
          <w:lang w:val="es-ES_tradnl" w:eastAsia="es-ES"/>
        </w:rPr>
        <w:t>mediante el Acta de la Primera Sesión Extraordinaria del Comité de Transparencia</w:t>
      </w:r>
      <w:r w:rsidR="005B5790" w:rsidRPr="00F536FA">
        <w:rPr>
          <w:rFonts w:ascii="Palatino Linotype" w:eastAsia="MS Mincho" w:hAnsi="Palatino Linotype" w:cs="Arial"/>
          <w:sz w:val="24"/>
          <w:lang w:val="es-ES_tradnl" w:eastAsia="es-ES"/>
        </w:rPr>
        <w:t>, celebrada el veintiuno (21) de agosto de dos mil veinte</w:t>
      </w:r>
      <w:r w:rsidR="00C4243A" w:rsidRPr="00F536FA">
        <w:rPr>
          <w:rFonts w:ascii="Palatino Linotype" w:eastAsia="MS Mincho" w:hAnsi="Palatino Linotype" w:cs="Arial"/>
          <w:sz w:val="24"/>
          <w:lang w:val="es-ES_tradnl" w:eastAsia="es-ES"/>
        </w:rPr>
        <w:t>.</w:t>
      </w:r>
    </w:p>
    <w:p w14:paraId="00083A51" w14:textId="77777777" w:rsidR="00787624" w:rsidRPr="00F536FA" w:rsidRDefault="00787624" w:rsidP="00787624">
      <w:pPr>
        <w:tabs>
          <w:tab w:val="left" w:pos="426"/>
        </w:tabs>
        <w:spacing w:after="0" w:line="360" w:lineRule="auto"/>
        <w:ind w:right="34"/>
        <w:contextualSpacing/>
        <w:jc w:val="both"/>
        <w:rPr>
          <w:rFonts w:ascii="Palatino Linotype" w:eastAsia="MS Mincho" w:hAnsi="Palatino Linotype" w:cs="Arial"/>
          <w:sz w:val="24"/>
          <w:lang w:val="es-ES_tradnl" w:eastAsia="es-ES"/>
        </w:rPr>
      </w:pPr>
    </w:p>
    <w:p w14:paraId="7AF379FB" w14:textId="42D29921" w:rsidR="00351415" w:rsidRPr="00F536FA" w:rsidRDefault="00BF2B03"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F536FA">
        <w:rPr>
          <w:rFonts w:ascii="Palatino Linotype" w:eastAsia="Calibri" w:hAnsi="Palatino Linotype" w:cs="Arial"/>
          <w:sz w:val="24"/>
          <w:szCs w:val="24"/>
          <w:lang w:val="es-ES_tradnl" w:eastAsia="es-ES"/>
        </w:rPr>
        <w:t>E</w:t>
      </w:r>
      <w:r w:rsidR="00792776" w:rsidRPr="00F536FA">
        <w:rPr>
          <w:rFonts w:ascii="Palatino Linotype" w:eastAsia="Calibri" w:hAnsi="Palatino Linotype" w:cs="Arial"/>
          <w:sz w:val="24"/>
          <w:szCs w:val="24"/>
          <w:lang w:val="es-ES" w:eastAsia="es-ES"/>
        </w:rPr>
        <w:t>I</w:t>
      </w:r>
      <w:r w:rsidR="00B052A7" w:rsidRPr="00F536FA">
        <w:rPr>
          <w:rFonts w:ascii="Palatino Linotype" w:eastAsia="Calibri" w:hAnsi="Palatino Linotype" w:cs="Arial"/>
          <w:sz w:val="24"/>
          <w:szCs w:val="24"/>
          <w:lang w:val="es-ES" w:eastAsia="es-ES"/>
        </w:rPr>
        <w:t xml:space="preserve"> </w:t>
      </w:r>
      <w:r w:rsidR="005B5790" w:rsidRPr="00F536FA">
        <w:rPr>
          <w:rFonts w:ascii="Palatino Linotype" w:eastAsia="Calibri" w:hAnsi="Palatino Linotype" w:cs="Arial"/>
          <w:sz w:val="24"/>
          <w:szCs w:val="24"/>
          <w:lang w:val="es-ES" w:eastAsia="es-ES"/>
        </w:rPr>
        <w:t>treinta y uno</w:t>
      </w:r>
      <w:r w:rsidR="00B052A7" w:rsidRPr="00F536FA">
        <w:rPr>
          <w:rFonts w:ascii="Palatino Linotype" w:eastAsia="Calibri" w:hAnsi="Palatino Linotype" w:cs="Arial"/>
          <w:sz w:val="24"/>
          <w:szCs w:val="24"/>
          <w:lang w:val="es-ES" w:eastAsia="es-ES"/>
        </w:rPr>
        <w:t xml:space="preserve"> (</w:t>
      </w:r>
      <w:r w:rsidR="005B5790" w:rsidRPr="00F536FA">
        <w:rPr>
          <w:rFonts w:ascii="Palatino Linotype" w:eastAsia="Calibri" w:hAnsi="Palatino Linotype" w:cs="Arial"/>
          <w:sz w:val="24"/>
          <w:szCs w:val="24"/>
          <w:lang w:val="es-ES" w:eastAsia="es-ES"/>
        </w:rPr>
        <w:t>3</w:t>
      </w:r>
      <w:r w:rsidR="00C4243A" w:rsidRPr="00F536FA">
        <w:rPr>
          <w:rFonts w:ascii="Palatino Linotype" w:eastAsia="Calibri" w:hAnsi="Palatino Linotype" w:cs="Arial"/>
          <w:sz w:val="24"/>
          <w:szCs w:val="24"/>
          <w:lang w:val="es-ES" w:eastAsia="es-ES"/>
        </w:rPr>
        <w:t>1</w:t>
      </w:r>
      <w:r w:rsidR="00B052A7" w:rsidRPr="00F536FA">
        <w:rPr>
          <w:rFonts w:ascii="Palatino Linotype" w:eastAsia="Calibri" w:hAnsi="Palatino Linotype" w:cs="Arial"/>
          <w:sz w:val="24"/>
          <w:szCs w:val="24"/>
          <w:lang w:val="es-ES" w:eastAsia="es-ES"/>
        </w:rPr>
        <w:t xml:space="preserve">) de </w:t>
      </w:r>
      <w:r w:rsidR="005B5790" w:rsidRPr="00F536FA">
        <w:rPr>
          <w:rFonts w:ascii="Palatino Linotype" w:eastAsia="Calibri" w:hAnsi="Palatino Linotype" w:cs="Arial"/>
          <w:sz w:val="24"/>
          <w:szCs w:val="24"/>
          <w:lang w:val="es-ES" w:eastAsia="es-ES"/>
        </w:rPr>
        <w:t>agosto</w:t>
      </w:r>
      <w:r w:rsidR="00B052A7" w:rsidRPr="00F536FA">
        <w:rPr>
          <w:rFonts w:ascii="Palatino Linotype" w:eastAsia="Calibri" w:hAnsi="Palatino Linotype" w:cs="Arial"/>
          <w:sz w:val="24"/>
          <w:szCs w:val="24"/>
          <w:lang w:val="es-ES" w:eastAsia="es-ES"/>
        </w:rPr>
        <w:t xml:space="preserve"> de dos mil veinte,</w:t>
      </w:r>
      <w:r w:rsidR="00792776" w:rsidRPr="00F536FA">
        <w:rPr>
          <w:rFonts w:ascii="Palatino Linotype" w:eastAsia="Calibri" w:hAnsi="Palatino Linotype" w:cs="Arial"/>
          <w:sz w:val="24"/>
          <w:szCs w:val="24"/>
          <w:lang w:val="es-ES" w:eastAsia="es-ES"/>
        </w:rPr>
        <w:t xml:space="preserve"> </w:t>
      </w:r>
      <w:r w:rsidR="00392969" w:rsidRPr="00F536FA">
        <w:rPr>
          <w:rFonts w:ascii="Palatino Linotype" w:eastAsia="Calibri" w:hAnsi="Palatino Linotype" w:cs="Arial"/>
          <w:sz w:val="24"/>
          <w:szCs w:val="24"/>
          <w:lang w:val="es-ES" w:eastAsia="es-ES"/>
        </w:rPr>
        <w:t xml:space="preserve">el </w:t>
      </w:r>
      <w:r w:rsidR="00792776" w:rsidRPr="00F536FA">
        <w:rPr>
          <w:rFonts w:ascii="Palatino Linotype" w:eastAsia="Calibri" w:hAnsi="Palatino Linotype" w:cs="Arial"/>
          <w:b/>
          <w:sz w:val="24"/>
          <w:szCs w:val="24"/>
          <w:lang w:val="es-ES" w:eastAsia="es-ES"/>
        </w:rPr>
        <w:t>SUJETO OBLIGADO</w:t>
      </w:r>
      <w:r w:rsidR="00792776" w:rsidRPr="00F536FA">
        <w:rPr>
          <w:rFonts w:ascii="Palatino Linotype" w:eastAsia="Calibri" w:hAnsi="Palatino Linotype" w:cs="Arial"/>
          <w:sz w:val="24"/>
          <w:szCs w:val="24"/>
          <w:lang w:val="es-ES" w:eastAsia="es-ES"/>
        </w:rPr>
        <w:t xml:space="preserve"> </w:t>
      </w:r>
      <w:r w:rsidR="00B052A7" w:rsidRPr="00F536FA">
        <w:rPr>
          <w:rFonts w:ascii="Palatino Linotype" w:eastAsia="Calibri" w:hAnsi="Palatino Linotype" w:cs="Arial"/>
          <w:sz w:val="24"/>
          <w:szCs w:val="24"/>
          <w:lang w:val="es-ES" w:eastAsia="es-ES"/>
        </w:rPr>
        <w:t>dio</w:t>
      </w:r>
      <w:r w:rsidR="001C516D" w:rsidRPr="00F536FA">
        <w:rPr>
          <w:rFonts w:ascii="Palatino Linotype" w:eastAsia="Calibri" w:hAnsi="Palatino Linotype" w:cs="Arial"/>
          <w:sz w:val="24"/>
          <w:szCs w:val="24"/>
          <w:lang w:val="es-ES" w:eastAsia="es-ES"/>
        </w:rPr>
        <w:t xml:space="preserve"> respuesta a la solicitud de información </w:t>
      </w:r>
      <w:r w:rsidR="00B052A7" w:rsidRPr="00F536FA">
        <w:rPr>
          <w:rFonts w:ascii="Palatino Linotype" w:eastAsia="Calibri" w:hAnsi="Palatino Linotype" w:cs="Arial"/>
          <w:sz w:val="24"/>
          <w:szCs w:val="24"/>
          <w:lang w:val="es-ES" w:eastAsia="es-ES"/>
        </w:rPr>
        <w:t>en los siguientes términos</w:t>
      </w:r>
      <w:r w:rsidR="001C516D" w:rsidRPr="00F536FA">
        <w:rPr>
          <w:rFonts w:ascii="Palatino Linotype" w:eastAsia="Calibri" w:hAnsi="Palatino Linotype" w:cs="Arial"/>
          <w:sz w:val="24"/>
          <w:szCs w:val="24"/>
          <w:lang w:val="es-ES" w:eastAsia="es-ES"/>
        </w:rPr>
        <w:t xml:space="preserve">: </w:t>
      </w:r>
    </w:p>
    <w:p w14:paraId="699B7B4E" w14:textId="30DF177A" w:rsidR="00A16B6C" w:rsidRPr="00F536FA" w:rsidRDefault="00A16B6C" w:rsidP="00A16B6C">
      <w:pPr>
        <w:spacing w:after="0" w:line="360" w:lineRule="auto"/>
        <w:ind w:right="34"/>
        <w:contextualSpacing/>
        <w:jc w:val="both"/>
        <w:rPr>
          <w:rFonts w:ascii="Palatino Linotype" w:eastAsia="MS Mincho" w:hAnsi="Palatino Linotype" w:cs="Arial"/>
          <w:sz w:val="24"/>
          <w:lang w:val="es-ES_tradnl" w:eastAsia="es-ES"/>
        </w:rPr>
      </w:pPr>
    </w:p>
    <w:p w14:paraId="3A768128" w14:textId="77777777" w:rsidR="005B5790" w:rsidRPr="00F536FA" w:rsidRDefault="00BF2B03" w:rsidP="005B5790">
      <w:pPr>
        <w:spacing w:after="0" w:line="276" w:lineRule="auto"/>
        <w:ind w:left="567" w:right="567"/>
        <w:contextualSpacing/>
        <w:jc w:val="right"/>
        <w:rPr>
          <w:rFonts w:ascii="Palatino Linotype" w:eastAsia="MS Mincho" w:hAnsi="Palatino Linotype" w:cs="Arial"/>
          <w:i/>
          <w:iCs/>
          <w:szCs w:val="20"/>
          <w:lang w:val="es-ES_tradnl" w:eastAsia="es-ES"/>
        </w:rPr>
      </w:pPr>
      <w:r w:rsidRPr="00F536FA">
        <w:rPr>
          <w:rFonts w:ascii="Palatino Linotype" w:eastAsia="MS Mincho" w:hAnsi="Palatino Linotype" w:cs="Arial"/>
          <w:i/>
          <w:iCs/>
          <w:szCs w:val="20"/>
          <w:lang w:val="es-ES_tradnl" w:eastAsia="es-ES"/>
        </w:rPr>
        <w:t>“</w:t>
      </w:r>
      <w:r w:rsidR="005B5790" w:rsidRPr="00F536FA">
        <w:rPr>
          <w:rFonts w:ascii="Palatino Linotype" w:eastAsia="MS Mincho" w:hAnsi="Palatino Linotype" w:cs="Arial"/>
          <w:i/>
          <w:iCs/>
          <w:szCs w:val="20"/>
          <w:lang w:val="es-ES_tradnl" w:eastAsia="es-ES"/>
        </w:rPr>
        <w:t>Ixtlahuaca, México a 31 de Agosto de 2020</w:t>
      </w:r>
    </w:p>
    <w:p w14:paraId="6F45B19F" w14:textId="46F6215B" w:rsidR="005B5790" w:rsidRPr="00F536FA" w:rsidRDefault="005B5790" w:rsidP="005B5790">
      <w:pPr>
        <w:spacing w:after="0" w:line="276" w:lineRule="auto"/>
        <w:ind w:left="567" w:right="567"/>
        <w:contextualSpacing/>
        <w:jc w:val="right"/>
        <w:rPr>
          <w:rFonts w:ascii="Palatino Linotype" w:eastAsia="MS Mincho" w:hAnsi="Palatino Linotype" w:cs="Arial"/>
          <w:i/>
          <w:iCs/>
          <w:szCs w:val="20"/>
          <w:lang w:val="es-ES_tradnl" w:eastAsia="es-ES"/>
        </w:rPr>
      </w:pPr>
      <w:r w:rsidRPr="00F536FA">
        <w:rPr>
          <w:rFonts w:ascii="Palatino Linotype" w:eastAsia="MS Mincho" w:hAnsi="Palatino Linotype" w:cs="Arial"/>
          <w:i/>
          <w:iCs/>
          <w:szCs w:val="20"/>
          <w:lang w:val="es-ES_tradnl" w:eastAsia="es-ES"/>
        </w:rPr>
        <w:t xml:space="preserve">Nombre del solicitante: </w:t>
      </w:r>
      <w:r w:rsidR="002F7869" w:rsidRPr="002F7869">
        <w:rPr>
          <w:rFonts w:ascii="Palatino Linotype" w:eastAsia="MS Mincho" w:hAnsi="Palatino Linotype" w:cs="Arial"/>
          <w:i/>
          <w:iCs/>
          <w:szCs w:val="20"/>
          <w:highlight w:val="black"/>
          <w:lang w:val="es-ES_tradnl" w:eastAsia="es-ES"/>
        </w:rPr>
        <w:t>--------------------------------------</w:t>
      </w:r>
    </w:p>
    <w:p w14:paraId="5FBC15A6" w14:textId="77777777" w:rsidR="005B5790" w:rsidRPr="00F536FA" w:rsidRDefault="005B5790" w:rsidP="005B5790">
      <w:pPr>
        <w:spacing w:after="0" w:line="276" w:lineRule="auto"/>
        <w:ind w:left="567" w:right="567"/>
        <w:contextualSpacing/>
        <w:jc w:val="right"/>
        <w:rPr>
          <w:rFonts w:ascii="Palatino Linotype" w:eastAsia="MS Mincho" w:hAnsi="Palatino Linotype" w:cs="Arial"/>
          <w:i/>
          <w:iCs/>
          <w:szCs w:val="20"/>
          <w:lang w:val="es-ES_tradnl" w:eastAsia="es-ES"/>
        </w:rPr>
      </w:pPr>
      <w:r w:rsidRPr="00F536FA">
        <w:rPr>
          <w:rFonts w:ascii="Palatino Linotype" w:eastAsia="MS Mincho" w:hAnsi="Palatino Linotype" w:cs="Arial"/>
          <w:i/>
          <w:iCs/>
          <w:szCs w:val="20"/>
          <w:lang w:val="es-ES_tradnl" w:eastAsia="es-ES"/>
        </w:rPr>
        <w:t>Folio de la solicitud: 00072/IXTLAHUA/IP/2020</w:t>
      </w:r>
    </w:p>
    <w:p w14:paraId="3B10990B" w14:textId="77777777" w:rsidR="005B5790" w:rsidRPr="00F536FA" w:rsidRDefault="005B5790" w:rsidP="005B5790">
      <w:pPr>
        <w:spacing w:after="0" w:line="276" w:lineRule="auto"/>
        <w:ind w:left="567" w:right="567"/>
        <w:contextualSpacing/>
        <w:jc w:val="both"/>
        <w:rPr>
          <w:rFonts w:ascii="Palatino Linotype" w:eastAsia="MS Mincho" w:hAnsi="Palatino Linotype" w:cs="Arial"/>
          <w:i/>
          <w:iCs/>
          <w:szCs w:val="20"/>
          <w:lang w:val="es-ES_tradnl" w:eastAsia="es-ES"/>
        </w:rPr>
      </w:pPr>
    </w:p>
    <w:p w14:paraId="4D9768EE" w14:textId="114C66CE" w:rsidR="005B5790" w:rsidRPr="00F536FA" w:rsidRDefault="005B5790" w:rsidP="005B5790">
      <w:pPr>
        <w:spacing w:after="0" w:line="276" w:lineRule="auto"/>
        <w:ind w:left="567" w:right="567"/>
        <w:contextualSpacing/>
        <w:jc w:val="both"/>
        <w:rPr>
          <w:rFonts w:ascii="Palatino Linotype" w:eastAsia="MS Mincho" w:hAnsi="Palatino Linotype" w:cs="Arial"/>
          <w:i/>
          <w:iCs/>
          <w:szCs w:val="20"/>
          <w:lang w:val="es-ES_tradnl" w:eastAsia="es-ES"/>
        </w:rPr>
      </w:pPr>
      <w:r w:rsidRPr="00F536FA">
        <w:rPr>
          <w:rFonts w:ascii="Palatino Linotype" w:eastAsia="MS Mincho" w:hAnsi="Palatino Linotype" w:cs="Arial"/>
          <w:i/>
          <w:iCs/>
          <w:szCs w:val="20"/>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3F5C4A" w14:textId="77777777" w:rsidR="005B5790" w:rsidRPr="00F536FA" w:rsidRDefault="005B5790" w:rsidP="005B5790">
      <w:pPr>
        <w:spacing w:after="0" w:line="276" w:lineRule="auto"/>
        <w:ind w:left="567" w:right="567"/>
        <w:contextualSpacing/>
        <w:jc w:val="both"/>
        <w:rPr>
          <w:rFonts w:ascii="Palatino Linotype" w:eastAsia="MS Mincho" w:hAnsi="Palatino Linotype" w:cs="Arial"/>
          <w:i/>
          <w:iCs/>
          <w:szCs w:val="20"/>
          <w:lang w:val="es-ES_tradnl" w:eastAsia="es-ES"/>
        </w:rPr>
      </w:pPr>
    </w:p>
    <w:p w14:paraId="44A15451" w14:textId="310E28F6" w:rsidR="005B5790" w:rsidRPr="00F536FA" w:rsidRDefault="005B5790" w:rsidP="005B5790">
      <w:pPr>
        <w:spacing w:after="0" w:line="276" w:lineRule="auto"/>
        <w:ind w:left="567" w:right="567"/>
        <w:contextualSpacing/>
        <w:jc w:val="both"/>
        <w:rPr>
          <w:rFonts w:ascii="Palatino Linotype" w:eastAsia="MS Mincho" w:hAnsi="Palatino Linotype" w:cs="Arial"/>
          <w:i/>
          <w:iCs/>
          <w:szCs w:val="20"/>
          <w:lang w:val="es-ES_tradnl" w:eastAsia="es-ES"/>
        </w:rPr>
      </w:pPr>
      <w:r w:rsidRPr="00F536FA">
        <w:rPr>
          <w:rFonts w:ascii="Palatino Linotype" w:eastAsia="MS Mincho" w:hAnsi="Palatino Linotype" w:cs="Arial"/>
          <w:i/>
          <w:iCs/>
          <w:szCs w:val="20"/>
          <w:lang w:val="es-ES_tradnl" w:eastAsia="es-ES"/>
        </w:rPr>
        <w:t xml:space="preserve">Ixtlahuaca de Rayón; México, a 31 de agosto de 2020 C. </w:t>
      </w:r>
      <w:r w:rsidR="002F7869" w:rsidRPr="002F7869">
        <w:rPr>
          <w:rFonts w:ascii="Palatino Linotype" w:eastAsia="MS Mincho" w:hAnsi="Palatino Linotype" w:cs="Arial"/>
          <w:i/>
          <w:iCs/>
          <w:szCs w:val="20"/>
          <w:highlight w:val="black"/>
          <w:lang w:val="es-ES_tradnl" w:eastAsia="es-ES"/>
        </w:rPr>
        <w:t>---------------------------------</w:t>
      </w:r>
      <w:r w:rsidRPr="00F536FA">
        <w:rPr>
          <w:rFonts w:ascii="Palatino Linotype" w:eastAsia="MS Mincho" w:hAnsi="Palatino Linotype" w:cs="Arial"/>
          <w:i/>
          <w:iCs/>
          <w:szCs w:val="20"/>
          <w:lang w:val="es-ES_tradnl" w:eastAsia="es-ES"/>
        </w:rPr>
        <w:t xml:space="preserve"> P R E S E N T E Por medio del presente me permito enviarle un cordial y afectuoso saludo, al mismo tiempo y en atención a su solicitud 00072/IXTLAHUA/IP/2020 de fecha dieciséis de julio de dos mil veinte; donde solicita lo siguiente: “…Solicito saber el monto de las aportaciones realizadas en cualquier modalidad (pago de derechos, donación, </w:t>
      </w:r>
      <w:proofErr w:type="spellStart"/>
      <w:r w:rsidRPr="00F536FA">
        <w:rPr>
          <w:rFonts w:ascii="Palatino Linotype" w:eastAsia="MS Mincho" w:hAnsi="Palatino Linotype" w:cs="Arial"/>
          <w:i/>
          <w:iCs/>
          <w:szCs w:val="20"/>
          <w:lang w:val="es-ES_tradnl" w:eastAsia="es-ES"/>
        </w:rPr>
        <w:t>etc</w:t>
      </w:r>
      <w:proofErr w:type="spellEnd"/>
      <w:r w:rsidRPr="00F536FA">
        <w:rPr>
          <w:rFonts w:ascii="Palatino Linotype" w:eastAsia="MS Mincho" w:hAnsi="Palatino Linotype" w:cs="Arial"/>
          <w:i/>
          <w:iCs/>
          <w:szCs w:val="20"/>
          <w:lang w:val="es-ES_tradnl" w:eastAsia="es-ES"/>
        </w:rPr>
        <w:t xml:space="preserve">), al Ayuntamiento, por parte de las empresas y/o personas físicas de juegos mecánicos que han proporcionado el servicio de juegos mecánicos en las ferias correspondientes a los festejos del mes de octubre de los años 2015 a 2019; así como copia de los recibos otorgados por la tesorería municipal y copia de los permisos otorgados por el ayuntamiento. Solicito copia de los contratos, acuerdos, convenios o documentos jurídicos celebrados entre el Ayuntamiento de Ixtlahuaca y las empresas y/o personas </w:t>
      </w:r>
      <w:proofErr w:type="spellStart"/>
      <w:r w:rsidRPr="00F536FA">
        <w:rPr>
          <w:rFonts w:ascii="Palatino Linotype" w:eastAsia="MS Mincho" w:hAnsi="Palatino Linotype" w:cs="Arial"/>
          <w:i/>
          <w:iCs/>
          <w:szCs w:val="20"/>
          <w:lang w:val="es-ES_tradnl" w:eastAsia="es-ES"/>
        </w:rPr>
        <w:t>fisicas</w:t>
      </w:r>
      <w:proofErr w:type="spellEnd"/>
      <w:r w:rsidRPr="00F536FA">
        <w:rPr>
          <w:rFonts w:ascii="Palatino Linotype" w:eastAsia="MS Mincho" w:hAnsi="Palatino Linotype" w:cs="Arial"/>
          <w:i/>
          <w:iCs/>
          <w:szCs w:val="20"/>
          <w:lang w:val="es-ES_tradnl" w:eastAsia="es-ES"/>
        </w:rPr>
        <w:t xml:space="preserve"> de juegos mecánicos, en los que se establezcan los términos bajo los cuales el ayuntamiento permitirá la instalación de dichas empresas durante las ferias 2015 a 2019. Solicito conocer el costo de la realización de la feria de Ixtlahuaca en los ejercicios 2015 a 2019, así como los programas y elencos artísticos de cada edición. Solicito conocer el nombre de la empresa o empresas y/o personas físicas que llevaron a cabo los eventos denominados "cuernos chuecos", concierto de pancho </w:t>
      </w:r>
      <w:proofErr w:type="spellStart"/>
      <w:r w:rsidRPr="00F536FA">
        <w:rPr>
          <w:rFonts w:ascii="Palatino Linotype" w:eastAsia="MS Mincho" w:hAnsi="Palatino Linotype" w:cs="Arial"/>
          <w:i/>
          <w:iCs/>
          <w:szCs w:val="20"/>
          <w:lang w:val="es-ES_tradnl" w:eastAsia="es-ES"/>
        </w:rPr>
        <w:t>barraza</w:t>
      </w:r>
      <w:proofErr w:type="spellEnd"/>
      <w:r w:rsidRPr="00F536FA">
        <w:rPr>
          <w:rFonts w:ascii="Palatino Linotype" w:eastAsia="MS Mincho" w:hAnsi="Palatino Linotype" w:cs="Arial"/>
          <w:i/>
          <w:iCs/>
          <w:szCs w:val="20"/>
          <w:lang w:val="es-ES_tradnl" w:eastAsia="es-ES"/>
        </w:rPr>
        <w:t xml:space="preserve">, concierto </w:t>
      </w:r>
      <w:proofErr w:type="spellStart"/>
      <w:r w:rsidRPr="00F536FA">
        <w:rPr>
          <w:rFonts w:ascii="Palatino Linotype" w:eastAsia="MS Mincho" w:hAnsi="Palatino Linotype" w:cs="Arial"/>
          <w:i/>
          <w:iCs/>
          <w:szCs w:val="20"/>
          <w:lang w:val="es-ES_tradnl" w:eastAsia="es-ES"/>
        </w:rPr>
        <w:t>de el</w:t>
      </w:r>
      <w:proofErr w:type="spellEnd"/>
      <w:r w:rsidRPr="00F536FA">
        <w:rPr>
          <w:rFonts w:ascii="Palatino Linotype" w:eastAsia="MS Mincho" w:hAnsi="Palatino Linotype" w:cs="Arial"/>
          <w:i/>
          <w:iCs/>
          <w:szCs w:val="20"/>
          <w:lang w:val="es-ES_tradnl" w:eastAsia="es-ES"/>
        </w:rPr>
        <w:t xml:space="preserve"> trono de México y Corrida de Toros, durante la feria 2019. Solicito conocer las aportaciones bajo cualquier modalidad que realizaron dichas empresas y/o personas </w:t>
      </w:r>
      <w:proofErr w:type="spellStart"/>
      <w:r w:rsidRPr="00F536FA">
        <w:rPr>
          <w:rFonts w:ascii="Palatino Linotype" w:eastAsia="MS Mincho" w:hAnsi="Palatino Linotype" w:cs="Arial"/>
          <w:i/>
          <w:iCs/>
          <w:szCs w:val="20"/>
          <w:lang w:val="es-ES_tradnl" w:eastAsia="es-ES"/>
        </w:rPr>
        <w:t>fisicas</w:t>
      </w:r>
      <w:proofErr w:type="spellEnd"/>
      <w:r w:rsidRPr="00F536FA">
        <w:rPr>
          <w:rFonts w:ascii="Palatino Linotype" w:eastAsia="MS Mincho" w:hAnsi="Palatino Linotype" w:cs="Arial"/>
          <w:i/>
          <w:iCs/>
          <w:szCs w:val="20"/>
          <w:lang w:val="es-ES_tradnl" w:eastAsia="es-ES"/>
        </w:rPr>
        <w:t xml:space="preserve"> al Ayuntamiento por concepto de la realización de los eventos denominados "cuernos chuecos", concierto de pancho </w:t>
      </w:r>
      <w:proofErr w:type="spellStart"/>
      <w:r w:rsidRPr="00F536FA">
        <w:rPr>
          <w:rFonts w:ascii="Palatino Linotype" w:eastAsia="MS Mincho" w:hAnsi="Palatino Linotype" w:cs="Arial"/>
          <w:i/>
          <w:iCs/>
          <w:szCs w:val="20"/>
          <w:lang w:val="es-ES_tradnl" w:eastAsia="es-ES"/>
        </w:rPr>
        <w:t>barraza</w:t>
      </w:r>
      <w:proofErr w:type="spellEnd"/>
      <w:r w:rsidRPr="00F536FA">
        <w:rPr>
          <w:rFonts w:ascii="Palatino Linotype" w:eastAsia="MS Mincho" w:hAnsi="Palatino Linotype" w:cs="Arial"/>
          <w:i/>
          <w:iCs/>
          <w:szCs w:val="20"/>
          <w:lang w:val="es-ES_tradnl" w:eastAsia="es-ES"/>
        </w:rPr>
        <w:t xml:space="preserve">, concierto </w:t>
      </w:r>
      <w:proofErr w:type="spellStart"/>
      <w:r w:rsidRPr="00F536FA">
        <w:rPr>
          <w:rFonts w:ascii="Palatino Linotype" w:eastAsia="MS Mincho" w:hAnsi="Palatino Linotype" w:cs="Arial"/>
          <w:i/>
          <w:iCs/>
          <w:szCs w:val="20"/>
          <w:lang w:val="es-ES_tradnl" w:eastAsia="es-ES"/>
        </w:rPr>
        <w:t>de el</w:t>
      </w:r>
      <w:proofErr w:type="spellEnd"/>
      <w:r w:rsidRPr="00F536FA">
        <w:rPr>
          <w:rFonts w:ascii="Palatino Linotype" w:eastAsia="MS Mincho" w:hAnsi="Palatino Linotype" w:cs="Arial"/>
          <w:i/>
          <w:iCs/>
          <w:szCs w:val="20"/>
          <w:lang w:val="es-ES_tradnl" w:eastAsia="es-ES"/>
        </w:rPr>
        <w:t xml:space="preserve"> trono de México y Corrida de Toros, durante la feria 2019; así como copia de los recibos expedidos por la tesorería. Solicito copia de los contratos, acuerdos, convenios o documentos jurídicos celebrados por el </w:t>
      </w:r>
      <w:proofErr w:type="spellStart"/>
      <w:r w:rsidRPr="00F536FA">
        <w:rPr>
          <w:rFonts w:ascii="Palatino Linotype" w:eastAsia="MS Mincho" w:hAnsi="Palatino Linotype" w:cs="Arial"/>
          <w:i/>
          <w:iCs/>
          <w:szCs w:val="20"/>
          <w:lang w:val="es-ES_tradnl" w:eastAsia="es-ES"/>
        </w:rPr>
        <w:t>Ayuntamiento</w:t>
      </w:r>
      <w:proofErr w:type="gramStart"/>
      <w:r w:rsidRPr="00F536FA">
        <w:rPr>
          <w:rFonts w:ascii="Palatino Linotype" w:eastAsia="MS Mincho" w:hAnsi="Palatino Linotype" w:cs="Arial"/>
          <w:i/>
          <w:iCs/>
          <w:szCs w:val="20"/>
          <w:lang w:val="es-ES_tradnl" w:eastAsia="es-ES"/>
        </w:rPr>
        <w:t>,en</w:t>
      </w:r>
      <w:proofErr w:type="spellEnd"/>
      <w:proofErr w:type="gramEnd"/>
      <w:r w:rsidRPr="00F536FA">
        <w:rPr>
          <w:rFonts w:ascii="Palatino Linotype" w:eastAsia="MS Mincho" w:hAnsi="Palatino Linotype" w:cs="Arial"/>
          <w:i/>
          <w:iCs/>
          <w:szCs w:val="20"/>
          <w:lang w:val="es-ES_tradnl" w:eastAsia="es-ES"/>
        </w:rPr>
        <w:t xml:space="preserve"> los que se establezcan los términos para realizar los eventos denominados "cuernos chuecos", concierto de pancho </w:t>
      </w:r>
      <w:proofErr w:type="spellStart"/>
      <w:r w:rsidRPr="00F536FA">
        <w:rPr>
          <w:rFonts w:ascii="Palatino Linotype" w:eastAsia="MS Mincho" w:hAnsi="Palatino Linotype" w:cs="Arial"/>
          <w:i/>
          <w:iCs/>
          <w:szCs w:val="20"/>
          <w:lang w:val="es-ES_tradnl" w:eastAsia="es-ES"/>
        </w:rPr>
        <w:t>barraza</w:t>
      </w:r>
      <w:proofErr w:type="spellEnd"/>
      <w:r w:rsidRPr="00F536FA">
        <w:rPr>
          <w:rFonts w:ascii="Palatino Linotype" w:eastAsia="MS Mincho" w:hAnsi="Palatino Linotype" w:cs="Arial"/>
          <w:i/>
          <w:iCs/>
          <w:szCs w:val="20"/>
          <w:lang w:val="es-ES_tradnl" w:eastAsia="es-ES"/>
        </w:rPr>
        <w:t xml:space="preserve">, concierto </w:t>
      </w:r>
      <w:proofErr w:type="spellStart"/>
      <w:r w:rsidRPr="00F536FA">
        <w:rPr>
          <w:rFonts w:ascii="Palatino Linotype" w:eastAsia="MS Mincho" w:hAnsi="Palatino Linotype" w:cs="Arial"/>
          <w:i/>
          <w:iCs/>
          <w:szCs w:val="20"/>
          <w:lang w:val="es-ES_tradnl" w:eastAsia="es-ES"/>
        </w:rPr>
        <w:t>de el</w:t>
      </w:r>
      <w:proofErr w:type="spellEnd"/>
      <w:r w:rsidRPr="00F536FA">
        <w:rPr>
          <w:rFonts w:ascii="Palatino Linotype" w:eastAsia="MS Mincho" w:hAnsi="Palatino Linotype" w:cs="Arial"/>
          <w:i/>
          <w:iCs/>
          <w:szCs w:val="20"/>
          <w:lang w:val="es-ES_tradnl" w:eastAsia="es-ES"/>
        </w:rPr>
        <w:t xml:space="preserve"> trono de </w:t>
      </w:r>
      <w:r w:rsidRPr="00F536FA">
        <w:rPr>
          <w:rFonts w:ascii="Palatino Linotype" w:eastAsia="MS Mincho" w:hAnsi="Palatino Linotype" w:cs="Arial"/>
          <w:i/>
          <w:iCs/>
          <w:szCs w:val="20"/>
          <w:lang w:val="es-ES_tradnl" w:eastAsia="es-ES"/>
        </w:rPr>
        <w:lastRenderedPageBreak/>
        <w:t xml:space="preserve">México y Corrida de Toros, durante la feria 2019; así como copia de los permisos otorgados por el ayuntamiento para la realización de dichos eventos. Conocer el monto recaudado por el Ayuntamiento, por concepto de arrendamiento de espacios comerciales en la Feria Ixtlahuaca 2019. Solicito el nombre de la empresa o personas física, responsable de la realización del palenque de peleas de gallos, durante la feria </w:t>
      </w:r>
      <w:proofErr w:type="spellStart"/>
      <w:r w:rsidRPr="00F536FA">
        <w:rPr>
          <w:rFonts w:ascii="Palatino Linotype" w:eastAsia="MS Mincho" w:hAnsi="Palatino Linotype" w:cs="Arial"/>
          <w:i/>
          <w:iCs/>
          <w:szCs w:val="20"/>
          <w:lang w:val="es-ES_tradnl" w:eastAsia="es-ES"/>
        </w:rPr>
        <w:t>ixtlahuaca</w:t>
      </w:r>
      <w:proofErr w:type="spellEnd"/>
      <w:r w:rsidRPr="00F536FA">
        <w:rPr>
          <w:rFonts w:ascii="Palatino Linotype" w:eastAsia="MS Mincho" w:hAnsi="Palatino Linotype" w:cs="Arial"/>
          <w:i/>
          <w:iCs/>
          <w:szCs w:val="20"/>
          <w:lang w:val="es-ES_tradnl" w:eastAsia="es-ES"/>
        </w:rPr>
        <w:t xml:space="preserve"> 2019, copia de las aportaciones realizadas por el arrendamiento del salón de la gente , y del permiso otorgado por el ayuntamiento para ocupar dicho inmueble y celebrar dicho evento, de la misma forma conocer las medidas que implemento el ayuntamiento para cerciorarse de que la empresa cumpliera con lo establecido en la Ley Federal de Juegos y Sorteos.…”;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 SOL. 072 y ACTA DE COMITE SOL. 72) Sin otro particular por el momento quedo de Usted; para cualquier duda y/o aclaración al respecto. A T E N T A M E N T E LIC. LUDIVINA ERIKA VIEYRA URBINA TITULAR DE LA UNIDAD DE TRANSPARENCIA Y ACCESO A LA INFORMACIÓN MUNICIPAL</w:t>
      </w:r>
    </w:p>
    <w:p w14:paraId="3875C538" w14:textId="77777777" w:rsidR="005B5790" w:rsidRPr="00F536FA" w:rsidRDefault="005B5790" w:rsidP="005B5790">
      <w:pPr>
        <w:spacing w:after="0" w:line="276" w:lineRule="auto"/>
        <w:ind w:left="567" w:right="567"/>
        <w:contextualSpacing/>
        <w:jc w:val="both"/>
        <w:rPr>
          <w:rFonts w:ascii="Palatino Linotype" w:eastAsia="MS Mincho" w:hAnsi="Palatino Linotype" w:cs="Arial"/>
          <w:i/>
          <w:iCs/>
          <w:szCs w:val="20"/>
          <w:lang w:val="es-ES_tradnl" w:eastAsia="es-ES"/>
        </w:rPr>
      </w:pPr>
    </w:p>
    <w:p w14:paraId="7C2C89CE" w14:textId="1CC4797F" w:rsidR="005B5790" w:rsidRPr="00F536FA" w:rsidRDefault="005B5790" w:rsidP="005B5790">
      <w:pPr>
        <w:spacing w:after="0" w:line="276" w:lineRule="auto"/>
        <w:ind w:left="567" w:right="567"/>
        <w:contextualSpacing/>
        <w:jc w:val="both"/>
        <w:rPr>
          <w:rFonts w:ascii="Palatino Linotype" w:eastAsia="MS Mincho" w:hAnsi="Palatino Linotype" w:cs="Arial"/>
          <w:i/>
          <w:iCs/>
          <w:szCs w:val="20"/>
          <w:lang w:val="es-ES_tradnl" w:eastAsia="es-ES"/>
        </w:rPr>
      </w:pPr>
      <w:r w:rsidRPr="00F536FA">
        <w:rPr>
          <w:rFonts w:ascii="Palatino Linotype" w:eastAsia="MS Mincho" w:hAnsi="Palatino Linotype" w:cs="Arial"/>
          <w:i/>
          <w:iCs/>
          <w:szCs w:val="20"/>
          <w:lang w:val="es-ES_tradnl" w:eastAsia="es-ES"/>
        </w:rPr>
        <w:t>ATENTAMENTE</w:t>
      </w:r>
    </w:p>
    <w:p w14:paraId="79945FDC" w14:textId="53AF90A2" w:rsidR="00BF2B03" w:rsidRPr="00F536FA" w:rsidRDefault="005B5790" w:rsidP="005B5790">
      <w:pPr>
        <w:spacing w:after="0" w:line="276" w:lineRule="auto"/>
        <w:ind w:left="567" w:right="567"/>
        <w:contextualSpacing/>
        <w:jc w:val="both"/>
        <w:rPr>
          <w:rFonts w:ascii="Palatino Linotype" w:eastAsia="MS Mincho" w:hAnsi="Palatino Linotype" w:cs="Arial"/>
          <w:szCs w:val="20"/>
          <w:lang w:eastAsia="es-ES"/>
        </w:rPr>
      </w:pPr>
      <w:r w:rsidRPr="00F536FA">
        <w:rPr>
          <w:rFonts w:ascii="Palatino Linotype" w:eastAsia="MS Mincho" w:hAnsi="Palatino Linotype" w:cs="Arial"/>
          <w:i/>
          <w:iCs/>
          <w:szCs w:val="20"/>
          <w:lang w:val="es-ES_tradnl" w:eastAsia="es-ES"/>
        </w:rPr>
        <w:t>LIC. LUDIVINA ERIKA VIEYRA URBINA</w:t>
      </w:r>
      <w:r w:rsidR="00AC1CD8" w:rsidRPr="00F536FA">
        <w:rPr>
          <w:rFonts w:ascii="Palatino Linotype" w:eastAsia="MS Mincho" w:hAnsi="Palatino Linotype" w:cs="Arial"/>
          <w:i/>
          <w:iCs/>
          <w:szCs w:val="20"/>
          <w:lang w:eastAsia="es-ES"/>
        </w:rPr>
        <w:t>”</w:t>
      </w:r>
      <w:r w:rsidR="00AC1CD8" w:rsidRPr="00F536FA">
        <w:rPr>
          <w:rFonts w:ascii="Palatino Linotype" w:eastAsia="MS Mincho" w:hAnsi="Palatino Linotype" w:cs="Arial"/>
          <w:szCs w:val="20"/>
          <w:lang w:eastAsia="es-ES"/>
        </w:rPr>
        <w:t xml:space="preserve"> (Sic).</w:t>
      </w:r>
    </w:p>
    <w:p w14:paraId="5C4742E5" w14:textId="77777777" w:rsidR="005F4922" w:rsidRPr="00F536FA" w:rsidRDefault="005F4922" w:rsidP="00853887">
      <w:pPr>
        <w:spacing w:after="0" w:line="360" w:lineRule="auto"/>
        <w:ind w:right="34"/>
        <w:contextualSpacing/>
        <w:jc w:val="both"/>
        <w:rPr>
          <w:rFonts w:ascii="Palatino Linotype" w:eastAsia="MS Mincho" w:hAnsi="Palatino Linotype" w:cs="Arial"/>
          <w:sz w:val="24"/>
          <w:lang w:eastAsia="es-ES"/>
        </w:rPr>
      </w:pPr>
    </w:p>
    <w:p w14:paraId="71013B3A" w14:textId="626EDF23" w:rsidR="001750B7" w:rsidRPr="00F536FA" w:rsidRDefault="001750B7" w:rsidP="001750B7">
      <w:pPr>
        <w:numPr>
          <w:ilvl w:val="0"/>
          <w:numId w:val="2"/>
        </w:numPr>
        <w:tabs>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val="es-ES_tradnl" w:eastAsia="es-ES"/>
        </w:rPr>
        <w:t xml:space="preserve">El </w:t>
      </w:r>
      <w:r w:rsidRPr="00F536FA">
        <w:rPr>
          <w:rFonts w:ascii="Palatino Linotype" w:eastAsia="MS Mincho" w:hAnsi="Palatino Linotype" w:cs="Arial"/>
          <w:b/>
          <w:bCs/>
          <w:iCs/>
          <w:sz w:val="24"/>
          <w:szCs w:val="24"/>
          <w:lang w:val="es-ES_tradnl" w:eastAsia="es-ES"/>
        </w:rPr>
        <w:t>SUJETO OBLIGADO</w:t>
      </w:r>
      <w:r w:rsidRPr="00F536FA">
        <w:rPr>
          <w:rFonts w:ascii="Palatino Linotype" w:eastAsia="MS Mincho" w:hAnsi="Palatino Linotype" w:cs="Arial"/>
          <w:iCs/>
          <w:sz w:val="24"/>
          <w:szCs w:val="24"/>
          <w:lang w:val="es-ES_tradnl" w:eastAsia="es-ES"/>
        </w:rPr>
        <w:t xml:space="preserve"> acompañó su respuesta con </w:t>
      </w:r>
      <w:r w:rsidR="005B5790" w:rsidRPr="00F536FA">
        <w:rPr>
          <w:rFonts w:ascii="Palatino Linotype" w:eastAsia="MS Mincho" w:hAnsi="Palatino Linotype" w:cs="Arial"/>
          <w:iCs/>
          <w:sz w:val="24"/>
          <w:szCs w:val="24"/>
          <w:lang w:val="es-ES_tradnl" w:eastAsia="es-ES"/>
        </w:rPr>
        <w:t>los</w:t>
      </w:r>
      <w:r w:rsidRPr="00F536FA">
        <w:rPr>
          <w:rFonts w:ascii="Palatino Linotype" w:eastAsia="MS Mincho" w:hAnsi="Palatino Linotype" w:cs="Arial"/>
          <w:iCs/>
          <w:sz w:val="24"/>
          <w:szCs w:val="24"/>
          <w:lang w:val="es-ES_tradnl" w:eastAsia="es-ES"/>
        </w:rPr>
        <w:t xml:space="preserve"> archivo</w:t>
      </w:r>
      <w:r w:rsidR="005B5790" w:rsidRPr="00F536FA">
        <w:rPr>
          <w:rFonts w:ascii="Palatino Linotype" w:eastAsia="MS Mincho" w:hAnsi="Palatino Linotype" w:cs="Arial"/>
          <w:iCs/>
          <w:sz w:val="24"/>
          <w:szCs w:val="24"/>
          <w:lang w:val="es-ES_tradnl" w:eastAsia="es-ES"/>
        </w:rPr>
        <w:t>s</w:t>
      </w:r>
      <w:r w:rsidRPr="00F536FA">
        <w:rPr>
          <w:rFonts w:ascii="Palatino Linotype" w:eastAsia="MS Mincho" w:hAnsi="Palatino Linotype" w:cs="Arial"/>
          <w:iCs/>
          <w:sz w:val="24"/>
          <w:szCs w:val="24"/>
          <w:lang w:val="es-ES_tradnl" w:eastAsia="es-ES"/>
        </w:rPr>
        <w:t xml:space="preserve"> electrónico</w:t>
      </w:r>
      <w:r w:rsidR="005B5790" w:rsidRPr="00F536FA">
        <w:rPr>
          <w:rFonts w:ascii="Palatino Linotype" w:eastAsia="MS Mincho" w:hAnsi="Palatino Linotype" w:cs="Arial"/>
          <w:iCs/>
          <w:sz w:val="24"/>
          <w:szCs w:val="24"/>
          <w:lang w:val="es-ES_tradnl" w:eastAsia="es-ES"/>
        </w:rPr>
        <w:t>s</w:t>
      </w:r>
      <w:r w:rsidRPr="00F536FA">
        <w:rPr>
          <w:rFonts w:ascii="Palatino Linotype" w:eastAsia="MS Mincho" w:hAnsi="Palatino Linotype" w:cs="Arial"/>
          <w:iCs/>
          <w:sz w:val="24"/>
          <w:szCs w:val="24"/>
          <w:lang w:val="es-ES_tradnl" w:eastAsia="es-ES"/>
        </w:rPr>
        <w:t xml:space="preserve"> que se describe</w:t>
      </w:r>
      <w:r w:rsidR="005B5790" w:rsidRPr="00F536FA">
        <w:rPr>
          <w:rFonts w:ascii="Palatino Linotype" w:eastAsia="MS Mincho" w:hAnsi="Palatino Linotype" w:cs="Arial"/>
          <w:iCs/>
          <w:sz w:val="24"/>
          <w:szCs w:val="24"/>
          <w:lang w:val="es-ES_tradnl" w:eastAsia="es-ES"/>
        </w:rPr>
        <w:t>n</w:t>
      </w:r>
      <w:r w:rsidRPr="00F536FA">
        <w:rPr>
          <w:rFonts w:ascii="Palatino Linotype" w:eastAsia="MS Mincho" w:hAnsi="Palatino Linotype" w:cs="Arial"/>
          <w:iCs/>
          <w:sz w:val="24"/>
          <w:szCs w:val="24"/>
          <w:lang w:val="es-ES_tradnl" w:eastAsia="es-ES"/>
        </w:rPr>
        <w:t xml:space="preserve"> a continuación:</w:t>
      </w:r>
    </w:p>
    <w:p w14:paraId="28570618" w14:textId="76B154C9" w:rsidR="001750B7" w:rsidRPr="00F536FA" w:rsidRDefault="001750B7" w:rsidP="00152C81">
      <w:pPr>
        <w:numPr>
          <w:ilvl w:val="1"/>
          <w:numId w:val="2"/>
        </w:numPr>
        <w:tabs>
          <w:tab w:val="left" w:pos="1134"/>
        </w:tabs>
        <w:spacing w:after="0" w:line="360" w:lineRule="auto"/>
        <w:ind w:left="851" w:hanging="283"/>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b/>
          <w:bCs/>
          <w:i/>
          <w:sz w:val="24"/>
          <w:szCs w:val="24"/>
          <w:lang w:eastAsia="es-ES"/>
        </w:rPr>
        <w:t>“</w:t>
      </w:r>
      <w:r w:rsidR="00C4243A" w:rsidRPr="00F536FA">
        <w:rPr>
          <w:rFonts w:ascii="Palatino Linotype" w:eastAsia="MS Mincho" w:hAnsi="Palatino Linotype" w:cs="Arial"/>
          <w:b/>
          <w:bCs/>
          <w:i/>
          <w:sz w:val="24"/>
          <w:szCs w:val="24"/>
          <w:lang w:eastAsia="es-ES"/>
        </w:rPr>
        <w:t>RE</w:t>
      </w:r>
      <w:r w:rsidR="005B5790" w:rsidRPr="00F536FA">
        <w:rPr>
          <w:rFonts w:ascii="Palatino Linotype" w:eastAsia="MS Mincho" w:hAnsi="Palatino Linotype" w:cs="Arial"/>
          <w:b/>
          <w:bCs/>
          <w:i/>
          <w:sz w:val="24"/>
          <w:szCs w:val="24"/>
          <w:lang w:eastAsia="es-ES"/>
        </w:rPr>
        <w:t>SP. SOL. 72</w:t>
      </w:r>
      <w:r w:rsidRPr="00F536FA">
        <w:rPr>
          <w:rFonts w:ascii="Palatino Linotype" w:eastAsia="MS Mincho" w:hAnsi="Palatino Linotype" w:cs="Arial"/>
          <w:b/>
          <w:bCs/>
          <w:i/>
          <w:sz w:val="24"/>
          <w:szCs w:val="24"/>
          <w:lang w:eastAsia="es-ES"/>
        </w:rPr>
        <w:t>.pdf”</w:t>
      </w:r>
      <w:r w:rsidRPr="00F536FA">
        <w:rPr>
          <w:rFonts w:ascii="Palatino Linotype" w:eastAsia="MS Mincho" w:hAnsi="Palatino Linotype" w:cs="Arial"/>
          <w:iCs/>
          <w:sz w:val="24"/>
          <w:szCs w:val="24"/>
          <w:lang w:eastAsia="es-ES"/>
        </w:rPr>
        <w:t xml:space="preserve">: </w:t>
      </w:r>
      <w:r w:rsidR="00F45D2A" w:rsidRPr="00F536FA">
        <w:rPr>
          <w:rFonts w:ascii="Palatino Linotype" w:eastAsia="MS Mincho" w:hAnsi="Palatino Linotype" w:cs="Arial"/>
          <w:iCs/>
          <w:sz w:val="24"/>
          <w:szCs w:val="24"/>
          <w:lang w:eastAsia="es-ES"/>
        </w:rPr>
        <w:t xml:space="preserve">Documento </w:t>
      </w:r>
      <w:r w:rsidR="00C4243A" w:rsidRPr="00F536FA">
        <w:rPr>
          <w:rFonts w:ascii="Palatino Linotype" w:eastAsia="MS Mincho" w:hAnsi="Palatino Linotype" w:cs="Arial"/>
          <w:iCs/>
          <w:sz w:val="24"/>
          <w:szCs w:val="24"/>
          <w:lang w:eastAsia="es-ES"/>
        </w:rPr>
        <w:t xml:space="preserve">de </w:t>
      </w:r>
      <w:r w:rsidR="005B5790" w:rsidRPr="00F536FA">
        <w:rPr>
          <w:rFonts w:ascii="Palatino Linotype" w:eastAsia="MS Mincho" w:hAnsi="Palatino Linotype" w:cs="Arial"/>
          <w:iCs/>
          <w:sz w:val="24"/>
          <w:szCs w:val="24"/>
          <w:lang w:eastAsia="es-ES"/>
        </w:rPr>
        <w:t>36</w:t>
      </w:r>
      <w:r w:rsidR="00C4243A" w:rsidRPr="00F536FA">
        <w:rPr>
          <w:rFonts w:ascii="Palatino Linotype" w:eastAsia="MS Mincho" w:hAnsi="Palatino Linotype" w:cs="Arial"/>
          <w:iCs/>
          <w:sz w:val="24"/>
          <w:szCs w:val="24"/>
          <w:lang w:eastAsia="es-ES"/>
        </w:rPr>
        <w:t xml:space="preserve"> fojas que contiene los siguientes oficios</w:t>
      </w:r>
      <w:r w:rsidR="00152C81" w:rsidRPr="00F536FA">
        <w:rPr>
          <w:rFonts w:ascii="Palatino Linotype" w:eastAsia="MS Mincho" w:hAnsi="Palatino Linotype" w:cs="Arial"/>
          <w:iCs/>
          <w:sz w:val="24"/>
          <w:szCs w:val="24"/>
          <w:lang w:eastAsia="es-ES"/>
        </w:rPr>
        <w:t xml:space="preserve"> e instrumentos</w:t>
      </w:r>
      <w:r w:rsidR="00C4243A" w:rsidRPr="00F536FA">
        <w:rPr>
          <w:rFonts w:ascii="Palatino Linotype" w:eastAsia="MS Mincho" w:hAnsi="Palatino Linotype" w:cs="Arial"/>
          <w:iCs/>
          <w:sz w:val="24"/>
          <w:szCs w:val="24"/>
          <w:lang w:eastAsia="es-ES"/>
        </w:rPr>
        <w:t>:</w:t>
      </w:r>
    </w:p>
    <w:p w14:paraId="55EE8046" w14:textId="59EBCC20" w:rsidR="00152C81" w:rsidRPr="00F536FA" w:rsidRDefault="00C4243A"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Oficio número </w:t>
      </w:r>
      <w:r w:rsidR="00152C81" w:rsidRPr="00F536FA">
        <w:rPr>
          <w:rFonts w:ascii="Palatino Linotype" w:eastAsia="MS Mincho" w:hAnsi="Palatino Linotype" w:cs="Arial"/>
          <w:iCs/>
          <w:sz w:val="24"/>
          <w:szCs w:val="24"/>
          <w:lang w:eastAsia="es-ES"/>
        </w:rPr>
        <w:t xml:space="preserve">PMIX/UTAIPM/0300/2020, de diecisiete (17) de julio de dos mil veinte, mediante el cual, la Titular de la Unidad de </w:t>
      </w:r>
      <w:r w:rsidR="00152C81" w:rsidRPr="00F536FA">
        <w:rPr>
          <w:rFonts w:ascii="Palatino Linotype" w:eastAsia="MS Mincho" w:hAnsi="Palatino Linotype" w:cs="Arial"/>
          <w:iCs/>
          <w:sz w:val="24"/>
          <w:szCs w:val="24"/>
          <w:lang w:eastAsia="es-ES"/>
        </w:rPr>
        <w:lastRenderedPageBreak/>
        <w:t xml:space="preserve">Transparencia turna la solicitud de información </w:t>
      </w:r>
      <w:r w:rsidR="00152C81" w:rsidRPr="00F536FA">
        <w:rPr>
          <w:rFonts w:ascii="Palatino Linotype" w:eastAsia="MS Mincho" w:hAnsi="Palatino Linotype" w:cs="Arial"/>
          <w:b/>
          <w:bCs/>
          <w:iCs/>
          <w:sz w:val="24"/>
          <w:szCs w:val="24"/>
          <w:lang w:eastAsia="es-ES"/>
        </w:rPr>
        <w:t>00072/IXTLAHUA/IP/2020</w:t>
      </w:r>
      <w:r w:rsidR="00152C81" w:rsidRPr="00F536FA">
        <w:rPr>
          <w:rFonts w:ascii="Palatino Linotype" w:eastAsia="MS Mincho" w:hAnsi="Palatino Linotype" w:cs="Arial"/>
          <w:iCs/>
          <w:sz w:val="24"/>
          <w:szCs w:val="24"/>
          <w:lang w:eastAsia="es-ES"/>
        </w:rPr>
        <w:t xml:space="preserve"> </w:t>
      </w:r>
      <w:r w:rsidR="0043741D" w:rsidRPr="00F536FA">
        <w:rPr>
          <w:rFonts w:ascii="Palatino Linotype" w:eastAsia="MS Mincho" w:hAnsi="Palatino Linotype" w:cs="Arial"/>
          <w:iCs/>
          <w:sz w:val="24"/>
          <w:szCs w:val="24"/>
          <w:lang w:eastAsia="es-ES"/>
        </w:rPr>
        <w:t>al Director de Administración.</w:t>
      </w:r>
    </w:p>
    <w:p w14:paraId="4602D28C" w14:textId="696E3B02" w:rsidR="0043741D" w:rsidRPr="00F536FA" w:rsidRDefault="0043741D"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Oficio número PMIX/DA/517/2020, de veintisiete (27) de agosto de dos mil veinte, mediante el cual, el Director de Administración presenta diversos documentos para atender la solicitud de información.</w:t>
      </w:r>
    </w:p>
    <w:p w14:paraId="44DA9BC9" w14:textId="58C978BA" w:rsidR="0043741D" w:rsidRPr="00F536FA" w:rsidRDefault="0043741D"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Contrato de Comodato, en versión pública, celebrado entre el </w:t>
      </w:r>
      <w:r w:rsidRPr="00F536FA">
        <w:rPr>
          <w:rFonts w:ascii="Palatino Linotype" w:eastAsia="MS Mincho" w:hAnsi="Palatino Linotype" w:cs="Arial"/>
          <w:b/>
          <w:bCs/>
          <w:iCs/>
          <w:sz w:val="24"/>
          <w:szCs w:val="24"/>
          <w:lang w:eastAsia="es-ES"/>
        </w:rPr>
        <w:t>SUJETO OBLIGADO</w:t>
      </w:r>
      <w:r w:rsidRPr="00F536FA">
        <w:rPr>
          <w:rFonts w:ascii="Palatino Linotype" w:eastAsia="MS Mincho" w:hAnsi="Palatino Linotype" w:cs="Arial"/>
          <w:iCs/>
          <w:sz w:val="24"/>
          <w:szCs w:val="24"/>
          <w:lang w:eastAsia="es-ES"/>
        </w:rPr>
        <w:t xml:space="preserve"> y el </w:t>
      </w:r>
      <w:r w:rsidRPr="00F536FA">
        <w:rPr>
          <w:rFonts w:ascii="Palatino Linotype" w:eastAsia="MS Mincho" w:hAnsi="Palatino Linotype" w:cs="Arial"/>
          <w:i/>
          <w:sz w:val="24"/>
          <w:szCs w:val="24"/>
          <w:lang w:eastAsia="es-ES"/>
        </w:rPr>
        <w:t>C. Germán Aguilar Jiménez</w:t>
      </w:r>
      <w:r w:rsidRPr="00F536FA">
        <w:rPr>
          <w:rFonts w:ascii="Palatino Linotype" w:eastAsia="MS Mincho" w:hAnsi="Palatino Linotype" w:cs="Arial"/>
          <w:iCs/>
          <w:sz w:val="24"/>
          <w:szCs w:val="24"/>
          <w:lang w:eastAsia="es-ES"/>
        </w:rPr>
        <w:t>, de uno (01) de agosto de dos mil diecinueve, relativo a la prestación de juegos mecánicos de feria.</w:t>
      </w:r>
    </w:p>
    <w:p w14:paraId="4429529C" w14:textId="202A5CB2" w:rsidR="0043741D" w:rsidRPr="00F536FA" w:rsidRDefault="0043741D"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Tabla de enlista cinco procedimientos de adjudicación directa relacionados con la contratación o adquisición de elenco, sonorización, pirotecnia y stands para feria suscritos durante el 2016, 2017 y 2018.</w:t>
      </w:r>
    </w:p>
    <w:p w14:paraId="4AB882C2" w14:textId="6638D7C4" w:rsidR="0043741D" w:rsidRPr="00F536FA" w:rsidRDefault="0043741D"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val="es-ES_tradnl" w:eastAsia="es-ES"/>
        </w:rPr>
        <w:t>Copia digitalizada de los progr</w:t>
      </w:r>
      <w:r w:rsidR="00877C6F" w:rsidRPr="00F536FA">
        <w:rPr>
          <w:rFonts w:ascii="Palatino Linotype" w:eastAsia="MS Mincho" w:hAnsi="Palatino Linotype" w:cs="Arial"/>
          <w:iCs/>
          <w:sz w:val="24"/>
          <w:szCs w:val="24"/>
          <w:lang w:val="es-ES_tradnl" w:eastAsia="es-ES"/>
        </w:rPr>
        <w:t>amas de eventos diarios que se llevaron a cabo en la Feria de Ixtlahuaca 2019.</w:t>
      </w:r>
    </w:p>
    <w:p w14:paraId="2DBA77EF" w14:textId="24B4A908" w:rsidR="00877C6F" w:rsidRPr="00F536FA" w:rsidRDefault="00877C6F"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val="es-ES_tradnl" w:eastAsia="es-ES"/>
        </w:rPr>
        <w:t xml:space="preserve">Listado de los </w:t>
      </w:r>
      <w:r w:rsidRPr="00F536FA">
        <w:rPr>
          <w:rFonts w:ascii="Palatino Linotype" w:eastAsia="MS Mincho" w:hAnsi="Palatino Linotype" w:cs="Arial"/>
          <w:i/>
          <w:sz w:val="24"/>
          <w:szCs w:val="24"/>
          <w:lang w:val="es-ES_tradnl" w:eastAsia="es-ES"/>
        </w:rPr>
        <w:t>Eventos artísticos más destacados</w:t>
      </w:r>
      <w:r w:rsidRPr="00F536FA">
        <w:rPr>
          <w:rFonts w:ascii="Palatino Linotype" w:eastAsia="MS Mincho" w:hAnsi="Palatino Linotype" w:cs="Arial"/>
          <w:iCs/>
          <w:sz w:val="24"/>
          <w:szCs w:val="24"/>
          <w:lang w:val="es-ES_tradnl" w:eastAsia="es-ES"/>
        </w:rPr>
        <w:t xml:space="preserve"> de la Feria de Ixtlahuaca 2019.</w:t>
      </w:r>
    </w:p>
    <w:p w14:paraId="41C56B27" w14:textId="3D89990A" w:rsidR="00877C6F" w:rsidRPr="00F536FA" w:rsidRDefault="00877C6F"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Contrato de Comodato, en versión pública, celebrado entre el </w:t>
      </w:r>
      <w:r w:rsidRPr="00F536FA">
        <w:rPr>
          <w:rFonts w:ascii="Palatino Linotype" w:eastAsia="MS Mincho" w:hAnsi="Palatino Linotype" w:cs="Arial"/>
          <w:b/>
          <w:bCs/>
          <w:iCs/>
          <w:sz w:val="24"/>
          <w:szCs w:val="24"/>
          <w:lang w:eastAsia="es-ES"/>
        </w:rPr>
        <w:t>SUJETO OBLIGADO</w:t>
      </w:r>
      <w:r w:rsidRPr="00F536FA">
        <w:rPr>
          <w:rFonts w:ascii="Palatino Linotype" w:eastAsia="MS Mincho" w:hAnsi="Palatino Linotype" w:cs="Arial"/>
          <w:iCs/>
          <w:sz w:val="24"/>
          <w:szCs w:val="24"/>
          <w:lang w:eastAsia="es-ES"/>
        </w:rPr>
        <w:t xml:space="preserve"> y el </w:t>
      </w:r>
      <w:r w:rsidRPr="00F536FA">
        <w:rPr>
          <w:rFonts w:ascii="Palatino Linotype" w:eastAsia="MS Mincho" w:hAnsi="Palatino Linotype" w:cs="Arial"/>
          <w:i/>
          <w:sz w:val="24"/>
          <w:szCs w:val="24"/>
          <w:lang w:eastAsia="es-ES"/>
        </w:rPr>
        <w:t>C. Gonzalo Calderón Hernández</w:t>
      </w:r>
      <w:r w:rsidRPr="00F536FA">
        <w:rPr>
          <w:rFonts w:ascii="Palatino Linotype" w:eastAsia="MS Mincho" w:hAnsi="Palatino Linotype" w:cs="Arial"/>
          <w:iCs/>
          <w:sz w:val="24"/>
          <w:szCs w:val="24"/>
          <w:lang w:eastAsia="es-ES"/>
        </w:rPr>
        <w:t>, de treinta (30) de septiembre de dos mil diecinueve, relativo a la realización de espectáculos públicos.</w:t>
      </w:r>
    </w:p>
    <w:p w14:paraId="62C0D944" w14:textId="27C60692" w:rsidR="00877C6F" w:rsidRPr="00F536FA" w:rsidRDefault="00877C6F"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Oficio número PMIX/UTAIPM/0298/2020, de diecisiete (17) de julio de dos mil veinte, mediante el cual, la Titular de la Unidad de Transparencia turna la solicitud de información </w:t>
      </w:r>
      <w:r w:rsidRPr="00F536FA">
        <w:rPr>
          <w:rFonts w:ascii="Palatino Linotype" w:eastAsia="MS Mincho" w:hAnsi="Palatino Linotype" w:cs="Arial"/>
          <w:b/>
          <w:bCs/>
          <w:iCs/>
          <w:sz w:val="24"/>
          <w:szCs w:val="24"/>
          <w:lang w:eastAsia="es-ES"/>
        </w:rPr>
        <w:lastRenderedPageBreak/>
        <w:t>00072/IXTLAHUA/IP/2020</w:t>
      </w:r>
      <w:r w:rsidRPr="00F536FA">
        <w:rPr>
          <w:rFonts w:ascii="Palatino Linotype" w:eastAsia="MS Mincho" w:hAnsi="Palatino Linotype" w:cs="Arial"/>
          <w:iCs/>
          <w:sz w:val="24"/>
          <w:szCs w:val="24"/>
          <w:lang w:eastAsia="es-ES"/>
        </w:rPr>
        <w:t xml:space="preserve"> al Director de Fomento Económico, Turístico y Artesanal.</w:t>
      </w:r>
    </w:p>
    <w:p w14:paraId="72F6D565" w14:textId="3F05CE8D" w:rsidR="00877C6F" w:rsidRPr="00F536FA" w:rsidRDefault="00877C6F"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val="es-ES_tradnl" w:eastAsia="es-ES"/>
        </w:rPr>
        <w:t>Oficio número PMIX/</w:t>
      </w:r>
      <w:proofErr w:type="spellStart"/>
      <w:r w:rsidRPr="00F536FA">
        <w:rPr>
          <w:rFonts w:ascii="Palatino Linotype" w:eastAsia="MS Mincho" w:hAnsi="Palatino Linotype" w:cs="Arial"/>
          <w:iCs/>
          <w:sz w:val="24"/>
          <w:szCs w:val="24"/>
          <w:lang w:val="es-ES_tradnl" w:eastAsia="es-ES"/>
        </w:rPr>
        <w:t>DFETyA</w:t>
      </w:r>
      <w:proofErr w:type="spellEnd"/>
      <w:r w:rsidRPr="00F536FA">
        <w:rPr>
          <w:rFonts w:ascii="Palatino Linotype" w:eastAsia="MS Mincho" w:hAnsi="Palatino Linotype" w:cs="Arial"/>
          <w:iCs/>
          <w:sz w:val="24"/>
          <w:szCs w:val="24"/>
          <w:lang w:val="es-ES_tradnl" w:eastAsia="es-ES"/>
        </w:rPr>
        <w:t>/0318/2020, de veintisiete (27) de julio de dos mil veinte, por medio del cual, el Director de Fomento Económico, Turístico y Artesanal manifiesta su incompetencia para poseer, generar o administrar información relacionada con la solicitud de información.</w:t>
      </w:r>
    </w:p>
    <w:p w14:paraId="5CD1CB37" w14:textId="776A6E0E" w:rsidR="00877C6F" w:rsidRPr="00F536FA" w:rsidRDefault="00877C6F"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Oficio número PMIX/UTAIPM/0302/2020, de diecisiete (17) de julio de dos mil veinte, mediante el cual, la Titular de la Unidad de Transparencia turna la solicitud de información </w:t>
      </w:r>
      <w:r w:rsidRPr="00F536FA">
        <w:rPr>
          <w:rFonts w:ascii="Palatino Linotype" w:eastAsia="MS Mincho" w:hAnsi="Palatino Linotype" w:cs="Arial"/>
          <w:b/>
          <w:bCs/>
          <w:iCs/>
          <w:sz w:val="24"/>
          <w:szCs w:val="24"/>
          <w:lang w:eastAsia="es-ES"/>
        </w:rPr>
        <w:t>00072/IXTLAHUA/IP/2020</w:t>
      </w:r>
      <w:r w:rsidRPr="00F536FA">
        <w:rPr>
          <w:rFonts w:ascii="Palatino Linotype" w:eastAsia="MS Mincho" w:hAnsi="Palatino Linotype" w:cs="Arial"/>
          <w:iCs/>
          <w:sz w:val="24"/>
          <w:szCs w:val="24"/>
          <w:lang w:eastAsia="es-ES"/>
        </w:rPr>
        <w:t xml:space="preserve"> al Secretario del Ayuntamiento.</w:t>
      </w:r>
    </w:p>
    <w:p w14:paraId="490D089F" w14:textId="62E9D2E9" w:rsidR="00877C6F" w:rsidRPr="00F536FA" w:rsidRDefault="00877C6F"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Oficio número PMI/SA/0565/2020, de diez (10) de julio de dos mil veinte, mediante el cual, el Secretario del Ayuntamiento manifiesta que el área a su cargo no cuenta con la información requerida y, sugiere requerirla a la Dirección de Administración.</w:t>
      </w:r>
    </w:p>
    <w:p w14:paraId="3F4D281C" w14:textId="4E3EB5A8" w:rsidR="00877C6F" w:rsidRPr="00F536FA" w:rsidRDefault="005A11F2"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Oficio número PMIX/UTAIPM/0299/2020, de diecisiete (17) de julio de dos mil veinte, mediante el cual, la Titular de la Unidad de Transparencia turna la solicitud de información </w:t>
      </w:r>
      <w:r w:rsidRPr="00F536FA">
        <w:rPr>
          <w:rFonts w:ascii="Palatino Linotype" w:eastAsia="MS Mincho" w:hAnsi="Palatino Linotype" w:cs="Arial"/>
          <w:b/>
          <w:bCs/>
          <w:iCs/>
          <w:sz w:val="24"/>
          <w:szCs w:val="24"/>
          <w:lang w:eastAsia="es-ES"/>
        </w:rPr>
        <w:t>00072/IXTLAHUA/IP/2020</w:t>
      </w:r>
      <w:r w:rsidRPr="00F536FA">
        <w:rPr>
          <w:rFonts w:ascii="Palatino Linotype" w:eastAsia="MS Mincho" w:hAnsi="Palatino Linotype" w:cs="Arial"/>
          <w:iCs/>
          <w:sz w:val="24"/>
          <w:szCs w:val="24"/>
          <w:lang w:eastAsia="es-ES"/>
        </w:rPr>
        <w:t xml:space="preserve"> al Tesorero Municipal.</w:t>
      </w:r>
    </w:p>
    <w:p w14:paraId="56CBD4E8" w14:textId="5E9F270C" w:rsidR="005A11F2" w:rsidRPr="00F536FA" w:rsidRDefault="005A11F2"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Oficio número TMIE/311/2020, de veintiocho (28) de julio de dos mil veinte, mediante el cual, el Tesorero Municipal</w:t>
      </w:r>
      <w:r w:rsidR="00DF2203" w:rsidRPr="00F536FA">
        <w:rPr>
          <w:rFonts w:ascii="Palatino Linotype" w:eastAsia="MS Mincho" w:hAnsi="Palatino Linotype" w:cs="Arial"/>
          <w:iCs/>
          <w:sz w:val="24"/>
          <w:szCs w:val="24"/>
          <w:lang w:eastAsia="es-ES"/>
        </w:rPr>
        <w:t xml:space="preserve"> informó sobre el monto de las aportaciones hechas al Ayuntamiento de Ixtlahuaca correspondientes a juegos mecánicos en la Feria de Ixtlahuaca de 2016 </w:t>
      </w:r>
      <w:r w:rsidR="00DF2203" w:rsidRPr="00F536FA">
        <w:rPr>
          <w:rFonts w:ascii="Palatino Linotype" w:eastAsia="MS Mincho" w:hAnsi="Palatino Linotype" w:cs="Arial"/>
          <w:iCs/>
          <w:sz w:val="24"/>
          <w:szCs w:val="24"/>
          <w:lang w:eastAsia="es-ES"/>
        </w:rPr>
        <w:lastRenderedPageBreak/>
        <w:t>a 2018, así como el monto recaudado por arrendamiento de espacios comerciales en la Feria 2019.</w:t>
      </w:r>
    </w:p>
    <w:p w14:paraId="1AA9F0E5" w14:textId="1F85FD37" w:rsidR="00DF2203" w:rsidRPr="00F536FA" w:rsidRDefault="00DF2203"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Tres recibos de pago en versión pública por concepto de </w:t>
      </w:r>
      <w:r w:rsidR="005B3579" w:rsidRPr="00F536FA">
        <w:rPr>
          <w:rFonts w:ascii="Palatino Linotype" w:eastAsia="MS Mincho" w:hAnsi="Palatino Linotype" w:cs="Arial"/>
          <w:iCs/>
          <w:sz w:val="24"/>
          <w:szCs w:val="24"/>
          <w:lang w:eastAsia="es-ES"/>
        </w:rPr>
        <w:t>juegos mecánicos y feria patronal.</w:t>
      </w:r>
    </w:p>
    <w:p w14:paraId="724FF8F3" w14:textId="2399AC21" w:rsidR="005B3579" w:rsidRPr="00F536FA" w:rsidRDefault="005B3579"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 xml:space="preserve">Oficio número PMIX/UTAIPM/0303/2020, de diecisiete (17) de julio de dos mil veinte, mediante el cual, la Titular de la Unidad de Transparencia turna la solicitud de información </w:t>
      </w:r>
      <w:r w:rsidRPr="00F536FA">
        <w:rPr>
          <w:rFonts w:ascii="Palatino Linotype" w:eastAsia="MS Mincho" w:hAnsi="Palatino Linotype" w:cs="Arial"/>
          <w:b/>
          <w:bCs/>
          <w:iCs/>
          <w:sz w:val="24"/>
          <w:szCs w:val="24"/>
          <w:lang w:eastAsia="es-ES"/>
        </w:rPr>
        <w:t>00072/IXTLAHUA/IP/2020</w:t>
      </w:r>
      <w:r w:rsidRPr="00F536FA">
        <w:rPr>
          <w:rFonts w:ascii="Palatino Linotype" w:eastAsia="MS Mincho" w:hAnsi="Palatino Linotype" w:cs="Arial"/>
          <w:iCs/>
          <w:sz w:val="24"/>
          <w:szCs w:val="24"/>
          <w:lang w:eastAsia="es-ES"/>
        </w:rPr>
        <w:t xml:space="preserve"> al Director de Gobierno Municipal.</w:t>
      </w:r>
    </w:p>
    <w:p w14:paraId="596D3E8A" w14:textId="502DFA07" w:rsidR="005B3579" w:rsidRPr="00F536FA" w:rsidRDefault="005B3579"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Oficio número DGMI/105/2020, de veintisiete (27) de julio de dos mil veinte, mediante el cual, el Director de Gobierno Municipal señala al responsable de la realización del palenque de la Feria Ixtlahuaca 2019 y, manifiesta el número de permiso emitido por la Dirección General de Juegos y Sorteos para su celebración.</w:t>
      </w:r>
    </w:p>
    <w:p w14:paraId="0EDDB816" w14:textId="27EBCACA" w:rsidR="005B3579" w:rsidRPr="00F536FA" w:rsidRDefault="005B3579" w:rsidP="00152C81">
      <w:pPr>
        <w:numPr>
          <w:ilvl w:val="2"/>
          <w:numId w:val="2"/>
        </w:numPr>
        <w:tabs>
          <w:tab w:val="left" w:pos="1276"/>
        </w:tabs>
        <w:spacing w:after="0" w:line="360" w:lineRule="auto"/>
        <w:ind w:left="1418" w:hanging="284"/>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iCs/>
          <w:sz w:val="24"/>
          <w:szCs w:val="24"/>
          <w:lang w:eastAsia="es-ES"/>
        </w:rPr>
        <w:t>Fotografías del Permiso para el Cruce de Apuestas en Peleas de Gallos en Escenarios Temporales, emitido por la Dirección General de Juegos y Apuestas de la Secretaría de Gobernación de nivel federal.</w:t>
      </w:r>
    </w:p>
    <w:p w14:paraId="19EE76F8" w14:textId="68012FD7" w:rsidR="00C4243A" w:rsidRPr="00F536FA" w:rsidRDefault="00C4243A" w:rsidP="00152C81">
      <w:pPr>
        <w:tabs>
          <w:tab w:val="left" w:pos="1276"/>
        </w:tabs>
        <w:spacing w:after="0" w:line="360" w:lineRule="auto"/>
        <w:ind w:left="1701"/>
        <w:contextualSpacing/>
        <w:jc w:val="both"/>
        <w:rPr>
          <w:rFonts w:ascii="Palatino Linotype" w:eastAsia="MS Mincho" w:hAnsi="Palatino Linotype" w:cs="Arial"/>
          <w:iCs/>
          <w:sz w:val="24"/>
          <w:szCs w:val="24"/>
          <w:lang w:val="es-ES_tradnl" w:eastAsia="es-ES"/>
        </w:rPr>
      </w:pPr>
    </w:p>
    <w:p w14:paraId="067E3841" w14:textId="7DF21ADE" w:rsidR="005B5790" w:rsidRPr="00F536FA" w:rsidRDefault="005B5790" w:rsidP="00152C81">
      <w:pPr>
        <w:numPr>
          <w:ilvl w:val="1"/>
          <w:numId w:val="2"/>
        </w:numPr>
        <w:tabs>
          <w:tab w:val="left" w:pos="1276"/>
        </w:tabs>
        <w:spacing w:after="0" w:line="360" w:lineRule="auto"/>
        <w:ind w:left="851" w:hanging="283"/>
        <w:contextualSpacing/>
        <w:jc w:val="both"/>
        <w:rPr>
          <w:rFonts w:ascii="Palatino Linotype" w:eastAsia="MS Mincho" w:hAnsi="Palatino Linotype" w:cs="Arial"/>
          <w:i/>
          <w:sz w:val="24"/>
          <w:szCs w:val="24"/>
          <w:lang w:val="es-ES_tradnl" w:eastAsia="es-ES"/>
        </w:rPr>
      </w:pPr>
      <w:r w:rsidRPr="00F536FA">
        <w:rPr>
          <w:rFonts w:ascii="Palatino Linotype" w:eastAsia="MS Mincho" w:hAnsi="Palatino Linotype" w:cs="Arial"/>
          <w:b/>
          <w:bCs/>
          <w:i/>
          <w:sz w:val="24"/>
          <w:szCs w:val="24"/>
          <w:lang w:val="es-ES_tradnl" w:eastAsia="es-ES"/>
        </w:rPr>
        <w:t>“ACTA DE COMITÉ SOL. 72</w:t>
      </w:r>
      <w:proofErr w:type="gramStart"/>
      <w:r w:rsidRPr="00F536FA">
        <w:rPr>
          <w:rFonts w:ascii="Palatino Linotype" w:eastAsia="MS Mincho" w:hAnsi="Palatino Linotype" w:cs="Arial"/>
          <w:b/>
          <w:bCs/>
          <w:i/>
          <w:sz w:val="24"/>
          <w:szCs w:val="24"/>
          <w:lang w:val="es-ES_tradnl" w:eastAsia="es-ES"/>
        </w:rPr>
        <w:t>.pdf</w:t>
      </w:r>
      <w:proofErr w:type="gramEnd"/>
      <w:r w:rsidRPr="00F536FA">
        <w:rPr>
          <w:rFonts w:ascii="Palatino Linotype" w:eastAsia="MS Mincho" w:hAnsi="Palatino Linotype" w:cs="Arial"/>
          <w:b/>
          <w:bCs/>
          <w:i/>
          <w:sz w:val="24"/>
          <w:szCs w:val="24"/>
          <w:lang w:val="es-ES_tradnl" w:eastAsia="es-ES"/>
        </w:rPr>
        <w:t>”</w:t>
      </w:r>
      <w:r w:rsidRPr="00F536FA">
        <w:rPr>
          <w:rFonts w:ascii="Palatino Linotype" w:eastAsia="MS Mincho" w:hAnsi="Palatino Linotype" w:cs="Arial"/>
          <w:iCs/>
          <w:sz w:val="24"/>
          <w:szCs w:val="24"/>
          <w:lang w:val="es-ES_tradnl" w:eastAsia="es-ES"/>
        </w:rPr>
        <w:t xml:space="preserve">: </w:t>
      </w:r>
      <w:r w:rsidR="005B3579" w:rsidRPr="00F536FA">
        <w:rPr>
          <w:rFonts w:ascii="Palatino Linotype" w:eastAsia="MS Mincho" w:hAnsi="Palatino Linotype" w:cs="Arial"/>
          <w:iCs/>
          <w:sz w:val="24"/>
          <w:szCs w:val="24"/>
          <w:lang w:val="es-ES_tradnl" w:eastAsia="es-ES"/>
        </w:rPr>
        <w:t xml:space="preserve">Acta de la Décima Sesión Ordinaria del Comité de Transparencia del </w:t>
      </w:r>
      <w:r w:rsidR="005B3579" w:rsidRPr="00F536FA">
        <w:rPr>
          <w:rFonts w:ascii="Palatino Linotype" w:eastAsia="MS Mincho" w:hAnsi="Palatino Linotype" w:cs="Arial"/>
          <w:b/>
          <w:bCs/>
          <w:iCs/>
          <w:sz w:val="24"/>
          <w:szCs w:val="24"/>
          <w:lang w:val="es-ES_tradnl" w:eastAsia="es-ES"/>
        </w:rPr>
        <w:t>SUJETO OBLIGADO</w:t>
      </w:r>
      <w:r w:rsidR="005B3579" w:rsidRPr="00F536FA">
        <w:rPr>
          <w:rFonts w:ascii="Palatino Linotype" w:eastAsia="MS Mincho" w:hAnsi="Palatino Linotype" w:cs="Arial"/>
          <w:iCs/>
          <w:sz w:val="24"/>
          <w:szCs w:val="24"/>
          <w:lang w:val="es-ES_tradnl" w:eastAsia="es-ES"/>
        </w:rPr>
        <w:t xml:space="preserve"> por el que se aprueban las versiones públicas de los documentos entregados a modo de respuesta a la solicitud de información </w:t>
      </w:r>
      <w:r w:rsidR="005B3579" w:rsidRPr="00F536FA">
        <w:rPr>
          <w:rFonts w:ascii="Palatino Linotype" w:eastAsia="MS Mincho" w:hAnsi="Palatino Linotype" w:cs="Arial"/>
          <w:b/>
          <w:bCs/>
          <w:iCs/>
          <w:sz w:val="24"/>
          <w:szCs w:val="24"/>
          <w:lang w:val="es-ES_tradnl" w:eastAsia="es-ES"/>
        </w:rPr>
        <w:t>00072/IXTLAHUA/IP/2020.</w:t>
      </w:r>
    </w:p>
    <w:p w14:paraId="0FBC4319" w14:textId="77777777" w:rsidR="00C4243A" w:rsidRPr="00F536FA" w:rsidRDefault="00C4243A" w:rsidP="00C4243A">
      <w:pPr>
        <w:tabs>
          <w:tab w:val="left" w:pos="1276"/>
        </w:tabs>
        <w:spacing w:after="0" w:line="360" w:lineRule="auto"/>
        <w:ind w:left="1134"/>
        <w:contextualSpacing/>
        <w:jc w:val="both"/>
        <w:rPr>
          <w:rFonts w:ascii="Palatino Linotype" w:eastAsia="MS Mincho" w:hAnsi="Palatino Linotype" w:cs="Arial"/>
          <w:iCs/>
          <w:sz w:val="24"/>
          <w:szCs w:val="24"/>
          <w:lang w:val="es-ES_tradnl" w:eastAsia="es-ES"/>
        </w:rPr>
      </w:pPr>
    </w:p>
    <w:p w14:paraId="265C5049" w14:textId="1739FD87" w:rsidR="005F4922" w:rsidRPr="00F536FA" w:rsidRDefault="002C6BBC" w:rsidP="001750B7">
      <w:pPr>
        <w:numPr>
          <w:ilvl w:val="0"/>
          <w:numId w:val="2"/>
        </w:numPr>
        <w:tabs>
          <w:tab w:val="left" w:pos="426"/>
        </w:tabs>
        <w:spacing w:after="0" w:line="360" w:lineRule="auto"/>
        <w:ind w:left="0" w:firstLine="0"/>
        <w:contextualSpacing/>
        <w:jc w:val="both"/>
        <w:rPr>
          <w:rFonts w:ascii="Palatino Linotype" w:eastAsia="MS Mincho" w:hAnsi="Palatino Linotype" w:cs="Arial"/>
          <w:i/>
          <w:lang w:val="es-ES_tradnl" w:eastAsia="es-ES"/>
        </w:rPr>
      </w:pPr>
      <w:r w:rsidRPr="00F536FA">
        <w:rPr>
          <w:rFonts w:ascii="Palatino Linotype" w:eastAsia="Times New Roman" w:hAnsi="Palatino Linotype" w:cs="Arial"/>
          <w:sz w:val="24"/>
          <w:szCs w:val="24"/>
          <w:lang w:val="es-ES" w:eastAsia="es-ES"/>
        </w:rPr>
        <w:lastRenderedPageBreak/>
        <w:t xml:space="preserve">El </w:t>
      </w:r>
      <w:r w:rsidR="005B3579" w:rsidRPr="00F536FA">
        <w:rPr>
          <w:rFonts w:ascii="Palatino Linotype" w:eastAsia="Times New Roman" w:hAnsi="Palatino Linotype" w:cs="Arial"/>
          <w:sz w:val="24"/>
          <w:szCs w:val="24"/>
          <w:lang w:val="es-ES" w:eastAsia="es-ES"/>
        </w:rPr>
        <w:t>siete</w:t>
      </w:r>
      <w:r w:rsidR="005648B9" w:rsidRPr="00F536FA">
        <w:rPr>
          <w:rFonts w:ascii="Palatino Linotype" w:eastAsia="Times New Roman" w:hAnsi="Palatino Linotype" w:cs="Arial"/>
          <w:sz w:val="24"/>
          <w:szCs w:val="24"/>
          <w:lang w:val="es-ES" w:eastAsia="es-ES"/>
        </w:rPr>
        <w:t xml:space="preserve"> </w:t>
      </w:r>
      <w:r w:rsidR="00A65A4B" w:rsidRPr="00F536FA">
        <w:rPr>
          <w:rFonts w:ascii="Palatino Linotype" w:eastAsia="Times New Roman" w:hAnsi="Palatino Linotype" w:cs="Arial"/>
          <w:sz w:val="24"/>
          <w:szCs w:val="24"/>
          <w:lang w:val="es-ES" w:eastAsia="es-ES"/>
        </w:rPr>
        <w:t>(</w:t>
      </w:r>
      <w:r w:rsidR="005B3579" w:rsidRPr="00F536FA">
        <w:rPr>
          <w:rFonts w:ascii="Palatino Linotype" w:eastAsia="Times New Roman" w:hAnsi="Palatino Linotype" w:cs="Arial"/>
          <w:sz w:val="24"/>
          <w:szCs w:val="24"/>
          <w:lang w:val="es-ES" w:eastAsia="es-ES"/>
        </w:rPr>
        <w:t>07</w:t>
      </w:r>
      <w:r w:rsidRPr="00F536FA">
        <w:rPr>
          <w:rFonts w:ascii="Palatino Linotype" w:eastAsia="Times New Roman" w:hAnsi="Palatino Linotype" w:cs="Arial"/>
          <w:sz w:val="24"/>
          <w:szCs w:val="24"/>
          <w:lang w:val="es-ES" w:eastAsia="es-ES"/>
        </w:rPr>
        <w:t xml:space="preserve">) de </w:t>
      </w:r>
      <w:r w:rsidR="00AE7843" w:rsidRPr="00F536FA">
        <w:rPr>
          <w:rFonts w:ascii="Palatino Linotype" w:eastAsia="Times New Roman" w:hAnsi="Palatino Linotype" w:cs="Arial"/>
          <w:sz w:val="24"/>
          <w:szCs w:val="24"/>
          <w:lang w:val="es-ES" w:eastAsia="es-ES"/>
        </w:rPr>
        <w:t>septiembre</w:t>
      </w:r>
      <w:r w:rsidR="00B97C28" w:rsidRPr="00F536FA">
        <w:rPr>
          <w:rFonts w:ascii="Palatino Linotype" w:eastAsia="Times New Roman" w:hAnsi="Palatino Linotype" w:cs="Arial"/>
          <w:sz w:val="24"/>
          <w:szCs w:val="24"/>
          <w:lang w:val="es-ES" w:eastAsia="es-ES"/>
        </w:rPr>
        <w:t xml:space="preserve"> de </w:t>
      </w:r>
      <w:r w:rsidR="005648B9" w:rsidRPr="00F536FA">
        <w:rPr>
          <w:rFonts w:ascii="Palatino Linotype" w:eastAsia="Times New Roman" w:hAnsi="Palatino Linotype" w:cs="Arial"/>
          <w:sz w:val="24"/>
          <w:szCs w:val="24"/>
          <w:lang w:val="es-ES" w:eastAsia="es-ES"/>
        </w:rPr>
        <w:t>dos mil veinte</w:t>
      </w:r>
      <w:r w:rsidRPr="00F536FA">
        <w:rPr>
          <w:rFonts w:ascii="Palatino Linotype" w:eastAsia="Times New Roman" w:hAnsi="Palatino Linotype" w:cs="Arial"/>
          <w:sz w:val="24"/>
          <w:szCs w:val="24"/>
          <w:lang w:val="es-ES" w:eastAsia="es-ES"/>
        </w:rPr>
        <w:t xml:space="preserve">, </w:t>
      </w:r>
      <w:r w:rsidR="008478F3" w:rsidRPr="00F536FA">
        <w:rPr>
          <w:rFonts w:ascii="Palatino Linotype" w:eastAsia="Times New Roman" w:hAnsi="Palatino Linotype" w:cs="Arial"/>
          <w:sz w:val="24"/>
          <w:szCs w:val="24"/>
          <w:lang w:val="es-ES" w:eastAsia="es-ES"/>
        </w:rPr>
        <w:t xml:space="preserve">el particular </w:t>
      </w:r>
      <w:r w:rsidRPr="00F536FA">
        <w:rPr>
          <w:rFonts w:ascii="Palatino Linotype" w:eastAsia="Times New Roman" w:hAnsi="Palatino Linotype" w:cs="Arial"/>
          <w:sz w:val="24"/>
          <w:szCs w:val="24"/>
          <w:lang w:val="es-ES" w:eastAsia="es-ES"/>
        </w:rPr>
        <w:t xml:space="preserve">interpuso </w:t>
      </w:r>
      <w:r w:rsidR="00941371" w:rsidRPr="00F536FA">
        <w:rPr>
          <w:rFonts w:ascii="Palatino Linotype" w:eastAsia="Times New Roman" w:hAnsi="Palatino Linotype" w:cs="Arial"/>
          <w:sz w:val="24"/>
          <w:szCs w:val="24"/>
          <w:lang w:val="es-ES" w:eastAsia="es-ES"/>
        </w:rPr>
        <w:t>el</w:t>
      </w:r>
      <w:r w:rsidRPr="00F536FA">
        <w:rPr>
          <w:rFonts w:ascii="Palatino Linotype" w:eastAsia="Times New Roman" w:hAnsi="Palatino Linotype" w:cs="Arial"/>
          <w:sz w:val="24"/>
          <w:szCs w:val="24"/>
          <w:lang w:val="es-ES" w:eastAsia="es-ES"/>
        </w:rPr>
        <w:t xml:space="preserve"> </w:t>
      </w:r>
      <w:r w:rsidR="004420A8" w:rsidRPr="00F536FA">
        <w:rPr>
          <w:rFonts w:ascii="Palatino Linotype" w:eastAsia="Times New Roman" w:hAnsi="Palatino Linotype" w:cs="Arial"/>
          <w:sz w:val="24"/>
          <w:szCs w:val="24"/>
          <w:lang w:val="es-ES" w:eastAsia="es-ES"/>
        </w:rPr>
        <w:t xml:space="preserve">recurso </w:t>
      </w:r>
      <w:r w:rsidRPr="00F536FA">
        <w:rPr>
          <w:rFonts w:ascii="Palatino Linotype" w:eastAsia="Times New Roman" w:hAnsi="Palatino Linotype" w:cs="Arial"/>
          <w:sz w:val="24"/>
          <w:szCs w:val="24"/>
          <w:lang w:val="es-ES" w:eastAsia="es-ES"/>
        </w:rPr>
        <w:t xml:space="preserve">de </w:t>
      </w:r>
      <w:r w:rsidR="00DD2750" w:rsidRPr="00F536FA">
        <w:rPr>
          <w:rFonts w:ascii="Palatino Linotype" w:eastAsia="Times New Roman" w:hAnsi="Palatino Linotype" w:cs="Arial"/>
          <w:sz w:val="24"/>
          <w:szCs w:val="24"/>
          <w:lang w:val="es-ES" w:eastAsia="es-ES"/>
        </w:rPr>
        <w:t>revisión que al rubro se indica</w:t>
      </w:r>
      <w:r w:rsidRPr="00F536FA">
        <w:rPr>
          <w:rFonts w:ascii="Palatino Linotype" w:eastAsia="Times New Roman" w:hAnsi="Palatino Linotype" w:cs="Arial"/>
          <w:sz w:val="24"/>
          <w:szCs w:val="24"/>
          <w:lang w:val="es-ES" w:eastAsia="es-ES"/>
        </w:rPr>
        <w:t>, en contra de la</w:t>
      </w:r>
      <w:r w:rsidR="00DD2750" w:rsidRPr="00F536FA">
        <w:rPr>
          <w:rFonts w:ascii="Palatino Linotype" w:eastAsia="Times New Roman" w:hAnsi="Palatino Linotype" w:cs="Arial"/>
          <w:sz w:val="24"/>
          <w:szCs w:val="24"/>
          <w:lang w:val="es-ES" w:eastAsia="es-ES"/>
        </w:rPr>
        <w:t xml:space="preserve"> respuesta</w:t>
      </w:r>
      <w:r w:rsidRPr="00F536FA">
        <w:rPr>
          <w:rFonts w:ascii="Palatino Linotype" w:eastAsia="Times New Roman" w:hAnsi="Palatino Linotype" w:cs="Arial"/>
          <w:sz w:val="24"/>
          <w:szCs w:val="24"/>
          <w:lang w:val="es-ES" w:eastAsia="es-ES"/>
        </w:rPr>
        <w:t xml:space="preserve"> del </w:t>
      </w:r>
      <w:r w:rsidR="004420A8" w:rsidRPr="00F536FA">
        <w:rPr>
          <w:rFonts w:ascii="Palatino Linotype" w:eastAsia="Times New Roman" w:hAnsi="Palatino Linotype" w:cs="Arial"/>
          <w:b/>
          <w:bCs/>
          <w:sz w:val="24"/>
          <w:szCs w:val="24"/>
          <w:lang w:val="es-ES" w:eastAsia="es-ES"/>
        </w:rPr>
        <w:t>SUJETO OBLIGADO</w:t>
      </w:r>
      <w:r w:rsidRPr="00F536FA">
        <w:rPr>
          <w:rFonts w:ascii="Palatino Linotype" w:eastAsia="Times New Roman" w:hAnsi="Palatino Linotype" w:cs="Arial"/>
          <w:sz w:val="24"/>
          <w:szCs w:val="24"/>
          <w:lang w:val="es-ES" w:eastAsia="es-ES"/>
        </w:rPr>
        <w:t>, señalando lo siguiente:</w:t>
      </w:r>
    </w:p>
    <w:p w14:paraId="3E80C35B" w14:textId="77777777" w:rsidR="002C6BBC" w:rsidRPr="00F536FA" w:rsidRDefault="002C6BBC" w:rsidP="004B2A20">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14:paraId="6CD354CB" w14:textId="7D04F1D6" w:rsidR="00792776" w:rsidRPr="00F536FA"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i/>
          <w:iCs/>
          <w:lang w:val="es-ES_tradnl" w:eastAsia="es-ES"/>
        </w:rPr>
      </w:pPr>
      <w:r w:rsidRPr="00F536FA">
        <w:rPr>
          <w:rFonts w:ascii="Palatino Linotype" w:eastAsia="MS Gothic" w:hAnsi="Palatino Linotype" w:cs="Times New Roman"/>
          <w:b/>
          <w:lang w:val="es-ES"/>
        </w:rPr>
        <w:t>Acto impugnado</w:t>
      </w:r>
      <w:r w:rsidRPr="00F536FA">
        <w:rPr>
          <w:rFonts w:ascii="Palatino Linotype" w:eastAsia="MS Mincho" w:hAnsi="Palatino Linotype" w:cs="Times New Roman"/>
          <w:lang w:val="es-ES_tradnl" w:eastAsia="es-ES"/>
        </w:rPr>
        <w:t xml:space="preserve">: </w:t>
      </w:r>
      <w:r w:rsidRPr="00F536FA">
        <w:rPr>
          <w:rFonts w:ascii="Palatino Linotype" w:eastAsia="MS Mincho" w:hAnsi="Palatino Linotype" w:cs="Times New Roman"/>
          <w:i/>
          <w:iCs/>
          <w:lang w:val="es-ES_tradnl" w:eastAsia="es-ES"/>
        </w:rPr>
        <w:t>“</w:t>
      </w:r>
      <w:r w:rsidR="005B3579" w:rsidRPr="00F536FA">
        <w:rPr>
          <w:rFonts w:ascii="Palatino Linotype" w:eastAsia="MS Mincho" w:hAnsi="Palatino Linotype" w:cs="Times New Roman"/>
          <w:i/>
          <w:iCs/>
          <w:lang w:eastAsia="es-ES"/>
        </w:rPr>
        <w:t>Entrega de Información Incompleta, entrega de información en formato incomprensible, falta, deficiencia o insuficiencia en la fundamentación y motivación de la respuesta.</w:t>
      </w:r>
      <w:r w:rsidRPr="00F536FA">
        <w:rPr>
          <w:rFonts w:ascii="Palatino Linotype" w:eastAsia="MS Mincho" w:hAnsi="Palatino Linotype" w:cs="Times New Roman"/>
          <w:i/>
          <w:iCs/>
          <w:lang w:val="es-ES_tradnl" w:eastAsia="es-ES"/>
        </w:rPr>
        <w:t>”</w:t>
      </w:r>
      <w:r w:rsidR="004653A7" w:rsidRPr="00F536FA">
        <w:rPr>
          <w:rFonts w:ascii="Palatino Linotype" w:eastAsia="MS Mincho" w:hAnsi="Palatino Linotype" w:cs="Times New Roman"/>
          <w:i/>
          <w:iCs/>
          <w:lang w:val="es-ES_tradnl" w:eastAsia="es-ES"/>
        </w:rPr>
        <w:t xml:space="preserve"> </w:t>
      </w:r>
      <w:r w:rsidRPr="00F536FA">
        <w:rPr>
          <w:rFonts w:ascii="Palatino Linotype" w:eastAsia="MS Mincho" w:hAnsi="Palatino Linotype" w:cs="Times New Roman"/>
          <w:i/>
          <w:iCs/>
          <w:lang w:val="es-ES_tradnl" w:eastAsia="es-ES"/>
        </w:rPr>
        <w:t>(Sic)</w:t>
      </w:r>
    </w:p>
    <w:p w14:paraId="0268EEAE" w14:textId="77777777" w:rsidR="00A612C0" w:rsidRPr="00F536FA" w:rsidRDefault="00A612C0" w:rsidP="00E473E1">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14:paraId="0E99314D" w14:textId="55687DC7" w:rsidR="009B0FB8" w:rsidRPr="00F536FA"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F536FA">
        <w:rPr>
          <w:rFonts w:ascii="Palatino Linotype" w:eastAsia="MS Gothic" w:hAnsi="Palatino Linotype" w:cs="Times New Roman"/>
          <w:b/>
          <w:lang w:val="es-ES"/>
        </w:rPr>
        <w:t>Razones o Motivos de inconformidad</w:t>
      </w:r>
      <w:r w:rsidRPr="00F536FA">
        <w:rPr>
          <w:rFonts w:ascii="Palatino Linotype" w:eastAsia="MS Mincho" w:hAnsi="Palatino Linotype" w:cs="Times New Roman"/>
          <w:lang w:val="es-ES_tradnl" w:eastAsia="es-ES"/>
        </w:rPr>
        <w:t xml:space="preserve">: </w:t>
      </w:r>
      <w:r w:rsidRPr="00F536FA">
        <w:rPr>
          <w:rFonts w:ascii="Palatino Linotype" w:eastAsia="MS Mincho" w:hAnsi="Palatino Linotype" w:cs="Times New Roman"/>
          <w:i/>
          <w:lang w:val="es-ES_tradnl" w:eastAsia="es-ES"/>
        </w:rPr>
        <w:t>“</w:t>
      </w:r>
      <w:r w:rsidR="005B3579" w:rsidRPr="00F536FA">
        <w:rPr>
          <w:rFonts w:ascii="Palatino Linotype" w:eastAsia="MS Mincho" w:hAnsi="Palatino Linotype" w:cs="Times New Roman"/>
          <w:i/>
          <w:lang w:eastAsia="es-ES"/>
        </w:rPr>
        <w:t xml:space="preserve">De la respuesta otorgada por el Sujeto Obligado se desprenden diversas irregularidades, que a continuación se enumeran: 1. Solicito saber el monto de las aportaciones realizadas en cualquier modalidad (pago de derechos, donación, </w:t>
      </w:r>
      <w:proofErr w:type="spellStart"/>
      <w:r w:rsidR="005B3579" w:rsidRPr="00F536FA">
        <w:rPr>
          <w:rFonts w:ascii="Palatino Linotype" w:eastAsia="MS Mincho" w:hAnsi="Palatino Linotype" w:cs="Times New Roman"/>
          <w:i/>
          <w:lang w:eastAsia="es-ES"/>
        </w:rPr>
        <w:t>etc</w:t>
      </w:r>
      <w:proofErr w:type="spellEnd"/>
      <w:r w:rsidR="005B3579" w:rsidRPr="00F536FA">
        <w:rPr>
          <w:rFonts w:ascii="Palatino Linotype" w:eastAsia="MS Mincho" w:hAnsi="Palatino Linotype" w:cs="Times New Roman"/>
          <w:i/>
          <w:lang w:eastAsia="es-ES"/>
        </w:rPr>
        <w:t xml:space="preserve">), al Ayuntamiento, por parte de las empresas y/o personas físicas de juegos mecánicos que han proporcionado el servicio de juegos mecánicos en las ferias correspondientes a los festejos del mes de octubre de los años 2015 a 2019; así como copia de los recibos otorgados por la tesorería municipal y copia de los permisos otorgados por el ayuntamiento. En relación con la primera parte de la solicitud se identifican 3 </w:t>
      </w:r>
      <w:proofErr w:type="spellStart"/>
      <w:r w:rsidR="005B3579" w:rsidRPr="00F536FA">
        <w:rPr>
          <w:rFonts w:ascii="Palatino Linotype" w:eastAsia="MS Mincho" w:hAnsi="Palatino Linotype" w:cs="Times New Roman"/>
          <w:i/>
          <w:lang w:eastAsia="es-ES"/>
        </w:rPr>
        <w:t>items</w:t>
      </w:r>
      <w:proofErr w:type="spellEnd"/>
      <w:r w:rsidR="005B3579" w:rsidRPr="00F536FA">
        <w:rPr>
          <w:rFonts w:ascii="Palatino Linotype" w:eastAsia="MS Mincho" w:hAnsi="Palatino Linotype" w:cs="Times New Roman"/>
          <w:i/>
          <w:lang w:eastAsia="es-ES"/>
        </w:rPr>
        <w:t xml:space="preserve"> dentro de la misma, (i. montos de aportaciones, ii. Copias de recibos y iii. permisos otorgados) en este sentido la respuesta otorgada por el Sujeto Obligado, es insuficiente por las razones que a continuación se describen: En relación con el ítem i. montos de aportaciones; mediante oficio TMIE/311/2020, El Tesorero Municipal, hace del conocimiento, relativo al ejercicio 2015, que no hay información, no obstante no funda y motiva dicha aseveración, en este sentido el artículo 19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la presunción de existencia de la información si se refiere a las facultades, competencias y funciones que los ordenamientos jurídicos aplicables otorgan a los sujetos obligados; de la misma forma en su artículo 169, fracción II,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que “Cuando la </w:t>
      </w:r>
      <w:r w:rsidR="005B3579" w:rsidRPr="00F536FA">
        <w:rPr>
          <w:rFonts w:ascii="Palatino Linotype" w:eastAsia="MS Mincho" w:hAnsi="Palatino Linotype" w:cs="Times New Roman"/>
          <w:i/>
          <w:lang w:eastAsia="es-ES"/>
        </w:rPr>
        <w:lastRenderedPageBreak/>
        <w:t xml:space="preserve">información no se encuentre en los archivos del sujeto obligado, el Comité de Transparencia, expedirá una resolución que confirme la inexistencia del documento”; documento que no fue presentado en la respuesta otorgada por el Ayuntamiento de Ixtlahuaca. No omito mencionar que de conformidad con lo establecido en el artículo 31, fracción IX, de la Ley General de Archivos, los sujetos obligados deben conservar en archivo de concentración, por un periodo de 7 años a partir de su elaboración todo documento. En este mismo sentido en relación con el ítem ii. copias de los recibos números 40445 y 90624, que se otorgan en la respuesta son poco legibles, por lo que el formato en que se entrega es incomprensible en cuanto a cantidad y fecha. Por otra parte, en relación con el ejercicio 2019, el Tesorero Municipal afirma que se realizó un contrato de comodato a título gratuito, no obstante, el documento otorgado carece de la firma del Secretario del Ayuntamiento; cabe destacar que de conformidad con lo establecido en el artículo 91, fracción V, de la Ley Orgánica Municipal, el Secretario del Ayuntamiento debe Validar con su firma, los documentos oficiales emanados del ayuntamiento o de cualquiera de sus miembros. En relación con el ítem iii. copias de los permisos otorgados. El Ayuntamiento de Ixtlahuaca, no presenta información relativa a esta solicitud, de la misma forma no fundó ni motivo la ausencia de respuesta; siendo omiso en otorgar el derecho de acceso a la información pública. 2. Solicito copia de los contratos, acuerdos, convenios o documentos jurídicos celebrados entre el Ayuntamiento de Ixtlahuaca y las empresas y/o personas físicas de juegos mecánicos, en los que se establezcan los términos bajo los cuales el ayuntamiento permitirá la instalación de dichas empresas durante las ferias 2015 a 2019. En relación con el presente requerimiento, mediante oficio con clave PMIX/DA/517/2020, el Director de Administración responde: “no se localizó ningún documento respecto de los ejercicios 2015 – 2018”; no obstante no funda y motiva dicha aseveración, en este sentido el artículo 19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la presunción de existencia de la </w:t>
      </w:r>
      <w:r w:rsidR="005B3579" w:rsidRPr="00F536FA">
        <w:rPr>
          <w:rFonts w:ascii="Palatino Linotype" w:eastAsia="MS Mincho" w:hAnsi="Palatino Linotype" w:cs="Times New Roman"/>
          <w:i/>
          <w:lang w:eastAsia="es-ES"/>
        </w:rPr>
        <w:lastRenderedPageBreak/>
        <w:t xml:space="preserve">información si se refiere a las facultades, competencias y funciones que los ordenamientos jurídicos aplicables otorgan a los sujetos obligados; de la misma forma en su artículo 169, fracción II,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que “Cuando la información no se encuentre en los archivos del sujeto obligado, el Comité de Transparencia, expedirá una resolución que confirme la inexistencia del documento”; documento que no fue presentado en la respuesta otorgada por el Ayuntamiento de Ixtlahuaca. No omito mencionar que de conformidad con lo establecido en el artículo 31, fracción IX, de la Ley General de Archivos, los sujetos obligados deben conservar en archivo de concentración, por un periodo de 7 años a partir de su elaboración todo documento. En relación con el ejercicio 2019, el oficio en comento; refiere un Anexo 1, consistente en un contrato de comodato entre el Ayuntamiento de Ixtlahuaca y el C. German Aguilar Jiménez, como prestador de servicio de juegos mecánicos. No obstante dicho documento carece de la firma del Secretario del Ayuntamiento cabe destacar que de conformidad con lo establecido en el artículo 91, fracción V, de la Ley Orgánica Municipal, el Secretario del Ayuntamiento debe Validar con su firma, los documentos oficiales emanados del ayuntamiento o de cualquiera de sus miembros. En este tenor cabe destacar que el Secretario del Ayuntamiento mediante oficio PMI/SA/0565/2020, responde a la presente solicitud lo siguiente “En la Secretaria del Ayuntamiento no cuento con la información requerida” sin que se funde y motive dicha ausencia de información, como se ha mencionado anteriormente el artículo 19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la presunción de existencia de la información si se refiere a las facultades, competencias y funciones que los ordenamientos jurídicos aplicables otorgan a los sujetos obligados y en sus obligaciones se encuentra validar los documentos oficiales del ayuntamiento. No omito mencionar que de acuerdo con el artículo 31, fracción XXVIII de la Ley Orgánica Municipal, es atribución del Ayuntamiento otorgar en comodato los bienes del ayuntamiento, por lo que el comodato otorgado debió ser autorizado previamente </w:t>
      </w:r>
      <w:r w:rsidR="005B3579" w:rsidRPr="00F536FA">
        <w:rPr>
          <w:rFonts w:ascii="Palatino Linotype" w:eastAsia="MS Mincho" w:hAnsi="Palatino Linotype" w:cs="Times New Roman"/>
          <w:i/>
          <w:lang w:eastAsia="es-ES"/>
        </w:rPr>
        <w:lastRenderedPageBreak/>
        <w:t xml:space="preserve">por el Cabildo del Ayuntamiento de Ixtlahuaca, sin que en el instrumento jurídico presentado por el Sujeto Obligado, exista referencia a dicha autorización por el máximo órgano de gobierno municipal. 3. Solicito conocer el costo de la realización de la feria de Ixtlahuaca en los ejercicios 2015 a 2019, así como los programas y elencos artísticos de cada edición. En relación con la respuesta al presente requerimiento mediante oficio PMIX/DA/517/2020, el Director de Administración responde: “resulta difícil procesar el costo total de las ferias 2015-2018”, refiriendo un anexo 2, del que de su lectura se desprende la ausencia de información concerniente al ejercicio 2015 e información incompleta relativa a los ejercicios 2016, 2017 y 2018; en virtud de que el sujeto obligado solicito prórroga para responder la presente solicitud, debió realizar una búsqueda más exhaustiva; de la misma forma no fundo y motivo la ausencia de información referente al 2015. En su artículo 169, fracción II,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que “Cuando la información no se encuentre en los archivos del sujeto obligado, el Comité de Transparencia, expedirá una resolución que confirme la inexistencia del documento”; documento que no fue presentado en la respuesta otorgada por el Ayuntamiento de Ixtlahuaca. 4. Solicito conocer el nombre de la empresa o empresas y/o personas físicas que llevaron a cabo los eventos denominados "cuernos chuecos", concierto de pancho </w:t>
      </w:r>
      <w:proofErr w:type="spellStart"/>
      <w:r w:rsidR="005B3579" w:rsidRPr="00F536FA">
        <w:rPr>
          <w:rFonts w:ascii="Palatino Linotype" w:eastAsia="MS Mincho" w:hAnsi="Palatino Linotype" w:cs="Times New Roman"/>
          <w:i/>
          <w:lang w:eastAsia="es-ES"/>
        </w:rPr>
        <w:t>barraza</w:t>
      </w:r>
      <w:proofErr w:type="spellEnd"/>
      <w:r w:rsidR="005B3579" w:rsidRPr="00F536FA">
        <w:rPr>
          <w:rFonts w:ascii="Palatino Linotype" w:eastAsia="MS Mincho" w:hAnsi="Palatino Linotype" w:cs="Times New Roman"/>
          <w:i/>
          <w:lang w:eastAsia="es-ES"/>
        </w:rPr>
        <w:t xml:space="preserve">, concierto </w:t>
      </w:r>
      <w:proofErr w:type="spellStart"/>
      <w:r w:rsidR="005B3579" w:rsidRPr="00F536FA">
        <w:rPr>
          <w:rFonts w:ascii="Palatino Linotype" w:eastAsia="MS Mincho" w:hAnsi="Palatino Linotype" w:cs="Times New Roman"/>
          <w:i/>
          <w:lang w:eastAsia="es-ES"/>
        </w:rPr>
        <w:t>de el</w:t>
      </w:r>
      <w:proofErr w:type="spellEnd"/>
      <w:r w:rsidR="005B3579" w:rsidRPr="00F536FA">
        <w:rPr>
          <w:rFonts w:ascii="Palatino Linotype" w:eastAsia="MS Mincho" w:hAnsi="Palatino Linotype" w:cs="Times New Roman"/>
          <w:i/>
          <w:lang w:eastAsia="es-ES"/>
        </w:rPr>
        <w:t xml:space="preserve"> trono de México y Corrida de Toros, durante la feria 2019. En relación con esta petición, mediante oficio PMIX/DA/517/2020, el Director de Administración refiere un Anexo IV, consistente en un contrato de comodato entre el Ayuntamiento de Ixtlahuaca y el C. </w:t>
      </w:r>
      <w:proofErr w:type="spellStart"/>
      <w:r w:rsidR="005B3579" w:rsidRPr="00F536FA">
        <w:rPr>
          <w:rFonts w:ascii="Palatino Linotype" w:eastAsia="MS Mincho" w:hAnsi="Palatino Linotype" w:cs="Times New Roman"/>
          <w:i/>
          <w:lang w:eastAsia="es-ES"/>
        </w:rPr>
        <w:t>Gonzálo</w:t>
      </w:r>
      <w:proofErr w:type="spellEnd"/>
      <w:r w:rsidR="005B3579" w:rsidRPr="00F536FA">
        <w:rPr>
          <w:rFonts w:ascii="Palatino Linotype" w:eastAsia="MS Mincho" w:hAnsi="Palatino Linotype" w:cs="Times New Roman"/>
          <w:i/>
          <w:lang w:eastAsia="es-ES"/>
        </w:rPr>
        <w:t xml:space="preserve"> Calderón Hernández; no obstante dicho instrumento jurídico carece de la firma del Secretario del Ayuntamiento cabe destacar que de conformidad con lo establecido en el artículo 91, fracción V, de la Ley Orgánica Municipal, el Secretario del Ayuntamiento debe Validar con su firma, los documentos oficiales emanados del ayuntamiento o de cualquiera de sus miembros. En este tenor cabe destacar que el Secretario del Ayuntamiento mediante oficio </w:t>
      </w:r>
      <w:r w:rsidR="005B3579" w:rsidRPr="00F536FA">
        <w:rPr>
          <w:rFonts w:ascii="Palatino Linotype" w:eastAsia="MS Mincho" w:hAnsi="Palatino Linotype" w:cs="Times New Roman"/>
          <w:i/>
          <w:lang w:eastAsia="es-ES"/>
        </w:rPr>
        <w:lastRenderedPageBreak/>
        <w:t xml:space="preserve">PMI/SA/0565/2020, responde a la presente solicitud lo siguiente “En la Secretaria del Ayuntamiento no cuento con la información requerida” sin que se funde y motive dicha ausencia de información, como se ha mencionado anteriormente el artículo 19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la presunción de existencia de la información si se refiere a las facultades, competencias y funciones que los ordenamientos jurídicos aplicables otorgan a los sujetos obligados y en sus obligaciones se encuentra validar los documentos oficiales del ayuntamiento. No omito mencionar que de acuerdo con el artículo 31, fracción XXVIII de la Ley Orgánica Municipal, es atribución del Ayuntamiento otorgar en comodato los bienes del ayuntamiento, por lo que el comodato otorgado debió ser autorizado previamente por el Cabildo del Ayuntamiento de Ixtlahuaca, sin que en el instrumento jurídico presentado por el Sujeto Obligado, exista referencia a dicha autorización por el máximo órgano de gobierno municipal. 5. Solicito conocer las aportaciones bajo cualquier modalidad que realizaron dichas empresas y/o personas físicas al Ayuntamiento por concepto de la realización de los eventos denominados "cuernos chuecos", concierto de pancho </w:t>
      </w:r>
      <w:proofErr w:type="spellStart"/>
      <w:r w:rsidR="005B3579" w:rsidRPr="00F536FA">
        <w:rPr>
          <w:rFonts w:ascii="Palatino Linotype" w:eastAsia="MS Mincho" w:hAnsi="Palatino Linotype" w:cs="Times New Roman"/>
          <w:i/>
          <w:lang w:eastAsia="es-ES"/>
        </w:rPr>
        <w:t>barraza</w:t>
      </w:r>
      <w:proofErr w:type="spellEnd"/>
      <w:r w:rsidR="005B3579" w:rsidRPr="00F536FA">
        <w:rPr>
          <w:rFonts w:ascii="Palatino Linotype" w:eastAsia="MS Mincho" w:hAnsi="Palatino Linotype" w:cs="Times New Roman"/>
          <w:i/>
          <w:lang w:eastAsia="es-ES"/>
        </w:rPr>
        <w:t xml:space="preserve">, concierto </w:t>
      </w:r>
      <w:proofErr w:type="spellStart"/>
      <w:r w:rsidR="005B3579" w:rsidRPr="00F536FA">
        <w:rPr>
          <w:rFonts w:ascii="Palatino Linotype" w:eastAsia="MS Mincho" w:hAnsi="Palatino Linotype" w:cs="Times New Roman"/>
          <w:i/>
          <w:lang w:eastAsia="es-ES"/>
        </w:rPr>
        <w:t>de el</w:t>
      </w:r>
      <w:proofErr w:type="spellEnd"/>
      <w:r w:rsidR="005B3579" w:rsidRPr="00F536FA">
        <w:rPr>
          <w:rFonts w:ascii="Palatino Linotype" w:eastAsia="MS Mincho" w:hAnsi="Palatino Linotype" w:cs="Times New Roman"/>
          <w:i/>
          <w:lang w:eastAsia="es-ES"/>
        </w:rPr>
        <w:t xml:space="preserve"> trono de México y Corrida de Toros, durante la feria 2019; </w:t>
      </w:r>
      <w:proofErr w:type="spellStart"/>
      <w:r w:rsidR="005B3579" w:rsidRPr="00F536FA">
        <w:rPr>
          <w:rFonts w:ascii="Palatino Linotype" w:eastAsia="MS Mincho" w:hAnsi="Palatino Linotype" w:cs="Times New Roman"/>
          <w:i/>
          <w:lang w:eastAsia="es-ES"/>
        </w:rPr>
        <w:t>asi</w:t>
      </w:r>
      <w:proofErr w:type="spellEnd"/>
      <w:r w:rsidR="005B3579" w:rsidRPr="00F536FA">
        <w:rPr>
          <w:rFonts w:ascii="Palatino Linotype" w:eastAsia="MS Mincho" w:hAnsi="Palatino Linotype" w:cs="Times New Roman"/>
          <w:i/>
          <w:lang w:eastAsia="es-ES"/>
        </w:rPr>
        <w:t xml:space="preserve"> como copia de los recibos expedidos por la tesorería. El Sujeto Obligado en su respuesta, no hace referencia a si existió o no existió algún tipo de contraprestación por concepto de la realización de dichos eventos; únicamente se referencia el contrato de comodato del recinto ferial. No omito mencionar que los artículos 122, 123 y 124 del Código Financiero del Estado y Municipios, establecen el impuesto sobre diversiones, juegos y espectáculos públicos, por lo que se actualiza la obligación estipulada en el artículo 19 de la </w:t>
      </w:r>
      <w:proofErr w:type="spellStart"/>
      <w:r w:rsidR="005B3579" w:rsidRPr="00F536FA">
        <w:rPr>
          <w:rFonts w:ascii="Palatino Linotype" w:eastAsia="MS Mincho" w:hAnsi="Palatino Linotype" w:cs="Times New Roman"/>
          <w:i/>
          <w:lang w:eastAsia="es-ES"/>
        </w:rPr>
        <w:t>LTAIPEMyM</w:t>
      </w:r>
      <w:proofErr w:type="spellEnd"/>
      <w:r w:rsidR="005B3579" w:rsidRPr="00F536FA">
        <w:rPr>
          <w:rFonts w:ascii="Palatino Linotype" w:eastAsia="MS Mincho" w:hAnsi="Palatino Linotype" w:cs="Times New Roman"/>
          <w:i/>
          <w:lang w:eastAsia="es-ES"/>
        </w:rPr>
        <w:t xml:space="preserve"> establece la presunción de existencia de la información si se refiere a las facultades, competencias y funciones que los ordenamientos jurídicos aplicables otorgan a los sujetos obligados; por lo que el Ayuntamiento no otorgo la respuesta correspondiente, obstruyendo el derecho de acceso a la información pública. De conformidad con lo establecido en los contratos </w:t>
      </w:r>
      <w:r w:rsidR="005B3579" w:rsidRPr="00F536FA">
        <w:rPr>
          <w:rFonts w:ascii="Palatino Linotype" w:eastAsia="MS Mincho" w:hAnsi="Palatino Linotype" w:cs="Times New Roman"/>
          <w:i/>
          <w:lang w:eastAsia="es-ES"/>
        </w:rPr>
        <w:lastRenderedPageBreak/>
        <w:t xml:space="preserve">de comodato ofrecidos por el sujeto obligado el ayuntamiento tenía bajo la figura de comodato el recinto ferial; por lo que de acuerdo con el artículo 20, fracciones V y VI, de la Ley de Bienes del Estado de México y Municipios, pasan a formar parte de los bienes del dominio privado del Municipio. En este contexto el artículo 46 de la misma ley señala que “los particulares se abstendrán de ocupar y habitar para beneficio propio los inmuebles propiedad del Estado y municipios”; por lo que la respuesta otorgada por el Tesorero Municipal mediante oficio TMIE/311/2020, en el que señala “me permito informar, no se tiene toda vez que la “empresa” fue quien directamente realizo los cobros”. Sin que existiera fundamentación o motivación respecto de la respuesta otorgada. 6. Solicito copia de los contratos, acuerdos, convenios o documentos jurídicos celebrados por el Ayuntamiento, en los que se establezcan los términos para realizar los eventos denominados "cuernos chuecos", concierto de pancho </w:t>
      </w:r>
      <w:proofErr w:type="spellStart"/>
      <w:r w:rsidR="005B3579" w:rsidRPr="00F536FA">
        <w:rPr>
          <w:rFonts w:ascii="Palatino Linotype" w:eastAsia="MS Mincho" w:hAnsi="Palatino Linotype" w:cs="Times New Roman"/>
          <w:i/>
          <w:lang w:eastAsia="es-ES"/>
        </w:rPr>
        <w:t>barraza</w:t>
      </w:r>
      <w:proofErr w:type="spellEnd"/>
      <w:r w:rsidR="005B3579" w:rsidRPr="00F536FA">
        <w:rPr>
          <w:rFonts w:ascii="Palatino Linotype" w:eastAsia="MS Mincho" w:hAnsi="Palatino Linotype" w:cs="Times New Roman"/>
          <w:i/>
          <w:lang w:eastAsia="es-ES"/>
        </w:rPr>
        <w:t xml:space="preserve">, concierto </w:t>
      </w:r>
      <w:proofErr w:type="spellStart"/>
      <w:r w:rsidR="005B3579" w:rsidRPr="00F536FA">
        <w:rPr>
          <w:rFonts w:ascii="Palatino Linotype" w:eastAsia="MS Mincho" w:hAnsi="Palatino Linotype" w:cs="Times New Roman"/>
          <w:i/>
          <w:lang w:eastAsia="es-ES"/>
        </w:rPr>
        <w:t>de el</w:t>
      </w:r>
      <w:proofErr w:type="spellEnd"/>
      <w:r w:rsidR="005B3579" w:rsidRPr="00F536FA">
        <w:rPr>
          <w:rFonts w:ascii="Palatino Linotype" w:eastAsia="MS Mincho" w:hAnsi="Palatino Linotype" w:cs="Times New Roman"/>
          <w:i/>
          <w:lang w:eastAsia="es-ES"/>
        </w:rPr>
        <w:t xml:space="preserve"> trono de México y Corrida de Toros, durante la feria 2019; así como copia de los permisos otorgados por el ayuntamiento para la realización de dichos eventos. Si bien el sujeto obligado otorgo copia de contrato de comodato, con las salvedades ya señaladas; omitió emitir una respuesta respecto de los permisos otorgados por el ayuntamiento para la celebración de dichos eventos; no omito mencionar que el artículo 123 párrafo segundo del Código Financiero del Estado de México y Municipios, establece que la tesorería autorizara la venta de boletos, y en su párrafo cuarto que “Previo a la autorización de diversiones, juegos y espectáculos públicos, los organizadores de los mismos deberán exhibir, ante la Tesorería Municipal, el 100% del impuesto”. De la misma forma el artículo 59, párrafo segundo, de la Ley de Protección Civil del Estado Libre y Soberano de México, establece que los ayuntamientos deberán realizar una verificación de las instalaciones de ferias y espectáculos. 7. Conocer el monto recaudado por el Ayuntamiento, por concepto de arrendamiento de espacios comerciales en la Feria Ixtlahuaca 2019. Respecto del presente requerimiento, no hay manifestaciones al </w:t>
      </w:r>
      <w:r w:rsidR="005B3579" w:rsidRPr="00F536FA">
        <w:rPr>
          <w:rFonts w:ascii="Palatino Linotype" w:eastAsia="MS Mincho" w:hAnsi="Palatino Linotype" w:cs="Times New Roman"/>
          <w:i/>
          <w:lang w:eastAsia="es-ES"/>
        </w:rPr>
        <w:lastRenderedPageBreak/>
        <w:t xml:space="preserve">respecto. 8. Solicito el nombre de la empresa o personas física, responsable de la realización del palenque de peleas de gallos, durante la feria </w:t>
      </w:r>
      <w:proofErr w:type="spellStart"/>
      <w:r w:rsidR="005B3579" w:rsidRPr="00F536FA">
        <w:rPr>
          <w:rFonts w:ascii="Palatino Linotype" w:eastAsia="MS Mincho" w:hAnsi="Palatino Linotype" w:cs="Times New Roman"/>
          <w:i/>
          <w:lang w:eastAsia="es-ES"/>
        </w:rPr>
        <w:t>ixtlahuaca</w:t>
      </w:r>
      <w:proofErr w:type="spellEnd"/>
      <w:r w:rsidR="005B3579" w:rsidRPr="00F536FA">
        <w:rPr>
          <w:rFonts w:ascii="Palatino Linotype" w:eastAsia="MS Mincho" w:hAnsi="Palatino Linotype" w:cs="Times New Roman"/>
          <w:i/>
          <w:lang w:eastAsia="es-ES"/>
        </w:rPr>
        <w:t xml:space="preserve"> 2019, copia de las aportaciones realizadas por el arrendamiento del salón de la gente, y del permiso otorgado por el ayuntamiento para ocupar dicho inmueble y celebrar dicho evento, de la misma forma conocer las medidas que implemento el ayuntamiento para cerciorarse de que la empresa cumpliera con lo establecido en la Ley Federal de Juegos y Sorteos. Mediante oficio PMIX/DA/517/2020, el Director de Administración refiere un Anexo IV, consistente en un contrato de comodato entre el Ayuntamiento de Ixtlahuaca y el C. </w:t>
      </w:r>
      <w:proofErr w:type="spellStart"/>
      <w:r w:rsidR="005B3579" w:rsidRPr="00F536FA">
        <w:rPr>
          <w:rFonts w:ascii="Palatino Linotype" w:eastAsia="MS Mincho" w:hAnsi="Palatino Linotype" w:cs="Times New Roman"/>
          <w:i/>
          <w:lang w:eastAsia="es-ES"/>
        </w:rPr>
        <w:t>Gonzálo</w:t>
      </w:r>
      <w:proofErr w:type="spellEnd"/>
      <w:r w:rsidR="005B3579" w:rsidRPr="00F536FA">
        <w:rPr>
          <w:rFonts w:ascii="Palatino Linotype" w:eastAsia="MS Mincho" w:hAnsi="Palatino Linotype" w:cs="Times New Roman"/>
          <w:i/>
          <w:lang w:eastAsia="es-ES"/>
        </w:rPr>
        <w:t xml:space="preserve"> Calderón Hernández; sin embargo, el artículo 31, fracción XXVIII de la Ley Orgánica Municipal, señala que es atribución del Ayuntamiento otorgar en comodato los bienes del ayuntamiento, por lo que el comodato otorgado debió ser autorizado previamente por el Cabildo del Ayuntamiento de Ixtlahuaca, sin que en el instrumento jurídico presentado por el Sujeto Obligado, exista referencia a dicha autorización por el máximo órgano de gobierno municipal. De la misma forma de conformidad con lo establecido en los contratos de comodato ofrecidos por el sujeto obligado el ayuntamiento tenía bajo la figura de comodato el recinto ferial; por lo que de acuerdo con el artículo 20, fracciones V y VI, de la Ley de Bienes del Estado de México y Municipios, pasan a formar parte de los bienes del dominio privado del Municipio. En este contexto el artículo 46 de la misma ley señala que “los particulares se abstendrán de ocupar y habitar para beneficio propio los inmuebles propiedad del Estado y municipios”; en este contexto se desprende que el sujeto obligado fue omiso en entregar información respecto de las aportaciones realizadas por el uso del inmueble en comento, así como del permiso otorgado para su utilización por parte del empresario. No omito mencionar que en la normativa interna del Municipio, existe un reglamento interno para el uso del inmueble denominado “Salón de la Gente” y los montos económicos </w:t>
      </w:r>
      <w:r w:rsidR="005B3579" w:rsidRPr="00F536FA">
        <w:rPr>
          <w:rFonts w:ascii="Palatino Linotype" w:eastAsia="MS Mincho" w:hAnsi="Palatino Linotype" w:cs="Times New Roman"/>
          <w:i/>
          <w:lang w:eastAsia="es-ES"/>
        </w:rPr>
        <w:lastRenderedPageBreak/>
        <w:t>a cubrir por su utilización y su relación con el otorgamiento del permiso correspondiente.</w:t>
      </w:r>
      <w:r w:rsidR="007264DF" w:rsidRPr="00F536FA">
        <w:rPr>
          <w:rFonts w:ascii="Palatino Linotype" w:eastAsia="MS Mincho" w:hAnsi="Palatino Linotype" w:cs="Times New Roman"/>
          <w:i/>
          <w:lang w:eastAsia="es-ES"/>
        </w:rPr>
        <w:t xml:space="preserve">” </w:t>
      </w:r>
      <w:r w:rsidR="00DD2750" w:rsidRPr="00F536FA">
        <w:rPr>
          <w:rFonts w:ascii="Palatino Linotype" w:eastAsia="MS Mincho" w:hAnsi="Palatino Linotype" w:cs="Times New Roman"/>
          <w:i/>
          <w:lang w:eastAsia="es-ES"/>
        </w:rPr>
        <w:t xml:space="preserve">(Sic) </w:t>
      </w:r>
    </w:p>
    <w:p w14:paraId="26051145" w14:textId="77777777" w:rsidR="002B77DD" w:rsidRPr="00F536FA" w:rsidRDefault="002B77DD" w:rsidP="002B77DD">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14:paraId="2B745AAF" w14:textId="18465818" w:rsidR="00792776" w:rsidRPr="00F536FA" w:rsidRDefault="00792776" w:rsidP="00084FCB">
      <w:pPr>
        <w:numPr>
          <w:ilvl w:val="0"/>
          <w:numId w:val="2"/>
        </w:numPr>
        <w:tabs>
          <w:tab w:val="left" w:pos="0"/>
          <w:tab w:val="left" w:pos="426"/>
        </w:tabs>
        <w:spacing w:after="0" w:line="360" w:lineRule="auto"/>
        <w:ind w:left="0" w:firstLine="0"/>
        <w:contextualSpacing/>
        <w:jc w:val="both"/>
        <w:rPr>
          <w:rFonts w:ascii="Palatino Linotype" w:eastAsia="Times New Roman" w:hAnsi="Palatino Linotype" w:cs="Arial"/>
          <w:i/>
          <w:lang w:val="es-ES_tradnl" w:eastAsia="es-ES"/>
        </w:rPr>
      </w:pPr>
      <w:r w:rsidRPr="00F536FA">
        <w:rPr>
          <w:rFonts w:ascii="Palatino Linotype" w:eastAsia="Times New Roman" w:hAnsi="Palatino Linotype" w:cs="Arial"/>
          <w:sz w:val="24"/>
          <w:szCs w:val="24"/>
          <w:lang w:val="es-ES" w:eastAsia="es-ES"/>
        </w:rPr>
        <w:t>Se registr</w:t>
      </w:r>
      <w:r w:rsidR="00DD2750" w:rsidRPr="00F536FA">
        <w:rPr>
          <w:rFonts w:ascii="Palatino Linotype" w:eastAsia="Times New Roman" w:hAnsi="Palatino Linotype" w:cs="Arial"/>
          <w:sz w:val="24"/>
          <w:szCs w:val="24"/>
          <w:lang w:val="es-ES" w:eastAsia="es-ES"/>
        </w:rPr>
        <w:t>ó el recurso de revisión bajo el</w:t>
      </w:r>
      <w:r w:rsidR="002C6BBC" w:rsidRPr="00F536FA">
        <w:rPr>
          <w:rFonts w:ascii="Palatino Linotype" w:eastAsia="Times New Roman" w:hAnsi="Palatino Linotype" w:cs="Arial"/>
          <w:sz w:val="24"/>
          <w:szCs w:val="24"/>
          <w:lang w:val="es-ES" w:eastAsia="es-ES"/>
        </w:rPr>
        <w:t xml:space="preserve"> </w:t>
      </w:r>
      <w:r w:rsidRPr="00F536FA">
        <w:rPr>
          <w:rFonts w:ascii="Palatino Linotype" w:eastAsia="Times New Roman" w:hAnsi="Palatino Linotype" w:cs="Arial"/>
          <w:sz w:val="24"/>
          <w:szCs w:val="24"/>
          <w:lang w:val="es-ES" w:eastAsia="es-ES"/>
        </w:rPr>
        <w:t xml:space="preserve">número de expediente al rubro indicado, </w:t>
      </w:r>
      <w:r w:rsidRPr="00F536FA">
        <w:rPr>
          <w:rFonts w:ascii="Palatino Linotype" w:eastAsia="MS Mincho" w:hAnsi="Palatino Linotype" w:cs="Arial"/>
          <w:bCs/>
          <w:sz w:val="24"/>
          <w:szCs w:val="24"/>
          <w:lang w:val="es-ES_tradnl" w:eastAsia="es-ES"/>
        </w:rPr>
        <w:t xml:space="preserve">con fundamento en lo dispuesto por el </w:t>
      </w:r>
      <w:r w:rsidRPr="00F536FA">
        <w:rPr>
          <w:rFonts w:ascii="Palatino Linotype" w:eastAsia="Calibri" w:hAnsi="Palatino Linotype" w:cs="Arial"/>
          <w:sz w:val="24"/>
          <w:szCs w:val="24"/>
          <w:lang w:val="es-ES" w:eastAsia="es-ES"/>
        </w:rPr>
        <w:t xml:space="preserve">artículo 185 fracción I de la </w:t>
      </w:r>
      <w:r w:rsidRPr="00F536F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536FA">
        <w:rPr>
          <w:rFonts w:ascii="Palatino Linotype" w:eastAsia="Times New Roman" w:hAnsi="Palatino Linotype" w:cs="Arial"/>
          <w:sz w:val="24"/>
          <w:szCs w:val="24"/>
          <w:lang w:val="es-ES" w:eastAsia="es-ES"/>
        </w:rPr>
        <w:t xml:space="preserve">se turnó al </w:t>
      </w:r>
      <w:r w:rsidRPr="00F536FA">
        <w:rPr>
          <w:rFonts w:ascii="Palatino Linotype" w:eastAsia="Times New Roman" w:hAnsi="Palatino Linotype" w:cs="Arial"/>
          <w:b/>
          <w:sz w:val="24"/>
          <w:szCs w:val="24"/>
          <w:lang w:val="es-ES" w:eastAsia="es-ES"/>
        </w:rPr>
        <w:t xml:space="preserve">Comisionado José Guadalupe Luna Hernández, </w:t>
      </w:r>
      <w:r w:rsidRPr="00F536FA">
        <w:rPr>
          <w:rFonts w:ascii="Palatino Linotype" w:eastAsia="Times New Roman" w:hAnsi="Palatino Linotype" w:cs="Arial"/>
          <w:sz w:val="24"/>
          <w:szCs w:val="24"/>
          <w:lang w:val="es-ES" w:eastAsia="es-ES"/>
        </w:rPr>
        <w:t xml:space="preserve">con el objeto de </w:t>
      </w:r>
      <w:r w:rsidRPr="00F536FA">
        <w:rPr>
          <w:rFonts w:ascii="Palatino Linotype" w:eastAsia="Times New Roman" w:hAnsi="Palatino Linotype" w:cs="Arial"/>
          <w:sz w:val="24"/>
          <w:szCs w:val="24"/>
          <w:lang w:eastAsia="es-ES"/>
        </w:rPr>
        <w:t>su análisis</w:t>
      </w:r>
      <w:r w:rsidRPr="00F536FA">
        <w:rPr>
          <w:rFonts w:ascii="Palatino Linotype" w:eastAsia="Times New Roman" w:hAnsi="Palatino Linotype" w:cs="Arial"/>
        </w:rPr>
        <w:t xml:space="preserve">. </w:t>
      </w:r>
    </w:p>
    <w:p w14:paraId="29C7C484" w14:textId="77777777" w:rsidR="00E75283" w:rsidRPr="00F536FA" w:rsidRDefault="00E75283" w:rsidP="00084FCB">
      <w:pPr>
        <w:tabs>
          <w:tab w:val="left" w:pos="0"/>
          <w:tab w:val="left" w:pos="426"/>
        </w:tabs>
        <w:spacing w:after="0" w:line="360" w:lineRule="auto"/>
        <w:contextualSpacing/>
        <w:jc w:val="both"/>
        <w:rPr>
          <w:rFonts w:ascii="Palatino Linotype" w:eastAsia="Times New Roman" w:hAnsi="Palatino Linotype" w:cs="Arial"/>
          <w:sz w:val="24"/>
          <w:lang w:val="es-ES_tradnl" w:eastAsia="es-ES"/>
        </w:rPr>
      </w:pPr>
    </w:p>
    <w:p w14:paraId="6FCAC6BB" w14:textId="349445BA" w:rsidR="00A612C0" w:rsidRPr="00F536FA" w:rsidRDefault="00792776" w:rsidP="00084FCB">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F536FA">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F536FA">
        <w:rPr>
          <w:rFonts w:ascii="Palatino Linotype" w:eastAsia="Calibri" w:hAnsi="Palatino Linotype" w:cs="Arial"/>
          <w:sz w:val="24"/>
          <w:szCs w:val="24"/>
          <w:lang w:val="es-ES" w:eastAsia="es-ES"/>
        </w:rPr>
        <w:t xml:space="preserve"> acuerdo de admisión de </w:t>
      </w:r>
      <w:r w:rsidR="005B3579" w:rsidRPr="00F536FA">
        <w:rPr>
          <w:rFonts w:ascii="Palatino Linotype" w:eastAsia="Calibri" w:hAnsi="Palatino Linotype" w:cs="Arial"/>
          <w:sz w:val="24"/>
          <w:szCs w:val="24"/>
          <w:lang w:val="es-ES" w:eastAsia="es-ES"/>
        </w:rPr>
        <w:t>once</w:t>
      </w:r>
      <w:r w:rsidR="00ED15B4" w:rsidRPr="00F536FA">
        <w:rPr>
          <w:rFonts w:ascii="Palatino Linotype" w:eastAsia="Calibri" w:hAnsi="Palatino Linotype" w:cs="Arial"/>
          <w:sz w:val="24"/>
          <w:szCs w:val="24"/>
          <w:lang w:val="es-ES" w:eastAsia="es-ES"/>
        </w:rPr>
        <w:t xml:space="preserve"> </w:t>
      </w:r>
      <w:r w:rsidR="009C789B" w:rsidRPr="00F536FA">
        <w:rPr>
          <w:rFonts w:ascii="Palatino Linotype" w:eastAsia="Calibri" w:hAnsi="Palatino Linotype" w:cs="Arial"/>
          <w:sz w:val="24"/>
          <w:szCs w:val="24"/>
          <w:lang w:val="es-ES" w:eastAsia="es-ES"/>
        </w:rPr>
        <w:t>(</w:t>
      </w:r>
      <w:r w:rsidR="005B3579" w:rsidRPr="00F536FA">
        <w:rPr>
          <w:rFonts w:ascii="Palatino Linotype" w:eastAsia="Calibri" w:hAnsi="Palatino Linotype" w:cs="Arial"/>
          <w:sz w:val="24"/>
          <w:szCs w:val="24"/>
          <w:lang w:val="es-ES" w:eastAsia="es-ES"/>
        </w:rPr>
        <w:t>11</w:t>
      </w:r>
      <w:r w:rsidR="005648B9" w:rsidRPr="00F536FA">
        <w:rPr>
          <w:rFonts w:ascii="Palatino Linotype" w:eastAsia="Calibri" w:hAnsi="Palatino Linotype" w:cs="Arial"/>
          <w:sz w:val="24"/>
          <w:szCs w:val="24"/>
          <w:lang w:val="es-ES" w:eastAsia="es-ES"/>
        </w:rPr>
        <w:t xml:space="preserve">) de </w:t>
      </w:r>
      <w:r w:rsidR="00AE7843" w:rsidRPr="00F536FA">
        <w:rPr>
          <w:rFonts w:ascii="Palatino Linotype" w:eastAsia="Calibri" w:hAnsi="Palatino Linotype" w:cs="Arial"/>
          <w:sz w:val="24"/>
          <w:szCs w:val="24"/>
          <w:lang w:val="es-ES" w:eastAsia="es-ES"/>
        </w:rPr>
        <w:t>septiembre</w:t>
      </w:r>
      <w:r w:rsidR="005648B9" w:rsidRPr="00F536FA">
        <w:rPr>
          <w:rFonts w:ascii="Palatino Linotype" w:eastAsia="Calibri" w:hAnsi="Palatino Linotype" w:cs="Arial"/>
          <w:sz w:val="24"/>
          <w:szCs w:val="24"/>
          <w:lang w:val="es-ES" w:eastAsia="es-ES"/>
        </w:rPr>
        <w:t xml:space="preserve"> </w:t>
      </w:r>
      <w:r w:rsidR="005F4922" w:rsidRPr="00F536FA">
        <w:rPr>
          <w:rFonts w:ascii="Palatino Linotype" w:eastAsia="Calibri" w:hAnsi="Palatino Linotype" w:cs="Arial"/>
          <w:sz w:val="24"/>
          <w:szCs w:val="24"/>
          <w:lang w:val="es-ES" w:eastAsia="es-ES"/>
        </w:rPr>
        <w:t>de</w:t>
      </w:r>
      <w:r w:rsidR="00DD2750" w:rsidRPr="00F536FA">
        <w:rPr>
          <w:rFonts w:ascii="Palatino Linotype" w:eastAsia="Calibri" w:hAnsi="Palatino Linotype" w:cs="Arial"/>
          <w:sz w:val="24"/>
          <w:szCs w:val="24"/>
          <w:lang w:val="es-ES" w:eastAsia="es-ES"/>
        </w:rPr>
        <w:t xml:space="preserve"> dos mil</w:t>
      </w:r>
      <w:r w:rsidR="005648B9" w:rsidRPr="00F536FA">
        <w:rPr>
          <w:rFonts w:ascii="Palatino Linotype" w:eastAsia="Calibri" w:hAnsi="Palatino Linotype" w:cs="Arial"/>
          <w:sz w:val="24"/>
          <w:szCs w:val="24"/>
          <w:lang w:val="es-ES" w:eastAsia="es-ES"/>
        </w:rPr>
        <w:t xml:space="preserve"> veinte</w:t>
      </w:r>
      <w:r w:rsidRPr="00F536FA">
        <w:rPr>
          <w:rFonts w:ascii="Palatino Linotype" w:eastAsia="Calibri" w:hAnsi="Palatino Linotype" w:cs="Arial"/>
          <w:sz w:val="24"/>
          <w:szCs w:val="24"/>
          <w:lang w:val="es-ES" w:eastAsia="es-ES"/>
        </w:rPr>
        <w:t xml:space="preserve">, puso a disposición de las partes el expediente electrónico </w:t>
      </w:r>
      <w:r w:rsidRPr="00F536FA">
        <w:rPr>
          <w:rFonts w:ascii="Palatino Linotype" w:eastAsia="Calibri" w:hAnsi="Palatino Linotype" w:cs="Arial"/>
          <w:sz w:val="24"/>
          <w:szCs w:val="24"/>
          <w:lang w:val="es-ES_tradnl" w:eastAsia="es-ES"/>
        </w:rPr>
        <w:t xml:space="preserve">vía </w:t>
      </w:r>
      <w:r w:rsidRPr="00F536FA">
        <w:rPr>
          <w:rFonts w:ascii="Palatino Linotype" w:eastAsia="Calibri" w:hAnsi="Palatino Linotype" w:cs="Arial"/>
          <w:sz w:val="24"/>
          <w:szCs w:val="24"/>
          <w:lang w:val="es-ES" w:eastAsia="es-ES"/>
        </w:rPr>
        <w:t>Sistema de Acceso a la Información Mexiquense (</w:t>
      </w:r>
      <w:r w:rsidRPr="00F536FA">
        <w:rPr>
          <w:rFonts w:ascii="Palatino Linotype" w:eastAsia="Calibri" w:hAnsi="Palatino Linotype" w:cs="Arial"/>
          <w:b/>
          <w:sz w:val="24"/>
          <w:szCs w:val="24"/>
          <w:lang w:val="es-ES" w:eastAsia="es-ES"/>
        </w:rPr>
        <w:t xml:space="preserve">SAIMEX) </w:t>
      </w:r>
      <w:r w:rsidRPr="00F536FA">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F536FA">
        <w:rPr>
          <w:rFonts w:ascii="Palatino Linotype" w:eastAsia="Calibri" w:hAnsi="Palatino Linotype" w:cs="Arial"/>
          <w:sz w:val="24"/>
          <w:szCs w:val="24"/>
          <w:lang w:val="es-ES" w:eastAsia="es-ES"/>
        </w:rPr>
        <w:t xml:space="preserve">, de esta forma para que el </w:t>
      </w:r>
      <w:r w:rsidR="00A56228" w:rsidRPr="00F536FA">
        <w:rPr>
          <w:rFonts w:ascii="Palatino Linotype" w:eastAsia="Calibri" w:hAnsi="Palatino Linotype" w:cs="Arial"/>
          <w:b/>
          <w:sz w:val="24"/>
          <w:szCs w:val="24"/>
          <w:lang w:val="es-ES" w:eastAsia="es-ES"/>
        </w:rPr>
        <w:t>SUJETO OBLIGADO</w:t>
      </w:r>
      <w:r w:rsidR="009C789B" w:rsidRPr="00F536FA">
        <w:rPr>
          <w:rFonts w:ascii="Palatino Linotype" w:eastAsia="Calibri" w:hAnsi="Palatino Linotype" w:cs="Arial"/>
          <w:sz w:val="24"/>
          <w:szCs w:val="24"/>
          <w:lang w:val="es-ES" w:eastAsia="es-ES"/>
        </w:rPr>
        <w:t xml:space="preserve"> presentara</w:t>
      </w:r>
      <w:r w:rsidR="00A56228" w:rsidRPr="00F536FA">
        <w:rPr>
          <w:rFonts w:ascii="Palatino Linotype" w:eastAsia="Calibri" w:hAnsi="Palatino Linotype" w:cs="Arial"/>
          <w:sz w:val="24"/>
          <w:szCs w:val="24"/>
          <w:lang w:val="es-ES" w:eastAsia="es-ES"/>
        </w:rPr>
        <w:t xml:space="preserve"> el </w:t>
      </w:r>
      <w:r w:rsidR="00244765" w:rsidRPr="00F536FA">
        <w:rPr>
          <w:rFonts w:ascii="Palatino Linotype" w:eastAsia="Calibri" w:hAnsi="Palatino Linotype" w:cs="Arial"/>
          <w:sz w:val="24"/>
          <w:szCs w:val="24"/>
          <w:lang w:val="es-ES" w:eastAsia="es-ES"/>
        </w:rPr>
        <w:t xml:space="preserve">Informe Justificado procedente. </w:t>
      </w:r>
    </w:p>
    <w:p w14:paraId="5136D869" w14:textId="77777777" w:rsidR="00244765" w:rsidRPr="00F536FA" w:rsidRDefault="00244765" w:rsidP="00084FCB">
      <w:pPr>
        <w:tabs>
          <w:tab w:val="left" w:pos="426"/>
        </w:tabs>
        <w:spacing w:after="0" w:line="360" w:lineRule="auto"/>
        <w:contextualSpacing/>
        <w:jc w:val="both"/>
        <w:rPr>
          <w:rFonts w:ascii="Palatino Linotype" w:eastAsia="Calibri" w:hAnsi="Palatino Linotype" w:cs="Arial"/>
          <w:sz w:val="24"/>
          <w:szCs w:val="24"/>
          <w:lang w:val="es-ES" w:eastAsia="es-ES"/>
        </w:rPr>
      </w:pPr>
    </w:p>
    <w:p w14:paraId="345E3313" w14:textId="20E9995A" w:rsidR="00084FCB" w:rsidRPr="00F536FA" w:rsidRDefault="00D74517" w:rsidP="00AE7843">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F536FA">
        <w:rPr>
          <w:rFonts w:ascii="Palatino Linotype" w:hAnsi="Palatino Linotype"/>
          <w:sz w:val="24"/>
          <w:szCs w:val="24"/>
        </w:rPr>
        <w:t xml:space="preserve">El </w:t>
      </w:r>
      <w:r w:rsidRPr="00F536FA">
        <w:rPr>
          <w:rFonts w:ascii="Palatino Linotype" w:hAnsi="Palatino Linotype"/>
          <w:sz w:val="24"/>
          <w:szCs w:val="24"/>
          <w:lang w:val="es-ES"/>
        </w:rPr>
        <w:t xml:space="preserve">veintitrés (23) de septiembre del dos mil veinte, el </w:t>
      </w:r>
      <w:r w:rsidRPr="00F536FA">
        <w:rPr>
          <w:rFonts w:ascii="Palatino Linotype" w:hAnsi="Palatino Linotype"/>
          <w:b/>
          <w:sz w:val="24"/>
          <w:szCs w:val="24"/>
          <w:lang w:val="es-ES"/>
        </w:rPr>
        <w:t>SUJETO OBLIGADO</w:t>
      </w:r>
      <w:r w:rsidRPr="00F536FA">
        <w:rPr>
          <w:rFonts w:ascii="Palatino Linotype" w:hAnsi="Palatino Linotype"/>
          <w:sz w:val="24"/>
          <w:szCs w:val="24"/>
          <w:lang w:val="es-ES"/>
        </w:rPr>
        <w:t xml:space="preserve"> remitió al apartado de </w:t>
      </w:r>
      <w:r w:rsidRPr="00F536FA">
        <w:rPr>
          <w:rFonts w:ascii="Palatino Linotype" w:hAnsi="Palatino Linotype"/>
          <w:i/>
          <w:sz w:val="24"/>
          <w:szCs w:val="24"/>
          <w:lang w:val="es-ES"/>
        </w:rPr>
        <w:t>Manifestaciones</w:t>
      </w:r>
      <w:r w:rsidRPr="00F536FA">
        <w:rPr>
          <w:rFonts w:ascii="Palatino Linotype" w:hAnsi="Palatino Linotype"/>
          <w:sz w:val="24"/>
          <w:szCs w:val="24"/>
          <w:lang w:val="es-ES"/>
        </w:rPr>
        <w:t xml:space="preserve"> del </w:t>
      </w:r>
      <w:r w:rsidRPr="00F536FA">
        <w:rPr>
          <w:rFonts w:ascii="Palatino Linotype" w:hAnsi="Palatino Linotype"/>
          <w:b/>
          <w:i/>
          <w:sz w:val="24"/>
          <w:szCs w:val="24"/>
          <w:lang w:val="es-ES"/>
        </w:rPr>
        <w:t>SAIMEX</w:t>
      </w:r>
      <w:r w:rsidRPr="00F536FA">
        <w:rPr>
          <w:rFonts w:ascii="Palatino Linotype" w:hAnsi="Palatino Linotype"/>
          <w:sz w:val="24"/>
          <w:szCs w:val="24"/>
          <w:lang w:val="es-ES"/>
        </w:rPr>
        <w:t xml:space="preserve"> los siguientes archivos electrónicos:</w:t>
      </w:r>
    </w:p>
    <w:p w14:paraId="3CACC685" w14:textId="70A33952" w:rsidR="00D74517" w:rsidRPr="00F536FA" w:rsidRDefault="00D74517" w:rsidP="00D74517">
      <w:pPr>
        <w:pStyle w:val="Prrafodelista"/>
        <w:numPr>
          <w:ilvl w:val="1"/>
          <w:numId w:val="2"/>
        </w:numPr>
        <w:tabs>
          <w:tab w:val="left" w:pos="426"/>
        </w:tabs>
        <w:spacing w:after="0" w:line="360" w:lineRule="auto"/>
        <w:ind w:left="851" w:hanging="284"/>
        <w:jc w:val="both"/>
        <w:rPr>
          <w:rFonts w:ascii="Palatino Linotype" w:hAnsi="Palatino Linotype"/>
          <w:sz w:val="24"/>
          <w:szCs w:val="24"/>
        </w:rPr>
      </w:pPr>
      <w:r w:rsidRPr="00F536FA">
        <w:rPr>
          <w:rFonts w:ascii="Palatino Linotype" w:hAnsi="Palatino Linotype"/>
          <w:b/>
          <w:bCs/>
          <w:i/>
          <w:iCs/>
          <w:sz w:val="24"/>
          <w:szCs w:val="24"/>
          <w:lang w:val="es-ES"/>
        </w:rPr>
        <w:t>“RECURSO DE REVISION DE LA SOL 72.pdf”</w:t>
      </w:r>
      <w:r w:rsidRPr="00F536FA">
        <w:rPr>
          <w:rFonts w:ascii="Palatino Linotype" w:hAnsi="Palatino Linotype"/>
          <w:sz w:val="24"/>
          <w:szCs w:val="24"/>
          <w:lang w:val="es-ES"/>
        </w:rPr>
        <w:t>: Documento de 17 fojas consistente en los siguientes oficios:</w:t>
      </w:r>
    </w:p>
    <w:p w14:paraId="40DAFFE4" w14:textId="3ABAE711" w:rsidR="00D74517" w:rsidRPr="00F536FA" w:rsidRDefault="00D74517" w:rsidP="00D74517">
      <w:pPr>
        <w:pStyle w:val="Prrafodelista"/>
        <w:numPr>
          <w:ilvl w:val="2"/>
          <w:numId w:val="2"/>
        </w:numPr>
        <w:tabs>
          <w:tab w:val="left" w:pos="426"/>
        </w:tabs>
        <w:spacing w:after="0" w:line="360" w:lineRule="auto"/>
        <w:ind w:left="1418" w:hanging="284"/>
        <w:jc w:val="both"/>
        <w:rPr>
          <w:rFonts w:ascii="Palatino Linotype" w:hAnsi="Palatino Linotype"/>
          <w:sz w:val="24"/>
          <w:szCs w:val="24"/>
        </w:rPr>
      </w:pPr>
      <w:r w:rsidRPr="00F536FA">
        <w:rPr>
          <w:rFonts w:ascii="Palatino Linotype" w:hAnsi="Palatino Linotype"/>
          <w:sz w:val="24"/>
          <w:szCs w:val="24"/>
          <w:lang w:val="es-ES"/>
        </w:rPr>
        <w:t xml:space="preserve">Oficio número PMIX/UTAIPM/432/2020, de once (11) de septiembre de dos mil veinte, mediante el cual, la Titular de la Unidad de Transparencia requiere al Director de Administración formule su  </w:t>
      </w:r>
      <w:r w:rsidRPr="00F536FA">
        <w:rPr>
          <w:rFonts w:ascii="Palatino Linotype" w:hAnsi="Palatino Linotype"/>
          <w:sz w:val="24"/>
          <w:szCs w:val="24"/>
          <w:lang w:val="es-ES"/>
        </w:rPr>
        <w:lastRenderedPageBreak/>
        <w:t xml:space="preserve">informe justificado en relación con el recurso de revisión </w:t>
      </w:r>
      <w:r w:rsidRPr="00F536FA">
        <w:rPr>
          <w:rFonts w:ascii="Palatino Linotype" w:hAnsi="Palatino Linotype"/>
          <w:b/>
          <w:bCs/>
          <w:sz w:val="24"/>
          <w:szCs w:val="24"/>
          <w:lang w:val="es-ES"/>
        </w:rPr>
        <w:t>03693/INFOEM/IP/RR/2020</w:t>
      </w:r>
      <w:r w:rsidRPr="00F536FA">
        <w:rPr>
          <w:rFonts w:ascii="Palatino Linotype" w:hAnsi="Palatino Linotype"/>
          <w:sz w:val="24"/>
          <w:szCs w:val="24"/>
          <w:lang w:val="es-ES"/>
        </w:rPr>
        <w:t>.</w:t>
      </w:r>
    </w:p>
    <w:p w14:paraId="2F3F3E95" w14:textId="23A3421E" w:rsidR="00D74517" w:rsidRPr="00F536FA" w:rsidRDefault="00D74517" w:rsidP="00D74517">
      <w:pPr>
        <w:pStyle w:val="Prrafodelista"/>
        <w:numPr>
          <w:ilvl w:val="2"/>
          <w:numId w:val="2"/>
        </w:numPr>
        <w:tabs>
          <w:tab w:val="left" w:pos="426"/>
        </w:tabs>
        <w:spacing w:after="0" w:line="360" w:lineRule="auto"/>
        <w:ind w:left="1418" w:hanging="284"/>
        <w:jc w:val="both"/>
        <w:rPr>
          <w:rFonts w:ascii="Palatino Linotype" w:hAnsi="Palatino Linotype"/>
          <w:sz w:val="24"/>
          <w:szCs w:val="24"/>
        </w:rPr>
      </w:pPr>
      <w:r w:rsidRPr="00F536FA">
        <w:rPr>
          <w:rFonts w:ascii="Palatino Linotype" w:hAnsi="Palatino Linotype"/>
          <w:sz w:val="24"/>
          <w:szCs w:val="24"/>
          <w:lang w:val="es-ES"/>
        </w:rPr>
        <w:t xml:space="preserve">Oficio número PMIX/UTAIPM/433/2020, de once (11) de septiembre de dos mil veinte, mediante el cual, la Titular de la Unidad de Transparencia requiere al Secretario del Ayuntamiento formule su  informe justificado en relación con el recurso de revisión </w:t>
      </w:r>
      <w:r w:rsidRPr="00F536FA">
        <w:rPr>
          <w:rFonts w:ascii="Palatino Linotype" w:hAnsi="Palatino Linotype"/>
          <w:b/>
          <w:bCs/>
          <w:sz w:val="24"/>
          <w:szCs w:val="24"/>
          <w:lang w:val="es-ES"/>
        </w:rPr>
        <w:t>03693/INFOEM/IP/RR/2020</w:t>
      </w:r>
      <w:r w:rsidRPr="00F536FA">
        <w:rPr>
          <w:rFonts w:ascii="Palatino Linotype" w:hAnsi="Palatino Linotype"/>
          <w:sz w:val="24"/>
          <w:szCs w:val="24"/>
          <w:lang w:val="es-ES"/>
        </w:rPr>
        <w:t>.</w:t>
      </w:r>
    </w:p>
    <w:p w14:paraId="492C5044" w14:textId="0C1E0A15" w:rsidR="005B2BD1" w:rsidRPr="00F536FA" w:rsidRDefault="005B2BD1" w:rsidP="00D74517">
      <w:pPr>
        <w:pStyle w:val="Prrafodelista"/>
        <w:numPr>
          <w:ilvl w:val="2"/>
          <w:numId w:val="2"/>
        </w:numPr>
        <w:tabs>
          <w:tab w:val="left" w:pos="426"/>
        </w:tabs>
        <w:spacing w:after="0" w:line="360" w:lineRule="auto"/>
        <w:ind w:left="1418" w:hanging="284"/>
        <w:jc w:val="both"/>
        <w:rPr>
          <w:rFonts w:ascii="Palatino Linotype" w:hAnsi="Palatino Linotype"/>
          <w:sz w:val="24"/>
          <w:szCs w:val="24"/>
        </w:rPr>
      </w:pPr>
      <w:r w:rsidRPr="00F536FA">
        <w:rPr>
          <w:rFonts w:ascii="Palatino Linotype" w:hAnsi="Palatino Linotype"/>
          <w:sz w:val="24"/>
          <w:szCs w:val="24"/>
          <w:lang w:val="es-ES"/>
        </w:rPr>
        <w:t xml:space="preserve">Oficio número PMIX/UTAIPM/434/2020, de once (11) de septiembre de dos mil veinte, mediante el cual, la Titular de la Unidad de Transparencia requiere al Tesorero Municipal formule su  informe justificado en relación con el recurso de revisión </w:t>
      </w:r>
      <w:r w:rsidRPr="00F536FA">
        <w:rPr>
          <w:rFonts w:ascii="Palatino Linotype" w:hAnsi="Palatino Linotype"/>
          <w:b/>
          <w:bCs/>
          <w:sz w:val="24"/>
          <w:szCs w:val="24"/>
          <w:lang w:val="es-ES"/>
        </w:rPr>
        <w:t>03693/INFOEM/IP/RR/2020</w:t>
      </w:r>
      <w:r w:rsidRPr="00F536FA">
        <w:rPr>
          <w:rFonts w:ascii="Palatino Linotype" w:hAnsi="Palatino Linotype"/>
          <w:sz w:val="24"/>
          <w:szCs w:val="24"/>
          <w:lang w:val="es-ES"/>
        </w:rPr>
        <w:t>.</w:t>
      </w:r>
    </w:p>
    <w:p w14:paraId="77756DB0" w14:textId="3F8135D9" w:rsidR="005B2BD1" w:rsidRPr="00F536FA" w:rsidRDefault="005B2BD1" w:rsidP="00D74517">
      <w:pPr>
        <w:pStyle w:val="Prrafodelista"/>
        <w:numPr>
          <w:ilvl w:val="2"/>
          <w:numId w:val="2"/>
        </w:numPr>
        <w:tabs>
          <w:tab w:val="left" w:pos="426"/>
        </w:tabs>
        <w:spacing w:after="0" w:line="360" w:lineRule="auto"/>
        <w:ind w:left="1418" w:hanging="284"/>
        <w:jc w:val="both"/>
        <w:rPr>
          <w:rFonts w:ascii="Palatino Linotype" w:hAnsi="Palatino Linotype"/>
          <w:sz w:val="24"/>
          <w:szCs w:val="24"/>
        </w:rPr>
      </w:pPr>
      <w:r w:rsidRPr="00F536FA">
        <w:rPr>
          <w:rFonts w:ascii="Palatino Linotype" w:hAnsi="Palatino Linotype"/>
          <w:sz w:val="24"/>
          <w:szCs w:val="24"/>
          <w:lang w:val="es-ES"/>
        </w:rPr>
        <w:t xml:space="preserve">Oficio número PMI/SA/2020, de catorce (14) de septiembre de 2020, </w:t>
      </w:r>
      <w:r w:rsidR="00E34292" w:rsidRPr="00F536FA">
        <w:rPr>
          <w:rFonts w:ascii="Palatino Linotype" w:hAnsi="Palatino Linotype"/>
          <w:sz w:val="24"/>
          <w:szCs w:val="24"/>
          <w:lang w:val="es-ES"/>
        </w:rPr>
        <w:t xml:space="preserve">mediante el cual, el Secretario del Ayuntamiento justifica su respuesta a la solicitud de información </w:t>
      </w:r>
      <w:r w:rsidR="00E34292" w:rsidRPr="00F536FA">
        <w:rPr>
          <w:rFonts w:ascii="Palatino Linotype" w:hAnsi="Palatino Linotype"/>
          <w:b/>
          <w:bCs/>
          <w:sz w:val="24"/>
          <w:szCs w:val="24"/>
          <w:lang w:val="es-ES"/>
        </w:rPr>
        <w:t>00072/IXTLAHUA//IP/2020</w:t>
      </w:r>
      <w:r w:rsidR="00E34292" w:rsidRPr="00F536FA">
        <w:rPr>
          <w:rFonts w:ascii="Palatino Linotype" w:hAnsi="Palatino Linotype"/>
          <w:sz w:val="24"/>
          <w:szCs w:val="24"/>
          <w:lang w:val="es-ES"/>
        </w:rPr>
        <w:t>.</w:t>
      </w:r>
    </w:p>
    <w:p w14:paraId="66317FC7" w14:textId="4A5AFCBE" w:rsidR="00E34292" w:rsidRPr="00F536FA" w:rsidRDefault="00E34292" w:rsidP="00D74517">
      <w:pPr>
        <w:pStyle w:val="Prrafodelista"/>
        <w:numPr>
          <w:ilvl w:val="2"/>
          <w:numId w:val="2"/>
        </w:numPr>
        <w:tabs>
          <w:tab w:val="left" w:pos="426"/>
        </w:tabs>
        <w:spacing w:after="0" w:line="360" w:lineRule="auto"/>
        <w:ind w:left="1418" w:hanging="284"/>
        <w:jc w:val="both"/>
        <w:rPr>
          <w:rFonts w:ascii="Palatino Linotype" w:hAnsi="Palatino Linotype"/>
          <w:sz w:val="24"/>
          <w:szCs w:val="24"/>
        </w:rPr>
      </w:pPr>
      <w:r w:rsidRPr="00F536FA">
        <w:rPr>
          <w:rFonts w:ascii="Palatino Linotype" w:hAnsi="Palatino Linotype"/>
          <w:sz w:val="24"/>
          <w:szCs w:val="24"/>
          <w:lang w:val="es-ES"/>
        </w:rPr>
        <w:t xml:space="preserve">Oficio número PMIX/DA/601-I/2020, de once (11) de septiembre de 2020, mediante el cual, el Director de Administración justifica su respuesta a la solicitud de información </w:t>
      </w:r>
      <w:r w:rsidRPr="00F536FA">
        <w:rPr>
          <w:rFonts w:ascii="Palatino Linotype" w:hAnsi="Palatino Linotype"/>
          <w:b/>
          <w:bCs/>
          <w:sz w:val="24"/>
          <w:szCs w:val="24"/>
          <w:lang w:val="es-ES"/>
        </w:rPr>
        <w:t>00072/IXTLAHUA//IP/2020</w:t>
      </w:r>
      <w:r w:rsidRPr="00F536FA">
        <w:rPr>
          <w:rFonts w:ascii="Palatino Linotype" w:hAnsi="Palatino Linotype"/>
          <w:sz w:val="24"/>
          <w:szCs w:val="24"/>
          <w:lang w:val="es-ES"/>
        </w:rPr>
        <w:t>.</w:t>
      </w:r>
    </w:p>
    <w:p w14:paraId="4658CC52" w14:textId="7419D155" w:rsidR="00E34292" w:rsidRPr="00F536FA" w:rsidRDefault="00E34292" w:rsidP="00D74517">
      <w:pPr>
        <w:pStyle w:val="Prrafodelista"/>
        <w:numPr>
          <w:ilvl w:val="2"/>
          <w:numId w:val="2"/>
        </w:numPr>
        <w:tabs>
          <w:tab w:val="left" w:pos="426"/>
        </w:tabs>
        <w:spacing w:after="0" w:line="360" w:lineRule="auto"/>
        <w:ind w:left="1418" w:hanging="284"/>
        <w:jc w:val="both"/>
        <w:rPr>
          <w:rFonts w:ascii="Palatino Linotype" w:hAnsi="Palatino Linotype"/>
          <w:sz w:val="24"/>
          <w:szCs w:val="24"/>
        </w:rPr>
      </w:pPr>
      <w:r w:rsidRPr="00F536FA">
        <w:rPr>
          <w:rFonts w:ascii="Palatino Linotype" w:hAnsi="Palatino Linotype"/>
          <w:sz w:val="24"/>
          <w:szCs w:val="24"/>
          <w:lang w:val="es-ES"/>
        </w:rPr>
        <w:t xml:space="preserve">Oficio número TMIE/423/2020, de diecisiete (17) de septiembre de 2020, mediante el cual, el Tesorero Municipal profundiza su respuesta a la solicitud de información </w:t>
      </w:r>
      <w:r w:rsidRPr="00F536FA">
        <w:rPr>
          <w:rFonts w:ascii="Palatino Linotype" w:hAnsi="Palatino Linotype"/>
          <w:b/>
          <w:bCs/>
          <w:sz w:val="24"/>
          <w:szCs w:val="24"/>
          <w:lang w:val="es-ES"/>
        </w:rPr>
        <w:t>00072/IXTLAHUA//IP/2020</w:t>
      </w:r>
      <w:r w:rsidRPr="00F536FA">
        <w:rPr>
          <w:rFonts w:ascii="Palatino Linotype" w:hAnsi="Palatino Linotype"/>
          <w:sz w:val="24"/>
          <w:szCs w:val="24"/>
          <w:lang w:val="es-ES"/>
        </w:rPr>
        <w:t xml:space="preserve"> mediante el acompañamiento de los siguientes documentos:</w:t>
      </w:r>
    </w:p>
    <w:p w14:paraId="1D809BB3" w14:textId="27D40D9D" w:rsidR="00E34292" w:rsidRPr="00F536FA" w:rsidRDefault="00E34292" w:rsidP="00E34292">
      <w:pPr>
        <w:pStyle w:val="Prrafodelista"/>
        <w:numPr>
          <w:ilvl w:val="3"/>
          <w:numId w:val="2"/>
        </w:numPr>
        <w:tabs>
          <w:tab w:val="left" w:pos="426"/>
        </w:tabs>
        <w:spacing w:after="0" w:line="360" w:lineRule="auto"/>
        <w:jc w:val="both"/>
        <w:rPr>
          <w:rFonts w:ascii="Palatino Linotype" w:hAnsi="Palatino Linotype"/>
          <w:sz w:val="24"/>
          <w:szCs w:val="24"/>
        </w:rPr>
      </w:pPr>
      <w:r w:rsidRPr="00F536FA">
        <w:rPr>
          <w:rFonts w:ascii="Palatino Linotype" w:hAnsi="Palatino Linotype"/>
          <w:sz w:val="24"/>
          <w:szCs w:val="24"/>
          <w:lang w:val="es-ES"/>
        </w:rPr>
        <w:t xml:space="preserve">Estado de cuenta por fecha de septiembre de 2015, de la </w:t>
      </w:r>
      <w:r w:rsidR="0096275E" w:rsidRPr="00F536FA">
        <w:rPr>
          <w:rFonts w:ascii="Palatino Linotype" w:hAnsi="Palatino Linotype"/>
          <w:sz w:val="24"/>
          <w:szCs w:val="24"/>
          <w:lang w:val="es-ES"/>
        </w:rPr>
        <w:t xml:space="preserve">cuenta </w:t>
      </w:r>
      <w:r w:rsidR="0096275E" w:rsidRPr="00F536FA">
        <w:rPr>
          <w:rFonts w:ascii="Palatino Linotype" w:hAnsi="Palatino Linotype"/>
          <w:i/>
          <w:iCs/>
          <w:sz w:val="24"/>
          <w:szCs w:val="24"/>
          <w:lang w:val="es-ES"/>
        </w:rPr>
        <w:t xml:space="preserve">Sobre Diversiones, Juegos y Espectáculos Públicos, </w:t>
      </w:r>
      <w:r w:rsidRPr="00F536FA">
        <w:rPr>
          <w:rFonts w:ascii="Palatino Linotype" w:hAnsi="Palatino Linotype"/>
          <w:sz w:val="24"/>
          <w:szCs w:val="24"/>
          <w:lang w:val="es-ES"/>
        </w:rPr>
        <w:lastRenderedPageBreak/>
        <w:t>emitido el dieciocho (18) de septiembre de dos mil veinte</w:t>
      </w:r>
      <w:r w:rsidR="0096275E" w:rsidRPr="00F536FA">
        <w:rPr>
          <w:rFonts w:ascii="Palatino Linotype" w:hAnsi="Palatino Linotype"/>
          <w:sz w:val="24"/>
          <w:szCs w:val="24"/>
          <w:lang w:val="es-ES"/>
        </w:rPr>
        <w:t>.</w:t>
      </w:r>
    </w:p>
    <w:p w14:paraId="0D1B0619" w14:textId="21E8CC2B" w:rsidR="0096275E" w:rsidRPr="00F536FA" w:rsidRDefault="0096275E" w:rsidP="00E34292">
      <w:pPr>
        <w:pStyle w:val="Prrafodelista"/>
        <w:numPr>
          <w:ilvl w:val="3"/>
          <w:numId w:val="2"/>
        </w:numPr>
        <w:tabs>
          <w:tab w:val="left" w:pos="426"/>
        </w:tabs>
        <w:spacing w:after="0" w:line="360" w:lineRule="auto"/>
        <w:jc w:val="both"/>
        <w:rPr>
          <w:rFonts w:ascii="Palatino Linotype" w:hAnsi="Palatino Linotype"/>
          <w:sz w:val="24"/>
          <w:szCs w:val="24"/>
        </w:rPr>
      </w:pPr>
      <w:r w:rsidRPr="00F536FA">
        <w:rPr>
          <w:rFonts w:ascii="Palatino Linotype" w:hAnsi="Palatino Linotype"/>
          <w:sz w:val="24"/>
          <w:szCs w:val="24"/>
          <w:lang w:val="es-ES"/>
        </w:rPr>
        <w:t>Tres recibos de pago por concepto de baile público y feria patronal, del 2015, 2016 y 2017.</w:t>
      </w:r>
    </w:p>
    <w:p w14:paraId="1870ECD7" w14:textId="77777777" w:rsidR="005B2BD1" w:rsidRPr="00F536FA" w:rsidRDefault="005B2BD1" w:rsidP="005B2BD1">
      <w:pPr>
        <w:pStyle w:val="Prrafodelista"/>
        <w:tabs>
          <w:tab w:val="left" w:pos="426"/>
        </w:tabs>
        <w:spacing w:after="0" w:line="360" w:lineRule="auto"/>
        <w:ind w:left="1418"/>
        <w:jc w:val="both"/>
        <w:rPr>
          <w:rFonts w:ascii="Palatino Linotype" w:hAnsi="Palatino Linotype"/>
          <w:sz w:val="24"/>
          <w:szCs w:val="24"/>
        </w:rPr>
      </w:pPr>
    </w:p>
    <w:p w14:paraId="06906D2E" w14:textId="57E0FDE0" w:rsidR="00D74517" w:rsidRPr="00F536FA" w:rsidRDefault="00D74517" w:rsidP="00D74517">
      <w:pPr>
        <w:pStyle w:val="Prrafodelista"/>
        <w:numPr>
          <w:ilvl w:val="1"/>
          <w:numId w:val="2"/>
        </w:numPr>
        <w:tabs>
          <w:tab w:val="left" w:pos="426"/>
        </w:tabs>
        <w:spacing w:after="0" w:line="360" w:lineRule="auto"/>
        <w:ind w:left="851" w:hanging="284"/>
        <w:jc w:val="both"/>
        <w:rPr>
          <w:rFonts w:ascii="Palatino Linotype" w:hAnsi="Palatino Linotype"/>
          <w:sz w:val="24"/>
          <w:szCs w:val="24"/>
        </w:rPr>
      </w:pPr>
      <w:r w:rsidRPr="00F536FA">
        <w:rPr>
          <w:rFonts w:ascii="Palatino Linotype" w:hAnsi="Palatino Linotype"/>
          <w:b/>
          <w:bCs/>
          <w:i/>
          <w:iCs/>
          <w:sz w:val="24"/>
          <w:szCs w:val="24"/>
          <w:lang w:val="es-ES"/>
        </w:rPr>
        <w:t>“INFORME JUSTIFICADO</w:t>
      </w:r>
      <w:r w:rsidRPr="00F536FA">
        <w:rPr>
          <w:rFonts w:ascii="Palatino Linotype" w:hAnsi="Palatino Linotype"/>
          <w:b/>
          <w:bCs/>
          <w:i/>
          <w:iCs/>
          <w:sz w:val="24"/>
          <w:szCs w:val="24"/>
        </w:rPr>
        <w:t>.</w:t>
      </w:r>
      <w:proofErr w:type="spellStart"/>
      <w:r w:rsidRPr="00F536FA">
        <w:rPr>
          <w:rFonts w:ascii="Palatino Linotype" w:hAnsi="Palatino Linotype"/>
          <w:b/>
          <w:bCs/>
          <w:i/>
          <w:iCs/>
          <w:sz w:val="24"/>
          <w:szCs w:val="24"/>
        </w:rPr>
        <w:t>pdf</w:t>
      </w:r>
      <w:proofErr w:type="spellEnd"/>
      <w:r w:rsidRPr="00F536FA">
        <w:rPr>
          <w:rFonts w:ascii="Palatino Linotype" w:hAnsi="Palatino Linotype"/>
          <w:b/>
          <w:bCs/>
          <w:i/>
          <w:iCs/>
          <w:sz w:val="24"/>
          <w:szCs w:val="24"/>
        </w:rPr>
        <w:t>”</w:t>
      </w:r>
      <w:r w:rsidRPr="00F536FA">
        <w:rPr>
          <w:rFonts w:ascii="Palatino Linotype" w:hAnsi="Palatino Linotype"/>
          <w:sz w:val="24"/>
          <w:szCs w:val="24"/>
        </w:rPr>
        <w:t xml:space="preserve">: </w:t>
      </w:r>
      <w:r w:rsidR="0096275E" w:rsidRPr="00F536FA">
        <w:rPr>
          <w:rFonts w:ascii="Palatino Linotype" w:hAnsi="Palatino Linotype"/>
          <w:sz w:val="24"/>
          <w:szCs w:val="24"/>
        </w:rPr>
        <w:t xml:space="preserve">Documento de siete fojas consistente en el oficio de veintitrés (23) de septiembre de dos mil veinte, mediante el cual, la Titular de la Unidad de Transparencia del </w:t>
      </w:r>
      <w:r w:rsidR="0096275E" w:rsidRPr="00F536FA">
        <w:rPr>
          <w:rFonts w:ascii="Palatino Linotype" w:hAnsi="Palatino Linotype"/>
          <w:b/>
          <w:bCs/>
          <w:sz w:val="24"/>
          <w:szCs w:val="24"/>
        </w:rPr>
        <w:t>SUJETO OBLIGADO</w:t>
      </w:r>
      <w:r w:rsidR="0096275E" w:rsidRPr="00F536FA">
        <w:rPr>
          <w:rFonts w:ascii="Palatino Linotype" w:hAnsi="Palatino Linotype"/>
          <w:sz w:val="24"/>
          <w:szCs w:val="24"/>
        </w:rPr>
        <w:t xml:space="preserve"> desahoga el Informe Justificado</w:t>
      </w:r>
    </w:p>
    <w:p w14:paraId="6D7870E9" w14:textId="77777777" w:rsidR="0096275E" w:rsidRPr="00F536FA" w:rsidRDefault="0096275E" w:rsidP="0096275E">
      <w:pPr>
        <w:pStyle w:val="Prrafodelista"/>
        <w:tabs>
          <w:tab w:val="left" w:pos="426"/>
        </w:tabs>
        <w:spacing w:after="0" w:line="360" w:lineRule="auto"/>
        <w:ind w:left="851"/>
        <w:jc w:val="both"/>
        <w:rPr>
          <w:rFonts w:ascii="Palatino Linotype" w:hAnsi="Palatino Linotype"/>
          <w:sz w:val="24"/>
          <w:szCs w:val="24"/>
        </w:rPr>
      </w:pPr>
    </w:p>
    <w:p w14:paraId="1B02E5AA" w14:textId="4432EF1F" w:rsidR="00D74517" w:rsidRPr="00F536FA" w:rsidRDefault="00D74517" w:rsidP="00D74517">
      <w:pPr>
        <w:pStyle w:val="Prrafodelista"/>
        <w:numPr>
          <w:ilvl w:val="1"/>
          <w:numId w:val="2"/>
        </w:numPr>
        <w:tabs>
          <w:tab w:val="left" w:pos="426"/>
        </w:tabs>
        <w:spacing w:after="0" w:line="360" w:lineRule="auto"/>
        <w:ind w:left="851" w:hanging="284"/>
        <w:jc w:val="both"/>
        <w:rPr>
          <w:rFonts w:ascii="Palatino Linotype" w:hAnsi="Palatino Linotype"/>
          <w:sz w:val="24"/>
          <w:szCs w:val="24"/>
        </w:rPr>
      </w:pPr>
      <w:r w:rsidRPr="00F536FA">
        <w:rPr>
          <w:rFonts w:ascii="Palatino Linotype" w:hAnsi="Palatino Linotype"/>
          <w:b/>
          <w:bCs/>
          <w:i/>
          <w:iCs/>
          <w:sz w:val="24"/>
          <w:szCs w:val="24"/>
          <w:lang w:val="es-ES"/>
        </w:rPr>
        <w:t>“RESPUESTAS SOL 72</w:t>
      </w:r>
      <w:r w:rsidRPr="00F536FA">
        <w:rPr>
          <w:rFonts w:ascii="Palatino Linotype" w:hAnsi="Palatino Linotype"/>
          <w:sz w:val="24"/>
          <w:szCs w:val="24"/>
        </w:rPr>
        <w:t>.</w:t>
      </w:r>
      <w:proofErr w:type="spellStart"/>
      <w:r w:rsidRPr="00F536FA">
        <w:rPr>
          <w:rFonts w:ascii="Palatino Linotype" w:hAnsi="Palatino Linotype"/>
          <w:b/>
          <w:bCs/>
          <w:i/>
          <w:iCs/>
          <w:sz w:val="24"/>
          <w:szCs w:val="24"/>
        </w:rPr>
        <w:t>pdf</w:t>
      </w:r>
      <w:proofErr w:type="spellEnd"/>
      <w:r w:rsidRPr="00F536FA">
        <w:rPr>
          <w:rFonts w:ascii="Palatino Linotype" w:hAnsi="Palatino Linotype"/>
          <w:b/>
          <w:bCs/>
          <w:i/>
          <w:iCs/>
          <w:sz w:val="24"/>
          <w:szCs w:val="24"/>
        </w:rPr>
        <w:t>”</w:t>
      </w:r>
      <w:r w:rsidRPr="00F536FA">
        <w:rPr>
          <w:rFonts w:ascii="Palatino Linotype" w:hAnsi="Palatino Linotype"/>
          <w:sz w:val="24"/>
          <w:szCs w:val="24"/>
        </w:rPr>
        <w:t xml:space="preserve">: </w:t>
      </w:r>
      <w:r w:rsidR="0096275E" w:rsidRPr="00F536FA">
        <w:rPr>
          <w:rFonts w:ascii="Palatino Linotype" w:hAnsi="Palatino Linotype"/>
          <w:sz w:val="24"/>
          <w:szCs w:val="24"/>
        </w:rPr>
        <w:t>Documento de 36 fojas que contiene diversos oficios e instrumentos, entregado originalmente en la respuesta a la solicitud de información.</w:t>
      </w:r>
    </w:p>
    <w:p w14:paraId="02DCB343" w14:textId="77777777" w:rsidR="0096275E" w:rsidRPr="00F536FA" w:rsidRDefault="0096275E" w:rsidP="0096275E">
      <w:pPr>
        <w:pStyle w:val="Prrafodelista"/>
        <w:tabs>
          <w:tab w:val="left" w:pos="426"/>
        </w:tabs>
        <w:spacing w:after="0" w:line="360" w:lineRule="auto"/>
        <w:ind w:left="851"/>
        <w:jc w:val="both"/>
        <w:rPr>
          <w:rFonts w:ascii="Palatino Linotype" w:hAnsi="Palatino Linotype"/>
          <w:sz w:val="24"/>
          <w:szCs w:val="24"/>
        </w:rPr>
      </w:pPr>
    </w:p>
    <w:p w14:paraId="446548E4" w14:textId="4200FE07" w:rsidR="00D74517" w:rsidRPr="00F536FA" w:rsidRDefault="00D74517" w:rsidP="00D74517">
      <w:pPr>
        <w:pStyle w:val="Prrafodelista"/>
        <w:numPr>
          <w:ilvl w:val="1"/>
          <w:numId w:val="2"/>
        </w:numPr>
        <w:tabs>
          <w:tab w:val="left" w:pos="426"/>
        </w:tabs>
        <w:spacing w:after="0" w:line="360" w:lineRule="auto"/>
        <w:ind w:left="851" w:hanging="284"/>
        <w:jc w:val="both"/>
        <w:rPr>
          <w:rFonts w:ascii="Palatino Linotype" w:hAnsi="Palatino Linotype"/>
          <w:sz w:val="24"/>
          <w:szCs w:val="24"/>
        </w:rPr>
      </w:pPr>
      <w:r w:rsidRPr="00F536FA">
        <w:rPr>
          <w:rFonts w:ascii="Palatino Linotype" w:hAnsi="Palatino Linotype"/>
          <w:b/>
          <w:bCs/>
          <w:i/>
          <w:iCs/>
          <w:sz w:val="24"/>
          <w:szCs w:val="24"/>
          <w:lang w:val="es-ES"/>
        </w:rPr>
        <w:t>“ACTA SOL</w:t>
      </w:r>
      <w:r w:rsidRPr="00F536FA">
        <w:rPr>
          <w:rFonts w:ascii="Palatino Linotype" w:hAnsi="Palatino Linotype"/>
          <w:sz w:val="24"/>
          <w:szCs w:val="24"/>
        </w:rPr>
        <w:t>.</w:t>
      </w:r>
      <w:r w:rsidRPr="00F536FA">
        <w:rPr>
          <w:rFonts w:ascii="Palatino Linotype" w:hAnsi="Palatino Linotype"/>
          <w:b/>
          <w:bCs/>
          <w:i/>
          <w:iCs/>
          <w:sz w:val="24"/>
          <w:szCs w:val="24"/>
        </w:rPr>
        <w:t xml:space="preserve"> 72</w:t>
      </w:r>
      <w:proofErr w:type="gramStart"/>
      <w:r w:rsidRPr="00F536FA">
        <w:rPr>
          <w:rFonts w:ascii="Palatino Linotype" w:hAnsi="Palatino Linotype"/>
          <w:b/>
          <w:bCs/>
          <w:i/>
          <w:iCs/>
          <w:sz w:val="24"/>
          <w:szCs w:val="24"/>
        </w:rPr>
        <w:t>.pdf</w:t>
      </w:r>
      <w:proofErr w:type="gramEnd"/>
      <w:r w:rsidRPr="00F536FA">
        <w:rPr>
          <w:rFonts w:ascii="Palatino Linotype" w:hAnsi="Palatino Linotype"/>
          <w:b/>
          <w:bCs/>
          <w:i/>
          <w:iCs/>
          <w:sz w:val="24"/>
          <w:szCs w:val="24"/>
        </w:rPr>
        <w:t>”</w:t>
      </w:r>
      <w:r w:rsidRPr="00F536FA">
        <w:rPr>
          <w:rFonts w:ascii="Palatino Linotype" w:hAnsi="Palatino Linotype"/>
          <w:sz w:val="24"/>
          <w:szCs w:val="24"/>
        </w:rPr>
        <w:t xml:space="preserve">: </w:t>
      </w:r>
      <w:r w:rsidR="0096275E" w:rsidRPr="00F536FA">
        <w:rPr>
          <w:rFonts w:ascii="Palatino Linotype" w:hAnsi="Palatino Linotype"/>
          <w:sz w:val="24"/>
          <w:szCs w:val="24"/>
        </w:rPr>
        <w:t>Documento de siete fojas consistente en el Acta de la Décima Sesión Ordinaria del Comité de Transparencia, celebrada el treinta y uno (31) de agosto de dos mil veinte y entregado en la respuesta.</w:t>
      </w:r>
    </w:p>
    <w:p w14:paraId="6B7AE977" w14:textId="77777777" w:rsidR="00D74517" w:rsidRPr="00F536FA" w:rsidRDefault="00D74517" w:rsidP="00D74517">
      <w:pPr>
        <w:pStyle w:val="Prrafodelista"/>
        <w:tabs>
          <w:tab w:val="left" w:pos="426"/>
        </w:tabs>
        <w:spacing w:after="0" w:line="360" w:lineRule="auto"/>
        <w:ind w:left="0"/>
        <w:jc w:val="both"/>
        <w:rPr>
          <w:rFonts w:ascii="Palatino Linotype" w:hAnsi="Palatino Linotype"/>
          <w:sz w:val="24"/>
          <w:szCs w:val="24"/>
        </w:rPr>
      </w:pPr>
    </w:p>
    <w:p w14:paraId="4DB94825" w14:textId="5DB8CA13" w:rsidR="00D74517" w:rsidRPr="00F536FA" w:rsidRDefault="00D74517" w:rsidP="00AE7843">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F536FA">
        <w:rPr>
          <w:rFonts w:ascii="Palatino Linotype" w:hAnsi="Palatino Linotype"/>
          <w:sz w:val="24"/>
          <w:szCs w:val="24"/>
          <w:lang w:val="es-ES"/>
        </w:rPr>
        <w:t xml:space="preserve">El </w:t>
      </w:r>
      <w:r w:rsidR="0096275E" w:rsidRPr="00F536FA">
        <w:rPr>
          <w:rFonts w:ascii="Palatino Linotype" w:hAnsi="Palatino Linotype"/>
          <w:sz w:val="24"/>
          <w:szCs w:val="24"/>
          <w:lang w:val="es-ES_tradnl"/>
        </w:rPr>
        <w:t>dos</w:t>
      </w:r>
      <w:r w:rsidRPr="00F536FA">
        <w:rPr>
          <w:rFonts w:ascii="Palatino Linotype" w:hAnsi="Palatino Linotype"/>
          <w:sz w:val="24"/>
          <w:szCs w:val="24"/>
          <w:lang w:val="es-ES_tradnl"/>
        </w:rPr>
        <w:t xml:space="preserve"> (</w:t>
      </w:r>
      <w:r w:rsidR="0096275E" w:rsidRPr="00F536FA">
        <w:rPr>
          <w:rFonts w:ascii="Palatino Linotype" w:hAnsi="Palatino Linotype"/>
          <w:sz w:val="24"/>
          <w:szCs w:val="24"/>
          <w:lang w:val="es-ES_tradnl"/>
        </w:rPr>
        <w:t>02</w:t>
      </w:r>
      <w:r w:rsidRPr="00F536FA">
        <w:rPr>
          <w:rFonts w:ascii="Palatino Linotype" w:hAnsi="Palatino Linotype"/>
          <w:sz w:val="24"/>
          <w:szCs w:val="24"/>
          <w:lang w:val="es-ES_tradnl"/>
        </w:rPr>
        <w:t xml:space="preserve">) de </w:t>
      </w:r>
      <w:r w:rsidR="0096275E" w:rsidRPr="00F536FA">
        <w:rPr>
          <w:rFonts w:ascii="Palatino Linotype" w:hAnsi="Palatino Linotype"/>
          <w:sz w:val="24"/>
          <w:szCs w:val="24"/>
          <w:lang w:val="es-ES_tradnl"/>
        </w:rPr>
        <w:t>octubre</w:t>
      </w:r>
      <w:r w:rsidRPr="00F536FA">
        <w:rPr>
          <w:rFonts w:ascii="Palatino Linotype" w:hAnsi="Palatino Linotype"/>
          <w:sz w:val="24"/>
          <w:szCs w:val="24"/>
          <w:lang w:val="es-ES_tradnl"/>
        </w:rPr>
        <w:t xml:space="preserve"> de dos mil veinte, </w:t>
      </w:r>
      <w:r w:rsidR="0096275E" w:rsidRPr="00F536FA">
        <w:rPr>
          <w:rFonts w:ascii="Palatino Linotype" w:hAnsi="Palatino Linotype"/>
          <w:sz w:val="24"/>
          <w:szCs w:val="24"/>
          <w:lang w:val="es-ES_tradnl"/>
        </w:rPr>
        <w:t>los</w:t>
      </w:r>
      <w:r w:rsidRPr="00F536FA">
        <w:rPr>
          <w:rFonts w:ascii="Palatino Linotype" w:hAnsi="Palatino Linotype"/>
          <w:sz w:val="24"/>
          <w:szCs w:val="24"/>
          <w:lang w:val="es-ES_tradnl"/>
        </w:rPr>
        <w:t xml:space="preserve"> documento</w:t>
      </w:r>
      <w:r w:rsidR="0096275E" w:rsidRPr="00F536FA">
        <w:rPr>
          <w:rFonts w:ascii="Palatino Linotype" w:hAnsi="Palatino Linotype"/>
          <w:sz w:val="24"/>
          <w:szCs w:val="24"/>
          <w:lang w:val="es-ES_tradnl"/>
        </w:rPr>
        <w:t>s</w:t>
      </w:r>
      <w:r w:rsidRPr="00F536FA">
        <w:rPr>
          <w:rFonts w:ascii="Palatino Linotype" w:hAnsi="Palatino Linotype"/>
          <w:sz w:val="24"/>
          <w:szCs w:val="24"/>
          <w:lang w:val="es-ES_tradnl"/>
        </w:rPr>
        <w:t xml:space="preserve"> </w:t>
      </w:r>
      <w:r w:rsidR="0096275E" w:rsidRPr="00F536FA">
        <w:rPr>
          <w:rFonts w:ascii="Palatino Linotype" w:hAnsi="Palatino Linotype"/>
          <w:sz w:val="24"/>
          <w:szCs w:val="24"/>
          <w:lang w:val="es-ES_tradnl"/>
        </w:rPr>
        <w:t>titulados</w:t>
      </w:r>
      <w:r w:rsidRPr="00F536FA">
        <w:rPr>
          <w:rFonts w:ascii="Palatino Linotype" w:hAnsi="Palatino Linotype"/>
          <w:sz w:val="24"/>
          <w:szCs w:val="24"/>
          <w:lang w:val="es-ES_tradnl"/>
        </w:rPr>
        <w:t xml:space="preserve"> </w:t>
      </w:r>
      <w:r w:rsidRPr="00F536FA">
        <w:rPr>
          <w:rFonts w:ascii="Palatino Linotype" w:hAnsi="Palatino Linotype"/>
          <w:b/>
          <w:bCs/>
          <w:i/>
          <w:iCs/>
          <w:sz w:val="24"/>
          <w:szCs w:val="24"/>
          <w:lang w:val="es-ES_tradnl"/>
        </w:rPr>
        <w:t>“</w:t>
      </w:r>
      <w:r w:rsidR="0096275E" w:rsidRPr="00F536FA">
        <w:rPr>
          <w:rFonts w:ascii="Palatino Linotype" w:hAnsi="Palatino Linotype"/>
          <w:b/>
          <w:bCs/>
          <w:i/>
          <w:iCs/>
          <w:sz w:val="24"/>
          <w:szCs w:val="24"/>
          <w:lang w:val="es-ES_tradnl"/>
        </w:rPr>
        <w:t>RECURSO DE REVISION DE LA SOL 72.pdf</w:t>
      </w:r>
      <w:r w:rsidRPr="00F536FA">
        <w:rPr>
          <w:rFonts w:ascii="Palatino Linotype" w:hAnsi="Palatino Linotype"/>
          <w:b/>
          <w:bCs/>
          <w:i/>
          <w:iCs/>
          <w:sz w:val="24"/>
          <w:szCs w:val="24"/>
          <w:lang w:val="es-ES_tradnl"/>
        </w:rPr>
        <w:t>”</w:t>
      </w:r>
      <w:r w:rsidR="0096275E" w:rsidRPr="00F536FA">
        <w:rPr>
          <w:rFonts w:ascii="Palatino Linotype" w:hAnsi="Palatino Linotype"/>
          <w:sz w:val="24"/>
          <w:szCs w:val="24"/>
          <w:lang w:val="es-ES_tradnl"/>
        </w:rPr>
        <w:t xml:space="preserve"> e </w:t>
      </w:r>
      <w:r w:rsidR="0096275E" w:rsidRPr="00F536FA">
        <w:rPr>
          <w:rFonts w:ascii="Palatino Linotype" w:hAnsi="Palatino Linotype"/>
          <w:b/>
          <w:bCs/>
          <w:i/>
          <w:iCs/>
          <w:sz w:val="24"/>
          <w:szCs w:val="24"/>
          <w:lang w:val="es-ES_tradnl"/>
        </w:rPr>
        <w:t>“INFORME JUSTIFICADO.pdf”</w:t>
      </w:r>
      <w:r w:rsidRPr="00F536FA">
        <w:rPr>
          <w:rFonts w:ascii="Palatino Linotype" w:hAnsi="Palatino Linotype"/>
          <w:sz w:val="24"/>
          <w:szCs w:val="24"/>
          <w:lang w:val="es-ES_tradnl"/>
        </w:rPr>
        <w:t xml:space="preserve"> fue</w:t>
      </w:r>
      <w:r w:rsidR="0096275E" w:rsidRPr="00F536FA">
        <w:rPr>
          <w:rFonts w:ascii="Palatino Linotype" w:hAnsi="Palatino Linotype"/>
          <w:sz w:val="24"/>
          <w:szCs w:val="24"/>
          <w:lang w:val="es-ES_tradnl"/>
        </w:rPr>
        <w:t>ron</w:t>
      </w:r>
      <w:r w:rsidRPr="00F536FA">
        <w:rPr>
          <w:rFonts w:ascii="Palatino Linotype" w:hAnsi="Palatino Linotype"/>
          <w:sz w:val="24"/>
          <w:szCs w:val="24"/>
          <w:lang w:val="es-ES_tradnl"/>
        </w:rPr>
        <w:t xml:space="preserve"> puesto</w:t>
      </w:r>
      <w:r w:rsidR="0096275E" w:rsidRPr="00F536FA">
        <w:rPr>
          <w:rFonts w:ascii="Palatino Linotype" w:hAnsi="Palatino Linotype"/>
          <w:sz w:val="24"/>
          <w:szCs w:val="24"/>
          <w:lang w:val="es-ES_tradnl"/>
        </w:rPr>
        <w:t>s</w:t>
      </w:r>
      <w:r w:rsidRPr="00F536FA">
        <w:rPr>
          <w:rFonts w:ascii="Palatino Linotype" w:hAnsi="Palatino Linotype"/>
          <w:sz w:val="24"/>
          <w:szCs w:val="24"/>
          <w:lang w:val="es-ES_tradnl"/>
        </w:rPr>
        <w:t xml:space="preserve"> a la vista del </w:t>
      </w:r>
      <w:r w:rsidRPr="00F536FA">
        <w:rPr>
          <w:rFonts w:ascii="Palatino Linotype" w:hAnsi="Palatino Linotype"/>
          <w:b/>
          <w:sz w:val="24"/>
          <w:szCs w:val="24"/>
          <w:lang w:val="es-ES_tradnl"/>
        </w:rPr>
        <w:t>RECURRENTE</w:t>
      </w:r>
      <w:r w:rsidRPr="00F536FA">
        <w:rPr>
          <w:rFonts w:ascii="Palatino Linotype" w:hAnsi="Palatino Linotype"/>
          <w:sz w:val="24"/>
          <w:szCs w:val="24"/>
          <w:lang w:val="es-ES_tradnl"/>
        </w:rPr>
        <w:t xml:space="preserve"> al contener información novedosa de probable interés para éste; asimismo, se le concedió un plazo de tres (03) días hábiles para que manifestara lo que a su derecho conviniera; no obstante, se hace constar que el </w:t>
      </w:r>
      <w:r w:rsidRPr="00F536FA">
        <w:rPr>
          <w:rFonts w:ascii="Palatino Linotype" w:hAnsi="Palatino Linotype"/>
          <w:sz w:val="24"/>
          <w:szCs w:val="24"/>
          <w:lang w:val="es-ES_tradnl"/>
        </w:rPr>
        <w:lastRenderedPageBreak/>
        <w:t>particular no promovió alegatos o manifestación alguna sobre los nuevos contenidos.</w:t>
      </w:r>
    </w:p>
    <w:p w14:paraId="07010479" w14:textId="77777777" w:rsidR="00D74517" w:rsidRPr="00F536FA" w:rsidRDefault="00D74517" w:rsidP="00D74517">
      <w:pPr>
        <w:pStyle w:val="Prrafodelista"/>
        <w:tabs>
          <w:tab w:val="left" w:pos="426"/>
        </w:tabs>
        <w:spacing w:after="0" w:line="360" w:lineRule="auto"/>
        <w:ind w:left="0"/>
        <w:jc w:val="both"/>
        <w:rPr>
          <w:rFonts w:ascii="Palatino Linotype" w:hAnsi="Palatino Linotype"/>
          <w:sz w:val="24"/>
          <w:szCs w:val="24"/>
        </w:rPr>
      </w:pPr>
    </w:p>
    <w:p w14:paraId="7DB4B143" w14:textId="6488677F" w:rsidR="00D74517" w:rsidRPr="00F536FA" w:rsidRDefault="00D74517" w:rsidP="00AE7843">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F536FA">
        <w:rPr>
          <w:rFonts w:ascii="Palatino Linotype" w:hAnsi="Palatino Linotype"/>
          <w:sz w:val="24"/>
          <w:szCs w:val="24"/>
          <w:lang w:val="es-ES_tradnl"/>
        </w:rPr>
        <w:t xml:space="preserve">Por otro lado, por cuanto hace a los archivos titulados </w:t>
      </w:r>
      <w:r w:rsidRPr="00F536FA">
        <w:rPr>
          <w:rFonts w:ascii="Palatino Linotype" w:hAnsi="Palatino Linotype"/>
          <w:b/>
          <w:bCs/>
          <w:i/>
          <w:iCs/>
          <w:sz w:val="24"/>
          <w:szCs w:val="24"/>
          <w:lang w:val="es-ES_tradnl"/>
        </w:rPr>
        <w:t>“</w:t>
      </w:r>
      <w:r w:rsidR="0096275E" w:rsidRPr="00F536FA">
        <w:rPr>
          <w:rFonts w:ascii="Palatino Linotype" w:hAnsi="Palatino Linotype"/>
          <w:b/>
          <w:bCs/>
          <w:i/>
          <w:iCs/>
          <w:sz w:val="24"/>
          <w:szCs w:val="24"/>
          <w:lang w:val="es-ES_tradnl"/>
        </w:rPr>
        <w:t>RESPUESTAS SOL 72</w:t>
      </w:r>
      <w:r w:rsidRPr="00F536FA">
        <w:rPr>
          <w:rFonts w:ascii="Palatino Linotype" w:hAnsi="Palatino Linotype"/>
          <w:b/>
          <w:bCs/>
          <w:i/>
          <w:iCs/>
          <w:sz w:val="24"/>
          <w:szCs w:val="24"/>
          <w:lang w:val="es-ES_tradnl"/>
        </w:rPr>
        <w:t>.pdf”</w:t>
      </w:r>
      <w:r w:rsidRPr="00F536FA">
        <w:rPr>
          <w:rFonts w:ascii="Palatino Linotype" w:hAnsi="Palatino Linotype"/>
          <w:sz w:val="24"/>
          <w:szCs w:val="24"/>
          <w:lang w:val="es-ES_tradnl"/>
        </w:rPr>
        <w:t xml:space="preserve"> y </w:t>
      </w:r>
      <w:r w:rsidRPr="00F536FA">
        <w:rPr>
          <w:rFonts w:ascii="Palatino Linotype" w:hAnsi="Palatino Linotype"/>
          <w:b/>
          <w:bCs/>
          <w:i/>
          <w:iCs/>
          <w:sz w:val="24"/>
          <w:szCs w:val="24"/>
          <w:lang w:val="es-ES_tradnl"/>
        </w:rPr>
        <w:t>“</w:t>
      </w:r>
      <w:r w:rsidR="0096275E" w:rsidRPr="00F536FA">
        <w:rPr>
          <w:rFonts w:ascii="Palatino Linotype" w:hAnsi="Palatino Linotype"/>
          <w:b/>
          <w:bCs/>
          <w:i/>
          <w:iCs/>
          <w:sz w:val="24"/>
          <w:szCs w:val="24"/>
          <w:lang w:val="es-ES_tradnl"/>
        </w:rPr>
        <w:t>ACTA SOL. 72</w:t>
      </w:r>
      <w:r w:rsidRPr="00F536FA">
        <w:rPr>
          <w:rFonts w:ascii="Palatino Linotype" w:hAnsi="Palatino Linotype"/>
          <w:b/>
          <w:bCs/>
          <w:i/>
          <w:iCs/>
          <w:sz w:val="24"/>
          <w:szCs w:val="24"/>
          <w:lang w:val="es-ES_tradnl"/>
        </w:rPr>
        <w:t>.pdf”</w:t>
      </w:r>
      <w:r w:rsidRPr="00F536FA">
        <w:rPr>
          <w:rFonts w:ascii="Palatino Linotype" w:hAnsi="Palatino Linotype"/>
          <w:sz w:val="24"/>
          <w:szCs w:val="24"/>
          <w:lang w:val="es-ES_tradnl"/>
        </w:rPr>
        <w:t xml:space="preserve">, </w:t>
      </w:r>
      <w:r w:rsidRPr="00F536FA">
        <w:rPr>
          <w:rFonts w:ascii="Palatino Linotype" w:hAnsi="Palatino Linotype"/>
          <w:sz w:val="24"/>
          <w:szCs w:val="24"/>
          <w:lang w:val="es-ES"/>
        </w:rPr>
        <w:t xml:space="preserve">al no aportar información novedosa que modificara o revocara la respuesta primigenia, esto es, que actualizara alguno de los supuestos contenidos en la fracción III del artículo 185 de la Ley de Transparencia y Acceso a la Información Pública del Estado de México y Municipios, la Ponencia </w:t>
      </w:r>
      <w:proofErr w:type="spellStart"/>
      <w:r w:rsidRPr="00F536FA">
        <w:rPr>
          <w:rFonts w:ascii="Palatino Linotype" w:hAnsi="Palatino Linotype"/>
          <w:sz w:val="24"/>
          <w:szCs w:val="24"/>
          <w:lang w:val="es-ES"/>
        </w:rPr>
        <w:t>Resolutora</w:t>
      </w:r>
      <w:proofErr w:type="spellEnd"/>
      <w:r w:rsidRPr="00F536FA">
        <w:rPr>
          <w:rFonts w:ascii="Palatino Linotype" w:hAnsi="Palatino Linotype"/>
          <w:sz w:val="24"/>
          <w:szCs w:val="24"/>
          <w:lang w:val="es-ES"/>
        </w:rPr>
        <w:t xml:space="preserve"> determinó no poner los archivos a la vista del hoy </w:t>
      </w:r>
      <w:r w:rsidRPr="00F536FA">
        <w:rPr>
          <w:rFonts w:ascii="Palatino Linotype" w:hAnsi="Palatino Linotype"/>
          <w:b/>
          <w:sz w:val="24"/>
          <w:szCs w:val="24"/>
          <w:lang w:val="es-ES"/>
        </w:rPr>
        <w:t>RECURRENTE</w:t>
      </w:r>
      <w:r w:rsidRPr="00F536FA">
        <w:rPr>
          <w:rFonts w:ascii="Palatino Linotype" w:hAnsi="Palatino Linotype"/>
          <w:sz w:val="24"/>
          <w:szCs w:val="24"/>
          <w:lang w:val="es-ES"/>
        </w:rPr>
        <w:t>; no obstante, se hace del conocimiento del particular que, con la finalidad de que no exista ninguna opacidad durante la sustanciación del presente asunto, el resto de los archivos que contemplan el Informe Justificado le serán puestos a la vista acompañados de la presente resolución.</w:t>
      </w:r>
    </w:p>
    <w:p w14:paraId="0F1A9F98" w14:textId="0A8E1091" w:rsidR="00AE7843" w:rsidRPr="00F536FA" w:rsidRDefault="00AE7843" w:rsidP="00AE7843">
      <w:pPr>
        <w:pStyle w:val="Prrafodelista"/>
        <w:tabs>
          <w:tab w:val="left" w:pos="426"/>
        </w:tabs>
        <w:spacing w:after="0" w:line="360" w:lineRule="auto"/>
        <w:ind w:left="0"/>
        <w:jc w:val="both"/>
        <w:rPr>
          <w:rFonts w:ascii="Palatino Linotype" w:hAnsi="Palatino Linotype"/>
          <w:sz w:val="24"/>
          <w:szCs w:val="24"/>
        </w:rPr>
      </w:pPr>
    </w:p>
    <w:p w14:paraId="5720BDF2" w14:textId="5F3D4337" w:rsidR="008C6663" w:rsidRPr="00F536FA" w:rsidRDefault="008478F3" w:rsidP="00084FCB">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F536FA">
        <w:rPr>
          <w:rFonts w:ascii="Palatino Linotype" w:hAnsi="Palatino Linotype"/>
          <w:sz w:val="24"/>
          <w:szCs w:val="24"/>
        </w:rPr>
        <w:t>E</w:t>
      </w:r>
      <w:r w:rsidR="00354999" w:rsidRPr="00F536FA">
        <w:rPr>
          <w:rFonts w:ascii="Palatino Linotype" w:hAnsi="Palatino Linotype"/>
          <w:sz w:val="24"/>
          <w:szCs w:val="24"/>
        </w:rPr>
        <w:t>l Comisionado Ponent</w:t>
      </w:r>
      <w:r w:rsidR="00C71ED4" w:rsidRPr="00F536FA">
        <w:rPr>
          <w:rFonts w:ascii="Palatino Linotype" w:hAnsi="Palatino Linotype"/>
          <w:sz w:val="24"/>
          <w:szCs w:val="24"/>
        </w:rPr>
        <w:t xml:space="preserve">e decretó el cierre de </w:t>
      </w:r>
      <w:r w:rsidR="006869D2" w:rsidRPr="00F536FA">
        <w:rPr>
          <w:rFonts w:ascii="Palatino Linotype" w:hAnsi="Palatino Linotype"/>
          <w:sz w:val="24"/>
          <w:szCs w:val="24"/>
        </w:rPr>
        <w:t>instrucción</w:t>
      </w:r>
      <w:r w:rsidR="00354999" w:rsidRPr="00F536FA">
        <w:rPr>
          <w:rFonts w:ascii="Palatino Linotype" w:hAnsi="Palatino Linotype" w:cs="Arial"/>
          <w:sz w:val="24"/>
          <w:szCs w:val="24"/>
        </w:rPr>
        <w:t xml:space="preserve"> </w:t>
      </w:r>
      <w:r w:rsidR="00354999" w:rsidRPr="00F536FA">
        <w:rPr>
          <w:rFonts w:ascii="Palatino Linotype" w:hAnsi="Palatino Linotype"/>
          <w:sz w:val="24"/>
          <w:szCs w:val="24"/>
        </w:rPr>
        <w:t xml:space="preserve">mediante </w:t>
      </w:r>
      <w:r w:rsidR="00D33F9D" w:rsidRPr="00F536FA">
        <w:rPr>
          <w:rFonts w:ascii="Palatino Linotype" w:hAnsi="Palatino Linotype"/>
          <w:sz w:val="24"/>
          <w:szCs w:val="24"/>
        </w:rPr>
        <w:t xml:space="preserve">Acuerdo </w:t>
      </w:r>
      <w:r w:rsidR="00354999" w:rsidRPr="00F536FA">
        <w:rPr>
          <w:rFonts w:ascii="Palatino Linotype" w:hAnsi="Palatino Linotype"/>
          <w:sz w:val="24"/>
          <w:szCs w:val="24"/>
        </w:rPr>
        <w:t xml:space="preserve">de </w:t>
      </w:r>
      <w:r w:rsidR="00ED52D5" w:rsidRPr="00F536FA">
        <w:rPr>
          <w:rFonts w:ascii="Palatino Linotype" w:hAnsi="Palatino Linotype"/>
          <w:sz w:val="24"/>
          <w:szCs w:val="24"/>
        </w:rPr>
        <w:t>trece</w:t>
      </w:r>
      <w:r w:rsidR="009137FE" w:rsidRPr="00F536FA">
        <w:rPr>
          <w:rFonts w:ascii="Palatino Linotype" w:hAnsi="Palatino Linotype"/>
          <w:sz w:val="24"/>
          <w:szCs w:val="24"/>
        </w:rPr>
        <w:t xml:space="preserve"> (</w:t>
      </w:r>
      <w:r w:rsidR="00ED52D5" w:rsidRPr="00F536FA">
        <w:rPr>
          <w:rFonts w:ascii="Palatino Linotype" w:hAnsi="Palatino Linotype"/>
          <w:sz w:val="24"/>
          <w:szCs w:val="24"/>
        </w:rPr>
        <w:t>13</w:t>
      </w:r>
      <w:r w:rsidR="009137FE" w:rsidRPr="00F536FA">
        <w:rPr>
          <w:rFonts w:ascii="Palatino Linotype" w:hAnsi="Palatino Linotype"/>
          <w:sz w:val="24"/>
          <w:szCs w:val="24"/>
        </w:rPr>
        <w:t xml:space="preserve">) de </w:t>
      </w:r>
      <w:r w:rsidR="00ED52D5" w:rsidRPr="00F536FA">
        <w:rPr>
          <w:rFonts w:ascii="Palatino Linotype" w:hAnsi="Palatino Linotype"/>
          <w:sz w:val="24"/>
          <w:szCs w:val="24"/>
        </w:rPr>
        <w:t>octubre</w:t>
      </w:r>
      <w:r w:rsidR="00354999" w:rsidRPr="00F536FA">
        <w:rPr>
          <w:rFonts w:ascii="Palatino Linotype" w:hAnsi="Palatino Linotype"/>
          <w:sz w:val="24"/>
          <w:szCs w:val="24"/>
        </w:rPr>
        <w:t xml:space="preserve"> de </w:t>
      </w:r>
      <w:r w:rsidR="00D33F9D" w:rsidRPr="00F536FA">
        <w:rPr>
          <w:rFonts w:ascii="Palatino Linotype" w:hAnsi="Palatino Linotype"/>
          <w:sz w:val="24"/>
          <w:szCs w:val="24"/>
        </w:rPr>
        <w:t>dos mil veinte</w:t>
      </w:r>
      <w:r w:rsidR="009137FE" w:rsidRPr="00F536FA">
        <w:rPr>
          <w:rFonts w:ascii="Palatino Linotype" w:hAnsi="Palatino Linotype"/>
          <w:sz w:val="24"/>
          <w:szCs w:val="24"/>
        </w:rPr>
        <w:t xml:space="preserve">, </w:t>
      </w:r>
      <w:r w:rsidR="00354999" w:rsidRPr="00F536FA">
        <w:rPr>
          <w:rFonts w:ascii="Palatino Linotype" w:hAnsi="Palatino Linotype" w:cs="Arial"/>
          <w:sz w:val="24"/>
          <w:szCs w:val="24"/>
        </w:rPr>
        <w:t>por lo que ordenó turnar el expediente a resolución</w:t>
      </w:r>
      <w:r w:rsidR="00ED52D5" w:rsidRPr="00F536FA">
        <w:rPr>
          <w:rFonts w:ascii="Palatino Linotype" w:hAnsi="Palatino Linotype" w:cs="Arial"/>
          <w:sz w:val="24"/>
          <w:szCs w:val="24"/>
        </w:rPr>
        <w:t>; posteriormente, el veintiuno (21) de octubre de la presente anualidad, se notificó que el plazo de treinta (30) días hábiles para emitir resolución sería ampliado por un plazo de quince (15) días hábiles adicionales,</w:t>
      </w:r>
      <w:r w:rsidR="00354999" w:rsidRPr="00F536FA">
        <w:rPr>
          <w:rFonts w:ascii="Palatino Linotype" w:hAnsi="Palatino Linotype" w:cs="Arial"/>
          <w:sz w:val="24"/>
          <w:szCs w:val="24"/>
        </w:rPr>
        <w:t xml:space="preserve"> misma que ahora se pronuncia; y </w:t>
      </w:r>
      <w:r w:rsidR="00ED52D5" w:rsidRPr="00F536FA">
        <w:rPr>
          <w:rFonts w:ascii="Palatino Linotype" w:hAnsi="Palatino Linotype" w:cs="Arial"/>
          <w:sz w:val="24"/>
          <w:szCs w:val="24"/>
        </w:rPr>
        <w:t>–-------------------------------------------------------------------------------------------</w:t>
      </w:r>
    </w:p>
    <w:p w14:paraId="4C487EC7" w14:textId="4926C628" w:rsidR="00ED52D5" w:rsidRPr="00F536FA" w:rsidRDefault="00ED52D5" w:rsidP="00ED52D5">
      <w:pPr>
        <w:pStyle w:val="Prrafodelista"/>
        <w:tabs>
          <w:tab w:val="left" w:pos="426"/>
        </w:tabs>
        <w:spacing w:after="0" w:line="360" w:lineRule="auto"/>
        <w:ind w:left="0"/>
        <w:jc w:val="both"/>
        <w:rPr>
          <w:rFonts w:ascii="Palatino Linotype" w:hAnsi="Palatino Linotype"/>
          <w:sz w:val="24"/>
          <w:szCs w:val="24"/>
        </w:rPr>
      </w:pPr>
      <w:r w:rsidRPr="00F536FA">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14:anchorId="6F8CDA73" wp14:editId="317788AB">
                <wp:simplePos x="0" y="0"/>
                <wp:positionH relativeFrom="margin">
                  <wp:align>right</wp:align>
                </wp:positionH>
                <wp:positionV relativeFrom="paragraph">
                  <wp:posOffset>8889</wp:posOffset>
                </wp:positionV>
                <wp:extent cx="5553075" cy="1381125"/>
                <wp:effectExtent l="0" t="0" r="28575" b="28575"/>
                <wp:wrapNone/>
                <wp:docPr id="1" name="Conector recto 1"/>
                <wp:cNvGraphicFramePr/>
                <a:graphic xmlns:a="http://schemas.openxmlformats.org/drawingml/2006/main">
                  <a:graphicData uri="http://schemas.microsoft.com/office/word/2010/wordprocessingShape">
                    <wps:wsp>
                      <wps:cNvCnPr/>
                      <wps:spPr>
                        <a:xfrm flipV="1">
                          <a:off x="0" y="0"/>
                          <a:ext cx="5553075"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BFBBF27" id="Conector recto 1"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7pt" to="823.3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" strokecolor="black [3200]" strokeweight=".5pt">
                <v:stroke joinstyle="miter"/>
                <w10:wrap anchorx="margin"/>
              </v:line>
            </w:pict>
          </mc:Fallback>
        </mc:AlternateContent>
      </w:r>
    </w:p>
    <w:p w14:paraId="12D17923" w14:textId="77777777" w:rsidR="00ED52D5" w:rsidRPr="00F536FA" w:rsidRDefault="00ED52D5" w:rsidP="00ED52D5">
      <w:pPr>
        <w:pStyle w:val="Prrafodelista"/>
        <w:tabs>
          <w:tab w:val="left" w:pos="426"/>
        </w:tabs>
        <w:spacing w:after="0" w:line="360" w:lineRule="auto"/>
        <w:ind w:left="0"/>
        <w:jc w:val="both"/>
        <w:rPr>
          <w:rFonts w:ascii="Palatino Linotype" w:hAnsi="Palatino Linotype"/>
          <w:sz w:val="24"/>
          <w:szCs w:val="24"/>
        </w:rPr>
      </w:pPr>
    </w:p>
    <w:p w14:paraId="694472AB" w14:textId="77777777" w:rsidR="00AE7843" w:rsidRPr="00F536FA" w:rsidRDefault="00AE7843" w:rsidP="00874659">
      <w:pPr>
        <w:pStyle w:val="Prrafodelista"/>
        <w:spacing w:after="0" w:line="360" w:lineRule="auto"/>
        <w:ind w:left="0"/>
        <w:jc w:val="both"/>
        <w:rPr>
          <w:rFonts w:ascii="Palatino Linotype" w:hAnsi="Palatino Linotype"/>
          <w:sz w:val="24"/>
          <w:szCs w:val="24"/>
        </w:rPr>
      </w:pPr>
    </w:p>
    <w:p w14:paraId="5E8E6E9E" w14:textId="3742DA5E" w:rsidR="00874659" w:rsidRPr="00F536FA" w:rsidRDefault="00792776" w:rsidP="00874659">
      <w:pPr>
        <w:keepNext/>
        <w:keepLines/>
        <w:spacing w:after="0" w:line="360" w:lineRule="auto"/>
        <w:jc w:val="center"/>
        <w:outlineLvl w:val="0"/>
        <w:rPr>
          <w:rFonts w:ascii="Palatino Linotype" w:eastAsia="MS Gothic" w:hAnsi="Palatino Linotype" w:cs="Times New Roman"/>
          <w:b/>
          <w:sz w:val="24"/>
          <w:szCs w:val="24"/>
        </w:rPr>
      </w:pPr>
      <w:bookmarkStart w:id="2" w:name="_Toc54316027"/>
      <w:r w:rsidRPr="00F536FA">
        <w:rPr>
          <w:rFonts w:ascii="Palatino Linotype" w:eastAsia="MS Gothic" w:hAnsi="Palatino Linotype" w:cs="Times New Roman"/>
          <w:b/>
          <w:sz w:val="24"/>
          <w:szCs w:val="24"/>
        </w:rPr>
        <w:lastRenderedPageBreak/>
        <w:t>CONSIDERANDO</w:t>
      </w:r>
      <w:bookmarkEnd w:id="2"/>
    </w:p>
    <w:p w14:paraId="0AF85B8C" w14:textId="74DCC041" w:rsidR="00874659" w:rsidRPr="00F536FA" w:rsidRDefault="00874659" w:rsidP="00874659">
      <w:pPr>
        <w:spacing w:after="0" w:line="360" w:lineRule="auto"/>
        <w:contextualSpacing/>
        <w:jc w:val="both"/>
        <w:rPr>
          <w:rFonts w:ascii="Palatino Linotype" w:eastAsia="Calibri" w:hAnsi="Palatino Linotype" w:cs="Times New Roman"/>
          <w:sz w:val="24"/>
          <w:szCs w:val="24"/>
          <w:lang w:val="es-ES" w:eastAsia="es-ES"/>
        </w:rPr>
      </w:pPr>
    </w:p>
    <w:p w14:paraId="1BAF830A" w14:textId="77777777" w:rsidR="00874659" w:rsidRPr="00F536FA" w:rsidRDefault="00874659" w:rsidP="00874659">
      <w:pPr>
        <w:keepNext/>
        <w:keepLines/>
        <w:spacing w:after="0" w:line="360" w:lineRule="auto"/>
        <w:outlineLvl w:val="0"/>
        <w:rPr>
          <w:rFonts w:ascii="Palatino Linotype" w:eastAsia="MS Gothic" w:hAnsi="Palatino Linotype" w:cs="Times New Roman"/>
          <w:b/>
          <w:sz w:val="24"/>
          <w:szCs w:val="26"/>
        </w:rPr>
      </w:pPr>
      <w:bookmarkStart w:id="3" w:name="_Toc54316028"/>
      <w:r w:rsidRPr="00F536FA">
        <w:rPr>
          <w:rFonts w:ascii="Palatino Linotype" w:eastAsia="MS Mincho" w:hAnsi="Palatino Linotype" w:cstheme="majorBidi"/>
          <w:b/>
          <w:sz w:val="24"/>
          <w:szCs w:val="24"/>
          <w:lang w:val="es-ES_tradnl" w:eastAsia="es-ES"/>
        </w:rPr>
        <w:t>PRIMERO</w:t>
      </w:r>
      <w:r w:rsidRPr="00F536FA">
        <w:rPr>
          <w:rFonts w:ascii="Palatino Linotype" w:eastAsia="MS Gothic" w:hAnsi="Palatino Linotype" w:cs="Times New Roman"/>
          <w:b/>
          <w:sz w:val="24"/>
          <w:szCs w:val="26"/>
        </w:rPr>
        <w:t>. De la competencia.</w:t>
      </w:r>
      <w:bookmarkEnd w:id="3"/>
    </w:p>
    <w:p w14:paraId="28ED360F" w14:textId="77777777" w:rsidR="00874659" w:rsidRPr="00F536FA" w:rsidRDefault="00874659" w:rsidP="00874659">
      <w:pPr>
        <w:spacing w:after="0" w:line="360" w:lineRule="auto"/>
        <w:contextualSpacing/>
        <w:jc w:val="both"/>
        <w:rPr>
          <w:rFonts w:ascii="Palatino Linotype" w:eastAsia="MS Mincho" w:hAnsi="Palatino Linotype" w:cs="Times New Roman"/>
          <w:sz w:val="24"/>
          <w:szCs w:val="24"/>
          <w:lang w:val="es-ES_tradnl" w:eastAsia="es-ES"/>
        </w:rPr>
      </w:pPr>
    </w:p>
    <w:p w14:paraId="1E58AFAA" w14:textId="581409FA" w:rsidR="00DB164E" w:rsidRPr="00F536FA" w:rsidRDefault="00874659" w:rsidP="004B2A2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536FA">
        <w:rPr>
          <w:rFonts w:ascii="Palatino Linotype" w:eastAsia="Calibri" w:hAnsi="Palatino Linotype" w:cs="Times New Roman"/>
          <w:sz w:val="24"/>
          <w:szCs w:val="24"/>
          <w:lang w:val="es-ES_tradnl" w:eastAsia="es-ES"/>
        </w:rPr>
        <w:t>Este</w:t>
      </w:r>
      <w:r w:rsidR="00792776" w:rsidRPr="00F536FA">
        <w:rPr>
          <w:rFonts w:ascii="Palatino Linotype" w:eastAsia="Calibri" w:hAnsi="Palatino Linotype" w:cs="Times New Roman"/>
          <w:sz w:val="24"/>
          <w:szCs w:val="24"/>
          <w:lang w:val="es-ES" w:eastAsia="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00792776" w:rsidRPr="00F536FA">
        <w:rPr>
          <w:rFonts w:ascii="Palatino Linotype" w:eastAsia="Calibri" w:hAnsi="Palatino Linotype" w:cs="Times New Roman"/>
          <w:b/>
          <w:sz w:val="24"/>
          <w:szCs w:val="24"/>
          <w:lang w:val="es-ES" w:eastAsia="es-ES"/>
        </w:rPr>
        <w:t>Constitución Política de los Estados Unidos Mexicanos</w:t>
      </w:r>
      <w:r w:rsidR="00792776" w:rsidRPr="00F536FA">
        <w:rPr>
          <w:rFonts w:ascii="Palatino Linotype" w:eastAsia="Calibri" w:hAnsi="Palatino Linotype" w:cs="Times New Roman"/>
          <w:sz w:val="24"/>
          <w:szCs w:val="24"/>
          <w:lang w:val="es-ES" w:eastAsia="es-ES"/>
        </w:rPr>
        <w:t xml:space="preserve">; </w:t>
      </w:r>
      <w:r w:rsidR="00792776" w:rsidRPr="00F536FA">
        <w:rPr>
          <w:rFonts w:ascii="Palatino Linotype" w:hAnsi="Palatino Linotype" w:cs="Arial"/>
          <w:bCs/>
          <w:color w:val="222222"/>
          <w:sz w:val="24"/>
          <w:szCs w:val="24"/>
          <w:shd w:val="clear" w:color="auto" w:fill="FFFFFF"/>
          <w:lang w:val="es-ES"/>
        </w:rPr>
        <w:t>5, párrafos </w:t>
      </w:r>
      <w:r w:rsidR="00792776" w:rsidRPr="00F536FA">
        <w:rPr>
          <w:rFonts w:ascii="Palatino Linotype" w:hAnsi="Palatino Linotype" w:cs="Arial"/>
          <w:bCs/>
          <w:color w:val="222222"/>
          <w:sz w:val="24"/>
          <w:szCs w:val="24"/>
          <w:lang w:val="es-ES"/>
        </w:rPr>
        <w:t>vigésimo</w:t>
      </w:r>
      <w:r w:rsidR="00C82469" w:rsidRPr="00F536FA">
        <w:rPr>
          <w:rFonts w:ascii="Palatino Linotype" w:hAnsi="Palatino Linotype" w:cs="Arial"/>
          <w:bCs/>
          <w:color w:val="222222"/>
          <w:sz w:val="24"/>
          <w:szCs w:val="24"/>
          <w:lang w:val="es-ES"/>
        </w:rPr>
        <w:t xml:space="preserve"> segundo</w:t>
      </w:r>
      <w:r w:rsidR="00792776" w:rsidRPr="00F536FA">
        <w:rPr>
          <w:rFonts w:ascii="Palatino Linotype" w:hAnsi="Palatino Linotype" w:cs="Arial"/>
          <w:bCs/>
          <w:color w:val="222222"/>
          <w:sz w:val="24"/>
          <w:szCs w:val="24"/>
          <w:lang w:val="es-ES"/>
        </w:rPr>
        <w:t xml:space="preserve">, vigésimo </w:t>
      </w:r>
      <w:r w:rsidR="00C82469" w:rsidRPr="00F536FA">
        <w:rPr>
          <w:rFonts w:ascii="Palatino Linotype" w:hAnsi="Palatino Linotype" w:cs="Arial"/>
          <w:bCs/>
          <w:color w:val="222222"/>
          <w:sz w:val="24"/>
          <w:szCs w:val="24"/>
          <w:lang w:val="es-ES"/>
        </w:rPr>
        <w:t>tercero</w:t>
      </w:r>
      <w:r w:rsidR="00792776" w:rsidRPr="00F536FA">
        <w:rPr>
          <w:rFonts w:ascii="Palatino Linotype" w:hAnsi="Palatino Linotype" w:cs="Arial"/>
          <w:bCs/>
          <w:color w:val="222222"/>
          <w:sz w:val="24"/>
          <w:szCs w:val="24"/>
          <w:lang w:val="es-ES"/>
        </w:rPr>
        <w:t xml:space="preserve"> y vigésimo </w:t>
      </w:r>
      <w:r w:rsidR="00C82469" w:rsidRPr="00F536FA">
        <w:rPr>
          <w:rFonts w:ascii="Palatino Linotype" w:hAnsi="Palatino Linotype" w:cs="Arial"/>
          <w:bCs/>
          <w:color w:val="222222"/>
          <w:sz w:val="24"/>
          <w:szCs w:val="24"/>
          <w:lang w:val="es-ES"/>
        </w:rPr>
        <w:t>cuarto</w:t>
      </w:r>
      <w:r w:rsidRPr="00F536FA">
        <w:rPr>
          <w:rFonts w:ascii="Palatino Linotype" w:hAnsi="Palatino Linotype" w:cs="Arial"/>
          <w:bCs/>
          <w:color w:val="222222"/>
          <w:sz w:val="24"/>
          <w:szCs w:val="24"/>
          <w:lang w:val="es-ES"/>
        </w:rPr>
        <w:t xml:space="preserve"> </w:t>
      </w:r>
      <w:r w:rsidR="00792776" w:rsidRPr="00F536FA">
        <w:rPr>
          <w:rFonts w:ascii="Palatino Linotype" w:hAnsi="Palatino Linotype" w:cs="Arial"/>
          <w:bCs/>
          <w:color w:val="222222"/>
          <w:sz w:val="24"/>
          <w:szCs w:val="24"/>
          <w:shd w:val="clear" w:color="auto" w:fill="FFFFFF"/>
          <w:lang w:val="es-ES"/>
        </w:rPr>
        <w:t>fracciones IV y V </w:t>
      </w:r>
      <w:r w:rsidR="00792776" w:rsidRPr="00F536FA">
        <w:rPr>
          <w:rFonts w:ascii="Palatino Linotype" w:eastAsia="Calibri" w:hAnsi="Palatino Linotype" w:cs="Times New Roman"/>
          <w:sz w:val="24"/>
          <w:szCs w:val="24"/>
          <w:lang w:val="es-ES" w:eastAsia="es-ES"/>
        </w:rPr>
        <w:t xml:space="preserve">de la </w:t>
      </w:r>
      <w:r w:rsidR="00792776" w:rsidRPr="00F536FA">
        <w:rPr>
          <w:rFonts w:ascii="Palatino Linotype" w:eastAsia="Calibri" w:hAnsi="Palatino Linotype" w:cs="Times New Roman"/>
          <w:b/>
          <w:sz w:val="24"/>
          <w:szCs w:val="24"/>
          <w:lang w:val="es-ES" w:eastAsia="es-ES"/>
        </w:rPr>
        <w:t>Constitución Política del Estado Libre y Soberano de México</w:t>
      </w:r>
      <w:r w:rsidR="00792776" w:rsidRPr="00F536F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00792776" w:rsidRPr="00F536FA">
        <w:rPr>
          <w:rFonts w:ascii="Palatino Linotype" w:eastAsia="Calibri" w:hAnsi="Palatino Linotype" w:cs="Arial"/>
          <w:sz w:val="24"/>
          <w:szCs w:val="24"/>
          <w:lang w:val="es-ES" w:eastAsia="es-ES"/>
        </w:rPr>
        <w:t xml:space="preserve">de la </w:t>
      </w:r>
      <w:r w:rsidR="00792776" w:rsidRPr="00F536FA">
        <w:rPr>
          <w:rFonts w:ascii="Palatino Linotype" w:eastAsia="Calibri" w:hAnsi="Palatino Linotype" w:cs="Arial"/>
          <w:b/>
          <w:sz w:val="24"/>
          <w:szCs w:val="24"/>
          <w:lang w:val="es-ES" w:eastAsia="es-ES"/>
        </w:rPr>
        <w:t>Ley de Transparencia y Acceso a la Información Pública del Estado de México y Municipios</w:t>
      </w:r>
      <w:r w:rsidR="00792776" w:rsidRPr="00F536FA">
        <w:rPr>
          <w:rFonts w:ascii="Palatino Linotype" w:eastAsia="Calibri" w:hAnsi="Palatino Linotype" w:cs="Arial"/>
          <w:sz w:val="24"/>
          <w:szCs w:val="24"/>
          <w:lang w:val="es-ES" w:eastAsia="es-ES"/>
        </w:rPr>
        <w:t xml:space="preserve">; </w:t>
      </w:r>
      <w:r w:rsidR="00792776" w:rsidRPr="00F536FA">
        <w:rPr>
          <w:rFonts w:ascii="Palatino Linotype" w:eastAsia="Calibri" w:hAnsi="Palatino Linotype" w:cs="Arial"/>
          <w:b/>
          <w:sz w:val="24"/>
          <w:szCs w:val="24"/>
          <w:lang w:val="es-ES" w:eastAsia="es-ES"/>
        </w:rPr>
        <w:t>7, 9 fracciones I y XXIV, y 11</w:t>
      </w:r>
      <w:r w:rsidR="00792776" w:rsidRPr="00F536FA">
        <w:rPr>
          <w:rFonts w:ascii="Palatino Linotype" w:eastAsia="Calibri" w:hAnsi="Palatino Linotype" w:cs="Arial"/>
          <w:sz w:val="24"/>
          <w:szCs w:val="24"/>
          <w:lang w:val="es-ES" w:eastAsia="es-ES"/>
        </w:rPr>
        <w:t xml:space="preserve"> del </w:t>
      </w:r>
      <w:r w:rsidR="00792776" w:rsidRPr="00F536F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00792776" w:rsidRPr="00F536FA">
        <w:rPr>
          <w:rFonts w:ascii="Palatino Linotype" w:eastAsia="MS Mincho" w:hAnsi="Palatino Linotype" w:cs="Times New Roman"/>
          <w:sz w:val="24"/>
          <w:szCs w:val="24"/>
          <w:lang w:val="es-ES_tradnl" w:eastAsia="es-ES"/>
        </w:rPr>
        <w:t>.</w:t>
      </w:r>
    </w:p>
    <w:p w14:paraId="4B57CE65" w14:textId="77777777" w:rsidR="00CC02A3" w:rsidRPr="00F536FA" w:rsidRDefault="00CC02A3" w:rsidP="00CC02A3">
      <w:pPr>
        <w:spacing w:after="0" w:line="360" w:lineRule="auto"/>
        <w:contextualSpacing/>
        <w:jc w:val="both"/>
        <w:rPr>
          <w:rFonts w:ascii="Palatino Linotype" w:eastAsia="MS Mincho" w:hAnsi="Palatino Linotype" w:cs="Times New Roman"/>
          <w:sz w:val="24"/>
          <w:szCs w:val="24"/>
          <w:lang w:val="es-ES_tradnl" w:eastAsia="es-ES"/>
        </w:rPr>
      </w:pPr>
    </w:p>
    <w:p w14:paraId="0295D708" w14:textId="77777777" w:rsidR="00792776" w:rsidRPr="00F536FA" w:rsidRDefault="00792776" w:rsidP="004B2A20">
      <w:pPr>
        <w:keepNext/>
        <w:keepLines/>
        <w:spacing w:after="0" w:line="360" w:lineRule="auto"/>
        <w:outlineLvl w:val="0"/>
        <w:rPr>
          <w:rFonts w:ascii="Palatino Linotype" w:eastAsia="MS Gothic" w:hAnsi="Palatino Linotype" w:cs="Times New Roman"/>
          <w:b/>
          <w:sz w:val="24"/>
          <w:szCs w:val="26"/>
        </w:rPr>
      </w:pPr>
      <w:bookmarkStart w:id="4" w:name="_Toc54316029"/>
      <w:r w:rsidRPr="00F536FA">
        <w:rPr>
          <w:rFonts w:ascii="Palatino Linotype" w:eastAsia="MS Mincho" w:hAnsi="Palatino Linotype" w:cstheme="majorBidi"/>
          <w:b/>
          <w:sz w:val="24"/>
          <w:szCs w:val="24"/>
          <w:lang w:val="es-ES_tradnl" w:eastAsia="es-ES"/>
        </w:rPr>
        <w:t>SEGUNDO</w:t>
      </w:r>
      <w:r w:rsidRPr="00F536FA">
        <w:rPr>
          <w:rFonts w:ascii="Palatino Linotype" w:eastAsia="MS Gothic" w:hAnsi="Palatino Linotype" w:cs="Times New Roman"/>
          <w:b/>
          <w:sz w:val="24"/>
          <w:szCs w:val="26"/>
        </w:rPr>
        <w:t>.</w:t>
      </w:r>
      <w:r w:rsidR="0004167E" w:rsidRPr="00F536FA">
        <w:rPr>
          <w:rFonts w:ascii="Palatino Linotype" w:eastAsia="MS Gothic" w:hAnsi="Palatino Linotype" w:cs="Times New Roman"/>
          <w:b/>
          <w:sz w:val="24"/>
          <w:szCs w:val="26"/>
        </w:rPr>
        <w:t xml:space="preserve"> De la oportunidad y </w:t>
      </w:r>
      <w:proofErr w:type="spellStart"/>
      <w:r w:rsidR="0004167E" w:rsidRPr="00F536FA">
        <w:rPr>
          <w:rFonts w:ascii="Palatino Linotype" w:eastAsia="MS Gothic" w:hAnsi="Palatino Linotype" w:cs="Times New Roman"/>
          <w:b/>
          <w:sz w:val="24"/>
          <w:szCs w:val="26"/>
        </w:rPr>
        <w:t>procedibilidad</w:t>
      </w:r>
      <w:proofErr w:type="spellEnd"/>
      <w:r w:rsidR="0004167E" w:rsidRPr="00F536FA">
        <w:rPr>
          <w:rFonts w:ascii="Palatino Linotype" w:eastAsia="MS Gothic" w:hAnsi="Palatino Linotype" w:cs="Times New Roman"/>
          <w:b/>
          <w:sz w:val="24"/>
          <w:szCs w:val="26"/>
        </w:rPr>
        <w:t xml:space="preserve"> del recurso de revisión</w:t>
      </w:r>
      <w:r w:rsidRPr="00F536FA">
        <w:rPr>
          <w:rFonts w:ascii="Palatino Linotype" w:eastAsia="MS Gothic" w:hAnsi="Palatino Linotype" w:cs="Times New Roman"/>
          <w:b/>
          <w:sz w:val="24"/>
          <w:szCs w:val="26"/>
        </w:rPr>
        <w:t>.</w:t>
      </w:r>
      <w:bookmarkEnd w:id="4"/>
    </w:p>
    <w:p w14:paraId="4966F551" w14:textId="77777777" w:rsidR="00792776" w:rsidRPr="00F536FA" w:rsidRDefault="00792776" w:rsidP="004B2A20">
      <w:pPr>
        <w:spacing w:after="0" w:line="360" w:lineRule="auto"/>
        <w:ind w:left="720"/>
        <w:contextualSpacing/>
        <w:rPr>
          <w:rFonts w:ascii="Palatino Linotype" w:eastAsia="Calibri" w:hAnsi="Palatino Linotype" w:cs="Arial"/>
          <w:sz w:val="24"/>
          <w:szCs w:val="24"/>
          <w:lang w:val="es-ES_tradnl" w:eastAsia="es-ES"/>
        </w:rPr>
      </w:pPr>
    </w:p>
    <w:p w14:paraId="24D0B5F3" w14:textId="18DEE378" w:rsidR="00ED15B4" w:rsidRPr="00F536FA" w:rsidRDefault="005E7BEE"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F536FA">
        <w:rPr>
          <w:rFonts w:ascii="Palatino Linotype" w:eastAsia="Calibri" w:hAnsi="Palatino Linotype" w:cs="Arial"/>
          <w:sz w:val="24"/>
          <w:szCs w:val="24"/>
          <w:lang w:val="es-ES_tradnl" w:eastAsia="es-ES"/>
        </w:rPr>
        <w:t xml:space="preserve">El </w:t>
      </w:r>
      <w:r w:rsidR="00A96DE8" w:rsidRPr="00F536FA">
        <w:rPr>
          <w:rFonts w:ascii="Palatino Linotype" w:eastAsia="Calibri" w:hAnsi="Palatino Linotype" w:cs="Arial"/>
          <w:sz w:val="24"/>
          <w:szCs w:val="24"/>
          <w:lang w:val="es-ES_tradnl" w:eastAsia="es-ES"/>
        </w:rPr>
        <w:t xml:space="preserve">medio de impugnación fue presentado a través del </w:t>
      </w:r>
      <w:r w:rsidR="00A96DE8" w:rsidRPr="00F536FA">
        <w:rPr>
          <w:rFonts w:ascii="Palatino Linotype" w:eastAsia="Calibri" w:hAnsi="Palatino Linotype" w:cs="Arial"/>
          <w:b/>
          <w:i/>
          <w:sz w:val="24"/>
          <w:szCs w:val="24"/>
          <w:lang w:val="es-ES_tradnl" w:eastAsia="es-ES"/>
        </w:rPr>
        <w:t>SAIMEX</w:t>
      </w:r>
      <w:r w:rsidR="00A96DE8" w:rsidRPr="00F536FA">
        <w:rPr>
          <w:rFonts w:ascii="Palatino Linotype" w:eastAsia="Calibri" w:hAnsi="Palatino Linotype" w:cs="Arial"/>
          <w:b/>
          <w:sz w:val="24"/>
          <w:szCs w:val="24"/>
          <w:lang w:val="es-ES_tradnl" w:eastAsia="es-ES"/>
        </w:rPr>
        <w:t>,</w:t>
      </w:r>
      <w:r w:rsidR="00A96DE8" w:rsidRPr="00F536FA">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00A96DE8" w:rsidRPr="00F536FA">
        <w:rPr>
          <w:rFonts w:ascii="Palatino Linotype" w:eastAsia="Calibri" w:hAnsi="Palatino Linotype" w:cs="Arial"/>
          <w:b/>
          <w:sz w:val="24"/>
          <w:szCs w:val="24"/>
          <w:lang w:val="es-ES_tradnl" w:eastAsia="es-ES"/>
        </w:rPr>
        <w:t>SUJETO OBLIGADO</w:t>
      </w:r>
      <w:r w:rsidR="00A96DE8" w:rsidRPr="00F536FA">
        <w:rPr>
          <w:rFonts w:ascii="Palatino Linotype" w:eastAsia="Calibri" w:hAnsi="Palatino Linotype" w:cs="Arial"/>
          <w:sz w:val="24"/>
          <w:szCs w:val="24"/>
          <w:lang w:val="es-ES_tradnl" w:eastAsia="es-ES"/>
        </w:rPr>
        <w:t xml:space="preserve"> entregó respuesta el </w:t>
      </w:r>
      <w:r w:rsidR="00ED52D5" w:rsidRPr="00F536FA">
        <w:rPr>
          <w:rFonts w:ascii="Palatino Linotype" w:eastAsia="Calibri" w:hAnsi="Palatino Linotype" w:cs="Arial"/>
          <w:sz w:val="24"/>
          <w:szCs w:val="24"/>
          <w:lang w:val="es-ES_tradnl" w:eastAsia="es-ES"/>
        </w:rPr>
        <w:t>treinta y uno</w:t>
      </w:r>
      <w:r w:rsidR="00A96DE8" w:rsidRPr="00F536FA">
        <w:rPr>
          <w:rFonts w:ascii="Palatino Linotype" w:eastAsia="Calibri" w:hAnsi="Palatino Linotype" w:cs="Arial"/>
          <w:sz w:val="24"/>
          <w:szCs w:val="24"/>
          <w:lang w:val="es-ES_tradnl" w:eastAsia="es-ES"/>
        </w:rPr>
        <w:t xml:space="preserve"> (</w:t>
      </w:r>
      <w:r w:rsidR="00ED52D5" w:rsidRPr="00F536FA">
        <w:rPr>
          <w:rFonts w:ascii="Palatino Linotype" w:eastAsia="Calibri" w:hAnsi="Palatino Linotype" w:cs="Arial"/>
          <w:sz w:val="24"/>
          <w:szCs w:val="24"/>
          <w:lang w:val="es-ES_tradnl" w:eastAsia="es-ES"/>
        </w:rPr>
        <w:t>3</w:t>
      </w:r>
      <w:r w:rsidR="00AE7843" w:rsidRPr="00F536FA">
        <w:rPr>
          <w:rFonts w:ascii="Palatino Linotype" w:eastAsia="Calibri" w:hAnsi="Palatino Linotype" w:cs="Arial"/>
          <w:sz w:val="24"/>
          <w:szCs w:val="24"/>
          <w:lang w:val="es-ES_tradnl" w:eastAsia="es-ES"/>
        </w:rPr>
        <w:t>1</w:t>
      </w:r>
      <w:r w:rsidR="00A96DE8" w:rsidRPr="00F536FA">
        <w:rPr>
          <w:rFonts w:ascii="Palatino Linotype" w:eastAsia="Calibri" w:hAnsi="Palatino Linotype" w:cs="Arial"/>
          <w:sz w:val="24"/>
          <w:szCs w:val="24"/>
          <w:lang w:val="es-ES_tradnl" w:eastAsia="es-ES"/>
        </w:rPr>
        <w:t xml:space="preserve">) de </w:t>
      </w:r>
      <w:r w:rsidR="00ED52D5" w:rsidRPr="00F536FA">
        <w:rPr>
          <w:rFonts w:ascii="Palatino Linotype" w:eastAsia="Calibri" w:hAnsi="Palatino Linotype" w:cs="Arial"/>
          <w:sz w:val="24"/>
          <w:szCs w:val="24"/>
          <w:lang w:val="es-ES_tradnl" w:eastAsia="es-ES"/>
        </w:rPr>
        <w:t>agosto</w:t>
      </w:r>
      <w:r w:rsidR="00A96DE8" w:rsidRPr="00F536FA">
        <w:rPr>
          <w:rFonts w:ascii="Palatino Linotype" w:eastAsia="Calibri" w:hAnsi="Palatino Linotype" w:cs="Arial"/>
          <w:sz w:val="24"/>
          <w:szCs w:val="24"/>
          <w:lang w:val="es-ES_tradnl" w:eastAsia="es-ES"/>
        </w:rPr>
        <w:t xml:space="preserve"> de dos mil </w:t>
      </w:r>
      <w:r w:rsidR="00A96DE8" w:rsidRPr="00F536FA">
        <w:rPr>
          <w:rFonts w:ascii="Palatino Linotype" w:eastAsia="Calibri" w:hAnsi="Palatino Linotype" w:cs="Arial"/>
          <w:sz w:val="24"/>
          <w:szCs w:val="24"/>
          <w:lang w:val="es-ES" w:eastAsia="es-ES"/>
        </w:rPr>
        <w:t>veinte</w:t>
      </w:r>
      <w:r w:rsidR="00A96DE8" w:rsidRPr="00F536FA">
        <w:rPr>
          <w:rFonts w:ascii="Palatino Linotype" w:eastAsia="Calibri" w:hAnsi="Palatino Linotype" w:cs="Arial"/>
          <w:sz w:val="24"/>
          <w:szCs w:val="24"/>
          <w:lang w:val="es-ES_tradnl" w:eastAsia="es-ES"/>
        </w:rPr>
        <w:t xml:space="preserve">, de tal forma que el plazo para interponer el recurso de revisión transcurrió del </w:t>
      </w:r>
      <w:r w:rsidR="00ED52D5" w:rsidRPr="00F536FA">
        <w:rPr>
          <w:rFonts w:ascii="Palatino Linotype" w:eastAsia="Calibri" w:hAnsi="Palatino Linotype" w:cs="Arial"/>
          <w:sz w:val="24"/>
          <w:szCs w:val="24"/>
          <w:lang w:val="es-ES_tradnl" w:eastAsia="es-ES"/>
        </w:rPr>
        <w:t>uno</w:t>
      </w:r>
      <w:r w:rsidR="00A96DE8" w:rsidRPr="00F536FA">
        <w:rPr>
          <w:rFonts w:ascii="Palatino Linotype" w:eastAsia="Calibri" w:hAnsi="Palatino Linotype" w:cs="Arial"/>
          <w:sz w:val="24"/>
          <w:szCs w:val="24"/>
          <w:lang w:val="es-ES_tradnl" w:eastAsia="es-ES"/>
        </w:rPr>
        <w:t xml:space="preserve"> (0</w:t>
      </w:r>
      <w:r w:rsidR="00ED52D5" w:rsidRPr="00F536FA">
        <w:rPr>
          <w:rFonts w:ascii="Palatino Linotype" w:eastAsia="Calibri" w:hAnsi="Palatino Linotype" w:cs="Arial"/>
          <w:sz w:val="24"/>
          <w:szCs w:val="24"/>
          <w:lang w:val="es-ES_tradnl" w:eastAsia="es-ES"/>
        </w:rPr>
        <w:t>1</w:t>
      </w:r>
      <w:r w:rsidR="00A96DE8" w:rsidRPr="00F536FA">
        <w:rPr>
          <w:rFonts w:ascii="Palatino Linotype" w:eastAsia="Calibri" w:hAnsi="Palatino Linotype" w:cs="Arial"/>
          <w:sz w:val="24"/>
          <w:szCs w:val="24"/>
          <w:lang w:val="es-ES_tradnl" w:eastAsia="es-ES"/>
        </w:rPr>
        <w:t xml:space="preserve">) al </w:t>
      </w:r>
      <w:r w:rsidR="00ED52D5" w:rsidRPr="00F536FA">
        <w:rPr>
          <w:rFonts w:ascii="Palatino Linotype" w:eastAsia="Calibri" w:hAnsi="Palatino Linotype" w:cs="Arial"/>
          <w:sz w:val="24"/>
          <w:szCs w:val="24"/>
          <w:lang w:val="es-ES_tradnl" w:eastAsia="es-ES"/>
        </w:rPr>
        <w:t>veintidós</w:t>
      </w:r>
      <w:r w:rsidR="00A96DE8" w:rsidRPr="00F536FA">
        <w:rPr>
          <w:rFonts w:ascii="Palatino Linotype" w:eastAsia="Calibri" w:hAnsi="Palatino Linotype" w:cs="Arial"/>
          <w:sz w:val="24"/>
          <w:szCs w:val="24"/>
          <w:lang w:val="es-ES_tradnl" w:eastAsia="es-ES"/>
        </w:rPr>
        <w:t xml:space="preserve"> (2</w:t>
      </w:r>
      <w:r w:rsidR="00ED52D5" w:rsidRPr="00F536FA">
        <w:rPr>
          <w:rFonts w:ascii="Palatino Linotype" w:eastAsia="Calibri" w:hAnsi="Palatino Linotype" w:cs="Arial"/>
          <w:sz w:val="24"/>
          <w:szCs w:val="24"/>
          <w:lang w:val="es-ES_tradnl" w:eastAsia="es-ES"/>
        </w:rPr>
        <w:t>2</w:t>
      </w:r>
      <w:r w:rsidR="00A96DE8" w:rsidRPr="00F536FA">
        <w:rPr>
          <w:rFonts w:ascii="Palatino Linotype" w:eastAsia="Calibri" w:hAnsi="Palatino Linotype" w:cs="Arial"/>
          <w:sz w:val="24"/>
          <w:szCs w:val="24"/>
          <w:lang w:val="es-ES_tradnl" w:eastAsia="es-ES"/>
        </w:rPr>
        <w:t xml:space="preserve">) de </w:t>
      </w:r>
      <w:r w:rsidR="00AE7843" w:rsidRPr="00F536FA">
        <w:rPr>
          <w:rFonts w:ascii="Palatino Linotype" w:eastAsia="Calibri" w:hAnsi="Palatino Linotype" w:cs="Arial"/>
          <w:sz w:val="24"/>
          <w:szCs w:val="24"/>
          <w:lang w:val="es-ES_tradnl" w:eastAsia="es-ES"/>
        </w:rPr>
        <w:t>septiembre</w:t>
      </w:r>
      <w:r w:rsidR="00A96DE8" w:rsidRPr="00F536FA">
        <w:rPr>
          <w:rFonts w:ascii="Palatino Linotype" w:eastAsia="Calibri" w:hAnsi="Palatino Linotype" w:cs="Arial"/>
          <w:sz w:val="24"/>
          <w:szCs w:val="24"/>
          <w:lang w:val="es-ES_tradnl" w:eastAsia="es-ES"/>
        </w:rPr>
        <w:t xml:space="preserve"> de dos mil veinte, sin contemplar en el cómputo los</w:t>
      </w:r>
      <w:r w:rsidR="00AE7843" w:rsidRPr="00F536FA">
        <w:rPr>
          <w:rFonts w:ascii="Palatino Linotype" w:eastAsia="Calibri" w:hAnsi="Palatino Linotype" w:cs="Arial"/>
          <w:sz w:val="24"/>
          <w:szCs w:val="24"/>
          <w:lang w:val="es-ES_tradnl" w:eastAsia="es-ES"/>
        </w:rPr>
        <w:t xml:space="preserve"> días cinco (05), seis (06), doce (12), </w:t>
      </w:r>
      <w:r w:rsidR="00AE7843" w:rsidRPr="00F536FA">
        <w:rPr>
          <w:rFonts w:ascii="Palatino Linotype" w:eastAsia="Calibri" w:hAnsi="Palatino Linotype" w:cs="Arial"/>
          <w:sz w:val="24"/>
          <w:szCs w:val="24"/>
          <w:lang w:val="es-ES_tradnl" w:eastAsia="es-ES"/>
        </w:rPr>
        <w:lastRenderedPageBreak/>
        <w:t>trece (13), dieciséis (16), diecinueve (19) y veinte (20) de septiembre por corresponder a</w:t>
      </w:r>
      <w:r w:rsidR="00A96DE8" w:rsidRPr="00F536FA">
        <w:rPr>
          <w:rFonts w:ascii="Palatino Linotype" w:eastAsia="Calibri" w:hAnsi="Palatino Linotype" w:cs="Arial"/>
          <w:sz w:val="24"/>
          <w:szCs w:val="24"/>
          <w:lang w:val="es-ES_tradnl" w:eastAsia="es-ES"/>
        </w:rPr>
        <w:t xml:space="preserve"> sábados, domingos e inhábiles, en términos del artículo 3 fracción X de la Ley de Transparencia y Acceso a la Información Pública del Estado de México y Municipios</w:t>
      </w:r>
      <w:r w:rsidR="00AE7843" w:rsidRPr="00F536FA">
        <w:rPr>
          <w:rFonts w:ascii="Palatino Linotype" w:eastAsia="Calibri" w:hAnsi="Palatino Linotype" w:cs="Arial"/>
          <w:sz w:val="24"/>
          <w:szCs w:val="24"/>
          <w:lang w:val="es-ES_tradnl" w:eastAsia="es-ES"/>
        </w:rPr>
        <w:t>.</w:t>
      </w:r>
    </w:p>
    <w:p w14:paraId="3F8E22DA" w14:textId="77777777" w:rsidR="00FE264D" w:rsidRPr="00F536FA"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7832023D" w14:textId="0F5B83B0" w:rsidR="00FE264D" w:rsidRPr="00F536FA" w:rsidRDefault="001E4B71"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F536FA">
        <w:rPr>
          <w:rFonts w:ascii="Palatino Linotype" w:eastAsiaTheme="minorEastAsia" w:hAnsi="Palatino Linotype" w:cs="Arial"/>
          <w:sz w:val="24"/>
          <w:szCs w:val="24"/>
          <w:lang w:val="es-ES_tradnl" w:eastAsia="es-ES"/>
        </w:rPr>
        <w:t xml:space="preserve">Luego entonces, si el presente recurso de revisión fue interpuesto el </w:t>
      </w:r>
      <w:r w:rsidR="00ED52D5" w:rsidRPr="00F536FA">
        <w:rPr>
          <w:rFonts w:ascii="Palatino Linotype" w:eastAsiaTheme="minorEastAsia" w:hAnsi="Palatino Linotype" w:cs="Arial"/>
          <w:sz w:val="24"/>
          <w:szCs w:val="24"/>
          <w:lang w:val="es-ES_tradnl" w:eastAsia="es-ES"/>
        </w:rPr>
        <w:t>siete</w:t>
      </w:r>
      <w:r w:rsidRPr="00F536FA">
        <w:rPr>
          <w:rFonts w:ascii="Palatino Linotype" w:eastAsiaTheme="minorEastAsia" w:hAnsi="Palatino Linotype" w:cs="Arial"/>
          <w:sz w:val="24"/>
          <w:szCs w:val="24"/>
          <w:lang w:val="es-ES_tradnl" w:eastAsia="es-ES"/>
        </w:rPr>
        <w:t xml:space="preserve"> (0</w:t>
      </w:r>
      <w:r w:rsidR="00ED52D5" w:rsidRPr="00F536FA">
        <w:rPr>
          <w:rFonts w:ascii="Palatino Linotype" w:eastAsiaTheme="minorEastAsia" w:hAnsi="Palatino Linotype" w:cs="Arial"/>
          <w:sz w:val="24"/>
          <w:szCs w:val="24"/>
          <w:lang w:val="es-ES_tradnl" w:eastAsia="es-ES"/>
        </w:rPr>
        <w:t>7</w:t>
      </w:r>
      <w:r w:rsidRPr="00F536FA">
        <w:rPr>
          <w:rFonts w:ascii="Palatino Linotype" w:eastAsiaTheme="minorEastAsia" w:hAnsi="Palatino Linotype" w:cs="Arial"/>
          <w:sz w:val="24"/>
          <w:szCs w:val="24"/>
          <w:lang w:val="es-ES_tradnl" w:eastAsia="es-ES"/>
        </w:rPr>
        <w:t xml:space="preserve">) de </w:t>
      </w:r>
      <w:r w:rsidR="00AE7843" w:rsidRPr="00F536FA">
        <w:rPr>
          <w:rFonts w:ascii="Palatino Linotype" w:eastAsiaTheme="minorEastAsia" w:hAnsi="Palatino Linotype" w:cs="Arial"/>
          <w:sz w:val="24"/>
          <w:szCs w:val="24"/>
          <w:lang w:val="es-ES_tradnl" w:eastAsia="es-ES"/>
        </w:rPr>
        <w:t>septiembre</w:t>
      </w:r>
      <w:r w:rsidRPr="00F536FA">
        <w:rPr>
          <w:rFonts w:ascii="Palatino Linotype" w:eastAsiaTheme="minorEastAsia" w:hAnsi="Palatino Linotype" w:cs="Arial"/>
          <w:sz w:val="24"/>
          <w:szCs w:val="24"/>
          <w:lang w:val="es-ES_tradnl" w:eastAsia="es-ES"/>
        </w:rPr>
        <w:t xml:space="preserve"> de dos mil veinte, éste se encuentra dentro de los márgenes temporales previstos en el artículo 178 de la Ley de Transparencia y Acceso a la Información Pública del Estado de México y Municipios</w:t>
      </w:r>
      <w:r w:rsidRPr="00F536FA">
        <w:rPr>
          <w:rFonts w:ascii="Palatino Linotype" w:eastAsiaTheme="minorEastAsia" w:hAnsi="Palatino Linotype" w:cs="Arial"/>
          <w:b/>
          <w:sz w:val="24"/>
          <w:szCs w:val="24"/>
          <w:lang w:val="es-ES_tradnl" w:eastAsia="es-ES"/>
        </w:rPr>
        <w:t xml:space="preserve"> </w:t>
      </w:r>
      <w:r w:rsidRPr="00F536FA">
        <w:rPr>
          <w:rFonts w:ascii="Palatino Linotype" w:eastAsiaTheme="minorEastAsia" w:hAnsi="Palatino Linotype" w:cs="Arial"/>
          <w:sz w:val="24"/>
          <w:szCs w:val="24"/>
          <w:lang w:val="es-ES_tradnl" w:eastAsia="es-ES"/>
        </w:rPr>
        <w:t>vigente.</w:t>
      </w:r>
    </w:p>
    <w:p w14:paraId="5BE9128D" w14:textId="77777777" w:rsidR="00A96DE8" w:rsidRPr="00F536FA" w:rsidRDefault="00A96DE8" w:rsidP="00A96DE8">
      <w:pPr>
        <w:spacing w:after="0" w:line="360" w:lineRule="auto"/>
        <w:ind w:right="49"/>
        <w:contextualSpacing/>
        <w:jc w:val="both"/>
        <w:rPr>
          <w:rFonts w:ascii="Palatino Linotype" w:eastAsiaTheme="minorEastAsia" w:hAnsi="Palatino Linotype"/>
          <w:sz w:val="24"/>
          <w:szCs w:val="24"/>
          <w:lang w:val="es-ES_tradnl" w:eastAsia="es-ES"/>
        </w:rPr>
      </w:pPr>
    </w:p>
    <w:p w14:paraId="2997041B" w14:textId="2A687C3C" w:rsidR="005E7BEE" w:rsidRPr="00F536FA" w:rsidRDefault="00874659"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F536FA">
        <w:rPr>
          <w:rFonts w:ascii="Palatino Linotype" w:eastAsia="Calibri" w:hAnsi="Palatino Linotype" w:cs="Arial"/>
          <w:sz w:val="24"/>
          <w:szCs w:val="24"/>
          <w:lang w:val="es-ES_tradnl" w:eastAsia="es-ES"/>
        </w:rPr>
        <w:t>Consecuencia de lo anterior</w:t>
      </w:r>
      <w:r w:rsidR="005E7BEE" w:rsidRPr="00F536FA">
        <w:rPr>
          <w:rFonts w:ascii="Palatino Linotype" w:eastAsia="Calibri" w:hAnsi="Palatino Linotype" w:cs="Arial"/>
          <w:sz w:val="24"/>
          <w:szCs w:val="24"/>
          <w:lang w:val="es-ES_tradnl" w:eastAsia="es-ES"/>
        </w:rPr>
        <w:t xml:space="preserve">, </w:t>
      </w:r>
      <w:r w:rsidR="00AE7843" w:rsidRPr="00F536FA">
        <w:rPr>
          <w:rFonts w:ascii="Palatino Linotype" w:eastAsia="Calibri" w:hAnsi="Palatino Linotype" w:cs="Arial"/>
          <w:sz w:val="24"/>
          <w:szCs w:val="24"/>
          <w:lang w:val="es-ES_tradnl" w:eastAsia="es-ES"/>
        </w:rPr>
        <w:t xml:space="preserve">esta Ponencia </w:t>
      </w:r>
      <w:proofErr w:type="spellStart"/>
      <w:r w:rsidR="00AE7843" w:rsidRPr="00F536FA">
        <w:rPr>
          <w:rFonts w:ascii="Palatino Linotype" w:eastAsia="Calibri" w:hAnsi="Palatino Linotype" w:cs="Arial"/>
          <w:sz w:val="24"/>
          <w:szCs w:val="24"/>
          <w:lang w:val="es-ES_tradnl" w:eastAsia="es-ES"/>
        </w:rPr>
        <w:t>Resolutora</w:t>
      </w:r>
      <w:proofErr w:type="spellEnd"/>
      <w:r w:rsidR="00AE7843" w:rsidRPr="00F536FA">
        <w:rPr>
          <w:rFonts w:ascii="Palatino Linotype" w:eastAsia="Calibri" w:hAnsi="Palatino Linotype" w:cs="Arial"/>
          <w:sz w:val="24"/>
          <w:szCs w:val="24"/>
          <w:lang w:val="es-ES_tradnl" w:eastAsia="es-ES"/>
        </w:rPr>
        <w:t xml:space="preserve"> advierte que </w:t>
      </w:r>
      <w:r w:rsidR="005E7BEE" w:rsidRPr="00F536FA">
        <w:rPr>
          <w:rFonts w:ascii="Palatino Linotype" w:eastAsia="Calibri" w:hAnsi="Palatino Linotype" w:cs="Arial"/>
          <w:sz w:val="24"/>
          <w:szCs w:val="24"/>
          <w:lang w:val="es-ES_tradnl" w:eastAsia="es-ES"/>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FC43BF" w14:textId="77777777" w:rsidR="0038737F" w:rsidRPr="00F536FA" w:rsidRDefault="0038737F" w:rsidP="004B2A20">
      <w:pPr>
        <w:spacing w:after="0" w:line="360" w:lineRule="auto"/>
        <w:ind w:right="49"/>
        <w:contextualSpacing/>
        <w:jc w:val="both"/>
        <w:rPr>
          <w:rFonts w:ascii="Palatino Linotype" w:eastAsiaTheme="minorEastAsia" w:hAnsi="Palatino Linotype"/>
          <w:sz w:val="24"/>
          <w:szCs w:val="24"/>
          <w:lang w:val="es-ES_tradnl" w:eastAsia="es-ES"/>
        </w:rPr>
      </w:pPr>
    </w:p>
    <w:p w14:paraId="0F82F862" w14:textId="77777777" w:rsidR="005377B9" w:rsidRPr="00F536FA" w:rsidRDefault="005377B9" w:rsidP="004B2A20">
      <w:pPr>
        <w:keepNext/>
        <w:keepLines/>
        <w:spacing w:after="0" w:line="360" w:lineRule="auto"/>
        <w:outlineLvl w:val="0"/>
        <w:rPr>
          <w:rFonts w:ascii="Palatino Linotype" w:eastAsia="MS Gothic" w:hAnsi="Palatino Linotype" w:cs="Times New Roman"/>
          <w:b/>
          <w:sz w:val="24"/>
          <w:szCs w:val="26"/>
        </w:rPr>
      </w:pPr>
      <w:bookmarkStart w:id="5" w:name="_Toc54316030"/>
      <w:r w:rsidRPr="00F536FA">
        <w:rPr>
          <w:rFonts w:ascii="Palatino Linotype" w:eastAsia="MS Mincho" w:hAnsi="Palatino Linotype" w:cstheme="majorBidi"/>
          <w:b/>
          <w:sz w:val="24"/>
          <w:szCs w:val="24"/>
          <w:lang w:val="es-ES_tradnl" w:eastAsia="es-ES"/>
        </w:rPr>
        <w:t xml:space="preserve">TERCERO. Planteamiento de la </w:t>
      </w:r>
      <w:r w:rsidRPr="00F536FA">
        <w:rPr>
          <w:rFonts w:ascii="Palatino Linotype" w:eastAsia="MS Mincho" w:hAnsi="Palatino Linotype" w:cstheme="majorBidi"/>
          <w:b/>
          <w:i/>
          <w:iCs/>
          <w:sz w:val="24"/>
          <w:szCs w:val="24"/>
          <w:lang w:val="es-ES_tradnl" w:eastAsia="es-ES"/>
        </w:rPr>
        <w:t>Litis</w:t>
      </w:r>
      <w:r w:rsidRPr="00F536FA">
        <w:rPr>
          <w:rFonts w:ascii="Palatino Linotype" w:eastAsia="MS Gothic" w:hAnsi="Palatino Linotype" w:cs="Times New Roman"/>
          <w:b/>
          <w:sz w:val="24"/>
          <w:szCs w:val="26"/>
        </w:rPr>
        <w:t>.</w:t>
      </w:r>
      <w:bookmarkEnd w:id="5"/>
    </w:p>
    <w:p w14:paraId="5902EA44" w14:textId="12AD2027" w:rsidR="00163316" w:rsidRPr="00F536FA" w:rsidRDefault="00163316" w:rsidP="00E7677C">
      <w:pPr>
        <w:tabs>
          <w:tab w:val="left" w:pos="142"/>
        </w:tabs>
        <w:spacing w:after="0" w:line="360" w:lineRule="auto"/>
        <w:ind w:right="49"/>
        <w:jc w:val="both"/>
        <w:rPr>
          <w:rFonts w:ascii="Palatino Linotype" w:eastAsia="MS Mincho" w:hAnsi="Palatino Linotype" w:cs="Times New Roman"/>
          <w:sz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14:paraId="39428C46" w14:textId="724D4998" w:rsidR="00F226A6" w:rsidRPr="00F536FA" w:rsidRDefault="00874659"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F536FA">
        <w:rPr>
          <w:rFonts w:ascii="Palatino Linotype" w:eastAsia="MS Mincho" w:hAnsi="Palatino Linotype" w:cs="Times New Roman"/>
          <w:sz w:val="24"/>
        </w:rPr>
        <w:t>E</w:t>
      </w:r>
      <w:r w:rsidR="00FE264D" w:rsidRPr="00F536FA">
        <w:rPr>
          <w:rFonts w:ascii="Palatino Linotype" w:eastAsia="MS Mincho" w:hAnsi="Palatino Linotype" w:cs="Times New Roman"/>
          <w:sz w:val="24"/>
        </w:rPr>
        <w:t>l</w:t>
      </w:r>
      <w:r w:rsidR="00163316" w:rsidRPr="00F536FA">
        <w:rPr>
          <w:rFonts w:ascii="Palatino Linotype" w:eastAsia="MS Mincho" w:hAnsi="Palatino Linotype" w:cs="Times New Roman"/>
          <w:sz w:val="24"/>
        </w:rPr>
        <w:t xml:space="preserve"> particular</w:t>
      </w:r>
      <w:r w:rsidRPr="00F536FA">
        <w:rPr>
          <w:rFonts w:ascii="Palatino Linotype" w:eastAsia="MS Mincho" w:hAnsi="Palatino Linotype" w:cs="Times New Roman"/>
          <w:sz w:val="24"/>
        </w:rPr>
        <w:t xml:space="preserve"> requirió</w:t>
      </w:r>
      <w:r w:rsidR="00B6542A" w:rsidRPr="00F536FA">
        <w:rPr>
          <w:rFonts w:ascii="Palatino Linotype" w:eastAsia="MS Mincho" w:hAnsi="Palatino Linotype" w:cs="Times New Roman"/>
          <w:sz w:val="24"/>
        </w:rPr>
        <w:t xml:space="preserve"> </w:t>
      </w:r>
      <w:r w:rsidR="00AE4B41" w:rsidRPr="00F536FA">
        <w:rPr>
          <w:rFonts w:ascii="Palatino Linotype" w:eastAsia="MS Mincho" w:hAnsi="Palatino Linotype" w:cs="Times New Roman"/>
          <w:sz w:val="24"/>
        </w:rPr>
        <w:t>acceder a la siguiente información</w:t>
      </w:r>
      <w:r w:rsidR="00AE7843" w:rsidRPr="00F536FA">
        <w:rPr>
          <w:rFonts w:ascii="Palatino Linotype" w:eastAsia="MS Mincho" w:hAnsi="Palatino Linotype" w:cs="Times New Roman"/>
          <w:sz w:val="24"/>
        </w:rPr>
        <w:t>: a)</w:t>
      </w:r>
      <w:r w:rsidR="00ED52D5" w:rsidRPr="00F536FA">
        <w:rPr>
          <w:rFonts w:ascii="Palatino Linotype" w:eastAsia="MS Mincho" w:hAnsi="Palatino Linotype" w:cs="Times New Roman"/>
          <w:sz w:val="24"/>
        </w:rPr>
        <w:t xml:space="preserve"> costo de la realización de la Feria de Ixtlahuaca en los ejercicios 2015 a 2019</w:t>
      </w:r>
      <w:r w:rsidR="001D4672" w:rsidRPr="00F536FA">
        <w:rPr>
          <w:rFonts w:ascii="Palatino Linotype" w:eastAsia="MS Mincho" w:hAnsi="Palatino Linotype" w:cs="Times New Roman"/>
          <w:sz w:val="24"/>
        </w:rPr>
        <w:t>, así como sus programas y elencos artísticos</w:t>
      </w:r>
      <w:r w:rsidR="00ED52D5" w:rsidRPr="00F536FA">
        <w:rPr>
          <w:rFonts w:ascii="Palatino Linotype" w:eastAsia="MS Mincho" w:hAnsi="Palatino Linotype" w:cs="Times New Roman"/>
          <w:sz w:val="24"/>
        </w:rPr>
        <w:t xml:space="preserve">; b) </w:t>
      </w:r>
      <w:r w:rsidR="001D4672" w:rsidRPr="00F536FA">
        <w:rPr>
          <w:rFonts w:ascii="Palatino Linotype" w:eastAsia="MS Mincho" w:hAnsi="Palatino Linotype" w:cs="Times New Roman"/>
          <w:sz w:val="24"/>
        </w:rPr>
        <w:t>Contratos y documentos donde consten las a</w:t>
      </w:r>
      <w:r w:rsidR="00ED52D5" w:rsidRPr="00F536FA">
        <w:rPr>
          <w:rFonts w:ascii="Palatino Linotype" w:eastAsia="MS Mincho" w:hAnsi="Palatino Linotype" w:cs="Times New Roman"/>
          <w:sz w:val="24"/>
        </w:rPr>
        <w:t>portaciones realizadas al Ayuntamiento por parte de las personas jurídico-colectivas</w:t>
      </w:r>
      <w:r w:rsidR="001D4672" w:rsidRPr="00F536FA">
        <w:rPr>
          <w:rFonts w:ascii="Palatino Linotype" w:eastAsia="MS Mincho" w:hAnsi="Palatino Linotype" w:cs="Times New Roman"/>
          <w:sz w:val="24"/>
        </w:rPr>
        <w:t xml:space="preserve"> que proporcionaron el servicio de juegos mecánicos en la Feria de Ixtlahuaca durante el 2015-2019; c) Contratos celebrados por el Ayuntamiento </w:t>
      </w:r>
      <w:r w:rsidR="001D4672" w:rsidRPr="00F536FA">
        <w:rPr>
          <w:rFonts w:ascii="Palatino Linotype" w:eastAsia="MS Mincho" w:hAnsi="Palatino Linotype" w:cs="Times New Roman"/>
          <w:sz w:val="24"/>
        </w:rPr>
        <w:lastRenderedPageBreak/>
        <w:t>donde se establezca la realización de diversos conciertos en la Feria de Ixtlahuaca 2019 y las aportaciones recibidas por el ayuntamiento; d) Monto recaudado por concepto de arrendamiento de espacios comerciales en la Feria Ixtlahuaca 2019; y e) Nombre de la persona jurídico-colectiva encargada de llevar a cabo la pelea de gallos durante la Feria de Ixtlahuaca 2019, aportaciones realizadas por el arrendamiento del salón y permiso otorgado para ocupar el inmueble</w:t>
      </w:r>
      <w:r w:rsidR="00505924" w:rsidRPr="00F536FA">
        <w:rPr>
          <w:rFonts w:ascii="Palatino Linotype" w:eastAsia="MS Mincho" w:hAnsi="Palatino Linotype" w:cs="Times New Roman"/>
          <w:sz w:val="24"/>
        </w:rPr>
        <w:t>.</w:t>
      </w:r>
      <w:r w:rsidR="00E7677C" w:rsidRPr="00F536FA">
        <w:rPr>
          <w:rFonts w:ascii="Palatino Linotype" w:eastAsia="MS Mincho" w:hAnsi="Palatino Linotype" w:cs="Times New Roman"/>
          <w:sz w:val="24"/>
        </w:rPr>
        <w:t xml:space="preserve"> </w:t>
      </w:r>
      <w:r w:rsidR="002A646F" w:rsidRPr="00F536FA">
        <w:rPr>
          <w:rFonts w:ascii="Palatino Linotype" w:eastAsia="MS Mincho" w:hAnsi="Palatino Linotype" w:cs="Times New Roman"/>
          <w:sz w:val="24"/>
        </w:rPr>
        <w:t>El</w:t>
      </w:r>
      <w:r w:rsidR="00163316" w:rsidRPr="00F536FA">
        <w:rPr>
          <w:rFonts w:ascii="Palatino Linotype" w:eastAsia="MS Mincho" w:hAnsi="Palatino Linotype" w:cs="Times New Roman"/>
          <w:sz w:val="24"/>
        </w:rPr>
        <w:t xml:space="preserve"> </w:t>
      </w:r>
      <w:r w:rsidRPr="00F536FA">
        <w:rPr>
          <w:rFonts w:ascii="Palatino Linotype" w:eastAsia="MS Mincho" w:hAnsi="Palatino Linotype" w:cs="Times New Roman"/>
          <w:b/>
          <w:sz w:val="24"/>
        </w:rPr>
        <w:t>SUJETO OBLIGADO</w:t>
      </w:r>
      <w:r w:rsidRPr="00F536FA">
        <w:rPr>
          <w:rFonts w:ascii="Palatino Linotype" w:eastAsia="MS Mincho" w:hAnsi="Palatino Linotype" w:cs="Times New Roman"/>
          <w:sz w:val="24"/>
        </w:rPr>
        <w:t xml:space="preserve"> </w:t>
      </w:r>
      <w:r w:rsidR="00AE4B41" w:rsidRPr="00F536FA">
        <w:rPr>
          <w:rFonts w:ascii="Palatino Linotype" w:eastAsia="MS Mincho" w:hAnsi="Palatino Linotype" w:cs="Times New Roman"/>
          <w:sz w:val="24"/>
        </w:rPr>
        <w:t xml:space="preserve">entregó </w:t>
      </w:r>
      <w:r w:rsidR="001D4672" w:rsidRPr="00F536FA">
        <w:rPr>
          <w:rFonts w:ascii="Palatino Linotype" w:eastAsia="MS Mincho" w:hAnsi="Palatino Linotype" w:cs="Times New Roman"/>
          <w:sz w:val="24"/>
        </w:rPr>
        <w:t>diversos documentos -contratos, programas y recibos de pago- relacionados con la realización de la Feria de Ixtlahuaca, en sus ediciones 2015-2019</w:t>
      </w:r>
      <w:r w:rsidRPr="00F536FA">
        <w:rPr>
          <w:rFonts w:ascii="Palatino Linotype" w:eastAsia="MS Mincho" w:hAnsi="Palatino Linotype" w:cs="Times New Roman"/>
          <w:sz w:val="24"/>
        </w:rPr>
        <w:t xml:space="preserve">. </w:t>
      </w:r>
      <w:r w:rsidR="002A646F" w:rsidRPr="00F536FA">
        <w:rPr>
          <w:rFonts w:ascii="Palatino Linotype" w:eastAsia="MS Mincho" w:hAnsi="Palatino Linotype" w:cs="Times New Roman"/>
          <w:sz w:val="24"/>
        </w:rPr>
        <w:t>El particular impugnó la respuesta mediante recurso de revisión dentro del que señaló por agravios que</w:t>
      </w:r>
      <w:r w:rsidR="00AE4B41" w:rsidRPr="00F536FA">
        <w:rPr>
          <w:rFonts w:ascii="Palatino Linotype" w:eastAsia="MS Mincho" w:hAnsi="Palatino Linotype" w:cs="Times New Roman"/>
          <w:sz w:val="24"/>
        </w:rPr>
        <w:t xml:space="preserve"> </w:t>
      </w:r>
      <w:r w:rsidR="001D4672" w:rsidRPr="00F536FA">
        <w:rPr>
          <w:rFonts w:ascii="Palatino Linotype" w:eastAsia="MS Mincho" w:hAnsi="Palatino Linotype" w:cs="Times New Roman"/>
          <w:sz w:val="24"/>
        </w:rPr>
        <w:t xml:space="preserve">se le había entregado la información incompleta, en formato incomprensible y deficiente en la fundamentación y motivación de </w:t>
      </w:r>
      <w:r w:rsidR="00981E96" w:rsidRPr="00F536FA">
        <w:rPr>
          <w:rFonts w:ascii="Palatino Linotype" w:eastAsia="MS Mincho" w:hAnsi="Palatino Linotype" w:cs="Times New Roman"/>
          <w:sz w:val="24"/>
        </w:rPr>
        <w:t>ésta</w:t>
      </w:r>
      <w:r w:rsidR="002A646F" w:rsidRPr="00F536FA">
        <w:rPr>
          <w:rFonts w:ascii="Palatino Linotype" w:eastAsia="MS Mincho" w:hAnsi="Palatino Linotype" w:cs="Times New Roman"/>
          <w:sz w:val="24"/>
        </w:rPr>
        <w:t>.</w:t>
      </w:r>
    </w:p>
    <w:p w14:paraId="1FE970C4" w14:textId="77777777" w:rsidR="00874659" w:rsidRPr="00F536FA" w:rsidRDefault="00874659" w:rsidP="00874659">
      <w:pPr>
        <w:pStyle w:val="Prrafodelista"/>
        <w:tabs>
          <w:tab w:val="left" w:pos="142"/>
        </w:tabs>
        <w:spacing w:after="0" w:line="360" w:lineRule="auto"/>
        <w:ind w:left="0" w:right="49"/>
        <w:jc w:val="both"/>
        <w:rPr>
          <w:rFonts w:ascii="Palatino Linotype" w:eastAsia="MS Mincho" w:hAnsi="Palatino Linotype" w:cs="Times New Roman"/>
          <w:b/>
          <w:bCs/>
          <w:sz w:val="24"/>
        </w:rPr>
      </w:pPr>
    </w:p>
    <w:p w14:paraId="5CDEA350" w14:textId="0B17F38B" w:rsidR="00874659" w:rsidRPr="00F536FA" w:rsidRDefault="00874659"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F536FA">
        <w:rPr>
          <w:rFonts w:ascii="Palatino Linotype" w:eastAsia="MS Mincho" w:hAnsi="Palatino Linotype" w:cs="Times New Roman"/>
          <w:sz w:val="24"/>
        </w:rPr>
        <w:t xml:space="preserve">En </w:t>
      </w:r>
      <w:r w:rsidRPr="00F536FA">
        <w:rPr>
          <w:rFonts w:ascii="Palatino Linotype" w:eastAsia="MS Mincho" w:hAnsi="Palatino Linotype" w:cs="Times New Roman"/>
          <w:sz w:val="24"/>
          <w:lang w:val="es-ES_tradnl"/>
        </w:rPr>
        <w:t xml:space="preserve">ese sentido, el agravio manifestado por el </w:t>
      </w:r>
      <w:r w:rsidRPr="00F536FA">
        <w:rPr>
          <w:rFonts w:ascii="Palatino Linotype" w:eastAsia="MS Mincho" w:hAnsi="Palatino Linotype" w:cs="Times New Roman"/>
          <w:b/>
          <w:bCs/>
          <w:sz w:val="24"/>
          <w:lang w:val="es-ES_tradnl"/>
        </w:rPr>
        <w:t>RECURRENTE</w:t>
      </w:r>
      <w:r w:rsidRPr="00F536FA">
        <w:rPr>
          <w:rFonts w:ascii="Palatino Linotype" w:eastAsia="MS Mincho" w:hAnsi="Palatino Linotype" w:cs="Times New Roman"/>
          <w:sz w:val="24"/>
          <w:lang w:val="es-ES_tradnl"/>
        </w:rPr>
        <w:t xml:space="preserve"> indica que la respuesta proporcionada por el </w:t>
      </w:r>
      <w:r w:rsidRPr="00F536FA">
        <w:rPr>
          <w:rFonts w:ascii="Palatino Linotype" w:eastAsia="MS Mincho" w:hAnsi="Palatino Linotype" w:cs="Times New Roman"/>
          <w:b/>
          <w:bCs/>
          <w:sz w:val="24"/>
          <w:lang w:val="es-ES_tradnl"/>
        </w:rPr>
        <w:t>SUJETO OBLIGADO</w:t>
      </w:r>
      <w:r w:rsidRPr="00F536FA">
        <w:rPr>
          <w:rFonts w:ascii="Palatino Linotype" w:eastAsia="MS Mincho" w:hAnsi="Palatino Linotype" w:cs="Times New Roman"/>
          <w:sz w:val="24"/>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981E96" w:rsidRPr="00F536FA">
        <w:rPr>
          <w:rFonts w:ascii="Palatino Linotype" w:eastAsia="MS Mincho" w:hAnsi="Palatino Linotype" w:cs="Times New Roman"/>
          <w:b/>
          <w:bCs/>
          <w:sz w:val="24"/>
          <w:lang w:val="es-ES_tradnl"/>
        </w:rPr>
        <w:t xml:space="preserve">completa, congruente </w:t>
      </w:r>
      <w:r w:rsidR="00981E96" w:rsidRPr="00F536FA">
        <w:rPr>
          <w:rFonts w:ascii="Palatino Linotype" w:eastAsia="MS Mincho" w:hAnsi="Palatino Linotype" w:cs="Times New Roman"/>
          <w:sz w:val="24"/>
          <w:lang w:val="es-ES_tradnl"/>
        </w:rPr>
        <w:t>y</w:t>
      </w:r>
      <w:r w:rsidR="00981E96" w:rsidRPr="00F536FA">
        <w:rPr>
          <w:rFonts w:ascii="Palatino Linotype" w:eastAsia="MS Mincho" w:hAnsi="Palatino Linotype" w:cs="Times New Roman"/>
          <w:b/>
          <w:bCs/>
          <w:sz w:val="24"/>
          <w:lang w:val="es-ES_tradnl"/>
        </w:rPr>
        <w:t xml:space="preserve"> verificable</w:t>
      </w:r>
      <w:r w:rsidRPr="00F536FA">
        <w:rPr>
          <w:rFonts w:ascii="Palatino Linotype" w:eastAsia="MS Mincho" w:hAnsi="Palatino Linotype" w:cs="Times New Roman"/>
          <w:sz w:val="24"/>
          <w:lang w:val="es-ES_tradnl"/>
        </w:rPr>
        <w:t>.</w:t>
      </w:r>
    </w:p>
    <w:p w14:paraId="490C3118" w14:textId="77777777" w:rsidR="008A4CF1" w:rsidRPr="00F536FA"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1A6908F6" w14:textId="175510A2" w:rsidR="00E7677C" w:rsidRPr="00F536FA" w:rsidRDefault="00505924" w:rsidP="00695AE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F536FA">
        <w:rPr>
          <w:rFonts w:ascii="Palatino Linotype" w:eastAsia="MS Mincho" w:hAnsi="Palatino Linotype" w:cs="Times New Roman"/>
          <w:sz w:val="24"/>
        </w:rPr>
        <w:t xml:space="preserve">Por lo anterior, </w:t>
      </w:r>
      <w:r w:rsidRPr="00F536FA">
        <w:rPr>
          <w:rFonts w:ascii="Palatino Linotype" w:eastAsia="MS Mincho" w:hAnsi="Palatino Linotype" w:cs="Times New Roman"/>
          <w:sz w:val="24"/>
          <w:lang w:val="es-ES_tradnl"/>
        </w:rPr>
        <w:t xml:space="preserve">la </w:t>
      </w:r>
      <w:r w:rsidRPr="00F536FA">
        <w:rPr>
          <w:rFonts w:ascii="Palatino Linotype" w:eastAsia="MS Mincho" w:hAnsi="Palatino Linotype" w:cs="Times New Roman"/>
          <w:i/>
          <w:sz w:val="24"/>
          <w:lang w:val="es-ES_tradnl"/>
        </w:rPr>
        <w:t>Litis</w:t>
      </w:r>
      <w:r w:rsidRPr="00F536FA">
        <w:rPr>
          <w:rFonts w:ascii="Palatino Linotype" w:eastAsia="MS Mincho" w:hAnsi="Palatino Linotype" w:cs="Times New Roman"/>
          <w:sz w:val="24"/>
          <w:lang w:val="es-ES_tradnl"/>
        </w:rPr>
        <w:t xml:space="preserve"> a resolver en el presente recurso se circunscribe en determinar si </w:t>
      </w:r>
      <w:r w:rsidR="002A646F" w:rsidRPr="00F536FA">
        <w:rPr>
          <w:rFonts w:ascii="Palatino Linotype" w:eastAsia="MS Mincho" w:hAnsi="Palatino Linotype" w:cs="Times New Roman"/>
          <w:sz w:val="24"/>
          <w:lang w:val="es-ES_tradnl"/>
        </w:rPr>
        <w:t xml:space="preserve">el </w:t>
      </w:r>
      <w:r w:rsidR="002A646F" w:rsidRPr="00F536FA">
        <w:rPr>
          <w:rFonts w:ascii="Palatino Linotype" w:eastAsia="MS Mincho" w:hAnsi="Palatino Linotype" w:cs="Times New Roman"/>
          <w:b/>
          <w:bCs/>
          <w:sz w:val="24"/>
          <w:lang w:val="es-ES_tradnl"/>
        </w:rPr>
        <w:t>SUJETO OBLIGADO</w:t>
      </w:r>
      <w:r w:rsidR="002A646F" w:rsidRPr="00F536FA">
        <w:rPr>
          <w:rFonts w:ascii="Palatino Linotype" w:eastAsia="MS Mincho" w:hAnsi="Palatino Linotype" w:cs="Times New Roman"/>
          <w:sz w:val="24"/>
          <w:lang w:val="es-ES_tradnl"/>
        </w:rPr>
        <w:t xml:space="preserve">, con su respuesta, atendió el derecho de acceso a la información ejercido por el </w:t>
      </w:r>
      <w:r w:rsidR="002A646F" w:rsidRPr="00F536FA">
        <w:rPr>
          <w:rFonts w:ascii="Palatino Linotype" w:eastAsia="MS Mincho" w:hAnsi="Palatino Linotype" w:cs="Times New Roman"/>
          <w:b/>
          <w:bCs/>
          <w:sz w:val="24"/>
          <w:lang w:val="es-ES_tradnl"/>
        </w:rPr>
        <w:t>RECURRENTE,</w:t>
      </w:r>
      <w:r w:rsidR="002A646F" w:rsidRPr="00F536FA">
        <w:rPr>
          <w:rFonts w:ascii="Palatino Linotype" w:eastAsia="MS Mincho" w:hAnsi="Palatino Linotype" w:cs="Times New Roman"/>
          <w:sz w:val="24"/>
          <w:lang w:val="es-ES_tradnl"/>
        </w:rPr>
        <w:t xml:space="preserve"> o si, por el contrario, </w:t>
      </w:r>
      <w:r w:rsidRPr="00F536FA">
        <w:rPr>
          <w:rFonts w:ascii="Palatino Linotype" w:eastAsia="MS Mincho" w:hAnsi="Palatino Linotype" w:cs="Times New Roman"/>
          <w:sz w:val="24"/>
          <w:lang w:val="es-ES_tradnl"/>
        </w:rPr>
        <w:t>se actualiza</w:t>
      </w:r>
      <w:r w:rsidR="00BB6CA7" w:rsidRPr="00F536FA">
        <w:rPr>
          <w:rFonts w:ascii="Palatino Linotype" w:eastAsia="MS Mincho" w:hAnsi="Palatino Linotype" w:cs="Times New Roman"/>
          <w:sz w:val="24"/>
          <w:lang w:val="es-ES_tradnl"/>
        </w:rPr>
        <w:t>n</w:t>
      </w:r>
      <w:r w:rsidRPr="00F536FA">
        <w:rPr>
          <w:rFonts w:ascii="Palatino Linotype" w:eastAsia="MS Mincho" w:hAnsi="Palatino Linotype" w:cs="Times New Roman"/>
          <w:sz w:val="24"/>
          <w:lang w:val="es-ES_tradnl"/>
        </w:rPr>
        <w:t xml:space="preserve"> </w:t>
      </w:r>
      <w:r w:rsidR="002A646F" w:rsidRPr="00F536FA">
        <w:rPr>
          <w:rFonts w:ascii="Palatino Linotype" w:eastAsia="MS Mincho" w:hAnsi="Palatino Linotype" w:cs="Times New Roman"/>
          <w:sz w:val="24"/>
          <w:lang w:val="es-ES_tradnl"/>
        </w:rPr>
        <w:t>la</w:t>
      </w:r>
      <w:r w:rsidR="00BB6CA7" w:rsidRPr="00F536FA">
        <w:rPr>
          <w:rFonts w:ascii="Palatino Linotype" w:eastAsia="MS Mincho" w:hAnsi="Palatino Linotype" w:cs="Times New Roman"/>
          <w:sz w:val="24"/>
          <w:lang w:val="es-ES_tradnl"/>
        </w:rPr>
        <w:t>s</w:t>
      </w:r>
      <w:r w:rsidR="002A646F" w:rsidRPr="00F536FA">
        <w:rPr>
          <w:rFonts w:ascii="Palatino Linotype" w:eastAsia="MS Mincho" w:hAnsi="Palatino Linotype" w:cs="Times New Roman"/>
          <w:sz w:val="24"/>
          <w:lang w:val="es-ES_tradnl"/>
        </w:rPr>
        <w:t xml:space="preserve"> causal</w:t>
      </w:r>
      <w:r w:rsidR="00BB6CA7" w:rsidRPr="00F536FA">
        <w:rPr>
          <w:rFonts w:ascii="Palatino Linotype" w:eastAsia="MS Mincho" w:hAnsi="Palatino Linotype" w:cs="Times New Roman"/>
          <w:sz w:val="24"/>
          <w:lang w:val="es-ES_tradnl"/>
        </w:rPr>
        <w:t>es</w:t>
      </w:r>
      <w:r w:rsidR="002A646F" w:rsidRPr="00F536FA">
        <w:rPr>
          <w:rFonts w:ascii="Palatino Linotype" w:eastAsia="MS Mincho" w:hAnsi="Palatino Linotype" w:cs="Times New Roman"/>
          <w:sz w:val="24"/>
          <w:lang w:val="es-ES_tradnl"/>
        </w:rPr>
        <w:t xml:space="preserve"> de procedencia</w:t>
      </w:r>
      <w:r w:rsidRPr="00F536FA">
        <w:rPr>
          <w:rFonts w:ascii="Palatino Linotype" w:eastAsia="MS Mincho" w:hAnsi="Palatino Linotype" w:cs="Times New Roman"/>
          <w:sz w:val="24"/>
          <w:lang w:val="es-ES_tradnl"/>
        </w:rPr>
        <w:t xml:space="preserve"> del recurso de revisión establecida</w:t>
      </w:r>
      <w:r w:rsidR="00BB6CA7" w:rsidRPr="00F536FA">
        <w:rPr>
          <w:rFonts w:ascii="Palatino Linotype" w:eastAsia="MS Mincho" w:hAnsi="Palatino Linotype" w:cs="Times New Roman"/>
          <w:sz w:val="24"/>
          <w:lang w:val="es-ES_tradnl"/>
        </w:rPr>
        <w:t>s</w:t>
      </w:r>
      <w:r w:rsidRPr="00F536FA">
        <w:rPr>
          <w:rFonts w:ascii="Palatino Linotype" w:eastAsia="MS Mincho" w:hAnsi="Palatino Linotype" w:cs="Times New Roman"/>
          <w:sz w:val="24"/>
          <w:lang w:val="es-ES_tradnl"/>
        </w:rPr>
        <w:t xml:space="preserve"> en la</w:t>
      </w:r>
      <w:r w:rsidR="00BB6CA7" w:rsidRPr="00F536FA">
        <w:rPr>
          <w:rFonts w:ascii="Palatino Linotype" w:eastAsia="MS Mincho" w:hAnsi="Palatino Linotype" w:cs="Times New Roman"/>
          <w:sz w:val="24"/>
          <w:lang w:val="es-ES_tradnl"/>
        </w:rPr>
        <w:t>s</w:t>
      </w:r>
      <w:r w:rsidRPr="00F536FA">
        <w:rPr>
          <w:rFonts w:ascii="Palatino Linotype" w:eastAsia="MS Mincho" w:hAnsi="Palatino Linotype" w:cs="Times New Roman"/>
          <w:sz w:val="24"/>
          <w:lang w:val="es-ES_tradnl"/>
        </w:rPr>
        <w:t xml:space="preserve"> </w:t>
      </w:r>
      <w:r w:rsidR="002A646F" w:rsidRPr="00F536FA">
        <w:rPr>
          <w:rFonts w:ascii="Palatino Linotype" w:eastAsia="MS Mincho" w:hAnsi="Palatino Linotype" w:cs="Times New Roman"/>
          <w:sz w:val="24"/>
          <w:lang w:val="es-ES_tradnl"/>
        </w:rPr>
        <w:t>fracci</w:t>
      </w:r>
      <w:r w:rsidR="00BB6CA7" w:rsidRPr="00F536FA">
        <w:rPr>
          <w:rFonts w:ascii="Palatino Linotype" w:eastAsia="MS Mincho" w:hAnsi="Palatino Linotype" w:cs="Times New Roman"/>
          <w:sz w:val="24"/>
          <w:lang w:val="es-ES_tradnl"/>
        </w:rPr>
        <w:t>o</w:t>
      </w:r>
      <w:r w:rsidR="002A646F" w:rsidRPr="00F536FA">
        <w:rPr>
          <w:rFonts w:ascii="Palatino Linotype" w:eastAsia="MS Mincho" w:hAnsi="Palatino Linotype" w:cs="Times New Roman"/>
          <w:sz w:val="24"/>
          <w:lang w:val="es-ES_tradnl"/>
        </w:rPr>
        <w:t>n</w:t>
      </w:r>
      <w:r w:rsidR="00BB6CA7" w:rsidRPr="00F536FA">
        <w:rPr>
          <w:rFonts w:ascii="Palatino Linotype" w:eastAsia="MS Mincho" w:hAnsi="Palatino Linotype" w:cs="Times New Roman"/>
          <w:sz w:val="24"/>
          <w:lang w:val="es-ES_tradnl"/>
        </w:rPr>
        <w:t>es</w:t>
      </w:r>
      <w:r w:rsidR="002A646F" w:rsidRPr="00F536FA">
        <w:rPr>
          <w:rFonts w:ascii="Palatino Linotype" w:eastAsia="MS Mincho" w:hAnsi="Palatino Linotype" w:cs="Times New Roman"/>
          <w:sz w:val="24"/>
          <w:lang w:val="es-ES_tradnl"/>
        </w:rPr>
        <w:t xml:space="preserve"> I</w:t>
      </w:r>
      <w:r w:rsidR="00BB6CA7" w:rsidRPr="00F536FA">
        <w:rPr>
          <w:rFonts w:ascii="Palatino Linotype" w:eastAsia="MS Mincho" w:hAnsi="Palatino Linotype" w:cs="Times New Roman"/>
          <w:sz w:val="24"/>
          <w:lang w:val="es-ES_tradnl"/>
        </w:rPr>
        <w:t xml:space="preserve">, </w:t>
      </w:r>
      <w:r w:rsidR="00BE050A" w:rsidRPr="00F536FA">
        <w:rPr>
          <w:rFonts w:ascii="Palatino Linotype" w:eastAsia="MS Mincho" w:hAnsi="Palatino Linotype" w:cs="Times New Roman"/>
          <w:sz w:val="24"/>
          <w:lang w:val="es-ES_tradnl"/>
        </w:rPr>
        <w:t xml:space="preserve">II, </w:t>
      </w:r>
      <w:r w:rsidR="00BB6CA7" w:rsidRPr="00F536FA">
        <w:rPr>
          <w:rFonts w:ascii="Palatino Linotype" w:eastAsia="MS Mincho" w:hAnsi="Palatino Linotype" w:cs="Times New Roman"/>
          <w:sz w:val="24"/>
          <w:lang w:val="es-ES_tradnl"/>
        </w:rPr>
        <w:t>V</w:t>
      </w:r>
      <w:r w:rsidR="00AE4B41" w:rsidRPr="00F536FA">
        <w:rPr>
          <w:rFonts w:ascii="Palatino Linotype" w:eastAsia="MS Mincho" w:hAnsi="Palatino Linotype" w:cs="Times New Roman"/>
          <w:sz w:val="24"/>
          <w:lang w:val="es-ES_tradnl"/>
        </w:rPr>
        <w:t xml:space="preserve">, </w:t>
      </w:r>
      <w:r w:rsidR="00BE050A" w:rsidRPr="00F536FA">
        <w:rPr>
          <w:rFonts w:ascii="Palatino Linotype" w:eastAsia="MS Mincho" w:hAnsi="Palatino Linotype" w:cs="Times New Roman"/>
          <w:sz w:val="24"/>
          <w:lang w:val="es-ES_tradnl"/>
        </w:rPr>
        <w:t>IX</w:t>
      </w:r>
      <w:r w:rsidR="00BB6CA7" w:rsidRPr="00F536FA">
        <w:rPr>
          <w:rFonts w:ascii="Palatino Linotype" w:eastAsia="MS Mincho" w:hAnsi="Palatino Linotype" w:cs="Times New Roman"/>
          <w:sz w:val="24"/>
          <w:lang w:val="es-ES_tradnl"/>
        </w:rPr>
        <w:t xml:space="preserve"> </w:t>
      </w:r>
      <w:r w:rsidR="00AE4B41" w:rsidRPr="00F536FA">
        <w:rPr>
          <w:rFonts w:ascii="Palatino Linotype" w:eastAsia="MS Mincho" w:hAnsi="Palatino Linotype" w:cs="Times New Roman"/>
          <w:sz w:val="24"/>
          <w:lang w:val="es-ES_tradnl"/>
        </w:rPr>
        <w:t>o</w:t>
      </w:r>
      <w:r w:rsidR="00BB6CA7" w:rsidRPr="00F536FA">
        <w:rPr>
          <w:rFonts w:ascii="Palatino Linotype" w:eastAsia="MS Mincho" w:hAnsi="Palatino Linotype" w:cs="Times New Roman"/>
          <w:sz w:val="24"/>
          <w:lang w:val="es-ES_tradnl"/>
        </w:rPr>
        <w:t xml:space="preserve"> XI</w:t>
      </w:r>
      <w:r w:rsidR="006239A9" w:rsidRPr="00F536FA">
        <w:rPr>
          <w:rFonts w:ascii="Palatino Linotype" w:eastAsia="MS Mincho" w:hAnsi="Palatino Linotype" w:cs="Times New Roman"/>
          <w:sz w:val="24"/>
          <w:lang w:val="es-ES_tradnl"/>
        </w:rPr>
        <w:t>II</w:t>
      </w:r>
      <w:r w:rsidRPr="00F536FA">
        <w:rPr>
          <w:rFonts w:ascii="Palatino Linotype" w:eastAsia="MS Mincho" w:hAnsi="Palatino Linotype" w:cs="Times New Roman"/>
          <w:sz w:val="24"/>
          <w:lang w:val="es-ES_tradnl"/>
        </w:rPr>
        <w:t xml:space="preserve"> </w:t>
      </w:r>
      <w:r w:rsidR="002A646F" w:rsidRPr="00F536FA">
        <w:rPr>
          <w:rFonts w:ascii="Palatino Linotype" w:eastAsia="MS Mincho" w:hAnsi="Palatino Linotype" w:cs="Times New Roman"/>
          <w:sz w:val="24"/>
          <w:lang w:val="es-ES_tradnl"/>
        </w:rPr>
        <w:t>d</w:t>
      </w:r>
      <w:r w:rsidRPr="00F536FA">
        <w:rPr>
          <w:rFonts w:ascii="Palatino Linotype" w:eastAsia="MS Mincho" w:hAnsi="Palatino Linotype" w:cs="Times New Roman"/>
          <w:sz w:val="24"/>
          <w:lang w:val="es-ES_tradnl"/>
        </w:rPr>
        <w:t xml:space="preserve">el artículo 179 de la Ley de Transparencia y Acceso a </w:t>
      </w:r>
      <w:r w:rsidRPr="00F536FA">
        <w:rPr>
          <w:rFonts w:ascii="Palatino Linotype" w:eastAsia="MS Mincho" w:hAnsi="Palatino Linotype" w:cs="Times New Roman"/>
          <w:sz w:val="24"/>
          <w:lang w:val="es-ES_tradnl"/>
        </w:rPr>
        <w:lastRenderedPageBreak/>
        <w:t>la Información Pública del Estado de México y Municipios, mism</w:t>
      </w:r>
      <w:r w:rsidR="002A646F" w:rsidRPr="00F536FA">
        <w:rPr>
          <w:rFonts w:ascii="Palatino Linotype" w:eastAsia="MS Mincho" w:hAnsi="Palatino Linotype" w:cs="Times New Roman"/>
          <w:sz w:val="24"/>
          <w:lang w:val="es-ES_tradnl"/>
        </w:rPr>
        <w:t>a</w:t>
      </w:r>
      <w:r w:rsidR="00BB6CA7" w:rsidRPr="00F536FA">
        <w:rPr>
          <w:rFonts w:ascii="Palatino Linotype" w:eastAsia="MS Mincho" w:hAnsi="Palatino Linotype" w:cs="Times New Roman"/>
          <w:sz w:val="24"/>
          <w:lang w:val="es-ES_tradnl"/>
        </w:rPr>
        <w:t>s</w:t>
      </w:r>
      <w:r w:rsidRPr="00F536FA">
        <w:rPr>
          <w:rFonts w:ascii="Palatino Linotype" w:eastAsia="MS Mincho" w:hAnsi="Palatino Linotype" w:cs="Times New Roman"/>
          <w:sz w:val="24"/>
          <w:lang w:val="es-ES_tradnl"/>
        </w:rPr>
        <w:t xml:space="preserve"> que se vierte</w:t>
      </w:r>
      <w:r w:rsidR="00BB6CA7" w:rsidRPr="00F536FA">
        <w:rPr>
          <w:rFonts w:ascii="Palatino Linotype" w:eastAsia="MS Mincho" w:hAnsi="Palatino Linotype" w:cs="Times New Roman"/>
          <w:sz w:val="24"/>
          <w:lang w:val="es-ES_tradnl"/>
        </w:rPr>
        <w:t>n</w:t>
      </w:r>
      <w:r w:rsidRPr="00F536FA">
        <w:rPr>
          <w:rFonts w:ascii="Palatino Linotype" w:eastAsia="MS Mincho" w:hAnsi="Palatino Linotype" w:cs="Times New Roman"/>
          <w:sz w:val="24"/>
          <w:lang w:val="es-ES_tradnl"/>
        </w:rPr>
        <w:t xml:space="preserve"> a continuación:</w:t>
      </w:r>
    </w:p>
    <w:p w14:paraId="359734AC" w14:textId="598A01CB" w:rsidR="00E7677C" w:rsidRPr="00F536FA" w:rsidRDefault="00E7677C"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37C64A60" w14:textId="77777777" w:rsidR="00505924" w:rsidRPr="00F536FA"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r w:rsidRPr="00F536FA">
        <w:rPr>
          <w:rFonts w:ascii="Palatino Linotype" w:hAnsi="Palatino Linotype"/>
          <w:b/>
          <w:bCs/>
          <w:i/>
        </w:rPr>
        <w:t>Artículo 179.</w:t>
      </w:r>
      <w:r w:rsidRPr="00F536FA">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45D66C2A" w14:textId="37DD2F1B" w:rsidR="002A646F" w:rsidRPr="00F536FA" w:rsidRDefault="002A646F" w:rsidP="00505924">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b/>
          <w:bCs/>
          <w:i/>
        </w:rPr>
        <w:t xml:space="preserve">I. </w:t>
      </w:r>
      <w:r w:rsidRPr="00F536FA">
        <w:rPr>
          <w:rFonts w:ascii="Palatino Linotype" w:hAnsi="Palatino Linotype"/>
          <w:i/>
        </w:rPr>
        <w:t>La negativa a la información solicitada;</w:t>
      </w:r>
    </w:p>
    <w:p w14:paraId="1B308860" w14:textId="77777777" w:rsidR="00BE050A" w:rsidRPr="00F536FA" w:rsidRDefault="00BE050A" w:rsidP="00505924">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b/>
          <w:bCs/>
          <w:i/>
        </w:rPr>
        <w:t xml:space="preserve">II. </w:t>
      </w:r>
      <w:r w:rsidRPr="00F536FA">
        <w:rPr>
          <w:rFonts w:ascii="Palatino Linotype" w:hAnsi="Palatino Linotype"/>
          <w:i/>
        </w:rPr>
        <w:t xml:space="preserve">La clasificación de la información; </w:t>
      </w:r>
    </w:p>
    <w:p w14:paraId="3ED4BCFD" w14:textId="1E6EC962" w:rsidR="00BB6CA7" w:rsidRPr="00F536FA"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p>
    <w:p w14:paraId="396349F2" w14:textId="1D092EF7" w:rsidR="00BB6CA7" w:rsidRPr="00F536FA"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b/>
          <w:bCs/>
          <w:i/>
        </w:rPr>
        <w:t xml:space="preserve">V. </w:t>
      </w:r>
      <w:r w:rsidRPr="00F536FA">
        <w:rPr>
          <w:rFonts w:ascii="Palatino Linotype" w:hAnsi="Palatino Linotype"/>
          <w:i/>
        </w:rPr>
        <w:t xml:space="preserve">La </w:t>
      </w:r>
      <w:r w:rsidR="006239A9" w:rsidRPr="00F536FA">
        <w:rPr>
          <w:rFonts w:ascii="Palatino Linotype" w:hAnsi="Palatino Linotype"/>
          <w:i/>
        </w:rPr>
        <w:t>entrega de información incompleta</w:t>
      </w:r>
      <w:r w:rsidRPr="00F536FA">
        <w:rPr>
          <w:rFonts w:ascii="Palatino Linotype" w:hAnsi="Palatino Linotype"/>
          <w:i/>
        </w:rPr>
        <w:t>;</w:t>
      </w:r>
    </w:p>
    <w:p w14:paraId="7D4DC3E3" w14:textId="6900D43C" w:rsidR="00BB6CA7" w:rsidRPr="00F536FA"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p>
    <w:p w14:paraId="7734D5A6" w14:textId="6266514A" w:rsidR="00BE050A" w:rsidRPr="00F536FA" w:rsidRDefault="00BE050A" w:rsidP="00BE050A">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b/>
          <w:bCs/>
          <w:i/>
        </w:rPr>
        <w:t xml:space="preserve">IX. </w:t>
      </w:r>
      <w:r w:rsidRPr="00F536FA">
        <w:rPr>
          <w:rFonts w:ascii="Palatino Linotype" w:hAnsi="Palatino Linotype"/>
          <w:i/>
        </w:rPr>
        <w:t>La entrega o puesta a disposición de información en un formato incomprensible y/o no accesible</w:t>
      </w:r>
      <w:r w:rsidR="003471FE" w:rsidRPr="00F536FA">
        <w:rPr>
          <w:rFonts w:ascii="Palatino Linotype" w:hAnsi="Palatino Linotype"/>
          <w:i/>
        </w:rPr>
        <w:t xml:space="preserve"> </w:t>
      </w:r>
      <w:r w:rsidRPr="00F536FA">
        <w:rPr>
          <w:rFonts w:ascii="Palatino Linotype" w:hAnsi="Palatino Linotype"/>
          <w:i/>
        </w:rPr>
        <w:t xml:space="preserve">para el solicitante; </w:t>
      </w:r>
    </w:p>
    <w:p w14:paraId="4D360547" w14:textId="5848AD7F" w:rsidR="00AE4B41" w:rsidRPr="00F536FA" w:rsidRDefault="00AE4B41" w:rsidP="00BE050A">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p>
    <w:p w14:paraId="3118A60D" w14:textId="0A6640CB" w:rsidR="00BB6CA7" w:rsidRPr="00F536FA"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b/>
          <w:bCs/>
          <w:i/>
        </w:rPr>
        <w:t>X</w:t>
      </w:r>
      <w:r w:rsidR="006239A9" w:rsidRPr="00F536FA">
        <w:rPr>
          <w:rFonts w:ascii="Palatino Linotype" w:hAnsi="Palatino Linotype"/>
          <w:b/>
          <w:bCs/>
          <w:i/>
        </w:rPr>
        <w:t>II</w:t>
      </w:r>
      <w:r w:rsidRPr="00F536FA">
        <w:rPr>
          <w:rFonts w:ascii="Palatino Linotype" w:hAnsi="Palatino Linotype"/>
          <w:b/>
          <w:bCs/>
          <w:i/>
        </w:rPr>
        <w:t xml:space="preserve">I. </w:t>
      </w:r>
      <w:r w:rsidRPr="00F536FA">
        <w:rPr>
          <w:rFonts w:ascii="Palatino Linotype" w:hAnsi="Palatino Linotype"/>
          <w:i/>
        </w:rPr>
        <w:t>La falta</w:t>
      </w:r>
      <w:r w:rsidR="006239A9" w:rsidRPr="00F536FA">
        <w:rPr>
          <w:rFonts w:ascii="Palatino Linotype" w:hAnsi="Palatino Linotype"/>
          <w:i/>
        </w:rPr>
        <w:t>, deficiencia o insuficiencia de la fundamentación y/o motivación en la respuesta</w:t>
      </w:r>
      <w:r w:rsidRPr="00F536FA">
        <w:rPr>
          <w:rFonts w:ascii="Palatino Linotype" w:hAnsi="Palatino Linotype"/>
          <w:i/>
        </w:rPr>
        <w:t>;</w:t>
      </w:r>
      <w:r w:rsidR="00342CC4" w:rsidRPr="00F536FA">
        <w:rPr>
          <w:rFonts w:ascii="Palatino Linotype" w:hAnsi="Palatino Linotype"/>
          <w:i/>
        </w:rPr>
        <w:t xml:space="preserve"> y</w:t>
      </w:r>
    </w:p>
    <w:p w14:paraId="4D200E01" w14:textId="3FDE3AC0" w:rsidR="00505924" w:rsidRPr="00F536FA" w:rsidRDefault="00BB6CA7" w:rsidP="00505924">
      <w:pPr>
        <w:pStyle w:val="Prrafodelista"/>
        <w:tabs>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r w:rsidR="002A646F" w:rsidRPr="00F536FA">
        <w:rPr>
          <w:rFonts w:ascii="Palatino Linotype" w:hAnsi="Palatino Linotype"/>
          <w:i/>
        </w:rPr>
        <w:t>”</w:t>
      </w:r>
    </w:p>
    <w:p w14:paraId="5B2D89B0" w14:textId="77777777" w:rsidR="00505924" w:rsidRPr="00F536FA" w:rsidRDefault="00505924"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6ED28754" w14:textId="429809A2" w:rsidR="00B07E95" w:rsidRPr="00F536FA" w:rsidRDefault="00EB3DB0"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27" w:name="_Toc5431603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F536FA">
        <w:rPr>
          <w:rFonts w:ascii="Palatino Linotype" w:eastAsia="MS Gothic" w:hAnsi="Palatino Linotype" w:cstheme="majorBidi"/>
          <w:b/>
          <w:sz w:val="24"/>
          <w:szCs w:val="24"/>
          <w:lang w:val="es-ES_tradnl" w:eastAsia="es-ES"/>
        </w:rPr>
        <w:t>CUARTO</w:t>
      </w:r>
      <w:r w:rsidR="00792776" w:rsidRPr="00F536FA">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F536FA">
        <w:rPr>
          <w:rFonts w:ascii="Palatino Linotype" w:eastAsia="MS Gothic" w:hAnsi="Palatino Linotype" w:cstheme="majorBidi"/>
          <w:b/>
          <w:sz w:val="24"/>
          <w:szCs w:val="24"/>
          <w:lang w:val="es-ES_tradnl" w:eastAsia="es-ES"/>
        </w:rPr>
        <w:t>revisión.</w:t>
      </w:r>
      <w:bookmarkEnd w:id="27"/>
    </w:p>
    <w:p w14:paraId="17DADE8A" w14:textId="77777777" w:rsidR="00505924" w:rsidRPr="00F536FA" w:rsidRDefault="00505924" w:rsidP="00505924">
      <w:pPr>
        <w:pStyle w:val="Prrafodelista"/>
        <w:tabs>
          <w:tab w:val="left" w:pos="66"/>
        </w:tabs>
        <w:spacing w:after="0" w:line="360" w:lineRule="auto"/>
        <w:ind w:left="0"/>
        <w:jc w:val="both"/>
        <w:rPr>
          <w:rFonts w:ascii="Palatino Linotype" w:eastAsia="MS Mincho" w:hAnsi="Palatino Linotype" w:cs="Arial"/>
          <w:iCs/>
          <w:sz w:val="24"/>
          <w:szCs w:val="24"/>
          <w:lang w:eastAsia="es-ES"/>
        </w:rPr>
      </w:pPr>
    </w:p>
    <w:p w14:paraId="1D9E8399" w14:textId="5E8C48F4" w:rsidR="00770F1F" w:rsidRPr="00F536FA" w:rsidRDefault="00CA10C1" w:rsidP="004B2A20">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F536FA">
        <w:rPr>
          <w:rFonts w:ascii="Palatino Linotype" w:hAnsi="Palatino Linotype" w:cs="Arial"/>
          <w:sz w:val="24"/>
          <w:szCs w:val="24"/>
        </w:rPr>
        <w:t xml:space="preserve">Derivado del Planteamiento de la </w:t>
      </w:r>
      <w:r w:rsidRPr="00F536FA">
        <w:rPr>
          <w:rFonts w:ascii="Palatino Linotype" w:hAnsi="Palatino Linotype" w:cs="Arial"/>
          <w:i/>
          <w:iCs/>
          <w:sz w:val="24"/>
          <w:szCs w:val="24"/>
        </w:rPr>
        <w:t>Litis</w:t>
      </w:r>
      <w:r w:rsidRPr="00F536FA">
        <w:rPr>
          <w:rFonts w:ascii="Palatino Linotype" w:hAnsi="Palatino Linotype" w:cs="Arial"/>
          <w:sz w:val="24"/>
          <w:szCs w:val="24"/>
        </w:rPr>
        <w:t xml:space="preserve">, </w:t>
      </w:r>
      <w:r w:rsidR="006B56C3" w:rsidRPr="00F536FA">
        <w:rPr>
          <w:rFonts w:ascii="Palatino Linotype" w:hAnsi="Palatino Linotype" w:cs="Arial"/>
          <w:sz w:val="24"/>
          <w:szCs w:val="24"/>
        </w:rPr>
        <w:t>se procede a analizar</w:t>
      </w:r>
      <w:r w:rsidRPr="00F536FA">
        <w:rPr>
          <w:rFonts w:ascii="Palatino Linotype" w:hAnsi="Palatino Linotype" w:cs="Arial"/>
          <w:sz w:val="24"/>
          <w:szCs w:val="24"/>
        </w:rPr>
        <w:t xml:space="preserve"> el contenido íntegro de las actuaciones que obra</w:t>
      </w:r>
      <w:r w:rsidR="006B56C3" w:rsidRPr="00F536FA">
        <w:rPr>
          <w:rFonts w:ascii="Palatino Linotype" w:hAnsi="Palatino Linotype" w:cs="Arial"/>
          <w:sz w:val="24"/>
          <w:szCs w:val="24"/>
        </w:rPr>
        <w:t>n en el expediente electrónico y</w:t>
      </w:r>
      <w:r w:rsidR="00505924" w:rsidRPr="00F536FA">
        <w:rPr>
          <w:rFonts w:ascii="Palatino Linotype" w:hAnsi="Palatino Linotype" w:cs="Arial"/>
          <w:sz w:val="24"/>
          <w:szCs w:val="24"/>
        </w:rPr>
        <w:t>,</w:t>
      </w:r>
      <w:r w:rsidR="006B56C3" w:rsidRPr="00F536FA">
        <w:rPr>
          <w:rFonts w:ascii="Palatino Linotype" w:hAnsi="Palatino Linotype" w:cs="Arial"/>
          <w:sz w:val="24"/>
          <w:szCs w:val="24"/>
        </w:rPr>
        <w:t xml:space="preserve"> con ello, este </w:t>
      </w:r>
      <w:r w:rsidRPr="00F536FA">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F536FA">
        <w:rPr>
          <w:rFonts w:ascii="Palatino Linotype" w:hAnsi="Palatino Linotype" w:cs="Arial"/>
          <w:sz w:val="24"/>
          <w:szCs w:val="24"/>
        </w:rPr>
        <w:t xml:space="preserve">, de </w:t>
      </w:r>
      <w:r w:rsidRPr="00F536FA">
        <w:rPr>
          <w:rFonts w:ascii="Palatino Linotype" w:hAnsi="Palatino Linotype" w:cs="Arial"/>
          <w:sz w:val="24"/>
          <w:szCs w:val="24"/>
        </w:rPr>
        <w:t xml:space="preserve">acuerdo </w:t>
      </w:r>
      <w:r w:rsidR="006B56C3" w:rsidRPr="00F536FA">
        <w:rPr>
          <w:rFonts w:ascii="Palatino Linotype" w:hAnsi="Palatino Linotype" w:cs="Arial"/>
          <w:sz w:val="24"/>
          <w:szCs w:val="24"/>
        </w:rPr>
        <w:t>con</w:t>
      </w:r>
      <w:r w:rsidRPr="00F536FA">
        <w:rPr>
          <w:rFonts w:ascii="Palatino Linotype" w:hAnsi="Palatino Linotype" w:cs="Arial"/>
          <w:sz w:val="24"/>
          <w:szCs w:val="24"/>
        </w:rPr>
        <w:t xml:space="preserve"> lo establecido en el artículo 8 de la </w:t>
      </w:r>
      <w:r w:rsidRPr="00F536FA">
        <w:rPr>
          <w:rFonts w:ascii="Palatino Linotype" w:eastAsia="Calibri" w:hAnsi="Palatino Linotype" w:cs="Arial"/>
          <w:sz w:val="24"/>
          <w:szCs w:val="24"/>
          <w:lang w:val="es-ES"/>
        </w:rPr>
        <w:t>Ley de Transparencia y Acceso a la Información Pública del Estado de México y Municipios</w:t>
      </w:r>
      <w:r w:rsidRPr="00F536FA">
        <w:rPr>
          <w:rFonts w:ascii="Palatino Linotype" w:eastAsia="Times New Roman" w:hAnsi="Palatino Linotype" w:cs="Arial"/>
          <w:sz w:val="24"/>
          <w:szCs w:val="24"/>
          <w:lang w:val="es-ES" w:eastAsia="es-MX"/>
        </w:rPr>
        <w:t>.</w:t>
      </w:r>
    </w:p>
    <w:p w14:paraId="652B5594" w14:textId="40F52C74" w:rsidR="00770F1F" w:rsidRPr="00F536FA" w:rsidRDefault="00770F1F" w:rsidP="004B2A20">
      <w:pPr>
        <w:pStyle w:val="Prrafodelista"/>
        <w:tabs>
          <w:tab w:val="left" w:pos="66"/>
        </w:tabs>
        <w:spacing w:after="0" w:line="360" w:lineRule="auto"/>
        <w:ind w:left="0"/>
        <w:jc w:val="both"/>
        <w:rPr>
          <w:rFonts w:ascii="Palatino Linotype" w:eastAsia="MS Mincho" w:hAnsi="Palatino Linotype" w:cs="Arial"/>
          <w:iCs/>
          <w:sz w:val="24"/>
          <w:szCs w:val="24"/>
          <w:lang w:eastAsia="es-ES"/>
        </w:rPr>
      </w:pPr>
    </w:p>
    <w:p w14:paraId="4A7EF62B" w14:textId="5BD54393" w:rsidR="00BE18E4" w:rsidRPr="00F536FA" w:rsidRDefault="00881801" w:rsidP="008C559D">
      <w:pPr>
        <w:pStyle w:val="Prrafodelista"/>
        <w:keepNext/>
        <w:keepLines/>
        <w:spacing w:after="0" w:line="360" w:lineRule="auto"/>
        <w:ind w:left="0"/>
        <w:outlineLvl w:val="2"/>
        <w:rPr>
          <w:rFonts w:ascii="Palatino Linotype" w:eastAsia="MS Gothic" w:hAnsi="Palatino Linotype" w:cstheme="majorBidi"/>
          <w:b/>
          <w:sz w:val="24"/>
          <w:szCs w:val="24"/>
          <w:lang w:val="es-ES_tradnl" w:eastAsia="es-ES"/>
        </w:rPr>
      </w:pPr>
      <w:bookmarkStart w:id="28" w:name="_Toc54316032"/>
      <w:r w:rsidRPr="00F536FA">
        <w:rPr>
          <w:rFonts w:ascii="Palatino Linotype" w:eastAsia="MS Gothic" w:hAnsi="Palatino Linotype" w:cstheme="majorBidi"/>
          <w:b/>
          <w:sz w:val="24"/>
          <w:szCs w:val="24"/>
          <w:lang w:val="es-ES_tradnl" w:eastAsia="es-ES"/>
        </w:rPr>
        <w:lastRenderedPageBreak/>
        <w:t>I.</w:t>
      </w:r>
      <w:r w:rsidR="00BE18E4" w:rsidRPr="00F536FA">
        <w:rPr>
          <w:rFonts w:ascii="Palatino Linotype" w:eastAsia="MS Gothic" w:hAnsi="Palatino Linotype" w:cstheme="majorBidi"/>
          <w:b/>
          <w:sz w:val="24"/>
          <w:szCs w:val="24"/>
          <w:lang w:val="es-ES_tradnl" w:eastAsia="es-ES"/>
        </w:rPr>
        <w:t xml:space="preserve"> </w:t>
      </w:r>
      <w:r w:rsidR="00F42836" w:rsidRPr="00F536FA">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r w:rsidR="00BE18E4" w:rsidRPr="00F536FA">
        <w:rPr>
          <w:rFonts w:ascii="Palatino Linotype" w:eastAsia="MS Gothic" w:hAnsi="Palatino Linotype" w:cstheme="majorBidi"/>
          <w:b/>
          <w:sz w:val="24"/>
          <w:szCs w:val="24"/>
          <w:lang w:val="es-ES_tradnl" w:eastAsia="es-ES"/>
        </w:rPr>
        <w:t>.</w:t>
      </w:r>
      <w:bookmarkEnd w:id="28"/>
      <w:r w:rsidR="00BE18E4" w:rsidRPr="00F536FA">
        <w:rPr>
          <w:rFonts w:ascii="Palatino Linotype" w:eastAsia="MS Gothic" w:hAnsi="Palatino Linotype" w:cstheme="majorBidi"/>
          <w:b/>
          <w:sz w:val="24"/>
          <w:szCs w:val="24"/>
          <w:lang w:val="es-ES_tradnl" w:eastAsia="es-ES"/>
        </w:rPr>
        <w:t xml:space="preserve"> </w:t>
      </w:r>
    </w:p>
    <w:p w14:paraId="03B69C94" w14:textId="77777777" w:rsidR="00374179" w:rsidRPr="00F536FA" w:rsidRDefault="00374179" w:rsidP="004B2A20">
      <w:pPr>
        <w:spacing w:after="0" w:line="360" w:lineRule="auto"/>
        <w:rPr>
          <w:rFonts w:ascii="Palatino Linotype" w:eastAsia="MS Mincho" w:hAnsi="Palatino Linotype" w:cs="Times New Roman"/>
          <w:sz w:val="24"/>
          <w:szCs w:val="24"/>
          <w:lang w:val="es-ES_tradnl" w:eastAsia="es-ES"/>
        </w:rPr>
      </w:pPr>
    </w:p>
    <w:p w14:paraId="7735947B" w14:textId="51134E55" w:rsidR="00F42836" w:rsidRPr="00F536FA" w:rsidRDefault="006415FB"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imes New Roman"/>
          <w:sz w:val="24"/>
          <w:szCs w:val="24"/>
          <w:lang w:val="es-ES_tradnl" w:eastAsia="es-ES"/>
        </w:rPr>
        <w:t xml:space="preserve">Es </w:t>
      </w:r>
      <w:r w:rsidRPr="00F536FA">
        <w:rPr>
          <w:rFonts w:ascii="Palatino Linotype" w:eastAsia="MS Mincho" w:hAnsi="Palatino Linotype" w:cs="Times New Roman"/>
          <w:sz w:val="24"/>
          <w:szCs w:val="24"/>
          <w:lang w:eastAsia="es-ES"/>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536FA">
        <w:rPr>
          <w:rFonts w:ascii="Palatino Linotype" w:eastAsia="MS Mincho" w:hAnsi="Palatino Linotype" w:cs="Times New Roman"/>
          <w:b/>
          <w:sz w:val="24"/>
          <w:szCs w:val="24"/>
          <w:lang w:eastAsia="es-ES"/>
        </w:rPr>
        <w:t>SUJETO OBLIGADO</w:t>
      </w:r>
      <w:r w:rsidRPr="00F536FA">
        <w:rPr>
          <w:rFonts w:ascii="Palatino Linotype" w:eastAsia="MS Mincho" w:hAnsi="Palatino Linotype" w:cs="Times New Roman"/>
          <w:sz w:val="24"/>
          <w:szCs w:val="24"/>
          <w:lang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536FA">
        <w:rPr>
          <w:rFonts w:ascii="Palatino Linotype" w:eastAsia="MS Mincho" w:hAnsi="Palatino Linotype" w:cs="Times New Roman"/>
          <w:b/>
          <w:sz w:val="24"/>
          <w:szCs w:val="24"/>
          <w:lang w:eastAsia="es-ES"/>
        </w:rPr>
        <w:t xml:space="preserve">Constitución Política de los Estados Unidos Mexicanos </w:t>
      </w:r>
      <w:r w:rsidRPr="00F536FA">
        <w:rPr>
          <w:rFonts w:ascii="Palatino Linotype" w:eastAsia="MS Mincho" w:hAnsi="Palatino Linotype" w:cs="Times New Roman"/>
          <w:sz w:val="24"/>
          <w:szCs w:val="24"/>
          <w:lang w:eastAsia="es-ES"/>
        </w:rPr>
        <w:t>al señalar la obligación de “promover, respetar, proteger y garantizar los derechos humanos”, entre los cuales se encuentra dicho derecho.</w:t>
      </w:r>
    </w:p>
    <w:p w14:paraId="47C71F83" w14:textId="77777777" w:rsidR="00F42836" w:rsidRPr="00F536FA" w:rsidRDefault="00F42836" w:rsidP="00F42836">
      <w:pPr>
        <w:spacing w:after="0" w:line="360" w:lineRule="auto"/>
        <w:ind w:right="49"/>
        <w:contextualSpacing/>
        <w:jc w:val="both"/>
        <w:rPr>
          <w:rFonts w:ascii="Palatino Linotype" w:eastAsia="MS Mincho" w:hAnsi="Palatino Linotype" w:cs="Times New Roman"/>
          <w:sz w:val="24"/>
          <w:szCs w:val="24"/>
          <w:lang w:val="es-ES_tradnl" w:eastAsia="es-ES"/>
        </w:rPr>
      </w:pPr>
    </w:p>
    <w:p w14:paraId="0FA17BC9" w14:textId="65DAB567" w:rsidR="00374179" w:rsidRPr="00F536FA" w:rsidRDefault="00F4283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imes New Roman"/>
          <w:sz w:val="24"/>
          <w:szCs w:val="24"/>
          <w:lang w:val="es-ES_tradnl" w:eastAsia="es-ES"/>
        </w:rPr>
        <w:t xml:space="preserve">Definiendo el Derecho de Acceso a la Información Pública como: </w:t>
      </w:r>
      <w:r w:rsidRPr="00F536FA">
        <w:rPr>
          <w:rFonts w:ascii="Palatino Linotype" w:eastAsia="MS Mincho" w:hAnsi="Palatino Linotype" w:cs="Times New Roman"/>
          <w:i/>
          <w:sz w:val="24"/>
          <w:szCs w:val="24"/>
          <w:lang w:val="es-ES_tradnl" w:eastAsia="es-ES"/>
        </w:rPr>
        <w:t>La igualdad de oportunidades para recibir, buscar e impartir información</w:t>
      </w:r>
      <w:r w:rsidRPr="00F536FA">
        <w:rPr>
          <w:rFonts w:ascii="Palatino Linotype" w:eastAsia="MS Mincho" w:hAnsi="Palatino Linotype" w:cs="Times New Roman"/>
          <w:i/>
          <w:sz w:val="24"/>
          <w:szCs w:val="24"/>
          <w:vertAlign w:val="superscript"/>
          <w:lang w:val="es-ES_tradnl" w:eastAsia="es-ES"/>
        </w:rPr>
        <w:footnoteReference w:id="1"/>
      </w:r>
      <w:r w:rsidRPr="00F536FA">
        <w:rPr>
          <w:rFonts w:ascii="Palatino Linotype" w:eastAsia="MS Mincho" w:hAnsi="Palatino Linotype" w:cs="Times New Roman"/>
          <w:i/>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536FA">
        <w:rPr>
          <w:rFonts w:ascii="Palatino Linotype" w:eastAsia="MS Mincho" w:hAnsi="Palatino Linotype" w:cs="Times New Roman"/>
          <w:i/>
          <w:sz w:val="24"/>
          <w:szCs w:val="24"/>
          <w:vertAlign w:val="superscript"/>
          <w:lang w:val="es-ES_tradnl" w:eastAsia="es-ES"/>
        </w:rPr>
        <w:footnoteReference w:id="2"/>
      </w:r>
      <w:r w:rsidRPr="00F536FA">
        <w:rPr>
          <w:rFonts w:ascii="Palatino Linotype" w:eastAsia="MS Mincho" w:hAnsi="Palatino Linotype" w:cs="Times New Roman"/>
          <w:sz w:val="24"/>
          <w:szCs w:val="24"/>
          <w:lang w:val="es-ES_tradnl" w:eastAsia="es-ES"/>
        </w:rPr>
        <w:t>que se constituye como una herramienta fundamental para ejercer</w:t>
      </w:r>
      <w:r w:rsidRPr="00F536FA">
        <w:rPr>
          <w:rFonts w:ascii="Palatino Linotype" w:eastAsia="MS Mincho" w:hAnsi="Palatino Linotype" w:cs="Times New Roman"/>
          <w:i/>
          <w:sz w:val="24"/>
          <w:szCs w:val="24"/>
          <w:lang w:val="es-ES_tradnl" w:eastAsia="es-ES"/>
        </w:rPr>
        <w:t xml:space="preserve"> el control democrático de las gestiones estatales, </w:t>
      </w:r>
      <w:r w:rsidRPr="00F536FA">
        <w:rPr>
          <w:rFonts w:ascii="Palatino Linotype" w:eastAsia="MS Mincho" w:hAnsi="Palatino Linotype" w:cs="Times New Roman"/>
          <w:i/>
          <w:sz w:val="24"/>
          <w:szCs w:val="24"/>
          <w:lang w:val="es-ES_tradnl" w:eastAsia="es-ES"/>
        </w:rPr>
        <w:lastRenderedPageBreak/>
        <w:t>de forma tal que puedan cuestionar, indagar y considerar si se está dando un adecuado cumplimiento a las funciones públicas,</w:t>
      </w:r>
      <w:r w:rsidRPr="00F536FA">
        <w:rPr>
          <w:rFonts w:ascii="Palatino Linotype" w:eastAsia="MS Mincho" w:hAnsi="Palatino Linotype" w:cs="Times New Roman"/>
          <w:i/>
          <w:sz w:val="24"/>
          <w:szCs w:val="24"/>
          <w:vertAlign w:val="superscript"/>
          <w:lang w:val="es-ES_tradnl" w:eastAsia="es-ES"/>
        </w:rPr>
        <w:footnoteReference w:id="3"/>
      </w:r>
      <w:r w:rsidRPr="00F536FA">
        <w:rPr>
          <w:rFonts w:ascii="Palatino Linotype" w:eastAsia="MS Mincho" w:hAnsi="Palatino Linotype" w:cs="Times New Roman"/>
          <w:i/>
          <w:sz w:val="24"/>
          <w:szCs w:val="24"/>
          <w:lang w:val="es-ES_tradnl" w:eastAsia="es-ES"/>
        </w:rPr>
        <w:t xml:space="preserve"> </w:t>
      </w:r>
      <w:r w:rsidRPr="00F536FA">
        <w:rPr>
          <w:rFonts w:ascii="Palatino Linotype" w:eastAsia="MS Mincho" w:hAnsi="Palatino Linotype" w:cs="Times New Roman"/>
          <w:sz w:val="24"/>
          <w:szCs w:val="24"/>
          <w:lang w:val="es-ES_tradnl" w:eastAsia="es-ES"/>
        </w:rPr>
        <w:t>fomentando</w:t>
      </w:r>
      <w:r w:rsidRPr="00F536FA">
        <w:rPr>
          <w:rFonts w:ascii="Palatino Linotype" w:eastAsia="MS Mincho" w:hAnsi="Palatino Linotype" w:cs="Times New Roman"/>
          <w:i/>
          <w:sz w:val="24"/>
          <w:szCs w:val="24"/>
          <w:lang w:val="es-ES_tradnl" w:eastAsia="es-ES"/>
        </w:rPr>
        <w:t xml:space="preserve"> la transparencia de las actividades estatales y </w:t>
      </w:r>
      <w:r w:rsidRPr="00F536FA">
        <w:rPr>
          <w:rFonts w:ascii="Palatino Linotype" w:eastAsia="MS Mincho" w:hAnsi="Palatino Linotype" w:cs="Times New Roman"/>
          <w:sz w:val="24"/>
          <w:szCs w:val="24"/>
          <w:lang w:val="es-ES_tradnl" w:eastAsia="es-ES"/>
        </w:rPr>
        <w:t>promoviendo</w:t>
      </w:r>
      <w:r w:rsidRPr="00F536FA">
        <w:rPr>
          <w:rFonts w:ascii="Palatino Linotype" w:eastAsia="MS Mincho" w:hAnsi="Palatino Linotype" w:cs="Times New Roman"/>
          <w:i/>
          <w:sz w:val="24"/>
          <w:szCs w:val="24"/>
          <w:lang w:val="es-ES_tradnl" w:eastAsia="es-ES"/>
        </w:rPr>
        <w:t xml:space="preserve"> la responsabilidad de los funcionarios sobre su gestión pública,</w:t>
      </w:r>
      <w:r w:rsidRPr="00F536FA">
        <w:rPr>
          <w:rFonts w:ascii="Palatino Linotype" w:eastAsia="MS Mincho" w:hAnsi="Palatino Linotype" w:cs="Times New Roman"/>
          <w:i/>
          <w:sz w:val="24"/>
          <w:szCs w:val="24"/>
          <w:vertAlign w:val="superscript"/>
          <w:lang w:val="es-ES_tradnl" w:eastAsia="es-ES"/>
        </w:rPr>
        <w:footnoteReference w:id="4"/>
      </w:r>
      <w:r w:rsidRPr="00F536FA">
        <w:rPr>
          <w:rFonts w:ascii="Palatino Linotype" w:eastAsia="MS Mincho" w:hAnsi="Palatino Linotype" w:cs="Times New Roman"/>
          <w:sz w:val="24"/>
          <w:szCs w:val="24"/>
          <w:lang w:val="es-ES_tradnl" w:eastAsia="es-ES"/>
        </w:rPr>
        <w:t>que permite</w:t>
      </w:r>
      <w:r w:rsidRPr="00F536FA">
        <w:rPr>
          <w:rFonts w:ascii="Palatino Linotype" w:eastAsia="MS Mincho" w:hAnsi="Palatino Linotype" w:cs="Times New Roman"/>
          <w:i/>
          <w:sz w:val="24"/>
          <w:szCs w:val="24"/>
          <w:lang w:val="es-ES_tradnl" w:eastAsia="es-ES"/>
        </w:rPr>
        <w:t xml:space="preserve"> saber qué están haciendo los gobiernos por sus pueblos, sin lo cual la verdad languidecería y la participación en el gobierno permanecería fragmentada.</w:t>
      </w:r>
    </w:p>
    <w:p w14:paraId="41169354" w14:textId="77777777" w:rsidR="00374179" w:rsidRPr="00F536FA" w:rsidRDefault="00374179"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4A5D9ECE" w14:textId="7C9856A2" w:rsidR="006415FB" w:rsidRPr="00F536FA" w:rsidRDefault="00F4283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heme="majorBidi"/>
          <w:sz w:val="24"/>
          <w:szCs w:val="24"/>
          <w:lang w:val="es-ES_tradnl" w:eastAsia="es-ES"/>
        </w:rPr>
        <w:t>P</w:t>
      </w:r>
      <w:r w:rsidR="006415FB" w:rsidRPr="00F536FA">
        <w:rPr>
          <w:rFonts w:ascii="Palatino Linotype" w:eastAsia="MS Mincho" w:hAnsi="Palatino Linotype" w:cstheme="majorBidi"/>
          <w:sz w:val="24"/>
          <w:szCs w:val="24"/>
          <w:lang w:val="es-ES_tradnl" w:eastAsia="es-ES"/>
        </w:rPr>
        <w:t xml:space="preserve">or </w:t>
      </w:r>
      <w:r w:rsidR="006415FB" w:rsidRPr="00F536FA">
        <w:rPr>
          <w:rFonts w:ascii="Palatino Linotype" w:eastAsia="MS Mincho" w:hAnsi="Palatino Linotype" w:cstheme="majorBidi"/>
          <w:sz w:val="24"/>
          <w:szCs w:val="24"/>
          <w:lang w:eastAsia="es-ES"/>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7740192" w14:textId="77777777" w:rsidR="006415FB" w:rsidRPr="00F536FA"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130438E6" w14:textId="560CF589" w:rsidR="006415FB" w:rsidRPr="00F536FA" w:rsidRDefault="00883832"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heme="majorBidi"/>
          <w:sz w:val="24"/>
          <w:szCs w:val="24"/>
          <w:lang w:val="es-ES_tradnl" w:eastAsia="es-ES"/>
        </w:rPr>
        <w:t>La</w:t>
      </w:r>
      <w:r w:rsidR="001B4876" w:rsidRPr="00F536FA">
        <w:rPr>
          <w:rFonts w:ascii="Palatino Linotype" w:eastAsia="MS Mincho" w:hAnsi="Palatino Linotype" w:cstheme="majorBidi"/>
          <w:sz w:val="24"/>
          <w:szCs w:val="24"/>
          <w:lang w:val="es-ES_tradnl" w:eastAsia="es-ES"/>
        </w:rPr>
        <w:t xml:space="preserve"> </w:t>
      </w:r>
      <w:r w:rsidR="001B4876" w:rsidRPr="00F536FA">
        <w:rPr>
          <w:rFonts w:ascii="Palatino Linotype" w:eastAsia="MS Mincho" w:hAnsi="Palatino Linotype" w:cstheme="majorBidi"/>
          <w:sz w:val="24"/>
          <w:szCs w:val="24"/>
          <w:lang w:eastAsia="es-ES"/>
        </w:rPr>
        <w:t xml:space="preserve">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B92CA6" w:rsidRPr="00F536FA">
        <w:rPr>
          <w:rFonts w:ascii="Palatino Linotype" w:eastAsia="MS Mincho" w:hAnsi="Palatino Linotype" w:cstheme="majorBidi"/>
          <w:sz w:val="24"/>
          <w:szCs w:val="24"/>
          <w:lang w:eastAsia="es-ES"/>
        </w:rPr>
        <w:t>Sujetos Obligados</w:t>
      </w:r>
      <w:r w:rsidR="001B4876" w:rsidRPr="00F536FA">
        <w:rPr>
          <w:rFonts w:ascii="Palatino Linotype" w:eastAsia="MS Mincho" w:hAnsi="Palatino Linotype" w:cstheme="majorBidi"/>
          <w:sz w:val="24"/>
          <w:szCs w:val="24"/>
          <w:lang w:eastAsia="es-ES"/>
        </w:rPr>
        <w:t>; en su artículo 176</w:t>
      </w:r>
      <w:r w:rsidRPr="00F536FA">
        <w:rPr>
          <w:rFonts w:ascii="Palatino Linotype" w:eastAsia="MS Mincho" w:hAnsi="Palatino Linotype" w:cstheme="majorBidi"/>
          <w:sz w:val="24"/>
          <w:szCs w:val="24"/>
          <w:lang w:eastAsia="es-ES"/>
        </w:rPr>
        <w:t>,</w:t>
      </w:r>
      <w:r w:rsidR="001B4876" w:rsidRPr="00F536FA">
        <w:rPr>
          <w:rFonts w:ascii="Palatino Linotype" w:eastAsia="MS Mincho" w:hAnsi="Palatino Linotype" w:cstheme="majorBidi"/>
          <w:sz w:val="24"/>
          <w:szCs w:val="24"/>
          <w:lang w:eastAsia="es-ES"/>
        </w:rPr>
        <w:t xml:space="preserve">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C6ACC3F" w14:textId="01B546BD" w:rsidR="0088635D" w:rsidRPr="00F536FA" w:rsidRDefault="00881801" w:rsidP="008C559D">
      <w:pPr>
        <w:pStyle w:val="Ttulo3"/>
        <w:rPr>
          <w:rFonts w:ascii="Palatino Linotype" w:eastAsia="MS Gothic" w:hAnsi="Palatino Linotype"/>
          <w:b/>
          <w:color w:val="auto"/>
          <w:lang w:val="es-ES_tradnl" w:eastAsia="es-ES"/>
        </w:rPr>
      </w:pPr>
      <w:bookmarkStart w:id="29" w:name="_Toc54316033"/>
      <w:r w:rsidRPr="00F536FA">
        <w:rPr>
          <w:rFonts w:ascii="Palatino Linotype" w:eastAsia="MS Gothic" w:hAnsi="Palatino Linotype"/>
          <w:b/>
          <w:color w:val="auto"/>
          <w:lang w:val="es-ES_tradnl" w:eastAsia="es-ES"/>
        </w:rPr>
        <w:lastRenderedPageBreak/>
        <w:t>II.</w:t>
      </w:r>
      <w:r w:rsidR="0088635D" w:rsidRPr="00F536FA">
        <w:rPr>
          <w:rFonts w:ascii="Palatino Linotype" w:eastAsia="MS Gothic" w:hAnsi="Palatino Linotype"/>
          <w:b/>
          <w:color w:val="auto"/>
          <w:lang w:val="es-ES_tradnl" w:eastAsia="es-ES"/>
        </w:rPr>
        <w:t xml:space="preserve"> De la </w:t>
      </w:r>
      <w:r w:rsidR="00161FA6" w:rsidRPr="00F536FA">
        <w:rPr>
          <w:rFonts w:ascii="Palatino Linotype" w:eastAsia="MS Gothic" w:hAnsi="Palatino Linotype"/>
          <w:b/>
          <w:color w:val="auto"/>
          <w:lang w:val="es-ES_tradnl" w:eastAsia="es-ES"/>
        </w:rPr>
        <w:t>respuesta</w:t>
      </w:r>
      <w:r w:rsidR="003202E9" w:rsidRPr="00F536FA">
        <w:rPr>
          <w:rFonts w:ascii="Palatino Linotype" w:eastAsia="MS Gothic" w:hAnsi="Palatino Linotype"/>
          <w:b/>
          <w:color w:val="auto"/>
          <w:lang w:val="es-ES_tradnl" w:eastAsia="es-ES"/>
        </w:rPr>
        <w:t xml:space="preserve"> a la solicitud de información</w:t>
      </w:r>
      <w:r w:rsidR="0088635D" w:rsidRPr="00F536FA">
        <w:rPr>
          <w:rFonts w:ascii="Palatino Linotype" w:eastAsia="MS Gothic" w:hAnsi="Palatino Linotype"/>
          <w:b/>
          <w:color w:val="auto"/>
          <w:lang w:val="es-ES_tradnl" w:eastAsia="es-ES"/>
        </w:rPr>
        <w:t>.</w:t>
      </w:r>
      <w:bookmarkEnd w:id="29"/>
      <w:r w:rsidR="0088635D" w:rsidRPr="00F536FA">
        <w:rPr>
          <w:rFonts w:ascii="Palatino Linotype" w:eastAsia="MS Gothic" w:hAnsi="Palatino Linotype"/>
          <w:b/>
          <w:color w:val="auto"/>
          <w:lang w:val="es-ES_tradnl" w:eastAsia="es-ES"/>
        </w:rPr>
        <w:t xml:space="preserve"> </w:t>
      </w:r>
    </w:p>
    <w:p w14:paraId="182A4622" w14:textId="77777777" w:rsidR="00A64D2E" w:rsidRPr="00F536FA" w:rsidRDefault="00A64D2E"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3A5A7CD3" w14:textId="60638562" w:rsidR="00883832" w:rsidRPr="00F536FA" w:rsidRDefault="00D36D4A"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Como fuera </w:t>
      </w:r>
      <w:r w:rsidR="00327AF8" w:rsidRPr="00F536FA">
        <w:rPr>
          <w:rFonts w:ascii="Palatino Linotype" w:eastAsia="MS Mincho" w:hAnsi="Palatino Linotype" w:cs="Times New Roman"/>
          <w:sz w:val="24"/>
          <w:szCs w:val="24"/>
          <w:lang w:val="es-ES_tradnl" w:eastAsia="es-ES"/>
        </w:rPr>
        <w:t xml:space="preserve">señalado en el apartado de </w:t>
      </w:r>
      <w:r w:rsidR="00327AF8" w:rsidRPr="00F536FA">
        <w:rPr>
          <w:rFonts w:ascii="Palatino Linotype" w:eastAsia="MS Mincho" w:hAnsi="Palatino Linotype" w:cs="Times New Roman"/>
          <w:i/>
          <w:iCs/>
          <w:sz w:val="24"/>
          <w:szCs w:val="24"/>
          <w:lang w:val="es-ES_tradnl" w:eastAsia="es-ES"/>
        </w:rPr>
        <w:t>Antecedentes</w:t>
      </w:r>
      <w:r w:rsidR="00327AF8" w:rsidRPr="00F536FA">
        <w:rPr>
          <w:rFonts w:ascii="Palatino Linotype" w:eastAsia="MS Mincho" w:hAnsi="Palatino Linotype" w:cs="Times New Roman"/>
          <w:sz w:val="24"/>
          <w:szCs w:val="24"/>
          <w:lang w:val="es-ES_tradnl" w:eastAsia="es-ES"/>
        </w:rPr>
        <w:t xml:space="preserve">, el </w:t>
      </w:r>
      <w:r w:rsidR="003471FE" w:rsidRPr="00F536FA">
        <w:rPr>
          <w:rFonts w:ascii="Palatino Linotype" w:eastAsia="MS Mincho" w:hAnsi="Palatino Linotype" w:cs="Times New Roman"/>
          <w:sz w:val="24"/>
          <w:szCs w:val="24"/>
          <w:lang w:val="es-ES_tradnl" w:eastAsia="es-ES"/>
        </w:rPr>
        <w:t>dieciséis</w:t>
      </w:r>
      <w:r w:rsidR="00327AF8" w:rsidRPr="00F536FA">
        <w:rPr>
          <w:rFonts w:ascii="Palatino Linotype" w:eastAsia="MS Mincho" w:hAnsi="Palatino Linotype" w:cs="Times New Roman"/>
          <w:sz w:val="24"/>
          <w:szCs w:val="24"/>
          <w:lang w:val="es-ES_tradnl" w:eastAsia="es-ES"/>
        </w:rPr>
        <w:t xml:space="preserve"> (</w:t>
      </w:r>
      <w:r w:rsidR="003471FE" w:rsidRPr="00F536FA">
        <w:rPr>
          <w:rFonts w:ascii="Palatino Linotype" w:eastAsia="MS Mincho" w:hAnsi="Palatino Linotype" w:cs="Times New Roman"/>
          <w:sz w:val="24"/>
          <w:szCs w:val="24"/>
          <w:lang w:val="es-ES_tradnl" w:eastAsia="es-ES"/>
        </w:rPr>
        <w:t>16</w:t>
      </w:r>
      <w:r w:rsidR="00327AF8" w:rsidRPr="00F536FA">
        <w:rPr>
          <w:rFonts w:ascii="Palatino Linotype" w:eastAsia="MS Mincho" w:hAnsi="Palatino Linotype" w:cs="Times New Roman"/>
          <w:sz w:val="24"/>
          <w:szCs w:val="24"/>
          <w:lang w:val="es-ES_tradnl" w:eastAsia="es-ES"/>
        </w:rPr>
        <w:t xml:space="preserve">) de </w:t>
      </w:r>
      <w:r w:rsidR="00883832" w:rsidRPr="00F536FA">
        <w:rPr>
          <w:rFonts w:ascii="Palatino Linotype" w:eastAsia="MS Mincho" w:hAnsi="Palatino Linotype" w:cs="Times New Roman"/>
          <w:sz w:val="24"/>
          <w:szCs w:val="24"/>
          <w:lang w:val="es-ES_tradnl" w:eastAsia="es-ES"/>
        </w:rPr>
        <w:t>ju</w:t>
      </w:r>
      <w:r w:rsidR="003471FE" w:rsidRPr="00F536FA">
        <w:rPr>
          <w:rFonts w:ascii="Palatino Linotype" w:eastAsia="MS Mincho" w:hAnsi="Palatino Linotype" w:cs="Times New Roman"/>
          <w:sz w:val="24"/>
          <w:szCs w:val="24"/>
          <w:lang w:val="es-ES_tradnl" w:eastAsia="es-ES"/>
        </w:rPr>
        <w:t>l</w:t>
      </w:r>
      <w:r w:rsidR="00883832" w:rsidRPr="00F536FA">
        <w:rPr>
          <w:rFonts w:ascii="Palatino Linotype" w:eastAsia="MS Mincho" w:hAnsi="Palatino Linotype" w:cs="Times New Roman"/>
          <w:sz w:val="24"/>
          <w:szCs w:val="24"/>
          <w:lang w:val="es-ES_tradnl" w:eastAsia="es-ES"/>
        </w:rPr>
        <w:t>io</w:t>
      </w:r>
      <w:r w:rsidR="00327AF8" w:rsidRPr="00F536FA">
        <w:rPr>
          <w:rFonts w:ascii="Palatino Linotype" w:eastAsia="MS Mincho" w:hAnsi="Palatino Linotype" w:cs="Times New Roman"/>
          <w:sz w:val="24"/>
          <w:szCs w:val="24"/>
          <w:lang w:val="es-ES_tradnl" w:eastAsia="es-ES"/>
        </w:rPr>
        <w:t xml:space="preserve"> de dos mil veinte, el entonces </w:t>
      </w:r>
      <w:r w:rsidR="00327AF8" w:rsidRPr="00F536FA">
        <w:rPr>
          <w:rFonts w:ascii="Palatino Linotype" w:eastAsia="MS Mincho" w:hAnsi="Palatino Linotype" w:cs="Times New Roman"/>
          <w:b/>
          <w:bCs/>
          <w:sz w:val="24"/>
          <w:szCs w:val="24"/>
          <w:lang w:val="es-ES_tradnl" w:eastAsia="es-ES"/>
        </w:rPr>
        <w:t>SOLICITANTE</w:t>
      </w:r>
      <w:r w:rsidR="00327AF8" w:rsidRPr="00F536FA">
        <w:rPr>
          <w:rFonts w:ascii="Palatino Linotype" w:eastAsia="MS Mincho" w:hAnsi="Palatino Linotype" w:cs="Times New Roman"/>
          <w:sz w:val="24"/>
          <w:szCs w:val="24"/>
          <w:lang w:val="es-ES_tradnl" w:eastAsia="es-ES"/>
        </w:rPr>
        <w:t xml:space="preserve"> presentó ante el </w:t>
      </w:r>
      <w:r w:rsidR="00327AF8" w:rsidRPr="00F536FA">
        <w:rPr>
          <w:rFonts w:ascii="Palatino Linotype" w:eastAsia="MS Mincho" w:hAnsi="Palatino Linotype" w:cs="Times New Roman"/>
          <w:b/>
          <w:bCs/>
          <w:sz w:val="24"/>
          <w:szCs w:val="24"/>
          <w:lang w:val="es-ES_tradnl" w:eastAsia="es-ES"/>
        </w:rPr>
        <w:t>SUJETO OBLIGADO</w:t>
      </w:r>
      <w:r w:rsidR="00327AF8" w:rsidRPr="00F536FA">
        <w:rPr>
          <w:rFonts w:ascii="Palatino Linotype" w:eastAsia="MS Mincho" w:hAnsi="Palatino Linotype" w:cs="Times New Roman"/>
          <w:sz w:val="24"/>
          <w:szCs w:val="24"/>
          <w:lang w:val="es-ES_tradnl" w:eastAsia="es-ES"/>
        </w:rPr>
        <w:t xml:space="preserve">, la solicitud de información </w:t>
      </w:r>
      <w:r w:rsidR="003471FE" w:rsidRPr="00F536FA">
        <w:rPr>
          <w:rFonts w:ascii="Palatino Linotype" w:eastAsia="MS Mincho" w:hAnsi="Palatino Linotype" w:cs="Times New Roman"/>
          <w:b/>
          <w:bCs/>
          <w:sz w:val="24"/>
          <w:szCs w:val="24"/>
          <w:lang w:val="es-ES_tradnl" w:eastAsia="es-ES"/>
        </w:rPr>
        <w:t>00072</w:t>
      </w:r>
      <w:r w:rsidR="00327AF8" w:rsidRPr="00F536FA">
        <w:rPr>
          <w:rFonts w:ascii="Palatino Linotype" w:eastAsia="MS Mincho" w:hAnsi="Palatino Linotype" w:cs="Times New Roman"/>
          <w:b/>
          <w:bCs/>
          <w:sz w:val="24"/>
          <w:szCs w:val="24"/>
          <w:lang w:val="es-ES_tradnl" w:eastAsia="es-ES"/>
        </w:rPr>
        <w:t>/</w:t>
      </w:r>
      <w:r w:rsidR="003471FE" w:rsidRPr="00F536FA">
        <w:rPr>
          <w:rFonts w:ascii="Palatino Linotype" w:eastAsia="MS Mincho" w:hAnsi="Palatino Linotype" w:cs="Times New Roman"/>
          <w:b/>
          <w:bCs/>
          <w:sz w:val="24"/>
          <w:szCs w:val="24"/>
          <w:lang w:val="es-ES_tradnl" w:eastAsia="es-ES"/>
        </w:rPr>
        <w:t>IXTLAHUA</w:t>
      </w:r>
      <w:r w:rsidR="00327AF8" w:rsidRPr="00F536FA">
        <w:rPr>
          <w:rFonts w:ascii="Palatino Linotype" w:eastAsia="MS Mincho" w:hAnsi="Palatino Linotype" w:cs="Times New Roman"/>
          <w:b/>
          <w:bCs/>
          <w:sz w:val="24"/>
          <w:szCs w:val="24"/>
          <w:lang w:val="es-ES_tradnl" w:eastAsia="es-ES"/>
        </w:rPr>
        <w:t>/IP/2020</w:t>
      </w:r>
      <w:r w:rsidR="00327AF8" w:rsidRPr="00F536FA">
        <w:rPr>
          <w:rFonts w:ascii="Palatino Linotype" w:eastAsia="MS Mincho" w:hAnsi="Palatino Linotype" w:cs="Times New Roman"/>
          <w:sz w:val="24"/>
          <w:szCs w:val="24"/>
          <w:lang w:val="es-ES_tradnl" w:eastAsia="es-ES"/>
        </w:rPr>
        <w:t xml:space="preserve">, mediante la cual requirió </w:t>
      </w:r>
      <w:r w:rsidR="00161FA6" w:rsidRPr="00F536FA">
        <w:rPr>
          <w:rFonts w:ascii="Palatino Linotype" w:eastAsia="MS Mincho" w:hAnsi="Palatino Linotype" w:cs="Times New Roman"/>
          <w:sz w:val="24"/>
          <w:szCs w:val="24"/>
          <w:lang w:val="es-ES_tradnl" w:eastAsia="es-ES"/>
        </w:rPr>
        <w:t>conocer</w:t>
      </w:r>
      <w:r w:rsidR="00883832" w:rsidRPr="00F536FA">
        <w:rPr>
          <w:rFonts w:ascii="Palatino Linotype" w:eastAsia="MS Mincho" w:hAnsi="Palatino Linotype" w:cs="Times New Roman"/>
          <w:sz w:val="24"/>
          <w:szCs w:val="24"/>
          <w:lang w:val="es-ES_tradnl" w:eastAsia="es-ES"/>
        </w:rPr>
        <w:t xml:space="preserve"> lo siguiente: </w:t>
      </w:r>
    </w:p>
    <w:p w14:paraId="57EB5E9F" w14:textId="7061012E" w:rsidR="003471FE" w:rsidRPr="00F536FA" w:rsidRDefault="003471FE" w:rsidP="003628D9">
      <w:pPr>
        <w:numPr>
          <w:ilvl w:val="1"/>
          <w:numId w:val="2"/>
        </w:numPr>
        <w:spacing w:after="0" w:line="360" w:lineRule="auto"/>
        <w:ind w:left="993" w:right="49"/>
        <w:jc w:val="both"/>
        <w:rPr>
          <w:rFonts w:ascii="Palatino Linotype" w:eastAsia="MS Mincho" w:hAnsi="Palatino Linotype" w:cs="Times New Roman"/>
          <w:sz w:val="24"/>
        </w:rPr>
      </w:pPr>
      <w:r w:rsidRPr="00F536FA">
        <w:rPr>
          <w:rFonts w:ascii="Palatino Linotype" w:eastAsia="MS Mincho" w:hAnsi="Palatino Linotype" w:cs="Times New Roman"/>
          <w:sz w:val="24"/>
        </w:rPr>
        <w:t xml:space="preserve">Monto de las aportaciones realizadas en cualquier modalidad (pago de derechos, donación, </w:t>
      </w:r>
      <w:proofErr w:type="spellStart"/>
      <w:r w:rsidRPr="00F536FA">
        <w:rPr>
          <w:rFonts w:ascii="Palatino Linotype" w:eastAsia="MS Mincho" w:hAnsi="Palatino Linotype" w:cs="Times New Roman"/>
          <w:sz w:val="24"/>
        </w:rPr>
        <w:t>etc</w:t>
      </w:r>
      <w:proofErr w:type="spellEnd"/>
      <w:r w:rsidRPr="00F536FA">
        <w:rPr>
          <w:rFonts w:ascii="Palatino Linotype" w:eastAsia="MS Mincho" w:hAnsi="Palatino Linotype" w:cs="Times New Roman"/>
          <w:sz w:val="24"/>
        </w:rPr>
        <w:t xml:space="preserve">) al Ayuntamiento, por parte de las empresas y/o personas físicas de juegos mecánicos que han proporcionado el servicio de juegos mecánicos en las ferias correspondientes a los festejos del mes de octubre de los años 2015 a 2019; así como copia de los recibos otorgados por la </w:t>
      </w:r>
      <w:r w:rsidR="003628D9" w:rsidRPr="00F536FA">
        <w:rPr>
          <w:rFonts w:ascii="Palatino Linotype" w:eastAsia="MS Mincho" w:hAnsi="Palatino Linotype" w:cs="Times New Roman"/>
          <w:sz w:val="24"/>
        </w:rPr>
        <w:t xml:space="preserve">Tesorería Municipal </w:t>
      </w:r>
      <w:r w:rsidRPr="00F536FA">
        <w:rPr>
          <w:rFonts w:ascii="Palatino Linotype" w:eastAsia="MS Mincho" w:hAnsi="Palatino Linotype" w:cs="Times New Roman"/>
          <w:sz w:val="24"/>
        </w:rPr>
        <w:t xml:space="preserve">y copia de los permisos otorgados por el </w:t>
      </w:r>
      <w:r w:rsidR="003628D9" w:rsidRPr="00F536FA">
        <w:rPr>
          <w:rFonts w:ascii="Palatino Linotype" w:eastAsia="MS Mincho" w:hAnsi="Palatino Linotype" w:cs="Times New Roman"/>
          <w:sz w:val="24"/>
        </w:rPr>
        <w:t>Ayuntamiento</w:t>
      </w:r>
      <w:r w:rsidRPr="00F536FA">
        <w:rPr>
          <w:rFonts w:ascii="Palatino Linotype" w:eastAsia="MS Mincho" w:hAnsi="Palatino Linotype" w:cs="Times New Roman"/>
          <w:sz w:val="24"/>
        </w:rPr>
        <w:t xml:space="preserve">. </w:t>
      </w:r>
    </w:p>
    <w:p w14:paraId="7B99D4A5" w14:textId="1D6D8F25"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t xml:space="preserve">Contratos, acuerdos, convenios o documentos jurídicos celebrados entre el Ayuntamiento de Ixtlahuaca y las empresas y/o personas físicas de juegos mecánicos, en los que se establezcan los términos bajo los cuales el </w:t>
      </w:r>
      <w:r w:rsidR="003628D9" w:rsidRPr="00F536FA">
        <w:rPr>
          <w:rFonts w:ascii="Palatino Linotype" w:eastAsia="MS Mincho" w:hAnsi="Palatino Linotype" w:cs="Times New Roman"/>
          <w:sz w:val="24"/>
        </w:rPr>
        <w:t xml:space="preserve">Ayuntamiento </w:t>
      </w:r>
      <w:r w:rsidRPr="00F536FA">
        <w:rPr>
          <w:rFonts w:ascii="Palatino Linotype" w:eastAsia="MS Mincho" w:hAnsi="Palatino Linotype" w:cs="Times New Roman"/>
          <w:sz w:val="24"/>
        </w:rPr>
        <w:t xml:space="preserve">permitirá la instalación de dichas empresas durante las </w:t>
      </w:r>
      <w:r w:rsidR="003628D9" w:rsidRPr="00F536FA">
        <w:rPr>
          <w:rFonts w:ascii="Palatino Linotype" w:eastAsia="MS Mincho" w:hAnsi="Palatino Linotype" w:cs="Times New Roman"/>
          <w:sz w:val="24"/>
        </w:rPr>
        <w:t xml:space="preserve">Ferias </w:t>
      </w:r>
      <w:r w:rsidRPr="00F536FA">
        <w:rPr>
          <w:rFonts w:ascii="Palatino Linotype" w:eastAsia="MS Mincho" w:hAnsi="Palatino Linotype" w:cs="Times New Roman"/>
          <w:sz w:val="24"/>
        </w:rPr>
        <w:t xml:space="preserve">2015 a 2019. </w:t>
      </w:r>
    </w:p>
    <w:p w14:paraId="577FCACE" w14:textId="77777777"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t xml:space="preserve">Costo de la realización de la feria de Ixtlahuaca en los ejercicios 2015 a 2019, así como los programas y elencos artísticos de cada edición. </w:t>
      </w:r>
    </w:p>
    <w:p w14:paraId="5C942D41" w14:textId="4E45B235"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t>Nombre de la empresa o empresas y/o personas físicas que llevaron a cabo los eventos denominados "</w:t>
      </w:r>
      <w:r w:rsidR="003628D9" w:rsidRPr="00F536FA">
        <w:rPr>
          <w:rFonts w:ascii="Palatino Linotype" w:eastAsia="MS Mincho" w:hAnsi="Palatino Linotype" w:cs="Times New Roman"/>
          <w:sz w:val="24"/>
        </w:rPr>
        <w:t>Cuernos Chuecos</w:t>
      </w:r>
      <w:r w:rsidRPr="00F536FA">
        <w:rPr>
          <w:rFonts w:ascii="Palatino Linotype" w:eastAsia="MS Mincho" w:hAnsi="Palatino Linotype" w:cs="Times New Roman"/>
          <w:sz w:val="24"/>
        </w:rPr>
        <w:t xml:space="preserve">", concierto de </w:t>
      </w:r>
      <w:r w:rsidR="003628D9" w:rsidRPr="00F536FA">
        <w:rPr>
          <w:rFonts w:ascii="Palatino Linotype" w:eastAsia="MS Mincho" w:hAnsi="Palatino Linotype" w:cs="Times New Roman"/>
          <w:sz w:val="24"/>
        </w:rPr>
        <w:t>Pancho Barraza</w:t>
      </w:r>
      <w:r w:rsidRPr="00F536FA">
        <w:rPr>
          <w:rFonts w:ascii="Palatino Linotype" w:eastAsia="MS Mincho" w:hAnsi="Palatino Linotype" w:cs="Times New Roman"/>
          <w:sz w:val="24"/>
        </w:rPr>
        <w:t xml:space="preserve">, concierto de </w:t>
      </w:r>
      <w:r w:rsidR="003628D9" w:rsidRPr="00F536FA">
        <w:rPr>
          <w:rFonts w:ascii="Palatino Linotype" w:eastAsia="MS Mincho" w:hAnsi="Palatino Linotype" w:cs="Times New Roman"/>
          <w:sz w:val="24"/>
        </w:rPr>
        <w:t xml:space="preserve">El Trono </w:t>
      </w:r>
      <w:r w:rsidRPr="00F536FA">
        <w:rPr>
          <w:rFonts w:ascii="Palatino Linotype" w:eastAsia="MS Mincho" w:hAnsi="Palatino Linotype" w:cs="Times New Roman"/>
          <w:sz w:val="24"/>
        </w:rPr>
        <w:t xml:space="preserve">de México y </w:t>
      </w:r>
      <w:r w:rsidR="003628D9" w:rsidRPr="00F536FA">
        <w:rPr>
          <w:rFonts w:ascii="Palatino Linotype" w:eastAsia="MS Mincho" w:hAnsi="Palatino Linotype" w:cs="Times New Roman"/>
          <w:sz w:val="24"/>
        </w:rPr>
        <w:t>corrida de toros</w:t>
      </w:r>
      <w:r w:rsidRPr="00F536FA">
        <w:rPr>
          <w:rFonts w:ascii="Palatino Linotype" w:eastAsia="MS Mincho" w:hAnsi="Palatino Linotype" w:cs="Times New Roman"/>
          <w:sz w:val="24"/>
        </w:rPr>
        <w:t xml:space="preserve">, durante la feria 2019. </w:t>
      </w:r>
    </w:p>
    <w:p w14:paraId="3B991073" w14:textId="4DCF315D"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lastRenderedPageBreak/>
        <w:t>Aportaciones bajo cualquier modalidad que realizaron dichas empresas y/o personas físicas al Ayuntamiento por concepto de la realización de los eventos denominados "</w:t>
      </w:r>
      <w:r w:rsidR="003628D9" w:rsidRPr="00F536FA">
        <w:rPr>
          <w:rFonts w:ascii="Palatino Linotype" w:eastAsia="MS Mincho" w:hAnsi="Palatino Linotype" w:cs="Times New Roman"/>
          <w:sz w:val="24"/>
        </w:rPr>
        <w:t>Cuernos Chuecos</w:t>
      </w:r>
      <w:r w:rsidRPr="00F536FA">
        <w:rPr>
          <w:rFonts w:ascii="Palatino Linotype" w:eastAsia="MS Mincho" w:hAnsi="Palatino Linotype" w:cs="Times New Roman"/>
          <w:sz w:val="24"/>
        </w:rPr>
        <w:t xml:space="preserve">", concierto de </w:t>
      </w:r>
      <w:r w:rsidR="003628D9" w:rsidRPr="00F536FA">
        <w:rPr>
          <w:rFonts w:ascii="Palatino Linotype" w:eastAsia="MS Mincho" w:hAnsi="Palatino Linotype" w:cs="Times New Roman"/>
          <w:sz w:val="24"/>
        </w:rPr>
        <w:t>Pancho Barraza</w:t>
      </w:r>
      <w:r w:rsidRPr="00F536FA">
        <w:rPr>
          <w:rFonts w:ascii="Palatino Linotype" w:eastAsia="MS Mincho" w:hAnsi="Palatino Linotype" w:cs="Times New Roman"/>
          <w:sz w:val="24"/>
        </w:rPr>
        <w:t xml:space="preserve">, concierto de </w:t>
      </w:r>
      <w:r w:rsidR="003628D9" w:rsidRPr="00F536FA">
        <w:rPr>
          <w:rFonts w:ascii="Palatino Linotype" w:eastAsia="MS Mincho" w:hAnsi="Palatino Linotype" w:cs="Times New Roman"/>
          <w:sz w:val="24"/>
        </w:rPr>
        <w:t xml:space="preserve">El Trono </w:t>
      </w:r>
      <w:r w:rsidRPr="00F536FA">
        <w:rPr>
          <w:rFonts w:ascii="Palatino Linotype" w:eastAsia="MS Mincho" w:hAnsi="Palatino Linotype" w:cs="Times New Roman"/>
          <w:sz w:val="24"/>
        </w:rPr>
        <w:t xml:space="preserve">de México y </w:t>
      </w:r>
      <w:r w:rsidR="003628D9" w:rsidRPr="00F536FA">
        <w:rPr>
          <w:rFonts w:ascii="Palatino Linotype" w:eastAsia="MS Mincho" w:hAnsi="Palatino Linotype" w:cs="Times New Roman"/>
          <w:sz w:val="24"/>
        </w:rPr>
        <w:t>corrida de toros</w:t>
      </w:r>
      <w:r w:rsidRPr="00F536FA">
        <w:rPr>
          <w:rFonts w:ascii="Palatino Linotype" w:eastAsia="MS Mincho" w:hAnsi="Palatino Linotype" w:cs="Times New Roman"/>
          <w:sz w:val="24"/>
        </w:rPr>
        <w:t xml:space="preserve">, durante la </w:t>
      </w:r>
      <w:r w:rsidR="003628D9" w:rsidRPr="00F536FA">
        <w:rPr>
          <w:rFonts w:ascii="Palatino Linotype" w:eastAsia="MS Mincho" w:hAnsi="Palatino Linotype" w:cs="Times New Roman"/>
          <w:sz w:val="24"/>
        </w:rPr>
        <w:t xml:space="preserve">Feria </w:t>
      </w:r>
      <w:r w:rsidRPr="00F536FA">
        <w:rPr>
          <w:rFonts w:ascii="Palatino Linotype" w:eastAsia="MS Mincho" w:hAnsi="Palatino Linotype" w:cs="Times New Roman"/>
          <w:sz w:val="24"/>
        </w:rPr>
        <w:t xml:space="preserve">2019; así como copia de los recibos expedidos por la </w:t>
      </w:r>
      <w:r w:rsidR="003628D9" w:rsidRPr="00F536FA">
        <w:rPr>
          <w:rFonts w:ascii="Palatino Linotype" w:eastAsia="MS Mincho" w:hAnsi="Palatino Linotype" w:cs="Times New Roman"/>
          <w:sz w:val="24"/>
        </w:rPr>
        <w:t>Tesorería</w:t>
      </w:r>
      <w:r w:rsidRPr="00F536FA">
        <w:rPr>
          <w:rFonts w:ascii="Palatino Linotype" w:eastAsia="MS Mincho" w:hAnsi="Palatino Linotype" w:cs="Times New Roman"/>
          <w:sz w:val="24"/>
        </w:rPr>
        <w:t xml:space="preserve">. </w:t>
      </w:r>
    </w:p>
    <w:p w14:paraId="7A18CC96" w14:textId="57043610"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t>Contratos, acuerdos, convenios o documentos jurídicos celebrados por el Ayuntamiento, en los que se establezcan los términos para realizar los eventos denominados "</w:t>
      </w:r>
      <w:r w:rsidR="003628D9" w:rsidRPr="00F536FA">
        <w:rPr>
          <w:rFonts w:ascii="Palatino Linotype" w:eastAsia="MS Mincho" w:hAnsi="Palatino Linotype" w:cs="Times New Roman"/>
          <w:sz w:val="24"/>
        </w:rPr>
        <w:t>Cuernos Chuecos</w:t>
      </w:r>
      <w:r w:rsidRPr="00F536FA">
        <w:rPr>
          <w:rFonts w:ascii="Palatino Linotype" w:eastAsia="MS Mincho" w:hAnsi="Palatino Linotype" w:cs="Times New Roman"/>
          <w:sz w:val="24"/>
        </w:rPr>
        <w:t xml:space="preserve">", concierto de </w:t>
      </w:r>
      <w:r w:rsidR="003628D9" w:rsidRPr="00F536FA">
        <w:rPr>
          <w:rFonts w:ascii="Palatino Linotype" w:eastAsia="MS Mincho" w:hAnsi="Palatino Linotype" w:cs="Times New Roman"/>
          <w:sz w:val="24"/>
        </w:rPr>
        <w:t>Pancho Barraza</w:t>
      </w:r>
      <w:r w:rsidRPr="00F536FA">
        <w:rPr>
          <w:rFonts w:ascii="Palatino Linotype" w:eastAsia="MS Mincho" w:hAnsi="Palatino Linotype" w:cs="Times New Roman"/>
          <w:sz w:val="24"/>
        </w:rPr>
        <w:t xml:space="preserve">, concierto de </w:t>
      </w:r>
      <w:r w:rsidR="003628D9" w:rsidRPr="00F536FA">
        <w:rPr>
          <w:rFonts w:ascii="Palatino Linotype" w:eastAsia="MS Mincho" w:hAnsi="Palatino Linotype" w:cs="Times New Roman"/>
          <w:sz w:val="24"/>
        </w:rPr>
        <w:t xml:space="preserve">El Trono </w:t>
      </w:r>
      <w:r w:rsidRPr="00F536FA">
        <w:rPr>
          <w:rFonts w:ascii="Palatino Linotype" w:eastAsia="MS Mincho" w:hAnsi="Palatino Linotype" w:cs="Times New Roman"/>
          <w:sz w:val="24"/>
        </w:rPr>
        <w:t xml:space="preserve">de México y </w:t>
      </w:r>
      <w:r w:rsidR="003628D9" w:rsidRPr="00F536FA">
        <w:rPr>
          <w:rFonts w:ascii="Palatino Linotype" w:eastAsia="MS Mincho" w:hAnsi="Palatino Linotype" w:cs="Times New Roman"/>
          <w:sz w:val="24"/>
        </w:rPr>
        <w:t>corrida de toros</w:t>
      </w:r>
      <w:r w:rsidRPr="00F536FA">
        <w:rPr>
          <w:rFonts w:ascii="Palatino Linotype" w:eastAsia="MS Mincho" w:hAnsi="Palatino Linotype" w:cs="Times New Roman"/>
          <w:sz w:val="24"/>
        </w:rPr>
        <w:t xml:space="preserve">, durante la </w:t>
      </w:r>
      <w:r w:rsidR="001E242A" w:rsidRPr="00F536FA">
        <w:rPr>
          <w:rFonts w:ascii="Palatino Linotype" w:eastAsia="MS Mincho" w:hAnsi="Palatino Linotype" w:cs="Times New Roman"/>
          <w:sz w:val="24"/>
        </w:rPr>
        <w:t xml:space="preserve">Feria </w:t>
      </w:r>
      <w:r w:rsidRPr="00F536FA">
        <w:rPr>
          <w:rFonts w:ascii="Palatino Linotype" w:eastAsia="MS Mincho" w:hAnsi="Palatino Linotype" w:cs="Times New Roman"/>
          <w:sz w:val="24"/>
        </w:rPr>
        <w:t xml:space="preserve">2019; así como copia de los permisos otorgados por el </w:t>
      </w:r>
      <w:r w:rsidR="001E242A" w:rsidRPr="00F536FA">
        <w:rPr>
          <w:rFonts w:ascii="Palatino Linotype" w:eastAsia="MS Mincho" w:hAnsi="Palatino Linotype" w:cs="Times New Roman"/>
          <w:sz w:val="24"/>
        </w:rPr>
        <w:t xml:space="preserve">Ayuntamiento </w:t>
      </w:r>
      <w:r w:rsidRPr="00F536FA">
        <w:rPr>
          <w:rFonts w:ascii="Palatino Linotype" w:eastAsia="MS Mincho" w:hAnsi="Palatino Linotype" w:cs="Times New Roman"/>
          <w:sz w:val="24"/>
        </w:rPr>
        <w:t xml:space="preserve">para la realización de dichos eventos. </w:t>
      </w:r>
    </w:p>
    <w:p w14:paraId="246D9B44" w14:textId="77777777"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t xml:space="preserve">Monto recaudado por el Ayuntamiento, por concepto de arrendamiento de espacios comerciales en la Feria Ixtlahuaca 2019. </w:t>
      </w:r>
    </w:p>
    <w:p w14:paraId="1BEA5473" w14:textId="0A5546B7" w:rsidR="003471FE" w:rsidRPr="00F536FA" w:rsidRDefault="003471FE" w:rsidP="003628D9">
      <w:pPr>
        <w:numPr>
          <w:ilvl w:val="1"/>
          <w:numId w:val="2"/>
        </w:numPr>
        <w:spacing w:after="0" w:line="360" w:lineRule="auto"/>
        <w:ind w:left="993" w:right="49"/>
        <w:contextualSpacing/>
        <w:jc w:val="both"/>
        <w:rPr>
          <w:rFonts w:ascii="Palatino Linotype" w:eastAsia="MS Mincho" w:hAnsi="Palatino Linotype" w:cs="Times New Roman"/>
          <w:sz w:val="24"/>
        </w:rPr>
      </w:pPr>
      <w:r w:rsidRPr="00F536FA">
        <w:rPr>
          <w:rFonts w:ascii="Palatino Linotype" w:eastAsia="MS Mincho" w:hAnsi="Palatino Linotype" w:cs="Times New Roman"/>
          <w:sz w:val="24"/>
        </w:rPr>
        <w:t>Nombre de la empresa o personas física, responsable de la realización del palenque de peleas de gallos</w:t>
      </w:r>
      <w:r w:rsidR="001E242A" w:rsidRPr="00F536FA">
        <w:rPr>
          <w:rFonts w:ascii="Palatino Linotype" w:eastAsia="MS Mincho" w:hAnsi="Palatino Linotype" w:cs="Times New Roman"/>
          <w:sz w:val="24"/>
        </w:rPr>
        <w:t xml:space="preserve"> </w:t>
      </w:r>
      <w:r w:rsidRPr="00F536FA">
        <w:rPr>
          <w:rFonts w:ascii="Palatino Linotype" w:eastAsia="MS Mincho" w:hAnsi="Palatino Linotype" w:cs="Times New Roman"/>
          <w:sz w:val="24"/>
        </w:rPr>
        <w:t xml:space="preserve">durante la feria </w:t>
      </w:r>
      <w:r w:rsidR="001E242A" w:rsidRPr="00F536FA">
        <w:rPr>
          <w:rFonts w:ascii="Palatino Linotype" w:eastAsia="MS Mincho" w:hAnsi="Palatino Linotype" w:cs="Times New Roman"/>
          <w:sz w:val="24"/>
        </w:rPr>
        <w:t xml:space="preserve">Ixtlahuaca </w:t>
      </w:r>
      <w:r w:rsidRPr="00F536FA">
        <w:rPr>
          <w:rFonts w:ascii="Palatino Linotype" w:eastAsia="MS Mincho" w:hAnsi="Palatino Linotype" w:cs="Times New Roman"/>
          <w:sz w:val="24"/>
        </w:rPr>
        <w:t xml:space="preserve">2019, copia de las aportaciones realizadas por el arrendamiento del salón de la </w:t>
      </w:r>
      <w:proofErr w:type="gramStart"/>
      <w:r w:rsidRPr="00F536FA">
        <w:rPr>
          <w:rFonts w:ascii="Palatino Linotype" w:eastAsia="MS Mincho" w:hAnsi="Palatino Linotype" w:cs="Times New Roman"/>
          <w:sz w:val="24"/>
        </w:rPr>
        <w:t>gente ,</w:t>
      </w:r>
      <w:proofErr w:type="gramEnd"/>
      <w:r w:rsidRPr="00F536FA">
        <w:rPr>
          <w:rFonts w:ascii="Palatino Linotype" w:eastAsia="MS Mincho" w:hAnsi="Palatino Linotype" w:cs="Times New Roman"/>
          <w:sz w:val="24"/>
        </w:rPr>
        <w:t xml:space="preserve"> y del permiso otorgado por el </w:t>
      </w:r>
      <w:r w:rsidR="001E242A" w:rsidRPr="00F536FA">
        <w:rPr>
          <w:rFonts w:ascii="Palatino Linotype" w:eastAsia="MS Mincho" w:hAnsi="Palatino Linotype" w:cs="Times New Roman"/>
          <w:sz w:val="24"/>
        </w:rPr>
        <w:t xml:space="preserve">Ayuntamiento </w:t>
      </w:r>
      <w:r w:rsidRPr="00F536FA">
        <w:rPr>
          <w:rFonts w:ascii="Palatino Linotype" w:eastAsia="MS Mincho" w:hAnsi="Palatino Linotype" w:cs="Times New Roman"/>
          <w:sz w:val="24"/>
        </w:rPr>
        <w:t>para ocupar dicho inmueble y celebrar dicho evento, de la misma forma conocer las medidas que implement</w:t>
      </w:r>
      <w:r w:rsidR="001E242A" w:rsidRPr="00F536FA">
        <w:rPr>
          <w:rFonts w:ascii="Palatino Linotype" w:eastAsia="MS Mincho" w:hAnsi="Palatino Linotype" w:cs="Times New Roman"/>
          <w:sz w:val="24"/>
        </w:rPr>
        <w:t>ó</w:t>
      </w:r>
      <w:r w:rsidRPr="00F536FA">
        <w:rPr>
          <w:rFonts w:ascii="Palatino Linotype" w:eastAsia="MS Mincho" w:hAnsi="Palatino Linotype" w:cs="Times New Roman"/>
          <w:sz w:val="24"/>
        </w:rPr>
        <w:t xml:space="preserve"> el </w:t>
      </w:r>
      <w:r w:rsidR="001E242A" w:rsidRPr="00F536FA">
        <w:rPr>
          <w:rFonts w:ascii="Palatino Linotype" w:eastAsia="MS Mincho" w:hAnsi="Palatino Linotype" w:cs="Times New Roman"/>
          <w:sz w:val="24"/>
        </w:rPr>
        <w:t xml:space="preserve">Ayuntamiento </w:t>
      </w:r>
      <w:r w:rsidRPr="00F536FA">
        <w:rPr>
          <w:rFonts w:ascii="Palatino Linotype" w:eastAsia="MS Mincho" w:hAnsi="Palatino Linotype" w:cs="Times New Roman"/>
          <w:sz w:val="24"/>
        </w:rPr>
        <w:t>para cerciorarse de que la empresa cumpliera con lo establecido en la Ley Federal de Juegos y Sorteos.</w:t>
      </w:r>
    </w:p>
    <w:p w14:paraId="52686CC7" w14:textId="07B683F7" w:rsidR="00D36D4A" w:rsidRPr="00F536FA" w:rsidRDefault="00D36D4A" w:rsidP="003471FE">
      <w:pPr>
        <w:spacing w:after="0" w:line="360" w:lineRule="auto"/>
        <w:ind w:left="993" w:right="49"/>
        <w:contextualSpacing/>
        <w:jc w:val="both"/>
        <w:rPr>
          <w:rFonts w:ascii="Palatino Linotype" w:hAnsi="Palatino Linotype" w:cs="Arial"/>
          <w:color w:val="000000" w:themeColor="text1"/>
          <w:sz w:val="24"/>
        </w:rPr>
      </w:pPr>
    </w:p>
    <w:p w14:paraId="128DF9DA" w14:textId="4962A926" w:rsidR="00883832" w:rsidRPr="00F536FA" w:rsidRDefault="00883832"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El </w:t>
      </w:r>
      <w:r w:rsidR="001E242A" w:rsidRPr="00F536FA">
        <w:rPr>
          <w:rFonts w:ascii="Palatino Linotype" w:hAnsi="Palatino Linotype" w:cs="Arial"/>
          <w:color w:val="000000" w:themeColor="text1"/>
          <w:sz w:val="24"/>
        </w:rPr>
        <w:t>veintiuno</w:t>
      </w:r>
      <w:r w:rsidRPr="00F536FA">
        <w:rPr>
          <w:rFonts w:ascii="Palatino Linotype" w:hAnsi="Palatino Linotype" w:cs="Arial"/>
          <w:color w:val="000000" w:themeColor="text1"/>
          <w:sz w:val="24"/>
        </w:rPr>
        <w:t xml:space="preserve"> (2</w:t>
      </w:r>
      <w:r w:rsidR="001E242A" w:rsidRPr="00F536FA">
        <w:rPr>
          <w:rFonts w:ascii="Palatino Linotype" w:hAnsi="Palatino Linotype" w:cs="Arial"/>
          <w:color w:val="000000" w:themeColor="text1"/>
          <w:sz w:val="24"/>
        </w:rPr>
        <w:t>1</w:t>
      </w:r>
      <w:r w:rsidRPr="00F536FA">
        <w:rPr>
          <w:rFonts w:ascii="Palatino Linotype" w:hAnsi="Palatino Linotype" w:cs="Arial"/>
          <w:color w:val="000000" w:themeColor="text1"/>
          <w:sz w:val="24"/>
        </w:rPr>
        <w:t xml:space="preserve">) de agosto de dos mil veinte,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informó al particular sobre la ampliación del plazo para otorgar respuesta a su solicitud mediante el siguiente pronunciamiento:</w:t>
      </w:r>
    </w:p>
    <w:p w14:paraId="4C13B84D" w14:textId="6EF7B810" w:rsidR="00883832" w:rsidRPr="00F536FA" w:rsidRDefault="00883832" w:rsidP="00883832">
      <w:pPr>
        <w:spacing w:after="0" w:line="360" w:lineRule="auto"/>
        <w:ind w:right="49"/>
        <w:contextualSpacing/>
        <w:jc w:val="both"/>
        <w:rPr>
          <w:rFonts w:ascii="Palatino Linotype" w:hAnsi="Palatino Linotype" w:cs="Arial"/>
          <w:color w:val="000000" w:themeColor="text1"/>
          <w:sz w:val="24"/>
        </w:rPr>
      </w:pPr>
    </w:p>
    <w:p w14:paraId="105B8EC7" w14:textId="77777777" w:rsidR="001E242A" w:rsidRPr="00F536FA" w:rsidRDefault="00883832" w:rsidP="001E242A">
      <w:pPr>
        <w:spacing w:after="0" w:line="276" w:lineRule="auto"/>
        <w:ind w:left="567" w:right="567"/>
        <w:contextualSpacing/>
        <w:jc w:val="both"/>
        <w:rPr>
          <w:rFonts w:ascii="Palatino Linotype" w:hAnsi="Palatino Linotype" w:cs="Arial"/>
          <w:i/>
          <w:iCs/>
          <w:color w:val="000000" w:themeColor="text1"/>
          <w:szCs w:val="20"/>
        </w:rPr>
      </w:pPr>
      <w:r w:rsidRPr="00F536FA">
        <w:rPr>
          <w:rFonts w:ascii="Palatino Linotype" w:hAnsi="Palatino Linotype" w:cs="Arial"/>
          <w:i/>
          <w:iCs/>
          <w:color w:val="000000" w:themeColor="text1"/>
          <w:szCs w:val="20"/>
        </w:rPr>
        <w:t>“</w:t>
      </w:r>
      <w:r w:rsidR="001E242A" w:rsidRPr="00F536FA">
        <w:rPr>
          <w:rFonts w:ascii="Palatino Linotype" w:hAnsi="Palatino Linotype" w:cs="Arial"/>
          <w:i/>
          <w:iCs/>
          <w:color w:val="000000" w:themeColor="text1"/>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0142C2" w14:textId="77777777" w:rsidR="001E242A" w:rsidRPr="00F536FA" w:rsidRDefault="001E242A" w:rsidP="001E242A">
      <w:pPr>
        <w:spacing w:after="0" w:line="276" w:lineRule="auto"/>
        <w:ind w:left="567" w:right="567"/>
        <w:contextualSpacing/>
        <w:jc w:val="both"/>
        <w:rPr>
          <w:rFonts w:ascii="Palatino Linotype" w:hAnsi="Palatino Linotype" w:cs="Arial"/>
          <w:i/>
          <w:iCs/>
          <w:color w:val="000000" w:themeColor="text1"/>
          <w:szCs w:val="20"/>
        </w:rPr>
      </w:pPr>
    </w:p>
    <w:p w14:paraId="238131F3" w14:textId="55006A77" w:rsidR="001E242A" w:rsidRPr="00F536FA" w:rsidRDefault="001E242A" w:rsidP="001E242A">
      <w:pPr>
        <w:spacing w:after="0" w:line="276" w:lineRule="auto"/>
        <w:ind w:left="567" w:right="567"/>
        <w:contextualSpacing/>
        <w:jc w:val="both"/>
        <w:rPr>
          <w:rFonts w:ascii="Palatino Linotype" w:hAnsi="Palatino Linotype" w:cs="Arial"/>
          <w:i/>
          <w:iCs/>
          <w:color w:val="000000" w:themeColor="text1"/>
          <w:szCs w:val="20"/>
        </w:rPr>
      </w:pPr>
      <w:r w:rsidRPr="00F536FA">
        <w:rPr>
          <w:rFonts w:ascii="Palatino Linotype" w:hAnsi="Palatino Linotype" w:cs="Arial"/>
          <w:i/>
          <w:iCs/>
          <w:color w:val="000000" w:themeColor="text1"/>
          <w:szCs w:val="20"/>
        </w:rPr>
        <w:t>ANEXO RESOLUCIÓN DE COMITÉ DE TRANSPARENCIA</w:t>
      </w:r>
    </w:p>
    <w:p w14:paraId="4355FC34" w14:textId="77777777" w:rsidR="001E242A" w:rsidRPr="00F536FA" w:rsidRDefault="001E242A" w:rsidP="001E242A">
      <w:pPr>
        <w:spacing w:after="0" w:line="276" w:lineRule="auto"/>
        <w:ind w:left="567" w:right="567"/>
        <w:contextualSpacing/>
        <w:jc w:val="both"/>
        <w:rPr>
          <w:rFonts w:ascii="Palatino Linotype" w:hAnsi="Palatino Linotype" w:cs="Arial"/>
          <w:i/>
          <w:iCs/>
          <w:color w:val="000000" w:themeColor="text1"/>
          <w:szCs w:val="20"/>
        </w:rPr>
      </w:pPr>
    </w:p>
    <w:p w14:paraId="2E65FFF6" w14:textId="276AB2B1" w:rsidR="001E242A" w:rsidRPr="00F536FA" w:rsidRDefault="001E242A" w:rsidP="001E242A">
      <w:pPr>
        <w:spacing w:after="0" w:line="276" w:lineRule="auto"/>
        <w:ind w:left="567" w:right="567"/>
        <w:contextualSpacing/>
        <w:jc w:val="both"/>
        <w:rPr>
          <w:rFonts w:ascii="Palatino Linotype" w:hAnsi="Palatino Linotype" w:cs="Arial"/>
          <w:i/>
          <w:iCs/>
          <w:color w:val="000000" w:themeColor="text1"/>
          <w:szCs w:val="20"/>
        </w:rPr>
      </w:pPr>
      <w:r w:rsidRPr="00F536FA">
        <w:rPr>
          <w:rFonts w:ascii="Palatino Linotype" w:hAnsi="Palatino Linotype" w:cs="Arial"/>
          <w:i/>
          <w:iCs/>
          <w:color w:val="000000" w:themeColor="text1"/>
          <w:szCs w:val="20"/>
        </w:rPr>
        <w:t>LIC. LUDIVINA ERIKA VIEYRA URBINA</w:t>
      </w:r>
    </w:p>
    <w:p w14:paraId="305D26DD" w14:textId="1A193B30" w:rsidR="00883832" w:rsidRPr="00F536FA" w:rsidRDefault="001E242A" w:rsidP="001E242A">
      <w:pPr>
        <w:spacing w:after="0" w:line="276" w:lineRule="auto"/>
        <w:ind w:left="567" w:right="567"/>
        <w:contextualSpacing/>
        <w:jc w:val="both"/>
        <w:rPr>
          <w:rFonts w:ascii="Palatino Linotype" w:hAnsi="Palatino Linotype" w:cs="Arial"/>
          <w:color w:val="000000" w:themeColor="text1"/>
          <w:szCs w:val="20"/>
        </w:rPr>
      </w:pPr>
      <w:r w:rsidRPr="00F536FA">
        <w:rPr>
          <w:rFonts w:ascii="Palatino Linotype" w:hAnsi="Palatino Linotype" w:cs="Arial"/>
          <w:i/>
          <w:iCs/>
          <w:color w:val="000000" w:themeColor="text1"/>
          <w:szCs w:val="20"/>
        </w:rPr>
        <w:t>Responsable de la Unidad de Transparencia</w:t>
      </w:r>
      <w:r w:rsidR="00883832" w:rsidRPr="00F536FA">
        <w:rPr>
          <w:rFonts w:ascii="Palatino Linotype" w:hAnsi="Palatino Linotype" w:cs="Arial"/>
          <w:i/>
          <w:iCs/>
          <w:color w:val="000000" w:themeColor="text1"/>
          <w:szCs w:val="20"/>
        </w:rPr>
        <w:t>”</w:t>
      </w:r>
      <w:r w:rsidR="00883832" w:rsidRPr="00F536FA">
        <w:rPr>
          <w:rFonts w:ascii="Palatino Linotype" w:hAnsi="Palatino Linotype" w:cs="Arial"/>
          <w:color w:val="000000" w:themeColor="text1"/>
          <w:szCs w:val="20"/>
        </w:rPr>
        <w:t xml:space="preserve"> (Sic)</w:t>
      </w:r>
    </w:p>
    <w:p w14:paraId="63D7218A" w14:textId="77777777" w:rsidR="00883832" w:rsidRPr="00F536FA" w:rsidRDefault="00883832" w:rsidP="00883832">
      <w:pPr>
        <w:spacing w:after="0" w:line="360" w:lineRule="auto"/>
        <w:ind w:right="49"/>
        <w:contextualSpacing/>
        <w:jc w:val="both"/>
        <w:rPr>
          <w:rFonts w:ascii="Palatino Linotype" w:hAnsi="Palatino Linotype" w:cs="Arial"/>
          <w:color w:val="000000" w:themeColor="text1"/>
          <w:sz w:val="24"/>
        </w:rPr>
      </w:pPr>
    </w:p>
    <w:p w14:paraId="51169123" w14:textId="5C5D178A" w:rsidR="00883832" w:rsidRPr="00F536FA" w:rsidRDefault="001E242A"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Adjunto a la notificación de prórroga,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el archivo denominado </w:t>
      </w:r>
      <w:r w:rsidRPr="00F536FA">
        <w:rPr>
          <w:rFonts w:ascii="Palatino Linotype" w:hAnsi="Palatino Linotype" w:cs="Arial"/>
          <w:b/>
          <w:bCs/>
          <w:i/>
          <w:iCs/>
          <w:color w:val="000000" w:themeColor="text1"/>
          <w:sz w:val="24"/>
        </w:rPr>
        <w:t>“ACTA DE COMITE PARA PRORROGA.pdf”</w:t>
      </w:r>
      <w:r w:rsidRPr="00F536FA">
        <w:rPr>
          <w:rFonts w:ascii="Palatino Linotype" w:hAnsi="Palatino Linotype" w:cs="Arial"/>
          <w:color w:val="000000" w:themeColor="text1"/>
          <w:sz w:val="24"/>
        </w:rPr>
        <w:t xml:space="preserve">, que consiste en un documento de tres fojas consistente en el Acta I de la Primera Sesión Ordinaria del Comité de Transparencia del Ayuntamiento de Ixtlahuaca, mediante la cual, se aprueba la ampliación para dar respuesta a la solicitud de información </w:t>
      </w:r>
      <w:r w:rsidRPr="00F536FA">
        <w:rPr>
          <w:rFonts w:ascii="Palatino Linotype" w:hAnsi="Palatino Linotype" w:cs="Arial"/>
          <w:b/>
          <w:bCs/>
          <w:color w:val="000000" w:themeColor="text1"/>
          <w:sz w:val="24"/>
        </w:rPr>
        <w:t>00072/IXTLAHUA/IP/2020</w:t>
      </w:r>
      <w:r w:rsidRPr="00F536FA">
        <w:rPr>
          <w:rFonts w:ascii="Palatino Linotype" w:hAnsi="Palatino Linotype" w:cs="Arial"/>
          <w:color w:val="000000" w:themeColor="text1"/>
          <w:sz w:val="24"/>
        </w:rPr>
        <w:t xml:space="preserve"> en razón de lo siguiente:</w:t>
      </w:r>
    </w:p>
    <w:p w14:paraId="275D8637" w14:textId="7A5CF613" w:rsidR="00883832" w:rsidRPr="00F536FA" w:rsidRDefault="00883832" w:rsidP="00883832">
      <w:pPr>
        <w:spacing w:after="0" w:line="360" w:lineRule="auto"/>
        <w:ind w:right="49"/>
        <w:contextualSpacing/>
        <w:jc w:val="both"/>
        <w:rPr>
          <w:rFonts w:ascii="Palatino Linotype" w:hAnsi="Palatino Linotype" w:cs="Arial"/>
          <w:color w:val="000000" w:themeColor="text1"/>
          <w:sz w:val="24"/>
        </w:rPr>
      </w:pPr>
    </w:p>
    <w:p w14:paraId="69750E61" w14:textId="127BED22" w:rsidR="001E242A" w:rsidRPr="00F536FA" w:rsidRDefault="001E242A" w:rsidP="00893B7C">
      <w:pPr>
        <w:spacing w:after="0" w:line="276" w:lineRule="auto"/>
        <w:ind w:left="567" w:right="567"/>
        <w:contextualSpacing/>
        <w:jc w:val="both"/>
        <w:rPr>
          <w:rFonts w:ascii="Palatino Linotype" w:hAnsi="Palatino Linotype" w:cs="Arial"/>
          <w:i/>
          <w:iCs/>
          <w:color w:val="000000" w:themeColor="text1"/>
          <w:szCs w:val="20"/>
        </w:rPr>
      </w:pPr>
      <w:r w:rsidRPr="00F536FA">
        <w:rPr>
          <w:rFonts w:ascii="Palatino Linotype" w:hAnsi="Palatino Linotype" w:cs="Arial"/>
          <w:i/>
          <w:iCs/>
          <w:color w:val="000000" w:themeColor="text1"/>
          <w:szCs w:val="20"/>
        </w:rPr>
        <w:t xml:space="preserve">“(…) la Dirección de Administración señala que para atender la parte de la solicitudes relativas a proporcionar las respuestas antes referidas, solicita la ampliación del plazo conferido para la entrega de la documentación, debido a la carga de trabajo, la complejidad, volumen y análisis de información que se demanda dentro de las solicitudes, se requiere de una búsqueda exhaustiva </w:t>
      </w:r>
      <w:r w:rsidR="00893B7C" w:rsidRPr="00F536FA">
        <w:rPr>
          <w:rFonts w:ascii="Palatino Linotype" w:hAnsi="Palatino Linotype" w:cs="Arial"/>
          <w:i/>
          <w:iCs/>
          <w:color w:val="000000" w:themeColor="text1"/>
          <w:szCs w:val="20"/>
        </w:rPr>
        <w:t>en los archivos del área, además realizar un análisis y clasificación de expedientes de la documentación que se proporcionaran.</w:t>
      </w:r>
    </w:p>
    <w:p w14:paraId="3744F98C" w14:textId="6C2636ED" w:rsidR="00893B7C" w:rsidRPr="00F536FA" w:rsidRDefault="00893B7C" w:rsidP="00893B7C">
      <w:pPr>
        <w:spacing w:after="0" w:line="276" w:lineRule="auto"/>
        <w:ind w:left="567" w:right="567"/>
        <w:contextualSpacing/>
        <w:jc w:val="both"/>
        <w:rPr>
          <w:rFonts w:ascii="Palatino Linotype" w:hAnsi="Palatino Linotype" w:cs="Arial"/>
          <w:i/>
          <w:iCs/>
          <w:color w:val="000000" w:themeColor="text1"/>
          <w:szCs w:val="20"/>
        </w:rPr>
      </w:pPr>
    </w:p>
    <w:p w14:paraId="11161A23" w14:textId="27A841B1" w:rsidR="00893B7C" w:rsidRPr="00F536FA" w:rsidRDefault="00893B7C" w:rsidP="00893B7C">
      <w:pPr>
        <w:spacing w:after="0" w:line="276" w:lineRule="auto"/>
        <w:ind w:left="567" w:right="567"/>
        <w:contextualSpacing/>
        <w:jc w:val="both"/>
        <w:rPr>
          <w:rFonts w:ascii="Palatino Linotype" w:hAnsi="Palatino Linotype" w:cs="Arial"/>
          <w:color w:val="000000" w:themeColor="text1"/>
          <w:szCs w:val="20"/>
        </w:rPr>
      </w:pPr>
      <w:r w:rsidRPr="00F536FA">
        <w:rPr>
          <w:rFonts w:ascii="Palatino Linotype" w:hAnsi="Palatino Linotype" w:cs="Arial"/>
          <w:i/>
          <w:iCs/>
          <w:color w:val="000000" w:themeColor="text1"/>
          <w:szCs w:val="20"/>
        </w:rPr>
        <w:t>Respecto de la ampliación de plazo para dar atención a las solicitudes presentadas por la Dirección de Administración, este Comité estima procedente aprobar la misma, atendiendo a la carga de trabajo que se generó en este periodo de contingencia sanitaria derivado del COVID-19, y cambios administrativos internos salvaguardando y siguiendo recomendación de las autoridades ante la misma situación.”</w:t>
      </w:r>
      <w:r w:rsidRPr="00F536FA">
        <w:rPr>
          <w:rFonts w:ascii="Palatino Linotype" w:hAnsi="Palatino Linotype" w:cs="Arial"/>
          <w:color w:val="000000" w:themeColor="text1"/>
          <w:szCs w:val="20"/>
        </w:rPr>
        <w:t xml:space="preserve"> (Sic)</w:t>
      </w:r>
    </w:p>
    <w:p w14:paraId="5391F60A" w14:textId="77777777" w:rsidR="001E242A" w:rsidRPr="00F536FA" w:rsidRDefault="001E242A" w:rsidP="00883832">
      <w:pPr>
        <w:spacing w:after="0" w:line="360" w:lineRule="auto"/>
        <w:ind w:right="49"/>
        <w:contextualSpacing/>
        <w:jc w:val="both"/>
        <w:rPr>
          <w:rFonts w:ascii="Palatino Linotype" w:hAnsi="Palatino Linotype" w:cs="Arial"/>
          <w:color w:val="000000" w:themeColor="text1"/>
          <w:sz w:val="24"/>
        </w:rPr>
      </w:pPr>
    </w:p>
    <w:p w14:paraId="326F92F1" w14:textId="5EAFEEAE" w:rsidR="00883832" w:rsidRPr="00F536FA" w:rsidRDefault="00883832"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lo anterior, </w:t>
      </w:r>
      <w:r w:rsidR="00893B7C" w:rsidRPr="00F536FA">
        <w:rPr>
          <w:rFonts w:ascii="Palatino Linotype" w:hAnsi="Palatino Linotype" w:cs="Arial"/>
          <w:color w:val="000000" w:themeColor="text1"/>
          <w:sz w:val="24"/>
        </w:rPr>
        <w:t xml:space="preserve">esta Ponencia </w:t>
      </w:r>
      <w:proofErr w:type="spellStart"/>
      <w:r w:rsidR="00893B7C" w:rsidRPr="00F536FA">
        <w:rPr>
          <w:rFonts w:ascii="Palatino Linotype" w:hAnsi="Palatino Linotype" w:cs="Arial"/>
          <w:color w:val="000000" w:themeColor="text1"/>
          <w:sz w:val="24"/>
        </w:rPr>
        <w:t>Resolutora</w:t>
      </w:r>
      <w:proofErr w:type="spellEnd"/>
      <w:r w:rsidR="00893B7C" w:rsidRPr="00F536FA">
        <w:rPr>
          <w:rFonts w:ascii="Palatino Linotype" w:hAnsi="Palatino Linotype" w:cs="Arial"/>
          <w:color w:val="000000" w:themeColor="text1"/>
          <w:sz w:val="24"/>
        </w:rPr>
        <w:t xml:space="preserve"> advierte que el Acuerdo del Comité de Transparencia por el que avala la prórroga para emitir respuesta</w:t>
      </w:r>
      <w:r w:rsidR="003A7685" w:rsidRPr="00F536FA">
        <w:rPr>
          <w:rFonts w:ascii="Palatino Linotype" w:hAnsi="Palatino Linotype" w:cs="Arial"/>
          <w:color w:val="000000" w:themeColor="text1"/>
          <w:sz w:val="24"/>
        </w:rPr>
        <w:t xml:space="preserve"> atiende adecuadamente lo dispuesto por el </w:t>
      </w:r>
      <w:r w:rsidRPr="00F536FA">
        <w:rPr>
          <w:rFonts w:ascii="Palatino Linotype" w:hAnsi="Palatino Linotype" w:cs="Arial"/>
          <w:color w:val="000000" w:themeColor="text1"/>
          <w:sz w:val="24"/>
        </w:rPr>
        <w:t>artículo 163 de la Ley de Transparencia y Acceso a la Información Pública del Estado de México y Municipios</w:t>
      </w:r>
      <w:r w:rsidR="003A7685" w:rsidRPr="00F536FA">
        <w:rPr>
          <w:rFonts w:ascii="Palatino Linotype" w:hAnsi="Palatino Linotype" w:cs="Arial"/>
          <w:color w:val="000000" w:themeColor="text1"/>
          <w:sz w:val="24"/>
        </w:rPr>
        <w:t>.</w:t>
      </w:r>
    </w:p>
    <w:p w14:paraId="6C8C056F" w14:textId="77777777" w:rsidR="00A20850" w:rsidRPr="00F536FA" w:rsidRDefault="00A20850" w:rsidP="00A20850">
      <w:pPr>
        <w:spacing w:after="0" w:line="360" w:lineRule="auto"/>
        <w:ind w:right="49"/>
        <w:contextualSpacing/>
        <w:jc w:val="both"/>
        <w:rPr>
          <w:rFonts w:ascii="Palatino Linotype" w:hAnsi="Palatino Linotype" w:cs="Arial"/>
          <w:color w:val="000000" w:themeColor="text1"/>
          <w:sz w:val="24"/>
        </w:rPr>
      </w:pPr>
    </w:p>
    <w:p w14:paraId="48C6DE6F" w14:textId="1A0B6CB0" w:rsidR="00D36D4A" w:rsidRPr="00F536FA" w:rsidRDefault="00F361D6"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E</w:t>
      </w:r>
      <w:r w:rsidR="00327AF8" w:rsidRPr="00F536FA">
        <w:rPr>
          <w:rFonts w:ascii="Palatino Linotype" w:eastAsia="MS Mincho" w:hAnsi="Palatino Linotype" w:cs="Times New Roman"/>
          <w:sz w:val="24"/>
          <w:szCs w:val="24"/>
          <w:lang w:val="es-ES_tradnl" w:eastAsia="es-ES"/>
        </w:rPr>
        <w:t xml:space="preserve">l </w:t>
      </w:r>
      <w:r w:rsidR="003A7685" w:rsidRPr="00F536FA">
        <w:rPr>
          <w:rFonts w:ascii="Palatino Linotype" w:eastAsia="MS Mincho" w:hAnsi="Palatino Linotype" w:cs="Times New Roman"/>
          <w:sz w:val="24"/>
          <w:szCs w:val="24"/>
          <w:lang w:val="es-ES_tradnl" w:eastAsia="es-ES"/>
        </w:rPr>
        <w:t>treinta y uno</w:t>
      </w:r>
      <w:r w:rsidR="00327AF8" w:rsidRPr="00F536FA">
        <w:rPr>
          <w:rFonts w:ascii="Palatino Linotype" w:eastAsia="MS Mincho" w:hAnsi="Palatino Linotype" w:cs="Times New Roman"/>
          <w:sz w:val="24"/>
          <w:szCs w:val="24"/>
          <w:lang w:val="es-ES_tradnl" w:eastAsia="es-ES"/>
        </w:rPr>
        <w:t xml:space="preserve"> (</w:t>
      </w:r>
      <w:r w:rsidR="003A7685" w:rsidRPr="00F536FA">
        <w:rPr>
          <w:rFonts w:ascii="Palatino Linotype" w:eastAsia="MS Mincho" w:hAnsi="Palatino Linotype" w:cs="Times New Roman"/>
          <w:sz w:val="24"/>
          <w:szCs w:val="24"/>
          <w:lang w:val="es-ES_tradnl" w:eastAsia="es-ES"/>
        </w:rPr>
        <w:t>3</w:t>
      </w:r>
      <w:r w:rsidR="00A20850" w:rsidRPr="00F536FA">
        <w:rPr>
          <w:rFonts w:ascii="Palatino Linotype" w:eastAsia="MS Mincho" w:hAnsi="Palatino Linotype" w:cs="Times New Roman"/>
          <w:sz w:val="24"/>
          <w:szCs w:val="24"/>
          <w:lang w:val="es-ES_tradnl" w:eastAsia="es-ES"/>
        </w:rPr>
        <w:t>1</w:t>
      </w:r>
      <w:r w:rsidR="00327AF8" w:rsidRPr="00F536FA">
        <w:rPr>
          <w:rFonts w:ascii="Palatino Linotype" w:eastAsia="MS Mincho" w:hAnsi="Palatino Linotype" w:cs="Times New Roman"/>
          <w:sz w:val="24"/>
          <w:szCs w:val="24"/>
          <w:lang w:val="es-ES_tradnl" w:eastAsia="es-ES"/>
        </w:rPr>
        <w:t xml:space="preserve">) de </w:t>
      </w:r>
      <w:r w:rsidR="003A7685" w:rsidRPr="00F536FA">
        <w:rPr>
          <w:rFonts w:ascii="Palatino Linotype" w:eastAsia="MS Mincho" w:hAnsi="Palatino Linotype" w:cs="Times New Roman"/>
          <w:sz w:val="24"/>
          <w:szCs w:val="24"/>
          <w:lang w:val="es-ES_tradnl" w:eastAsia="es-ES"/>
        </w:rPr>
        <w:t>agosto</w:t>
      </w:r>
      <w:r w:rsidR="00327AF8" w:rsidRPr="00F536FA">
        <w:rPr>
          <w:rFonts w:ascii="Palatino Linotype" w:eastAsia="MS Mincho" w:hAnsi="Palatino Linotype" w:cs="Times New Roman"/>
          <w:sz w:val="24"/>
          <w:szCs w:val="24"/>
          <w:lang w:val="es-ES_tradnl" w:eastAsia="es-ES"/>
        </w:rPr>
        <w:t xml:space="preserve"> de dos mil veinte, el </w:t>
      </w:r>
      <w:r w:rsidR="00327AF8" w:rsidRPr="00F536FA">
        <w:rPr>
          <w:rFonts w:ascii="Palatino Linotype" w:eastAsia="MS Mincho" w:hAnsi="Palatino Linotype" w:cs="Times New Roman"/>
          <w:b/>
          <w:bCs/>
          <w:sz w:val="24"/>
          <w:szCs w:val="24"/>
          <w:lang w:val="es-ES_tradnl" w:eastAsia="es-ES"/>
        </w:rPr>
        <w:t>SUJETO OBLIGADO</w:t>
      </w:r>
      <w:r w:rsidR="00327AF8" w:rsidRPr="00F536FA">
        <w:rPr>
          <w:rFonts w:ascii="Palatino Linotype" w:eastAsia="MS Mincho" w:hAnsi="Palatino Linotype" w:cs="Times New Roman"/>
          <w:sz w:val="24"/>
          <w:szCs w:val="24"/>
          <w:lang w:val="es-ES_tradnl" w:eastAsia="es-ES"/>
        </w:rPr>
        <w:t xml:space="preserve"> dio atención la solicitud de información mediante </w:t>
      </w:r>
      <w:r w:rsidR="00A20850" w:rsidRPr="00F536FA">
        <w:rPr>
          <w:rFonts w:ascii="Palatino Linotype" w:eastAsia="MS Mincho" w:hAnsi="Palatino Linotype" w:cs="Times New Roman"/>
          <w:sz w:val="24"/>
          <w:szCs w:val="24"/>
          <w:lang w:val="es-ES_tradnl" w:eastAsia="es-ES"/>
        </w:rPr>
        <w:t xml:space="preserve">el </w:t>
      </w:r>
      <w:r w:rsidR="003A7685" w:rsidRPr="00F536FA">
        <w:rPr>
          <w:rFonts w:ascii="Palatino Linotype" w:eastAsia="MS Mincho" w:hAnsi="Palatino Linotype" w:cs="Times New Roman"/>
          <w:sz w:val="24"/>
          <w:szCs w:val="24"/>
          <w:lang w:val="es-ES_tradnl" w:eastAsia="es-ES"/>
        </w:rPr>
        <w:t>archivo</w:t>
      </w:r>
      <w:r w:rsidR="00A20850" w:rsidRPr="00F536FA">
        <w:rPr>
          <w:rFonts w:ascii="Palatino Linotype" w:eastAsia="MS Mincho" w:hAnsi="Palatino Linotype" w:cs="Times New Roman"/>
          <w:sz w:val="24"/>
          <w:szCs w:val="24"/>
          <w:lang w:val="es-ES_tradnl" w:eastAsia="es-ES"/>
        </w:rPr>
        <w:t xml:space="preserve"> </w:t>
      </w:r>
      <w:r w:rsidR="003A7685" w:rsidRPr="00F536FA">
        <w:rPr>
          <w:rFonts w:ascii="Palatino Linotype" w:eastAsia="MS Mincho" w:hAnsi="Palatino Linotype" w:cs="Times New Roman"/>
          <w:b/>
          <w:bCs/>
          <w:i/>
          <w:iCs/>
          <w:sz w:val="24"/>
          <w:szCs w:val="24"/>
          <w:lang w:val="es-ES_tradnl" w:eastAsia="es-ES"/>
        </w:rPr>
        <w:t>“RESP. SOL. 72</w:t>
      </w:r>
      <w:proofErr w:type="gramStart"/>
      <w:r w:rsidR="003A7685" w:rsidRPr="00F536FA">
        <w:rPr>
          <w:rFonts w:ascii="Palatino Linotype" w:eastAsia="MS Mincho" w:hAnsi="Palatino Linotype" w:cs="Times New Roman"/>
          <w:b/>
          <w:bCs/>
          <w:i/>
          <w:iCs/>
          <w:sz w:val="24"/>
          <w:szCs w:val="24"/>
          <w:lang w:val="es-ES_tradnl" w:eastAsia="es-ES"/>
        </w:rPr>
        <w:t>.pdf</w:t>
      </w:r>
      <w:proofErr w:type="gramEnd"/>
      <w:r w:rsidR="003A7685" w:rsidRPr="00F536FA">
        <w:rPr>
          <w:rFonts w:ascii="Palatino Linotype" w:eastAsia="MS Mincho" w:hAnsi="Palatino Linotype" w:cs="Times New Roman"/>
          <w:b/>
          <w:bCs/>
          <w:i/>
          <w:iCs/>
          <w:sz w:val="24"/>
          <w:szCs w:val="24"/>
          <w:lang w:val="es-ES_tradnl" w:eastAsia="es-ES"/>
        </w:rPr>
        <w:t>”</w:t>
      </w:r>
      <w:r w:rsidR="00A20850" w:rsidRPr="00F536FA">
        <w:rPr>
          <w:rFonts w:ascii="Palatino Linotype" w:eastAsia="MS Mincho" w:hAnsi="Palatino Linotype" w:cs="Times New Roman"/>
          <w:sz w:val="24"/>
          <w:szCs w:val="24"/>
          <w:lang w:val="es-ES_tradnl" w:eastAsia="es-ES"/>
        </w:rPr>
        <w:t xml:space="preserve">, </w:t>
      </w:r>
      <w:r w:rsidR="00E72B5A" w:rsidRPr="00F536FA">
        <w:rPr>
          <w:rFonts w:ascii="Palatino Linotype" w:eastAsia="MS Mincho" w:hAnsi="Palatino Linotype" w:cs="Times New Roman"/>
          <w:sz w:val="24"/>
          <w:szCs w:val="24"/>
          <w:lang w:val="es-ES_tradnl" w:eastAsia="es-ES"/>
        </w:rPr>
        <w:t xml:space="preserve">cuyo contenido se aprecia que otorga una atención parcial a lo inicialmente requerido; </w:t>
      </w:r>
      <w:r w:rsidR="003A7685" w:rsidRPr="00F536FA">
        <w:rPr>
          <w:rFonts w:ascii="Palatino Linotype" w:eastAsia="MS Mincho" w:hAnsi="Palatino Linotype" w:cs="Times New Roman"/>
          <w:sz w:val="24"/>
          <w:szCs w:val="24"/>
          <w:lang w:val="es-ES_tradnl" w:eastAsia="es-ES"/>
        </w:rPr>
        <w:t xml:space="preserve">posteriormente, el veintitrés (23) de septiembre de dos mil veinte, mediante Informe Justificado, el </w:t>
      </w:r>
      <w:r w:rsidR="003A7685" w:rsidRPr="00F536FA">
        <w:rPr>
          <w:rFonts w:ascii="Palatino Linotype" w:eastAsia="MS Mincho" w:hAnsi="Palatino Linotype" w:cs="Times New Roman"/>
          <w:b/>
          <w:bCs/>
          <w:sz w:val="24"/>
          <w:szCs w:val="24"/>
          <w:lang w:val="es-ES_tradnl" w:eastAsia="es-ES"/>
        </w:rPr>
        <w:t>SUJETO OBLIGADO</w:t>
      </w:r>
      <w:r w:rsidR="003A7685" w:rsidRPr="00F536FA">
        <w:rPr>
          <w:rFonts w:ascii="Palatino Linotype" w:eastAsia="MS Mincho" w:hAnsi="Palatino Linotype" w:cs="Times New Roman"/>
          <w:sz w:val="24"/>
          <w:szCs w:val="24"/>
          <w:lang w:val="es-ES_tradnl" w:eastAsia="es-ES"/>
        </w:rPr>
        <w:t xml:space="preserve"> amplió su respuesta primigenia a través del archivo </w:t>
      </w:r>
      <w:r w:rsidR="003A7685" w:rsidRPr="00F536FA">
        <w:rPr>
          <w:rFonts w:ascii="Palatino Linotype" w:eastAsia="MS Mincho" w:hAnsi="Palatino Linotype" w:cs="Times New Roman"/>
          <w:b/>
          <w:bCs/>
          <w:i/>
          <w:iCs/>
          <w:sz w:val="24"/>
          <w:szCs w:val="24"/>
          <w:lang w:val="es-ES_tradnl" w:eastAsia="es-ES"/>
        </w:rPr>
        <w:t>“RECURSO DE REVISIÓN DE LA SOL 72.pdf”</w:t>
      </w:r>
      <w:r w:rsidR="003A7685" w:rsidRPr="00F536FA">
        <w:rPr>
          <w:rFonts w:ascii="Palatino Linotype" w:eastAsia="MS Mincho" w:hAnsi="Palatino Linotype" w:cs="Times New Roman"/>
          <w:sz w:val="24"/>
          <w:szCs w:val="24"/>
          <w:lang w:val="es-ES_tradnl" w:eastAsia="es-ES"/>
        </w:rPr>
        <w:t>. P</w:t>
      </w:r>
      <w:r w:rsidR="00E72B5A" w:rsidRPr="00F536FA">
        <w:rPr>
          <w:rFonts w:ascii="Palatino Linotype" w:eastAsia="MS Mincho" w:hAnsi="Palatino Linotype" w:cs="Times New Roman"/>
          <w:sz w:val="24"/>
          <w:szCs w:val="24"/>
          <w:lang w:val="es-ES_tradnl" w:eastAsia="es-ES"/>
        </w:rPr>
        <w:t xml:space="preserve">or ello, esta Ponencia </w:t>
      </w:r>
      <w:proofErr w:type="spellStart"/>
      <w:r w:rsidR="00E72B5A" w:rsidRPr="00F536FA">
        <w:rPr>
          <w:rFonts w:ascii="Palatino Linotype" w:eastAsia="MS Mincho" w:hAnsi="Palatino Linotype" w:cs="Times New Roman"/>
          <w:sz w:val="24"/>
          <w:szCs w:val="24"/>
          <w:lang w:val="es-ES_tradnl" w:eastAsia="es-ES"/>
        </w:rPr>
        <w:t>Resolutora</w:t>
      </w:r>
      <w:proofErr w:type="spellEnd"/>
      <w:r w:rsidR="00E72B5A" w:rsidRPr="00F536FA">
        <w:rPr>
          <w:rFonts w:ascii="Palatino Linotype" w:eastAsia="MS Mincho" w:hAnsi="Palatino Linotype" w:cs="Times New Roman"/>
          <w:sz w:val="24"/>
          <w:szCs w:val="24"/>
          <w:lang w:val="es-ES_tradnl" w:eastAsia="es-ES"/>
        </w:rPr>
        <w:t xml:space="preserve"> encuentra conveniente </w:t>
      </w:r>
      <w:r w:rsidR="00E72B5A" w:rsidRPr="00F536FA">
        <w:rPr>
          <w:rFonts w:ascii="Palatino Linotype" w:eastAsia="MS Mincho" w:hAnsi="Palatino Linotype" w:cs="Times New Roman"/>
          <w:sz w:val="24"/>
          <w:szCs w:val="24"/>
          <w:lang w:val="es-ES" w:eastAsia="es-ES"/>
        </w:rPr>
        <w:t xml:space="preserve">elaborar un cuadro comparativo que refleje la relación entre los puntos requeridos </w:t>
      </w:r>
      <w:r w:rsidR="004652CC" w:rsidRPr="00F536FA">
        <w:rPr>
          <w:rFonts w:ascii="Palatino Linotype" w:eastAsia="MS Mincho" w:hAnsi="Palatino Linotype" w:cs="Times New Roman"/>
          <w:sz w:val="24"/>
          <w:szCs w:val="24"/>
          <w:lang w:val="es-ES" w:eastAsia="es-ES"/>
        </w:rPr>
        <w:t xml:space="preserve">en la solicitud con la información entregada en </w:t>
      </w:r>
      <w:r w:rsidR="00E72B5A" w:rsidRPr="00F536FA">
        <w:rPr>
          <w:rFonts w:ascii="Palatino Linotype" w:eastAsia="MS Mincho" w:hAnsi="Palatino Linotype" w:cs="Times New Roman"/>
          <w:sz w:val="24"/>
          <w:szCs w:val="24"/>
          <w:lang w:val="es-ES" w:eastAsia="es-ES"/>
        </w:rPr>
        <w:t xml:space="preserve">respuesta </w:t>
      </w:r>
      <w:r w:rsidR="004652CC" w:rsidRPr="00F536FA">
        <w:rPr>
          <w:rFonts w:ascii="Palatino Linotype" w:eastAsia="MS Mincho" w:hAnsi="Palatino Linotype" w:cs="Times New Roman"/>
          <w:sz w:val="24"/>
          <w:szCs w:val="24"/>
          <w:lang w:val="es-ES" w:eastAsia="es-ES"/>
        </w:rPr>
        <w:t xml:space="preserve">y posterior informe justificado </w:t>
      </w:r>
      <w:r w:rsidR="00E72B5A" w:rsidRPr="00F536FA">
        <w:rPr>
          <w:rFonts w:ascii="Palatino Linotype" w:eastAsia="MS Mincho" w:hAnsi="Palatino Linotype" w:cs="Times New Roman"/>
          <w:sz w:val="24"/>
          <w:szCs w:val="24"/>
          <w:lang w:val="es-ES" w:eastAsia="es-ES"/>
        </w:rPr>
        <w:t xml:space="preserve">del </w:t>
      </w:r>
      <w:r w:rsidR="00E71454" w:rsidRPr="00F536FA">
        <w:rPr>
          <w:rFonts w:ascii="Palatino Linotype" w:eastAsia="MS Mincho" w:hAnsi="Palatino Linotype" w:cs="Times New Roman"/>
          <w:sz w:val="24"/>
          <w:szCs w:val="24"/>
          <w:lang w:val="es-ES" w:eastAsia="es-ES"/>
        </w:rPr>
        <w:t>Ayuntamiento de Ixtlahuaca</w:t>
      </w:r>
      <w:r w:rsidR="00E72B5A" w:rsidRPr="00F536FA">
        <w:rPr>
          <w:rFonts w:ascii="Palatino Linotype" w:eastAsia="MS Mincho" w:hAnsi="Palatino Linotype" w:cs="Times New Roman"/>
          <w:sz w:val="24"/>
          <w:szCs w:val="24"/>
          <w:vertAlign w:val="superscript"/>
          <w:lang w:val="es-ES" w:eastAsia="es-ES"/>
        </w:rPr>
        <w:footnoteReference w:id="5"/>
      </w:r>
      <w:r w:rsidR="00E72B5A" w:rsidRPr="00F536FA">
        <w:rPr>
          <w:rFonts w:ascii="Palatino Linotype" w:eastAsia="MS Mincho" w:hAnsi="Palatino Linotype" w:cs="Times New Roman"/>
          <w:sz w:val="24"/>
          <w:szCs w:val="24"/>
          <w:lang w:val="es-ES" w:eastAsia="es-ES"/>
        </w:rPr>
        <w:t>, mismo que se inserta a continuación:</w:t>
      </w:r>
      <w:r w:rsidR="00E72B5A" w:rsidRPr="00F536FA">
        <w:rPr>
          <w:rFonts w:ascii="Palatino Linotype" w:eastAsia="MS Mincho" w:hAnsi="Palatino Linotype" w:cs="Times New Roman"/>
          <w:sz w:val="24"/>
          <w:szCs w:val="24"/>
          <w:lang w:val="es-ES_tradnl" w:eastAsia="es-ES"/>
        </w:rPr>
        <w:t xml:space="preserve"> </w:t>
      </w:r>
    </w:p>
    <w:p w14:paraId="24950423" w14:textId="65E2FC3A" w:rsidR="00161FA6" w:rsidRPr="00F536FA" w:rsidRDefault="004652CC" w:rsidP="00161FA6">
      <w:pPr>
        <w:spacing w:after="0" w:line="360" w:lineRule="auto"/>
        <w:ind w:right="49"/>
        <w:contextualSpacing/>
        <w:jc w:val="both"/>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mc:AlternateContent>
          <mc:Choice Requires="wps">
            <w:drawing>
              <wp:anchor distT="0" distB="0" distL="114300" distR="114300" simplePos="0" relativeHeight="251670528" behindDoc="0" locked="0" layoutInCell="1" allowOverlap="1" wp14:anchorId="4FF31BB4" wp14:editId="3B2A00CD">
                <wp:simplePos x="0" y="0"/>
                <wp:positionH relativeFrom="column">
                  <wp:posOffset>24764</wp:posOffset>
                </wp:positionH>
                <wp:positionV relativeFrom="paragraph">
                  <wp:posOffset>128270</wp:posOffset>
                </wp:positionV>
                <wp:extent cx="5724525" cy="1714500"/>
                <wp:effectExtent l="0" t="0" r="28575" b="19050"/>
                <wp:wrapNone/>
                <wp:docPr id="2" name="Conector recto 2"/>
                <wp:cNvGraphicFramePr/>
                <a:graphic xmlns:a="http://schemas.openxmlformats.org/drawingml/2006/main">
                  <a:graphicData uri="http://schemas.microsoft.com/office/word/2010/wordprocessingShape">
                    <wps:wsp>
                      <wps:cNvCnPr/>
                      <wps:spPr>
                        <a:xfrm flipV="1">
                          <a:off x="0" y="0"/>
                          <a:ext cx="5724525" cy="171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1C980CD" id="Conector recto 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95pt,10.1pt" to="452.7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" strokecolor="black [3200]" strokeweight=".5pt">
                <v:stroke joinstyle="miter"/>
              </v:line>
            </w:pict>
          </mc:Fallback>
        </mc:AlternateContent>
      </w:r>
    </w:p>
    <w:p w14:paraId="4336E8E6" w14:textId="2C918F34" w:rsidR="004652CC" w:rsidRPr="00F536FA" w:rsidRDefault="004652CC" w:rsidP="00161FA6">
      <w:pPr>
        <w:spacing w:after="0" w:line="360" w:lineRule="auto"/>
        <w:ind w:right="49"/>
        <w:contextualSpacing/>
        <w:jc w:val="both"/>
        <w:rPr>
          <w:rFonts w:ascii="Palatino Linotype" w:hAnsi="Palatino Linotype" w:cs="Arial"/>
          <w:color w:val="000000" w:themeColor="text1"/>
          <w:sz w:val="24"/>
        </w:rPr>
      </w:pPr>
    </w:p>
    <w:p w14:paraId="672F9AF3" w14:textId="28584D0C" w:rsidR="004652CC" w:rsidRPr="00F536FA" w:rsidRDefault="004652CC" w:rsidP="00161FA6">
      <w:pPr>
        <w:spacing w:after="0" w:line="360" w:lineRule="auto"/>
        <w:ind w:right="49"/>
        <w:contextualSpacing/>
        <w:jc w:val="both"/>
        <w:rPr>
          <w:rFonts w:ascii="Palatino Linotype" w:hAnsi="Palatino Linotype" w:cs="Arial"/>
          <w:color w:val="000000" w:themeColor="text1"/>
          <w:sz w:val="24"/>
        </w:rPr>
      </w:pPr>
    </w:p>
    <w:p w14:paraId="5E9086FF" w14:textId="6997C2F8" w:rsidR="004652CC" w:rsidRPr="00F536FA" w:rsidRDefault="004652CC" w:rsidP="00161FA6">
      <w:pPr>
        <w:spacing w:after="0" w:line="360" w:lineRule="auto"/>
        <w:ind w:right="49"/>
        <w:contextualSpacing/>
        <w:jc w:val="both"/>
        <w:rPr>
          <w:rFonts w:ascii="Palatino Linotype" w:hAnsi="Palatino Linotype" w:cs="Arial"/>
          <w:color w:val="000000" w:themeColor="text1"/>
          <w:sz w:val="24"/>
        </w:rPr>
      </w:pPr>
    </w:p>
    <w:p w14:paraId="7E1F983B" w14:textId="1D1FFE1B" w:rsidR="004652CC" w:rsidRPr="00F536FA" w:rsidRDefault="004652CC" w:rsidP="00161FA6">
      <w:pPr>
        <w:spacing w:after="0" w:line="360" w:lineRule="auto"/>
        <w:ind w:right="49"/>
        <w:contextualSpacing/>
        <w:jc w:val="both"/>
        <w:rPr>
          <w:rFonts w:ascii="Palatino Linotype" w:hAnsi="Palatino Linotype" w:cs="Arial"/>
          <w:color w:val="000000" w:themeColor="text1"/>
          <w:sz w:val="24"/>
        </w:rPr>
      </w:pPr>
    </w:p>
    <w:p w14:paraId="6F641039" w14:textId="77777777" w:rsidR="004652CC" w:rsidRPr="00F536FA" w:rsidRDefault="004652CC" w:rsidP="00161FA6">
      <w:pPr>
        <w:spacing w:after="0" w:line="360" w:lineRule="auto"/>
        <w:ind w:right="49"/>
        <w:contextualSpacing/>
        <w:jc w:val="both"/>
        <w:rPr>
          <w:rFonts w:ascii="Palatino Linotype" w:hAnsi="Palatino Linotype" w:cs="Arial"/>
          <w:color w:val="000000" w:themeColor="text1"/>
          <w:sz w:val="24"/>
        </w:rPr>
      </w:pPr>
    </w:p>
    <w:tbl>
      <w:tblPr>
        <w:tblStyle w:val="Tablaconcuadrcula"/>
        <w:tblW w:w="0" w:type="auto"/>
        <w:tblLook w:val="04A0" w:firstRow="1" w:lastRow="0" w:firstColumn="1" w:lastColumn="0" w:noHBand="0" w:noVBand="1"/>
      </w:tblPr>
      <w:tblGrid>
        <w:gridCol w:w="1264"/>
        <w:gridCol w:w="1761"/>
        <w:gridCol w:w="2283"/>
        <w:gridCol w:w="1876"/>
        <w:gridCol w:w="1595"/>
      </w:tblGrid>
      <w:tr w:rsidR="004652CC" w:rsidRPr="00F536FA" w14:paraId="338136CA" w14:textId="77777777" w:rsidTr="000838EF">
        <w:tc>
          <w:tcPr>
            <w:tcW w:w="3114" w:type="dxa"/>
            <w:gridSpan w:val="2"/>
            <w:shd w:val="clear" w:color="auto" w:fill="BFBFBF" w:themeFill="background1" w:themeFillShade="BF"/>
            <w:vAlign w:val="center"/>
          </w:tcPr>
          <w:p w14:paraId="7868EA0D" w14:textId="65FC792A" w:rsidR="004652CC" w:rsidRPr="00F536FA" w:rsidRDefault="004652CC" w:rsidP="00E72B5A">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lastRenderedPageBreak/>
              <w:t>Solicitud</w:t>
            </w:r>
          </w:p>
        </w:tc>
        <w:tc>
          <w:tcPr>
            <w:tcW w:w="2410" w:type="dxa"/>
            <w:shd w:val="clear" w:color="auto" w:fill="BFBFBF" w:themeFill="background1" w:themeFillShade="BF"/>
            <w:vAlign w:val="center"/>
          </w:tcPr>
          <w:p w14:paraId="07AF16A4" w14:textId="4AE2C33D" w:rsidR="004652CC" w:rsidRPr="00F536FA" w:rsidRDefault="004652CC" w:rsidP="00E72B5A">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Respuesta</w:t>
            </w:r>
          </w:p>
        </w:tc>
        <w:tc>
          <w:tcPr>
            <w:tcW w:w="1984" w:type="dxa"/>
            <w:shd w:val="clear" w:color="auto" w:fill="BFBFBF" w:themeFill="background1" w:themeFillShade="BF"/>
            <w:vAlign w:val="center"/>
          </w:tcPr>
          <w:p w14:paraId="2CC12E21" w14:textId="325D4D85" w:rsidR="004652CC" w:rsidRPr="00F536FA" w:rsidRDefault="004652CC" w:rsidP="004652CC">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Informe Justificado</w:t>
            </w:r>
          </w:p>
        </w:tc>
        <w:tc>
          <w:tcPr>
            <w:tcW w:w="1271" w:type="dxa"/>
            <w:shd w:val="clear" w:color="auto" w:fill="BFBFBF" w:themeFill="background1" w:themeFillShade="BF"/>
            <w:vAlign w:val="center"/>
          </w:tcPr>
          <w:p w14:paraId="63043564" w14:textId="49695975" w:rsidR="004652CC" w:rsidRPr="00F536FA" w:rsidRDefault="004652CC" w:rsidP="00E72B5A">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¿Colma lo solicitado?</w:t>
            </w:r>
          </w:p>
        </w:tc>
      </w:tr>
      <w:tr w:rsidR="00131C6F" w:rsidRPr="00F536FA" w14:paraId="0D106B78" w14:textId="77777777" w:rsidTr="000838EF">
        <w:tc>
          <w:tcPr>
            <w:tcW w:w="1271" w:type="dxa"/>
            <w:vMerge w:val="restart"/>
            <w:vAlign w:val="center"/>
          </w:tcPr>
          <w:p w14:paraId="7F1FA7B7" w14:textId="106F8780" w:rsidR="00131C6F" w:rsidRPr="00F536FA" w:rsidRDefault="00131C6F" w:rsidP="008E205F">
            <w:pPr>
              <w:spacing w:line="276" w:lineRule="auto"/>
              <w:ind w:right="49"/>
              <w:contextualSpacing/>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De las empresas y/o personas físicas proveedoras de juegos mecánicos en la Feria de Ixtlahuaca del 2015-2019:</w:t>
            </w:r>
          </w:p>
        </w:tc>
        <w:tc>
          <w:tcPr>
            <w:tcW w:w="1843" w:type="dxa"/>
          </w:tcPr>
          <w:p w14:paraId="3BAF053A" w14:textId="76229519" w:rsidR="00131C6F" w:rsidRPr="00F536FA" w:rsidRDefault="00131C6F" w:rsidP="008E205F">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Monto de las aportaciones realizadas al Ayuntamiento</w:t>
            </w:r>
          </w:p>
        </w:tc>
        <w:tc>
          <w:tcPr>
            <w:tcW w:w="2410" w:type="dxa"/>
            <w:vMerge w:val="restart"/>
          </w:tcPr>
          <w:p w14:paraId="35D45D27" w14:textId="77777777" w:rsidR="00131C6F" w:rsidRPr="00F536FA" w:rsidRDefault="00131C6F" w:rsidP="0037797F">
            <w:pPr>
              <w:pStyle w:val="Prrafodelista"/>
              <w:numPr>
                <w:ilvl w:val="0"/>
                <w:numId w:val="1"/>
              </w:numPr>
              <w:spacing w:line="276" w:lineRule="auto"/>
              <w:ind w:left="220" w:right="49" w:hanging="220"/>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Entregó un contrato de comodato de juegos mecánicos para la Expo Feria Ixtlahuaca 2019.</w:t>
            </w:r>
          </w:p>
          <w:p w14:paraId="11D3170F" w14:textId="77777777" w:rsidR="00131C6F" w:rsidRPr="00F536FA" w:rsidRDefault="00131C6F" w:rsidP="0037797F">
            <w:pPr>
              <w:pStyle w:val="Prrafodelista"/>
              <w:numPr>
                <w:ilvl w:val="0"/>
                <w:numId w:val="1"/>
              </w:numPr>
              <w:spacing w:line="276" w:lineRule="auto"/>
              <w:ind w:left="220" w:right="49" w:hanging="220"/>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Refirió no haber localizado información de los ejercicios 2015-2018</w:t>
            </w:r>
          </w:p>
          <w:p w14:paraId="7C720A7E" w14:textId="10F87461" w:rsidR="00131C6F" w:rsidRPr="00F536FA" w:rsidRDefault="00131C6F" w:rsidP="006E6883">
            <w:pPr>
              <w:pStyle w:val="Prrafodelista"/>
              <w:numPr>
                <w:ilvl w:val="0"/>
                <w:numId w:val="1"/>
              </w:numPr>
              <w:spacing w:line="276" w:lineRule="auto"/>
              <w:ind w:left="220" w:right="49" w:hanging="220"/>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 xml:space="preserve">El Tesorero señaló que el total de aportaciones correspondientes a juegos mecánicos en </w:t>
            </w:r>
            <w:proofErr w:type="gramStart"/>
            <w:r w:rsidRPr="00F536FA">
              <w:rPr>
                <w:rFonts w:ascii="Palatino Linotype" w:hAnsi="Palatino Linotype" w:cs="Arial"/>
                <w:color w:val="000000" w:themeColor="text1"/>
                <w:sz w:val="16"/>
                <w:szCs w:val="16"/>
              </w:rPr>
              <w:t>la</w:t>
            </w:r>
            <w:proofErr w:type="gramEnd"/>
            <w:r w:rsidRPr="00F536FA">
              <w:rPr>
                <w:rFonts w:ascii="Palatino Linotype" w:hAnsi="Palatino Linotype" w:cs="Arial"/>
                <w:color w:val="000000" w:themeColor="text1"/>
                <w:sz w:val="16"/>
                <w:szCs w:val="16"/>
              </w:rPr>
              <w:t xml:space="preserve"> Expo Feria de los años 2016-2018 fue de $347,000.00, indicó que no contaba con información del 2015 y, que en el 2019 no se realizó convenio de otorgamiento a título gratuito.</w:t>
            </w:r>
          </w:p>
        </w:tc>
        <w:tc>
          <w:tcPr>
            <w:tcW w:w="1984" w:type="dxa"/>
            <w:vMerge w:val="restart"/>
          </w:tcPr>
          <w:p w14:paraId="3E0FBA2E" w14:textId="047A7090" w:rsidR="00B2499C" w:rsidRPr="00F536FA" w:rsidRDefault="00B2499C" w:rsidP="00B2499C">
            <w:pPr>
              <w:spacing w:line="276" w:lineRule="auto"/>
              <w:ind w:right="49"/>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El Tesorero refirió:</w:t>
            </w:r>
          </w:p>
          <w:p w14:paraId="78332536" w14:textId="77777777" w:rsidR="00131C6F" w:rsidRPr="00F536FA" w:rsidRDefault="00B2499C" w:rsidP="00B2499C">
            <w:pPr>
              <w:pStyle w:val="Prrafodelista"/>
              <w:numPr>
                <w:ilvl w:val="0"/>
                <w:numId w:val="1"/>
              </w:numPr>
              <w:spacing w:line="276" w:lineRule="auto"/>
              <w:ind w:left="208" w:right="49" w:hanging="141"/>
              <w:jc w:val="both"/>
              <w:rPr>
                <w:rFonts w:ascii="Palatino Linotype" w:hAnsi="Palatino Linotype" w:cs="Arial"/>
                <w:b/>
                <w:bCs/>
                <w:color w:val="000000" w:themeColor="text1"/>
                <w:sz w:val="16"/>
                <w:szCs w:val="16"/>
              </w:rPr>
            </w:pPr>
            <w:r w:rsidRPr="00F536FA">
              <w:rPr>
                <w:rFonts w:ascii="Palatino Linotype" w:hAnsi="Palatino Linotype" w:cs="Arial"/>
                <w:color w:val="000000" w:themeColor="text1"/>
                <w:sz w:val="16"/>
                <w:szCs w:val="16"/>
              </w:rPr>
              <w:t>Que no se encontraron registros de aportaciones de la Expo Feria 2015.</w:t>
            </w:r>
          </w:p>
          <w:p w14:paraId="2682D50E" w14:textId="06AFAF68" w:rsidR="00B2499C" w:rsidRPr="00F536FA" w:rsidRDefault="00B2499C" w:rsidP="00B2499C">
            <w:pPr>
              <w:pStyle w:val="Prrafodelista"/>
              <w:numPr>
                <w:ilvl w:val="0"/>
                <w:numId w:val="1"/>
              </w:numPr>
              <w:spacing w:line="276" w:lineRule="auto"/>
              <w:ind w:left="208" w:right="49" w:hanging="141"/>
              <w:jc w:val="both"/>
              <w:rPr>
                <w:rFonts w:ascii="Palatino Linotype" w:hAnsi="Palatino Linotype" w:cs="Arial"/>
                <w:b/>
                <w:bCs/>
                <w:color w:val="000000" w:themeColor="text1"/>
                <w:sz w:val="16"/>
                <w:szCs w:val="16"/>
              </w:rPr>
            </w:pPr>
            <w:r w:rsidRPr="00F536FA">
              <w:rPr>
                <w:rFonts w:ascii="Palatino Linotype" w:hAnsi="Palatino Linotype" w:cs="Arial"/>
                <w:color w:val="000000" w:themeColor="text1"/>
                <w:sz w:val="16"/>
                <w:szCs w:val="16"/>
              </w:rPr>
              <w:t xml:space="preserve">Entregó el auxiliar de la cuenta 4119-1-2-2 Ingresos por Diversiones, Juegos y Espectáculos </w:t>
            </w:r>
            <w:proofErr w:type="spellStart"/>
            <w:r w:rsidRPr="00F536FA">
              <w:rPr>
                <w:rFonts w:ascii="Palatino Linotype" w:hAnsi="Palatino Linotype" w:cs="Arial"/>
                <w:color w:val="000000" w:themeColor="text1"/>
                <w:sz w:val="16"/>
                <w:szCs w:val="16"/>
              </w:rPr>
              <w:t>Púbilcos</w:t>
            </w:r>
            <w:proofErr w:type="spellEnd"/>
            <w:r w:rsidRPr="00F536FA">
              <w:rPr>
                <w:rFonts w:ascii="Palatino Linotype" w:hAnsi="Palatino Linotype" w:cs="Arial"/>
                <w:color w:val="000000" w:themeColor="text1"/>
                <w:sz w:val="16"/>
                <w:szCs w:val="16"/>
              </w:rPr>
              <w:t xml:space="preserve"> </w:t>
            </w:r>
            <w:r w:rsidR="000838EF" w:rsidRPr="00F536FA">
              <w:rPr>
                <w:rFonts w:ascii="Palatino Linotype" w:hAnsi="Palatino Linotype" w:cs="Arial"/>
                <w:color w:val="000000" w:themeColor="text1"/>
                <w:sz w:val="16"/>
                <w:szCs w:val="16"/>
              </w:rPr>
              <w:t>junto con tres recibos de pago.</w:t>
            </w:r>
          </w:p>
        </w:tc>
        <w:tc>
          <w:tcPr>
            <w:tcW w:w="1271" w:type="dxa"/>
            <w:vMerge w:val="restart"/>
            <w:vAlign w:val="center"/>
          </w:tcPr>
          <w:p w14:paraId="3E097D15" w14:textId="07696E76" w:rsidR="00131C6F" w:rsidRPr="00F536FA" w:rsidRDefault="000838EF" w:rsidP="00E72B5A">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PARCIALMENTE</w:t>
            </w:r>
          </w:p>
        </w:tc>
      </w:tr>
      <w:tr w:rsidR="00131C6F" w:rsidRPr="00F536FA" w14:paraId="78E3876C" w14:textId="77777777" w:rsidTr="000838EF">
        <w:tc>
          <w:tcPr>
            <w:tcW w:w="1271" w:type="dxa"/>
            <w:vMerge/>
          </w:tcPr>
          <w:p w14:paraId="49F79018" w14:textId="6FE6FD02" w:rsidR="00131C6F" w:rsidRPr="00F536FA" w:rsidRDefault="00131C6F" w:rsidP="008E205F">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7072E425" w14:textId="033384C9" w:rsidR="00131C6F" w:rsidRPr="00F536FA" w:rsidRDefault="00131C6F" w:rsidP="008E205F">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Recibos otorgados por el Ayuntamiento</w:t>
            </w:r>
          </w:p>
        </w:tc>
        <w:tc>
          <w:tcPr>
            <w:tcW w:w="2410" w:type="dxa"/>
            <w:vMerge/>
          </w:tcPr>
          <w:p w14:paraId="395FB6B8" w14:textId="35335A2A" w:rsidR="00131C6F" w:rsidRPr="00F536FA" w:rsidRDefault="00131C6F" w:rsidP="0037797F">
            <w:pPr>
              <w:pStyle w:val="Prrafodelista"/>
              <w:numPr>
                <w:ilvl w:val="0"/>
                <w:numId w:val="1"/>
              </w:numPr>
              <w:spacing w:line="276" w:lineRule="auto"/>
              <w:ind w:right="49"/>
              <w:jc w:val="both"/>
              <w:rPr>
                <w:rFonts w:ascii="Palatino Linotype" w:hAnsi="Palatino Linotype" w:cs="Arial"/>
                <w:color w:val="000000" w:themeColor="text1"/>
                <w:sz w:val="16"/>
                <w:szCs w:val="16"/>
              </w:rPr>
            </w:pPr>
          </w:p>
        </w:tc>
        <w:tc>
          <w:tcPr>
            <w:tcW w:w="1984" w:type="dxa"/>
            <w:vMerge/>
          </w:tcPr>
          <w:p w14:paraId="64CF906D" w14:textId="77777777" w:rsidR="00131C6F" w:rsidRPr="00F536FA" w:rsidRDefault="00131C6F" w:rsidP="00855296">
            <w:pPr>
              <w:spacing w:line="276" w:lineRule="auto"/>
              <w:ind w:right="49"/>
              <w:contextualSpacing/>
              <w:jc w:val="both"/>
              <w:rPr>
                <w:rFonts w:ascii="Palatino Linotype" w:hAnsi="Palatino Linotype" w:cs="Arial"/>
                <w:b/>
                <w:bCs/>
                <w:color w:val="000000" w:themeColor="text1"/>
                <w:sz w:val="16"/>
                <w:szCs w:val="16"/>
              </w:rPr>
            </w:pPr>
          </w:p>
        </w:tc>
        <w:tc>
          <w:tcPr>
            <w:tcW w:w="1271" w:type="dxa"/>
            <w:vMerge/>
            <w:vAlign w:val="center"/>
          </w:tcPr>
          <w:p w14:paraId="27F18E0E" w14:textId="34FA27D2" w:rsidR="00131C6F" w:rsidRPr="00F536FA" w:rsidRDefault="00131C6F" w:rsidP="00E72B5A">
            <w:pPr>
              <w:spacing w:line="276" w:lineRule="auto"/>
              <w:ind w:right="49"/>
              <w:contextualSpacing/>
              <w:jc w:val="center"/>
              <w:rPr>
                <w:rFonts w:ascii="Palatino Linotype" w:hAnsi="Palatino Linotype" w:cs="Arial"/>
                <w:b/>
                <w:bCs/>
                <w:color w:val="000000" w:themeColor="text1"/>
                <w:sz w:val="16"/>
                <w:szCs w:val="16"/>
              </w:rPr>
            </w:pPr>
          </w:p>
        </w:tc>
      </w:tr>
      <w:tr w:rsidR="00131C6F" w:rsidRPr="00F536FA" w14:paraId="024A7397" w14:textId="77777777" w:rsidTr="000838EF">
        <w:tc>
          <w:tcPr>
            <w:tcW w:w="1271" w:type="dxa"/>
            <w:vMerge/>
          </w:tcPr>
          <w:p w14:paraId="4BCF405B" w14:textId="63B7D30C" w:rsidR="00131C6F" w:rsidRPr="00F536FA" w:rsidRDefault="00131C6F" w:rsidP="008E205F">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67D3E84B" w14:textId="03ABA444" w:rsidR="00131C6F" w:rsidRPr="00F536FA" w:rsidRDefault="00131C6F" w:rsidP="008E205F">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Permisos de funcionamiento</w:t>
            </w:r>
          </w:p>
        </w:tc>
        <w:tc>
          <w:tcPr>
            <w:tcW w:w="2410" w:type="dxa"/>
            <w:vMerge/>
          </w:tcPr>
          <w:p w14:paraId="68E4C24A" w14:textId="04671D46" w:rsidR="00131C6F" w:rsidRPr="00F536FA" w:rsidRDefault="00131C6F" w:rsidP="0037797F">
            <w:pPr>
              <w:pStyle w:val="Prrafodelista"/>
              <w:numPr>
                <w:ilvl w:val="0"/>
                <w:numId w:val="1"/>
              </w:numPr>
              <w:spacing w:line="276" w:lineRule="auto"/>
              <w:ind w:right="49"/>
              <w:jc w:val="both"/>
              <w:rPr>
                <w:rFonts w:ascii="Palatino Linotype" w:hAnsi="Palatino Linotype" w:cs="Arial"/>
                <w:color w:val="000000" w:themeColor="text1"/>
                <w:sz w:val="16"/>
                <w:szCs w:val="16"/>
              </w:rPr>
            </w:pPr>
          </w:p>
        </w:tc>
        <w:tc>
          <w:tcPr>
            <w:tcW w:w="1984" w:type="dxa"/>
            <w:vMerge/>
          </w:tcPr>
          <w:p w14:paraId="1FCB6869" w14:textId="77777777" w:rsidR="00131C6F" w:rsidRPr="00F536FA" w:rsidRDefault="00131C6F" w:rsidP="00855296">
            <w:pPr>
              <w:spacing w:line="276" w:lineRule="auto"/>
              <w:ind w:right="49"/>
              <w:contextualSpacing/>
              <w:jc w:val="both"/>
              <w:rPr>
                <w:rFonts w:ascii="Palatino Linotype" w:hAnsi="Palatino Linotype" w:cs="Arial"/>
                <w:b/>
                <w:bCs/>
                <w:color w:val="000000" w:themeColor="text1"/>
                <w:sz w:val="16"/>
                <w:szCs w:val="16"/>
              </w:rPr>
            </w:pPr>
          </w:p>
        </w:tc>
        <w:tc>
          <w:tcPr>
            <w:tcW w:w="1271" w:type="dxa"/>
            <w:vMerge/>
            <w:vAlign w:val="center"/>
          </w:tcPr>
          <w:p w14:paraId="2AFE8BEB" w14:textId="0B8535A2" w:rsidR="00131C6F" w:rsidRPr="00F536FA" w:rsidRDefault="00131C6F" w:rsidP="00E72B5A">
            <w:pPr>
              <w:spacing w:line="276" w:lineRule="auto"/>
              <w:ind w:right="49"/>
              <w:contextualSpacing/>
              <w:jc w:val="center"/>
              <w:rPr>
                <w:rFonts w:ascii="Palatino Linotype" w:hAnsi="Palatino Linotype" w:cs="Arial"/>
                <w:b/>
                <w:bCs/>
                <w:color w:val="000000" w:themeColor="text1"/>
                <w:sz w:val="16"/>
                <w:szCs w:val="16"/>
              </w:rPr>
            </w:pPr>
          </w:p>
        </w:tc>
      </w:tr>
      <w:tr w:rsidR="00131C6F" w:rsidRPr="00F536FA" w14:paraId="506ADE20" w14:textId="77777777" w:rsidTr="000838EF">
        <w:tc>
          <w:tcPr>
            <w:tcW w:w="1271" w:type="dxa"/>
            <w:vMerge/>
          </w:tcPr>
          <w:p w14:paraId="7D412AB0" w14:textId="56157615" w:rsidR="00131C6F" w:rsidRPr="00F536FA" w:rsidRDefault="00131C6F" w:rsidP="008E205F">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186A7A92" w14:textId="2D31E328" w:rsidR="00131C6F" w:rsidRPr="00F536FA" w:rsidRDefault="00131C6F" w:rsidP="008E205F">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Contratos o convenios que establezcan el permiso de instalación de las empresas.</w:t>
            </w:r>
          </w:p>
        </w:tc>
        <w:tc>
          <w:tcPr>
            <w:tcW w:w="2410" w:type="dxa"/>
            <w:vMerge/>
          </w:tcPr>
          <w:p w14:paraId="480FA30B" w14:textId="45A09775" w:rsidR="00131C6F" w:rsidRPr="00F536FA" w:rsidRDefault="00131C6F" w:rsidP="0037797F">
            <w:pPr>
              <w:pStyle w:val="Prrafodelista"/>
              <w:numPr>
                <w:ilvl w:val="0"/>
                <w:numId w:val="1"/>
              </w:numPr>
              <w:spacing w:line="276" w:lineRule="auto"/>
              <w:ind w:right="49"/>
              <w:jc w:val="both"/>
              <w:rPr>
                <w:rFonts w:ascii="Palatino Linotype" w:hAnsi="Palatino Linotype" w:cs="Arial"/>
                <w:color w:val="000000" w:themeColor="text1"/>
                <w:sz w:val="16"/>
                <w:szCs w:val="16"/>
              </w:rPr>
            </w:pPr>
          </w:p>
        </w:tc>
        <w:tc>
          <w:tcPr>
            <w:tcW w:w="1984" w:type="dxa"/>
            <w:vMerge/>
          </w:tcPr>
          <w:p w14:paraId="6ACDF9A2" w14:textId="77777777" w:rsidR="00131C6F" w:rsidRPr="00F536FA" w:rsidRDefault="00131C6F" w:rsidP="00855296">
            <w:pPr>
              <w:spacing w:line="276" w:lineRule="auto"/>
              <w:ind w:right="49"/>
              <w:contextualSpacing/>
              <w:jc w:val="both"/>
              <w:rPr>
                <w:rFonts w:ascii="Palatino Linotype" w:hAnsi="Palatino Linotype" w:cs="Arial"/>
                <w:b/>
                <w:bCs/>
                <w:color w:val="000000" w:themeColor="text1"/>
                <w:sz w:val="16"/>
                <w:szCs w:val="16"/>
              </w:rPr>
            </w:pPr>
          </w:p>
        </w:tc>
        <w:tc>
          <w:tcPr>
            <w:tcW w:w="1271" w:type="dxa"/>
            <w:vMerge/>
            <w:vAlign w:val="center"/>
          </w:tcPr>
          <w:p w14:paraId="1AEEA634" w14:textId="1E286255" w:rsidR="00131C6F" w:rsidRPr="00F536FA" w:rsidRDefault="00131C6F" w:rsidP="00C5364C">
            <w:pPr>
              <w:spacing w:line="276" w:lineRule="auto"/>
              <w:ind w:right="49"/>
              <w:contextualSpacing/>
              <w:jc w:val="center"/>
              <w:rPr>
                <w:rFonts w:ascii="Palatino Linotype" w:hAnsi="Palatino Linotype" w:cs="Arial"/>
                <w:b/>
                <w:bCs/>
                <w:color w:val="000000" w:themeColor="text1"/>
                <w:sz w:val="16"/>
                <w:szCs w:val="16"/>
              </w:rPr>
            </w:pPr>
          </w:p>
        </w:tc>
      </w:tr>
      <w:tr w:rsidR="002D7A3C" w:rsidRPr="00F536FA" w14:paraId="2249E9C4" w14:textId="77777777" w:rsidTr="000838EF">
        <w:tc>
          <w:tcPr>
            <w:tcW w:w="3114" w:type="dxa"/>
            <w:gridSpan w:val="2"/>
          </w:tcPr>
          <w:p w14:paraId="69ACC115" w14:textId="579E667D" w:rsidR="002D7A3C" w:rsidRPr="00F536FA" w:rsidRDefault="002D7A3C" w:rsidP="008E205F">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Costo de la realización de la Feria de Ixtlahuaca del 2015-2019</w:t>
            </w:r>
          </w:p>
        </w:tc>
        <w:tc>
          <w:tcPr>
            <w:tcW w:w="2410" w:type="dxa"/>
          </w:tcPr>
          <w:p w14:paraId="0DD998A2" w14:textId="77777777" w:rsidR="002D7A3C" w:rsidRPr="00F536FA" w:rsidRDefault="0037797F" w:rsidP="0037797F">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Refirió que el costo total de la Feria 2019 fue de $11,373,009.04</w:t>
            </w:r>
          </w:p>
          <w:p w14:paraId="0AE020DC" w14:textId="3E918F84" w:rsidR="0037797F" w:rsidRPr="00F536FA" w:rsidRDefault="0037797F" w:rsidP="00617412">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Presentó una relación de procesos de adjudicación llevados a cabo durante el 2015-2018</w:t>
            </w:r>
          </w:p>
        </w:tc>
        <w:tc>
          <w:tcPr>
            <w:tcW w:w="1984" w:type="dxa"/>
          </w:tcPr>
          <w:p w14:paraId="3252869D" w14:textId="77777777" w:rsidR="002D7A3C" w:rsidRPr="00F536FA" w:rsidRDefault="002D7A3C" w:rsidP="00855296">
            <w:pPr>
              <w:spacing w:line="276" w:lineRule="auto"/>
              <w:ind w:right="49"/>
              <w:contextualSpacing/>
              <w:jc w:val="both"/>
              <w:rPr>
                <w:rFonts w:ascii="Palatino Linotype" w:hAnsi="Palatino Linotype" w:cs="Arial"/>
                <w:b/>
                <w:bCs/>
                <w:color w:val="000000" w:themeColor="text1"/>
                <w:sz w:val="16"/>
                <w:szCs w:val="16"/>
              </w:rPr>
            </w:pPr>
          </w:p>
        </w:tc>
        <w:tc>
          <w:tcPr>
            <w:tcW w:w="1271" w:type="dxa"/>
            <w:vAlign w:val="center"/>
          </w:tcPr>
          <w:p w14:paraId="5359421B" w14:textId="3CD8BB97" w:rsidR="002D7A3C" w:rsidRPr="00F536FA" w:rsidRDefault="000838EF" w:rsidP="00C5364C">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PARCIALMENTE</w:t>
            </w:r>
          </w:p>
        </w:tc>
      </w:tr>
      <w:tr w:rsidR="002D7A3C" w:rsidRPr="00F536FA" w14:paraId="4BD29B0E" w14:textId="77777777" w:rsidTr="000838EF">
        <w:tc>
          <w:tcPr>
            <w:tcW w:w="3114" w:type="dxa"/>
            <w:gridSpan w:val="2"/>
          </w:tcPr>
          <w:p w14:paraId="1607543A" w14:textId="13FAE4A2" w:rsidR="002D7A3C" w:rsidRPr="00F536FA" w:rsidRDefault="002D7A3C" w:rsidP="008E205F">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Programas y eventos artísticos de la Feria de Ixtlahuaca del 2015-2019</w:t>
            </w:r>
          </w:p>
        </w:tc>
        <w:tc>
          <w:tcPr>
            <w:tcW w:w="2410" w:type="dxa"/>
          </w:tcPr>
          <w:p w14:paraId="097388CD" w14:textId="77777777" w:rsidR="00617412" w:rsidRPr="00F536FA" w:rsidRDefault="00617412" w:rsidP="00617412">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Entregó los programas de la Expo Feria Ixtlahuaca 2019 del 28 de septiembre al 13 de octubre de 2019.</w:t>
            </w:r>
          </w:p>
          <w:p w14:paraId="3236FC07" w14:textId="6F1B680C" w:rsidR="002D7A3C" w:rsidRPr="00F536FA" w:rsidRDefault="00617412" w:rsidP="00617412">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Entregó un documento que enlista ‘los elencos artísticos más destacados’ de la Expo Feria 2019</w:t>
            </w:r>
          </w:p>
        </w:tc>
        <w:tc>
          <w:tcPr>
            <w:tcW w:w="1984" w:type="dxa"/>
          </w:tcPr>
          <w:p w14:paraId="026F72E9" w14:textId="77777777" w:rsidR="002D7A3C" w:rsidRPr="00F536FA" w:rsidRDefault="002D7A3C" w:rsidP="00855296">
            <w:pPr>
              <w:spacing w:line="276" w:lineRule="auto"/>
              <w:ind w:right="49"/>
              <w:contextualSpacing/>
              <w:jc w:val="both"/>
              <w:rPr>
                <w:rFonts w:ascii="Palatino Linotype" w:hAnsi="Palatino Linotype" w:cs="Arial"/>
                <w:b/>
                <w:bCs/>
                <w:color w:val="000000" w:themeColor="text1"/>
                <w:sz w:val="16"/>
                <w:szCs w:val="16"/>
              </w:rPr>
            </w:pPr>
          </w:p>
        </w:tc>
        <w:tc>
          <w:tcPr>
            <w:tcW w:w="1271" w:type="dxa"/>
            <w:vAlign w:val="center"/>
          </w:tcPr>
          <w:p w14:paraId="08980A5F" w14:textId="1E75E95E" w:rsidR="002D7A3C" w:rsidRPr="00F536FA" w:rsidRDefault="000838EF" w:rsidP="00C5364C">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PARCIALMENTE</w:t>
            </w:r>
          </w:p>
        </w:tc>
      </w:tr>
      <w:tr w:rsidR="00B2499C" w:rsidRPr="00F536FA" w14:paraId="1602A6A4" w14:textId="77777777" w:rsidTr="000838EF">
        <w:tc>
          <w:tcPr>
            <w:tcW w:w="1271" w:type="dxa"/>
            <w:vMerge w:val="restart"/>
          </w:tcPr>
          <w:p w14:paraId="5259CFCB" w14:textId="53F85F30"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 xml:space="preserve">De las empresas o personas físicas que llevaron a cabo los eventos denominados </w:t>
            </w:r>
            <w:r w:rsidRPr="00F536FA">
              <w:rPr>
                <w:rFonts w:ascii="Palatino Linotype" w:hAnsi="Palatino Linotype" w:cs="Arial"/>
                <w:color w:val="000000" w:themeColor="text1"/>
                <w:sz w:val="16"/>
                <w:szCs w:val="16"/>
                <w:lang w:val="es-MX"/>
              </w:rPr>
              <w:lastRenderedPageBreak/>
              <w:t>"Cuernos Chuecos", concierto de Pancho Barraza, concierto de El Trono de México y corrida de toros, durante la Feria de Ixtlahuaca 2019</w:t>
            </w:r>
          </w:p>
        </w:tc>
        <w:tc>
          <w:tcPr>
            <w:tcW w:w="1843" w:type="dxa"/>
          </w:tcPr>
          <w:p w14:paraId="5A85742A" w14:textId="0255A12E"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lastRenderedPageBreak/>
              <w:t>Nombre de las empresas</w:t>
            </w:r>
          </w:p>
        </w:tc>
        <w:tc>
          <w:tcPr>
            <w:tcW w:w="2410" w:type="dxa"/>
            <w:vMerge w:val="restart"/>
          </w:tcPr>
          <w:p w14:paraId="2973F99B" w14:textId="77777777" w:rsidR="00B2499C" w:rsidRPr="00F536FA" w:rsidRDefault="00B2499C" w:rsidP="00B2499C">
            <w:pPr>
              <w:pStyle w:val="Prrafodelista"/>
              <w:numPr>
                <w:ilvl w:val="0"/>
                <w:numId w:val="40"/>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El Tesorero señaló que no se recibieron aportaciones de los eventos, ya que “la empresa” fue quien directamente realizó los cobros.</w:t>
            </w:r>
          </w:p>
          <w:p w14:paraId="613B84F3" w14:textId="77777777" w:rsidR="00B2499C" w:rsidRPr="00F536FA" w:rsidRDefault="00B2499C" w:rsidP="00B2499C">
            <w:pPr>
              <w:pStyle w:val="Prrafodelista"/>
              <w:numPr>
                <w:ilvl w:val="0"/>
                <w:numId w:val="1"/>
              </w:numPr>
              <w:spacing w:line="276" w:lineRule="auto"/>
              <w:ind w:left="220" w:right="49" w:hanging="220"/>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lastRenderedPageBreak/>
              <w:t>Por cuanto hace a la corrida de toros, entregó un contrato de comodato del ‘Auditorio de la Gente’ y el recinto ferial la Expo Feria Ixtlahuaca 2019.</w:t>
            </w:r>
          </w:p>
          <w:p w14:paraId="4CC662CC" w14:textId="77777777" w:rsidR="00B2499C" w:rsidRPr="00F536FA" w:rsidRDefault="00B2499C" w:rsidP="00B2499C">
            <w:pPr>
              <w:spacing w:line="276" w:lineRule="auto"/>
              <w:ind w:right="49"/>
              <w:jc w:val="both"/>
              <w:rPr>
                <w:rFonts w:ascii="Palatino Linotype" w:hAnsi="Palatino Linotype" w:cs="Arial"/>
                <w:color w:val="000000" w:themeColor="text1"/>
                <w:sz w:val="16"/>
                <w:szCs w:val="16"/>
              </w:rPr>
            </w:pPr>
          </w:p>
        </w:tc>
        <w:tc>
          <w:tcPr>
            <w:tcW w:w="1984" w:type="dxa"/>
            <w:vMerge w:val="restart"/>
          </w:tcPr>
          <w:p w14:paraId="71C90964" w14:textId="34ABB57E" w:rsidR="00B2499C" w:rsidRPr="00F536FA" w:rsidRDefault="00B2499C" w:rsidP="00B2499C">
            <w:pPr>
              <w:spacing w:line="276" w:lineRule="auto"/>
              <w:ind w:right="49"/>
              <w:contextualSpacing/>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lastRenderedPageBreak/>
              <w:t xml:space="preserve">El Tesorero manifestó que no hubo ningún ingreso, ya que el uso de la explanada del recinto ferial para la promoción y difusión de eventos públicos </w:t>
            </w:r>
            <w:r w:rsidR="000838EF" w:rsidRPr="00F536FA">
              <w:rPr>
                <w:rFonts w:ascii="Palatino Linotype" w:hAnsi="Palatino Linotype" w:cs="Arial"/>
                <w:color w:val="000000" w:themeColor="text1"/>
                <w:sz w:val="16"/>
                <w:szCs w:val="16"/>
              </w:rPr>
              <w:t>fue a título gratuito</w:t>
            </w:r>
          </w:p>
        </w:tc>
        <w:tc>
          <w:tcPr>
            <w:tcW w:w="1271" w:type="dxa"/>
            <w:vMerge w:val="restart"/>
            <w:vAlign w:val="center"/>
          </w:tcPr>
          <w:p w14:paraId="487A4700" w14:textId="63C79260" w:rsidR="00B2499C" w:rsidRPr="00F536FA" w:rsidRDefault="000838EF" w:rsidP="00B2499C">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PARCIALMENTE</w:t>
            </w:r>
          </w:p>
        </w:tc>
      </w:tr>
      <w:tr w:rsidR="00B2499C" w:rsidRPr="00F536FA" w14:paraId="196A943A" w14:textId="77777777" w:rsidTr="000838EF">
        <w:tc>
          <w:tcPr>
            <w:tcW w:w="1271" w:type="dxa"/>
            <w:vMerge/>
          </w:tcPr>
          <w:p w14:paraId="7CF52539" w14:textId="77777777"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63A1F96F" w14:textId="4D2F7133"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Monto de las aportaciones realizadas al Ayuntamiento</w:t>
            </w:r>
          </w:p>
        </w:tc>
        <w:tc>
          <w:tcPr>
            <w:tcW w:w="2410" w:type="dxa"/>
            <w:vMerge/>
          </w:tcPr>
          <w:p w14:paraId="57EB0FBC" w14:textId="25AFC744" w:rsidR="00B2499C" w:rsidRPr="00F536FA" w:rsidRDefault="00B2499C" w:rsidP="00B2499C">
            <w:pPr>
              <w:spacing w:line="276" w:lineRule="auto"/>
              <w:ind w:right="49"/>
              <w:jc w:val="both"/>
              <w:rPr>
                <w:rFonts w:ascii="Palatino Linotype" w:hAnsi="Palatino Linotype" w:cs="Arial"/>
                <w:color w:val="000000" w:themeColor="text1"/>
                <w:sz w:val="16"/>
                <w:szCs w:val="16"/>
              </w:rPr>
            </w:pPr>
          </w:p>
        </w:tc>
        <w:tc>
          <w:tcPr>
            <w:tcW w:w="1984" w:type="dxa"/>
            <w:vMerge/>
          </w:tcPr>
          <w:p w14:paraId="6FC77529" w14:textId="77777777" w:rsidR="00B2499C" w:rsidRPr="00F536FA" w:rsidRDefault="00B2499C" w:rsidP="00B2499C">
            <w:pPr>
              <w:spacing w:line="276" w:lineRule="auto"/>
              <w:ind w:right="49"/>
              <w:contextualSpacing/>
              <w:jc w:val="both"/>
              <w:rPr>
                <w:rFonts w:ascii="Palatino Linotype" w:hAnsi="Palatino Linotype" w:cs="Arial"/>
                <w:b/>
                <w:bCs/>
                <w:color w:val="000000" w:themeColor="text1"/>
                <w:sz w:val="16"/>
                <w:szCs w:val="16"/>
              </w:rPr>
            </w:pPr>
          </w:p>
        </w:tc>
        <w:tc>
          <w:tcPr>
            <w:tcW w:w="1271" w:type="dxa"/>
            <w:vMerge/>
            <w:vAlign w:val="center"/>
          </w:tcPr>
          <w:p w14:paraId="51E6AC3D"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r>
      <w:tr w:rsidR="00B2499C" w:rsidRPr="00F536FA" w14:paraId="3CDCD9A3" w14:textId="77777777" w:rsidTr="000838EF">
        <w:tc>
          <w:tcPr>
            <w:tcW w:w="1271" w:type="dxa"/>
            <w:vMerge/>
          </w:tcPr>
          <w:p w14:paraId="52B7A84E" w14:textId="77777777"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6AC09A91" w14:textId="3016A106"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Recibos otorgados por el Ayuntamiento</w:t>
            </w:r>
          </w:p>
        </w:tc>
        <w:tc>
          <w:tcPr>
            <w:tcW w:w="2410" w:type="dxa"/>
            <w:vMerge/>
          </w:tcPr>
          <w:p w14:paraId="79F68B88" w14:textId="77777777" w:rsidR="00B2499C" w:rsidRPr="00F536FA" w:rsidRDefault="00B2499C" w:rsidP="00B2499C">
            <w:pPr>
              <w:spacing w:line="276" w:lineRule="auto"/>
              <w:ind w:right="49"/>
              <w:jc w:val="both"/>
              <w:rPr>
                <w:rFonts w:ascii="Palatino Linotype" w:hAnsi="Palatino Linotype" w:cs="Arial"/>
                <w:color w:val="000000" w:themeColor="text1"/>
                <w:sz w:val="16"/>
                <w:szCs w:val="16"/>
              </w:rPr>
            </w:pPr>
          </w:p>
        </w:tc>
        <w:tc>
          <w:tcPr>
            <w:tcW w:w="1984" w:type="dxa"/>
            <w:vMerge/>
          </w:tcPr>
          <w:p w14:paraId="0253DEF7" w14:textId="77777777" w:rsidR="00B2499C" w:rsidRPr="00F536FA" w:rsidRDefault="00B2499C" w:rsidP="00B2499C">
            <w:pPr>
              <w:spacing w:line="276" w:lineRule="auto"/>
              <w:ind w:right="49"/>
              <w:contextualSpacing/>
              <w:jc w:val="both"/>
              <w:rPr>
                <w:rFonts w:ascii="Palatino Linotype" w:hAnsi="Palatino Linotype" w:cs="Arial"/>
                <w:b/>
                <w:bCs/>
                <w:color w:val="000000" w:themeColor="text1"/>
                <w:sz w:val="16"/>
                <w:szCs w:val="16"/>
              </w:rPr>
            </w:pPr>
          </w:p>
        </w:tc>
        <w:tc>
          <w:tcPr>
            <w:tcW w:w="1271" w:type="dxa"/>
            <w:vMerge/>
            <w:vAlign w:val="center"/>
          </w:tcPr>
          <w:p w14:paraId="669D5543"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r>
      <w:tr w:rsidR="00B2499C" w:rsidRPr="00F536FA" w14:paraId="72E7774B" w14:textId="77777777" w:rsidTr="000838EF">
        <w:tc>
          <w:tcPr>
            <w:tcW w:w="1271" w:type="dxa"/>
            <w:vMerge/>
          </w:tcPr>
          <w:p w14:paraId="2D8D2063" w14:textId="77777777"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1A203AFA" w14:textId="6DF067FB"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Contratos o convenios que establezcan los términos para realizar los eventos</w:t>
            </w:r>
          </w:p>
        </w:tc>
        <w:tc>
          <w:tcPr>
            <w:tcW w:w="2410" w:type="dxa"/>
            <w:vMerge/>
          </w:tcPr>
          <w:p w14:paraId="61834775" w14:textId="77777777" w:rsidR="00B2499C" w:rsidRPr="00F536FA" w:rsidRDefault="00B2499C" w:rsidP="00B2499C">
            <w:pPr>
              <w:spacing w:line="276" w:lineRule="auto"/>
              <w:ind w:right="49"/>
              <w:jc w:val="both"/>
              <w:rPr>
                <w:rFonts w:ascii="Palatino Linotype" w:hAnsi="Palatino Linotype" w:cs="Arial"/>
                <w:color w:val="000000" w:themeColor="text1"/>
                <w:sz w:val="16"/>
                <w:szCs w:val="16"/>
              </w:rPr>
            </w:pPr>
          </w:p>
        </w:tc>
        <w:tc>
          <w:tcPr>
            <w:tcW w:w="1984" w:type="dxa"/>
            <w:vMerge/>
          </w:tcPr>
          <w:p w14:paraId="04594E04" w14:textId="77777777" w:rsidR="00B2499C" w:rsidRPr="00F536FA" w:rsidRDefault="00B2499C" w:rsidP="00B2499C">
            <w:pPr>
              <w:spacing w:line="276" w:lineRule="auto"/>
              <w:ind w:right="49"/>
              <w:contextualSpacing/>
              <w:jc w:val="both"/>
              <w:rPr>
                <w:rFonts w:ascii="Palatino Linotype" w:hAnsi="Palatino Linotype" w:cs="Arial"/>
                <w:b/>
                <w:bCs/>
                <w:color w:val="000000" w:themeColor="text1"/>
                <w:sz w:val="16"/>
                <w:szCs w:val="16"/>
              </w:rPr>
            </w:pPr>
          </w:p>
        </w:tc>
        <w:tc>
          <w:tcPr>
            <w:tcW w:w="1271" w:type="dxa"/>
            <w:vMerge/>
            <w:vAlign w:val="center"/>
          </w:tcPr>
          <w:p w14:paraId="7112A240"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r>
      <w:tr w:rsidR="00B2499C" w:rsidRPr="00F536FA" w14:paraId="027C0159" w14:textId="77777777" w:rsidTr="000838EF">
        <w:tc>
          <w:tcPr>
            <w:tcW w:w="3114" w:type="dxa"/>
            <w:gridSpan w:val="2"/>
          </w:tcPr>
          <w:p w14:paraId="2330FAFD" w14:textId="2CE4A6F0"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Monto recaudado por concepto de arrendamiento de espacios comerciales en la Feria Ixtlahuaca 2019</w:t>
            </w:r>
          </w:p>
        </w:tc>
        <w:tc>
          <w:tcPr>
            <w:tcW w:w="2410" w:type="dxa"/>
          </w:tcPr>
          <w:p w14:paraId="29196FB0" w14:textId="13D156FC" w:rsidR="00B2499C" w:rsidRPr="00F536FA" w:rsidRDefault="00B2499C" w:rsidP="00B2499C">
            <w:pPr>
              <w:pStyle w:val="Prrafodelista"/>
              <w:numPr>
                <w:ilvl w:val="0"/>
                <w:numId w:val="1"/>
              </w:numPr>
              <w:spacing w:line="276" w:lineRule="auto"/>
              <w:ind w:left="220" w:right="49" w:hanging="220"/>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El Tesorero indicó que se recaudó un total de $167,000.00</w:t>
            </w:r>
          </w:p>
        </w:tc>
        <w:tc>
          <w:tcPr>
            <w:tcW w:w="1984" w:type="dxa"/>
          </w:tcPr>
          <w:p w14:paraId="4FDE7A1E" w14:textId="77777777" w:rsidR="00B2499C" w:rsidRPr="00F536FA" w:rsidRDefault="00B2499C" w:rsidP="00B2499C">
            <w:pPr>
              <w:spacing w:line="276" w:lineRule="auto"/>
              <w:ind w:right="49"/>
              <w:contextualSpacing/>
              <w:jc w:val="both"/>
              <w:rPr>
                <w:rFonts w:ascii="Palatino Linotype" w:hAnsi="Palatino Linotype" w:cs="Arial"/>
                <w:b/>
                <w:bCs/>
                <w:color w:val="000000" w:themeColor="text1"/>
                <w:sz w:val="16"/>
                <w:szCs w:val="16"/>
              </w:rPr>
            </w:pPr>
          </w:p>
        </w:tc>
        <w:tc>
          <w:tcPr>
            <w:tcW w:w="1271" w:type="dxa"/>
            <w:vAlign w:val="center"/>
          </w:tcPr>
          <w:p w14:paraId="24FFC02B" w14:textId="31AA9B88" w:rsidR="00B2499C" w:rsidRPr="00F536FA" w:rsidRDefault="009507F4" w:rsidP="00B2499C">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SÍ</w:t>
            </w:r>
          </w:p>
        </w:tc>
      </w:tr>
      <w:tr w:rsidR="00B2499C" w:rsidRPr="00F536FA" w14:paraId="58DDCA03" w14:textId="77777777" w:rsidTr="000838EF">
        <w:tc>
          <w:tcPr>
            <w:tcW w:w="1271" w:type="dxa"/>
            <w:vMerge w:val="restart"/>
            <w:vAlign w:val="center"/>
          </w:tcPr>
          <w:p w14:paraId="13C8ECA9" w14:textId="5DCBA45E"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De la empresa o persona física responsable del palenque de peleas de gallos celebrado en la Feria de Ixtlahuaca 2019</w:t>
            </w:r>
          </w:p>
        </w:tc>
        <w:tc>
          <w:tcPr>
            <w:tcW w:w="1843" w:type="dxa"/>
          </w:tcPr>
          <w:p w14:paraId="1E2BBB01" w14:textId="4F33A54B"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Nombre de la empresa o persona física</w:t>
            </w:r>
          </w:p>
        </w:tc>
        <w:tc>
          <w:tcPr>
            <w:tcW w:w="2410" w:type="dxa"/>
            <w:vMerge w:val="restart"/>
          </w:tcPr>
          <w:p w14:paraId="5DEBB7F7" w14:textId="77777777" w:rsidR="00B2499C" w:rsidRPr="00F536FA" w:rsidRDefault="00B2499C" w:rsidP="00B2499C">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 xml:space="preserve">El Director de Gobierno Municipal señaló al </w:t>
            </w:r>
            <w:r w:rsidRPr="00F536FA">
              <w:rPr>
                <w:rFonts w:ascii="Palatino Linotype" w:hAnsi="Palatino Linotype" w:cs="Arial"/>
                <w:i/>
                <w:iCs/>
                <w:color w:val="000000" w:themeColor="text1"/>
                <w:sz w:val="16"/>
                <w:szCs w:val="16"/>
              </w:rPr>
              <w:t>C. Joel Ortega Soltero</w:t>
            </w:r>
            <w:r w:rsidRPr="00F536FA">
              <w:rPr>
                <w:rFonts w:ascii="Palatino Linotype" w:hAnsi="Palatino Linotype" w:cs="Arial"/>
                <w:color w:val="000000" w:themeColor="text1"/>
                <w:sz w:val="16"/>
                <w:szCs w:val="16"/>
              </w:rPr>
              <w:t xml:space="preserve"> como el responsable de la realización del palenque</w:t>
            </w:r>
          </w:p>
          <w:p w14:paraId="0EB1E444" w14:textId="36FD68D4" w:rsidR="00B2499C" w:rsidRPr="00F536FA" w:rsidRDefault="00B2499C" w:rsidP="00B2499C">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El Director de Gobierno Municipal refirió por parte de la persona responsable se obtuvo el permiso 20191385PG05 emitido por la Dirección General de Juegos y Sorteos de la Secretaría de Gobernación</w:t>
            </w:r>
          </w:p>
        </w:tc>
        <w:tc>
          <w:tcPr>
            <w:tcW w:w="1984" w:type="dxa"/>
            <w:vMerge w:val="restart"/>
          </w:tcPr>
          <w:p w14:paraId="598EC271" w14:textId="2FF35280" w:rsidR="00B2499C" w:rsidRPr="00F536FA" w:rsidRDefault="00B2499C" w:rsidP="00B2499C">
            <w:pPr>
              <w:spacing w:line="276" w:lineRule="auto"/>
              <w:ind w:right="49"/>
              <w:jc w:val="both"/>
              <w:rPr>
                <w:rFonts w:ascii="Palatino Linotype" w:hAnsi="Palatino Linotype" w:cs="Arial"/>
                <w:color w:val="000000" w:themeColor="text1"/>
                <w:sz w:val="16"/>
                <w:szCs w:val="16"/>
              </w:rPr>
            </w:pPr>
          </w:p>
        </w:tc>
        <w:tc>
          <w:tcPr>
            <w:tcW w:w="1271" w:type="dxa"/>
            <w:vMerge w:val="restart"/>
            <w:vAlign w:val="center"/>
          </w:tcPr>
          <w:p w14:paraId="54C65CAA" w14:textId="72BF6108" w:rsidR="00B2499C" w:rsidRPr="00F536FA" w:rsidRDefault="000838EF" w:rsidP="00B2499C">
            <w:pPr>
              <w:spacing w:line="276" w:lineRule="auto"/>
              <w:ind w:right="49"/>
              <w:contextualSpacing/>
              <w:jc w:val="center"/>
              <w:rPr>
                <w:rFonts w:ascii="Palatino Linotype" w:hAnsi="Palatino Linotype" w:cs="Arial"/>
                <w:b/>
                <w:bCs/>
                <w:color w:val="000000" w:themeColor="text1"/>
                <w:sz w:val="16"/>
                <w:szCs w:val="16"/>
              </w:rPr>
            </w:pPr>
            <w:r w:rsidRPr="00F536FA">
              <w:rPr>
                <w:rFonts w:ascii="Palatino Linotype" w:hAnsi="Palatino Linotype" w:cs="Arial"/>
                <w:b/>
                <w:bCs/>
                <w:color w:val="000000" w:themeColor="text1"/>
                <w:sz w:val="16"/>
                <w:szCs w:val="16"/>
              </w:rPr>
              <w:t>PARCIALMENTE</w:t>
            </w:r>
          </w:p>
        </w:tc>
      </w:tr>
      <w:tr w:rsidR="00B2499C" w:rsidRPr="00F536FA" w14:paraId="0B763691" w14:textId="77777777" w:rsidTr="000838EF">
        <w:tc>
          <w:tcPr>
            <w:tcW w:w="1271" w:type="dxa"/>
            <w:vMerge/>
          </w:tcPr>
          <w:p w14:paraId="4FE863A8" w14:textId="77777777"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21440045" w14:textId="0E069C88"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Copia de las aportaciones realizadas por el arrendamiento del “Salón de la Gente”</w:t>
            </w:r>
          </w:p>
        </w:tc>
        <w:tc>
          <w:tcPr>
            <w:tcW w:w="2410" w:type="dxa"/>
            <w:vMerge/>
          </w:tcPr>
          <w:p w14:paraId="48CB218B" w14:textId="469504F3" w:rsidR="00B2499C" w:rsidRPr="00F536FA" w:rsidRDefault="00B2499C" w:rsidP="00B2499C">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p>
        </w:tc>
        <w:tc>
          <w:tcPr>
            <w:tcW w:w="1984" w:type="dxa"/>
            <w:vMerge/>
          </w:tcPr>
          <w:p w14:paraId="33D2C077"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c>
          <w:tcPr>
            <w:tcW w:w="1271" w:type="dxa"/>
            <w:vMerge/>
            <w:vAlign w:val="center"/>
          </w:tcPr>
          <w:p w14:paraId="372E6F72"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r>
      <w:tr w:rsidR="00B2499C" w:rsidRPr="00F536FA" w14:paraId="6A8C5BFE" w14:textId="77777777" w:rsidTr="000838EF">
        <w:tc>
          <w:tcPr>
            <w:tcW w:w="1271" w:type="dxa"/>
            <w:vMerge/>
          </w:tcPr>
          <w:p w14:paraId="17543880" w14:textId="77777777"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15084BBD" w14:textId="44DE04B0"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Permiso otorgado por el Ayuntamiento para usar el “Salón de la Gente”</w:t>
            </w:r>
          </w:p>
        </w:tc>
        <w:tc>
          <w:tcPr>
            <w:tcW w:w="2410" w:type="dxa"/>
            <w:vMerge/>
          </w:tcPr>
          <w:p w14:paraId="7A4E3ED7" w14:textId="2646444F" w:rsidR="00B2499C" w:rsidRPr="00F536FA" w:rsidRDefault="00B2499C" w:rsidP="00B2499C">
            <w:pPr>
              <w:pStyle w:val="Prrafodelista"/>
              <w:numPr>
                <w:ilvl w:val="0"/>
                <w:numId w:val="1"/>
              </w:numPr>
              <w:spacing w:line="276" w:lineRule="auto"/>
              <w:ind w:left="220" w:right="49" w:hanging="141"/>
              <w:jc w:val="both"/>
              <w:rPr>
                <w:rFonts w:ascii="Palatino Linotype" w:hAnsi="Palatino Linotype" w:cs="Arial"/>
                <w:color w:val="000000" w:themeColor="text1"/>
                <w:sz w:val="16"/>
                <w:szCs w:val="16"/>
              </w:rPr>
            </w:pPr>
          </w:p>
        </w:tc>
        <w:tc>
          <w:tcPr>
            <w:tcW w:w="1984" w:type="dxa"/>
            <w:vMerge/>
          </w:tcPr>
          <w:p w14:paraId="26CDAC40"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c>
          <w:tcPr>
            <w:tcW w:w="1271" w:type="dxa"/>
            <w:vMerge/>
            <w:vAlign w:val="center"/>
          </w:tcPr>
          <w:p w14:paraId="3B55EDB0"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r>
      <w:tr w:rsidR="00B2499C" w:rsidRPr="00F536FA" w14:paraId="0190D103" w14:textId="77777777" w:rsidTr="000838EF">
        <w:tc>
          <w:tcPr>
            <w:tcW w:w="1271" w:type="dxa"/>
            <w:vMerge/>
          </w:tcPr>
          <w:p w14:paraId="4F2420AD" w14:textId="77777777" w:rsidR="00B2499C" w:rsidRPr="00F536FA" w:rsidRDefault="00B2499C" w:rsidP="00B2499C">
            <w:pPr>
              <w:spacing w:line="276" w:lineRule="auto"/>
              <w:ind w:right="49"/>
              <w:contextualSpacing/>
              <w:jc w:val="center"/>
              <w:rPr>
                <w:rFonts w:ascii="Palatino Linotype" w:hAnsi="Palatino Linotype" w:cs="Arial"/>
                <w:color w:val="000000" w:themeColor="text1"/>
                <w:sz w:val="16"/>
                <w:szCs w:val="16"/>
              </w:rPr>
            </w:pPr>
          </w:p>
        </w:tc>
        <w:tc>
          <w:tcPr>
            <w:tcW w:w="1843" w:type="dxa"/>
          </w:tcPr>
          <w:p w14:paraId="38067646" w14:textId="335FCF09" w:rsidR="00B2499C" w:rsidRPr="00F536FA" w:rsidRDefault="00B2499C" w:rsidP="00B2499C">
            <w:pPr>
              <w:spacing w:line="276" w:lineRule="auto"/>
              <w:ind w:right="49"/>
              <w:jc w:val="center"/>
              <w:rPr>
                <w:rFonts w:ascii="Palatino Linotype" w:hAnsi="Palatino Linotype" w:cs="Arial"/>
                <w:color w:val="000000" w:themeColor="text1"/>
                <w:sz w:val="16"/>
                <w:szCs w:val="16"/>
              </w:rPr>
            </w:pPr>
            <w:r w:rsidRPr="00F536FA">
              <w:rPr>
                <w:rFonts w:ascii="Palatino Linotype" w:hAnsi="Palatino Linotype" w:cs="Arial"/>
                <w:color w:val="000000" w:themeColor="text1"/>
                <w:sz w:val="16"/>
                <w:szCs w:val="16"/>
              </w:rPr>
              <w:t>Medidas que se implementaron para asegurar que el evento cumpliera con lo establecido en la Ley Federal de Juegos y Sorteos</w:t>
            </w:r>
          </w:p>
        </w:tc>
        <w:tc>
          <w:tcPr>
            <w:tcW w:w="2410" w:type="dxa"/>
            <w:vMerge/>
          </w:tcPr>
          <w:p w14:paraId="6AF424B5" w14:textId="77777777" w:rsidR="00B2499C" w:rsidRPr="00F536FA" w:rsidRDefault="00B2499C" w:rsidP="00B2499C">
            <w:pPr>
              <w:spacing w:line="276" w:lineRule="auto"/>
              <w:ind w:right="49"/>
              <w:jc w:val="both"/>
              <w:rPr>
                <w:rFonts w:ascii="Palatino Linotype" w:hAnsi="Palatino Linotype" w:cs="Arial"/>
                <w:color w:val="000000" w:themeColor="text1"/>
                <w:sz w:val="16"/>
                <w:szCs w:val="16"/>
              </w:rPr>
            </w:pPr>
          </w:p>
        </w:tc>
        <w:tc>
          <w:tcPr>
            <w:tcW w:w="1984" w:type="dxa"/>
            <w:vMerge/>
          </w:tcPr>
          <w:p w14:paraId="33312652"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c>
          <w:tcPr>
            <w:tcW w:w="1271" w:type="dxa"/>
            <w:vMerge/>
            <w:vAlign w:val="center"/>
          </w:tcPr>
          <w:p w14:paraId="7F97E749" w14:textId="77777777" w:rsidR="00B2499C" w:rsidRPr="00F536FA" w:rsidRDefault="00B2499C" w:rsidP="00B2499C">
            <w:pPr>
              <w:spacing w:line="276" w:lineRule="auto"/>
              <w:ind w:right="49"/>
              <w:contextualSpacing/>
              <w:jc w:val="center"/>
              <w:rPr>
                <w:rFonts w:ascii="Palatino Linotype" w:hAnsi="Palatino Linotype" w:cs="Arial"/>
                <w:b/>
                <w:bCs/>
                <w:color w:val="000000" w:themeColor="text1"/>
                <w:sz w:val="16"/>
                <w:szCs w:val="16"/>
              </w:rPr>
            </w:pPr>
          </w:p>
        </w:tc>
      </w:tr>
    </w:tbl>
    <w:p w14:paraId="02335AFC" w14:textId="07362A13" w:rsidR="00E72B5A" w:rsidRPr="00F536FA" w:rsidRDefault="00E72B5A" w:rsidP="00161FA6">
      <w:pPr>
        <w:spacing w:after="0" w:line="360" w:lineRule="auto"/>
        <w:ind w:right="49"/>
        <w:contextualSpacing/>
        <w:jc w:val="both"/>
        <w:rPr>
          <w:rFonts w:ascii="Palatino Linotype" w:hAnsi="Palatino Linotype" w:cs="Arial"/>
          <w:color w:val="000000" w:themeColor="text1"/>
          <w:sz w:val="24"/>
        </w:rPr>
      </w:pPr>
    </w:p>
    <w:p w14:paraId="27238AA5" w14:textId="392AFF74" w:rsidR="00C5364C" w:rsidRPr="00F536FA" w:rsidRDefault="00C5364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 </w:t>
      </w:r>
      <w:r w:rsidRPr="00F536FA">
        <w:rPr>
          <w:rFonts w:ascii="Palatino Linotype" w:hAnsi="Palatino Linotype" w:cs="Arial"/>
        </w:rPr>
        <w:t>lo anterior se aprecia que</w:t>
      </w:r>
      <w:r w:rsidR="00DD70ED" w:rsidRPr="00F536FA">
        <w:rPr>
          <w:rFonts w:ascii="Palatino Linotype" w:hAnsi="Palatino Linotype" w:cs="Arial"/>
        </w:rPr>
        <w:t xml:space="preserve"> el </w:t>
      </w:r>
      <w:r w:rsidR="00DD70ED" w:rsidRPr="00F536FA">
        <w:rPr>
          <w:rFonts w:ascii="Palatino Linotype" w:hAnsi="Palatino Linotype" w:cs="Arial"/>
          <w:b/>
          <w:bCs/>
        </w:rPr>
        <w:t>SUJETO OBLIGADO</w:t>
      </w:r>
      <w:r w:rsidR="00DD70ED" w:rsidRPr="00F536FA">
        <w:rPr>
          <w:rFonts w:ascii="Palatino Linotype" w:hAnsi="Palatino Linotype" w:cs="Arial"/>
        </w:rPr>
        <w:t xml:space="preserve"> se pronunció respecto de todos los requerimientos señalados en la solicitud de información de forma parcial, lo que significa que los documentos entregados a través de la respuesta y posterior informe justificado no son suficientes para colmar el derecho de acceso a la información ejercido por el particular.</w:t>
      </w:r>
    </w:p>
    <w:p w14:paraId="1DCE2715" w14:textId="77777777" w:rsidR="00C5364C" w:rsidRPr="00F536FA"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E0C75F4" w14:textId="53767943" w:rsidR="00C5364C" w:rsidRPr="00F536FA" w:rsidRDefault="00DD70ED"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No obstante</w:t>
      </w:r>
      <w:r w:rsidR="007D1E0A" w:rsidRPr="00F536FA">
        <w:rPr>
          <w:rFonts w:ascii="Palatino Linotype" w:hAnsi="Palatino Linotype" w:cs="Arial"/>
          <w:color w:val="000000" w:themeColor="text1"/>
          <w:sz w:val="24"/>
          <w:lang w:val="es-ES_tradnl"/>
        </w:rPr>
        <w:t xml:space="preserve">, al existir un pronunciamiento directo por parte del </w:t>
      </w:r>
      <w:r w:rsidR="007D1E0A" w:rsidRPr="00F536FA">
        <w:rPr>
          <w:rFonts w:ascii="Palatino Linotype" w:hAnsi="Palatino Linotype" w:cs="Arial"/>
          <w:b/>
          <w:color w:val="000000" w:themeColor="text1"/>
          <w:sz w:val="24"/>
          <w:lang w:val="es-ES_tradnl"/>
        </w:rPr>
        <w:t>SUJETO OBLIGADO</w:t>
      </w:r>
      <w:r w:rsidR="007D1E0A" w:rsidRPr="00F536FA">
        <w:rPr>
          <w:rFonts w:ascii="Palatino Linotype" w:hAnsi="Palatino Linotype" w:cs="Arial"/>
          <w:color w:val="000000" w:themeColor="text1"/>
          <w:sz w:val="24"/>
          <w:lang w:val="es-ES_tradnl"/>
        </w:rPr>
        <w:t xml:space="preserve"> a fin de atender la solicitud planteada por el hoy </w:t>
      </w:r>
      <w:r w:rsidR="007D1E0A" w:rsidRPr="00F536FA">
        <w:rPr>
          <w:rFonts w:ascii="Palatino Linotype" w:hAnsi="Palatino Linotype" w:cs="Arial"/>
          <w:b/>
          <w:color w:val="000000" w:themeColor="text1"/>
          <w:sz w:val="24"/>
          <w:lang w:val="es-ES_tradnl"/>
        </w:rPr>
        <w:t>RECURRENTE</w:t>
      </w:r>
      <w:r w:rsidR="007D1E0A" w:rsidRPr="00F536FA">
        <w:rPr>
          <w:rFonts w:ascii="Palatino Linotype" w:hAnsi="Palatino Linotype" w:cs="Arial"/>
          <w:color w:val="000000" w:themeColor="text1"/>
          <w:sz w:val="24"/>
          <w:lang w:val="es-ES_tradnl"/>
        </w:rPr>
        <w:t>,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EC6F96C" w14:textId="77777777" w:rsidR="00C5364C" w:rsidRPr="00F536FA"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0F32038" w14:textId="7EB25E4D" w:rsidR="00C5364C" w:rsidRPr="00F536FA"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Sirve </w:t>
      </w:r>
      <w:r w:rsidRPr="00F536FA">
        <w:rPr>
          <w:rFonts w:ascii="Palatino Linotype" w:hAnsi="Palatino Linotype" w:cs="Arial"/>
          <w:color w:val="000000" w:themeColor="text1"/>
          <w:sz w:val="24"/>
          <w:lang w:val="es-ES_tradnl"/>
        </w:rPr>
        <w:t>de apoyo a lo anterior por analogía, el Criterio 31-10 emitido por el ahora Instituto Nacional de Transparencia, Acceso a la Información y Protección de Datos Personales, que a la letra dice:</w:t>
      </w:r>
    </w:p>
    <w:p w14:paraId="00CBADEC" w14:textId="77777777" w:rsidR="00C5364C" w:rsidRPr="00F536FA"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596163BE" w14:textId="77777777" w:rsidR="0054282F" w:rsidRPr="00F536FA" w:rsidRDefault="0054282F" w:rsidP="0054282F">
      <w:pPr>
        <w:pStyle w:val="Sinespaciado"/>
        <w:ind w:left="567" w:right="567"/>
        <w:jc w:val="both"/>
        <w:rPr>
          <w:rFonts w:ascii="Palatino Linotype" w:hAnsi="Palatino Linotype"/>
          <w:i/>
          <w:lang w:val="es-ES"/>
        </w:rPr>
      </w:pPr>
      <w:r w:rsidRPr="00F536FA">
        <w:rPr>
          <w:rFonts w:ascii="Palatino Linotype" w:hAnsi="Palatino Linotype"/>
          <w:i/>
          <w:lang w:val="es-ES"/>
        </w:rPr>
        <w:t>“</w:t>
      </w:r>
      <w:r w:rsidRPr="00F536FA">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F536FA">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C5EAEF2" w14:textId="77777777" w:rsidR="0054282F" w:rsidRPr="00F536FA" w:rsidRDefault="0054282F" w:rsidP="0054282F">
      <w:pPr>
        <w:tabs>
          <w:tab w:val="left" w:pos="426"/>
        </w:tabs>
        <w:spacing w:after="0" w:line="360" w:lineRule="auto"/>
        <w:ind w:right="49"/>
        <w:contextualSpacing/>
        <w:jc w:val="both"/>
        <w:rPr>
          <w:rFonts w:ascii="Palatino Linotype" w:hAnsi="Palatino Linotype" w:cs="Arial"/>
          <w:color w:val="000000" w:themeColor="text1"/>
          <w:sz w:val="24"/>
        </w:rPr>
      </w:pPr>
    </w:p>
    <w:p w14:paraId="2B9A52F0" w14:textId="2267F0E9" w:rsidR="00C5364C" w:rsidRPr="00F536FA" w:rsidRDefault="007D1E0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w:t>
      </w:r>
      <w:r w:rsidRPr="00F536FA">
        <w:rPr>
          <w:rFonts w:ascii="Palatino Linotype" w:hAnsi="Palatino Linotype" w:cs="Arial"/>
          <w:color w:val="000000" w:themeColor="text1"/>
          <w:sz w:val="24"/>
          <w:lang w:val="es-ES_tradnl"/>
        </w:rPr>
        <w:t xml:space="preserve">el mismo sentido, el artículo 3 de la Ley de Transparencia y Acceso a la Información Pública del Estado de México y Municipios, establece que la </w:t>
      </w:r>
      <w:r w:rsidRPr="00F536FA">
        <w:rPr>
          <w:rFonts w:ascii="Palatino Linotype" w:hAnsi="Palatino Linotype" w:cs="Arial"/>
          <w:color w:val="000000" w:themeColor="text1"/>
          <w:sz w:val="24"/>
          <w:lang w:val="es-ES_tradnl"/>
        </w:rPr>
        <w:lastRenderedPageBreak/>
        <w:t>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4A6A101F" w14:textId="09D3ED58" w:rsidR="00C5364C" w:rsidRPr="00F536FA"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1155EC87" w14:textId="77777777" w:rsidR="007D1E0A" w:rsidRPr="00F536FA" w:rsidRDefault="007D1E0A" w:rsidP="007D1E0A">
      <w:pPr>
        <w:pStyle w:val="Prrafodelista"/>
        <w:spacing w:line="276" w:lineRule="auto"/>
        <w:ind w:left="567" w:right="567"/>
        <w:jc w:val="both"/>
        <w:rPr>
          <w:rFonts w:ascii="Palatino Linotype" w:hAnsi="Palatino Linotype" w:cs="Arial"/>
          <w:b/>
          <w:i/>
        </w:rPr>
      </w:pPr>
      <w:r w:rsidRPr="00F536FA">
        <w:rPr>
          <w:rFonts w:ascii="Palatino Linotype" w:hAnsi="Palatino Linotype" w:cs="Arial"/>
          <w:b/>
          <w:i/>
        </w:rPr>
        <w:t>“Artículo 3.-</w:t>
      </w:r>
      <w:r w:rsidRPr="00F536FA">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F536F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285FAF64" w14:textId="77777777" w:rsidR="007D1E0A" w:rsidRPr="00F536FA" w:rsidRDefault="007D1E0A" w:rsidP="007D1E0A">
      <w:pPr>
        <w:pStyle w:val="Prrafodelista"/>
        <w:spacing w:line="276" w:lineRule="auto"/>
        <w:ind w:left="567" w:right="567"/>
        <w:jc w:val="both"/>
        <w:rPr>
          <w:rFonts w:ascii="Palatino Linotype" w:hAnsi="Palatino Linotype" w:cs="Arial"/>
        </w:rPr>
      </w:pPr>
      <w:r w:rsidRPr="00F536FA">
        <w:rPr>
          <w:rFonts w:ascii="Palatino Linotype" w:hAnsi="Palatino Linotype" w:cs="Arial"/>
        </w:rPr>
        <w:t>(Énfasis añadido)</w:t>
      </w:r>
    </w:p>
    <w:p w14:paraId="62E01899" w14:textId="77777777" w:rsidR="007D1E0A" w:rsidRPr="00F536FA" w:rsidRDefault="007D1E0A"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C90DB7B" w14:textId="507DBE30" w:rsidR="00C5364C" w:rsidRPr="00F536FA" w:rsidRDefault="00C5364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D</w:t>
      </w:r>
      <w:r w:rsidR="007D1E0A" w:rsidRPr="00F536FA">
        <w:rPr>
          <w:rFonts w:ascii="Palatino Linotype" w:hAnsi="Palatino Linotype" w:cs="Arial"/>
          <w:color w:val="000000" w:themeColor="text1"/>
          <w:sz w:val="24"/>
        </w:rPr>
        <w:t xml:space="preserve">isposiciones </w:t>
      </w:r>
      <w:r w:rsidR="007D1E0A" w:rsidRPr="00F536FA">
        <w:rPr>
          <w:rFonts w:ascii="Palatino Linotype" w:hAnsi="Palatino Linotype" w:cs="Arial"/>
          <w:color w:val="000000" w:themeColor="text1"/>
          <w:sz w:val="24"/>
          <w:lang w:val="es-ES_tradnl"/>
        </w:rPr>
        <w:t xml:space="preserve">que compelen al </w:t>
      </w:r>
      <w:r w:rsidR="007D1E0A" w:rsidRPr="00F536FA">
        <w:rPr>
          <w:rFonts w:ascii="Palatino Linotype" w:hAnsi="Palatino Linotype" w:cs="Arial"/>
          <w:b/>
          <w:color w:val="000000" w:themeColor="text1"/>
          <w:sz w:val="24"/>
          <w:lang w:val="es-ES_tradnl"/>
        </w:rPr>
        <w:t>SUJETO OBLIGADO</w:t>
      </w:r>
      <w:r w:rsidR="007D1E0A" w:rsidRPr="00F536FA">
        <w:rPr>
          <w:rFonts w:ascii="Palatino Linotype" w:hAnsi="Palatino Linotype" w:cs="Arial"/>
          <w:color w:val="000000" w:themeColor="text1"/>
          <w:sz w:val="24"/>
          <w:lang w:val="es-ES_tradnl"/>
        </w:rPr>
        <w:t xml:space="preserve"> a apegarse en todo momento a los criterios ya expuestos, impidiendo a este Órgano Colegiado cuestionar la veracidad de la información.</w:t>
      </w:r>
    </w:p>
    <w:p w14:paraId="35C699D3" w14:textId="77777777" w:rsidR="00C5364C" w:rsidRPr="00F536FA"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754CF194" w14:textId="760750B1" w:rsidR="00C5364C" w:rsidRPr="00F536FA" w:rsidRDefault="00DD70ED"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Así las cosas, el estudio de la presente resolución separará cada uno de los requerimientos referidos por el </w:t>
      </w:r>
      <w:r w:rsidRPr="00F536FA">
        <w:rPr>
          <w:rFonts w:ascii="Palatino Linotype" w:hAnsi="Palatino Linotype" w:cs="Arial"/>
          <w:b/>
          <w:bCs/>
          <w:color w:val="000000" w:themeColor="text1"/>
          <w:sz w:val="24"/>
        </w:rPr>
        <w:t>RECURRENTE</w:t>
      </w:r>
      <w:r w:rsidRPr="00F536FA">
        <w:rPr>
          <w:rFonts w:ascii="Palatino Linotype" w:hAnsi="Palatino Linotype" w:cs="Arial"/>
          <w:color w:val="000000" w:themeColor="text1"/>
          <w:sz w:val="24"/>
        </w:rPr>
        <w:t xml:space="preserve"> y así determinar la información que ya le fue proporcionada y, por su parte, se ordenará la entrega de la faltante.</w:t>
      </w:r>
    </w:p>
    <w:p w14:paraId="13D87FFA" w14:textId="61084FC2" w:rsidR="00C5364C" w:rsidRPr="00F536FA" w:rsidRDefault="000753C0" w:rsidP="00C5364C">
      <w:pPr>
        <w:tabs>
          <w:tab w:val="left" w:pos="426"/>
        </w:tabs>
        <w:spacing w:after="0" w:line="360" w:lineRule="auto"/>
        <w:ind w:right="49"/>
        <w:contextualSpacing/>
        <w:jc w:val="both"/>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mc:AlternateContent>
          <mc:Choice Requires="wps">
            <w:drawing>
              <wp:anchor distT="0" distB="0" distL="114300" distR="114300" simplePos="0" relativeHeight="251672576" behindDoc="0" locked="0" layoutInCell="1" allowOverlap="1" wp14:anchorId="16E8C23C" wp14:editId="04C312FD">
                <wp:simplePos x="0" y="0"/>
                <wp:positionH relativeFrom="margin">
                  <wp:align>right</wp:align>
                </wp:positionH>
                <wp:positionV relativeFrom="paragraph">
                  <wp:posOffset>12633</wp:posOffset>
                </wp:positionV>
                <wp:extent cx="5554639" cy="1610293"/>
                <wp:effectExtent l="0" t="0" r="27305" b="28575"/>
                <wp:wrapNone/>
                <wp:docPr id="13" name="Conector recto 13"/>
                <wp:cNvGraphicFramePr/>
                <a:graphic xmlns:a="http://schemas.openxmlformats.org/drawingml/2006/main">
                  <a:graphicData uri="http://schemas.microsoft.com/office/word/2010/wordprocessingShape">
                    <wps:wsp>
                      <wps:cNvCnPr/>
                      <wps:spPr>
                        <a:xfrm flipV="1">
                          <a:off x="0" y="0"/>
                          <a:ext cx="5554639" cy="16102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D6E31E2" id="Conector recto 13" o:spid="_x0000_s1026" style="position:absolute;flip:y;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15pt,1pt" to="823.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" strokecolor="black [3200]" strokeweight=".5pt">
                <v:stroke joinstyle="miter"/>
                <w10:wrap anchorx="margin"/>
              </v:line>
            </w:pict>
          </mc:Fallback>
        </mc:AlternateContent>
      </w:r>
    </w:p>
    <w:p w14:paraId="2737CE9D" w14:textId="22FE2BC9" w:rsidR="000112B8" w:rsidRPr="00F536FA" w:rsidRDefault="000112B8"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0BE29431" w14:textId="70F6B8F5" w:rsidR="000112B8" w:rsidRPr="00F536FA" w:rsidRDefault="000112B8"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4422944D" w14:textId="77777777" w:rsidR="000112B8" w:rsidRPr="00F536FA" w:rsidRDefault="000112B8"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6575BDA6" w14:textId="56EDC12F" w:rsidR="00C21C4A" w:rsidRPr="00F536FA" w:rsidRDefault="00C21C4A" w:rsidP="00C21C4A">
      <w:pPr>
        <w:pStyle w:val="Ttulo3"/>
        <w:jc w:val="both"/>
        <w:rPr>
          <w:rFonts w:ascii="Palatino Linotype" w:hAnsi="Palatino Linotype" w:cs="Arial"/>
          <w:b/>
          <w:bCs/>
          <w:color w:val="000000" w:themeColor="text1"/>
        </w:rPr>
      </w:pPr>
      <w:bookmarkStart w:id="30" w:name="_Toc54316034"/>
      <w:r w:rsidRPr="00F536FA">
        <w:rPr>
          <w:rFonts w:ascii="Palatino Linotype" w:hAnsi="Palatino Linotype" w:cs="Arial"/>
          <w:b/>
          <w:bCs/>
          <w:color w:val="000000" w:themeColor="text1"/>
        </w:rPr>
        <w:lastRenderedPageBreak/>
        <w:t xml:space="preserve">III. </w:t>
      </w:r>
      <w:r w:rsidR="00DD70ED" w:rsidRPr="00F536FA">
        <w:rPr>
          <w:rFonts w:ascii="Palatino Linotype" w:hAnsi="Palatino Linotype" w:cs="Arial"/>
          <w:b/>
          <w:bCs/>
          <w:color w:val="000000" w:themeColor="text1"/>
        </w:rPr>
        <w:t xml:space="preserve">De la Feria </w:t>
      </w:r>
      <w:r w:rsidR="00130749" w:rsidRPr="00F536FA">
        <w:rPr>
          <w:rFonts w:ascii="Palatino Linotype" w:hAnsi="Palatino Linotype" w:cs="Arial"/>
          <w:b/>
          <w:bCs/>
          <w:color w:val="000000" w:themeColor="text1"/>
        </w:rPr>
        <w:t xml:space="preserve">de </w:t>
      </w:r>
      <w:r w:rsidR="00DD70ED" w:rsidRPr="00F536FA">
        <w:rPr>
          <w:rFonts w:ascii="Palatino Linotype" w:hAnsi="Palatino Linotype" w:cs="Arial"/>
          <w:b/>
          <w:bCs/>
          <w:color w:val="000000" w:themeColor="text1"/>
        </w:rPr>
        <w:t xml:space="preserve">Ixtlahuaca y </w:t>
      </w:r>
      <w:r w:rsidR="000112B8" w:rsidRPr="00F536FA">
        <w:rPr>
          <w:rFonts w:ascii="Palatino Linotype" w:hAnsi="Palatino Linotype" w:cs="Arial"/>
          <w:b/>
          <w:bCs/>
          <w:color w:val="000000" w:themeColor="text1"/>
        </w:rPr>
        <w:t>sus eventos</w:t>
      </w:r>
      <w:r w:rsidRPr="00F536FA">
        <w:rPr>
          <w:rFonts w:ascii="Palatino Linotype" w:hAnsi="Palatino Linotype" w:cs="Arial"/>
          <w:b/>
          <w:bCs/>
          <w:color w:val="000000" w:themeColor="text1"/>
        </w:rPr>
        <w:t>.</w:t>
      </w:r>
      <w:bookmarkEnd w:id="30"/>
    </w:p>
    <w:p w14:paraId="2E73A50A" w14:textId="77777777" w:rsidR="00C21C4A" w:rsidRPr="00F536FA" w:rsidRDefault="00C21C4A"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3B6D44B3" w14:textId="2F521FF9" w:rsidR="00C5364C" w:rsidRPr="00F536FA" w:rsidRDefault="008E0EBE"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Es conveniente iniciar el estudio de competencia </w:t>
      </w:r>
      <w:r w:rsidR="008D71FB" w:rsidRPr="00F536FA">
        <w:rPr>
          <w:rFonts w:ascii="Palatino Linotype" w:hAnsi="Palatino Linotype" w:cs="Arial"/>
          <w:color w:val="000000" w:themeColor="text1"/>
          <w:sz w:val="24"/>
        </w:rPr>
        <w:t>mediante lo dispuesto por el artículo 115 de la Constitución Política de los Estados Unidos Mexicanos, el cual determina lo siguiente:</w:t>
      </w:r>
    </w:p>
    <w:p w14:paraId="74A22F8A" w14:textId="7CA15949"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54EB50CF" w14:textId="0531EA65" w:rsidR="008D71FB" w:rsidRPr="00F536FA" w:rsidRDefault="008D71FB" w:rsidP="008D71FB">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i/>
          <w:iCs/>
        </w:rPr>
        <w:t>“</w:t>
      </w:r>
      <w:r w:rsidRPr="00F536FA">
        <w:rPr>
          <w:rFonts w:ascii="Palatino Linotype" w:hAnsi="Palatino Linotype"/>
          <w:b/>
          <w:bCs/>
          <w:i/>
          <w:iCs/>
        </w:rPr>
        <w:t>Artículo 115.</w:t>
      </w:r>
      <w:r w:rsidRPr="00F536FA">
        <w:rPr>
          <w:rFonts w:ascii="Palatino Linotype" w:hAnsi="Palatino Linotype"/>
          <w:i/>
          <w:iC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1EFF1CB" w14:textId="15441F04" w:rsidR="008D71FB" w:rsidRPr="00F536FA" w:rsidRDefault="008D71FB" w:rsidP="008D71FB">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i/>
          <w:iCs/>
        </w:rPr>
        <w:t>(…)</w:t>
      </w:r>
    </w:p>
    <w:p w14:paraId="71669625" w14:textId="1FA60A43" w:rsidR="008D71FB" w:rsidRPr="00F536FA" w:rsidRDefault="008D71FB" w:rsidP="008D71FB">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w:t>
      </w:r>
      <w:r w:rsidRPr="00F536FA">
        <w:rPr>
          <w:rFonts w:ascii="Palatino Linotype" w:hAnsi="Palatino Linotype"/>
          <w:i/>
          <w:iCs/>
        </w:rPr>
        <w:t xml:space="preserve"> Los municipios estarán investidos de personalidad jurídica y manejarán su patrimonio conforme a la ley.</w:t>
      </w:r>
    </w:p>
    <w:p w14:paraId="3FE462D0" w14:textId="3AB046C8" w:rsidR="008D71FB" w:rsidRPr="00F536FA" w:rsidRDefault="008D71FB" w:rsidP="008D71FB">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i/>
          <w:iCs/>
        </w:rPr>
        <w:t>(…)</w:t>
      </w:r>
    </w:p>
    <w:p w14:paraId="149109D1" w14:textId="665778FD" w:rsidR="008D71FB" w:rsidRPr="00F536FA" w:rsidRDefault="008D71FB" w:rsidP="008D71FB">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IV.</w:t>
      </w:r>
      <w:r w:rsidRPr="00F536FA">
        <w:rPr>
          <w:rFonts w:ascii="Palatino Linotype" w:hAnsi="Palatino Linotype"/>
          <w:i/>
          <w:iCs/>
        </w:rPr>
        <w:t xml:space="preserve"> Los municipios administrarán libremente su hacienda, la cual se formará de los rendimientos de los bienes que les pertenezcan, así como de las contribuciones y otros ingresos que las legislaturas establezcan a su favor, y en todo caso:</w:t>
      </w:r>
    </w:p>
    <w:p w14:paraId="287B0156" w14:textId="5BE00A47" w:rsidR="008D71FB" w:rsidRPr="00F536FA" w:rsidRDefault="008D71FB" w:rsidP="008D71FB">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i/>
          <w:iCs/>
        </w:rPr>
        <w:t>(…)”</w:t>
      </w:r>
    </w:p>
    <w:p w14:paraId="5EEA190A" w14:textId="77777777" w:rsidR="008D71FB" w:rsidRPr="00F536FA" w:rsidRDefault="008D71FB"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3E47743A" w14:textId="2E3D668D" w:rsidR="00DD70ED" w:rsidRPr="00F536FA" w:rsidRDefault="008D71F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Así las cosas, nuestra </w:t>
      </w:r>
      <w:r w:rsidRPr="00F536FA">
        <w:rPr>
          <w:rFonts w:ascii="Palatino Linotype" w:hAnsi="Palatino Linotype" w:cs="Arial"/>
          <w:i/>
          <w:iCs/>
          <w:color w:val="000000" w:themeColor="text1"/>
          <w:sz w:val="24"/>
        </w:rPr>
        <w:t>Magna Carta</w:t>
      </w:r>
      <w:r w:rsidRPr="00F536FA">
        <w:rPr>
          <w:rFonts w:ascii="Palatino Linotype" w:hAnsi="Palatino Linotype" w:cs="Arial"/>
          <w:color w:val="000000" w:themeColor="text1"/>
          <w:sz w:val="24"/>
        </w:rPr>
        <w:t xml:space="preserve"> señala que los municipios tendrán personalidad jurídica y tendrán libertad para manejar su hacienda, compuesta por los rendimientos de los bienes que les pertenezcan, contribuciones e ingresos que la Legislatura establezca en su favor</w:t>
      </w:r>
    </w:p>
    <w:p w14:paraId="559304D1"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646C0AF2" w14:textId="7A1914A4" w:rsidR="00DD70ED" w:rsidRPr="00F536FA" w:rsidRDefault="00AD2F6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Ahora bien, en el caso específico del</w:t>
      </w:r>
      <w:r w:rsidR="000112B8" w:rsidRPr="00F536FA">
        <w:rPr>
          <w:rFonts w:ascii="Palatino Linotype" w:hAnsi="Palatino Linotype" w:cs="Arial"/>
          <w:color w:val="000000" w:themeColor="text1"/>
          <w:sz w:val="24"/>
        </w:rPr>
        <w:t xml:space="preserve"> Ayuntamiento de Ixtlahuaca, año con año lleva a cabo un evento municipal de </w:t>
      </w:r>
      <w:proofErr w:type="gramStart"/>
      <w:r w:rsidR="000112B8" w:rsidRPr="00F536FA">
        <w:rPr>
          <w:rFonts w:ascii="Palatino Linotype" w:hAnsi="Palatino Linotype" w:cs="Arial"/>
          <w:color w:val="000000" w:themeColor="text1"/>
          <w:sz w:val="24"/>
        </w:rPr>
        <w:t>grandes dimensiones denominada</w:t>
      </w:r>
      <w:proofErr w:type="gramEnd"/>
      <w:r w:rsidR="000112B8" w:rsidRPr="00F536FA">
        <w:rPr>
          <w:rFonts w:ascii="Palatino Linotype" w:hAnsi="Palatino Linotype" w:cs="Arial"/>
          <w:color w:val="000000" w:themeColor="text1"/>
          <w:sz w:val="24"/>
        </w:rPr>
        <w:t xml:space="preserve"> Feria de Ixtlahuaca, dentro de la que se ofrecen bailables, actos artísticos, gastronomía y juegos mecánicos para el disfrute de sus visitantes.</w:t>
      </w:r>
    </w:p>
    <w:p w14:paraId="2F39DF59" w14:textId="4BB05FD9" w:rsidR="00130749" w:rsidRPr="00F536FA" w:rsidRDefault="00130749" w:rsidP="00130749">
      <w:pPr>
        <w:pStyle w:val="Ttulo3"/>
        <w:rPr>
          <w:rFonts w:ascii="Palatino Linotype" w:hAnsi="Palatino Linotype" w:cs="Arial"/>
          <w:b/>
          <w:bCs/>
          <w:color w:val="000000" w:themeColor="text1"/>
        </w:rPr>
      </w:pPr>
      <w:bookmarkStart w:id="31" w:name="_Toc54316035"/>
      <w:r w:rsidRPr="00F536FA">
        <w:rPr>
          <w:rFonts w:ascii="Palatino Linotype" w:hAnsi="Palatino Linotype" w:cs="Arial"/>
          <w:b/>
          <w:bCs/>
          <w:color w:val="000000" w:themeColor="text1"/>
        </w:rPr>
        <w:lastRenderedPageBreak/>
        <w:t>III.I De los juegos mecánicos.</w:t>
      </w:r>
      <w:bookmarkEnd w:id="31"/>
    </w:p>
    <w:p w14:paraId="3E8F98A9"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333FFCE6" w14:textId="673050EC" w:rsidR="00DD70ED" w:rsidRPr="00F536FA" w:rsidRDefault="00130749"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El particular solicitó conocer, de las empresas o personas físicas proveedoras de juegos mecánicos de la Feria de Ixtlahuaca del 2015-2019: a) el monto de aportaciones realizadas al Ayuntamiento, b) los recibos otorgados por el Ayuntamiento, c) permisos de funcionamiento y d) contratos o convenios que establezcan el permiso de instalación de las empresas.</w:t>
      </w:r>
    </w:p>
    <w:p w14:paraId="2C61E2ED"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6B55DE14" w14:textId="6EC78250" w:rsidR="00DD70ED" w:rsidRPr="00F536FA" w:rsidRDefault="00130749"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su respuesta,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el contrato de comodato celebrado entre el Ayuntamiento de Ixtlahuaca y el </w:t>
      </w:r>
      <w:r w:rsidRPr="00F536FA">
        <w:rPr>
          <w:rFonts w:ascii="Palatino Linotype" w:hAnsi="Palatino Linotype" w:cs="Arial"/>
          <w:i/>
          <w:iCs/>
          <w:color w:val="000000" w:themeColor="text1"/>
          <w:sz w:val="24"/>
        </w:rPr>
        <w:t>C. Germán Aguilar Jiménez</w:t>
      </w:r>
      <w:r w:rsidRPr="00F536FA">
        <w:rPr>
          <w:rFonts w:ascii="Palatino Linotype" w:hAnsi="Palatino Linotype" w:cs="Arial"/>
          <w:color w:val="000000" w:themeColor="text1"/>
          <w:sz w:val="24"/>
        </w:rPr>
        <w:t>, suscrito el uno (01) de agosto de dos mil veinte, cuyo objeto establece en su cláusula séptima lo siguiente:</w:t>
      </w:r>
    </w:p>
    <w:p w14:paraId="647021EB" w14:textId="76DF181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67AC333F" w14:textId="60161EC8" w:rsidR="00130749" w:rsidRPr="00F536FA" w:rsidRDefault="00130749" w:rsidP="002B6EA6">
      <w:pPr>
        <w:tabs>
          <w:tab w:val="left" w:pos="426"/>
        </w:tabs>
        <w:spacing w:after="0" w:line="276" w:lineRule="auto"/>
        <w:ind w:left="567" w:right="567"/>
        <w:contextualSpacing/>
        <w:jc w:val="both"/>
        <w:rPr>
          <w:rFonts w:ascii="Palatino Linotype" w:hAnsi="Palatino Linotype" w:cs="Arial"/>
          <w:i/>
          <w:iCs/>
          <w:color w:val="000000" w:themeColor="text1"/>
          <w:szCs w:val="20"/>
        </w:rPr>
      </w:pPr>
      <w:r w:rsidRPr="00F536FA">
        <w:rPr>
          <w:rFonts w:ascii="Palatino Linotype" w:hAnsi="Palatino Linotype" w:cs="Arial"/>
          <w:i/>
          <w:iCs/>
          <w:color w:val="000000" w:themeColor="text1"/>
          <w:szCs w:val="20"/>
        </w:rPr>
        <w:t xml:space="preserve">“SÉPTIMA.- EL PRESENTE INSTRUMENTO JURÍDICO, EXPRESA DE MANERA TÁCITA EL </w:t>
      </w:r>
      <w:r w:rsidRPr="00F536FA">
        <w:rPr>
          <w:rFonts w:ascii="Palatino Linotype" w:hAnsi="Palatino Linotype" w:cs="Arial"/>
          <w:b/>
          <w:bCs/>
          <w:i/>
          <w:iCs/>
          <w:color w:val="000000" w:themeColor="text1"/>
          <w:szCs w:val="20"/>
        </w:rPr>
        <w:t>USO GRATUITO Y CON FACULTAD DE USARLA EN FAVOR DEL COMODATARIO EN</w:t>
      </w:r>
      <w:r w:rsidRPr="00F536FA">
        <w:rPr>
          <w:rFonts w:ascii="Palatino Linotype" w:hAnsi="Palatino Linotype" w:cs="Arial"/>
          <w:i/>
          <w:iCs/>
          <w:color w:val="000000" w:themeColor="text1"/>
          <w:szCs w:val="20"/>
        </w:rPr>
        <w:t xml:space="preserve"> LA EXPLANADA DEL RECINTO FERIAL, DESTINADO PARA LA PROMOCIÓN, DIFUSIÓN Y REALIZACIÓN DE EVENTOS PÚBLICOS Y CULTURALES, ASÍ COMO LA </w:t>
      </w:r>
      <w:r w:rsidRPr="00F536FA">
        <w:rPr>
          <w:rFonts w:ascii="Palatino Linotype" w:hAnsi="Palatino Linotype" w:cs="Arial"/>
          <w:b/>
          <w:bCs/>
          <w:i/>
          <w:iCs/>
          <w:color w:val="000000" w:themeColor="text1"/>
          <w:szCs w:val="20"/>
        </w:rPr>
        <w:t>INSTALACIÓN DE JUEGOS MECÁNICOS DE FERIA</w:t>
      </w:r>
      <w:r w:rsidRPr="00F536FA">
        <w:rPr>
          <w:rFonts w:ascii="Palatino Linotype" w:hAnsi="Palatino Linotype" w:cs="Arial"/>
          <w:i/>
          <w:iCs/>
          <w:color w:val="000000" w:themeColor="text1"/>
          <w:szCs w:val="20"/>
        </w:rPr>
        <w:t>, EN BENEFICIO DE LA POBLACIÓN IXTLAHUAQUENSE, EN TÉRMINOS DE QUE EL AYUNTAMIENTO NO SE HARÁ RESPONSABLE DE LAS PÉRDIDAS O GANANCIAS QUE SE GENEREN EN LAS UTILIDADES DEL AFORO QUE PRESENTEN LOS JUEGOS MECÁNICOS</w:t>
      </w:r>
      <w:r w:rsidR="002B6EA6" w:rsidRPr="00F536FA">
        <w:rPr>
          <w:rFonts w:ascii="Palatino Linotype" w:hAnsi="Palatino Linotype" w:cs="Arial"/>
          <w:i/>
          <w:iCs/>
          <w:color w:val="000000" w:themeColor="text1"/>
          <w:szCs w:val="20"/>
        </w:rPr>
        <w:t>”</w:t>
      </w:r>
    </w:p>
    <w:p w14:paraId="5B096556" w14:textId="77777777" w:rsidR="00130749" w:rsidRPr="00F536FA" w:rsidRDefault="00130749"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7FDF8A40" w14:textId="27AC488F" w:rsidR="00DD70ED" w:rsidRPr="00F536FA" w:rsidRDefault="002B6EA6"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 lo anterior se aprecia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en comodato, de forma gratuita, el uso y disfrute de la explanada del Recinto Ferial Municipal a efecto de que el Comodatario instalara el servicio de juegos mecánicos.</w:t>
      </w:r>
    </w:p>
    <w:p w14:paraId="63A2C654"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51B92E1C" w14:textId="47598027" w:rsidR="00DD70ED" w:rsidRPr="00F536FA" w:rsidRDefault="002B6EA6" w:rsidP="00CC511D">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Por otro lado, el Director de Administración, a través del oficio </w:t>
      </w:r>
      <w:r w:rsidR="00DD70ED" w:rsidRPr="00F536FA">
        <w:rPr>
          <w:rFonts w:ascii="Palatino Linotype" w:hAnsi="Palatino Linotype" w:cs="Arial"/>
          <w:color w:val="000000" w:themeColor="text1"/>
          <w:sz w:val="24"/>
        </w:rPr>
        <w:t>F</w:t>
      </w:r>
      <w:r w:rsidRPr="00F536FA">
        <w:rPr>
          <w:rFonts w:ascii="Palatino Linotype" w:hAnsi="Palatino Linotype" w:cs="Arial"/>
          <w:color w:val="000000" w:themeColor="text1"/>
          <w:sz w:val="24"/>
        </w:rPr>
        <w:t>PMIX/DA/517/2020, de veintisiete (27) de agosto de dos mil veinte, refirió que no se localizó ningún documento relacionado con los contratos o convenios celebrados entre el Ayuntamiento y las empresas o personas físicas encargadas de los juegos mecánicos de la Feria de Ixtlahuaca en sus ediciones 2015-2018.</w:t>
      </w:r>
    </w:p>
    <w:p w14:paraId="621215CF"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0CA2BF07" w14:textId="2ED7F8FA" w:rsidR="00DD70ED" w:rsidRPr="00F536FA" w:rsidRDefault="002B6EA6"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Por su parte, el Tesorero Municipal, mediante el oficio TMIE/311/2020, de veintiocho (28) de julio de dos mil veinte, informó que el monto total de las aportaciones al Ayuntamiento, correspondientes a juegos mecánicos en la Feria de Ixtlahuaca, de los años 2016 a 2018, fue de $347,000.00 (TRESCIENTOS CUARENTA Y SIETE MIL PESOS 00/100 M.N.)</w:t>
      </w:r>
      <w:r w:rsidR="009C7281" w:rsidRPr="00F536FA">
        <w:rPr>
          <w:rFonts w:ascii="Palatino Linotype" w:hAnsi="Palatino Linotype" w:cs="Arial"/>
          <w:color w:val="000000" w:themeColor="text1"/>
          <w:sz w:val="24"/>
        </w:rPr>
        <w:t>. Para sustentar su dicho, acompañó su respuesta con los siguientes recibos de pago:</w:t>
      </w:r>
    </w:p>
    <w:p w14:paraId="2E775567" w14:textId="26B17244" w:rsidR="009C7281" w:rsidRPr="00F536FA" w:rsidRDefault="009C7281" w:rsidP="009C7281">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Recibo de pago de impuestos</w:t>
      </w:r>
      <w:r w:rsidR="00A950B8" w:rsidRPr="00F536FA">
        <w:rPr>
          <w:rFonts w:ascii="Palatino Linotype" w:hAnsi="Palatino Linotype" w:cs="Arial"/>
          <w:color w:val="000000" w:themeColor="text1"/>
          <w:sz w:val="24"/>
        </w:rPr>
        <w:t>, con folio 40445,</w:t>
      </w:r>
      <w:r w:rsidRPr="00F536FA">
        <w:rPr>
          <w:rFonts w:ascii="Palatino Linotype" w:hAnsi="Palatino Linotype" w:cs="Arial"/>
          <w:color w:val="000000" w:themeColor="text1"/>
          <w:sz w:val="24"/>
        </w:rPr>
        <w:t xml:space="preserve"> sobre diversiones, juegos y espectáculos de veintiséis (26) de septiembre de dos mil dieciséis por concepto de </w:t>
      </w:r>
      <w:r w:rsidRPr="00F536FA">
        <w:rPr>
          <w:rFonts w:ascii="Palatino Linotype" w:hAnsi="Palatino Linotype" w:cs="Arial"/>
          <w:i/>
          <w:iCs/>
          <w:color w:val="000000" w:themeColor="text1"/>
          <w:sz w:val="24"/>
        </w:rPr>
        <w:t>FERIA PATRONAL 2016. DEL 30 DE SEPTIEMBRE AL 09 DE OCTUBRE 2016</w:t>
      </w:r>
      <w:r w:rsidRPr="00F536FA">
        <w:rPr>
          <w:rFonts w:ascii="Palatino Linotype" w:hAnsi="Palatino Linotype" w:cs="Arial"/>
          <w:color w:val="000000" w:themeColor="text1"/>
          <w:sz w:val="24"/>
        </w:rPr>
        <w:t>, por un importe de $100,000.00 (CIEN MIL PESOS 00/100 M.N.).</w:t>
      </w:r>
    </w:p>
    <w:p w14:paraId="57F0E878" w14:textId="60462DE5" w:rsidR="009C7281" w:rsidRPr="00F536FA" w:rsidRDefault="009C7281" w:rsidP="009C7281">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Recibo de pago de impuestos</w:t>
      </w:r>
      <w:r w:rsidR="00A950B8" w:rsidRPr="00F536FA">
        <w:rPr>
          <w:rFonts w:ascii="Palatino Linotype" w:hAnsi="Palatino Linotype" w:cs="Arial"/>
          <w:color w:val="000000" w:themeColor="text1"/>
          <w:sz w:val="24"/>
        </w:rPr>
        <w:t>, con folio 90624,</w:t>
      </w:r>
      <w:r w:rsidRPr="00F536FA">
        <w:rPr>
          <w:rFonts w:ascii="Palatino Linotype" w:hAnsi="Palatino Linotype" w:cs="Arial"/>
          <w:color w:val="000000" w:themeColor="text1"/>
          <w:sz w:val="24"/>
        </w:rPr>
        <w:t xml:space="preserve"> sobre diversiones, juegos y espectáculos de uno (01) de agosto de dos mil diecisiete por concepto de </w:t>
      </w:r>
      <w:r w:rsidRPr="00F536FA">
        <w:rPr>
          <w:rFonts w:ascii="Palatino Linotype" w:hAnsi="Palatino Linotype" w:cs="Arial"/>
          <w:i/>
          <w:iCs/>
          <w:color w:val="000000" w:themeColor="text1"/>
          <w:sz w:val="24"/>
        </w:rPr>
        <w:t>POR EL PERIODO QUE COMPRENDE LA FERIA REGIONAL DE IXTLAHUACA 2017</w:t>
      </w:r>
      <w:r w:rsidRPr="00F536FA">
        <w:rPr>
          <w:rFonts w:ascii="Palatino Linotype" w:hAnsi="Palatino Linotype" w:cs="Arial"/>
          <w:color w:val="000000" w:themeColor="text1"/>
          <w:sz w:val="24"/>
        </w:rPr>
        <w:t>, por un importe de $125,000.00 (CIENTO VEINTICINCO MIL PESOS 00/100 M.N.).</w:t>
      </w:r>
    </w:p>
    <w:p w14:paraId="5E8A3B9D" w14:textId="30AFC216" w:rsidR="009C7281" w:rsidRPr="00F536FA" w:rsidRDefault="009C7281" w:rsidP="009C7281">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Recibo de pago de impuestos</w:t>
      </w:r>
      <w:r w:rsidR="00A950B8" w:rsidRPr="00F536FA">
        <w:rPr>
          <w:rFonts w:ascii="Palatino Linotype" w:hAnsi="Palatino Linotype" w:cs="Arial"/>
          <w:color w:val="000000" w:themeColor="text1"/>
          <w:sz w:val="24"/>
        </w:rPr>
        <w:t xml:space="preserve">, con </w:t>
      </w:r>
      <w:r w:rsidR="000753C0" w:rsidRPr="00F536FA">
        <w:rPr>
          <w:rFonts w:ascii="Palatino Linotype" w:hAnsi="Palatino Linotype" w:cs="Arial"/>
          <w:color w:val="000000" w:themeColor="text1"/>
          <w:sz w:val="24"/>
        </w:rPr>
        <w:t>folio 152922</w:t>
      </w:r>
      <w:r w:rsidR="00A950B8" w:rsidRPr="00F536FA">
        <w:rPr>
          <w:rFonts w:ascii="Palatino Linotype" w:hAnsi="Palatino Linotype" w:cs="Arial"/>
          <w:color w:val="000000" w:themeColor="text1"/>
          <w:sz w:val="24"/>
        </w:rPr>
        <w:t>,</w:t>
      </w:r>
      <w:r w:rsidRPr="00F536FA">
        <w:rPr>
          <w:rFonts w:ascii="Palatino Linotype" w:hAnsi="Palatino Linotype" w:cs="Arial"/>
          <w:color w:val="000000" w:themeColor="text1"/>
          <w:sz w:val="24"/>
        </w:rPr>
        <w:t xml:space="preserve"> sobre diversiones, juegos y espectáculos de siete (07) de septiembre de dos mil dieciocho por </w:t>
      </w:r>
      <w:r w:rsidRPr="00F536FA">
        <w:rPr>
          <w:rFonts w:ascii="Palatino Linotype" w:hAnsi="Palatino Linotype" w:cs="Arial"/>
          <w:color w:val="000000" w:themeColor="text1"/>
          <w:sz w:val="24"/>
        </w:rPr>
        <w:lastRenderedPageBreak/>
        <w:t xml:space="preserve">concepto de </w:t>
      </w:r>
      <w:r w:rsidRPr="00F536FA">
        <w:rPr>
          <w:rFonts w:ascii="Palatino Linotype" w:hAnsi="Palatino Linotype" w:cs="Arial"/>
          <w:i/>
          <w:iCs/>
          <w:color w:val="000000" w:themeColor="text1"/>
          <w:sz w:val="24"/>
        </w:rPr>
        <w:t xml:space="preserve">JUEGOS MECÁNICOS Y PIVESTOS RELACIONADOS POR PERIODO QUE COMPRENDE LA </w:t>
      </w:r>
      <w:r w:rsidRPr="00F536FA">
        <w:rPr>
          <w:rFonts w:ascii="Palatino Linotype" w:hAnsi="Palatino Linotype" w:cs="Arial"/>
          <w:color w:val="000000" w:themeColor="text1"/>
          <w:sz w:val="24"/>
        </w:rPr>
        <w:t>[ilegible], por un importe de $122,000.00 (CIENTO VEINTIDÓS MIL PESOS 00/100 M.N.).</w:t>
      </w:r>
    </w:p>
    <w:p w14:paraId="04ABB034"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4F3F00B7" w14:textId="74CC7009" w:rsidR="00DD70ED" w:rsidRPr="00F536FA" w:rsidRDefault="00F9731D"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En el mismo sentido</w:t>
      </w:r>
      <w:r w:rsidR="009C7281" w:rsidRPr="00F536FA">
        <w:rPr>
          <w:rFonts w:ascii="Palatino Linotype" w:hAnsi="Palatino Linotype" w:cs="Arial"/>
          <w:color w:val="000000" w:themeColor="text1"/>
          <w:sz w:val="24"/>
        </w:rPr>
        <w:t xml:space="preserve">, por cuanto hace a </w:t>
      </w:r>
      <w:r w:rsidRPr="00F536FA">
        <w:rPr>
          <w:rFonts w:ascii="Palatino Linotype" w:hAnsi="Palatino Linotype" w:cs="Arial"/>
          <w:color w:val="000000" w:themeColor="text1"/>
          <w:sz w:val="24"/>
        </w:rPr>
        <w:t>los ingresos por concepto de juegos mecánicos de la Feria Ixtlahuaca 2015,</w:t>
      </w:r>
      <w:r w:rsidR="009C7281" w:rsidRPr="00F536FA">
        <w:rPr>
          <w:rFonts w:ascii="Palatino Linotype" w:hAnsi="Palatino Linotype" w:cs="Arial"/>
          <w:color w:val="000000" w:themeColor="text1"/>
          <w:sz w:val="24"/>
        </w:rPr>
        <w:t xml:space="preserve"> </w:t>
      </w:r>
      <w:r w:rsidRPr="00F536FA">
        <w:rPr>
          <w:rFonts w:ascii="Palatino Linotype" w:hAnsi="Palatino Linotype" w:cs="Arial"/>
          <w:color w:val="000000" w:themeColor="text1"/>
          <w:sz w:val="24"/>
        </w:rPr>
        <w:t xml:space="preserve">el Tesorero Municipal refirió que no se contaba con la información; pronunciamiento que robusteció a través de informe justificado en el que señaló que no se había encontrado registro del ingreso de  mérito. Para justificar su dicho, adjuntó como evidencia la cuenta 4119-1-9-2 </w:t>
      </w:r>
      <w:r w:rsidRPr="00F536FA">
        <w:rPr>
          <w:rFonts w:ascii="Palatino Linotype" w:hAnsi="Palatino Linotype" w:cs="Arial"/>
          <w:i/>
          <w:iCs/>
          <w:color w:val="000000" w:themeColor="text1"/>
          <w:sz w:val="24"/>
        </w:rPr>
        <w:t>Ingresos por diversiones, juegos y espectáculos públicos</w:t>
      </w:r>
      <w:r w:rsidR="00F74051" w:rsidRPr="00F536FA">
        <w:rPr>
          <w:rFonts w:ascii="Palatino Linotype" w:hAnsi="Palatino Linotype" w:cs="Arial"/>
          <w:i/>
          <w:iCs/>
          <w:color w:val="000000" w:themeColor="text1"/>
          <w:sz w:val="24"/>
        </w:rPr>
        <w:t xml:space="preserve"> </w:t>
      </w:r>
      <w:r w:rsidR="00F74051" w:rsidRPr="00F536FA">
        <w:rPr>
          <w:rFonts w:ascii="Palatino Linotype" w:hAnsi="Palatino Linotype" w:cs="Arial"/>
          <w:color w:val="000000" w:themeColor="text1"/>
          <w:sz w:val="24"/>
        </w:rPr>
        <w:t>que, de acuerdo con lo manifestado por el Tesorero Municipal, no presenta ningún ingreso con motivo de las fiestas patronales que se celebran los primeros días de octubre</w:t>
      </w:r>
      <w:r w:rsidRPr="00F536FA">
        <w:rPr>
          <w:rFonts w:ascii="Palatino Linotype" w:hAnsi="Palatino Linotype" w:cs="Arial"/>
          <w:color w:val="000000" w:themeColor="text1"/>
          <w:sz w:val="24"/>
        </w:rPr>
        <w:t>:</w:t>
      </w:r>
    </w:p>
    <w:p w14:paraId="35127F72" w14:textId="4374DF88"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75B03FBE" w14:textId="3BFA4291" w:rsidR="00F9731D" w:rsidRPr="00F536FA" w:rsidRDefault="00F9731D" w:rsidP="00F9731D">
      <w:pPr>
        <w:tabs>
          <w:tab w:val="left" w:pos="426"/>
        </w:tabs>
        <w:spacing w:after="0" w:line="360" w:lineRule="auto"/>
        <w:ind w:right="49"/>
        <w:contextualSpacing/>
        <w:jc w:val="center"/>
        <w:rPr>
          <w:rFonts w:ascii="Palatino Linotype" w:hAnsi="Palatino Linotype" w:cs="Arial"/>
          <w:color w:val="000000" w:themeColor="text1"/>
          <w:sz w:val="24"/>
        </w:rPr>
      </w:pPr>
      <w:r w:rsidRPr="00F536FA">
        <w:rPr>
          <w:noProof/>
          <w:lang w:eastAsia="es-MX"/>
        </w:rPr>
        <w:drawing>
          <wp:inline distT="0" distB="0" distL="0" distR="0" wp14:anchorId="146B844B" wp14:editId="39717F26">
            <wp:extent cx="4802697" cy="1143000"/>
            <wp:effectExtent l="57150" t="57150" r="93345" b="952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4" t="32180" r="18250" b="34730"/>
                    <a:stretch/>
                  </pic:blipFill>
                  <pic:spPr bwMode="auto">
                    <a:xfrm>
                      <a:off x="0" y="0"/>
                      <a:ext cx="4804907" cy="11435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AB354E" w14:textId="77777777" w:rsidR="00F9731D" w:rsidRPr="00F536FA" w:rsidRDefault="00F9731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08FB57ED" w14:textId="0AD95DD7" w:rsidR="00DD70ED" w:rsidRPr="00F536FA" w:rsidRDefault="00F7405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Asimismo, compartió los siguientes recibos de pago por concepto de impuesto sobre diversiones, juegos y espectáculos:</w:t>
      </w:r>
    </w:p>
    <w:p w14:paraId="4FF1A7B1" w14:textId="780CCE87" w:rsidR="00F74051" w:rsidRPr="00F536FA" w:rsidRDefault="00F74051" w:rsidP="00F74051">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Recibo de septiembre de dos mil quince por concepto de </w:t>
      </w:r>
      <w:r w:rsidRPr="00F536FA">
        <w:rPr>
          <w:rFonts w:ascii="Palatino Linotype" w:hAnsi="Palatino Linotype" w:cs="Arial"/>
          <w:i/>
          <w:iCs/>
          <w:color w:val="000000" w:themeColor="text1"/>
          <w:sz w:val="24"/>
        </w:rPr>
        <w:t>Baile Público a un costado de la terminal del día domingo 04 de octubre del 2015</w:t>
      </w:r>
      <w:r w:rsidRPr="00F536FA">
        <w:rPr>
          <w:rFonts w:ascii="Palatino Linotype" w:hAnsi="Palatino Linotype" w:cs="Arial"/>
          <w:color w:val="000000" w:themeColor="text1"/>
          <w:sz w:val="24"/>
        </w:rPr>
        <w:t xml:space="preserve"> por un monto de $35,000.00 (TREINTA Y CINCO MIL PESOS 00/100 M.N.)</w:t>
      </w:r>
    </w:p>
    <w:p w14:paraId="1E5C17EB" w14:textId="46CF57F9" w:rsidR="00F74051" w:rsidRPr="00F536FA" w:rsidRDefault="00F74051" w:rsidP="00F74051">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Recibo de uno (01) de agosto de dos mil diecisiete por concepto de </w:t>
      </w:r>
      <w:r w:rsidRPr="00F536FA">
        <w:rPr>
          <w:rFonts w:ascii="Palatino Linotype" w:hAnsi="Palatino Linotype" w:cs="Arial"/>
          <w:i/>
          <w:iCs/>
          <w:color w:val="000000" w:themeColor="text1"/>
          <w:sz w:val="24"/>
        </w:rPr>
        <w:t>POR EL PERIODO QUE CORRESPONDE LA FERIA PATRONAL DE IXTLAHUACA 2017</w:t>
      </w:r>
      <w:r w:rsidRPr="00F536FA">
        <w:rPr>
          <w:rFonts w:ascii="Palatino Linotype" w:hAnsi="Palatino Linotype" w:cs="Arial"/>
          <w:color w:val="000000" w:themeColor="text1"/>
          <w:sz w:val="24"/>
        </w:rPr>
        <w:t xml:space="preserve"> por un monto de $125,000.00 (CIENTO VEINTICINCO MIL PESOS 00/100 M.N.)</w:t>
      </w:r>
    </w:p>
    <w:p w14:paraId="31728267" w14:textId="143C03E6" w:rsidR="00F74051" w:rsidRPr="00F536FA" w:rsidRDefault="00F74051" w:rsidP="00F74051">
      <w:pPr>
        <w:numPr>
          <w:ilvl w:val="1"/>
          <w:numId w:val="2"/>
        </w:numPr>
        <w:tabs>
          <w:tab w:val="left" w:pos="426"/>
        </w:tabs>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Recibo de veintiséis (26) de septiembre de dos mil dieciséis por concepto de </w:t>
      </w:r>
      <w:r w:rsidRPr="00F536FA">
        <w:rPr>
          <w:rFonts w:ascii="Palatino Linotype" w:hAnsi="Palatino Linotype" w:cs="Arial"/>
          <w:i/>
          <w:iCs/>
          <w:color w:val="000000" w:themeColor="text1"/>
          <w:sz w:val="24"/>
        </w:rPr>
        <w:t>FERIA PATRONAL 2016, DEL 30 DE SEPTIEMBRE AL 09 DE OCTUBRE 2016</w:t>
      </w:r>
      <w:r w:rsidRPr="00F536FA">
        <w:rPr>
          <w:rFonts w:ascii="Palatino Linotype" w:hAnsi="Palatino Linotype" w:cs="Arial"/>
          <w:color w:val="000000" w:themeColor="text1"/>
          <w:sz w:val="24"/>
        </w:rPr>
        <w:t xml:space="preserve"> por un monto de $100,000.00 (CIEN MIL PESOS 00/100 M.N.)</w:t>
      </w:r>
    </w:p>
    <w:p w14:paraId="7A405EB7"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4ADFD6DD" w14:textId="76A8A39E" w:rsidR="00DD70ED" w:rsidRPr="00F536FA" w:rsidRDefault="00DA583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Así las cosas, por cuanto hace al monto de las aportaciones realizadas al Ayuntamiento por motivo de la instalación de juegos mecánicos en la Feria Ixtlahuaca 2015-2019, se aprecia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los recibos relacionados con los años 2016, 2017 y 2018, por cuanto hace a los ingresos del 2015 informó que no se había generado ingresos por el concepto de mérito, </w:t>
      </w:r>
      <w:r w:rsidR="00A950B8" w:rsidRPr="00F536FA">
        <w:rPr>
          <w:rFonts w:ascii="Palatino Linotype" w:hAnsi="Palatino Linotype" w:cs="Arial"/>
          <w:color w:val="000000" w:themeColor="text1"/>
          <w:sz w:val="24"/>
        </w:rPr>
        <w:t>mientras que para el ejercicio 2019 se realizó un convenio de otorgamiento de permiso a título gratuito</w:t>
      </w:r>
      <w:r w:rsidRPr="00F536FA">
        <w:rPr>
          <w:rFonts w:ascii="Palatino Linotype" w:hAnsi="Palatino Linotype" w:cs="Arial"/>
          <w:color w:val="000000" w:themeColor="text1"/>
          <w:sz w:val="24"/>
        </w:rPr>
        <w:t>.</w:t>
      </w:r>
    </w:p>
    <w:p w14:paraId="19EE366E"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680C1EC9" w14:textId="03C0CEE0" w:rsidR="00DD70ED" w:rsidRPr="00F536FA" w:rsidRDefault="00DA583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Dicho lo anterior, el pronunciamiento por el que refiere que no se recibieron ingresos relacionados con juegos mecánicos en la Feria Ixtlahuaca 2015 </w:t>
      </w:r>
      <w:r w:rsidR="00A950B8" w:rsidRPr="00F536FA">
        <w:rPr>
          <w:rFonts w:ascii="Palatino Linotype" w:hAnsi="Palatino Linotype" w:cs="Arial"/>
          <w:color w:val="000000" w:themeColor="text1"/>
          <w:sz w:val="24"/>
        </w:rPr>
        <w:t xml:space="preserve">y 2019 </w:t>
      </w:r>
      <w:r w:rsidRPr="00F536FA">
        <w:rPr>
          <w:rFonts w:ascii="Palatino Linotype" w:hAnsi="Palatino Linotype" w:cs="Arial"/>
          <w:color w:val="000000" w:themeColor="text1"/>
          <w:sz w:val="24"/>
        </w:rPr>
        <w:t xml:space="preserve">se aprecia como un </w:t>
      </w:r>
      <w:r w:rsidRPr="00F536FA">
        <w:rPr>
          <w:rFonts w:ascii="Palatino Linotype" w:hAnsi="Palatino Linotype" w:cs="Arial"/>
          <w:color w:val="000000" w:themeColor="text1"/>
          <w:sz w:val="24"/>
          <w:lang w:val="es-ES"/>
        </w:rPr>
        <w:t xml:space="preserve">acto u hecho negativo notorio, es decir, que no se actualiza la circunstancia por la cual </w:t>
      </w:r>
      <w:r w:rsidRPr="00F536FA">
        <w:rPr>
          <w:rFonts w:ascii="Palatino Linotype" w:hAnsi="Palatino Linotype" w:cs="Arial"/>
          <w:bCs/>
          <w:color w:val="000000" w:themeColor="text1"/>
          <w:sz w:val="24"/>
          <w:lang w:val="es-ES"/>
        </w:rPr>
        <w:t>el</w:t>
      </w:r>
      <w:r w:rsidRPr="00F536FA">
        <w:rPr>
          <w:rFonts w:ascii="Palatino Linotype" w:hAnsi="Palatino Linotype" w:cs="Arial"/>
          <w:b/>
          <w:color w:val="000000" w:themeColor="text1"/>
          <w:sz w:val="24"/>
          <w:lang w:val="es-ES"/>
        </w:rPr>
        <w:t xml:space="preserve"> SUJETO OBLIGADO</w:t>
      </w:r>
      <w:r w:rsidRPr="00F536FA">
        <w:rPr>
          <w:rFonts w:ascii="Palatino Linotype" w:hAnsi="Palatino Linotype" w:cs="Arial"/>
          <w:bCs/>
          <w:color w:val="000000" w:themeColor="text1"/>
          <w:sz w:val="24"/>
          <w:lang w:val="es-ES"/>
        </w:rPr>
        <w:t>,</w:t>
      </w:r>
      <w:r w:rsidRPr="00F536FA">
        <w:rPr>
          <w:rFonts w:ascii="Palatino Linotype" w:hAnsi="Palatino Linotype" w:cs="Arial"/>
          <w:color w:val="000000" w:themeColor="text1"/>
          <w:sz w:val="24"/>
          <w:lang w:val="es-ES"/>
        </w:rPr>
        <w:t xml:space="preserve"> en el ámbito de sus atribuciones, pudiese poseer en sus archivos la información solicitada, por lo que resultaría innecesaria una declaratoria de inexistencia, en términos de la fracción XIII del </w:t>
      </w:r>
      <w:r w:rsidRPr="00F536FA">
        <w:rPr>
          <w:rFonts w:ascii="Palatino Linotype" w:hAnsi="Palatino Linotype" w:cs="Arial"/>
          <w:color w:val="000000" w:themeColor="text1"/>
          <w:sz w:val="24"/>
          <w:lang w:val="es-ES"/>
        </w:rPr>
        <w:lastRenderedPageBreak/>
        <w:t>artículo 49 de la Ley de Transparencia y Acceso a la Información Pública del Estado de México y Municipios.</w:t>
      </w:r>
    </w:p>
    <w:p w14:paraId="51720700"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413B1F46" w14:textId="4EA71BE1" w:rsidR="00DD70ED" w:rsidRPr="00F536FA" w:rsidRDefault="00DA583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Lo </w:t>
      </w:r>
      <w:r w:rsidRPr="00F536FA">
        <w:rPr>
          <w:rFonts w:ascii="Palatino Linotype" w:hAnsi="Palatino Linotype" w:cs="Arial"/>
          <w:color w:val="000000" w:themeColor="text1"/>
          <w:sz w:val="24"/>
          <w:lang w:val="es-ES_tradnl"/>
        </w:rPr>
        <w:t>anterior encuentra sustento con la Jurisprudencia 267,287 y el Criterio 10/2004 emitidos por el Máximo Juzgador del país, Tesis que determinan lo siguiente:</w:t>
      </w:r>
    </w:p>
    <w:p w14:paraId="32923456" w14:textId="2AC341B3"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2665A6C2" w14:textId="77777777" w:rsidR="00DA583A" w:rsidRPr="00F536FA" w:rsidRDefault="00DA583A" w:rsidP="00DA583A">
      <w:pPr>
        <w:pStyle w:val="Prrafodelista"/>
        <w:tabs>
          <w:tab w:val="left" w:pos="426"/>
        </w:tabs>
        <w:spacing w:before="240" w:after="240" w:line="276" w:lineRule="auto"/>
        <w:ind w:left="567" w:right="567"/>
        <w:jc w:val="both"/>
        <w:rPr>
          <w:rFonts w:ascii="Palatino Linotype" w:hAnsi="Palatino Linotype" w:cs="Arial"/>
          <w:i/>
        </w:rPr>
      </w:pPr>
      <w:r w:rsidRPr="00F536FA">
        <w:rPr>
          <w:rFonts w:ascii="Palatino Linotype" w:hAnsi="Palatino Linotype" w:cs="Arial"/>
          <w:i/>
        </w:rPr>
        <w:t>“</w:t>
      </w:r>
      <w:r w:rsidRPr="00F536FA">
        <w:rPr>
          <w:rFonts w:ascii="Palatino Linotype" w:hAnsi="Palatino Linotype" w:cs="Arial"/>
          <w:b/>
          <w:i/>
        </w:rPr>
        <w:t>HECHOS NEGATIVOS, NO SON SUSCEPTIBLES DE DEMOSTRACION.</w:t>
      </w:r>
      <w:r w:rsidRPr="00F536FA">
        <w:rPr>
          <w:rFonts w:ascii="Palatino Linotype" w:hAnsi="Palatino Linotype" w:cs="Arial"/>
          <w:i/>
        </w:rPr>
        <w:t xml:space="preserve"> </w:t>
      </w:r>
      <w:r w:rsidRPr="00F536FA">
        <w:rPr>
          <w:rFonts w:ascii="Palatino Linotype" w:hAnsi="Palatino Linotype" w:cs="Arial"/>
          <w:b/>
          <w:i/>
        </w:rPr>
        <w:t xml:space="preserve">Tratándose de un hecho negativo, el Juez no tiene </w:t>
      </w:r>
      <w:proofErr w:type="spellStart"/>
      <w:r w:rsidRPr="00F536FA">
        <w:rPr>
          <w:rFonts w:ascii="Palatino Linotype" w:hAnsi="Palatino Linotype" w:cs="Arial"/>
          <w:b/>
          <w:i/>
        </w:rPr>
        <w:t>por que</w:t>
      </w:r>
      <w:proofErr w:type="spellEnd"/>
      <w:r w:rsidRPr="00F536FA">
        <w:rPr>
          <w:rFonts w:ascii="Palatino Linotype" w:hAnsi="Palatino Linotype" w:cs="Arial"/>
          <w:b/>
          <w:i/>
        </w:rPr>
        <w:t xml:space="preserve"> invocar prueba alguna de la que se desprenda</w:t>
      </w:r>
      <w:r w:rsidRPr="00F536FA">
        <w:rPr>
          <w:rFonts w:ascii="Palatino Linotype" w:hAnsi="Palatino Linotype" w:cs="Arial"/>
          <w:i/>
        </w:rPr>
        <w:t>, ya que es bien sabido que esta clase de hechos no son susceptibles de demostración.”</w:t>
      </w:r>
    </w:p>
    <w:p w14:paraId="24BB17A0" w14:textId="77777777" w:rsidR="00DA583A" w:rsidRPr="00F536FA" w:rsidRDefault="00DA583A" w:rsidP="00DA583A">
      <w:pPr>
        <w:pStyle w:val="Prrafodelista"/>
        <w:tabs>
          <w:tab w:val="left" w:pos="426"/>
        </w:tabs>
        <w:spacing w:before="240" w:after="240" w:line="276" w:lineRule="auto"/>
        <w:ind w:left="567" w:right="567"/>
        <w:jc w:val="both"/>
        <w:rPr>
          <w:rFonts w:ascii="Palatino Linotype" w:hAnsi="Palatino Linotype" w:cs="Arial"/>
          <w:i/>
        </w:rPr>
      </w:pPr>
    </w:p>
    <w:p w14:paraId="388622FA" w14:textId="1F0B02B8" w:rsidR="00DA583A" w:rsidRPr="00F536FA" w:rsidRDefault="00DA583A" w:rsidP="00DA583A">
      <w:pPr>
        <w:pStyle w:val="Prrafodelista"/>
        <w:tabs>
          <w:tab w:val="left" w:pos="426"/>
        </w:tabs>
        <w:spacing w:before="240" w:after="240" w:line="276" w:lineRule="auto"/>
        <w:ind w:left="567" w:right="567"/>
        <w:jc w:val="both"/>
        <w:rPr>
          <w:rFonts w:ascii="Palatino Linotype" w:hAnsi="Palatino Linotype" w:cs="Arial"/>
          <w:i/>
        </w:rPr>
      </w:pPr>
      <w:r w:rsidRPr="00F536FA">
        <w:rPr>
          <w:rFonts w:ascii="Palatino Linotype" w:hAnsi="Palatino Linotype" w:cs="Arial"/>
          <w:i/>
        </w:rPr>
        <w:t>“</w:t>
      </w:r>
      <w:r w:rsidRPr="00F536FA">
        <w:rPr>
          <w:rFonts w:ascii="Palatino Linotype" w:hAnsi="Palatino Linotype" w:cs="Arial"/>
          <w:b/>
          <w:i/>
        </w:rPr>
        <w:t>INEXISTENCIA DE LA INFORMACIÓN. EL COMITÉ DE ACCESO A LA INFORMACIÓN PUEDE DECLARARLA ANTE SU EVIDENCIA, SIN NECESIDAD DE DICTAR MEDIDAS PARA SU LOCALIZACIÓN.</w:t>
      </w:r>
      <w:r w:rsidRPr="00F536FA">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F536FA">
        <w:rPr>
          <w:rFonts w:ascii="Palatino Linotype" w:hAnsi="Palatino Linotype" w:cs="Arial"/>
          <w:b/>
          <w:i/>
        </w:rPr>
        <w:t>ndo la referida Unidad señala, o</w:t>
      </w:r>
      <w:r w:rsidRPr="00F536FA">
        <w:rPr>
          <w:rFonts w:ascii="Palatino Linotype" w:hAnsi="Palatino Linotype" w:cs="Arial"/>
          <w:i/>
        </w:rPr>
        <w:t xml:space="preserve"> el mencionado Comité </w:t>
      </w:r>
      <w:r w:rsidRPr="00F536FA">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F536FA">
        <w:rPr>
          <w:rFonts w:ascii="Palatino Linotype" w:hAnsi="Palatino Linotype" w:cs="Arial"/>
          <w:i/>
        </w:rPr>
        <w:t>”</w:t>
      </w:r>
    </w:p>
    <w:p w14:paraId="04741587" w14:textId="6C652DA4" w:rsidR="00DA583A" w:rsidRPr="00F536FA" w:rsidRDefault="00DA583A" w:rsidP="00DA583A">
      <w:pPr>
        <w:pStyle w:val="Prrafodelista"/>
        <w:tabs>
          <w:tab w:val="left" w:pos="426"/>
        </w:tabs>
        <w:spacing w:after="0" w:line="276" w:lineRule="auto"/>
        <w:ind w:left="567" w:right="567"/>
        <w:jc w:val="both"/>
        <w:rPr>
          <w:rFonts w:ascii="Palatino Linotype" w:hAnsi="Palatino Linotype" w:cs="Arial"/>
          <w:iCs/>
        </w:rPr>
      </w:pPr>
      <w:r w:rsidRPr="00F536FA">
        <w:rPr>
          <w:rFonts w:ascii="Palatino Linotype" w:hAnsi="Palatino Linotype" w:cs="Arial"/>
          <w:iCs/>
        </w:rPr>
        <w:t>(Énfasis añadido)</w:t>
      </w:r>
    </w:p>
    <w:p w14:paraId="7B1320C3" w14:textId="77777777" w:rsidR="00DA583A" w:rsidRPr="00F536FA" w:rsidRDefault="00DA583A"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710E10BC" w14:textId="2DCB17B3" w:rsidR="00DD70ED" w:rsidRPr="00F536FA" w:rsidRDefault="00DA583A"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Razones </w:t>
      </w:r>
      <w:r w:rsidR="00CC511D" w:rsidRPr="00F536FA">
        <w:rPr>
          <w:rFonts w:ascii="Palatino Linotype" w:hAnsi="Palatino Linotype" w:cs="Arial"/>
          <w:color w:val="000000" w:themeColor="text1"/>
          <w:sz w:val="24"/>
        </w:rPr>
        <w:t>por las que no ha lugar a ordenar un Acuerdo de Inexistencia por cuanto hace a los recibos de pago de impuestos por la instalación de juegos mecánicos en la Feria Ixtlahuaca 2015</w:t>
      </w:r>
      <w:r w:rsidR="00A950B8" w:rsidRPr="00F536FA">
        <w:rPr>
          <w:rFonts w:ascii="Palatino Linotype" w:hAnsi="Palatino Linotype" w:cs="Arial"/>
          <w:color w:val="000000" w:themeColor="text1"/>
          <w:sz w:val="24"/>
        </w:rPr>
        <w:t xml:space="preserve"> y 2019</w:t>
      </w:r>
      <w:r w:rsidRPr="00F536FA">
        <w:rPr>
          <w:rFonts w:ascii="Palatino Linotype" w:hAnsi="Palatino Linotype" w:cs="Arial"/>
          <w:color w:val="000000" w:themeColor="text1"/>
          <w:sz w:val="24"/>
          <w:lang w:val="es-ES_tradnl"/>
        </w:rPr>
        <w:t xml:space="preserve">, </w:t>
      </w:r>
      <w:r w:rsidR="00CC511D" w:rsidRPr="00F536FA">
        <w:rPr>
          <w:rFonts w:ascii="Palatino Linotype" w:hAnsi="Palatino Linotype" w:cs="Arial"/>
          <w:color w:val="000000" w:themeColor="text1"/>
          <w:sz w:val="24"/>
          <w:lang w:val="es-ES_tradnl"/>
        </w:rPr>
        <w:t xml:space="preserve">ya que como lo señaló el Tesorero Municipal </w:t>
      </w:r>
      <w:r w:rsidR="00A950B8" w:rsidRPr="00F536FA">
        <w:rPr>
          <w:rFonts w:ascii="Palatino Linotype" w:hAnsi="Palatino Linotype" w:cs="Arial"/>
          <w:color w:val="000000" w:themeColor="text1"/>
          <w:sz w:val="24"/>
          <w:lang w:val="es-ES_tradnl"/>
        </w:rPr>
        <w:t xml:space="preserve">en los oficios TMIE/311/2020 y </w:t>
      </w:r>
      <w:r w:rsidR="00CC511D" w:rsidRPr="00F536FA">
        <w:rPr>
          <w:rFonts w:ascii="Palatino Linotype" w:hAnsi="Palatino Linotype" w:cs="Arial"/>
          <w:color w:val="000000" w:themeColor="text1"/>
          <w:sz w:val="24"/>
          <w:lang w:val="es-ES_tradnl"/>
        </w:rPr>
        <w:t xml:space="preserve"> </w:t>
      </w:r>
      <w:r w:rsidR="00A950B8" w:rsidRPr="00F536FA">
        <w:rPr>
          <w:rFonts w:ascii="Palatino Linotype" w:hAnsi="Palatino Linotype" w:cs="Arial"/>
          <w:color w:val="000000" w:themeColor="text1"/>
          <w:sz w:val="24"/>
          <w:lang w:val="es-ES_tradnl"/>
        </w:rPr>
        <w:t xml:space="preserve"> TMIE/423/2020</w:t>
      </w:r>
      <w:r w:rsidR="00CC511D" w:rsidRPr="00F536FA">
        <w:rPr>
          <w:rFonts w:ascii="Palatino Linotype" w:hAnsi="Palatino Linotype" w:cs="Arial"/>
          <w:color w:val="000000" w:themeColor="text1"/>
          <w:sz w:val="24"/>
          <w:lang w:val="es-ES_tradnl"/>
        </w:rPr>
        <w:t xml:space="preserve">, en el ejercicio dos mil quince no se registró una aportación con las características requeridas por el </w:t>
      </w:r>
      <w:r w:rsidR="00CC511D" w:rsidRPr="00F536FA">
        <w:rPr>
          <w:rFonts w:ascii="Palatino Linotype" w:hAnsi="Palatino Linotype" w:cs="Arial"/>
          <w:b/>
          <w:bCs/>
          <w:color w:val="000000" w:themeColor="text1"/>
          <w:sz w:val="24"/>
          <w:lang w:val="es-ES_tradnl"/>
        </w:rPr>
        <w:t>RECURRENTE</w:t>
      </w:r>
      <w:r w:rsidR="00A950B8" w:rsidRPr="00F536FA">
        <w:rPr>
          <w:rFonts w:ascii="Palatino Linotype" w:hAnsi="Palatino Linotype" w:cs="Arial"/>
          <w:color w:val="000000" w:themeColor="text1"/>
          <w:sz w:val="24"/>
          <w:lang w:val="es-ES_tradnl"/>
        </w:rPr>
        <w:t>, mientras que para el ejercicio 2019 se realizó convenio de otorgamiento de permiso a título gratuito.</w:t>
      </w:r>
    </w:p>
    <w:p w14:paraId="377E0A9A" w14:textId="77777777" w:rsidR="00DD70ED" w:rsidRPr="00F536FA" w:rsidRDefault="00DD70ED" w:rsidP="00DD70ED">
      <w:pPr>
        <w:tabs>
          <w:tab w:val="left" w:pos="426"/>
        </w:tabs>
        <w:spacing w:after="0" w:line="360" w:lineRule="auto"/>
        <w:ind w:right="49"/>
        <w:contextualSpacing/>
        <w:jc w:val="both"/>
        <w:rPr>
          <w:rFonts w:ascii="Palatino Linotype" w:hAnsi="Palatino Linotype" w:cs="Arial"/>
          <w:color w:val="000000" w:themeColor="text1"/>
          <w:sz w:val="24"/>
        </w:rPr>
      </w:pPr>
    </w:p>
    <w:p w14:paraId="20A6AF87" w14:textId="1375B17F" w:rsidR="00DD70ED" w:rsidRPr="00F536FA" w:rsidRDefault="00CC511D"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No obstante lo anterior, toda vez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no se manifestó respecto del monto de las aportaciones realizadas al Ayuntamiento por la empresa o persona física proveedora de juegos mecánicos en la Feria Ixtlahuaca 2019, así como el recibo de pago otorgado por el Ayuntamiento, éste deberá realizar una búsqueda exhaustiva y razonable en sus archivos a efecto de entregar la información al particular, de ser procedente en versión pública.</w:t>
      </w:r>
    </w:p>
    <w:p w14:paraId="5FC5445A"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69E884BC" w14:textId="6C9F515F" w:rsidR="00CC511D" w:rsidRPr="00F536FA" w:rsidRDefault="00A950B8"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Ahora, por cuanto hace a los permisos de funcionamiento de las empresas o personas físicas proveedoras de juegos mecánicos en la Feria Ixtlahuaca 2015-2019,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no se pronunció al respecto, por ello, es conveniente referir que el Bando Municipal </w:t>
      </w:r>
      <w:r w:rsidR="006D62F6" w:rsidRPr="00F536FA">
        <w:rPr>
          <w:rFonts w:ascii="Palatino Linotype" w:hAnsi="Palatino Linotype" w:cs="Arial"/>
          <w:color w:val="000000" w:themeColor="text1"/>
          <w:sz w:val="24"/>
        </w:rPr>
        <w:t>2020 de Ixtlahuaca, en su artículo 168, señala que la Coordinación Municipal de Protección Civil y Bomberos es responsable de elaborar, instrumentar, dirigir y operar la ejecución de los programas en la materia, coordinando sus acciones con las dependencias, instituciones, asociaciones civiles y religiosas, organismos del sector público, social y privado, con los grupos de voluntarios y la población en general.</w:t>
      </w:r>
    </w:p>
    <w:p w14:paraId="70AC177C"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1CA801B4" w14:textId="014548ED" w:rsidR="00CC511D" w:rsidRPr="00F536FA" w:rsidRDefault="006D62F6"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Ahora bien, el Reglamento Municipal de Protección Civil del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en sus artículos 85 y 86, determina lo siguiente:</w:t>
      </w:r>
    </w:p>
    <w:p w14:paraId="537E90B8" w14:textId="5A0B54DB"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64896F6F"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i/>
          <w:iCs/>
        </w:rPr>
        <w:t>“</w:t>
      </w:r>
      <w:r w:rsidRPr="00F536FA">
        <w:rPr>
          <w:rFonts w:ascii="Palatino Linotype" w:hAnsi="Palatino Linotype"/>
          <w:b/>
          <w:bCs/>
          <w:i/>
          <w:iCs/>
        </w:rPr>
        <w:t>ARTÍCULO 85.-</w:t>
      </w:r>
      <w:r w:rsidRPr="00F536FA">
        <w:rPr>
          <w:rFonts w:ascii="Palatino Linotype" w:hAnsi="Palatino Linotype"/>
          <w:i/>
          <w:iCs/>
        </w:rPr>
        <w:t xml:space="preserve"> Los organizadores o responsables de ferias y carnavales deberán cumplir con lo siguiente: </w:t>
      </w:r>
    </w:p>
    <w:p w14:paraId="0FD24FFD"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w:t>
      </w:r>
      <w:r w:rsidRPr="00F536FA">
        <w:rPr>
          <w:rFonts w:ascii="Palatino Linotype" w:hAnsi="Palatino Linotype"/>
          <w:i/>
          <w:iCs/>
        </w:rPr>
        <w:t xml:space="preserve"> Los </w:t>
      </w:r>
      <w:r w:rsidRPr="00F536FA">
        <w:rPr>
          <w:rFonts w:ascii="Palatino Linotype" w:hAnsi="Palatino Linotype"/>
          <w:b/>
          <w:bCs/>
          <w:i/>
          <w:iCs/>
        </w:rPr>
        <w:t>juegos mecánicos</w:t>
      </w:r>
      <w:r w:rsidRPr="00F536FA">
        <w:rPr>
          <w:rFonts w:ascii="Palatino Linotype" w:hAnsi="Palatino Linotype"/>
          <w:i/>
          <w:iCs/>
        </w:rPr>
        <w:t xml:space="preserve"> deberán ser ubicados en sitios que sean estables y no sean inundables, a no menos de 500 metros de hospitales, sanatorios y casas de salud y alejados de gasolineras, gaseras, líneas de alta tensión, industrias que manejen o almacenen productos tóxicos y/o inflamables; </w:t>
      </w:r>
    </w:p>
    <w:p w14:paraId="3CCACBA4" w14:textId="0784E1AD"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w:t>
      </w:r>
      <w:r w:rsidRPr="00F536FA">
        <w:rPr>
          <w:rFonts w:ascii="Palatino Linotype" w:hAnsi="Palatino Linotype"/>
          <w:i/>
          <w:iCs/>
        </w:rPr>
        <w:t xml:space="preserve"> La ubicación de los </w:t>
      </w:r>
      <w:r w:rsidRPr="00F536FA">
        <w:rPr>
          <w:rFonts w:ascii="Palatino Linotype" w:hAnsi="Palatino Linotype"/>
          <w:b/>
          <w:bCs/>
          <w:i/>
          <w:iCs/>
        </w:rPr>
        <w:t>juegos mecánicos</w:t>
      </w:r>
      <w:r w:rsidRPr="00F536FA">
        <w:rPr>
          <w:rFonts w:ascii="Palatino Linotype" w:hAnsi="Palatino Linotype"/>
          <w:i/>
          <w:iCs/>
        </w:rPr>
        <w:t xml:space="preserve"> deberá ser en áreas con buenas vías de acceso y suficiente estacionamiento; </w:t>
      </w:r>
    </w:p>
    <w:p w14:paraId="6E4C52EB"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p>
    <w:p w14:paraId="23DD7981"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ARTÍCULO 86.-</w:t>
      </w:r>
      <w:r w:rsidRPr="00F536FA">
        <w:rPr>
          <w:rFonts w:ascii="Palatino Linotype" w:hAnsi="Palatino Linotype"/>
          <w:i/>
          <w:iCs/>
        </w:rPr>
        <w:t xml:space="preserve"> </w:t>
      </w:r>
      <w:r w:rsidRPr="00F536FA">
        <w:rPr>
          <w:rFonts w:ascii="Palatino Linotype" w:hAnsi="Palatino Linotype"/>
          <w:b/>
          <w:bCs/>
          <w:i/>
          <w:iCs/>
        </w:rPr>
        <w:t>Los propietarios, responsables, apoderados legales o representantes de juegos mecánicos deberán contar con lo siguiente</w:t>
      </w:r>
      <w:r w:rsidRPr="00F536FA">
        <w:rPr>
          <w:rFonts w:ascii="Palatino Linotype" w:hAnsi="Palatino Linotype"/>
          <w:i/>
          <w:iCs/>
        </w:rPr>
        <w:t xml:space="preserve">: </w:t>
      </w:r>
    </w:p>
    <w:p w14:paraId="2EA924C8"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w:t>
      </w:r>
      <w:r w:rsidRPr="00F536FA">
        <w:rPr>
          <w:rFonts w:ascii="Palatino Linotype" w:hAnsi="Palatino Linotype"/>
          <w:i/>
          <w:iCs/>
        </w:rPr>
        <w:t xml:space="preserve"> </w:t>
      </w:r>
      <w:r w:rsidRPr="00F536FA">
        <w:rPr>
          <w:rFonts w:ascii="Palatino Linotype" w:hAnsi="Palatino Linotype"/>
          <w:b/>
          <w:bCs/>
          <w:i/>
          <w:iCs/>
        </w:rPr>
        <w:t>Póliza de seguro</w:t>
      </w:r>
      <w:r w:rsidRPr="00F536FA">
        <w:rPr>
          <w:rFonts w:ascii="Palatino Linotype" w:hAnsi="Palatino Linotype"/>
          <w:i/>
          <w:iCs/>
        </w:rPr>
        <w:t xml:space="preserve"> contra daños a terceros; </w:t>
      </w:r>
    </w:p>
    <w:p w14:paraId="2EE310DD" w14:textId="77F7BE11"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w:t>
      </w:r>
      <w:r w:rsidRPr="00F536FA">
        <w:rPr>
          <w:rFonts w:ascii="Palatino Linotype" w:hAnsi="Palatino Linotype"/>
          <w:i/>
          <w:iCs/>
        </w:rPr>
        <w:t xml:space="preserve"> </w:t>
      </w:r>
      <w:r w:rsidRPr="00F536FA">
        <w:rPr>
          <w:rFonts w:ascii="Palatino Linotype" w:hAnsi="Palatino Linotype"/>
          <w:b/>
          <w:bCs/>
          <w:i/>
          <w:iCs/>
        </w:rPr>
        <w:t>Equipo contra incendios</w:t>
      </w:r>
      <w:r w:rsidRPr="00F536FA">
        <w:rPr>
          <w:rFonts w:ascii="Palatino Linotype" w:hAnsi="Palatino Linotype"/>
          <w:i/>
          <w:iCs/>
        </w:rPr>
        <w:t>;</w:t>
      </w:r>
    </w:p>
    <w:p w14:paraId="15D84D14"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III.</w:t>
      </w:r>
      <w:r w:rsidRPr="00F536FA">
        <w:rPr>
          <w:rFonts w:ascii="Palatino Linotype" w:hAnsi="Palatino Linotype"/>
          <w:i/>
          <w:iCs/>
        </w:rPr>
        <w:t xml:space="preserve"> </w:t>
      </w:r>
      <w:r w:rsidRPr="00F536FA">
        <w:rPr>
          <w:rFonts w:ascii="Palatino Linotype" w:hAnsi="Palatino Linotype"/>
          <w:b/>
          <w:bCs/>
          <w:i/>
          <w:iCs/>
        </w:rPr>
        <w:t>Botiquín de primeros auxilios</w:t>
      </w:r>
      <w:r w:rsidRPr="00F536FA">
        <w:rPr>
          <w:rFonts w:ascii="Palatino Linotype" w:hAnsi="Palatino Linotype"/>
          <w:i/>
          <w:iCs/>
        </w:rPr>
        <w:t xml:space="preserve"> en cada juego mecánico; </w:t>
      </w:r>
    </w:p>
    <w:p w14:paraId="11AE0A67"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IV.</w:t>
      </w:r>
      <w:r w:rsidRPr="00F536FA">
        <w:rPr>
          <w:rFonts w:ascii="Palatino Linotype" w:hAnsi="Palatino Linotype"/>
          <w:i/>
          <w:iCs/>
        </w:rPr>
        <w:t xml:space="preserve"> </w:t>
      </w:r>
      <w:r w:rsidRPr="00F536FA">
        <w:rPr>
          <w:rFonts w:ascii="Palatino Linotype" w:hAnsi="Palatino Linotype"/>
          <w:b/>
          <w:bCs/>
          <w:i/>
          <w:iCs/>
        </w:rPr>
        <w:t>Planta de luz</w:t>
      </w:r>
      <w:r w:rsidRPr="00F536FA">
        <w:rPr>
          <w:rFonts w:ascii="Palatino Linotype" w:hAnsi="Palatino Linotype"/>
          <w:i/>
          <w:iCs/>
        </w:rPr>
        <w:t xml:space="preserve"> de emergencia; </w:t>
      </w:r>
    </w:p>
    <w:p w14:paraId="766FD761" w14:textId="77777777"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V.</w:t>
      </w:r>
      <w:r w:rsidRPr="00F536FA">
        <w:rPr>
          <w:rFonts w:ascii="Palatino Linotype" w:hAnsi="Palatino Linotype"/>
          <w:i/>
          <w:iCs/>
        </w:rPr>
        <w:t xml:space="preserve"> Las </w:t>
      </w:r>
      <w:r w:rsidRPr="00F536FA">
        <w:rPr>
          <w:rFonts w:ascii="Palatino Linotype" w:hAnsi="Palatino Linotype"/>
          <w:b/>
          <w:bCs/>
          <w:i/>
          <w:iCs/>
        </w:rPr>
        <w:t>instalaciones eléctricas</w:t>
      </w:r>
      <w:r w:rsidRPr="00F536FA">
        <w:rPr>
          <w:rFonts w:ascii="Palatino Linotype" w:hAnsi="Palatino Linotype"/>
          <w:i/>
          <w:iCs/>
        </w:rPr>
        <w:t xml:space="preserve"> conforme a lo establecido en el artículo 76 del presente reglamento. </w:t>
      </w:r>
    </w:p>
    <w:p w14:paraId="7FC34E91" w14:textId="7B265982" w:rsidR="006D62F6" w:rsidRPr="00F536FA" w:rsidRDefault="006D62F6" w:rsidP="006D62F6">
      <w:pPr>
        <w:tabs>
          <w:tab w:val="left" w:pos="426"/>
        </w:tabs>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VI.</w:t>
      </w:r>
      <w:r w:rsidRPr="00F536FA">
        <w:rPr>
          <w:rFonts w:ascii="Palatino Linotype" w:hAnsi="Palatino Linotype"/>
          <w:i/>
          <w:iCs/>
        </w:rPr>
        <w:t xml:space="preserve"> </w:t>
      </w:r>
      <w:r w:rsidRPr="00F536FA">
        <w:rPr>
          <w:rFonts w:ascii="Palatino Linotype" w:hAnsi="Palatino Linotype"/>
          <w:b/>
          <w:bCs/>
          <w:i/>
          <w:iCs/>
        </w:rPr>
        <w:t>Señalamientos</w:t>
      </w:r>
      <w:r w:rsidRPr="00F536FA">
        <w:rPr>
          <w:rFonts w:ascii="Palatino Linotype" w:hAnsi="Palatino Linotype"/>
          <w:i/>
          <w:iCs/>
        </w:rPr>
        <w:t xml:space="preserve"> de carácter preventivo, prohibitivo, de obligación e informativo de emergencia de conformidad a lo establecido en el artículo 71 del presente reglamento”</w:t>
      </w:r>
    </w:p>
    <w:p w14:paraId="0944B9F4" w14:textId="61C20EB6" w:rsidR="00B3732B" w:rsidRPr="00F536FA" w:rsidRDefault="00B3732B" w:rsidP="006D62F6">
      <w:pPr>
        <w:tabs>
          <w:tab w:val="left" w:pos="426"/>
        </w:tabs>
        <w:spacing w:after="0" w:line="276" w:lineRule="auto"/>
        <w:ind w:left="567" w:right="567"/>
        <w:contextualSpacing/>
        <w:jc w:val="both"/>
        <w:rPr>
          <w:rFonts w:ascii="Palatino Linotype" w:hAnsi="Palatino Linotype" w:cs="Arial"/>
          <w:color w:val="000000" w:themeColor="text1"/>
          <w:sz w:val="24"/>
        </w:rPr>
      </w:pPr>
      <w:r w:rsidRPr="00F536FA">
        <w:rPr>
          <w:rFonts w:ascii="Palatino Linotype" w:hAnsi="Palatino Linotype"/>
        </w:rPr>
        <w:t>(Énfasis añadido)</w:t>
      </w:r>
    </w:p>
    <w:p w14:paraId="4F50F0C3" w14:textId="77777777" w:rsidR="006D62F6" w:rsidRPr="00F536FA" w:rsidRDefault="006D62F6"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6714F935" w14:textId="3FC6BA9B" w:rsidR="00CC511D" w:rsidRPr="00F536FA" w:rsidRDefault="00B3732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De lo anterior se aprecia que los juegos mecánicos deberán instalarse en lugares específicos, que se encuentren alejados de hospitales, sanatorios, gasolineras, líneas de alta tensión, entre otras; asimismo, se deberá de contar con una póliza de seguro, equipo contra incendios, botiquín de primeros auxilios, planta de luz, instalaciones eléctricas y señalamientos.</w:t>
      </w:r>
    </w:p>
    <w:p w14:paraId="693F63B7"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66CAD548" w14:textId="203E21E1" w:rsidR="00CC511D" w:rsidRPr="00F536FA" w:rsidRDefault="00B3732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Continuando con el estudio del Reglamento Municipal de Protección Civil, el artículo 120 refiere que requieren dictámenes de Protección Civil expedido por la Secretaria General de Gobierno las construcciones que produzcan un impacto regional sobre la infraestructura, equipamiento urbano y los servicios públicos en los términos previstos en el artículo 5.61 del Libro Quinto del Código Administrativo del Estado de México</w:t>
      </w:r>
      <w:r w:rsidRPr="00F536FA">
        <w:rPr>
          <w:rStyle w:val="Refdenotaalpie"/>
          <w:rFonts w:ascii="Palatino Linotype" w:hAnsi="Palatino Linotype" w:cs="Arial"/>
          <w:color w:val="000000" w:themeColor="text1"/>
          <w:sz w:val="24"/>
        </w:rPr>
        <w:footnoteReference w:id="6"/>
      </w:r>
      <w:r w:rsidRPr="00F536FA">
        <w:rPr>
          <w:rFonts w:ascii="Palatino Linotype" w:hAnsi="Palatino Linotype" w:cs="Arial"/>
          <w:color w:val="000000" w:themeColor="text1"/>
          <w:sz w:val="24"/>
        </w:rPr>
        <w:t>. Por su parte, el numeral 122 refiere que requieren autorización de la Secretaria General de Gobierno las actividades que pudieran generar fenómenos perturbadores de cualquier tipo.</w:t>
      </w:r>
    </w:p>
    <w:p w14:paraId="4363F1A3"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1863B2C8" w14:textId="03307776" w:rsidR="00CC511D" w:rsidRPr="00F536FA" w:rsidRDefault="00B3732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otro lado, el artículo 123 de la norma de mérito refiere que </w:t>
      </w:r>
      <w:r w:rsidRPr="00F536FA">
        <w:rPr>
          <w:rFonts w:ascii="Palatino Linotype" w:hAnsi="Palatino Linotype" w:cs="Arial"/>
          <w:b/>
          <w:bCs/>
          <w:color w:val="000000" w:themeColor="text1"/>
          <w:sz w:val="24"/>
        </w:rPr>
        <w:t>la Unidad Municipal de Protección y Bomberos, emitirá los dictámenes, resoluciones de las medidas de seguridad, de factibilidad, vistos buenos y opiniones favorables</w:t>
      </w:r>
      <w:r w:rsidRPr="00F536FA">
        <w:rPr>
          <w:rFonts w:ascii="Palatino Linotype" w:hAnsi="Palatino Linotype" w:cs="Arial"/>
          <w:color w:val="000000" w:themeColor="text1"/>
          <w:sz w:val="24"/>
        </w:rPr>
        <w:t xml:space="preserve"> cuando legalmente este obligada a hacerlo y </w:t>
      </w:r>
      <w:r w:rsidRPr="00F536FA">
        <w:rPr>
          <w:rFonts w:ascii="Palatino Linotype" w:hAnsi="Palatino Linotype" w:cs="Arial"/>
          <w:b/>
          <w:bCs/>
          <w:color w:val="000000" w:themeColor="text1"/>
          <w:sz w:val="24"/>
        </w:rPr>
        <w:t xml:space="preserve">dentro de los </w:t>
      </w:r>
      <w:proofErr w:type="spellStart"/>
      <w:r w:rsidRPr="00F536FA">
        <w:rPr>
          <w:rFonts w:ascii="Palatino Linotype" w:hAnsi="Palatino Linotype" w:cs="Arial"/>
          <w:b/>
          <w:bCs/>
          <w:color w:val="000000" w:themeColor="text1"/>
          <w:sz w:val="24"/>
        </w:rPr>
        <w:t>tramites</w:t>
      </w:r>
      <w:proofErr w:type="spellEnd"/>
      <w:r w:rsidRPr="00F536FA">
        <w:rPr>
          <w:rFonts w:ascii="Palatino Linotype" w:hAnsi="Palatino Linotype" w:cs="Arial"/>
          <w:b/>
          <w:bCs/>
          <w:color w:val="000000" w:themeColor="text1"/>
          <w:sz w:val="24"/>
        </w:rPr>
        <w:t xml:space="preserve"> municipales que se realicen para obtener</w:t>
      </w:r>
      <w:r w:rsidRPr="00F536FA">
        <w:rPr>
          <w:rFonts w:ascii="Palatino Linotype" w:hAnsi="Palatino Linotype" w:cs="Arial"/>
          <w:color w:val="000000" w:themeColor="text1"/>
          <w:sz w:val="24"/>
        </w:rPr>
        <w:t xml:space="preserve">, permisos de construcción, de demolición, </w:t>
      </w:r>
      <w:r w:rsidRPr="00F536FA">
        <w:rPr>
          <w:rFonts w:ascii="Palatino Linotype" w:hAnsi="Palatino Linotype" w:cs="Arial"/>
          <w:b/>
          <w:bCs/>
          <w:color w:val="000000" w:themeColor="text1"/>
          <w:sz w:val="24"/>
        </w:rPr>
        <w:t xml:space="preserve">licencias de usos de suelo, licencias de funcionamiento comercial y demás tramites en los que </w:t>
      </w:r>
      <w:r w:rsidRPr="00F536FA">
        <w:rPr>
          <w:rFonts w:ascii="Palatino Linotype" w:hAnsi="Palatino Linotype" w:cs="Arial"/>
          <w:color w:val="000000" w:themeColor="text1"/>
          <w:sz w:val="24"/>
        </w:rPr>
        <w:t xml:space="preserve">en los diversos Reglamentos Municipales </w:t>
      </w:r>
      <w:r w:rsidRPr="00F536FA">
        <w:rPr>
          <w:rFonts w:ascii="Palatino Linotype" w:hAnsi="Palatino Linotype" w:cs="Arial"/>
          <w:b/>
          <w:bCs/>
          <w:color w:val="000000" w:themeColor="text1"/>
          <w:sz w:val="24"/>
        </w:rPr>
        <w:t>determinen como requisito la emisión y presentación de un dictamen o resolución e factibilidad</w:t>
      </w:r>
      <w:r w:rsidRPr="00F536FA">
        <w:rPr>
          <w:rFonts w:ascii="Palatino Linotype" w:hAnsi="Palatino Linotype" w:cs="Arial"/>
          <w:color w:val="000000" w:themeColor="text1"/>
          <w:sz w:val="24"/>
        </w:rPr>
        <w:t xml:space="preserve"> en el cual se determine la viabilidad de lo solicitado.</w:t>
      </w:r>
    </w:p>
    <w:p w14:paraId="00389DE5"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69A9FBF4" w14:textId="0B60727E" w:rsidR="00CC511D" w:rsidRPr="00F536FA" w:rsidRDefault="00B3732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Así las cosas, se advierte que la colocación de juegos mecánicos en la explanada del </w:t>
      </w:r>
      <w:r w:rsidR="000753C0" w:rsidRPr="00F536FA">
        <w:rPr>
          <w:rFonts w:ascii="Palatino Linotype" w:hAnsi="Palatino Linotype" w:cs="Arial"/>
          <w:color w:val="000000" w:themeColor="text1"/>
          <w:sz w:val="24"/>
        </w:rPr>
        <w:t>Municipio</w:t>
      </w:r>
      <w:r w:rsidRPr="00F536FA">
        <w:rPr>
          <w:rFonts w:ascii="Palatino Linotype" w:hAnsi="Palatino Linotype" w:cs="Arial"/>
          <w:color w:val="000000" w:themeColor="text1"/>
          <w:sz w:val="24"/>
        </w:rPr>
        <w:t xml:space="preserve"> forzosamente debió atender lo dispuesto por el Reglamento Municipal de Protección Civil de Ixtlahuaca, siguiendo los criterios de ubicación y contar con los elementos esenciales para funcionar, como lo es contar con un seguro, botiquines, señalamientos, etcétera.</w:t>
      </w:r>
    </w:p>
    <w:p w14:paraId="0EA58806"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79CBD65E" w14:textId="267CDCC3" w:rsidR="00CC511D" w:rsidRPr="00F536FA" w:rsidRDefault="00B3732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lo anterior,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advierte que este tipo de actividades </w:t>
      </w:r>
      <w:r w:rsidRPr="00F536FA">
        <w:rPr>
          <w:rFonts w:ascii="Palatino Linotype" w:hAnsi="Palatino Linotype" w:cs="Arial"/>
          <w:i/>
          <w:iCs/>
          <w:color w:val="000000" w:themeColor="text1"/>
          <w:sz w:val="24"/>
        </w:rPr>
        <w:t>a fortiori</w:t>
      </w:r>
      <w:r w:rsidRPr="00F536FA">
        <w:rPr>
          <w:rFonts w:ascii="Palatino Linotype" w:hAnsi="Palatino Linotype" w:cs="Arial"/>
          <w:color w:val="000000" w:themeColor="text1"/>
          <w:sz w:val="24"/>
        </w:rPr>
        <w:t xml:space="preserve"> necesitan de la emisión de un Visto Bueno, dictamen o permiso de funcionamiento que avale </w:t>
      </w:r>
      <w:r w:rsidR="007A098C" w:rsidRPr="00F536FA">
        <w:rPr>
          <w:rFonts w:ascii="Palatino Linotype" w:hAnsi="Palatino Linotype" w:cs="Arial"/>
          <w:color w:val="000000" w:themeColor="text1"/>
          <w:sz w:val="24"/>
        </w:rPr>
        <w:t>la adecuada instalación de los juegos mecánicos en la Feria Ixtlahuaca 2015-2019 y, que las áreas administrativas que por la naturaleza de sus atribuciones deben conocer respecto de estos permisos, son la Secretaría General de Gobierno y la Coordinación Municipal de Protección Civil y Bomberos.</w:t>
      </w:r>
    </w:p>
    <w:p w14:paraId="24DA7952"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30DA18C2" w14:textId="29A6BD05" w:rsidR="00CC511D" w:rsidRPr="00F536FA" w:rsidRDefault="007A098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Consecuencia de lo anterior,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determina conforme a derecho </w:t>
      </w:r>
      <w:r w:rsidRPr="00F536FA">
        <w:rPr>
          <w:rFonts w:ascii="Palatino Linotype" w:hAnsi="Palatino Linotype" w:cs="Arial"/>
          <w:b/>
          <w:bCs/>
          <w:color w:val="000000" w:themeColor="text1"/>
          <w:sz w:val="24"/>
        </w:rPr>
        <w:t>ordenar</w:t>
      </w:r>
      <w:r w:rsidRPr="00F536FA">
        <w:rPr>
          <w:rFonts w:ascii="Palatino Linotype" w:hAnsi="Palatino Linotype" w:cs="Arial"/>
          <w:color w:val="000000" w:themeColor="text1"/>
          <w:sz w:val="24"/>
        </w:rPr>
        <w:t xml:space="preserve"> al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realice una búsqueda exhaustiva y razonable en sus archivos a efecto de entregar al </w:t>
      </w:r>
      <w:r w:rsidRPr="00F536FA">
        <w:rPr>
          <w:rFonts w:ascii="Palatino Linotype" w:hAnsi="Palatino Linotype" w:cs="Arial"/>
          <w:b/>
          <w:bCs/>
          <w:color w:val="000000" w:themeColor="text1"/>
          <w:sz w:val="24"/>
        </w:rPr>
        <w:t>RECURRENTE</w:t>
      </w:r>
      <w:r w:rsidRPr="00F536FA">
        <w:rPr>
          <w:rFonts w:ascii="Palatino Linotype" w:hAnsi="Palatino Linotype" w:cs="Arial"/>
          <w:color w:val="000000" w:themeColor="text1"/>
          <w:sz w:val="24"/>
        </w:rPr>
        <w:t xml:space="preserve"> los documentos donde consten los permisos de funcionamiento de los juegos mecánicos de la Feria de Ixtlahuaca de los años 2015, 2016, 2017, 2018 y 2019, de ser procedente en versión pública.</w:t>
      </w:r>
    </w:p>
    <w:p w14:paraId="2AC4EA4F" w14:textId="77777777" w:rsidR="00CC511D" w:rsidRPr="00F536FA" w:rsidRDefault="00CC511D" w:rsidP="00CC511D">
      <w:pPr>
        <w:tabs>
          <w:tab w:val="left" w:pos="426"/>
        </w:tabs>
        <w:spacing w:after="0" w:line="360" w:lineRule="auto"/>
        <w:ind w:right="49"/>
        <w:contextualSpacing/>
        <w:jc w:val="both"/>
        <w:rPr>
          <w:rFonts w:ascii="Palatino Linotype" w:hAnsi="Palatino Linotype" w:cs="Arial"/>
          <w:color w:val="000000" w:themeColor="text1"/>
          <w:sz w:val="24"/>
        </w:rPr>
      </w:pPr>
    </w:p>
    <w:p w14:paraId="3DFC6DDD" w14:textId="31FAB0BC" w:rsidR="00CC511D" w:rsidRPr="00F536FA" w:rsidRDefault="007A098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otro lado, por cuanto hace a los contratos o convenios que establezcan el permiso de instalación de los juegos mecánicos,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compartió el contrato de comodato celebrado por el Ayuntamiento de Ixtlahuaca y el </w:t>
      </w:r>
      <w:r w:rsidRPr="00F536FA">
        <w:rPr>
          <w:rFonts w:ascii="Palatino Linotype" w:hAnsi="Palatino Linotype" w:cs="Arial"/>
          <w:i/>
          <w:iCs/>
          <w:color w:val="000000" w:themeColor="text1"/>
          <w:sz w:val="24"/>
        </w:rPr>
        <w:t>C. Germán Aguilar Jiménez</w:t>
      </w:r>
      <w:r w:rsidRPr="00F536FA">
        <w:rPr>
          <w:rFonts w:ascii="Palatino Linotype" w:hAnsi="Palatino Linotype" w:cs="Arial"/>
          <w:color w:val="000000" w:themeColor="text1"/>
          <w:sz w:val="24"/>
        </w:rPr>
        <w:t xml:space="preserve">, prestador de juegos mecánicos de feria, relativo al uso </w:t>
      </w:r>
      <w:r w:rsidRPr="00F536FA">
        <w:rPr>
          <w:rFonts w:ascii="Palatino Linotype" w:hAnsi="Palatino Linotype" w:cs="Arial"/>
          <w:color w:val="000000" w:themeColor="text1"/>
          <w:sz w:val="24"/>
        </w:rPr>
        <w:lastRenderedPageBreak/>
        <w:t xml:space="preserve">gratuito de la explanada del recinto ferial, destinado para la promoción, difusión y realización de eventos públicos y culturales, </w:t>
      </w:r>
      <w:r w:rsidRPr="00F536FA">
        <w:rPr>
          <w:rFonts w:ascii="Palatino Linotype" w:hAnsi="Palatino Linotype" w:cs="Arial"/>
          <w:b/>
          <w:bCs/>
          <w:color w:val="000000" w:themeColor="text1"/>
          <w:sz w:val="24"/>
        </w:rPr>
        <w:t>así como la instalación de juegos mecánicos de feria</w:t>
      </w:r>
      <w:r w:rsidRPr="00F536FA">
        <w:rPr>
          <w:rFonts w:ascii="Palatino Linotype" w:hAnsi="Palatino Linotype" w:cs="Arial"/>
          <w:color w:val="000000" w:themeColor="text1"/>
          <w:sz w:val="24"/>
        </w:rPr>
        <w:t>, suscrito el uno (01) de agosto de dos mil diecinueve.</w:t>
      </w:r>
    </w:p>
    <w:p w14:paraId="40EFFEDB" w14:textId="77777777" w:rsidR="007A098C" w:rsidRPr="00F536FA" w:rsidRDefault="007A098C" w:rsidP="007A098C">
      <w:pPr>
        <w:tabs>
          <w:tab w:val="left" w:pos="426"/>
        </w:tabs>
        <w:spacing w:after="0" w:line="360" w:lineRule="auto"/>
        <w:ind w:right="49"/>
        <w:contextualSpacing/>
        <w:jc w:val="both"/>
        <w:rPr>
          <w:rFonts w:ascii="Palatino Linotype" w:hAnsi="Palatino Linotype" w:cs="Arial"/>
          <w:color w:val="000000" w:themeColor="text1"/>
          <w:sz w:val="24"/>
        </w:rPr>
      </w:pPr>
    </w:p>
    <w:p w14:paraId="09A9DDDF" w14:textId="45515FDD" w:rsidR="00CC511D" w:rsidRPr="00F536FA" w:rsidRDefault="007A098C"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 tal guisa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la información relacionada con el ejercicio 2019 de la Feria de Ixtlahuaca, empero, únicamente señaló que no se había </w:t>
      </w:r>
      <w:r w:rsidR="00E6523F" w:rsidRPr="00F536FA">
        <w:rPr>
          <w:rFonts w:ascii="Palatino Linotype" w:hAnsi="Palatino Linotype" w:cs="Arial"/>
          <w:color w:val="000000" w:themeColor="text1"/>
          <w:sz w:val="24"/>
        </w:rPr>
        <w:t>localizado ningún documento de los ejercicios 2015-2018, sin referir la causa.</w:t>
      </w:r>
    </w:p>
    <w:p w14:paraId="1DB32719" w14:textId="77777777" w:rsidR="00C5364C" w:rsidRPr="00F536FA" w:rsidRDefault="00C5364C" w:rsidP="00C5364C">
      <w:pPr>
        <w:tabs>
          <w:tab w:val="left" w:pos="426"/>
        </w:tabs>
        <w:spacing w:after="0" w:line="360" w:lineRule="auto"/>
        <w:ind w:right="49"/>
        <w:contextualSpacing/>
        <w:jc w:val="both"/>
        <w:rPr>
          <w:rFonts w:ascii="Palatino Linotype" w:hAnsi="Palatino Linotype" w:cs="Arial"/>
          <w:color w:val="000000" w:themeColor="text1"/>
          <w:sz w:val="24"/>
        </w:rPr>
      </w:pPr>
    </w:p>
    <w:p w14:paraId="2B56B1E0" w14:textId="191DCD1E" w:rsidR="00AA24D3" w:rsidRPr="00F536FA" w:rsidRDefault="000F545A" w:rsidP="00581371">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ese sentido, es </w:t>
      </w:r>
      <w:r w:rsidR="000B3229" w:rsidRPr="00F536FA">
        <w:rPr>
          <w:rFonts w:ascii="Palatino Linotype" w:hAnsi="Palatino Linotype" w:cs="Arial"/>
          <w:color w:val="000000" w:themeColor="text1"/>
          <w:sz w:val="24"/>
        </w:rPr>
        <w:t>esencial</w:t>
      </w:r>
      <w:r w:rsidRPr="00F536FA">
        <w:rPr>
          <w:rFonts w:ascii="Palatino Linotype" w:hAnsi="Palatino Linotype" w:cs="Arial"/>
          <w:color w:val="000000" w:themeColor="text1"/>
          <w:sz w:val="24"/>
        </w:rPr>
        <w:t xml:space="preserve"> señalar que la naturaleza de un contrato de </w:t>
      </w:r>
      <w:r w:rsidR="000B3229" w:rsidRPr="00F536FA">
        <w:rPr>
          <w:rFonts w:ascii="Palatino Linotype" w:hAnsi="Palatino Linotype" w:cs="Arial"/>
          <w:color w:val="000000" w:themeColor="text1"/>
          <w:sz w:val="24"/>
        </w:rPr>
        <w:t xml:space="preserve">adquisición de bienes o </w:t>
      </w:r>
      <w:r w:rsidRPr="00F536FA">
        <w:rPr>
          <w:rFonts w:ascii="Palatino Linotype" w:hAnsi="Palatino Linotype" w:cs="Arial"/>
          <w:color w:val="000000" w:themeColor="text1"/>
          <w:sz w:val="24"/>
        </w:rPr>
        <w:t xml:space="preserve">servicios </w:t>
      </w:r>
      <w:r w:rsidRPr="00F536FA">
        <w:rPr>
          <w:rFonts w:ascii="Palatino Linotype" w:hAnsi="Palatino Linotype" w:cs="Arial"/>
          <w:color w:val="000000" w:themeColor="text1"/>
          <w:sz w:val="24"/>
          <w:lang w:val="es-ES_tradnl"/>
        </w:rPr>
        <w:t xml:space="preserve">encuadra perfectamente como información pública de oficio que el </w:t>
      </w:r>
      <w:r w:rsidRPr="00F536FA">
        <w:rPr>
          <w:rFonts w:ascii="Palatino Linotype" w:hAnsi="Palatino Linotype" w:cs="Arial"/>
          <w:b/>
          <w:color w:val="000000" w:themeColor="text1"/>
          <w:sz w:val="24"/>
          <w:lang w:val="es-ES_tradnl"/>
        </w:rPr>
        <w:t>SUJETO OBLIGADO</w:t>
      </w:r>
      <w:r w:rsidRPr="00F536FA">
        <w:rPr>
          <w:rFonts w:ascii="Palatino Linotype" w:hAnsi="Palatino Linotype" w:cs="Arial"/>
          <w:color w:val="000000" w:themeColor="text1"/>
          <w:sz w:val="24"/>
          <w:lang w:val="es-ES_tradnl"/>
        </w:rPr>
        <w:t xml:space="preserve"> está impuesto a poner a disposición de los particulares, de conformidad con la fracción XXXII del artículo 92 de la Ley de Transparencia y Acceso a la Información Pública del Estado de México y Municipios, así como la fracción XXVII del numeral 70 de su homóloga Ley General, las cuales refieren lo siguiente:</w:t>
      </w:r>
    </w:p>
    <w:p w14:paraId="42D474A0"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center"/>
        <w:rPr>
          <w:rFonts w:ascii="Palatino Linotype" w:eastAsia="MS Gothic" w:hAnsi="Palatino Linotype" w:cs="Times New Roman"/>
          <w:b/>
          <w:i/>
          <w:szCs w:val="26"/>
        </w:rPr>
      </w:pPr>
      <w:r w:rsidRPr="00F536FA">
        <w:rPr>
          <w:rFonts w:ascii="Palatino Linotype" w:hAnsi="Palatino Linotype"/>
          <w:b/>
          <w:i/>
        </w:rPr>
        <w:t>LEY DE TRANSPARENCIA Y ACCESO A LA INFORMACIÓN PÚBLICA DEL ESTADO DE MÉXICO Y MUNICIPIOS</w:t>
      </w:r>
    </w:p>
    <w:p w14:paraId="6B8AF51D"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r w:rsidRPr="00F536FA">
        <w:rPr>
          <w:rFonts w:ascii="Palatino Linotype" w:hAnsi="Palatino Linotype"/>
          <w:b/>
          <w:i/>
        </w:rPr>
        <w:t>Artículo 92.</w:t>
      </w:r>
      <w:r w:rsidRPr="00F536F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EA5551"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p>
    <w:p w14:paraId="54D7E0F6"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F536FA">
        <w:rPr>
          <w:rFonts w:ascii="Palatino Linotype" w:hAnsi="Palatino Linotype"/>
          <w:b/>
          <w:i/>
        </w:rPr>
        <w:t>XXIX.</w:t>
      </w:r>
      <w:r w:rsidRPr="00F536FA">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8DE23B7" w14:textId="77777777" w:rsidR="000F545A" w:rsidRPr="00F536FA" w:rsidRDefault="000F545A" w:rsidP="000F545A">
      <w:pPr>
        <w:pStyle w:val="Prrafodelista"/>
        <w:tabs>
          <w:tab w:val="left" w:pos="142"/>
          <w:tab w:val="left" w:pos="284"/>
          <w:tab w:val="left" w:pos="851"/>
        </w:tabs>
        <w:spacing w:before="240" w:after="240" w:line="276" w:lineRule="auto"/>
        <w:ind w:left="709" w:right="567"/>
        <w:jc w:val="both"/>
        <w:rPr>
          <w:rFonts w:ascii="Palatino Linotype" w:hAnsi="Palatino Linotype"/>
          <w:b/>
          <w:i/>
        </w:rPr>
      </w:pPr>
      <w:r w:rsidRPr="00F536FA">
        <w:rPr>
          <w:rFonts w:ascii="Palatino Linotype" w:hAnsi="Palatino Linotype"/>
          <w:b/>
          <w:i/>
        </w:rPr>
        <w:t>a) De licitaciones públicas o procedimientos de invitación restringida:</w:t>
      </w:r>
    </w:p>
    <w:p w14:paraId="7D0D2853"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lastRenderedPageBreak/>
        <w:t>1) La convocatoria o invitación emitida, así como los fundamentos legales aplicados para llevarla a cabo;</w:t>
      </w:r>
    </w:p>
    <w:p w14:paraId="7CD0FA4D"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2) Los nombres de los participantes o invitados;</w:t>
      </w:r>
    </w:p>
    <w:p w14:paraId="781F4971"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3) El nombre del ganador y las razones que lo justifican;</w:t>
      </w:r>
    </w:p>
    <w:p w14:paraId="63515C6D"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4) El área solicitante y la responsable de su ejecución;</w:t>
      </w:r>
    </w:p>
    <w:p w14:paraId="43539C7C"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5) Las convocatorias e invitaciones emitidas;</w:t>
      </w:r>
    </w:p>
    <w:p w14:paraId="79A7278C"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6) Los dictámenes y fallo de adjudicación;</w:t>
      </w:r>
    </w:p>
    <w:p w14:paraId="1CA51248"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b/>
          <w:bCs/>
          <w:i/>
        </w:rPr>
      </w:pPr>
      <w:r w:rsidRPr="00F536FA">
        <w:rPr>
          <w:rFonts w:ascii="Palatino Linotype" w:hAnsi="Palatino Linotype"/>
          <w:b/>
          <w:bCs/>
          <w:i/>
        </w:rPr>
        <w:t>7) El contrato y, en su caso, sus anexos;</w:t>
      </w:r>
    </w:p>
    <w:p w14:paraId="03BB27B5"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8) Los mecanismos de vigilancia y supervisión, incluyendo en su caso, los estudios de impacto urbano y ambiental, según corresponda;</w:t>
      </w:r>
    </w:p>
    <w:p w14:paraId="3DEEEC2C"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9) La partida presupuestal, de conformidad con el clasificador por objeto del gasto, en el caso de ser aplicable;</w:t>
      </w:r>
    </w:p>
    <w:p w14:paraId="11E72E47"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10) Origen de los recursos especificando si son federales, estatales o municipales, así como el tipo de fondo de participación o aportación respectiva;</w:t>
      </w:r>
    </w:p>
    <w:p w14:paraId="6CE7088C"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11) Los convenios modificatorios que, en su caso, sean firmados, precisando el objeto y la fecha de celebración;</w:t>
      </w:r>
    </w:p>
    <w:p w14:paraId="763FC9E2"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12) Los informes de avance físico y financiero sobre las obras o servicios contratados;</w:t>
      </w:r>
    </w:p>
    <w:p w14:paraId="0830DA04"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13) El convenio de terminación; y</w:t>
      </w:r>
    </w:p>
    <w:p w14:paraId="5528891E" w14:textId="77777777" w:rsidR="000F545A" w:rsidRPr="00F536FA" w:rsidRDefault="000F545A" w:rsidP="000F545A">
      <w:pPr>
        <w:pStyle w:val="Prrafodelista"/>
        <w:tabs>
          <w:tab w:val="left" w:pos="142"/>
          <w:tab w:val="left" w:pos="284"/>
          <w:tab w:val="left" w:pos="709"/>
        </w:tabs>
        <w:spacing w:before="240" w:after="240" w:line="276" w:lineRule="auto"/>
        <w:ind w:left="851" w:right="567"/>
        <w:jc w:val="both"/>
        <w:rPr>
          <w:rFonts w:ascii="Palatino Linotype" w:hAnsi="Palatino Linotype"/>
          <w:i/>
        </w:rPr>
      </w:pPr>
      <w:r w:rsidRPr="00F536FA">
        <w:rPr>
          <w:rFonts w:ascii="Palatino Linotype" w:hAnsi="Palatino Linotype"/>
          <w:i/>
        </w:rPr>
        <w:t>14) El finiquito.</w:t>
      </w:r>
      <w:r w:rsidRPr="00F536FA">
        <w:rPr>
          <w:rFonts w:ascii="Palatino Linotype" w:hAnsi="Palatino Linotype"/>
          <w:i/>
        </w:rPr>
        <w:cr/>
        <w:t>(…)”</w:t>
      </w:r>
    </w:p>
    <w:p w14:paraId="0F21308C"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14:paraId="07502CE0"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center"/>
        <w:rPr>
          <w:rFonts w:ascii="Palatino Linotype" w:hAnsi="Palatino Linotype"/>
          <w:b/>
          <w:i/>
        </w:rPr>
      </w:pPr>
      <w:r w:rsidRPr="00F536FA">
        <w:rPr>
          <w:rFonts w:ascii="Palatino Linotype" w:hAnsi="Palatino Linotype"/>
          <w:b/>
          <w:i/>
        </w:rPr>
        <w:t>LEY GENERAL DE TRANSPARENCIA Y ACCESO A LA INFORMAICÓN PÚBLICA</w:t>
      </w:r>
    </w:p>
    <w:p w14:paraId="29D641D4"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F536FA">
        <w:rPr>
          <w:rFonts w:ascii="Palatino Linotype" w:hAnsi="Palatino Linotype"/>
          <w:b/>
          <w:i/>
        </w:rPr>
        <w:t>“Artículo 70.</w:t>
      </w:r>
      <w:r w:rsidRPr="00F536FA">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BA81B30"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F536FA">
        <w:rPr>
          <w:rFonts w:ascii="Palatino Linotype" w:hAnsi="Palatino Linotype"/>
          <w:i/>
        </w:rPr>
        <w:t>(…)</w:t>
      </w:r>
    </w:p>
    <w:p w14:paraId="1B27CA9E" w14:textId="77777777" w:rsidR="000F545A" w:rsidRPr="00F536FA" w:rsidRDefault="000F545A" w:rsidP="000F545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F536FA">
        <w:rPr>
          <w:rFonts w:ascii="Palatino Linotype" w:hAnsi="Palatino Linotype"/>
          <w:b/>
          <w:i/>
        </w:rPr>
        <w:t>XXVIII.</w:t>
      </w:r>
      <w:r w:rsidRPr="00F536FA">
        <w:rPr>
          <w:rFonts w:ascii="Palatino Linotype" w:hAnsi="Palatino Linotype"/>
          <w:i/>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6094E27E" w14:textId="77777777" w:rsidR="000F545A" w:rsidRPr="00F536FA" w:rsidRDefault="000F545A" w:rsidP="000F545A">
      <w:pPr>
        <w:pStyle w:val="Prrafodelista"/>
        <w:tabs>
          <w:tab w:val="left" w:pos="142"/>
          <w:tab w:val="left" w:pos="284"/>
          <w:tab w:val="left" w:pos="993"/>
        </w:tabs>
        <w:spacing w:before="240" w:after="240" w:line="276" w:lineRule="auto"/>
        <w:ind w:left="709" w:right="567"/>
        <w:jc w:val="both"/>
        <w:rPr>
          <w:rFonts w:ascii="Palatino Linotype" w:hAnsi="Palatino Linotype"/>
          <w:b/>
          <w:i/>
        </w:rPr>
      </w:pPr>
      <w:r w:rsidRPr="00F536FA">
        <w:rPr>
          <w:rFonts w:ascii="Palatino Linotype" w:hAnsi="Palatino Linotype"/>
          <w:b/>
          <w:i/>
        </w:rPr>
        <w:t>a) De licitaciones públicas o procedimientos de invitación restringida:</w:t>
      </w:r>
    </w:p>
    <w:p w14:paraId="4AC1E679"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lastRenderedPageBreak/>
        <w:t>1. La convocatoria o invitación emitida, así como los fundamentos legales aplicados para llevarla a cabo;</w:t>
      </w:r>
    </w:p>
    <w:p w14:paraId="0BB37C9D"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2. Los nombres de los participantes o invitados;</w:t>
      </w:r>
    </w:p>
    <w:p w14:paraId="7FC03F8A"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3. El nombre del ganador y las razones que lo justifican;</w:t>
      </w:r>
    </w:p>
    <w:p w14:paraId="0D528D4B"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4. El Área solicitante y la responsable de su ejecución;</w:t>
      </w:r>
    </w:p>
    <w:p w14:paraId="330328F9"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5. Las convocatorias e invitaciones emitidas;</w:t>
      </w:r>
    </w:p>
    <w:p w14:paraId="1B47B12D"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6. Los dictámenes y fallo de adjudicación;</w:t>
      </w:r>
    </w:p>
    <w:p w14:paraId="2864C139"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b/>
          <w:bCs/>
          <w:i/>
        </w:rPr>
      </w:pPr>
      <w:r w:rsidRPr="00F536FA">
        <w:rPr>
          <w:rFonts w:ascii="Palatino Linotype" w:hAnsi="Palatino Linotype"/>
          <w:b/>
          <w:bCs/>
          <w:i/>
        </w:rPr>
        <w:t>7. El contrato y, en su caso, sus anexos;</w:t>
      </w:r>
    </w:p>
    <w:p w14:paraId="3C557230"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8. Los mecanismos de vigilancia y supervisión, incluyendo, en su caso, los estudios de impacto urbano y ambiental, según corresponda;</w:t>
      </w:r>
    </w:p>
    <w:p w14:paraId="350A640B"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9. La partida presupuestal, de conformidad con el clasificador por objeto del gasto, en el caso de ser aplicable;</w:t>
      </w:r>
    </w:p>
    <w:p w14:paraId="6AACD435"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10. Origen de los recursos especificando si son federales, estatales o municipales, así como el tipo de fondo de participación o aportación respectiva;</w:t>
      </w:r>
    </w:p>
    <w:p w14:paraId="0355E9C5"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11. Los convenios modificatorios que, en su caso, sean firmados, precisando el objeto y la fecha de celebración;</w:t>
      </w:r>
    </w:p>
    <w:p w14:paraId="11F5EF5B"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12. Los informes de avance físico y financiero sobre las obras o servicios contratados;</w:t>
      </w:r>
    </w:p>
    <w:p w14:paraId="22EC1FCC"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13. El convenio de terminación, y</w:t>
      </w:r>
    </w:p>
    <w:p w14:paraId="578C8F41" w14:textId="7777777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
        </w:rPr>
      </w:pPr>
      <w:r w:rsidRPr="00F536FA">
        <w:rPr>
          <w:rFonts w:ascii="Palatino Linotype" w:hAnsi="Palatino Linotype"/>
          <w:i/>
        </w:rPr>
        <w:t>14. El finiquito;</w:t>
      </w:r>
    </w:p>
    <w:p w14:paraId="466088A7" w14:textId="694F525E"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Cs/>
        </w:rPr>
      </w:pPr>
      <w:r w:rsidRPr="00F536FA">
        <w:rPr>
          <w:rFonts w:ascii="Palatino Linotype" w:hAnsi="Palatino Linotype"/>
          <w:i/>
        </w:rPr>
        <w:t>(…)”</w:t>
      </w:r>
    </w:p>
    <w:p w14:paraId="2317CC1F" w14:textId="09215A97" w:rsidR="000F545A" w:rsidRPr="00F536FA" w:rsidRDefault="000F545A" w:rsidP="000F545A">
      <w:pPr>
        <w:pStyle w:val="Prrafodelista"/>
        <w:tabs>
          <w:tab w:val="left" w:pos="142"/>
          <w:tab w:val="left" w:pos="284"/>
        </w:tabs>
        <w:spacing w:before="240" w:after="240" w:line="276" w:lineRule="auto"/>
        <w:ind w:left="851" w:right="567"/>
        <w:jc w:val="both"/>
        <w:rPr>
          <w:rFonts w:ascii="Palatino Linotype" w:hAnsi="Palatino Linotype"/>
          <w:iCs/>
        </w:rPr>
      </w:pPr>
      <w:r w:rsidRPr="00F536FA">
        <w:rPr>
          <w:rFonts w:ascii="Palatino Linotype" w:hAnsi="Palatino Linotype"/>
          <w:iCs/>
        </w:rPr>
        <w:t>(Énfasis añadido)</w:t>
      </w:r>
    </w:p>
    <w:p w14:paraId="14CE911B" w14:textId="77777777" w:rsidR="000F545A" w:rsidRPr="00F536FA" w:rsidRDefault="000F545A" w:rsidP="00AA24D3">
      <w:pPr>
        <w:tabs>
          <w:tab w:val="left" w:pos="426"/>
        </w:tabs>
        <w:spacing w:after="0" w:line="360" w:lineRule="auto"/>
        <w:ind w:right="49"/>
        <w:contextualSpacing/>
        <w:jc w:val="both"/>
        <w:rPr>
          <w:rFonts w:ascii="Palatino Linotype" w:hAnsi="Palatino Linotype" w:cs="Arial"/>
          <w:color w:val="000000" w:themeColor="text1"/>
          <w:sz w:val="24"/>
        </w:rPr>
      </w:pPr>
    </w:p>
    <w:p w14:paraId="59EF3165" w14:textId="59E9FB84" w:rsidR="00AA24D3" w:rsidRPr="00F536FA" w:rsidRDefault="000F545A" w:rsidP="00581371">
      <w:pPr>
        <w:numPr>
          <w:ilvl w:val="0"/>
          <w:numId w:val="2"/>
        </w:numPr>
        <w:tabs>
          <w:tab w:val="left" w:pos="426"/>
        </w:tabs>
        <w:spacing w:after="0" w:line="360" w:lineRule="auto"/>
        <w:ind w:left="0" w:right="49" w:firstLine="0"/>
        <w:contextualSpacing/>
        <w:jc w:val="both"/>
        <w:rPr>
          <w:rFonts w:ascii="Palatino Linotype" w:hAnsi="Palatino Linotype" w:cs="Arial"/>
          <w:iCs/>
          <w:color w:val="000000" w:themeColor="text1"/>
          <w:sz w:val="24"/>
        </w:rPr>
      </w:pPr>
      <w:r w:rsidRPr="00F536FA">
        <w:rPr>
          <w:rFonts w:ascii="Palatino Linotype" w:hAnsi="Palatino Linotype" w:cs="Arial"/>
          <w:color w:val="000000" w:themeColor="text1"/>
          <w:sz w:val="24"/>
        </w:rPr>
        <w:t xml:space="preserve">Los dispositivos legales anteriormente referidos, señalan </w:t>
      </w:r>
      <w:r w:rsidR="00F71E93" w:rsidRPr="00F536FA">
        <w:rPr>
          <w:rFonts w:ascii="Palatino Linotype" w:hAnsi="Palatino Linotype" w:cs="Arial"/>
          <w:color w:val="000000" w:themeColor="text1"/>
          <w:sz w:val="24"/>
        </w:rPr>
        <w:t xml:space="preserve">que toda la </w:t>
      </w:r>
      <w:r w:rsidR="00F71E93" w:rsidRPr="00F536FA">
        <w:rPr>
          <w:rFonts w:ascii="Palatino Linotype" w:hAnsi="Palatino Linotype" w:cs="Arial"/>
          <w:iCs/>
          <w:color w:val="000000" w:themeColor="text1"/>
          <w:sz w:val="24"/>
        </w:rPr>
        <w:t xml:space="preserve">información relativa a los resultados sobre procedimientos de adjudicación directa, invitación restringida y/o licitación de cualquier naturaleza, </w:t>
      </w:r>
      <w:r w:rsidR="00F71E93" w:rsidRPr="00F536FA">
        <w:rPr>
          <w:rFonts w:ascii="Palatino Linotype" w:hAnsi="Palatino Linotype" w:cs="Arial"/>
          <w:b/>
          <w:bCs/>
          <w:iCs/>
          <w:color w:val="000000" w:themeColor="text1"/>
          <w:sz w:val="24"/>
        </w:rPr>
        <w:t>incluyendo los contratos celebrados</w:t>
      </w:r>
      <w:r w:rsidR="00F71E93" w:rsidRPr="00F536FA">
        <w:rPr>
          <w:rFonts w:ascii="Palatino Linotype" w:hAnsi="Palatino Linotype" w:cs="Arial"/>
          <w:iCs/>
          <w:color w:val="000000" w:themeColor="text1"/>
          <w:sz w:val="24"/>
        </w:rPr>
        <w:t xml:space="preserve">, deberá ponerse a disposición de la ciudadanía al ser información de interés público en el tenor de que cualquier tipo de contratación que realice el </w:t>
      </w:r>
      <w:r w:rsidR="00F71E93" w:rsidRPr="00F536FA">
        <w:rPr>
          <w:rFonts w:ascii="Palatino Linotype" w:hAnsi="Palatino Linotype" w:cs="Arial"/>
          <w:b/>
          <w:bCs/>
          <w:iCs/>
          <w:color w:val="000000" w:themeColor="text1"/>
          <w:sz w:val="24"/>
        </w:rPr>
        <w:t>SUJETO OBLIGADO</w:t>
      </w:r>
      <w:r w:rsidR="00F71E93" w:rsidRPr="00F536FA">
        <w:rPr>
          <w:rFonts w:ascii="Palatino Linotype" w:hAnsi="Palatino Linotype" w:cs="Arial"/>
          <w:iCs/>
          <w:color w:val="000000" w:themeColor="text1"/>
          <w:sz w:val="24"/>
        </w:rPr>
        <w:t xml:space="preserve"> presupone el uso y disposición del erario público, en consecuencia, debe mantener procesos transparentes en la erogación de las arcas públicas.</w:t>
      </w:r>
    </w:p>
    <w:p w14:paraId="60088DC2" w14:textId="77777777" w:rsidR="00AA24D3" w:rsidRPr="00F536FA" w:rsidRDefault="00AA24D3" w:rsidP="00AA24D3">
      <w:pPr>
        <w:tabs>
          <w:tab w:val="left" w:pos="426"/>
        </w:tabs>
        <w:spacing w:after="0" w:line="360" w:lineRule="auto"/>
        <w:ind w:right="49"/>
        <w:contextualSpacing/>
        <w:jc w:val="both"/>
        <w:rPr>
          <w:rFonts w:ascii="Palatino Linotype" w:hAnsi="Palatino Linotype" w:cs="Arial"/>
          <w:color w:val="000000" w:themeColor="text1"/>
          <w:sz w:val="24"/>
        </w:rPr>
      </w:pPr>
    </w:p>
    <w:p w14:paraId="3A150782" w14:textId="45D6CB55" w:rsidR="00E6523F" w:rsidRPr="00F536FA" w:rsidRDefault="00764115"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Consecuencia de lo anterior, este Órgano Garante determina </w:t>
      </w:r>
      <w:r w:rsidRPr="00F536FA">
        <w:rPr>
          <w:rFonts w:ascii="Palatino Linotype" w:eastAsia="MS Mincho" w:hAnsi="Palatino Linotype" w:cs="Times New Roman"/>
          <w:b/>
          <w:sz w:val="24"/>
          <w:szCs w:val="24"/>
          <w:lang w:val="es-ES_tradnl" w:eastAsia="es-ES"/>
        </w:rPr>
        <w:t xml:space="preserve">ordenar </w:t>
      </w:r>
      <w:r w:rsidRPr="00F536FA">
        <w:rPr>
          <w:rFonts w:ascii="Palatino Linotype" w:eastAsia="MS Mincho" w:hAnsi="Palatino Linotype" w:cs="Times New Roman"/>
          <w:bCs/>
          <w:sz w:val="24"/>
          <w:szCs w:val="24"/>
          <w:lang w:val="es-ES_tradnl" w:eastAsia="es-ES"/>
        </w:rPr>
        <w:t xml:space="preserve">al </w:t>
      </w:r>
      <w:r w:rsidRPr="00F536FA">
        <w:rPr>
          <w:rFonts w:ascii="Palatino Linotype" w:eastAsia="MS Mincho" w:hAnsi="Palatino Linotype" w:cs="Times New Roman"/>
          <w:b/>
          <w:sz w:val="24"/>
          <w:szCs w:val="24"/>
          <w:lang w:val="es-ES_tradnl" w:eastAsia="es-ES"/>
        </w:rPr>
        <w:t>SUJETO OBLIGADO,</w:t>
      </w:r>
      <w:r w:rsidRPr="00F536FA">
        <w:rPr>
          <w:rFonts w:ascii="Palatino Linotype" w:eastAsia="MS Mincho" w:hAnsi="Palatino Linotype" w:cs="Times New Roman"/>
          <w:sz w:val="24"/>
          <w:szCs w:val="24"/>
          <w:lang w:val="es-ES_tradnl" w:eastAsia="es-ES"/>
        </w:rPr>
        <w:t xml:space="preserve"> entregar</w:t>
      </w:r>
      <w:r w:rsidR="000B3229" w:rsidRPr="00F536FA">
        <w:rPr>
          <w:rFonts w:ascii="Palatino Linotype" w:eastAsia="MS Mincho" w:hAnsi="Palatino Linotype" w:cs="Times New Roman"/>
          <w:sz w:val="24"/>
          <w:szCs w:val="24"/>
          <w:lang w:val="es-ES_tradnl" w:eastAsia="es-ES"/>
        </w:rPr>
        <w:t>, en versión pública, todos</w:t>
      </w:r>
      <w:r w:rsidRPr="00F536FA">
        <w:rPr>
          <w:rFonts w:ascii="Palatino Linotype" w:eastAsia="MS Mincho" w:hAnsi="Palatino Linotype" w:cs="Times New Roman"/>
          <w:sz w:val="24"/>
          <w:szCs w:val="24"/>
          <w:lang w:val="es-ES_tradnl" w:eastAsia="es-ES"/>
        </w:rPr>
        <w:t xml:space="preserve"> </w:t>
      </w:r>
      <w:r w:rsidR="000B3229" w:rsidRPr="00F536FA">
        <w:rPr>
          <w:rFonts w:ascii="Palatino Linotype" w:eastAsia="MS Mincho" w:hAnsi="Palatino Linotype" w:cs="Times New Roman"/>
          <w:sz w:val="24"/>
          <w:szCs w:val="24"/>
          <w:lang w:val="es-ES_tradnl" w:eastAsia="es-ES"/>
        </w:rPr>
        <w:t>los contratos</w:t>
      </w:r>
      <w:r w:rsidR="00E6523F" w:rsidRPr="00F536FA">
        <w:rPr>
          <w:rFonts w:ascii="Palatino Linotype" w:eastAsia="MS Mincho" w:hAnsi="Palatino Linotype" w:cs="Times New Roman"/>
          <w:sz w:val="24"/>
          <w:szCs w:val="24"/>
          <w:lang w:val="es-ES_tradnl" w:eastAsia="es-ES"/>
        </w:rPr>
        <w:t xml:space="preserve"> o convenios</w:t>
      </w:r>
      <w:r w:rsidR="000B3229" w:rsidRPr="00F536FA">
        <w:rPr>
          <w:rFonts w:ascii="Palatino Linotype" w:eastAsia="MS Mincho" w:hAnsi="Palatino Linotype" w:cs="Times New Roman"/>
          <w:sz w:val="24"/>
          <w:szCs w:val="24"/>
          <w:lang w:val="es-ES_tradnl" w:eastAsia="es-ES"/>
        </w:rPr>
        <w:t xml:space="preserve"> celebrados con personas físicas </w:t>
      </w:r>
      <w:r w:rsidR="00E6523F" w:rsidRPr="00F536FA">
        <w:rPr>
          <w:rFonts w:ascii="Palatino Linotype" w:eastAsia="MS Mincho" w:hAnsi="Palatino Linotype" w:cs="Times New Roman"/>
          <w:sz w:val="24"/>
          <w:szCs w:val="24"/>
          <w:lang w:val="es-ES_tradnl" w:eastAsia="es-ES"/>
        </w:rPr>
        <w:t>o</w:t>
      </w:r>
      <w:r w:rsidR="000B3229" w:rsidRPr="00F536FA">
        <w:rPr>
          <w:rFonts w:ascii="Palatino Linotype" w:eastAsia="MS Mincho" w:hAnsi="Palatino Linotype" w:cs="Times New Roman"/>
          <w:sz w:val="24"/>
          <w:szCs w:val="24"/>
          <w:lang w:val="es-ES_tradnl" w:eastAsia="es-ES"/>
        </w:rPr>
        <w:t xml:space="preserve"> jurídico colectivas </w:t>
      </w:r>
      <w:r w:rsidR="00E6523F" w:rsidRPr="00F536FA">
        <w:rPr>
          <w:rFonts w:ascii="Palatino Linotype" w:eastAsia="MS Mincho" w:hAnsi="Palatino Linotype" w:cs="Times New Roman"/>
          <w:sz w:val="24"/>
          <w:szCs w:val="24"/>
          <w:lang w:val="es-ES_tradnl" w:eastAsia="es-ES"/>
        </w:rPr>
        <w:t>por concepto de la instalación de juegos mecánicos en la Feria Ixtlahuaca en sus ediciones 2015, 2016, 2017 y 2018</w:t>
      </w:r>
      <w:r w:rsidR="000B3229" w:rsidRPr="00F536FA">
        <w:rPr>
          <w:rFonts w:ascii="Palatino Linotype" w:eastAsia="MS Mincho" w:hAnsi="Palatino Linotype" w:cs="Times New Roman"/>
          <w:sz w:val="24"/>
          <w:szCs w:val="24"/>
          <w:lang w:val="es-ES_tradnl" w:eastAsia="es-ES"/>
        </w:rPr>
        <w:t>.</w:t>
      </w:r>
    </w:p>
    <w:p w14:paraId="37F3A4AB" w14:textId="4ACB313C"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702CAF46" w14:textId="17C5974D" w:rsidR="005128EF" w:rsidRPr="00F536FA" w:rsidRDefault="005128EF" w:rsidP="005128EF">
      <w:pPr>
        <w:pStyle w:val="Ttulo3"/>
        <w:rPr>
          <w:rFonts w:ascii="Palatino Linotype" w:hAnsi="Palatino Linotype" w:cs="Arial"/>
          <w:b/>
          <w:bCs/>
          <w:color w:val="000000" w:themeColor="text1"/>
        </w:rPr>
      </w:pPr>
      <w:bookmarkStart w:id="32" w:name="_Toc54316036"/>
      <w:r w:rsidRPr="00F536FA">
        <w:rPr>
          <w:rFonts w:ascii="Palatino Linotype" w:hAnsi="Palatino Linotype" w:cs="Arial"/>
          <w:b/>
          <w:bCs/>
          <w:color w:val="000000" w:themeColor="text1"/>
        </w:rPr>
        <w:t>III.II Del costo de realización.</w:t>
      </w:r>
      <w:bookmarkEnd w:id="32"/>
    </w:p>
    <w:p w14:paraId="0E19E455" w14:textId="77777777" w:rsidR="005128EF" w:rsidRPr="00F536FA" w:rsidRDefault="005128EF" w:rsidP="00E6523F">
      <w:pPr>
        <w:spacing w:after="0" w:line="360" w:lineRule="auto"/>
        <w:ind w:right="49"/>
        <w:contextualSpacing/>
        <w:jc w:val="both"/>
        <w:rPr>
          <w:rFonts w:ascii="Palatino Linotype" w:hAnsi="Palatino Linotype" w:cs="Arial"/>
          <w:color w:val="000000" w:themeColor="text1"/>
          <w:sz w:val="24"/>
        </w:rPr>
      </w:pPr>
    </w:p>
    <w:p w14:paraId="1B54206F" w14:textId="309586A5" w:rsidR="005128EF" w:rsidRPr="00F536FA" w:rsidRDefault="005128EF" w:rsidP="005128E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Toca el turno de analizar el requerimiento relacionado con conocer el costo de la realización de la Feria de Ixtlahuaca de los años 2015, 2016, 2017, 2018 y 2019. Al respecto, el </w:t>
      </w:r>
      <w:r w:rsidRPr="00F536FA">
        <w:rPr>
          <w:rFonts w:ascii="Palatino Linotype" w:hAnsi="Palatino Linotype" w:cs="Arial"/>
          <w:b/>
          <w:bCs/>
          <w:color w:val="000000" w:themeColor="text1"/>
          <w:sz w:val="24"/>
        </w:rPr>
        <w:t xml:space="preserve">SUJETO OBLIGADO, </w:t>
      </w:r>
      <w:r w:rsidRPr="00F536FA">
        <w:rPr>
          <w:rFonts w:ascii="Palatino Linotype" w:hAnsi="Palatino Linotype" w:cs="Arial"/>
          <w:color w:val="000000" w:themeColor="text1"/>
          <w:sz w:val="24"/>
        </w:rPr>
        <w:t xml:space="preserve">a través del Director de Administración informó al particular que el costo total de la Feria, en su edición 2019, fue de $11,373,009.04 (ONCE MILLONES TRESCIENTOS SETENTA Y TRES MIL NUEVE PESOS 04/100 M.N.), mientras que para las ediciones 2015-2018 refirió que </w:t>
      </w:r>
      <w:r w:rsidRPr="00F536FA">
        <w:rPr>
          <w:rFonts w:ascii="Palatino Linotype" w:hAnsi="Palatino Linotype" w:cs="Arial"/>
          <w:i/>
          <w:iCs/>
          <w:color w:val="000000" w:themeColor="text1"/>
          <w:sz w:val="24"/>
        </w:rPr>
        <w:t xml:space="preserve">resulta difícil procesar el costo total de la realización de las </w:t>
      </w:r>
      <w:r w:rsidR="003C3CD5" w:rsidRPr="00F536FA">
        <w:rPr>
          <w:rFonts w:ascii="Palatino Linotype" w:hAnsi="Palatino Linotype" w:cs="Arial"/>
          <w:i/>
          <w:iCs/>
          <w:color w:val="000000" w:themeColor="text1"/>
          <w:sz w:val="24"/>
        </w:rPr>
        <w:t>ferias</w:t>
      </w:r>
      <w:r w:rsidR="003C3CD5" w:rsidRPr="00F536FA">
        <w:rPr>
          <w:rFonts w:ascii="Palatino Linotype" w:hAnsi="Palatino Linotype" w:cs="Arial"/>
          <w:color w:val="000000" w:themeColor="text1"/>
          <w:sz w:val="24"/>
        </w:rPr>
        <w:t>, asimismo, adjuntó una relación que contempla seis procedimientos de adjudicación de bienes o servicios:</w:t>
      </w:r>
    </w:p>
    <w:p w14:paraId="57453644" w14:textId="735B42E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0F228564" w14:textId="38877BB1" w:rsidR="003C3CD5" w:rsidRPr="00F536FA" w:rsidRDefault="003C3CD5" w:rsidP="003C3CD5">
      <w:pPr>
        <w:spacing w:after="0" w:line="360" w:lineRule="auto"/>
        <w:ind w:right="49"/>
        <w:contextualSpacing/>
        <w:jc w:val="center"/>
        <w:rPr>
          <w:rFonts w:ascii="Palatino Linotype" w:hAnsi="Palatino Linotype" w:cs="Arial"/>
          <w:color w:val="000000" w:themeColor="text1"/>
          <w:sz w:val="24"/>
        </w:rPr>
      </w:pPr>
      <w:r w:rsidRPr="00F536FA">
        <w:rPr>
          <w:noProof/>
          <w:lang w:eastAsia="es-MX"/>
        </w:rPr>
        <w:drawing>
          <wp:inline distT="0" distB="0" distL="0" distR="0" wp14:anchorId="4CB074AC" wp14:editId="08F65F2F">
            <wp:extent cx="4745567" cy="1123950"/>
            <wp:effectExtent l="57150" t="57150" r="93345" b="952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55" t="41894" r="9035" b="22586"/>
                    <a:stretch/>
                  </pic:blipFill>
                  <pic:spPr bwMode="auto">
                    <a:xfrm>
                      <a:off x="0" y="0"/>
                      <a:ext cx="4748665" cy="112468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AD576C" w14:textId="77777777" w:rsidR="003C3CD5" w:rsidRPr="00F536FA" w:rsidRDefault="003C3CD5" w:rsidP="00E6523F">
      <w:pPr>
        <w:spacing w:after="0" w:line="360" w:lineRule="auto"/>
        <w:ind w:right="49"/>
        <w:contextualSpacing/>
        <w:jc w:val="both"/>
        <w:rPr>
          <w:rFonts w:ascii="Palatino Linotype" w:hAnsi="Palatino Linotype" w:cs="Arial"/>
          <w:color w:val="000000" w:themeColor="text1"/>
          <w:sz w:val="24"/>
        </w:rPr>
      </w:pPr>
    </w:p>
    <w:p w14:paraId="69D975E4" w14:textId="4BC0F08B" w:rsidR="00E6523F" w:rsidRPr="00F536FA" w:rsidRDefault="003C3CD5"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De la revisión a la imagen indicada </w:t>
      </w:r>
      <w:r w:rsidRPr="00F536FA">
        <w:rPr>
          <w:rFonts w:ascii="Palatino Linotype" w:hAnsi="Palatino Linotype" w:cs="Arial"/>
          <w:i/>
          <w:iCs/>
          <w:color w:val="000000" w:themeColor="text1"/>
          <w:sz w:val="24"/>
        </w:rPr>
        <w:t>supra</w:t>
      </w:r>
      <w:r w:rsidRPr="00F536FA">
        <w:rPr>
          <w:rFonts w:ascii="Palatino Linotype" w:hAnsi="Palatino Linotype" w:cs="Arial"/>
          <w:color w:val="000000" w:themeColor="text1"/>
          <w:sz w:val="24"/>
        </w:rPr>
        <w:t xml:space="preserve">, se aprecia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realizó los procedimientos de adjudicación por los conceptos y montos que a continuación se indican:</w:t>
      </w:r>
    </w:p>
    <w:p w14:paraId="73886D8D" w14:textId="70B06DA1" w:rsidR="003C3CD5" w:rsidRPr="00F536FA" w:rsidRDefault="003C3CD5" w:rsidP="003C3CD5">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Para el 2018:</w:t>
      </w:r>
    </w:p>
    <w:p w14:paraId="3B6ABEB6" w14:textId="58E8A4CC" w:rsidR="003C3CD5" w:rsidRPr="00F536FA" w:rsidRDefault="003C3CD5" w:rsidP="003C3CD5">
      <w:pPr>
        <w:numPr>
          <w:ilvl w:val="2"/>
          <w:numId w:val="2"/>
        </w:numPr>
        <w:spacing w:after="0" w:line="360" w:lineRule="auto"/>
        <w:ind w:left="1560"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Elenco para Feria de Ixtlahuaca por un monto total de $1</w:t>
      </w:r>
      <w:proofErr w:type="gramStart"/>
      <w:r w:rsidRPr="00F536FA">
        <w:rPr>
          <w:rFonts w:ascii="Palatino Linotype" w:hAnsi="Palatino Linotype" w:cs="Arial"/>
          <w:color w:val="000000" w:themeColor="text1"/>
          <w:sz w:val="24"/>
        </w:rPr>
        <w:t>,119,910,40</w:t>
      </w:r>
      <w:proofErr w:type="gramEnd"/>
      <w:r w:rsidRPr="00F536FA">
        <w:rPr>
          <w:rFonts w:ascii="Palatino Linotype" w:hAnsi="Palatino Linotype" w:cs="Arial"/>
          <w:color w:val="000000" w:themeColor="text1"/>
          <w:sz w:val="24"/>
        </w:rPr>
        <w:t xml:space="preserve"> (UN MILLÓN CIENTO DIECINUEVE MIL NOVECIENTOS DIEZ PESOS 40/100 M.N.)</w:t>
      </w:r>
    </w:p>
    <w:p w14:paraId="37D9926C" w14:textId="15F24682" w:rsidR="003C3CD5" w:rsidRPr="00F536FA" w:rsidRDefault="003C3CD5" w:rsidP="003C3CD5">
      <w:pPr>
        <w:numPr>
          <w:ilvl w:val="2"/>
          <w:numId w:val="2"/>
        </w:numPr>
        <w:spacing w:after="0" w:line="360" w:lineRule="auto"/>
        <w:ind w:left="1560"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Sonorización para Feria por un monto total de $464,000.00 (CUATROCIENTOS CUARENTA Y CUATRO MIL PESOS 00/100 M.N.)</w:t>
      </w:r>
    </w:p>
    <w:p w14:paraId="0A8799A2" w14:textId="1B431D81" w:rsidR="003C3CD5" w:rsidRPr="00F536FA" w:rsidRDefault="003C3CD5" w:rsidP="003C3CD5">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Para el 2017:</w:t>
      </w:r>
    </w:p>
    <w:p w14:paraId="78CF9CBA" w14:textId="3A9CDCA8" w:rsidR="003C3CD5" w:rsidRPr="00F536FA" w:rsidRDefault="003C3CD5" w:rsidP="003C3CD5">
      <w:pPr>
        <w:numPr>
          <w:ilvl w:val="2"/>
          <w:numId w:val="2"/>
        </w:numPr>
        <w:spacing w:after="0" w:line="360" w:lineRule="auto"/>
        <w:ind w:left="1560"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Sonorización para Feria por un monto de $519,680 (QUINIENTOS DIECINUEVE MIL SEISCIENTOS OCHENTA PESOS 00/100 M.N.)</w:t>
      </w:r>
    </w:p>
    <w:p w14:paraId="52D54412" w14:textId="0C8D0657" w:rsidR="003C3CD5" w:rsidRPr="00F536FA" w:rsidRDefault="003C3CD5" w:rsidP="003C3CD5">
      <w:pPr>
        <w:numPr>
          <w:ilvl w:val="2"/>
          <w:numId w:val="2"/>
        </w:numPr>
        <w:spacing w:after="0" w:line="360" w:lineRule="auto"/>
        <w:ind w:left="1560"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Pirotecnia Feria 2017 por $116,000.00 (CIENTO DIECISEIS MIL PESOS 00/100 M.N.)</w:t>
      </w:r>
    </w:p>
    <w:p w14:paraId="1331095B" w14:textId="2A53844F" w:rsidR="003C3CD5" w:rsidRPr="00F536FA" w:rsidRDefault="003C3CD5" w:rsidP="003C3CD5">
      <w:pPr>
        <w:numPr>
          <w:ilvl w:val="2"/>
          <w:numId w:val="2"/>
        </w:numPr>
        <w:spacing w:after="0" w:line="360" w:lineRule="auto"/>
        <w:ind w:left="1560"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Stands para la Feria por $568,980.00 (QUINIENTOS SESENTA Y OCHO MIL NOVECIENTOS OCHENTA PESOS 00/100 M.N.)</w:t>
      </w:r>
    </w:p>
    <w:p w14:paraId="61079E64" w14:textId="32B548F1" w:rsidR="003C3CD5" w:rsidRPr="00F536FA" w:rsidRDefault="003C3CD5" w:rsidP="003C3CD5">
      <w:pPr>
        <w:numPr>
          <w:ilvl w:val="1"/>
          <w:numId w:val="2"/>
        </w:numPr>
        <w:spacing w:after="0" w:line="360" w:lineRule="auto"/>
        <w:ind w:left="1134"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Para el 2016:</w:t>
      </w:r>
    </w:p>
    <w:p w14:paraId="6FBC22D5" w14:textId="5CD6573C" w:rsidR="003C3CD5" w:rsidRPr="00F536FA" w:rsidRDefault="003C3CD5" w:rsidP="003C3CD5">
      <w:pPr>
        <w:numPr>
          <w:ilvl w:val="2"/>
          <w:numId w:val="2"/>
        </w:numPr>
        <w:spacing w:after="0" w:line="360" w:lineRule="auto"/>
        <w:ind w:left="1560"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Elenco para Feria de Ixtlahuaca por un monto de $2</w:t>
      </w:r>
      <w:proofErr w:type="gramStart"/>
      <w:r w:rsidRPr="00F536FA">
        <w:rPr>
          <w:rFonts w:ascii="Palatino Linotype" w:hAnsi="Palatino Linotype" w:cs="Arial"/>
          <w:color w:val="000000" w:themeColor="text1"/>
          <w:sz w:val="24"/>
        </w:rPr>
        <w:t>,262,000.00</w:t>
      </w:r>
      <w:proofErr w:type="gramEnd"/>
      <w:r w:rsidRPr="00F536FA">
        <w:rPr>
          <w:rFonts w:ascii="Palatino Linotype" w:hAnsi="Palatino Linotype" w:cs="Arial"/>
          <w:color w:val="000000" w:themeColor="text1"/>
          <w:sz w:val="24"/>
        </w:rPr>
        <w:t xml:space="preserve"> (DOS MILLONES DOSCIENTOS SESENTA Y DOS MIL PESOS 00/100 M.N.)</w:t>
      </w:r>
    </w:p>
    <w:p w14:paraId="45123B1A"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3830EF86" w14:textId="4389FC33"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Empero, las cantidades anteriormente referidas resultan insuficientes para atender el requerimiento del particular relativo al costo de la realización de la Feria Ixtlahuaca en sus años 2015, 2016, 2017 y 2018.</w:t>
      </w:r>
    </w:p>
    <w:p w14:paraId="20D9CA0A"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364830FE" w14:textId="7E4921DF"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Dicho lo anterior, conviene precisar que </w:t>
      </w:r>
      <w:r w:rsidRPr="00F536FA">
        <w:rPr>
          <w:rFonts w:ascii="Palatino Linotype" w:hAnsi="Palatino Linotype" w:cs="Arial"/>
          <w:color w:val="000000" w:themeColor="text1"/>
          <w:sz w:val="24"/>
          <w:lang w:val="es-ES_tradnl"/>
        </w:rPr>
        <w:t xml:space="preserve">el artículo 31 de la </w:t>
      </w:r>
      <w:r w:rsidRPr="00F536FA">
        <w:rPr>
          <w:rFonts w:ascii="Palatino Linotype" w:hAnsi="Palatino Linotype" w:cs="Arial"/>
          <w:bCs/>
          <w:color w:val="000000" w:themeColor="text1"/>
          <w:sz w:val="24"/>
          <w:lang w:val="es-ES_tradnl"/>
        </w:rPr>
        <w:t>Ley Orgánica Municipal del Estado de México y Municipios a la l</w:t>
      </w:r>
      <w:r w:rsidRPr="00F536FA">
        <w:rPr>
          <w:rFonts w:ascii="Palatino Linotype" w:hAnsi="Palatino Linotype" w:cs="Arial"/>
          <w:color w:val="000000" w:themeColor="text1"/>
          <w:sz w:val="24"/>
          <w:lang w:val="es-ES_tradnl"/>
        </w:rPr>
        <w:t>etra dice:</w:t>
      </w:r>
    </w:p>
    <w:p w14:paraId="5A98EF0B" w14:textId="7BDD8F96"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724AB933" w14:textId="77777777" w:rsidR="00705829" w:rsidRPr="00F536FA" w:rsidRDefault="00705829" w:rsidP="00705829">
      <w:pPr>
        <w:pStyle w:val="Sinespaciado"/>
        <w:spacing w:line="276" w:lineRule="auto"/>
        <w:ind w:left="567" w:right="567"/>
        <w:jc w:val="both"/>
        <w:rPr>
          <w:rFonts w:ascii="Palatino Linotype" w:hAnsi="Palatino Linotype"/>
          <w:i/>
        </w:rPr>
      </w:pPr>
      <w:r w:rsidRPr="00F536FA">
        <w:rPr>
          <w:rFonts w:ascii="Palatino Linotype" w:hAnsi="Palatino Linotype"/>
          <w:i/>
        </w:rPr>
        <w:t>“</w:t>
      </w:r>
      <w:r w:rsidRPr="00F536FA">
        <w:rPr>
          <w:rFonts w:ascii="Palatino Linotype" w:hAnsi="Palatino Linotype"/>
          <w:b/>
          <w:i/>
        </w:rPr>
        <w:t>Artículo 31</w:t>
      </w:r>
      <w:r w:rsidRPr="00F536FA">
        <w:rPr>
          <w:rFonts w:ascii="Palatino Linotype" w:hAnsi="Palatino Linotype"/>
          <w:i/>
        </w:rPr>
        <w:t xml:space="preserve">.- </w:t>
      </w:r>
      <w:r w:rsidRPr="00F536FA">
        <w:rPr>
          <w:rFonts w:ascii="Palatino Linotype" w:hAnsi="Palatino Linotype"/>
          <w:b/>
          <w:bCs/>
          <w:i/>
        </w:rPr>
        <w:t>Son atribuciones de los ayuntamientos</w:t>
      </w:r>
      <w:r w:rsidRPr="00F536FA">
        <w:rPr>
          <w:rFonts w:ascii="Palatino Linotype" w:hAnsi="Palatino Linotype"/>
          <w:i/>
        </w:rPr>
        <w:t xml:space="preserve">: </w:t>
      </w:r>
    </w:p>
    <w:p w14:paraId="37AFD948" w14:textId="77777777" w:rsidR="00705829" w:rsidRPr="00F536FA" w:rsidRDefault="00705829" w:rsidP="00705829">
      <w:pPr>
        <w:pStyle w:val="Sinespaciado"/>
        <w:spacing w:line="276" w:lineRule="auto"/>
        <w:ind w:left="567" w:right="567"/>
        <w:jc w:val="both"/>
        <w:rPr>
          <w:rFonts w:ascii="Palatino Linotype" w:hAnsi="Palatino Linotype"/>
          <w:i/>
        </w:rPr>
      </w:pPr>
      <w:r w:rsidRPr="00F536FA">
        <w:rPr>
          <w:rFonts w:ascii="Palatino Linotype" w:hAnsi="Palatino Linotype"/>
          <w:i/>
        </w:rPr>
        <w:t>(…)</w:t>
      </w:r>
    </w:p>
    <w:p w14:paraId="702F6D74" w14:textId="77777777" w:rsidR="00705829" w:rsidRPr="00F536FA" w:rsidRDefault="00705829" w:rsidP="00705829">
      <w:pPr>
        <w:pStyle w:val="Sinespaciado"/>
        <w:spacing w:line="276" w:lineRule="auto"/>
        <w:ind w:left="567" w:right="567"/>
        <w:jc w:val="both"/>
        <w:rPr>
          <w:rFonts w:ascii="Palatino Linotype" w:hAnsi="Palatino Linotype"/>
          <w:i/>
        </w:rPr>
      </w:pPr>
      <w:r w:rsidRPr="00F536FA">
        <w:rPr>
          <w:rFonts w:ascii="Palatino Linotype" w:hAnsi="Palatino Linotype"/>
          <w:b/>
          <w:i/>
        </w:rPr>
        <w:t>XVIII. Administrar su hacienda en términos de ley</w:t>
      </w:r>
      <w:r w:rsidRPr="00F536FA">
        <w:rPr>
          <w:rFonts w:ascii="Palatino Linotype" w:hAnsi="Palatino Linotype"/>
          <w:b/>
          <w:bCs/>
          <w:i/>
        </w:rPr>
        <w:t>, y controlar</w:t>
      </w:r>
      <w:r w:rsidRPr="00F536FA">
        <w:rPr>
          <w:rFonts w:ascii="Palatino Linotype" w:hAnsi="Palatino Linotype"/>
          <w:i/>
        </w:rPr>
        <w:t xml:space="preserve"> a través del presidente y síndico </w:t>
      </w:r>
      <w:r w:rsidRPr="00F536FA">
        <w:rPr>
          <w:rFonts w:ascii="Palatino Linotype" w:hAnsi="Palatino Linotype"/>
          <w:b/>
          <w:bCs/>
          <w:i/>
        </w:rPr>
        <w:t>la aplicación del presupuesto de egresos del municipio</w:t>
      </w:r>
      <w:r w:rsidRPr="00F536FA">
        <w:rPr>
          <w:rFonts w:ascii="Palatino Linotype" w:hAnsi="Palatino Linotype"/>
          <w:i/>
        </w:rPr>
        <w:t>;</w:t>
      </w:r>
    </w:p>
    <w:p w14:paraId="6686F439" w14:textId="77777777" w:rsidR="00705829" w:rsidRPr="00F536FA" w:rsidRDefault="00705829" w:rsidP="00705829">
      <w:pPr>
        <w:pStyle w:val="Sinespaciado"/>
        <w:spacing w:line="276" w:lineRule="auto"/>
        <w:ind w:left="567" w:right="567"/>
        <w:jc w:val="both"/>
        <w:rPr>
          <w:rFonts w:ascii="Palatino Linotype" w:hAnsi="Palatino Linotype"/>
          <w:i/>
        </w:rPr>
      </w:pPr>
      <w:r w:rsidRPr="00F536FA">
        <w:rPr>
          <w:rFonts w:ascii="Palatino Linotype" w:hAnsi="Palatino Linotype"/>
          <w:b/>
          <w:i/>
        </w:rPr>
        <w:t>XIX.</w:t>
      </w:r>
      <w:r w:rsidRPr="00F536FA">
        <w:rPr>
          <w:rFonts w:ascii="Palatino Linotype" w:hAnsi="Palatino Linotype"/>
          <w:i/>
        </w:rPr>
        <w:t xml:space="preserve"> </w:t>
      </w:r>
      <w:r w:rsidRPr="00F536FA">
        <w:rPr>
          <w:rFonts w:ascii="Palatino Linotype" w:hAnsi="Palatino Linotype"/>
          <w:b/>
          <w:bCs/>
          <w:i/>
        </w:rPr>
        <w:t>Aprobar anualmente a más tardar el 20 de diciembre, su Presupuesto de Egresos, en base a los ingresos presupuestados</w:t>
      </w:r>
      <w:r w:rsidRPr="00F536FA">
        <w:rPr>
          <w:rFonts w:ascii="Palatino Linotype" w:hAnsi="Palatino Linotype"/>
          <w:i/>
        </w:rPr>
        <w:t xml:space="preserve">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62541CED" w14:textId="77777777" w:rsidR="00705829" w:rsidRPr="00F536FA" w:rsidRDefault="00705829" w:rsidP="00705829">
      <w:pPr>
        <w:pStyle w:val="Sinespaciado"/>
        <w:spacing w:line="276" w:lineRule="auto"/>
        <w:ind w:left="567" w:right="567"/>
        <w:jc w:val="both"/>
        <w:rPr>
          <w:rFonts w:ascii="Palatino Linotype" w:hAnsi="Palatino Linotype"/>
          <w:i/>
        </w:rPr>
      </w:pPr>
      <w:r w:rsidRPr="00F536FA">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4FE6915B" w14:textId="77777777" w:rsidR="00705829" w:rsidRPr="00F536FA" w:rsidRDefault="00705829" w:rsidP="00705829">
      <w:pPr>
        <w:pStyle w:val="Sinespaciado"/>
        <w:spacing w:line="276" w:lineRule="auto"/>
        <w:ind w:left="567" w:right="567"/>
        <w:jc w:val="both"/>
        <w:rPr>
          <w:rFonts w:ascii="Palatino Linotype" w:hAnsi="Palatino Linotype"/>
        </w:rPr>
      </w:pPr>
      <w:r w:rsidRPr="00F536FA">
        <w:rPr>
          <w:rFonts w:ascii="Palatino Linotype" w:hAnsi="Palatino Linotype"/>
          <w:i/>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5B63210E" w14:textId="77777777" w:rsidR="00705829" w:rsidRPr="00F536FA" w:rsidRDefault="00705829" w:rsidP="00705829">
      <w:pPr>
        <w:pStyle w:val="Sinespaciado"/>
        <w:spacing w:line="276" w:lineRule="auto"/>
        <w:ind w:left="567" w:right="567"/>
        <w:jc w:val="both"/>
        <w:rPr>
          <w:rFonts w:ascii="Palatino Linotype" w:hAnsi="Palatino Linotype"/>
        </w:rPr>
      </w:pPr>
      <w:r w:rsidRPr="00F536FA">
        <w:rPr>
          <w:rFonts w:ascii="Palatino Linotype" w:hAnsi="Palatino Linotype"/>
        </w:rPr>
        <w:t>(Énfasis añadido)</w:t>
      </w:r>
    </w:p>
    <w:p w14:paraId="1FC6D00B" w14:textId="77777777" w:rsidR="00705829" w:rsidRPr="00F536FA" w:rsidRDefault="00705829" w:rsidP="00E6523F">
      <w:pPr>
        <w:spacing w:after="0" w:line="360" w:lineRule="auto"/>
        <w:ind w:right="49"/>
        <w:contextualSpacing/>
        <w:jc w:val="both"/>
        <w:rPr>
          <w:rFonts w:ascii="Palatino Linotype" w:hAnsi="Palatino Linotype" w:cs="Arial"/>
          <w:color w:val="000000" w:themeColor="text1"/>
          <w:sz w:val="24"/>
        </w:rPr>
      </w:pPr>
    </w:p>
    <w:p w14:paraId="620EF8CE" w14:textId="1205DE6C"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Dicho lo anterior, debemos </w:t>
      </w:r>
      <w:r w:rsidRPr="00F536FA">
        <w:rPr>
          <w:rFonts w:ascii="Palatino Linotype" w:hAnsi="Palatino Linotype" w:cs="Arial"/>
          <w:color w:val="000000" w:themeColor="text1"/>
          <w:sz w:val="24"/>
          <w:lang w:val="es-ES_tradnl"/>
        </w:rPr>
        <w:t xml:space="preserve">señalar que la información en cuestión constituye igualmente </w:t>
      </w:r>
      <w:r w:rsidRPr="00F536FA">
        <w:rPr>
          <w:rFonts w:ascii="Palatino Linotype" w:hAnsi="Palatino Linotype" w:cs="Arial"/>
          <w:color w:val="000000" w:themeColor="text1"/>
          <w:sz w:val="24"/>
        </w:rPr>
        <w:t xml:space="preserve">una obligación de transparencia común que el </w:t>
      </w:r>
      <w:r w:rsidRPr="00F536FA">
        <w:rPr>
          <w:rFonts w:ascii="Palatino Linotype" w:hAnsi="Palatino Linotype" w:cs="Arial"/>
          <w:b/>
          <w:color w:val="000000" w:themeColor="text1"/>
          <w:sz w:val="24"/>
        </w:rPr>
        <w:t>SUJETO OBLIGADO</w:t>
      </w:r>
      <w:r w:rsidRPr="00F536FA">
        <w:rPr>
          <w:rFonts w:ascii="Palatino Linotype" w:hAnsi="Palatino Linotype" w:cs="Arial"/>
          <w:color w:val="000000" w:themeColor="text1"/>
          <w:sz w:val="24"/>
        </w:rPr>
        <w:t xml:space="preserve"> debe generar, administrar y poseer en sus archivos conforme a lo previsto por el artículo 92, fracción XXV, de la Ley de Transparencia y Acceso a la Información Pública del Estado de México y Municipios; que a la letra cita:</w:t>
      </w:r>
    </w:p>
    <w:p w14:paraId="738C597F" w14:textId="4019762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21B403E8" w14:textId="77777777" w:rsidR="00705829" w:rsidRPr="00F536FA" w:rsidRDefault="00705829" w:rsidP="00705829">
      <w:pPr>
        <w:spacing w:after="0" w:line="276" w:lineRule="auto"/>
        <w:ind w:left="567" w:right="567"/>
        <w:contextualSpacing/>
        <w:jc w:val="both"/>
        <w:rPr>
          <w:rFonts w:ascii="Palatino Linotype" w:hAnsi="Palatino Linotype"/>
          <w:i/>
          <w:iCs/>
        </w:rPr>
      </w:pPr>
      <w:r w:rsidRPr="00F536FA">
        <w:rPr>
          <w:rFonts w:ascii="Palatino Linotype" w:hAnsi="Palatino Linotype"/>
          <w:i/>
          <w:iCs/>
        </w:rPr>
        <w:t>“</w:t>
      </w:r>
      <w:r w:rsidRPr="00F536FA">
        <w:rPr>
          <w:rFonts w:ascii="Palatino Linotype" w:hAnsi="Palatino Linotype"/>
          <w:b/>
          <w:bCs/>
          <w:i/>
          <w:iCs/>
        </w:rPr>
        <w:t>Artículo 92.</w:t>
      </w:r>
      <w:r w:rsidRPr="00F536FA">
        <w:rPr>
          <w:rFonts w:ascii="Palatino Linotype" w:hAnsi="Palatino Linotype"/>
          <w:i/>
          <w:iCs/>
        </w:rPr>
        <w:t xml:space="preserve"> </w:t>
      </w:r>
      <w:r w:rsidRPr="00F536FA">
        <w:rPr>
          <w:rFonts w:ascii="Palatino Linotype" w:hAnsi="Palatino Linotype"/>
          <w:b/>
          <w:bCs/>
          <w:i/>
          <w:iCs/>
        </w:rPr>
        <w:t>Los sujetos obligados deberán poner a disposición del público de manera permanente y actualizada</w:t>
      </w:r>
      <w:r w:rsidRPr="00F536FA">
        <w:rPr>
          <w:rFonts w:ascii="Palatino Linotype" w:hAnsi="Palatino Linotype"/>
          <w:i/>
          <w:iCs/>
        </w:rPr>
        <w:t xml:space="preserve"> de forma sencilla, precisa y entendible, en los respectivos medios electrónicos, de acuerdo con sus facultades, atribuciones, funciones u objeto social, según corresponda, la información, por lo menos, de </w:t>
      </w:r>
      <w:r w:rsidRPr="00F536FA">
        <w:rPr>
          <w:rFonts w:ascii="Palatino Linotype" w:hAnsi="Palatino Linotype"/>
          <w:b/>
          <w:bCs/>
          <w:i/>
          <w:iCs/>
        </w:rPr>
        <w:t>los temas, documentos y políticas que a continuación se señalan:</w:t>
      </w:r>
    </w:p>
    <w:p w14:paraId="1206A191" w14:textId="77777777" w:rsidR="00705829" w:rsidRPr="00F536FA" w:rsidRDefault="00705829" w:rsidP="00705829">
      <w:pPr>
        <w:spacing w:after="0" w:line="276" w:lineRule="auto"/>
        <w:ind w:left="567" w:right="567"/>
        <w:contextualSpacing/>
        <w:jc w:val="both"/>
        <w:rPr>
          <w:rFonts w:ascii="Palatino Linotype" w:hAnsi="Palatino Linotype"/>
          <w:i/>
          <w:iCs/>
        </w:rPr>
      </w:pPr>
      <w:r w:rsidRPr="00F536FA">
        <w:rPr>
          <w:rFonts w:ascii="Palatino Linotype" w:hAnsi="Palatino Linotype"/>
          <w:i/>
          <w:iCs/>
        </w:rPr>
        <w:t>(…)</w:t>
      </w:r>
    </w:p>
    <w:p w14:paraId="2370F9B1" w14:textId="77777777" w:rsidR="00705829" w:rsidRPr="00F536FA" w:rsidRDefault="00705829" w:rsidP="00705829">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XXV. La información financiera sobre el presupuesto asignado, así como los informes del ejercicio trimestral del gasto</w:t>
      </w:r>
      <w:r w:rsidRPr="00F536FA">
        <w:rPr>
          <w:rFonts w:ascii="Palatino Linotype" w:hAnsi="Palatino Linotype"/>
          <w:i/>
          <w:iCs/>
        </w:rPr>
        <w:t>, en términos de la Ley General de Contabilidad Gubernamental y demás disposiciones jurídicas aplicables;</w:t>
      </w:r>
    </w:p>
    <w:p w14:paraId="4027AFC0" w14:textId="77777777" w:rsidR="00705829" w:rsidRPr="00F536FA" w:rsidRDefault="00705829" w:rsidP="00705829">
      <w:pPr>
        <w:spacing w:after="0" w:line="276" w:lineRule="auto"/>
        <w:ind w:left="567" w:right="567"/>
        <w:contextualSpacing/>
        <w:jc w:val="both"/>
        <w:rPr>
          <w:rFonts w:ascii="Palatino Linotype" w:hAnsi="Palatino Linotype"/>
        </w:rPr>
      </w:pPr>
      <w:r w:rsidRPr="00F536FA">
        <w:rPr>
          <w:rFonts w:ascii="Palatino Linotype" w:hAnsi="Palatino Linotype"/>
          <w:i/>
          <w:iCs/>
        </w:rPr>
        <w:t>(…)”</w:t>
      </w:r>
    </w:p>
    <w:p w14:paraId="4D8E3848" w14:textId="77777777" w:rsidR="00705829" w:rsidRPr="00F536FA" w:rsidRDefault="00705829" w:rsidP="00705829">
      <w:pPr>
        <w:spacing w:after="0" w:line="276" w:lineRule="auto"/>
        <w:ind w:left="567" w:right="567"/>
        <w:contextualSpacing/>
        <w:jc w:val="both"/>
        <w:rPr>
          <w:rFonts w:ascii="Palatino Linotype" w:hAnsi="Palatino Linotype" w:cs="Arial"/>
          <w:color w:val="000000" w:themeColor="text1"/>
          <w:sz w:val="24"/>
        </w:rPr>
      </w:pPr>
      <w:r w:rsidRPr="00F536FA">
        <w:rPr>
          <w:rFonts w:ascii="Palatino Linotype" w:hAnsi="Palatino Linotype"/>
        </w:rPr>
        <w:t>(Énfasis añadido)</w:t>
      </w:r>
    </w:p>
    <w:p w14:paraId="387D5868" w14:textId="77777777" w:rsidR="00705829" w:rsidRPr="00F536FA" w:rsidRDefault="00705829" w:rsidP="00E6523F">
      <w:pPr>
        <w:spacing w:after="0" w:line="360" w:lineRule="auto"/>
        <w:ind w:right="49"/>
        <w:contextualSpacing/>
        <w:jc w:val="both"/>
        <w:rPr>
          <w:rFonts w:ascii="Palatino Linotype" w:hAnsi="Palatino Linotype" w:cs="Arial"/>
          <w:color w:val="000000" w:themeColor="text1"/>
          <w:sz w:val="24"/>
        </w:rPr>
      </w:pPr>
    </w:p>
    <w:p w14:paraId="6C9B747F" w14:textId="69C9C210"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Del dispositivo normativo </w:t>
      </w:r>
      <w:r w:rsidRPr="00F536FA">
        <w:rPr>
          <w:rFonts w:ascii="Palatino Linotype" w:hAnsi="Palatino Linotype" w:cs="Arial"/>
          <w:i/>
          <w:iCs/>
          <w:color w:val="000000" w:themeColor="text1"/>
          <w:sz w:val="24"/>
        </w:rPr>
        <w:t>supra</w:t>
      </w:r>
      <w:r w:rsidRPr="00F536FA">
        <w:rPr>
          <w:rFonts w:ascii="Palatino Linotype" w:hAnsi="Palatino Linotype" w:cs="Arial"/>
          <w:color w:val="000000" w:themeColor="text1"/>
          <w:sz w:val="24"/>
        </w:rPr>
        <w:t xml:space="preserve"> transcrito, se aprecia que la información financiera sobre el presupuesto asignado del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w:t>
      </w:r>
      <w:r w:rsidRPr="00F536FA">
        <w:rPr>
          <w:rFonts w:ascii="Palatino Linotype" w:hAnsi="Palatino Linotype" w:cs="Arial"/>
          <w:b/>
          <w:bCs/>
          <w:color w:val="000000" w:themeColor="text1"/>
          <w:sz w:val="24"/>
        </w:rPr>
        <w:t>así como los informes relacionados con el uso y gasto del mismo</w:t>
      </w:r>
      <w:r w:rsidRPr="00F536FA">
        <w:rPr>
          <w:rFonts w:ascii="Palatino Linotype" w:hAnsi="Palatino Linotype" w:cs="Arial"/>
          <w:color w:val="000000" w:themeColor="text1"/>
          <w:sz w:val="24"/>
        </w:rPr>
        <w:t>, serán difundidos y publicados a la ciudadanía, ya que, como sucede con los expedientes relacionados con licitaciones, concursos o adjudicaciones, todo gasto que realice el Ayuntamiento de Ixtlahuaca debe ser realizado de forma transparente y reconocido dentro de sus informes financieros.</w:t>
      </w:r>
    </w:p>
    <w:p w14:paraId="71A34914"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2659C54F" w14:textId="5E19CDEF"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w:t>
      </w:r>
      <w:r w:rsidRPr="00F536FA">
        <w:rPr>
          <w:rFonts w:ascii="Palatino Linotype" w:eastAsia="MS Mincho" w:hAnsi="Palatino Linotype" w:cs="Times New Roman"/>
          <w:sz w:val="24"/>
          <w:szCs w:val="24"/>
          <w:lang w:val="es-ES_tradnl" w:eastAsia="es-ES"/>
        </w:rPr>
        <w:t xml:space="preserve">ese tenor, la Ley de Fiscalización Superior del Estado de México, tiene por objeto establecer disposiciones encaminadas a fiscalizar, auditar y revisar las </w:t>
      </w:r>
      <w:r w:rsidRPr="00F536FA">
        <w:rPr>
          <w:rFonts w:ascii="Palatino Linotype" w:eastAsia="MS Mincho" w:hAnsi="Palatino Linotype" w:cs="Times New Roman"/>
          <w:sz w:val="24"/>
          <w:szCs w:val="24"/>
          <w:lang w:val="es-ES_tradnl" w:eastAsia="es-ES"/>
        </w:rPr>
        <w:lastRenderedPageBreak/>
        <w:t xml:space="preserve">cuentas y actos relativos a la aplicación de los recursos públicos del Estado de México y, de los municipios y sus organismos descentralizados; en este sentido, se aprecia que el </w:t>
      </w:r>
      <w:r w:rsidRPr="00F536FA">
        <w:rPr>
          <w:rFonts w:ascii="Palatino Linotype" w:eastAsia="MS Mincho" w:hAnsi="Palatino Linotype" w:cs="Times New Roman"/>
          <w:b/>
          <w:sz w:val="24"/>
          <w:szCs w:val="24"/>
          <w:lang w:val="es-ES_tradnl" w:eastAsia="es-ES"/>
        </w:rPr>
        <w:t>SUJETO OBLIGADO</w:t>
      </w:r>
      <w:r w:rsidRPr="00F536FA">
        <w:rPr>
          <w:rFonts w:ascii="Palatino Linotype" w:eastAsia="MS Mincho" w:hAnsi="Palatino Linotype" w:cs="Times New Roman"/>
          <w:sz w:val="24"/>
          <w:szCs w:val="24"/>
          <w:lang w:val="es-ES_tradnl" w:eastAsia="es-ES"/>
        </w:rPr>
        <w:t xml:space="preserve"> se halla reconocido como un Sujeto de Fiscalización con base en los artículos 2, fracción II, y 4, fracción II:</w:t>
      </w:r>
    </w:p>
    <w:p w14:paraId="0B0776C2" w14:textId="062413FC"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07C55B0E" w14:textId="77777777" w:rsidR="00705829" w:rsidRPr="00F536FA" w:rsidRDefault="00705829" w:rsidP="00705829">
      <w:pPr>
        <w:spacing w:after="0" w:line="276" w:lineRule="auto"/>
        <w:ind w:left="567" w:right="567"/>
        <w:contextualSpacing/>
        <w:jc w:val="both"/>
        <w:rPr>
          <w:rFonts w:ascii="Palatino Linotype" w:hAnsi="Palatino Linotype"/>
          <w:i/>
        </w:rPr>
      </w:pPr>
      <w:r w:rsidRPr="00F536FA">
        <w:rPr>
          <w:rFonts w:ascii="Palatino Linotype" w:hAnsi="Palatino Linotype"/>
          <w:i/>
        </w:rPr>
        <w:t>“</w:t>
      </w:r>
      <w:r w:rsidRPr="00F536FA">
        <w:rPr>
          <w:rFonts w:ascii="Palatino Linotype" w:hAnsi="Palatino Linotype"/>
          <w:b/>
          <w:i/>
        </w:rPr>
        <w:t>Artículo 2.</w:t>
      </w:r>
      <w:r w:rsidRPr="00F536FA">
        <w:rPr>
          <w:rFonts w:ascii="Palatino Linotype" w:hAnsi="Palatino Linotype"/>
          <w:i/>
        </w:rPr>
        <w:t xml:space="preserve"> Para los efectos de la presente Ley, se entenderá por:</w:t>
      </w:r>
    </w:p>
    <w:p w14:paraId="3942CB14" w14:textId="77777777" w:rsidR="00705829" w:rsidRPr="00F536FA" w:rsidRDefault="00705829" w:rsidP="00705829">
      <w:pPr>
        <w:spacing w:after="0" w:line="276" w:lineRule="auto"/>
        <w:ind w:left="567" w:right="567"/>
        <w:contextualSpacing/>
        <w:jc w:val="both"/>
        <w:rPr>
          <w:rFonts w:ascii="Palatino Linotype" w:hAnsi="Palatino Linotype"/>
          <w:i/>
        </w:rPr>
      </w:pPr>
      <w:r w:rsidRPr="00F536FA">
        <w:rPr>
          <w:rFonts w:ascii="Palatino Linotype" w:hAnsi="Palatino Linotype"/>
          <w:i/>
        </w:rPr>
        <w:t>(…)</w:t>
      </w:r>
    </w:p>
    <w:p w14:paraId="5275916F" w14:textId="77777777" w:rsidR="00705829" w:rsidRPr="00F536FA" w:rsidRDefault="00705829" w:rsidP="00705829">
      <w:pPr>
        <w:spacing w:after="0" w:line="276" w:lineRule="auto"/>
        <w:ind w:left="567" w:right="567"/>
        <w:contextualSpacing/>
        <w:jc w:val="both"/>
        <w:rPr>
          <w:rFonts w:ascii="Palatino Linotype" w:hAnsi="Palatino Linotype"/>
          <w:b/>
          <w:i/>
        </w:rPr>
      </w:pPr>
      <w:r w:rsidRPr="00F536FA">
        <w:rPr>
          <w:rFonts w:ascii="Palatino Linotype" w:hAnsi="Palatino Linotype"/>
          <w:b/>
          <w:i/>
        </w:rPr>
        <w:t xml:space="preserve">II. </w:t>
      </w:r>
      <w:r w:rsidRPr="00F536FA">
        <w:rPr>
          <w:rFonts w:ascii="Palatino Linotype" w:hAnsi="Palatino Linotype"/>
          <w:bCs/>
          <w:i/>
        </w:rPr>
        <w:t>Municipios: A los Municipios del Estado</w:t>
      </w:r>
      <w:proofErr w:type="gramStart"/>
      <w:r w:rsidRPr="00F536FA">
        <w:rPr>
          <w:rFonts w:ascii="Palatino Linotype" w:hAnsi="Palatino Linotype"/>
          <w:bCs/>
          <w:i/>
        </w:rPr>
        <w:t>;.</w:t>
      </w:r>
      <w:proofErr w:type="gramEnd"/>
      <w:r w:rsidRPr="00F536FA">
        <w:rPr>
          <w:rFonts w:ascii="Palatino Linotype" w:hAnsi="Palatino Linotype"/>
          <w:b/>
          <w:i/>
        </w:rPr>
        <w:t xml:space="preserve"> </w:t>
      </w:r>
    </w:p>
    <w:p w14:paraId="035940FF" w14:textId="77777777" w:rsidR="00705829" w:rsidRPr="00F536FA" w:rsidRDefault="00705829" w:rsidP="00705829">
      <w:pPr>
        <w:spacing w:after="0" w:line="276" w:lineRule="auto"/>
        <w:ind w:left="567" w:right="567"/>
        <w:contextualSpacing/>
        <w:jc w:val="both"/>
        <w:rPr>
          <w:rFonts w:ascii="Palatino Linotype" w:hAnsi="Palatino Linotype"/>
          <w:i/>
        </w:rPr>
      </w:pPr>
      <w:r w:rsidRPr="00F536FA">
        <w:rPr>
          <w:rFonts w:ascii="Palatino Linotype" w:hAnsi="Palatino Linotype"/>
          <w:i/>
        </w:rPr>
        <w:t>(…)</w:t>
      </w:r>
    </w:p>
    <w:p w14:paraId="121F18CF" w14:textId="77777777" w:rsidR="00705829" w:rsidRPr="00F536FA" w:rsidRDefault="00705829" w:rsidP="00705829">
      <w:pPr>
        <w:spacing w:after="0" w:line="276" w:lineRule="auto"/>
        <w:ind w:left="567" w:right="567"/>
        <w:contextualSpacing/>
        <w:jc w:val="both"/>
        <w:rPr>
          <w:rFonts w:ascii="Palatino Linotype" w:hAnsi="Palatino Linotype"/>
          <w:i/>
        </w:rPr>
      </w:pPr>
    </w:p>
    <w:p w14:paraId="4E076A15" w14:textId="77777777" w:rsidR="00705829" w:rsidRPr="00F536FA" w:rsidRDefault="00705829" w:rsidP="00705829">
      <w:pPr>
        <w:spacing w:after="0" w:line="276" w:lineRule="auto"/>
        <w:ind w:left="567" w:right="567"/>
        <w:contextualSpacing/>
        <w:jc w:val="both"/>
        <w:rPr>
          <w:rFonts w:ascii="Palatino Linotype" w:hAnsi="Palatino Linotype"/>
          <w:i/>
        </w:rPr>
      </w:pPr>
      <w:r w:rsidRPr="00F536FA">
        <w:rPr>
          <w:rFonts w:ascii="Palatino Linotype" w:hAnsi="Palatino Linotype"/>
          <w:b/>
          <w:i/>
        </w:rPr>
        <w:t>Artículo 4.-</w:t>
      </w:r>
      <w:r w:rsidRPr="00F536FA">
        <w:rPr>
          <w:rFonts w:ascii="Palatino Linotype" w:hAnsi="Palatino Linotype"/>
          <w:i/>
        </w:rPr>
        <w:t xml:space="preserve"> Son sujetos de fiscalización:</w:t>
      </w:r>
    </w:p>
    <w:p w14:paraId="0D7D79E7" w14:textId="77777777" w:rsidR="00705829" w:rsidRPr="00F536FA" w:rsidRDefault="00705829" w:rsidP="00705829">
      <w:pPr>
        <w:spacing w:after="0" w:line="276" w:lineRule="auto"/>
        <w:ind w:left="567" w:right="567"/>
        <w:contextualSpacing/>
        <w:jc w:val="both"/>
        <w:rPr>
          <w:rFonts w:ascii="Palatino Linotype" w:hAnsi="Palatino Linotype"/>
          <w:i/>
        </w:rPr>
      </w:pPr>
      <w:r w:rsidRPr="00F536FA">
        <w:rPr>
          <w:rFonts w:ascii="Palatino Linotype" w:hAnsi="Palatino Linotype"/>
          <w:i/>
        </w:rPr>
        <w:t>(…)</w:t>
      </w:r>
    </w:p>
    <w:p w14:paraId="21BA5754" w14:textId="77777777" w:rsidR="00705829" w:rsidRPr="00F536FA" w:rsidRDefault="00705829" w:rsidP="00705829">
      <w:pPr>
        <w:spacing w:after="0" w:line="276" w:lineRule="auto"/>
        <w:ind w:left="567" w:right="567"/>
        <w:contextualSpacing/>
        <w:jc w:val="both"/>
        <w:rPr>
          <w:rFonts w:ascii="Palatino Linotype" w:hAnsi="Palatino Linotype"/>
          <w:i/>
        </w:rPr>
      </w:pPr>
      <w:r w:rsidRPr="00F536FA">
        <w:rPr>
          <w:rFonts w:ascii="Palatino Linotype" w:hAnsi="Palatino Linotype"/>
          <w:b/>
          <w:i/>
        </w:rPr>
        <w:t>II.</w:t>
      </w:r>
      <w:r w:rsidRPr="00F536FA">
        <w:rPr>
          <w:rFonts w:ascii="Palatino Linotype" w:hAnsi="Palatino Linotype"/>
          <w:i/>
        </w:rPr>
        <w:t xml:space="preserve"> Los municipios del Estado de México; </w:t>
      </w:r>
    </w:p>
    <w:p w14:paraId="04B50524" w14:textId="77777777" w:rsidR="00705829" w:rsidRPr="00F536FA" w:rsidRDefault="00705829" w:rsidP="00705829">
      <w:pPr>
        <w:spacing w:after="0" w:line="276" w:lineRule="auto"/>
        <w:ind w:left="567" w:right="567"/>
        <w:contextualSpacing/>
        <w:jc w:val="both"/>
        <w:rPr>
          <w:rFonts w:ascii="Palatino Linotype" w:hAnsi="Palatino Linotype"/>
          <w:iCs/>
        </w:rPr>
      </w:pPr>
      <w:r w:rsidRPr="00F536FA">
        <w:rPr>
          <w:rFonts w:ascii="Palatino Linotype" w:hAnsi="Palatino Linotype"/>
          <w:i/>
        </w:rPr>
        <w:t>(…)”</w:t>
      </w:r>
    </w:p>
    <w:p w14:paraId="2F92DE77" w14:textId="77777777" w:rsidR="00705829" w:rsidRPr="00F536FA" w:rsidRDefault="00705829" w:rsidP="00705829">
      <w:pPr>
        <w:spacing w:after="0" w:line="276" w:lineRule="auto"/>
        <w:ind w:left="567" w:right="567"/>
        <w:contextualSpacing/>
        <w:jc w:val="both"/>
        <w:rPr>
          <w:rFonts w:ascii="Palatino Linotype" w:hAnsi="Palatino Linotype"/>
          <w:iCs/>
        </w:rPr>
      </w:pPr>
      <w:r w:rsidRPr="00F536FA">
        <w:rPr>
          <w:rFonts w:ascii="Palatino Linotype" w:hAnsi="Palatino Linotype"/>
          <w:iCs/>
        </w:rPr>
        <w:t>(Énfasis añadido)</w:t>
      </w:r>
    </w:p>
    <w:p w14:paraId="01EAFFA9" w14:textId="77777777" w:rsidR="00705829" w:rsidRPr="00F536FA" w:rsidRDefault="00705829" w:rsidP="00E6523F">
      <w:pPr>
        <w:spacing w:after="0" w:line="360" w:lineRule="auto"/>
        <w:ind w:right="49"/>
        <w:contextualSpacing/>
        <w:jc w:val="both"/>
        <w:rPr>
          <w:rFonts w:ascii="Palatino Linotype" w:hAnsi="Palatino Linotype" w:cs="Arial"/>
          <w:color w:val="000000" w:themeColor="text1"/>
          <w:sz w:val="24"/>
        </w:rPr>
      </w:pPr>
    </w:p>
    <w:p w14:paraId="7FA7D50A" w14:textId="4308EF45"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Establecido </w:t>
      </w:r>
      <w:r w:rsidRPr="00F536FA">
        <w:rPr>
          <w:rFonts w:ascii="Palatino Linotype" w:eastAsia="MS Mincho" w:hAnsi="Palatino Linotype" w:cs="Times New Roman"/>
          <w:sz w:val="24"/>
          <w:szCs w:val="24"/>
          <w:lang w:val="es-ES_tradnl" w:eastAsia="es-ES"/>
        </w:rPr>
        <w:t xml:space="preserve">lo anterior, el Órgano Superior de Fiscalización del Estado de México (OSFEM), emite anualmente una herramienta para elaborar y presentar su Presupuesto de Egresos Municipal, denominado </w:t>
      </w:r>
      <w:r w:rsidRPr="00F536FA">
        <w:rPr>
          <w:rFonts w:ascii="Palatino Linotype" w:eastAsia="MS Mincho" w:hAnsi="Palatino Linotype" w:cs="Times New Roman"/>
          <w:b/>
          <w:bCs/>
          <w:sz w:val="24"/>
          <w:szCs w:val="24"/>
          <w:lang w:val="es-ES_tradnl" w:eastAsia="es-ES"/>
        </w:rPr>
        <w:t>“Lineamientos para la Entrega del Presupuesto de Egresos Municipal”</w:t>
      </w:r>
      <w:r w:rsidRPr="00F536FA">
        <w:rPr>
          <w:rFonts w:ascii="Palatino Linotype" w:eastAsia="MS Mincho" w:hAnsi="Palatino Linotype" w:cs="Times New Roman"/>
          <w:sz w:val="24"/>
          <w:szCs w:val="24"/>
          <w:lang w:val="es-ES_tradnl" w:eastAsia="es-ES"/>
        </w:rPr>
        <w:t>, cuyo objetivo es establecer las especificaciones necesarias para que las entidades fiscales elaboren y presenten el Presupuesto de mérito.</w:t>
      </w:r>
    </w:p>
    <w:p w14:paraId="6205B444"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21414C58" w14:textId="5D324AB8"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 </w:t>
      </w:r>
      <w:r w:rsidRPr="00F536FA">
        <w:rPr>
          <w:rFonts w:ascii="Palatino Linotype" w:eastAsia="MS Mincho" w:hAnsi="Palatino Linotype" w:cs="Times New Roman"/>
          <w:sz w:val="24"/>
          <w:szCs w:val="24"/>
          <w:lang w:val="es-ES_tradnl" w:eastAsia="es-ES"/>
        </w:rPr>
        <w:t xml:space="preserve">conformidad con el artículo 125, párrafo cuarto, de la Constitución Política de los Estados Unidos Mexicanos, en concordancia en el numeral 47 de la Ley de Fiscalización Superior del Estado de México y Municipios, los Presidentes Municipales estarán obligados a promulgar y entregar al Órgano Superior de </w:t>
      </w:r>
      <w:r w:rsidRPr="00F536FA">
        <w:rPr>
          <w:rFonts w:ascii="Palatino Linotype" w:eastAsia="MS Mincho" w:hAnsi="Palatino Linotype" w:cs="Times New Roman"/>
          <w:sz w:val="24"/>
          <w:szCs w:val="24"/>
          <w:lang w:val="es-ES_tradnl" w:eastAsia="es-ES"/>
        </w:rPr>
        <w:lastRenderedPageBreak/>
        <w:t>Fiscalización, a más tardar el veinticinco (25) de febrero de casa año, el Presupuesto de Egresos Municipal.</w:t>
      </w:r>
    </w:p>
    <w:p w14:paraId="5AF24746"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1023DBCA" w14:textId="779A8E30"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w:t>
      </w:r>
      <w:r w:rsidRPr="00F536FA">
        <w:rPr>
          <w:rFonts w:ascii="Palatino Linotype" w:eastAsia="MS Mincho" w:hAnsi="Palatino Linotype" w:cs="Times New Roman"/>
          <w:sz w:val="24"/>
          <w:szCs w:val="24"/>
          <w:lang w:val="es-ES_tradnl" w:eastAsia="es-ES"/>
        </w:rPr>
        <w:t>otro lado, la integración del Presupuesto de Egresos Municipal se entregará de manera física al Órgano Superior de Fiscalización del Estado de México, y estará compuesto de la siguiente manera:</w:t>
      </w:r>
    </w:p>
    <w:p w14:paraId="296E1F40" w14:textId="59B97B7A"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28BB455A" w14:textId="77777777" w:rsidR="00705829" w:rsidRPr="00F536FA" w:rsidRDefault="00705829" w:rsidP="00705829">
      <w:pPr>
        <w:pStyle w:val="Prrafodelista"/>
        <w:autoSpaceDE w:val="0"/>
        <w:autoSpaceDN w:val="0"/>
        <w:adjustRightInd w:val="0"/>
        <w:spacing w:line="276" w:lineRule="auto"/>
        <w:ind w:left="567" w:right="616"/>
        <w:jc w:val="both"/>
        <w:rPr>
          <w:rFonts w:ascii="Palatino Linotype" w:hAnsi="Palatino Linotype" w:cs="Arial"/>
          <w:i/>
          <w:iCs/>
        </w:rPr>
      </w:pPr>
      <w:r w:rsidRPr="00F536FA">
        <w:rPr>
          <w:rFonts w:ascii="Palatino Linotype" w:hAnsi="Palatino Linotype" w:cs="Arial"/>
          <w:b/>
          <w:i/>
          <w:iCs/>
        </w:rPr>
        <w:t>a)</w:t>
      </w:r>
      <w:r w:rsidRPr="00F536FA">
        <w:rPr>
          <w:rFonts w:ascii="Palatino Linotype" w:hAnsi="Palatino Linotype" w:cs="Arial"/>
          <w:i/>
          <w:iCs/>
        </w:rPr>
        <w:t xml:space="preserve"> Información impresa.</w:t>
      </w:r>
    </w:p>
    <w:p w14:paraId="33604FDC" w14:textId="77777777" w:rsidR="00705829" w:rsidRPr="00F536FA" w:rsidRDefault="00705829" w:rsidP="00705829">
      <w:pPr>
        <w:pStyle w:val="Prrafodelista"/>
        <w:autoSpaceDE w:val="0"/>
        <w:autoSpaceDN w:val="0"/>
        <w:adjustRightInd w:val="0"/>
        <w:spacing w:line="276" w:lineRule="auto"/>
        <w:ind w:left="567" w:right="616"/>
        <w:jc w:val="both"/>
        <w:rPr>
          <w:rFonts w:ascii="Palatino Linotype" w:eastAsia="Arial" w:hAnsi="Palatino Linotype" w:cs="Arial"/>
          <w:sz w:val="20"/>
        </w:rPr>
      </w:pPr>
      <w:r w:rsidRPr="00F536FA">
        <w:rPr>
          <w:rFonts w:ascii="Palatino Linotype" w:hAnsi="Palatino Linotype" w:cs="Arial"/>
          <w:b/>
          <w:i/>
          <w:iCs/>
        </w:rPr>
        <w:t>b)</w:t>
      </w:r>
      <w:r w:rsidRPr="00F536FA">
        <w:rPr>
          <w:rFonts w:ascii="Palatino Linotype" w:hAnsi="Palatino Linotype" w:cs="Arial"/>
          <w:i/>
          <w:iCs/>
        </w:rPr>
        <w:t xml:space="preserve"> Información en medio de almacenamiento electrónico, disco compacto (CD).</w:t>
      </w:r>
    </w:p>
    <w:p w14:paraId="34F2B3B1" w14:textId="77777777" w:rsidR="00705829" w:rsidRPr="00F536FA" w:rsidRDefault="00705829" w:rsidP="00E6523F">
      <w:pPr>
        <w:spacing w:after="0" w:line="360" w:lineRule="auto"/>
        <w:ind w:right="49"/>
        <w:contextualSpacing/>
        <w:jc w:val="both"/>
        <w:rPr>
          <w:rFonts w:ascii="Palatino Linotype" w:hAnsi="Palatino Linotype" w:cs="Arial"/>
          <w:color w:val="000000" w:themeColor="text1"/>
          <w:sz w:val="24"/>
        </w:rPr>
      </w:pPr>
    </w:p>
    <w:p w14:paraId="520068CC" w14:textId="58FCD457"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w:t>
      </w:r>
      <w:r w:rsidRPr="00F536FA">
        <w:rPr>
          <w:rFonts w:ascii="Palatino Linotype" w:eastAsia="MS Mincho" w:hAnsi="Palatino Linotype" w:cs="Times New Roman"/>
          <w:sz w:val="24"/>
          <w:szCs w:val="24"/>
          <w:lang w:val="es-ES_tradnl" w:eastAsia="es-ES"/>
        </w:rPr>
        <w:t xml:space="preserve">cuanto hace a la información impresa y en medio de almacenamiento electrónico, los </w:t>
      </w:r>
      <w:r w:rsidRPr="00F536FA">
        <w:rPr>
          <w:rFonts w:ascii="Palatino Linotype" w:eastAsia="MS Mincho" w:hAnsi="Palatino Linotype" w:cs="Times New Roman"/>
          <w:b/>
          <w:bCs/>
          <w:i/>
          <w:iCs/>
          <w:sz w:val="24"/>
          <w:szCs w:val="24"/>
          <w:lang w:val="es-ES_tradnl" w:eastAsia="es-ES"/>
        </w:rPr>
        <w:t>Lineamientos para la Entrega del Presupuesto de Egresos Municipal 2020</w:t>
      </w:r>
      <w:r w:rsidRPr="00F536FA">
        <w:rPr>
          <w:rFonts w:ascii="Palatino Linotype" w:eastAsia="MS Mincho" w:hAnsi="Palatino Linotype" w:cs="Times New Roman"/>
          <w:sz w:val="24"/>
          <w:szCs w:val="24"/>
          <w:lang w:val="es-ES_tradnl" w:eastAsia="es-ES"/>
        </w:rPr>
        <w:t>, refieren que comprenderá documentos digitalizados y en formato PDF y TXT, la cual se integrará de la siguiente manera:</w:t>
      </w:r>
    </w:p>
    <w:p w14:paraId="3718446C" w14:textId="14BFA03B"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1672C596" w14:textId="07221BE8" w:rsidR="00705829" w:rsidRPr="00F536FA" w:rsidRDefault="00705829" w:rsidP="00705829">
      <w:pPr>
        <w:spacing w:after="0" w:line="360" w:lineRule="auto"/>
        <w:ind w:right="49"/>
        <w:contextualSpacing/>
        <w:jc w:val="center"/>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w:drawing>
          <wp:inline distT="0" distB="0" distL="0" distR="0" wp14:anchorId="10F4F5CC" wp14:editId="20864071">
            <wp:extent cx="3961130" cy="2119374"/>
            <wp:effectExtent l="57150" t="57150" r="96520" b="908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832" cy="21336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954CE7" w14:textId="73AFA40A" w:rsidR="00705829" w:rsidRPr="00F536FA" w:rsidRDefault="00705829" w:rsidP="00705829">
      <w:pPr>
        <w:spacing w:after="0" w:line="360" w:lineRule="auto"/>
        <w:ind w:right="49"/>
        <w:contextualSpacing/>
        <w:jc w:val="center"/>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w:lastRenderedPageBreak/>
        <w:drawing>
          <wp:inline distT="0" distB="0" distL="0" distR="0" wp14:anchorId="3435012E" wp14:editId="707B0AC3">
            <wp:extent cx="3970886" cy="3679640"/>
            <wp:effectExtent l="57150" t="57150" r="86995" b="927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327" cy="36930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D03E5" w14:textId="77777777" w:rsidR="00705829" w:rsidRPr="00F536FA" w:rsidRDefault="00705829" w:rsidP="00E6523F">
      <w:pPr>
        <w:spacing w:after="0" w:line="360" w:lineRule="auto"/>
        <w:ind w:right="49"/>
        <w:contextualSpacing/>
        <w:jc w:val="both"/>
        <w:rPr>
          <w:rFonts w:ascii="Palatino Linotype" w:hAnsi="Palatino Linotype" w:cs="Arial"/>
          <w:color w:val="000000" w:themeColor="text1"/>
          <w:sz w:val="24"/>
        </w:rPr>
      </w:pPr>
    </w:p>
    <w:p w14:paraId="507A70D3" w14:textId="149C5F22"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w:t>
      </w:r>
      <w:r w:rsidRPr="00F536FA">
        <w:rPr>
          <w:rFonts w:ascii="Palatino Linotype" w:eastAsia="MS Mincho" w:hAnsi="Palatino Linotype" w:cs="Times New Roman"/>
          <w:sz w:val="24"/>
          <w:szCs w:val="24"/>
          <w:lang w:val="es-ES_tradnl" w:eastAsia="es-ES"/>
        </w:rPr>
        <w:t xml:space="preserve">ese tenor, se aprecia que, de manera enunciativa mas no limitativa, el Presupuesto de Egresos Municipal de los ejercicios 2015, 2016, 2017 y 2018 son los instrumentos que contienen la información relativa al costo de la realización de la Feria Ixtlahuaca 2015, 2016, 2017 y 2018; y, que de acuerdo con los Lineamientos en estudio, se podrían identificar dentro de los formatos </w:t>
      </w:r>
      <w:r w:rsidRPr="00F536FA">
        <w:rPr>
          <w:rFonts w:ascii="Palatino Linotype" w:eastAsia="MS Mincho" w:hAnsi="Palatino Linotype" w:cs="Times New Roman"/>
          <w:i/>
          <w:iCs/>
          <w:sz w:val="24"/>
          <w:szCs w:val="24"/>
          <w:lang w:val="es-ES_tradnl" w:eastAsia="es-ES"/>
        </w:rPr>
        <w:t>PbRM-04c,</w:t>
      </w:r>
      <w:r w:rsidRPr="00F536FA">
        <w:rPr>
          <w:rFonts w:ascii="Palatino Linotype" w:eastAsia="MS Mincho" w:hAnsi="Palatino Linotype" w:cs="Times New Roman"/>
          <w:sz w:val="24"/>
          <w:szCs w:val="24"/>
          <w:lang w:val="es-ES_tradnl" w:eastAsia="es-ES"/>
        </w:rPr>
        <w:t xml:space="preserve"> cuya función consiste en presentar a nivel capítulo el total del Presupuesto Autorizado de Ingresos del municipio para el ejercicio presupuestal, el cual, se integra con los datos globales del Presupuesto de Ingresos</w:t>
      </w:r>
      <w:r w:rsidRPr="00F536FA">
        <w:rPr>
          <w:rStyle w:val="Refdenotaalpie"/>
          <w:rFonts w:ascii="Palatino Linotype" w:eastAsia="MS Mincho" w:hAnsi="Palatino Linotype" w:cs="Times New Roman"/>
          <w:sz w:val="24"/>
          <w:szCs w:val="24"/>
          <w:lang w:eastAsia="es-ES"/>
        </w:rPr>
        <w:footnoteReference w:id="7"/>
      </w:r>
      <w:r w:rsidRPr="00F536FA">
        <w:rPr>
          <w:rFonts w:ascii="Palatino Linotype" w:eastAsia="MS Mincho" w:hAnsi="Palatino Linotype" w:cs="Times New Roman"/>
          <w:sz w:val="24"/>
          <w:szCs w:val="24"/>
          <w:lang w:eastAsia="es-ES"/>
        </w:rPr>
        <w:t>. Se comparte a continuación el instructivo de llenado de las carátulas de los formatos como mera referencia:</w:t>
      </w:r>
    </w:p>
    <w:p w14:paraId="2D1674D3" w14:textId="4DFA539F"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1766E46A" w14:textId="4F88218D" w:rsidR="00705829" w:rsidRPr="00F536FA" w:rsidRDefault="00705829" w:rsidP="00705829">
      <w:pPr>
        <w:spacing w:after="0" w:line="360" w:lineRule="auto"/>
        <w:ind w:right="49"/>
        <w:contextualSpacing/>
        <w:jc w:val="center"/>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w:drawing>
          <wp:inline distT="0" distB="0" distL="0" distR="0" wp14:anchorId="347C052D" wp14:editId="14DF58DB">
            <wp:extent cx="4129428" cy="2675304"/>
            <wp:effectExtent l="57150" t="57150" r="99695" b="869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9106" cy="26945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7672B8" w14:textId="77777777" w:rsidR="00705829" w:rsidRPr="00F536FA" w:rsidRDefault="00705829" w:rsidP="00E6523F">
      <w:pPr>
        <w:spacing w:after="0" w:line="360" w:lineRule="auto"/>
        <w:ind w:right="49"/>
        <w:contextualSpacing/>
        <w:jc w:val="both"/>
        <w:rPr>
          <w:rFonts w:ascii="Palatino Linotype" w:hAnsi="Palatino Linotype" w:cs="Arial"/>
          <w:color w:val="000000" w:themeColor="text1"/>
          <w:sz w:val="24"/>
        </w:rPr>
      </w:pPr>
    </w:p>
    <w:p w14:paraId="6E398DB1" w14:textId="5D6AFC82" w:rsidR="00E6523F" w:rsidRPr="00F536FA" w:rsidRDefault="0070582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Consecuencia </w:t>
      </w:r>
      <w:r w:rsidRPr="00F536FA">
        <w:rPr>
          <w:rFonts w:ascii="Palatino Linotype" w:eastAsia="MS Mincho" w:hAnsi="Palatino Linotype" w:cs="Times New Roman"/>
          <w:sz w:val="24"/>
          <w:szCs w:val="24"/>
          <w:lang w:val="es-ES_tradnl" w:eastAsia="es-ES"/>
        </w:rPr>
        <w:t xml:space="preserve">de lo anterior, este Órgano Garante determina </w:t>
      </w:r>
      <w:r w:rsidRPr="00F536FA">
        <w:rPr>
          <w:rFonts w:ascii="Palatino Linotype" w:eastAsia="MS Mincho" w:hAnsi="Palatino Linotype" w:cs="Times New Roman"/>
          <w:b/>
          <w:sz w:val="24"/>
          <w:szCs w:val="24"/>
          <w:lang w:val="es-ES_tradnl" w:eastAsia="es-ES"/>
        </w:rPr>
        <w:t xml:space="preserve">ordenar </w:t>
      </w:r>
      <w:r w:rsidRPr="00F536FA">
        <w:rPr>
          <w:rFonts w:ascii="Palatino Linotype" w:eastAsia="MS Mincho" w:hAnsi="Palatino Linotype" w:cs="Times New Roman"/>
          <w:bCs/>
          <w:sz w:val="24"/>
          <w:szCs w:val="24"/>
          <w:lang w:val="es-ES_tradnl" w:eastAsia="es-ES"/>
        </w:rPr>
        <w:t xml:space="preserve">al </w:t>
      </w:r>
      <w:r w:rsidRPr="00F536FA">
        <w:rPr>
          <w:rFonts w:ascii="Palatino Linotype" w:eastAsia="MS Mincho" w:hAnsi="Palatino Linotype" w:cs="Times New Roman"/>
          <w:b/>
          <w:sz w:val="24"/>
          <w:szCs w:val="24"/>
          <w:lang w:val="es-ES_tradnl" w:eastAsia="es-ES"/>
        </w:rPr>
        <w:t>SUJETO OBLIGADO,</w:t>
      </w:r>
      <w:r w:rsidRPr="00F536FA">
        <w:rPr>
          <w:rFonts w:ascii="Palatino Linotype" w:eastAsia="MS Mincho" w:hAnsi="Palatino Linotype" w:cs="Times New Roman"/>
          <w:sz w:val="24"/>
          <w:szCs w:val="24"/>
          <w:lang w:val="es-ES_tradnl" w:eastAsia="es-ES"/>
        </w:rPr>
        <w:t xml:space="preserve"> entregar </w:t>
      </w:r>
      <w:bookmarkStart w:id="33" w:name="_Hlk50036968"/>
      <w:r w:rsidRPr="00F536FA">
        <w:rPr>
          <w:rFonts w:ascii="Palatino Linotype" w:eastAsia="MS Mincho" w:hAnsi="Palatino Linotype" w:cs="Times New Roman"/>
          <w:sz w:val="24"/>
          <w:szCs w:val="24"/>
          <w:lang w:val="es-ES_tradnl" w:eastAsia="es-ES"/>
        </w:rPr>
        <w:t xml:space="preserve">los documentos </w:t>
      </w:r>
      <w:bookmarkEnd w:id="33"/>
      <w:r w:rsidRPr="00F536FA">
        <w:rPr>
          <w:rFonts w:ascii="Palatino Linotype" w:eastAsia="MS Mincho" w:hAnsi="Palatino Linotype" w:cs="Times New Roman"/>
          <w:sz w:val="24"/>
          <w:szCs w:val="24"/>
          <w:lang w:val="es-ES_tradnl" w:eastAsia="es-ES"/>
        </w:rPr>
        <w:t>donde conste el costo por la realización de la Feria Ixtlahuaca, en sus ediciones 2015, 2016, 2017 y 2018.</w:t>
      </w:r>
    </w:p>
    <w:p w14:paraId="164BCE44" w14:textId="39B832F9"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6A884CA7" w14:textId="7EAE668B" w:rsidR="007A75CB" w:rsidRPr="00F536FA" w:rsidRDefault="007A75CB" w:rsidP="007A75CB">
      <w:pPr>
        <w:pStyle w:val="Ttulo3"/>
        <w:rPr>
          <w:rFonts w:ascii="Palatino Linotype" w:hAnsi="Palatino Linotype" w:cs="Arial"/>
          <w:b/>
          <w:bCs/>
          <w:color w:val="000000" w:themeColor="text1"/>
        </w:rPr>
      </w:pPr>
      <w:bookmarkStart w:id="34" w:name="_Toc54316037"/>
      <w:r w:rsidRPr="00F536FA">
        <w:rPr>
          <w:rFonts w:ascii="Palatino Linotype" w:hAnsi="Palatino Linotype" w:cs="Arial"/>
          <w:b/>
          <w:bCs/>
          <w:color w:val="000000" w:themeColor="text1"/>
        </w:rPr>
        <w:t>III.III De los programas y eventos artísticos de la Feria Ixtlahuaca 2015-2019.</w:t>
      </w:r>
      <w:bookmarkEnd w:id="34"/>
    </w:p>
    <w:p w14:paraId="11C0A7B4" w14:textId="77777777" w:rsidR="007A75CB" w:rsidRPr="00F536FA" w:rsidRDefault="007A75CB" w:rsidP="00E6523F">
      <w:pPr>
        <w:spacing w:after="0" w:line="360" w:lineRule="auto"/>
        <w:ind w:right="49"/>
        <w:contextualSpacing/>
        <w:jc w:val="both"/>
        <w:rPr>
          <w:rFonts w:ascii="Palatino Linotype" w:hAnsi="Palatino Linotype" w:cs="Arial"/>
          <w:color w:val="000000" w:themeColor="text1"/>
          <w:sz w:val="24"/>
        </w:rPr>
      </w:pPr>
    </w:p>
    <w:p w14:paraId="7051F9E4" w14:textId="5E63CD32" w:rsidR="00E6523F" w:rsidRPr="00F536FA" w:rsidRDefault="007A75CB"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El entonces </w:t>
      </w:r>
      <w:r w:rsidRPr="00F536FA">
        <w:rPr>
          <w:rFonts w:ascii="Palatino Linotype" w:hAnsi="Palatino Linotype" w:cs="Arial"/>
          <w:b/>
          <w:bCs/>
          <w:color w:val="000000" w:themeColor="text1"/>
          <w:sz w:val="24"/>
        </w:rPr>
        <w:t>SOLICITANTE</w:t>
      </w:r>
      <w:r w:rsidRPr="00F536FA">
        <w:rPr>
          <w:rFonts w:ascii="Palatino Linotype" w:hAnsi="Palatino Linotype" w:cs="Arial"/>
          <w:color w:val="000000" w:themeColor="text1"/>
          <w:sz w:val="24"/>
        </w:rPr>
        <w:t xml:space="preserve"> requirió los programas y eventos artísticos de la Feria Ixtlahuaca de sus ediciones 2015, 2016, 2017, 2018 y 2019. Por su parte,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dentro del archivo denominado </w:t>
      </w:r>
      <w:r w:rsidRPr="00F536FA">
        <w:rPr>
          <w:rFonts w:ascii="Palatino Linotype" w:hAnsi="Palatino Linotype" w:cs="Arial"/>
          <w:b/>
          <w:bCs/>
          <w:i/>
          <w:iCs/>
          <w:color w:val="000000" w:themeColor="text1"/>
          <w:sz w:val="24"/>
        </w:rPr>
        <w:t>“RESP. SOL. 72</w:t>
      </w:r>
      <w:proofErr w:type="gramStart"/>
      <w:r w:rsidRPr="00F536FA">
        <w:rPr>
          <w:rFonts w:ascii="Palatino Linotype" w:hAnsi="Palatino Linotype" w:cs="Arial"/>
          <w:b/>
          <w:bCs/>
          <w:i/>
          <w:iCs/>
          <w:color w:val="000000" w:themeColor="text1"/>
          <w:sz w:val="24"/>
        </w:rPr>
        <w:t>.pdf</w:t>
      </w:r>
      <w:proofErr w:type="gramEnd"/>
      <w:r w:rsidRPr="00F536FA">
        <w:rPr>
          <w:rFonts w:ascii="Palatino Linotype" w:hAnsi="Palatino Linotype" w:cs="Arial"/>
          <w:b/>
          <w:bCs/>
          <w:i/>
          <w:iCs/>
          <w:color w:val="000000" w:themeColor="text1"/>
          <w:sz w:val="24"/>
        </w:rPr>
        <w:t>”</w:t>
      </w:r>
      <w:r w:rsidR="006F3A12" w:rsidRPr="00F536FA">
        <w:rPr>
          <w:rFonts w:ascii="Palatino Linotype" w:hAnsi="Palatino Linotype" w:cs="Arial"/>
          <w:color w:val="000000" w:themeColor="text1"/>
          <w:sz w:val="24"/>
        </w:rPr>
        <w:t xml:space="preserve">, los programas de la Feria Ixtlahuaca 2019 que contemplan los eventos que se realizaron del veintiocho (28) de septiembre al trece de (13) de octubre de la misma anualidad, así como un documento que enlista a los </w:t>
      </w:r>
      <w:r w:rsidR="006F3A12" w:rsidRPr="00F536FA">
        <w:rPr>
          <w:rFonts w:ascii="Palatino Linotype" w:hAnsi="Palatino Linotype" w:cs="Arial"/>
          <w:i/>
          <w:iCs/>
          <w:color w:val="000000" w:themeColor="text1"/>
          <w:sz w:val="24"/>
        </w:rPr>
        <w:t xml:space="preserve">elencos artísticos más </w:t>
      </w:r>
      <w:r w:rsidR="006F3A12" w:rsidRPr="00F536FA">
        <w:rPr>
          <w:rFonts w:ascii="Palatino Linotype" w:hAnsi="Palatino Linotype" w:cs="Arial"/>
          <w:i/>
          <w:iCs/>
          <w:color w:val="000000" w:themeColor="text1"/>
          <w:sz w:val="24"/>
        </w:rPr>
        <w:lastRenderedPageBreak/>
        <w:t xml:space="preserve">destacados </w:t>
      </w:r>
      <w:r w:rsidR="006F3A12" w:rsidRPr="00F536FA">
        <w:rPr>
          <w:rFonts w:ascii="Palatino Linotype" w:hAnsi="Palatino Linotype" w:cs="Arial"/>
          <w:color w:val="000000" w:themeColor="text1"/>
          <w:sz w:val="24"/>
        </w:rPr>
        <w:t>de la Feria Ixtlahuaca 2019. Se adjuntan a continuación las imágenes de un par de programas como mera referencia:</w:t>
      </w:r>
    </w:p>
    <w:p w14:paraId="021F50AA" w14:textId="35C3E922"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37D37B65" w14:textId="71C51907" w:rsidR="006F3A12" w:rsidRPr="00F536FA" w:rsidRDefault="006F3A12" w:rsidP="006F3A12">
      <w:pPr>
        <w:spacing w:after="0" w:line="360" w:lineRule="auto"/>
        <w:ind w:right="49"/>
        <w:contextualSpacing/>
        <w:jc w:val="center"/>
        <w:rPr>
          <w:rFonts w:ascii="Palatino Linotype" w:hAnsi="Palatino Linotype" w:cs="Arial"/>
          <w:color w:val="000000" w:themeColor="text1"/>
          <w:sz w:val="24"/>
        </w:rPr>
      </w:pPr>
      <w:r w:rsidRPr="00F536FA">
        <w:rPr>
          <w:noProof/>
          <w:lang w:eastAsia="es-MX"/>
        </w:rPr>
        <w:drawing>
          <wp:inline distT="0" distB="0" distL="0" distR="0" wp14:anchorId="4A632854" wp14:editId="0E140B54">
            <wp:extent cx="4739790" cy="4648200"/>
            <wp:effectExtent l="57150" t="57150" r="99060"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0" t="25501" r="59552" b="12872"/>
                    <a:stretch/>
                  </pic:blipFill>
                  <pic:spPr bwMode="auto">
                    <a:xfrm>
                      <a:off x="0" y="0"/>
                      <a:ext cx="4762422" cy="46703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18F9E9" w14:textId="77777777" w:rsidR="006F3A12" w:rsidRPr="00F536FA" w:rsidRDefault="006F3A12" w:rsidP="00E6523F">
      <w:pPr>
        <w:spacing w:after="0" w:line="360" w:lineRule="auto"/>
        <w:ind w:right="49"/>
        <w:contextualSpacing/>
        <w:jc w:val="both"/>
        <w:rPr>
          <w:rFonts w:ascii="Palatino Linotype" w:hAnsi="Palatino Linotype" w:cs="Arial"/>
          <w:color w:val="000000" w:themeColor="text1"/>
          <w:sz w:val="24"/>
        </w:rPr>
      </w:pPr>
    </w:p>
    <w:p w14:paraId="7F6AD739" w14:textId="5F0EB926" w:rsidR="00E6523F" w:rsidRPr="00F536FA" w:rsidRDefault="006F3A12"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 la imagen anterior, se determina que el programa refleja los eventos artísticos que se realizarán en el día específico, junto con su horario y ubicación; por lo anterior,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determina como </w:t>
      </w:r>
      <w:r w:rsidRPr="00F536FA">
        <w:rPr>
          <w:rFonts w:ascii="Palatino Linotype" w:hAnsi="Palatino Linotype" w:cs="Arial"/>
          <w:b/>
          <w:bCs/>
          <w:color w:val="000000" w:themeColor="text1"/>
          <w:sz w:val="24"/>
        </w:rPr>
        <w:t>colmado</w:t>
      </w:r>
      <w:r w:rsidRPr="00F536FA">
        <w:rPr>
          <w:rFonts w:ascii="Palatino Linotype" w:hAnsi="Palatino Linotype" w:cs="Arial"/>
          <w:color w:val="000000" w:themeColor="text1"/>
          <w:sz w:val="24"/>
        </w:rPr>
        <w:t xml:space="preserve"> el requerimiento relativo al programa y eventos artísticos de la Feria Ixtlahuaca 2019.</w:t>
      </w:r>
    </w:p>
    <w:p w14:paraId="1A848145"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44DA7327" w14:textId="395DB1C4" w:rsidR="00E6523F" w:rsidRPr="00F536FA" w:rsidRDefault="006F3A12"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No obstante, por cuanto hace a los programas y eventos artísticos de la Feria Ixtlahuaca 2015, 2016, 2017 y 2018, el Director de Administración, mediante el oficio </w:t>
      </w:r>
      <w:r w:rsidR="007D40F4" w:rsidRPr="00F536FA">
        <w:rPr>
          <w:rFonts w:ascii="Palatino Linotype" w:hAnsi="Palatino Linotype" w:cs="Arial"/>
          <w:color w:val="000000" w:themeColor="text1"/>
          <w:sz w:val="24"/>
        </w:rPr>
        <w:t>PMIX/DA/517/2020, refirió que “[c]</w:t>
      </w:r>
      <w:proofErr w:type="spellStart"/>
      <w:r w:rsidR="007D40F4" w:rsidRPr="00F536FA">
        <w:rPr>
          <w:rFonts w:ascii="Palatino Linotype" w:hAnsi="Palatino Linotype" w:cs="Arial"/>
          <w:i/>
          <w:iCs/>
          <w:color w:val="000000" w:themeColor="text1"/>
          <w:sz w:val="24"/>
        </w:rPr>
        <w:t>on</w:t>
      </w:r>
      <w:proofErr w:type="spellEnd"/>
      <w:r w:rsidR="007D40F4" w:rsidRPr="00F536FA">
        <w:rPr>
          <w:rFonts w:ascii="Palatino Linotype" w:hAnsi="Palatino Linotype" w:cs="Arial"/>
          <w:i/>
          <w:iCs/>
          <w:color w:val="000000" w:themeColor="text1"/>
          <w:sz w:val="24"/>
        </w:rPr>
        <w:t xml:space="preserve"> </w:t>
      </w:r>
      <w:proofErr w:type="spellStart"/>
      <w:r w:rsidR="007D40F4" w:rsidRPr="00F536FA">
        <w:rPr>
          <w:rFonts w:ascii="Palatino Linotype" w:hAnsi="Palatino Linotype" w:cs="Arial"/>
          <w:i/>
          <w:iCs/>
          <w:color w:val="000000" w:themeColor="text1"/>
          <w:sz w:val="24"/>
        </w:rPr>
        <w:t>referneica</w:t>
      </w:r>
      <w:proofErr w:type="spellEnd"/>
      <w:r w:rsidR="007D40F4" w:rsidRPr="00F536FA">
        <w:rPr>
          <w:rFonts w:ascii="Palatino Linotype" w:hAnsi="Palatino Linotype" w:cs="Arial"/>
          <w:i/>
          <w:iCs/>
          <w:color w:val="000000" w:themeColor="text1"/>
          <w:sz w:val="24"/>
        </w:rPr>
        <w:t xml:space="preserve"> </w:t>
      </w:r>
      <w:r w:rsidR="007D40F4" w:rsidRPr="00F536FA">
        <w:rPr>
          <w:rFonts w:ascii="Palatino Linotype" w:hAnsi="Palatino Linotype" w:cs="Arial"/>
          <w:color w:val="000000" w:themeColor="text1"/>
          <w:sz w:val="24"/>
        </w:rPr>
        <w:t>[a]</w:t>
      </w:r>
      <w:r w:rsidR="007D40F4" w:rsidRPr="00F536FA">
        <w:rPr>
          <w:rFonts w:ascii="Palatino Linotype" w:hAnsi="Palatino Linotype" w:cs="Arial"/>
          <w:i/>
          <w:iCs/>
          <w:color w:val="000000" w:themeColor="text1"/>
          <w:sz w:val="24"/>
        </w:rPr>
        <w:t xml:space="preserve"> (…) los programas y elencos artísticos de cada edición; se informa que resulta difícil precisar el costo total de la realización de las ferias 2015-2018”</w:t>
      </w:r>
      <w:r w:rsidR="007D40F4" w:rsidRPr="00F536FA">
        <w:rPr>
          <w:rFonts w:ascii="Palatino Linotype" w:hAnsi="Palatino Linotype" w:cs="Arial"/>
          <w:color w:val="000000" w:themeColor="text1"/>
          <w:sz w:val="24"/>
        </w:rPr>
        <w:t>, en ese tenor, se aprecia que no se pronunció al respecto.</w:t>
      </w:r>
    </w:p>
    <w:p w14:paraId="41A41C4E"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7186BF70" w14:textId="3665DB8E" w:rsidR="00E6523F" w:rsidRPr="00F536FA" w:rsidRDefault="007D40F4"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Por ello, es esencial recordar que la Ley de Transparencia y Acceso a la Información Pública del Estado de México y Municipios</w:t>
      </w:r>
      <w:r w:rsidR="00BC3A05" w:rsidRPr="00F536FA">
        <w:rPr>
          <w:rFonts w:ascii="Palatino Linotype" w:hAnsi="Palatino Linotype" w:cs="Arial"/>
          <w:color w:val="000000" w:themeColor="text1"/>
          <w:sz w:val="24"/>
        </w:rPr>
        <w:t xml:space="preserve"> establece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00BC3A05" w:rsidRPr="00F536FA">
        <w:rPr>
          <w:rStyle w:val="Refdenotaalpie"/>
          <w:rFonts w:ascii="Palatino Linotype" w:hAnsi="Palatino Linotype" w:cs="Arial"/>
          <w:color w:val="000000" w:themeColor="text1"/>
          <w:sz w:val="24"/>
        </w:rPr>
        <w:footnoteReference w:id="8"/>
      </w:r>
      <w:r w:rsidR="00BC3A05" w:rsidRPr="00F536FA">
        <w:rPr>
          <w:rFonts w:ascii="Palatino Linotype" w:hAnsi="Palatino Linotype" w:cs="Arial"/>
          <w:color w:val="000000" w:themeColor="text1"/>
          <w:sz w:val="24"/>
        </w:rPr>
        <w:t>.</w:t>
      </w:r>
    </w:p>
    <w:p w14:paraId="307AF171"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17701CCD" w14:textId="1ECC9669" w:rsidR="00E6523F" w:rsidRPr="00F536FA" w:rsidRDefault="00BC3A05"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Asimismo, el artículo 12 de la Ley de la materia señala que quienes generen, recopilen, administren, manejen, procesen, archiven o conserven información pública </w:t>
      </w:r>
      <w:r w:rsidRPr="00F536FA">
        <w:rPr>
          <w:rFonts w:ascii="Palatino Linotype" w:hAnsi="Palatino Linotype" w:cs="Arial"/>
          <w:b/>
          <w:bCs/>
          <w:color w:val="000000" w:themeColor="text1"/>
          <w:sz w:val="24"/>
        </w:rPr>
        <w:t>serán responsables de la misma</w:t>
      </w:r>
      <w:r w:rsidRPr="00F536FA">
        <w:rPr>
          <w:rFonts w:ascii="Palatino Linotype" w:hAnsi="Palatino Linotype" w:cs="Arial"/>
          <w:color w:val="000000" w:themeColor="text1"/>
          <w:sz w:val="24"/>
        </w:rPr>
        <w:t xml:space="preserve"> en los términos de las disposiciones jurídicas aplicables. Por su parte, el numeral 19 refiere que se presume que la información debe existir si se refiere a las facultades, competencias y funciones que los ordenamientos jurídicos aplicables otorgan a los sujetos obligados.</w:t>
      </w:r>
    </w:p>
    <w:p w14:paraId="7FD22F49"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42581526" w14:textId="493A909E" w:rsidR="00E6523F" w:rsidRPr="00F536FA" w:rsidRDefault="00BC3A05"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En ese sentido,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no vislumbra ninguna situación que le genere algún impedimento al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para entregar la información solicitada, más aún cuando en su respuesta y posterior informe justificado demostró conocer -naturalmente- de la Feria Ixtlahuaca 2015, 2016, 2017 y 2018.</w:t>
      </w:r>
    </w:p>
    <w:p w14:paraId="1C344AF0"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2B080433" w14:textId="13194134" w:rsidR="00E6523F" w:rsidRPr="00F536FA" w:rsidRDefault="00BC3A05"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No es ocioso mencionar que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en un ejercicio para determinar la existencia de la información</w:t>
      </w:r>
      <w:r w:rsidR="00A76A6A" w:rsidRPr="00F536FA">
        <w:rPr>
          <w:rFonts w:ascii="Palatino Linotype" w:hAnsi="Palatino Linotype" w:cs="Arial"/>
          <w:color w:val="000000" w:themeColor="text1"/>
          <w:sz w:val="24"/>
        </w:rPr>
        <w:t xml:space="preserve"> realizó una investigación ligera a través </w:t>
      </w:r>
      <w:proofErr w:type="gramStart"/>
      <w:r w:rsidR="00A76A6A" w:rsidRPr="00F536FA">
        <w:rPr>
          <w:rFonts w:ascii="Palatino Linotype" w:hAnsi="Palatino Linotype" w:cs="Arial"/>
          <w:color w:val="000000" w:themeColor="text1"/>
          <w:sz w:val="24"/>
        </w:rPr>
        <w:t>de la</w:t>
      </w:r>
      <w:proofErr w:type="gramEnd"/>
      <w:r w:rsidR="00A76A6A" w:rsidRPr="00F536FA">
        <w:rPr>
          <w:rFonts w:ascii="Palatino Linotype" w:hAnsi="Palatino Linotype" w:cs="Arial"/>
          <w:color w:val="000000" w:themeColor="text1"/>
          <w:sz w:val="24"/>
        </w:rPr>
        <w:t xml:space="preserve"> internet y se encontró con los programas solicitados por el particular. Se muestran a continuación imágenes de los programas y sus eventos para efectos </w:t>
      </w:r>
      <w:proofErr w:type="spellStart"/>
      <w:r w:rsidR="00A76A6A" w:rsidRPr="00F536FA">
        <w:rPr>
          <w:rFonts w:ascii="Palatino Linotype" w:hAnsi="Palatino Linotype" w:cs="Arial"/>
          <w:color w:val="000000" w:themeColor="text1"/>
          <w:sz w:val="24"/>
        </w:rPr>
        <w:t>referenciativos</w:t>
      </w:r>
      <w:proofErr w:type="spellEnd"/>
      <w:r w:rsidR="00A76A6A" w:rsidRPr="00F536FA">
        <w:rPr>
          <w:rStyle w:val="Refdenotaalpie"/>
          <w:rFonts w:ascii="Palatino Linotype" w:hAnsi="Palatino Linotype" w:cs="Arial"/>
          <w:color w:val="000000" w:themeColor="text1"/>
          <w:sz w:val="24"/>
        </w:rPr>
        <w:footnoteReference w:id="9"/>
      </w:r>
      <w:r w:rsidR="00A76A6A" w:rsidRPr="00F536FA">
        <w:rPr>
          <w:rFonts w:ascii="Palatino Linotype" w:hAnsi="Palatino Linotype" w:cs="Arial"/>
          <w:color w:val="000000" w:themeColor="text1"/>
          <w:sz w:val="24"/>
        </w:rPr>
        <w:t>:</w:t>
      </w:r>
    </w:p>
    <w:p w14:paraId="010B85ED" w14:textId="6B61F490" w:rsidR="00A76A6A" w:rsidRPr="00F536FA" w:rsidRDefault="00A76A6A" w:rsidP="00A76A6A">
      <w:pPr>
        <w:spacing w:after="0" w:line="360" w:lineRule="auto"/>
        <w:ind w:right="49"/>
        <w:contextualSpacing/>
        <w:jc w:val="center"/>
        <w:rPr>
          <w:rFonts w:ascii="Palatino Linotype" w:hAnsi="Palatino Linotype" w:cs="Arial"/>
          <w:color w:val="000000" w:themeColor="text1"/>
          <w:sz w:val="24"/>
        </w:rPr>
      </w:pPr>
      <w:r w:rsidRPr="00F536FA">
        <w:rPr>
          <w:noProof/>
          <w:lang w:eastAsia="es-MX"/>
        </w:rPr>
        <w:drawing>
          <wp:inline distT="0" distB="0" distL="0" distR="0" wp14:anchorId="621DFE7C" wp14:editId="5ACF71E1">
            <wp:extent cx="4652010" cy="3126971"/>
            <wp:effectExtent l="57150" t="57150" r="91440" b="927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62" t="15483" r="19786" b="10443"/>
                    <a:stretch/>
                  </pic:blipFill>
                  <pic:spPr bwMode="auto">
                    <a:xfrm>
                      <a:off x="0" y="0"/>
                      <a:ext cx="4667061" cy="31370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F03B37" w14:textId="5739AA61" w:rsidR="00A76A6A" w:rsidRPr="00F536FA" w:rsidRDefault="00A76A6A" w:rsidP="00A76A6A">
      <w:pPr>
        <w:spacing w:after="0" w:line="360" w:lineRule="auto"/>
        <w:ind w:right="49"/>
        <w:contextualSpacing/>
        <w:jc w:val="center"/>
        <w:rPr>
          <w:rFonts w:ascii="Palatino Linotype" w:hAnsi="Palatino Linotype" w:cs="Arial"/>
          <w:color w:val="000000" w:themeColor="text1"/>
          <w:sz w:val="24"/>
        </w:rPr>
      </w:pPr>
      <w:r w:rsidRPr="00F536FA">
        <w:rPr>
          <w:noProof/>
          <w:lang w:eastAsia="es-MX"/>
        </w:rPr>
        <w:lastRenderedPageBreak/>
        <w:drawing>
          <wp:inline distT="0" distB="0" distL="0" distR="0" wp14:anchorId="5E8BE875" wp14:editId="58A001AD">
            <wp:extent cx="4410710" cy="3648180"/>
            <wp:effectExtent l="57150" t="57150" r="104140"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75" t="14921" r="25325" b="10780"/>
                    <a:stretch/>
                  </pic:blipFill>
                  <pic:spPr bwMode="auto">
                    <a:xfrm>
                      <a:off x="0" y="0"/>
                      <a:ext cx="4424506" cy="36595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4A2407" w14:textId="3A6CBAAE" w:rsidR="00A76A6A" w:rsidRPr="00F536FA" w:rsidRDefault="00A76A6A" w:rsidP="00A76A6A">
      <w:pPr>
        <w:spacing w:after="0" w:line="360" w:lineRule="auto"/>
        <w:ind w:right="49"/>
        <w:contextualSpacing/>
        <w:jc w:val="center"/>
        <w:rPr>
          <w:rFonts w:ascii="Palatino Linotype" w:hAnsi="Palatino Linotype" w:cs="Arial"/>
          <w:color w:val="000000" w:themeColor="text1"/>
          <w:sz w:val="24"/>
        </w:rPr>
      </w:pPr>
      <w:r w:rsidRPr="00F536FA">
        <w:rPr>
          <w:noProof/>
          <w:lang w:eastAsia="es-MX"/>
        </w:rPr>
        <w:drawing>
          <wp:inline distT="0" distB="0" distL="0" distR="0" wp14:anchorId="766385B4" wp14:editId="2B619F05">
            <wp:extent cx="3424146" cy="3314700"/>
            <wp:effectExtent l="57150" t="57150" r="100330" b="952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15" t="29144" r="43509" b="6496"/>
                    <a:stretch/>
                  </pic:blipFill>
                  <pic:spPr bwMode="auto">
                    <a:xfrm>
                      <a:off x="0" y="0"/>
                      <a:ext cx="3444026" cy="33339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6ED4EF" w14:textId="734ED458" w:rsidR="00E6523F" w:rsidRPr="00F536FA" w:rsidRDefault="00A76A6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Por lo anterior,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determina </w:t>
      </w:r>
      <w:r w:rsidRPr="00F536FA">
        <w:rPr>
          <w:rFonts w:ascii="Palatino Linotype" w:hAnsi="Palatino Linotype" w:cs="Arial"/>
          <w:b/>
          <w:bCs/>
          <w:color w:val="000000" w:themeColor="text1"/>
          <w:sz w:val="24"/>
        </w:rPr>
        <w:t>ordenar</w:t>
      </w:r>
      <w:r w:rsidRPr="00F536FA">
        <w:rPr>
          <w:rFonts w:ascii="Palatino Linotype" w:hAnsi="Palatino Linotype" w:cs="Arial"/>
          <w:color w:val="000000" w:themeColor="text1"/>
          <w:sz w:val="24"/>
        </w:rPr>
        <w:t xml:space="preserve"> al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realice una búsqueda exhaustiva y razonable en sus archivos a efecto de entregar al </w:t>
      </w:r>
      <w:r w:rsidRPr="00F536FA">
        <w:rPr>
          <w:rFonts w:ascii="Palatino Linotype" w:hAnsi="Palatino Linotype" w:cs="Arial"/>
          <w:b/>
          <w:bCs/>
          <w:color w:val="000000" w:themeColor="text1"/>
          <w:sz w:val="24"/>
        </w:rPr>
        <w:t>RECURRENTE</w:t>
      </w:r>
      <w:r w:rsidRPr="00F536FA">
        <w:rPr>
          <w:rFonts w:ascii="Palatino Linotype" w:hAnsi="Palatino Linotype" w:cs="Arial"/>
          <w:color w:val="000000" w:themeColor="text1"/>
          <w:sz w:val="24"/>
        </w:rPr>
        <w:t xml:space="preserve"> los documentos donde conste el programa y los eventos artísticos de la Feria de Ixtlahuaca, en sus ediciones 2015, 2016, 2017 y 2018</w:t>
      </w:r>
      <w:r w:rsidR="00306048" w:rsidRPr="00F536FA">
        <w:rPr>
          <w:rFonts w:ascii="Palatino Linotype" w:hAnsi="Palatino Linotype" w:cs="Arial"/>
          <w:color w:val="000000" w:themeColor="text1"/>
          <w:sz w:val="24"/>
        </w:rPr>
        <w:t>.</w:t>
      </w:r>
    </w:p>
    <w:p w14:paraId="287D9FFE"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39F18E67" w14:textId="75F9C417" w:rsidR="00E6523F" w:rsidRPr="00F536FA" w:rsidRDefault="0030604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Ahora bien, de ser el caso de que si realizada la búsqueda de la información, ésta no fuere localizada,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deberá entregar al </w:t>
      </w:r>
      <w:r w:rsidRPr="00F536FA">
        <w:rPr>
          <w:rFonts w:ascii="Palatino Linotype" w:hAnsi="Palatino Linotype" w:cs="Arial"/>
          <w:color w:val="000000" w:themeColor="text1"/>
          <w:sz w:val="24"/>
          <w:lang w:val="es-ES_tradnl"/>
        </w:rPr>
        <w:t>particular, el Acuerdo del Comité de Transparencia que sustente las razones de la inexistencia de la información solicitada de manera clara y precisa.</w:t>
      </w:r>
    </w:p>
    <w:p w14:paraId="31856EEC" w14:textId="77777777" w:rsidR="00E6523F" w:rsidRPr="00F536FA" w:rsidRDefault="00E6523F" w:rsidP="00E6523F">
      <w:pPr>
        <w:spacing w:after="0" w:line="360" w:lineRule="auto"/>
        <w:ind w:right="49"/>
        <w:contextualSpacing/>
        <w:jc w:val="both"/>
        <w:rPr>
          <w:rFonts w:ascii="Palatino Linotype" w:hAnsi="Palatino Linotype" w:cs="Arial"/>
          <w:color w:val="000000" w:themeColor="text1"/>
          <w:sz w:val="24"/>
        </w:rPr>
      </w:pPr>
    </w:p>
    <w:p w14:paraId="237D5C51" w14:textId="2B12EF71" w:rsidR="00E6523F" w:rsidRPr="00F536FA" w:rsidRDefault="0030604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La </w:t>
      </w:r>
      <w:r w:rsidRPr="00F536FA">
        <w:rPr>
          <w:rFonts w:ascii="Palatino Linotype" w:hAnsi="Palatino Linotype" w:cs="Arial"/>
          <w:color w:val="000000" w:themeColor="text1"/>
          <w:sz w:val="24"/>
          <w:lang w:val="es-ES_tradnl"/>
        </w:rPr>
        <w:t xml:space="preserve">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F536FA">
        <w:rPr>
          <w:rFonts w:ascii="Palatino Linotype" w:hAnsi="Palatino Linotype" w:cs="Arial"/>
          <w:b/>
          <w:color w:val="000000" w:themeColor="text1"/>
          <w:sz w:val="24"/>
          <w:lang w:val="es-ES_tradnl"/>
        </w:rPr>
        <w:t xml:space="preserve">SUJETO OBLIGADO </w:t>
      </w:r>
      <w:r w:rsidRPr="00F536FA">
        <w:rPr>
          <w:rFonts w:ascii="Palatino Linotype" w:hAnsi="Palatino Linotype" w:cs="Arial"/>
          <w:color w:val="000000" w:themeColor="text1"/>
          <w:sz w:val="24"/>
          <w:lang w:val="es-ES_tradnl"/>
        </w:rPr>
        <w:t>conforme a los artículos 47 y 49 fracciones II y XIII de la Ley de Transparencia y Acceso a la Información Pública del Estado de México y Municipios, que al efecto establecen:</w:t>
      </w:r>
    </w:p>
    <w:p w14:paraId="2676D26C" w14:textId="3A49B25A"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0F3BAF18" w14:textId="77777777" w:rsidR="00306048" w:rsidRPr="00F536FA" w:rsidRDefault="00306048" w:rsidP="00306048">
      <w:pPr>
        <w:pStyle w:val="Prrafodelista"/>
        <w:spacing w:line="276" w:lineRule="auto"/>
        <w:ind w:left="567" w:right="567"/>
        <w:jc w:val="both"/>
        <w:rPr>
          <w:rFonts w:ascii="Palatino Linotype" w:eastAsia="MS Mincho" w:hAnsi="Palatino Linotype" w:cs="Times New Roman"/>
          <w:i/>
        </w:rPr>
      </w:pPr>
      <w:r w:rsidRPr="00F536FA">
        <w:rPr>
          <w:rFonts w:ascii="Palatino Linotype" w:eastAsia="MS Mincho" w:hAnsi="Palatino Linotype"/>
          <w:i/>
        </w:rPr>
        <w:t>“</w:t>
      </w:r>
      <w:r w:rsidRPr="00F536FA">
        <w:rPr>
          <w:rFonts w:ascii="Palatino Linotype" w:eastAsia="MS Mincho" w:hAnsi="Palatino Linotype"/>
          <w:b/>
          <w:i/>
        </w:rPr>
        <w:t>Artículo 47.</w:t>
      </w:r>
      <w:r w:rsidRPr="00F536FA">
        <w:rPr>
          <w:rFonts w:ascii="Palatino Linotype" w:eastAsia="MS Mincho" w:hAnsi="Palatino Linotype"/>
          <w:i/>
        </w:rPr>
        <w:t xml:space="preserve"> </w:t>
      </w:r>
      <w:r w:rsidRPr="00F536FA">
        <w:rPr>
          <w:rFonts w:ascii="Palatino Linotype" w:eastAsia="MS Mincho" w:hAnsi="Palatino Linotype"/>
          <w:b/>
          <w:bCs/>
          <w:i/>
        </w:rPr>
        <w:t>El Comité de Transparencia será la autoridad máxima al interior del sujeto obligado en materia del derecho de acceso a la información.</w:t>
      </w:r>
    </w:p>
    <w:p w14:paraId="7FB8E76F"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393849B"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El Comité se reunirá en sesión ordinaria o extraordinaria las veces que estime necesario. El tipo de sesión se precisará en la convocatoria emitida.</w:t>
      </w:r>
    </w:p>
    <w:p w14:paraId="7D53351A"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C291DF4"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lastRenderedPageBreak/>
        <w:t>En las sesiones y trabajos del Comité, podrán participar como invitados permanentes, los representantes de las áreas que decida el Comité, y contará con derecho de voz, pero no voto.</w:t>
      </w:r>
    </w:p>
    <w:p w14:paraId="506F0F0D"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 xml:space="preserve">Los titulares de las unidades administrativas que </w:t>
      </w:r>
      <w:r w:rsidRPr="00F536FA">
        <w:rPr>
          <w:rFonts w:ascii="Palatino Linotype" w:eastAsia="MS Mincho" w:hAnsi="Palatino Linotype"/>
          <w:i/>
        </w:rPr>
        <w:t xml:space="preserve">propongan la reserva, confidencialidad o </w:t>
      </w:r>
      <w:r w:rsidRPr="00F536FA">
        <w:rPr>
          <w:rFonts w:ascii="Palatino Linotype" w:eastAsia="MS Mincho" w:hAnsi="Palatino Linotype"/>
          <w:b/>
          <w:bCs/>
          <w:i/>
        </w:rPr>
        <w:t>declaren la inexistencia de información, acudirán a las sesiones de dicho Comité donde se discuta la propuesta correspondiente</w:t>
      </w:r>
      <w:r w:rsidRPr="00F536FA">
        <w:rPr>
          <w:rFonts w:ascii="Palatino Linotype" w:eastAsia="MS Mincho" w:hAnsi="Palatino Linotype"/>
          <w:i/>
        </w:rPr>
        <w:t>.”</w:t>
      </w:r>
    </w:p>
    <w:p w14:paraId="4FA157D6"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p>
    <w:p w14:paraId="7BB39F14"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w:t>
      </w:r>
      <w:r w:rsidRPr="00F536FA">
        <w:rPr>
          <w:rFonts w:ascii="Palatino Linotype" w:eastAsia="MS Mincho" w:hAnsi="Palatino Linotype"/>
          <w:b/>
          <w:i/>
        </w:rPr>
        <w:t>Artículo 49.</w:t>
      </w:r>
      <w:r w:rsidRPr="00F536FA">
        <w:rPr>
          <w:rFonts w:ascii="Palatino Linotype" w:eastAsia="MS Mincho" w:hAnsi="Palatino Linotype"/>
          <w:i/>
        </w:rPr>
        <w:t xml:space="preserve"> </w:t>
      </w:r>
      <w:r w:rsidRPr="00F536FA">
        <w:rPr>
          <w:rFonts w:ascii="Palatino Linotype" w:eastAsia="MS Mincho" w:hAnsi="Palatino Linotype"/>
          <w:b/>
          <w:bCs/>
          <w:i/>
        </w:rPr>
        <w:t>Los Comités de Transparencia tendrán las siguientes atribuciones:</w:t>
      </w:r>
    </w:p>
    <w:p w14:paraId="34EAC983"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w:t>
      </w:r>
    </w:p>
    <w:p w14:paraId="2E417B2F"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II.</w:t>
      </w:r>
      <w:r w:rsidRPr="00F536FA">
        <w:rPr>
          <w:rFonts w:ascii="Palatino Linotype" w:eastAsia="MS Mincho" w:hAnsi="Palatino Linotype"/>
          <w:i/>
        </w:rPr>
        <w:t xml:space="preserve"> </w:t>
      </w:r>
      <w:r w:rsidRPr="00F536FA">
        <w:rPr>
          <w:rFonts w:ascii="Palatino Linotype" w:eastAsia="MS Mincho" w:hAnsi="Palatino Linotype"/>
          <w:b/>
          <w:bCs/>
          <w:i/>
        </w:rPr>
        <w:t>Confirmar, modificar o revocar las determinaciones que en materia de</w:t>
      </w:r>
      <w:r w:rsidRPr="00F536FA">
        <w:rPr>
          <w:rFonts w:ascii="Palatino Linotype" w:eastAsia="MS Mincho" w:hAnsi="Palatino Linotype"/>
          <w:i/>
        </w:rPr>
        <w:t xml:space="preserve"> ampliación del plazo de respuesta, clasificación de la información y </w:t>
      </w:r>
      <w:r w:rsidRPr="00F536FA">
        <w:rPr>
          <w:rFonts w:ascii="Palatino Linotype" w:eastAsia="MS Mincho" w:hAnsi="Palatino Linotype"/>
          <w:b/>
          <w:bCs/>
          <w:i/>
        </w:rPr>
        <w:t>declaración de inexistencia</w:t>
      </w:r>
      <w:r w:rsidRPr="00F536FA">
        <w:rPr>
          <w:rFonts w:ascii="Palatino Linotype" w:eastAsia="MS Mincho" w:hAnsi="Palatino Linotype"/>
          <w:i/>
        </w:rPr>
        <w:t xml:space="preserve"> o de incompetencia </w:t>
      </w:r>
      <w:r w:rsidRPr="00F536FA">
        <w:rPr>
          <w:rFonts w:ascii="Palatino Linotype" w:eastAsia="MS Mincho" w:hAnsi="Palatino Linotype"/>
          <w:b/>
          <w:bCs/>
          <w:i/>
        </w:rPr>
        <w:t>realicen los titulares de las áreas de los sujetos obligados</w:t>
      </w:r>
      <w:r w:rsidRPr="00F536FA">
        <w:rPr>
          <w:rFonts w:ascii="Palatino Linotype" w:eastAsia="MS Mincho" w:hAnsi="Palatino Linotype"/>
          <w:i/>
        </w:rPr>
        <w:t>;</w:t>
      </w:r>
    </w:p>
    <w:p w14:paraId="211F96B0"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w:t>
      </w:r>
    </w:p>
    <w:p w14:paraId="53E4A4E5"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XIII.</w:t>
      </w:r>
      <w:r w:rsidRPr="00F536FA">
        <w:rPr>
          <w:rFonts w:ascii="Palatino Linotype" w:eastAsia="MS Mincho" w:hAnsi="Palatino Linotype"/>
          <w:i/>
        </w:rPr>
        <w:t xml:space="preserve"> </w:t>
      </w:r>
      <w:r w:rsidRPr="00F536FA">
        <w:rPr>
          <w:rFonts w:ascii="Palatino Linotype" w:eastAsia="MS Mincho" w:hAnsi="Palatino Linotype"/>
          <w:b/>
          <w:bCs/>
          <w:i/>
        </w:rPr>
        <w:t>Dictaminar las declaratorias de inexistencia de la información que les remitan las unidades administrativas y resolver en consecuencia</w:t>
      </w:r>
      <w:r w:rsidRPr="00F536FA">
        <w:rPr>
          <w:rFonts w:ascii="Palatino Linotype" w:eastAsia="MS Mincho" w:hAnsi="Palatino Linotype"/>
          <w:i/>
        </w:rPr>
        <w:t>;</w:t>
      </w:r>
    </w:p>
    <w:p w14:paraId="0596BF8F" w14:textId="77777777" w:rsidR="00306048" w:rsidRPr="00F536FA" w:rsidRDefault="00306048" w:rsidP="00306048">
      <w:pPr>
        <w:pStyle w:val="Prrafodelista"/>
        <w:spacing w:line="276" w:lineRule="auto"/>
        <w:ind w:left="567" w:right="567"/>
        <w:jc w:val="both"/>
        <w:rPr>
          <w:rFonts w:ascii="Palatino Linotype" w:eastAsia="MS Mincho" w:hAnsi="Palatino Linotype"/>
          <w:i/>
        </w:rPr>
      </w:pPr>
      <w:r w:rsidRPr="00F536FA">
        <w:rPr>
          <w:rFonts w:ascii="Palatino Linotype" w:eastAsia="MS Mincho" w:hAnsi="Palatino Linotype"/>
          <w:i/>
        </w:rPr>
        <w:t>(…)”</w:t>
      </w:r>
    </w:p>
    <w:p w14:paraId="033F86AD" w14:textId="77777777" w:rsidR="00306048" w:rsidRPr="00F536FA" w:rsidRDefault="00306048" w:rsidP="00306048">
      <w:pPr>
        <w:pStyle w:val="Prrafodelista"/>
        <w:spacing w:line="276" w:lineRule="auto"/>
        <w:ind w:left="567" w:right="567"/>
        <w:jc w:val="both"/>
        <w:rPr>
          <w:rFonts w:ascii="Palatino Linotype" w:eastAsia="MS Mincho" w:hAnsi="Palatino Linotype"/>
          <w:iCs/>
        </w:rPr>
      </w:pPr>
      <w:r w:rsidRPr="00F536FA">
        <w:rPr>
          <w:rFonts w:ascii="Palatino Linotype" w:eastAsia="MS Mincho" w:hAnsi="Palatino Linotype"/>
          <w:iCs/>
        </w:rPr>
        <w:t>(Énfasis añadido)</w:t>
      </w:r>
    </w:p>
    <w:p w14:paraId="6E0BA58D"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1D925D29" w14:textId="523BA2DE" w:rsidR="00E6523F" w:rsidRPr="00F536FA" w:rsidRDefault="0030604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Asimismo, </w:t>
      </w:r>
      <w:r w:rsidRPr="00F536FA">
        <w:rPr>
          <w:rFonts w:ascii="Palatino Linotype" w:hAnsi="Palatino Linotype" w:cs="Arial"/>
          <w:color w:val="000000" w:themeColor="text1"/>
          <w:sz w:val="24"/>
          <w:lang w:val="es-ES_tradnl"/>
        </w:rPr>
        <w:t>el Acuerdo de Inexistencia deberá llevarse conforme a lo dispuesto por los artículos 169 y 170 de la Ley de la materia que ordenan:</w:t>
      </w:r>
    </w:p>
    <w:p w14:paraId="5A7B3D49" w14:textId="54E3EE39"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508778F5"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i/>
        </w:rPr>
        <w:t>“</w:t>
      </w:r>
      <w:r w:rsidRPr="00F536FA">
        <w:rPr>
          <w:rFonts w:ascii="Palatino Linotype" w:eastAsia="MS Mincho" w:hAnsi="Palatino Linotype"/>
          <w:b/>
          <w:i/>
        </w:rPr>
        <w:t>Artículo 169.</w:t>
      </w:r>
      <w:r w:rsidRPr="00F536FA">
        <w:rPr>
          <w:rFonts w:ascii="Palatino Linotype" w:eastAsia="MS Mincho" w:hAnsi="Palatino Linotype"/>
          <w:i/>
        </w:rPr>
        <w:t xml:space="preserve"> </w:t>
      </w:r>
      <w:r w:rsidRPr="00F536FA">
        <w:rPr>
          <w:rFonts w:ascii="Palatino Linotype" w:eastAsia="MS Mincho" w:hAnsi="Palatino Linotype"/>
          <w:b/>
          <w:bCs/>
          <w:i/>
        </w:rPr>
        <w:t>Cuando la información no se encuentre en los archivos del sujeto obligado, el Comité de Transparencia:</w:t>
      </w:r>
    </w:p>
    <w:p w14:paraId="78383D4C"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I.</w:t>
      </w:r>
      <w:r w:rsidRPr="00F536FA">
        <w:rPr>
          <w:rFonts w:ascii="Palatino Linotype" w:eastAsia="MS Mincho" w:hAnsi="Palatino Linotype"/>
          <w:i/>
        </w:rPr>
        <w:t xml:space="preserve"> </w:t>
      </w:r>
      <w:r w:rsidRPr="00F536FA">
        <w:rPr>
          <w:rFonts w:ascii="Palatino Linotype" w:eastAsia="MS Mincho" w:hAnsi="Palatino Linotype"/>
          <w:b/>
          <w:bCs/>
          <w:i/>
        </w:rPr>
        <w:t>Analizará el caso y tomará las medidas necesarias para localizar la información</w:t>
      </w:r>
      <w:r w:rsidRPr="00F536FA">
        <w:rPr>
          <w:rFonts w:ascii="Palatino Linotype" w:eastAsia="MS Mincho" w:hAnsi="Palatino Linotype"/>
          <w:i/>
        </w:rPr>
        <w:t>;</w:t>
      </w:r>
    </w:p>
    <w:p w14:paraId="209474D6"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II.</w:t>
      </w:r>
      <w:r w:rsidRPr="00F536FA">
        <w:rPr>
          <w:rFonts w:ascii="Palatino Linotype" w:eastAsia="MS Mincho" w:hAnsi="Palatino Linotype"/>
          <w:i/>
        </w:rPr>
        <w:t xml:space="preserve"> </w:t>
      </w:r>
      <w:r w:rsidRPr="00F536FA">
        <w:rPr>
          <w:rFonts w:ascii="Palatino Linotype" w:eastAsia="MS Mincho" w:hAnsi="Palatino Linotype"/>
          <w:b/>
          <w:bCs/>
          <w:i/>
        </w:rPr>
        <w:t>Expedirá una resolución que confirme la inexistencia del documento</w:t>
      </w:r>
      <w:r w:rsidRPr="00F536FA">
        <w:rPr>
          <w:rFonts w:ascii="Palatino Linotype" w:eastAsia="MS Mincho" w:hAnsi="Palatino Linotype"/>
          <w:i/>
        </w:rPr>
        <w:t>;</w:t>
      </w:r>
    </w:p>
    <w:p w14:paraId="7A5302B1"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III.</w:t>
      </w:r>
      <w:r w:rsidRPr="00F536FA">
        <w:rPr>
          <w:rFonts w:ascii="Palatino Linotype" w:eastAsia="MS Mincho" w:hAnsi="Palatino Linotype"/>
          <w:i/>
        </w:rPr>
        <w:t xml:space="preserve"> </w:t>
      </w:r>
      <w:r w:rsidRPr="00F536FA">
        <w:rPr>
          <w:rFonts w:ascii="Palatino Linotype" w:eastAsia="MS Mincho" w:hAnsi="Palatino Linotype"/>
          <w:b/>
          <w:bCs/>
          <w:i/>
        </w:rPr>
        <w:t>Ordenará, siempre que sea materialmente posible, que se genere o se reponga la información</w:t>
      </w:r>
      <w:r w:rsidRPr="00F536FA">
        <w:rPr>
          <w:rFonts w:ascii="Palatino Linotype" w:eastAsia="MS Mincho" w:hAnsi="Palatino Linotype"/>
          <w:i/>
        </w:rPr>
        <w:t xml:space="preserve"> en caso de que ésta tuviera que existir en la medida que deriva del ejercicio de sus facultades, competencias o funciones, o que previa acreditación de la </w:t>
      </w:r>
      <w:r w:rsidRPr="00F536FA">
        <w:rPr>
          <w:rFonts w:ascii="Palatino Linotype" w:eastAsia="MS Mincho" w:hAnsi="Palatino Linotype"/>
          <w:i/>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14:paraId="5D9B2F0B"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b/>
          <w:bCs/>
          <w:i/>
        </w:rPr>
        <w:t>IV. Notificará al órgano interno de control o equivalente</w:t>
      </w:r>
      <w:r w:rsidRPr="00F536FA">
        <w:rPr>
          <w:rFonts w:ascii="Palatino Linotype" w:eastAsia="MS Mincho" w:hAnsi="Palatino Linotype"/>
          <w:i/>
        </w:rPr>
        <w:t xml:space="preserve"> del sujeto obligado </w:t>
      </w:r>
      <w:r w:rsidRPr="00F536FA">
        <w:rPr>
          <w:rFonts w:ascii="Palatino Linotype" w:eastAsia="MS Mincho" w:hAnsi="Palatino Linotype"/>
          <w:b/>
          <w:bCs/>
          <w:i/>
        </w:rPr>
        <w:t>quien, en su caso, deberá iniciar el procedimiento de responsabilidad administrativa que corresponda</w:t>
      </w:r>
      <w:r w:rsidRPr="00F536FA">
        <w:rPr>
          <w:rFonts w:ascii="Palatino Linotype" w:eastAsia="MS Mincho" w:hAnsi="Palatino Linotype"/>
          <w:i/>
        </w:rPr>
        <w:t>.</w:t>
      </w:r>
    </w:p>
    <w:p w14:paraId="2568A4D2"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i/>
        </w:rPr>
        <w:t>La Unidad de Transparencia deberá notificarlo al solicitante por escrito, en un plazo que no exceda de quince días hábiles contados a partir del día siguiente a la presentación de la solicitud.</w:t>
      </w:r>
    </w:p>
    <w:p w14:paraId="3A87CE60"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i/>
        </w:rPr>
        <w:t>Este plazo podrá ampliarse hasta por otros siete días hábiles, siempre que existan razones para ello, debiendo notificarse por escrito al solicitante”.</w:t>
      </w:r>
    </w:p>
    <w:p w14:paraId="07051AA9" w14:textId="77777777" w:rsidR="00306048" w:rsidRPr="00F536FA" w:rsidRDefault="00306048" w:rsidP="00306048">
      <w:pPr>
        <w:spacing w:line="276" w:lineRule="auto"/>
        <w:ind w:left="567" w:right="567"/>
        <w:jc w:val="both"/>
        <w:rPr>
          <w:rFonts w:ascii="Palatino Linotype" w:eastAsia="MS Mincho" w:hAnsi="Palatino Linotype"/>
          <w:i/>
        </w:rPr>
      </w:pPr>
    </w:p>
    <w:p w14:paraId="69DC7A71" w14:textId="77777777" w:rsidR="00306048" w:rsidRPr="00F536FA" w:rsidRDefault="00306048" w:rsidP="00306048">
      <w:pPr>
        <w:spacing w:line="276" w:lineRule="auto"/>
        <w:ind w:left="567" w:right="567"/>
        <w:jc w:val="both"/>
        <w:rPr>
          <w:rFonts w:ascii="Palatino Linotype" w:eastAsia="MS Mincho" w:hAnsi="Palatino Linotype"/>
          <w:i/>
        </w:rPr>
      </w:pPr>
      <w:r w:rsidRPr="00F536FA">
        <w:rPr>
          <w:rFonts w:ascii="Palatino Linotype" w:eastAsia="MS Mincho" w:hAnsi="Palatino Linotype"/>
          <w:i/>
        </w:rPr>
        <w:t>“</w:t>
      </w:r>
      <w:r w:rsidRPr="00F536FA">
        <w:rPr>
          <w:rFonts w:ascii="Palatino Linotype" w:eastAsia="MS Mincho" w:hAnsi="Palatino Linotype"/>
          <w:b/>
          <w:i/>
        </w:rPr>
        <w:t>Artículo 170.</w:t>
      </w:r>
      <w:r w:rsidRPr="00F536FA">
        <w:rPr>
          <w:rFonts w:ascii="Palatino Linotype" w:eastAsia="MS Mincho" w:hAnsi="Palatino Linotype"/>
          <w:i/>
        </w:rPr>
        <w:t xml:space="preserve"> </w:t>
      </w:r>
      <w:r w:rsidRPr="00F536FA">
        <w:rPr>
          <w:rFonts w:ascii="Palatino Linotype" w:eastAsia="MS Mincho" w:hAnsi="Palatino Linotype"/>
          <w:b/>
          <w:bCs/>
          <w:i/>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w:t>
      </w:r>
      <w:r w:rsidRPr="00F536FA">
        <w:rPr>
          <w:rFonts w:ascii="Palatino Linotype" w:eastAsia="MS Mincho" w:hAnsi="Palatino Linotype"/>
          <w:i/>
        </w:rPr>
        <w:t xml:space="preserve"> y señalará al servidor público responsable de contar con la misma.”</w:t>
      </w:r>
    </w:p>
    <w:p w14:paraId="4A5231F8" w14:textId="77777777" w:rsidR="00306048" w:rsidRPr="00F536FA" w:rsidRDefault="00306048" w:rsidP="00306048">
      <w:pPr>
        <w:spacing w:line="276" w:lineRule="auto"/>
        <w:ind w:left="567" w:right="567"/>
        <w:jc w:val="both"/>
        <w:rPr>
          <w:rFonts w:ascii="Palatino Linotype" w:eastAsia="MS Mincho" w:hAnsi="Palatino Linotype"/>
          <w:iCs/>
        </w:rPr>
      </w:pPr>
      <w:r w:rsidRPr="00F536FA">
        <w:rPr>
          <w:rFonts w:ascii="Palatino Linotype" w:eastAsia="MS Mincho" w:hAnsi="Palatino Linotype"/>
          <w:iCs/>
        </w:rPr>
        <w:t>(Énfasis añadido)</w:t>
      </w:r>
    </w:p>
    <w:p w14:paraId="7FF2D242"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653DDCD0" w14:textId="5F5948F8" w:rsidR="00E6523F" w:rsidRPr="00F536FA" w:rsidRDefault="0030604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ese </w:t>
      </w:r>
      <w:r w:rsidRPr="00F536FA">
        <w:rPr>
          <w:rFonts w:ascii="Palatino Linotype" w:hAnsi="Palatino Linotype" w:cs="Arial"/>
          <w:color w:val="000000" w:themeColor="text1"/>
          <w:sz w:val="24"/>
          <w:lang w:val="es-ES_tradnl"/>
        </w:rPr>
        <w:t>sentido, con el propósito de exponer mayores elementos sobre cómo debe de acordarse la declaratoria de inexistencia, se reproducen los criterios 0003-11 y 0004-11 aprobados por el Pleno de este Organismo Garante, en la Sesión Ordinaria del veinticinco (25) de agosto de dos mil once, que demuestran claramente el concepto de inexistencia, y en qué circunstancias debe emitirse la declaratoria respectiva.</w:t>
      </w:r>
    </w:p>
    <w:p w14:paraId="063BCE71" w14:textId="7DE82BC4"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2587420C" w14:textId="77777777" w:rsidR="00306048" w:rsidRPr="00F536FA" w:rsidRDefault="00306048" w:rsidP="00306048">
      <w:pPr>
        <w:pStyle w:val="Prrafodelista"/>
        <w:tabs>
          <w:tab w:val="left" w:pos="8647"/>
        </w:tabs>
        <w:spacing w:line="276" w:lineRule="auto"/>
        <w:ind w:left="567" w:right="567"/>
        <w:jc w:val="center"/>
        <w:rPr>
          <w:rFonts w:ascii="Palatino Linotype" w:eastAsia="MS Mincho" w:hAnsi="Palatino Linotype" w:cs="Arial"/>
          <w:b/>
          <w:i/>
        </w:rPr>
      </w:pPr>
      <w:r w:rsidRPr="00F536FA">
        <w:rPr>
          <w:rFonts w:ascii="Palatino Linotype" w:eastAsia="MS Mincho" w:hAnsi="Palatino Linotype" w:cs="Arial"/>
          <w:b/>
          <w:i/>
        </w:rPr>
        <w:t>CRITERIO 0003-11</w:t>
      </w:r>
    </w:p>
    <w:p w14:paraId="50FD8D9E" w14:textId="77777777" w:rsidR="00306048" w:rsidRPr="00F536FA" w:rsidRDefault="00306048" w:rsidP="00306048">
      <w:pPr>
        <w:pStyle w:val="Prrafodelista"/>
        <w:tabs>
          <w:tab w:val="left" w:pos="8647"/>
        </w:tabs>
        <w:spacing w:line="276" w:lineRule="auto"/>
        <w:ind w:left="567" w:right="567"/>
        <w:jc w:val="center"/>
        <w:rPr>
          <w:rFonts w:ascii="Palatino Linotype" w:eastAsia="MS Mincho" w:hAnsi="Palatino Linotype" w:cs="Arial"/>
          <w:b/>
          <w:i/>
          <w:sz w:val="10"/>
        </w:rPr>
      </w:pPr>
    </w:p>
    <w:p w14:paraId="2A2EB646" w14:textId="77777777" w:rsidR="00306048" w:rsidRPr="00F536FA" w:rsidRDefault="00306048" w:rsidP="00306048">
      <w:pPr>
        <w:pStyle w:val="Prrafodelista"/>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b/>
          <w:i/>
        </w:rPr>
        <w:lastRenderedPageBreak/>
        <w:t>INEXISTENCIA, CONCEPTO DE, EN MATERIA DE TRANSPARENCIA</w:t>
      </w:r>
      <w:r w:rsidRPr="00F536FA">
        <w:rPr>
          <w:rFonts w:ascii="Palatino Linotype" w:eastAsia="MS Mincho" w:hAnsi="Palatino Linotype" w:cs="Arial"/>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5D136708"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C64824F"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 xml:space="preserve">b) En los casos en que por las atribuciones conferidas al Sujeto Obligado éste debió generar, administrar o poseer la información, pero en incumplimiento a la normatividad respectiva no llevó a cabo </w:t>
      </w:r>
      <w:proofErr w:type="gramStart"/>
      <w:r w:rsidRPr="00F536FA">
        <w:rPr>
          <w:rFonts w:ascii="Palatino Linotype" w:eastAsia="MS Mincho" w:hAnsi="Palatino Linotype" w:cs="Arial"/>
          <w:i/>
        </w:rPr>
        <w:t>ninguna</w:t>
      </w:r>
      <w:proofErr w:type="gramEnd"/>
      <w:r w:rsidRPr="00F536FA">
        <w:rPr>
          <w:rFonts w:ascii="Palatino Linotype" w:eastAsia="MS Mincho" w:hAnsi="Palatino Linotype" w:cs="Arial"/>
          <w:i/>
        </w:rPr>
        <w:t xml:space="preserve"> de esas acciones.</w:t>
      </w:r>
    </w:p>
    <w:p w14:paraId="46E7F9D3"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C67E76C"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p>
    <w:p w14:paraId="4925F6EC" w14:textId="77777777" w:rsidR="00306048" w:rsidRPr="00F536FA" w:rsidRDefault="00306048" w:rsidP="00306048">
      <w:pPr>
        <w:pStyle w:val="Prrafodelista"/>
        <w:tabs>
          <w:tab w:val="left" w:pos="8647"/>
        </w:tabs>
        <w:spacing w:line="276" w:lineRule="auto"/>
        <w:ind w:left="567" w:right="567"/>
        <w:jc w:val="center"/>
        <w:rPr>
          <w:rFonts w:ascii="Palatino Linotype" w:eastAsia="MS Mincho" w:hAnsi="Palatino Linotype" w:cs="Arial"/>
          <w:b/>
          <w:i/>
        </w:rPr>
      </w:pPr>
      <w:r w:rsidRPr="00F536FA">
        <w:rPr>
          <w:rFonts w:ascii="Palatino Linotype" w:eastAsia="MS Mincho" w:hAnsi="Palatino Linotype" w:cs="Arial"/>
          <w:b/>
          <w:i/>
        </w:rPr>
        <w:t>CRITERIO 0004-11</w:t>
      </w:r>
    </w:p>
    <w:p w14:paraId="507E89A9" w14:textId="77777777" w:rsidR="00306048" w:rsidRPr="00F536FA" w:rsidRDefault="00306048" w:rsidP="00306048">
      <w:pPr>
        <w:pStyle w:val="Prrafodelista"/>
        <w:tabs>
          <w:tab w:val="left" w:pos="8647"/>
        </w:tabs>
        <w:spacing w:line="276" w:lineRule="auto"/>
        <w:ind w:left="567" w:right="567"/>
        <w:jc w:val="center"/>
        <w:rPr>
          <w:rFonts w:ascii="Palatino Linotype" w:eastAsia="MS Mincho" w:hAnsi="Palatino Linotype" w:cs="Arial"/>
          <w:b/>
          <w:i/>
          <w:sz w:val="10"/>
        </w:rPr>
      </w:pPr>
    </w:p>
    <w:p w14:paraId="2173EEA4"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b/>
          <w:i/>
        </w:rPr>
        <w:t>INEXISTENCIA. DECLARATORIA DE LA. ALCANCES Y PROCEDIMIENTOS</w:t>
      </w:r>
      <w:r w:rsidRPr="00F536FA">
        <w:rPr>
          <w:rFonts w:ascii="Palatino Linotype" w:eastAsia="MS Mincho" w:hAnsi="Palatino Linotype" w:cs="Arial"/>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w:t>
      </w:r>
      <w:r w:rsidRPr="00F536FA">
        <w:rPr>
          <w:rFonts w:ascii="Palatino Linotype" w:eastAsia="MS Mincho" w:hAnsi="Palatino Linotype" w:cs="Arial"/>
          <w:i/>
        </w:rPr>
        <w:lastRenderedPageBreak/>
        <w:t>la información requerida dentro de la estructura del Sujeto Obligado y, en general, el de adoptar cualquier otra previsión que considere conducente para tales efectos y velar por la certeza en el derecho de acceso a la información.</w:t>
      </w:r>
    </w:p>
    <w:p w14:paraId="7796BFAC"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Bajo el entendido de que dicha búsqueda exhaustiva permitirá dos determinaciones:</w:t>
      </w:r>
    </w:p>
    <w:p w14:paraId="6D442F3B"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1ª) Que se localice la documentación que contenga la información solicitada y de ser así la información pueda entregarse al solicitante en la forma en que se encuentra disponible, o</w:t>
      </w:r>
    </w:p>
    <w:p w14:paraId="6BD4CD1D"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DCDB3EA" w14:textId="77777777" w:rsidR="00306048" w:rsidRPr="00F536FA" w:rsidRDefault="00306048" w:rsidP="00306048">
      <w:pPr>
        <w:pStyle w:val="Prrafodelista"/>
        <w:tabs>
          <w:tab w:val="left" w:pos="8647"/>
        </w:tabs>
        <w:spacing w:line="276" w:lineRule="auto"/>
        <w:ind w:left="567" w:right="567"/>
        <w:jc w:val="both"/>
        <w:rPr>
          <w:rFonts w:ascii="Palatino Linotype" w:eastAsia="MS Mincho" w:hAnsi="Palatino Linotype" w:cs="Arial"/>
          <w:i/>
        </w:rPr>
      </w:pPr>
      <w:r w:rsidRPr="00F536FA">
        <w:rPr>
          <w:rFonts w:ascii="Palatino Linotype" w:eastAsia="MS Mincho"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F17408F"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49F38464" w14:textId="37568754" w:rsidR="00F324DF" w:rsidRPr="00F536FA" w:rsidRDefault="00F324DF"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ese tenor, se debe destacar que para que se declare la inexistencia de la información, debió haber existencia previa de la documentación y la falta posterior de la misma en los archivos del </w:t>
      </w:r>
      <w:r w:rsidRPr="00F536FA">
        <w:rPr>
          <w:rFonts w:ascii="Palatino Linotype" w:hAnsi="Palatino Linotype" w:cs="Arial"/>
          <w:b/>
          <w:color w:val="000000" w:themeColor="text1"/>
          <w:sz w:val="24"/>
        </w:rPr>
        <w:t>SUJETO OBLIGADO</w:t>
      </w:r>
      <w:r w:rsidRPr="00F536FA">
        <w:rPr>
          <w:rFonts w:ascii="Palatino Linotype" w:hAnsi="Palatino Linotype" w:cs="Arial"/>
          <w:color w:val="000000" w:themeColor="text1"/>
          <w:sz w:val="24"/>
        </w:rPr>
        <w:t xml:space="preserve">, esto es, que la información se generó, poseyó o administró en el marco de las atribuciones conferidas al </w:t>
      </w:r>
      <w:r w:rsidRPr="00F536FA">
        <w:rPr>
          <w:rFonts w:ascii="Palatino Linotype" w:hAnsi="Palatino Linotype" w:cs="Arial"/>
          <w:b/>
          <w:color w:val="000000" w:themeColor="text1"/>
          <w:sz w:val="24"/>
        </w:rPr>
        <w:t xml:space="preserve">SUJETO OBLIGADO </w:t>
      </w:r>
      <w:r w:rsidRPr="00F536FA">
        <w:rPr>
          <w:rFonts w:ascii="Palatino Linotype" w:hAnsi="Palatino Linotype" w:cs="Arial"/>
          <w:color w:val="000000" w:themeColor="text1"/>
          <w:sz w:val="24"/>
        </w:rPr>
        <w:t xml:space="preserve">pero no la conserva por diversas razones (destrucción física, desaparición física, sustracción ilícita, </w:t>
      </w:r>
      <w:r w:rsidRPr="00F536FA">
        <w:rPr>
          <w:rFonts w:ascii="Palatino Linotype" w:hAnsi="Palatino Linotype" w:cs="Arial"/>
          <w:color w:val="000000" w:themeColor="text1"/>
          <w:sz w:val="24"/>
          <w:u w:val="single"/>
        </w:rPr>
        <w:t>baja documental</w:t>
      </w:r>
      <w:r w:rsidRPr="00F536FA">
        <w:rPr>
          <w:rFonts w:ascii="Palatino Linotype" w:hAnsi="Palatino Linotype" w:cs="Arial"/>
          <w:color w:val="000000" w:themeColor="text1"/>
          <w:sz w:val="24"/>
        </w:rPr>
        <w:t>, etcétera).</w:t>
      </w:r>
    </w:p>
    <w:p w14:paraId="51185E31" w14:textId="77777777" w:rsidR="00F324DF" w:rsidRPr="00F536FA" w:rsidRDefault="00F324DF" w:rsidP="00F324DF">
      <w:pPr>
        <w:spacing w:after="0" w:line="360" w:lineRule="auto"/>
        <w:ind w:right="49"/>
        <w:contextualSpacing/>
        <w:jc w:val="both"/>
        <w:rPr>
          <w:rFonts w:ascii="Palatino Linotype" w:hAnsi="Palatino Linotype" w:cs="Arial"/>
          <w:color w:val="000000" w:themeColor="text1"/>
          <w:sz w:val="24"/>
        </w:rPr>
      </w:pPr>
    </w:p>
    <w:p w14:paraId="0A5A225A" w14:textId="34E16B89" w:rsidR="00F324DF" w:rsidRPr="00F536FA" w:rsidRDefault="00F324DF"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consecuencia, </w:t>
      </w:r>
      <w:r w:rsidRPr="00F536FA">
        <w:rPr>
          <w:rFonts w:ascii="Palatino Linotype" w:hAnsi="Palatino Linotype" w:cs="Arial"/>
          <w:bCs/>
          <w:color w:val="000000" w:themeColor="text1"/>
          <w:sz w:val="24"/>
        </w:rPr>
        <w:t>el</w:t>
      </w:r>
      <w:r w:rsidRPr="00F536FA">
        <w:rPr>
          <w:rFonts w:ascii="Palatino Linotype" w:hAnsi="Palatino Linotype" w:cs="Arial"/>
          <w:b/>
          <w:color w:val="000000" w:themeColor="text1"/>
          <w:sz w:val="24"/>
        </w:rPr>
        <w:t xml:space="preserve"> SUJETO OBLIGADO </w:t>
      </w:r>
      <w:r w:rsidRPr="00F536FA">
        <w:rPr>
          <w:rFonts w:ascii="Palatino Linotype" w:hAnsi="Palatino Linotype" w:cs="Arial"/>
          <w:color w:val="000000" w:themeColor="text1"/>
          <w:sz w:val="24"/>
        </w:rPr>
        <w:t xml:space="preserve">en todo tiempo deberá cumplir con las formalidades exigidas por el marco jurídico y, al dar cumplimiento a la resolución, deberá acreditar la búsqueda exhaustiva y de ser el caso que no se </w:t>
      </w:r>
      <w:r w:rsidRPr="00F536FA">
        <w:rPr>
          <w:rFonts w:ascii="Palatino Linotype" w:hAnsi="Palatino Linotype" w:cs="Arial"/>
          <w:color w:val="000000" w:themeColor="text1"/>
          <w:sz w:val="24"/>
        </w:rPr>
        <w:lastRenderedPageBreak/>
        <w:t xml:space="preserve">localice la información, tendrá que emitir el Acuerdo del Comité de Transparencia, que se hará del conocimiento del </w:t>
      </w:r>
      <w:r w:rsidRPr="00F536FA">
        <w:rPr>
          <w:rFonts w:ascii="Palatino Linotype" w:hAnsi="Palatino Linotype" w:cs="Arial"/>
          <w:b/>
          <w:bCs/>
          <w:color w:val="000000" w:themeColor="text1"/>
          <w:sz w:val="24"/>
        </w:rPr>
        <w:t>RECURRENTE</w:t>
      </w:r>
      <w:r w:rsidRPr="00F536FA">
        <w:rPr>
          <w:rFonts w:ascii="Palatino Linotype" w:hAnsi="Palatino Linotype" w:cs="Arial"/>
          <w:color w:val="000000" w:themeColor="text1"/>
          <w:sz w:val="24"/>
        </w:rPr>
        <w:t>, en los siguientes términos:</w:t>
      </w:r>
    </w:p>
    <w:p w14:paraId="46E7457B" w14:textId="4434ADBB" w:rsidR="00F324DF" w:rsidRPr="00F536FA" w:rsidRDefault="00F324DF" w:rsidP="00F324DF">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Deberá </w:t>
      </w:r>
      <w:r w:rsidRPr="00F536FA">
        <w:rPr>
          <w:rFonts w:ascii="Palatino Linotype" w:hAnsi="Palatino Linotype" w:cs="Arial"/>
          <w:color w:val="000000" w:themeColor="text1"/>
          <w:sz w:val="24"/>
          <w:lang w:val="es-ES"/>
        </w:rPr>
        <w:t>emitir el Acuerdo de Inexistencia respectivo, en el entendido, que el acto de autoridad debe estar debidamente fundado y razonado.</w:t>
      </w:r>
    </w:p>
    <w:p w14:paraId="33F9AA50" w14:textId="6DC87709" w:rsidR="00F324DF" w:rsidRPr="00F536FA" w:rsidRDefault="00F324DF" w:rsidP="00F324DF">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Señalará </w:t>
      </w:r>
      <w:r w:rsidRPr="00F536FA">
        <w:rPr>
          <w:rFonts w:ascii="Palatino Linotype" w:hAnsi="Palatino Linotype" w:cs="Arial"/>
          <w:color w:val="000000" w:themeColor="text1"/>
          <w:sz w:val="24"/>
          <w:lang w:val="es-ES"/>
        </w:rPr>
        <w:t>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14:paraId="3B6E8A14" w14:textId="77777777" w:rsidR="00F324DF" w:rsidRPr="00F536FA" w:rsidRDefault="00F324DF" w:rsidP="00F324DF">
      <w:pPr>
        <w:spacing w:after="0" w:line="360" w:lineRule="auto"/>
        <w:ind w:right="49"/>
        <w:contextualSpacing/>
        <w:jc w:val="both"/>
        <w:rPr>
          <w:rFonts w:ascii="Palatino Linotype" w:hAnsi="Palatino Linotype" w:cs="Arial"/>
          <w:color w:val="000000" w:themeColor="text1"/>
          <w:sz w:val="24"/>
        </w:rPr>
      </w:pPr>
    </w:p>
    <w:p w14:paraId="01A2974C" w14:textId="55383D87" w:rsidR="00F324DF" w:rsidRPr="00F536FA" w:rsidRDefault="00F324DF"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Lo anterior</w:t>
      </w:r>
      <w:r w:rsidR="0055711C" w:rsidRPr="00F536FA">
        <w:rPr>
          <w:rFonts w:ascii="Palatino Linotype" w:hAnsi="Palatino Linotype" w:cs="Arial"/>
          <w:color w:val="000000" w:themeColor="text1"/>
          <w:sz w:val="24"/>
        </w:rPr>
        <w:t xml:space="preserve"> es así, toda vez que </w:t>
      </w:r>
      <w:r w:rsidR="0055711C" w:rsidRPr="00F536FA">
        <w:rPr>
          <w:rFonts w:ascii="Palatino Linotype" w:hAnsi="Palatino Linotype" w:cs="Arial"/>
          <w:b/>
          <w:color w:val="000000" w:themeColor="text1"/>
          <w:sz w:val="24"/>
          <w:u w:val="single"/>
        </w:rPr>
        <w:t>es necesaria</w:t>
      </w:r>
      <w:r w:rsidR="0055711C" w:rsidRPr="00F536FA">
        <w:rPr>
          <w:rFonts w:ascii="Palatino Linotype" w:hAnsi="Palatino Linotype" w:cs="Arial"/>
          <w:color w:val="000000" w:themeColor="text1"/>
          <w:sz w:val="24"/>
        </w:rPr>
        <w:t xml:space="preserve"> la emisión del acuerdo de inexistencia en aquellos casos en que el </w:t>
      </w:r>
      <w:r w:rsidR="0055711C" w:rsidRPr="00F536FA">
        <w:rPr>
          <w:rFonts w:ascii="Palatino Linotype" w:hAnsi="Palatino Linotype" w:cs="Arial"/>
          <w:b/>
          <w:color w:val="000000" w:themeColor="text1"/>
          <w:sz w:val="24"/>
        </w:rPr>
        <w:t xml:space="preserve">SUJETO OBLIGADO </w:t>
      </w:r>
      <w:r w:rsidR="0055711C" w:rsidRPr="00F536FA">
        <w:rPr>
          <w:rFonts w:ascii="Palatino Linotype" w:hAnsi="Palatino Linotype" w:cs="Arial"/>
          <w:b/>
          <w:color w:val="000000" w:themeColor="text1"/>
          <w:sz w:val="24"/>
          <w:u w:val="single"/>
        </w:rPr>
        <w:t>generó</w:t>
      </w:r>
      <w:r w:rsidR="0055711C" w:rsidRPr="00F536FA">
        <w:rPr>
          <w:rFonts w:ascii="Palatino Linotype" w:hAnsi="Palatino Linotype" w:cs="Arial"/>
          <w:b/>
          <w:color w:val="000000" w:themeColor="text1"/>
          <w:sz w:val="24"/>
        </w:rPr>
        <w:t xml:space="preserve"> </w:t>
      </w:r>
      <w:r w:rsidR="0055711C" w:rsidRPr="00F536FA">
        <w:rPr>
          <w:rFonts w:ascii="Palatino Linotype" w:hAnsi="Palatino Linotype" w:cs="Arial"/>
          <w:color w:val="000000" w:themeColor="text1"/>
          <w:sz w:val="24"/>
        </w:rPr>
        <w:t>la información solicitada empero previa búsqueda exhaustiva y minuciosa de la misma, no localiza la información requerida.</w:t>
      </w:r>
    </w:p>
    <w:p w14:paraId="06954266" w14:textId="77777777" w:rsidR="00F324DF" w:rsidRPr="00F536FA" w:rsidRDefault="00F324DF" w:rsidP="00F324DF">
      <w:pPr>
        <w:spacing w:after="0" w:line="360" w:lineRule="auto"/>
        <w:ind w:right="49"/>
        <w:contextualSpacing/>
        <w:jc w:val="both"/>
        <w:rPr>
          <w:rFonts w:ascii="Palatino Linotype" w:hAnsi="Palatino Linotype" w:cs="Arial"/>
          <w:color w:val="000000" w:themeColor="text1"/>
          <w:sz w:val="24"/>
        </w:rPr>
      </w:pPr>
    </w:p>
    <w:p w14:paraId="2A8FCE93" w14:textId="4B8B69B6" w:rsidR="00F324DF" w:rsidRPr="00F536FA" w:rsidRDefault="0055711C"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ese caso, su Comité de Transparencia tiene el deber de emitir un Acuerdo de Inexistencia, el cual -se insiste-, se dicta en aquellos supuestos en los que si bien la información solicitada la genera, posee o administra el </w:t>
      </w:r>
      <w:r w:rsidRPr="00F536FA">
        <w:rPr>
          <w:rFonts w:ascii="Palatino Linotype" w:hAnsi="Palatino Linotype" w:cs="Arial"/>
          <w:b/>
          <w:color w:val="000000" w:themeColor="text1"/>
          <w:sz w:val="24"/>
        </w:rPr>
        <w:t>SUJETO OBLIGADO</w:t>
      </w:r>
      <w:r w:rsidRPr="00F536FA">
        <w:rPr>
          <w:rFonts w:ascii="Palatino Linotype" w:hAnsi="Palatino Linotype" w:cs="Arial"/>
          <w:color w:val="000000" w:themeColor="text1"/>
          <w:sz w:val="24"/>
        </w:rPr>
        <w:t xml:space="preserve"> en el marco de las funciones de derecho público; sin embargo, éste no lo posee por la razones que se deben expresar a través de un acuerdo debidamente fundado y motivado esto en estricto apego a lo establecido en los artículos 169 y 170 de la Ley de la materia.</w:t>
      </w:r>
    </w:p>
    <w:p w14:paraId="3E63434F" w14:textId="77777777" w:rsidR="0055711C" w:rsidRPr="00F536FA" w:rsidRDefault="0055711C" w:rsidP="0055711C">
      <w:pPr>
        <w:spacing w:after="0" w:line="360" w:lineRule="auto"/>
        <w:ind w:right="49"/>
        <w:contextualSpacing/>
        <w:jc w:val="both"/>
        <w:rPr>
          <w:rFonts w:ascii="Palatino Linotype" w:hAnsi="Palatino Linotype" w:cs="Arial"/>
          <w:color w:val="000000" w:themeColor="text1"/>
          <w:sz w:val="24"/>
        </w:rPr>
      </w:pPr>
    </w:p>
    <w:p w14:paraId="1EF3ACEC" w14:textId="67B6C8EC" w:rsidR="0055711C" w:rsidRPr="00F536FA" w:rsidRDefault="0055711C"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otras palabras, hablar de información inexistente implica la alta responsabilidad de explicar a la ciudadanía por qué un ente público que tiene la </w:t>
      </w:r>
      <w:r w:rsidRPr="00F536FA">
        <w:rPr>
          <w:rFonts w:ascii="Palatino Linotype" w:hAnsi="Palatino Linotype" w:cs="Arial"/>
          <w:color w:val="000000" w:themeColor="text1"/>
          <w:sz w:val="24"/>
        </w:rPr>
        <w:lastRenderedPageBreak/>
        <w:t>facultad y el deber de generar, poseer o administrar su información pública no la tiene.</w:t>
      </w:r>
    </w:p>
    <w:p w14:paraId="345FAAF2" w14:textId="77777777" w:rsidR="00F324DF" w:rsidRPr="00F536FA" w:rsidRDefault="00F324DF" w:rsidP="00F324DF">
      <w:pPr>
        <w:spacing w:after="0" w:line="360" w:lineRule="auto"/>
        <w:ind w:right="49"/>
        <w:contextualSpacing/>
        <w:jc w:val="both"/>
        <w:rPr>
          <w:rFonts w:ascii="Palatino Linotype" w:hAnsi="Palatino Linotype" w:cs="Arial"/>
          <w:color w:val="000000" w:themeColor="text1"/>
          <w:sz w:val="24"/>
        </w:rPr>
      </w:pPr>
    </w:p>
    <w:p w14:paraId="04EFDD43" w14:textId="07F742C6" w:rsidR="00E6523F" w:rsidRPr="00F536FA" w:rsidRDefault="00F324DF"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C</w:t>
      </w:r>
      <w:r w:rsidR="00306048" w:rsidRPr="00F536FA">
        <w:rPr>
          <w:rFonts w:ascii="Palatino Linotype" w:hAnsi="Palatino Linotype" w:cs="Arial"/>
          <w:color w:val="000000" w:themeColor="text1"/>
          <w:sz w:val="24"/>
        </w:rPr>
        <w:t xml:space="preserve">riterios y </w:t>
      </w:r>
      <w:r w:rsidR="00306048" w:rsidRPr="00F536FA">
        <w:rPr>
          <w:rFonts w:ascii="Palatino Linotype" w:hAnsi="Palatino Linotype" w:cs="Arial"/>
          <w:color w:val="000000" w:themeColor="text1"/>
          <w:sz w:val="24"/>
          <w:lang w:val="es-ES_tradnl"/>
        </w:rPr>
        <w:t xml:space="preserve">fundamentos que el </w:t>
      </w:r>
      <w:r w:rsidR="00306048" w:rsidRPr="00F536FA">
        <w:rPr>
          <w:rFonts w:ascii="Palatino Linotype" w:hAnsi="Palatino Linotype" w:cs="Arial"/>
          <w:b/>
          <w:color w:val="000000" w:themeColor="text1"/>
          <w:sz w:val="24"/>
          <w:lang w:val="es-ES_tradnl"/>
        </w:rPr>
        <w:t>SUJETO OBLIGADO</w:t>
      </w:r>
      <w:r w:rsidR="00306048" w:rsidRPr="00F536FA">
        <w:rPr>
          <w:rFonts w:ascii="Palatino Linotype" w:hAnsi="Palatino Linotype" w:cs="Arial"/>
          <w:color w:val="000000" w:themeColor="text1"/>
          <w:sz w:val="24"/>
          <w:lang w:val="es-ES_tradnl"/>
        </w:rPr>
        <w:t xml:space="preserve"> deberá considerar para la emisión del Acuerdo por el cual se declare la inexistencia de la información peticionada.</w:t>
      </w:r>
    </w:p>
    <w:p w14:paraId="17077B38" w14:textId="53A174FC"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7411C07C" w14:textId="41A2A8F8" w:rsidR="00306048" w:rsidRPr="00F536FA" w:rsidRDefault="00306048" w:rsidP="00306048">
      <w:pPr>
        <w:pStyle w:val="Ttulo3"/>
        <w:rPr>
          <w:rFonts w:ascii="Palatino Linotype" w:hAnsi="Palatino Linotype" w:cs="Arial"/>
          <w:b/>
          <w:bCs/>
          <w:color w:val="000000" w:themeColor="text1"/>
        </w:rPr>
      </w:pPr>
      <w:bookmarkStart w:id="35" w:name="_Toc54316038"/>
      <w:r w:rsidRPr="00F536FA">
        <w:rPr>
          <w:rFonts w:ascii="Palatino Linotype" w:hAnsi="Palatino Linotype" w:cs="Arial"/>
          <w:b/>
          <w:bCs/>
          <w:color w:val="000000" w:themeColor="text1"/>
        </w:rPr>
        <w:t>III.IV. De los eventos llevados a cabo en la Feria Ixtlahuaca 2019.</w:t>
      </w:r>
      <w:bookmarkEnd w:id="35"/>
    </w:p>
    <w:p w14:paraId="201B8412"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00F9E1F5" w14:textId="7B9967EE" w:rsidR="00E6523F" w:rsidRPr="00F536FA" w:rsidRDefault="0030604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El particular, dentro de su solicitud de información </w:t>
      </w:r>
      <w:r w:rsidRPr="00F536FA">
        <w:rPr>
          <w:rFonts w:ascii="Palatino Linotype" w:hAnsi="Palatino Linotype" w:cs="Arial"/>
          <w:b/>
          <w:bCs/>
          <w:color w:val="000000" w:themeColor="text1"/>
          <w:sz w:val="24"/>
        </w:rPr>
        <w:t>00072/IXTLAHUA/IP/2020</w:t>
      </w:r>
      <w:r w:rsidRPr="00F536FA">
        <w:rPr>
          <w:rFonts w:ascii="Palatino Linotype" w:hAnsi="Palatino Linotype" w:cs="Arial"/>
          <w:color w:val="000000" w:themeColor="text1"/>
          <w:sz w:val="24"/>
        </w:rPr>
        <w:t xml:space="preserve">, solicitó conocer, de las empresas y/o personas físicas que llevaron a cabo los eventos denominados </w:t>
      </w:r>
      <w:r w:rsidRPr="00F536FA">
        <w:rPr>
          <w:rFonts w:ascii="Palatino Linotype" w:hAnsi="Palatino Linotype" w:cs="Arial"/>
          <w:b/>
          <w:bCs/>
          <w:color w:val="000000" w:themeColor="text1"/>
          <w:sz w:val="24"/>
        </w:rPr>
        <w:t>“Cuernos Chuecos”, concierto de Pancho Barraza, concierto de “El Trono de México”</w:t>
      </w:r>
      <w:r w:rsidRPr="00F536FA">
        <w:rPr>
          <w:rFonts w:ascii="Palatino Linotype" w:hAnsi="Palatino Linotype" w:cs="Arial"/>
          <w:color w:val="000000" w:themeColor="text1"/>
          <w:sz w:val="24"/>
        </w:rPr>
        <w:t xml:space="preserve"> y </w:t>
      </w:r>
      <w:r w:rsidRPr="00F536FA">
        <w:rPr>
          <w:rFonts w:ascii="Palatino Linotype" w:hAnsi="Palatino Linotype" w:cs="Arial"/>
          <w:b/>
          <w:bCs/>
          <w:color w:val="000000" w:themeColor="text1"/>
          <w:sz w:val="24"/>
        </w:rPr>
        <w:t>Corrida de Toros</w:t>
      </w:r>
      <w:r w:rsidRPr="00F536FA">
        <w:rPr>
          <w:rFonts w:ascii="Palatino Linotype" w:hAnsi="Palatino Linotype" w:cs="Arial"/>
          <w:color w:val="000000" w:themeColor="text1"/>
          <w:sz w:val="24"/>
        </w:rPr>
        <w:t xml:space="preserve"> durante la Feria Ixtlahuaca 2019, lo siguiente: a) nombre de las empresas</w:t>
      </w:r>
      <w:r w:rsidR="00301311" w:rsidRPr="00F536FA">
        <w:rPr>
          <w:rFonts w:ascii="Palatino Linotype" w:hAnsi="Palatino Linotype" w:cs="Arial"/>
          <w:color w:val="000000" w:themeColor="text1"/>
          <w:sz w:val="24"/>
        </w:rPr>
        <w:t>; b) monto de las aportaciones realizadas al Ayuntamiento; c) recibos otorgados por el Ayuntamiento</w:t>
      </w:r>
      <w:r w:rsidR="00CE52D7" w:rsidRPr="00F536FA">
        <w:rPr>
          <w:rFonts w:ascii="Palatino Linotype" w:hAnsi="Palatino Linotype" w:cs="Arial"/>
          <w:color w:val="000000" w:themeColor="text1"/>
          <w:sz w:val="24"/>
        </w:rPr>
        <w:t xml:space="preserve"> y</w:t>
      </w:r>
      <w:r w:rsidR="00301311" w:rsidRPr="00F536FA">
        <w:rPr>
          <w:rFonts w:ascii="Palatino Linotype" w:hAnsi="Palatino Linotype" w:cs="Arial"/>
          <w:color w:val="000000" w:themeColor="text1"/>
          <w:sz w:val="24"/>
        </w:rPr>
        <w:t>, d) contratos o convenios que establezcan los términos para realizar los eventos</w:t>
      </w:r>
      <w:r w:rsidR="00CE52D7" w:rsidRPr="00F536FA">
        <w:rPr>
          <w:rFonts w:ascii="Palatino Linotype" w:hAnsi="Palatino Linotype" w:cs="Arial"/>
          <w:color w:val="000000" w:themeColor="text1"/>
          <w:sz w:val="24"/>
        </w:rPr>
        <w:t>.</w:t>
      </w:r>
    </w:p>
    <w:p w14:paraId="76D68AF4"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6D9381CC" w14:textId="1F2AFD35" w:rsidR="00E6523F" w:rsidRPr="00F536FA" w:rsidRDefault="00CE52D7"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a través del Tesorero Municipal, informó que el Ayuntamiento no recibió aportaciones de los eventos, ya que “la empresa” fue quien realizó directamente los cobros; luego, mediante informe justificado, informó que no hubo ningún ingreso, ya que el uso de la explanada del recinto ferial para la promoción y difusión de eventos públicos fue a título gratuito.</w:t>
      </w:r>
    </w:p>
    <w:p w14:paraId="7D9E3456"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0DE5C7B8" w14:textId="522A3115" w:rsidR="00E6523F" w:rsidRPr="00F536FA" w:rsidRDefault="005952E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Por cuando hace a la corrida de toros, señalado a</w:t>
      </w:r>
      <w:r w:rsidR="00CE52D7" w:rsidRPr="00F536FA">
        <w:rPr>
          <w:rFonts w:ascii="Palatino Linotype" w:hAnsi="Palatino Linotype" w:cs="Arial"/>
          <w:color w:val="000000" w:themeColor="text1"/>
          <w:sz w:val="24"/>
        </w:rPr>
        <w:t xml:space="preserve">l contrato de comodato celebrado entre el Ayuntamiento de Ixtlahuaca y el </w:t>
      </w:r>
      <w:r w:rsidR="00CE52D7" w:rsidRPr="00F536FA">
        <w:rPr>
          <w:rFonts w:ascii="Palatino Linotype" w:hAnsi="Palatino Linotype" w:cs="Arial"/>
          <w:i/>
          <w:iCs/>
          <w:color w:val="000000" w:themeColor="text1"/>
          <w:sz w:val="24"/>
        </w:rPr>
        <w:t>C. Gonzalo Calderón Hernández</w:t>
      </w:r>
      <w:r w:rsidR="00CE52D7" w:rsidRPr="00F536FA">
        <w:rPr>
          <w:rFonts w:ascii="Palatino Linotype" w:hAnsi="Palatino Linotype" w:cs="Arial"/>
          <w:color w:val="000000" w:themeColor="text1"/>
          <w:sz w:val="24"/>
        </w:rPr>
        <w:t>, realizador de eventos públicos, para el uso</w:t>
      </w:r>
      <w:r w:rsidRPr="00F536FA">
        <w:rPr>
          <w:rFonts w:ascii="Palatino Linotype" w:hAnsi="Palatino Linotype" w:cs="Arial"/>
          <w:color w:val="000000" w:themeColor="text1"/>
          <w:sz w:val="24"/>
        </w:rPr>
        <w:t xml:space="preserve"> gratuito de la Explanada del Recinto Ferial, destinado para la promoción, difusión y realización de eventos públicos y culturales, suscrito el treinta (30) de septiembre de dos mil veinte, como el instrumento base mediante el cual se acordó la realización del evento.</w:t>
      </w:r>
    </w:p>
    <w:p w14:paraId="37A9DCBA" w14:textId="77777777" w:rsidR="000D3EF1" w:rsidRPr="00F536FA" w:rsidRDefault="000D3EF1" w:rsidP="000D3EF1">
      <w:pPr>
        <w:spacing w:after="0" w:line="360" w:lineRule="auto"/>
        <w:ind w:right="49"/>
        <w:contextualSpacing/>
        <w:jc w:val="both"/>
        <w:rPr>
          <w:rFonts w:ascii="Palatino Linotype" w:hAnsi="Palatino Linotype" w:cs="Arial"/>
          <w:color w:val="000000" w:themeColor="text1"/>
          <w:sz w:val="24"/>
        </w:rPr>
      </w:pPr>
    </w:p>
    <w:p w14:paraId="08E708DE" w14:textId="2C854741" w:rsidR="000D3EF1" w:rsidRPr="00F536FA" w:rsidRDefault="000D3EF1"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Dicho lo anterior, no se omite mencionar que el instrumento jurídico proporcionado por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se aprecia por demás ligero en sus detalles, ya que el convenio en cuestión no hace siquiera alusión en ningún momento del evento específico que se llevará a cabo por parte del realizador de eventos públicos; no obstante, se considera que el instrumento versa sobre la corrida de toros porque el Tesorero Municipal así lo señaló en el oficio PMIX/DA/517/2020.</w:t>
      </w:r>
    </w:p>
    <w:p w14:paraId="04119AC1"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42BDACE4" w14:textId="1D7D5DB9" w:rsidR="00E6523F" w:rsidRPr="00F536FA" w:rsidRDefault="005952E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Así las cosas, se aprecia que, como sucedió con el convenio de comodato celebrado para la instalación de juegos mecánicos,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no realizó un cobro de impuestos al proveedor del evento de las corridas de toros -específicamente-, ya que el convenio señalado por el Director de Administración como el instrumento base de la realización del evento, refiere que fue a título gratuito en favor del organizador del evento, mismo que fue ratificado por el Tesorero Municipal en el informe justificado.</w:t>
      </w:r>
    </w:p>
    <w:p w14:paraId="3E71333E"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1E13172D" w14:textId="53A039CA" w:rsidR="00E6523F" w:rsidRPr="00F536FA" w:rsidRDefault="005952E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Por lo anterior, por cuanto hace al requerimiento relativo al nombre del prestador de servicios relativos a la corrida de toros llevada a cabo en la Feria Ixtlahuaca 2019, así como el monto y recibos de las aportaciones realizadas al Ayuntamiento amén del evento y el contrato celebrado con el Ayuntamiento</w:t>
      </w:r>
      <w:r w:rsidR="000D3EF1" w:rsidRPr="00F536FA">
        <w:rPr>
          <w:rFonts w:ascii="Palatino Linotype" w:hAnsi="Palatino Linotype" w:cs="Arial"/>
          <w:color w:val="000000" w:themeColor="text1"/>
          <w:sz w:val="24"/>
        </w:rPr>
        <w:t xml:space="preserve">, se advierten </w:t>
      </w:r>
      <w:r w:rsidR="000D3EF1" w:rsidRPr="00F536FA">
        <w:rPr>
          <w:rFonts w:ascii="Palatino Linotype" w:hAnsi="Palatino Linotype" w:cs="Arial"/>
          <w:b/>
          <w:bCs/>
          <w:color w:val="000000" w:themeColor="text1"/>
          <w:sz w:val="24"/>
        </w:rPr>
        <w:t>colmados</w:t>
      </w:r>
      <w:r w:rsidR="000D3EF1" w:rsidRPr="00F536FA">
        <w:rPr>
          <w:rFonts w:ascii="Palatino Linotype" w:hAnsi="Palatino Linotype" w:cs="Arial"/>
          <w:color w:val="000000" w:themeColor="text1"/>
          <w:sz w:val="24"/>
        </w:rPr>
        <w:t>.</w:t>
      </w:r>
    </w:p>
    <w:p w14:paraId="60C6CECF"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77FFA0B4" w14:textId="080EEC25" w:rsidR="00E6523F" w:rsidRPr="00F536FA" w:rsidRDefault="000D3EF1"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No obstante, no debe ignorarse que el particular también requirió la misma información sobre los eventos denominados </w:t>
      </w:r>
      <w:r w:rsidRPr="00F536FA">
        <w:rPr>
          <w:rFonts w:ascii="Palatino Linotype" w:hAnsi="Palatino Linotype" w:cs="Arial"/>
          <w:b/>
          <w:bCs/>
          <w:color w:val="000000" w:themeColor="text1"/>
          <w:sz w:val="24"/>
        </w:rPr>
        <w:t xml:space="preserve">“Cuernos Chuecos”, concierto de Pancho Barraza </w:t>
      </w:r>
      <w:r w:rsidRPr="00F536FA">
        <w:rPr>
          <w:rFonts w:ascii="Palatino Linotype" w:hAnsi="Palatino Linotype" w:cs="Arial"/>
          <w:color w:val="000000" w:themeColor="text1"/>
          <w:sz w:val="24"/>
        </w:rPr>
        <w:t xml:space="preserve">y </w:t>
      </w:r>
      <w:r w:rsidRPr="00F536FA">
        <w:rPr>
          <w:rFonts w:ascii="Palatino Linotype" w:hAnsi="Palatino Linotype" w:cs="Arial"/>
          <w:b/>
          <w:bCs/>
          <w:color w:val="000000" w:themeColor="text1"/>
          <w:sz w:val="24"/>
        </w:rPr>
        <w:t>concierto de El Trono de México</w:t>
      </w:r>
      <w:r w:rsidRPr="00F536FA">
        <w:rPr>
          <w:rFonts w:ascii="Palatino Linotype" w:hAnsi="Palatino Linotype" w:cs="Arial"/>
          <w:color w:val="000000" w:themeColor="text1"/>
          <w:sz w:val="24"/>
        </w:rPr>
        <w:t xml:space="preserve">, sobre los cuales,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no se pronunció al respecto dentro del oficio PMIX/DA/517/2020, sino que únicamente los enlistó como parte de los requerimientos de la solicitud de información como se advierte a continuación:</w:t>
      </w:r>
    </w:p>
    <w:p w14:paraId="3914FA8A" w14:textId="38CE94D0" w:rsidR="000D3EF1" w:rsidRPr="00F536FA" w:rsidRDefault="000D3EF1" w:rsidP="000D3EF1">
      <w:pPr>
        <w:spacing w:after="0" w:line="360" w:lineRule="auto"/>
        <w:ind w:right="49"/>
        <w:contextualSpacing/>
        <w:jc w:val="center"/>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w:drawing>
          <wp:inline distT="0" distB="0" distL="0" distR="0" wp14:anchorId="403F5609" wp14:editId="60769446">
            <wp:extent cx="4473180" cy="866775"/>
            <wp:effectExtent l="57150" t="57150" r="99060" b="857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3782" cy="8843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2D1CE4" w14:textId="77777777" w:rsidR="000D3EF1" w:rsidRPr="00F536FA" w:rsidRDefault="000D3EF1" w:rsidP="00306048">
      <w:pPr>
        <w:spacing w:after="0" w:line="360" w:lineRule="auto"/>
        <w:ind w:right="49"/>
        <w:contextualSpacing/>
        <w:jc w:val="both"/>
        <w:rPr>
          <w:rFonts w:ascii="Palatino Linotype" w:hAnsi="Palatino Linotype" w:cs="Arial"/>
          <w:color w:val="000000" w:themeColor="text1"/>
          <w:sz w:val="24"/>
        </w:rPr>
      </w:pPr>
    </w:p>
    <w:p w14:paraId="43C57259" w14:textId="3DA1349A" w:rsidR="00E6523F" w:rsidRPr="00F536FA" w:rsidRDefault="00133663"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No obstante, de los programas de eventos de la Feria Ixtlahuaca 2019 entregados en respuesta, se advierte que los eventos en comento sí se contemplaron dentro de los espectáculos artísticos los días cinco (05), doce (12) y trece (13) de octubre.</w:t>
      </w:r>
    </w:p>
    <w:p w14:paraId="34ECE37D"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0EA3F90D" w14:textId="3DBF4E86" w:rsidR="00E6523F" w:rsidRPr="00F536FA" w:rsidRDefault="00133663"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Consecuencia de lo anterior,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deberá realizar una búsqueda exhaustiva y razonable en sus archivos a efecto de entregar al </w:t>
      </w:r>
      <w:r w:rsidRPr="00F536FA">
        <w:rPr>
          <w:rFonts w:ascii="Palatino Linotype" w:hAnsi="Palatino Linotype" w:cs="Arial"/>
          <w:b/>
          <w:bCs/>
          <w:color w:val="000000" w:themeColor="text1"/>
          <w:sz w:val="24"/>
        </w:rPr>
        <w:t>RECURRENTE</w:t>
      </w:r>
      <w:r w:rsidRPr="00F536FA">
        <w:rPr>
          <w:rFonts w:ascii="Palatino Linotype" w:hAnsi="Palatino Linotype" w:cs="Arial"/>
          <w:color w:val="000000" w:themeColor="text1"/>
          <w:sz w:val="24"/>
        </w:rPr>
        <w:t xml:space="preserve"> los documentos donde conste la siguiente información relacionada </w:t>
      </w:r>
      <w:r w:rsidRPr="00F536FA">
        <w:rPr>
          <w:rFonts w:ascii="Palatino Linotype" w:hAnsi="Palatino Linotype" w:cs="Arial"/>
          <w:color w:val="000000" w:themeColor="text1"/>
          <w:sz w:val="24"/>
        </w:rPr>
        <w:lastRenderedPageBreak/>
        <w:t xml:space="preserve">con los eventos denominados </w:t>
      </w:r>
      <w:r w:rsidRPr="00F536FA">
        <w:rPr>
          <w:rFonts w:ascii="Palatino Linotype" w:hAnsi="Palatino Linotype" w:cs="Arial"/>
          <w:b/>
          <w:bCs/>
          <w:color w:val="000000" w:themeColor="text1"/>
          <w:sz w:val="24"/>
        </w:rPr>
        <w:t xml:space="preserve">“Cuernos Chuecos”, concierto de Pancho Barraza </w:t>
      </w:r>
      <w:r w:rsidRPr="00F536FA">
        <w:rPr>
          <w:rFonts w:ascii="Palatino Linotype" w:hAnsi="Palatino Linotype" w:cs="Arial"/>
          <w:color w:val="000000" w:themeColor="text1"/>
          <w:sz w:val="24"/>
        </w:rPr>
        <w:t xml:space="preserve">y </w:t>
      </w:r>
      <w:r w:rsidRPr="00F536FA">
        <w:rPr>
          <w:rFonts w:ascii="Palatino Linotype" w:hAnsi="Palatino Linotype" w:cs="Arial"/>
          <w:b/>
          <w:bCs/>
          <w:color w:val="000000" w:themeColor="text1"/>
          <w:sz w:val="24"/>
        </w:rPr>
        <w:t>concierto de El Trono de México</w:t>
      </w:r>
      <w:r w:rsidRPr="00F536FA">
        <w:rPr>
          <w:rFonts w:ascii="Palatino Linotype" w:hAnsi="Palatino Linotype" w:cs="Arial"/>
          <w:color w:val="000000" w:themeColor="text1"/>
          <w:sz w:val="24"/>
        </w:rPr>
        <w:t xml:space="preserve">: </w:t>
      </w:r>
      <w:r w:rsidR="001C00DB" w:rsidRPr="00F536FA">
        <w:rPr>
          <w:rFonts w:ascii="Palatino Linotype" w:hAnsi="Palatino Linotype" w:cs="Arial"/>
          <w:color w:val="000000" w:themeColor="text1"/>
          <w:sz w:val="24"/>
        </w:rPr>
        <w:t>a) nombre de la persona física o jurídico-colectiva encargada de la realización del evento; b) monto de las aportaciones realizadas al Ayuntamiento  con motivo de la realización del evento; c) recibos otorgados por el Ayuntamiento; y, d) contratos o convenios que establezcan los términos para realizar los eventos.</w:t>
      </w:r>
    </w:p>
    <w:p w14:paraId="72E6F491"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0AE551DE" w14:textId="79EF3498" w:rsidR="00E6523F" w:rsidRPr="00F536FA" w:rsidRDefault="001C00DB"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No se ignora el hecho de que la información relacionada con los montos de las aportaciones realizadas al Ayuntamiento, así como los recibos de pago extendidos por el ente público no se haya generado, poseído o administrado -como sucedió con los documentos relacionados con la corrida de toros o las aportaciones relacionadas con la instalación de juegos mecánicos en la Feria Ixtlahuaca 2019- derivado de que el convenio estipulara que estos servicios se acordaron a título gratuito; de ser el caso,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deberá </w:t>
      </w:r>
      <w:r w:rsidRPr="00F536FA">
        <w:rPr>
          <w:rFonts w:ascii="Palatino Linotype" w:hAnsi="Palatino Linotype" w:cs="Arial"/>
          <w:color w:val="000000" w:themeColor="text1"/>
          <w:sz w:val="24"/>
          <w:lang w:val="es-ES"/>
        </w:rPr>
        <w:t xml:space="preserve">atender las formalidades que establece el fundamento jurídico plasmado en el </w:t>
      </w:r>
      <w:r w:rsidRPr="00F536FA">
        <w:rPr>
          <w:rFonts w:ascii="Palatino Linotype" w:hAnsi="Palatino Linotype" w:cs="Arial"/>
          <w:b/>
          <w:color w:val="000000" w:themeColor="text1"/>
          <w:sz w:val="24"/>
          <w:lang w:val="es-ES"/>
        </w:rPr>
        <w:t>artículo 19</w:t>
      </w:r>
      <w:r w:rsidRPr="00F536FA">
        <w:rPr>
          <w:rFonts w:ascii="Palatino Linotype" w:hAnsi="Palatino Linotype" w:cs="Arial"/>
          <w:color w:val="000000" w:themeColor="text1"/>
          <w:sz w:val="24"/>
          <w:lang w:val="es-ES"/>
        </w:rPr>
        <w:t xml:space="preserve"> de la ley de la materia y que es del tenor literal siguiente:</w:t>
      </w:r>
    </w:p>
    <w:p w14:paraId="63D07042" w14:textId="1269A49B"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4117498E" w14:textId="1DBC03C3" w:rsidR="001C00DB" w:rsidRPr="00F536FA" w:rsidRDefault="001C00DB" w:rsidP="001C00DB">
      <w:pPr>
        <w:spacing w:after="0" w:line="276" w:lineRule="auto"/>
        <w:ind w:left="567" w:right="567"/>
        <w:jc w:val="both"/>
        <w:rPr>
          <w:rFonts w:ascii="Palatino Linotype" w:hAnsi="Palatino Linotype"/>
          <w:lang w:val="es-ES"/>
        </w:rPr>
      </w:pPr>
      <w:r w:rsidRPr="00F536FA">
        <w:rPr>
          <w:rFonts w:ascii="Palatino Linotype" w:hAnsi="Palatino Linotype"/>
          <w:b/>
          <w:i/>
          <w:lang w:val="es-ES"/>
        </w:rPr>
        <w:t>“Artículo 19.</w:t>
      </w:r>
      <w:r w:rsidRPr="00F536FA">
        <w:rPr>
          <w:rFonts w:ascii="Palatino Linotype" w:hAnsi="Palatino Linotype"/>
          <w:i/>
          <w:lang w:val="es-ES"/>
        </w:rPr>
        <w:t xml:space="preserve"> Se presume que la información debe existir si se refiere a las facultades, competencias y funciones que los ordenamientos jurídicos aplicables otorgan a los sujetos obligados.</w:t>
      </w:r>
    </w:p>
    <w:p w14:paraId="356D9E7C" w14:textId="77777777" w:rsidR="001C00DB" w:rsidRPr="00F536FA" w:rsidRDefault="001C00DB" w:rsidP="001C00DB">
      <w:pPr>
        <w:spacing w:after="0" w:line="276" w:lineRule="auto"/>
        <w:ind w:left="567" w:right="567"/>
        <w:jc w:val="both"/>
        <w:rPr>
          <w:rFonts w:ascii="Palatino Linotype" w:hAnsi="Palatino Linotype"/>
          <w:b/>
          <w:i/>
          <w:lang w:val="es-ES"/>
        </w:rPr>
      </w:pPr>
      <w:r w:rsidRPr="00F536FA">
        <w:rPr>
          <w:rFonts w:ascii="Palatino Linotype" w:hAnsi="Palatino Linotype"/>
          <w:b/>
          <w:i/>
          <w:lang w:val="es-ES"/>
        </w:rPr>
        <w:t>En los casos en que ciertas facultades, competencias o funciones no se hayan ejercido, se debe motivar la respuesta en función de las causas que motiven tal circunstancia.</w:t>
      </w:r>
    </w:p>
    <w:p w14:paraId="2AD55FE9" w14:textId="135C70E2" w:rsidR="001C00DB" w:rsidRPr="00F536FA" w:rsidRDefault="001C00DB" w:rsidP="001C00DB">
      <w:pPr>
        <w:spacing w:after="0" w:line="276" w:lineRule="auto"/>
        <w:ind w:left="567" w:right="567"/>
        <w:jc w:val="both"/>
        <w:rPr>
          <w:rFonts w:ascii="Palatino Linotype" w:hAnsi="Palatino Linotype"/>
          <w:i/>
          <w:lang w:val="es-ES"/>
        </w:rPr>
      </w:pPr>
      <w:r w:rsidRPr="00F536FA">
        <w:rPr>
          <w:rFonts w:ascii="Palatino Linotype"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4965C2FA" w14:textId="5A55DB92" w:rsidR="001C00DB" w:rsidRPr="00F536FA" w:rsidRDefault="001C00DB" w:rsidP="001C00DB">
      <w:pPr>
        <w:spacing w:after="0" w:line="276" w:lineRule="auto"/>
        <w:ind w:left="567" w:right="567"/>
        <w:jc w:val="both"/>
        <w:rPr>
          <w:rFonts w:ascii="Palatino Linotype" w:hAnsi="Palatino Linotype"/>
          <w:lang w:val="es-ES"/>
        </w:rPr>
      </w:pPr>
      <w:r w:rsidRPr="00F536FA">
        <w:rPr>
          <w:rFonts w:ascii="Palatino Linotype" w:hAnsi="Palatino Linotype"/>
          <w:lang w:val="es-ES"/>
        </w:rPr>
        <w:t>(Énfasis añadido)</w:t>
      </w:r>
    </w:p>
    <w:p w14:paraId="21726DC8" w14:textId="77777777" w:rsidR="001C00DB" w:rsidRPr="00F536FA" w:rsidRDefault="001C00DB" w:rsidP="00306048">
      <w:pPr>
        <w:spacing w:after="0" w:line="360" w:lineRule="auto"/>
        <w:ind w:right="49"/>
        <w:contextualSpacing/>
        <w:jc w:val="both"/>
        <w:rPr>
          <w:rFonts w:ascii="Palatino Linotype" w:hAnsi="Palatino Linotype" w:cs="Arial"/>
          <w:color w:val="000000" w:themeColor="text1"/>
          <w:sz w:val="24"/>
        </w:rPr>
      </w:pPr>
    </w:p>
    <w:p w14:paraId="4AE4691B" w14:textId="79BF41CE" w:rsidR="00E6523F" w:rsidRPr="00F536FA" w:rsidRDefault="001C00DB"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w:t>
      </w:r>
      <w:r w:rsidRPr="00F536FA">
        <w:rPr>
          <w:rFonts w:ascii="Palatino Linotype" w:hAnsi="Palatino Linotype" w:cs="Arial"/>
          <w:color w:val="000000" w:themeColor="text1"/>
          <w:sz w:val="24"/>
          <w:lang w:val="es-ES_tradnl"/>
        </w:rPr>
        <w:t xml:space="preserve">lo que de ser el caso que dicha información no haya sido generada -por cuanto hace a la información relacionada con las aportaciones y los recibos otorgados por el Ayuntamiento- el </w:t>
      </w:r>
      <w:r w:rsidRPr="00F536FA">
        <w:rPr>
          <w:rFonts w:ascii="Palatino Linotype" w:hAnsi="Palatino Linotype" w:cs="Arial"/>
          <w:b/>
          <w:color w:val="000000" w:themeColor="text1"/>
          <w:sz w:val="24"/>
          <w:lang w:val="es-ES_tradnl"/>
        </w:rPr>
        <w:t xml:space="preserve">SUJETO OBLIGADO </w:t>
      </w:r>
      <w:r w:rsidRPr="00F536FA">
        <w:rPr>
          <w:rFonts w:ascii="Palatino Linotype" w:hAnsi="Palatino Linotype" w:cs="Arial"/>
          <w:color w:val="000000" w:themeColor="text1"/>
          <w:sz w:val="24"/>
          <w:lang w:val="es-ES_tradnl"/>
        </w:rPr>
        <w:t xml:space="preserve">deberá de manifestar, de </w:t>
      </w:r>
      <w:r w:rsidRPr="00F536FA">
        <w:rPr>
          <w:rFonts w:ascii="Palatino Linotype" w:hAnsi="Palatino Linotype" w:cs="Arial"/>
          <w:b/>
          <w:bCs/>
          <w:color w:val="000000" w:themeColor="text1"/>
          <w:sz w:val="24"/>
          <w:lang w:val="es-ES_tradnl"/>
        </w:rPr>
        <w:t>manera precisa y clara,</w:t>
      </w:r>
      <w:r w:rsidRPr="00F536FA">
        <w:rPr>
          <w:rFonts w:ascii="Palatino Linotype" w:hAnsi="Palatino Linotype" w:cs="Arial"/>
          <w:b/>
          <w:color w:val="000000" w:themeColor="text1"/>
          <w:sz w:val="24"/>
          <w:lang w:val="es-ES_tradnl"/>
        </w:rPr>
        <w:t xml:space="preserve"> las razones que expliquen las causas por las que no se haya generado</w:t>
      </w:r>
      <w:r w:rsidRPr="00F536FA">
        <w:rPr>
          <w:rFonts w:ascii="Palatino Linotype" w:hAnsi="Palatino Linotype" w:cs="Arial"/>
          <w:color w:val="000000" w:themeColor="text1"/>
          <w:sz w:val="24"/>
          <w:lang w:val="es-ES_tradnl"/>
        </w:rPr>
        <w:t xml:space="preserve"> la información requerida en el presente asunto.</w:t>
      </w:r>
    </w:p>
    <w:p w14:paraId="288366AC" w14:textId="394C7A8A"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4605DFF7" w14:textId="3B722E69" w:rsidR="001C00DB" w:rsidRPr="00F536FA" w:rsidRDefault="001C00DB" w:rsidP="001C00DB">
      <w:pPr>
        <w:pStyle w:val="Ttulo3"/>
        <w:rPr>
          <w:rFonts w:ascii="Palatino Linotype" w:hAnsi="Palatino Linotype" w:cs="Arial"/>
          <w:b/>
          <w:bCs/>
          <w:color w:val="000000" w:themeColor="text1"/>
        </w:rPr>
      </w:pPr>
      <w:bookmarkStart w:id="36" w:name="_Toc54316039"/>
      <w:r w:rsidRPr="00F536FA">
        <w:rPr>
          <w:rFonts w:ascii="Palatino Linotype" w:hAnsi="Palatino Linotype" w:cs="Arial"/>
          <w:b/>
          <w:bCs/>
          <w:color w:val="000000" w:themeColor="text1"/>
        </w:rPr>
        <w:t>III.V. De la recaudación por arrendamiento comercial en la Feria Ixtlahuaca 2019.</w:t>
      </w:r>
      <w:bookmarkEnd w:id="36"/>
    </w:p>
    <w:p w14:paraId="16219DA2" w14:textId="77777777" w:rsidR="001C00DB" w:rsidRPr="00F536FA" w:rsidRDefault="001C00DB" w:rsidP="00306048">
      <w:pPr>
        <w:spacing w:after="0" w:line="360" w:lineRule="auto"/>
        <w:ind w:right="49"/>
        <w:contextualSpacing/>
        <w:jc w:val="both"/>
        <w:rPr>
          <w:rFonts w:ascii="Palatino Linotype" w:hAnsi="Palatino Linotype" w:cs="Arial"/>
          <w:color w:val="000000" w:themeColor="text1"/>
          <w:sz w:val="24"/>
        </w:rPr>
      </w:pPr>
    </w:p>
    <w:p w14:paraId="439B26F5" w14:textId="3D7FA159" w:rsidR="00E6523F" w:rsidRPr="00F536FA" w:rsidRDefault="001C00DB"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Toca el turno de analizar el requerimiento relacionado con el monto recaudado por concepto de arrendamiento de espacios comerciales en la Feria Ixtlahuaca 2019.</w:t>
      </w:r>
    </w:p>
    <w:p w14:paraId="1AB74D3D" w14:textId="77777777" w:rsidR="00306048" w:rsidRPr="00F536FA" w:rsidRDefault="00306048" w:rsidP="00306048">
      <w:pPr>
        <w:spacing w:after="0" w:line="360" w:lineRule="auto"/>
        <w:ind w:right="49"/>
        <w:contextualSpacing/>
        <w:jc w:val="both"/>
        <w:rPr>
          <w:rFonts w:ascii="Palatino Linotype" w:hAnsi="Palatino Linotype" w:cs="Arial"/>
          <w:color w:val="000000" w:themeColor="text1"/>
          <w:sz w:val="24"/>
        </w:rPr>
      </w:pPr>
    </w:p>
    <w:p w14:paraId="73DE53C7" w14:textId="575F54C2" w:rsidR="00E6523F" w:rsidRPr="00F536FA" w:rsidRDefault="009507F4"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A través del oficio TMIE/311/2020, el Tesorero Municipal informó al particular que el monto total recaudado por concepto de arrendamiento de espacios comerciales en la Feria Ixtlahuaca 2019 fue de $167,700.00 (CIENTO SESENTA Y SIETE MIL SETECIENTOS PESOS 00/100 M.N.).</w:t>
      </w:r>
    </w:p>
    <w:p w14:paraId="792897D8"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7570A931" w14:textId="1D9B259F" w:rsidR="001C00DB" w:rsidRPr="00F536FA" w:rsidRDefault="009507F4"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Al respecto, no es ocioso mencionar que la Tesorería Municipal es el órgano encargado de la recaudación de los ingresos municipales y responsable de realizar las erogaciones que haga el ayuntamiento</w:t>
      </w:r>
      <w:r w:rsidRPr="00F536FA">
        <w:rPr>
          <w:rStyle w:val="Refdenotaalpie"/>
          <w:rFonts w:ascii="Palatino Linotype" w:hAnsi="Palatino Linotype" w:cs="Arial"/>
          <w:color w:val="000000" w:themeColor="text1"/>
          <w:sz w:val="24"/>
        </w:rPr>
        <w:footnoteReference w:id="10"/>
      </w:r>
      <w:r w:rsidRPr="00F536FA">
        <w:rPr>
          <w:rFonts w:ascii="Palatino Linotype" w:hAnsi="Palatino Linotype" w:cs="Arial"/>
          <w:color w:val="000000" w:themeColor="text1"/>
          <w:sz w:val="24"/>
        </w:rPr>
        <w:t>, será presidido por el Tesorero Municipal quien tendrá, de entre sus atribuciones, las siguientes</w:t>
      </w:r>
      <w:r w:rsidRPr="00F536FA">
        <w:rPr>
          <w:rStyle w:val="Refdenotaalpie"/>
          <w:rFonts w:ascii="Palatino Linotype" w:hAnsi="Palatino Linotype" w:cs="Arial"/>
          <w:color w:val="000000" w:themeColor="text1"/>
          <w:sz w:val="24"/>
        </w:rPr>
        <w:footnoteReference w:id="11"/>
      </w:r>
      <w:r w:rsidRPr="00F536FA">
        <w:rPr>
          <w:rFonts w:ascii="Palatino Linotype" w:hAnsi="Palatino Linotype" w:cs="Arial"/>
          <w:color w:val="000000" w:themeColor="text1"/>
          <w:sz w:val="24"/>
        </w:rPr>
        <w:t>:</w:t>
      </w:r>
    </w:p>
    <w:p w14:paraId="63FF08F2" w14:textId="3E92F757" w:rsidR="009507F4" w:rsidRPr="00F536FA" w:rsidRDefault="009507F4" w:rsidP="009507F4">
      <w:pPr>
        <w:numPr>
          <w:ilvl w:val="1"/>
          <w:numId w:val="2"/>
        </w:numPr>
        <w:spacing w:after="0" w:line="360" w:lineRule="auto"/>
        <w:ind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Administrar la hacienda municipal, de conformidad con las disposiciones legales aplicables;</w:t>
      </w:r>
    </w:p>
    <w:p w14:paraId="27279335" w14:textId="326A47BA" w:rsidR="009507F4" w:rsidRPr="00F536FA" w:rsidRDefault="009507F4" w:rsidP="009507F4">
      <w:pPr>
        <w:numPr>
          <w:ilvl w:val="1"/>
          <w:numId w:val="2"/>
        </w:numPr>
        <w:spacing w:after="0" w:line="360" w:lineRule="auto"/>
        <w:ind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Llevar los registros contables, financieros y administrativos de los ingresos, egresos, e inventarios; y</w:t>
      </w:r>
    </w:p>
    <w:p w14:paraId="19AB3FDD" w14:textId="08A5088C" w:rsidR="009507F4" w:rsidRPr="00F536FA" w:rsidRDefault="009507F4" w:rsidP="009507F4">
      <w:pPr>
        <w:numPr>
          <w:ilvl w:val="1"/>
          <w:numId w:val="2"/>
        </w:numPr>
        <w:spacing w:after="0" w:line="360" w:lineRule="auto"/>
        <w:ind w:right="49"/>
        <w:contextualSpacing/>
        <w:jc w:val="both"/>
        <w:rPr>
          <w:rFonts w:ascii="Palatino Linotype" w:hAnsi="Palatino Linotype" w:cs="Arial"/>
          <w:color w:val="000000" w:themeColor="text1"/>
          <w:sz w:val="24"/>
        </w:rPr>
      </w:pPr>
      <w:r w:rsidRPr="00F536FA">
        <w:rPr>
          <w:rFonts w:ascii="Palatino Linotype" w:hAnsi="Palatino Linotype" w:cs="Arial"/>
          <w:b/>
          <w:bCs/>
          <w:color w:val="000000" w:themeColor="text1"/>
          <w:sz w:val="24"/>
        </w:rPr>
        <w:t>Recaudar y administrar los ingresos</w:t>
      </w:r>
      <w:r w:rsidRPr="00F536FA">
        <w:rPr>
          <w:rFonts w:ascii="Palatino Linotype" w:hAnsi="Palatino Linotype" w:cs="Arial"/>
          <w:color w:val="000000" w:themeColor="text1"/>
          <w:sz w:val="24"/>
        </w:rPr>
        <w:t xml:space="preserve"> que se deriven de la suscripción de convenios, acuerdos o la emisión de declaratorias de coordinación; los relativos a las transferencias otorgadas a favor del Municipio en el marco del Sistema Nacional o Estatal de Coordinación Fiscal, o los </w:t>
      </w:r>
      <w:r w:rsidRPr="00F536FA">
        <w:rPr>
          <w:rFonts w:ascii="Palatino Linotype" w:hAnsi="Palatino Linotype" w:cs="Arial"/>
          <w:b/>
          <w:bCs/>
          <w:color w:val="000000" w:themeColor="text1"/>
          <w:sz w:val="24"/>
        </w:rPr>
        <w:t>que reciba por cualquier otro concepto</w:t>
      </w:r>
      <w:r w:rsidRPr="00F536FA">
        <w:rPr>
          <w:rFonts w:ascii="Palatino Linotype" w:hAnsi="Palatino Linotype" w:cs="Arial"/>
          <w:color w:val="000000" w:themeColor="text1"/>
          <w:sz w:val="24"/>
        </w:rPr>
        <w:t>; así como el importe de las sanciones por infracciones impuestas por las autoridades competentes, por la inobservancia de las diversas disposiciones y ordenamientos legales, constituyendo los créditos fiscales correspondientes.</w:t>
      </w:r>
    </w:p>
    <w:p w14:paraId="755D0AEB"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48F69D7A" w14:textId="5C015B1F" w:rsidR="001C00DB" w:rsidRPr="00F536FA" w:rsidRDefault="009507F4"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Así las cosas, se aprecia que la Tesorería Municipal es el área administrativa idónea para poseer, generar y administrar la información relacionada con el monto recaudado por concepto de arrendamiento de espacios comerciales en la Feria Ixtlahuaca 2020</w:t>
      </w:r>
      <w:r w:rsidR="00B83EDA" w:rsidRPr="00F536FA">
        <w:rPr>
          <w:rFonts w:ascii="Palatino Linotype" w:hAnsi="Palatino Linotype" w:cs="Arial"/>
          <w:color w:val="000000" w:themeColor="text1"/>
          <w:sz w:val="24"/>
        </w:rPr>
        <w:t xml:space="preserve">. Así las cosas, al responder el requerimiento mediante un pronunciamiento directo que señalara la cantidad exacta, la misma debe presumirse veraz. Consecuencia de lo anterior, esta Ponencia </w:t>
      </w:r>
      <w:proofErr w:type="spellStart"/>
      <w:r w:rsidR="00B83EDA" w:rsidRPr="00F536FA">
        <w:rPr>
          <w:rFonts w:ascii="Palatino Linotype" w:hAnsi="Palatino Linotype" w:cs="Arial"/>
          <w:color w:val="000000" w:themeColor="text1"/>
          <w:sz w:val="24"/>
        </w:rPr>
        <w:t>Resolutora</w:t>
      </w:r>
      <w:proofErr w:type="spellEnd"/>
      <w:r w:rsidR="00B83EDA" w:rsidRPr="00F536FA">
        <w:rPr>
          <w:rFonts w:ascii="Palatino Linotype" w:hAnsi="Palatino Linotype" w:cs="Arial"/>
          <w:color w:val="000000" w:themeColor="text1"/>
          <w:sz w:val="24"/>
        </w:rPr>
        <w:t xml:space="preserve"> advierte </w:t>
      </w:r>
      <w:r w:rsidR="00B83EDA" w:rsidRPr="00F536FA">
        <w:rPr>
          <w:rFonts w:ascii="Palatino Linotype" w:hAnsi="Palatino Linotype" w:cs="Arial"/>
          <w:b/>
          <w:bCs/>
          <w:color w:val="000000" w:themeColor="text1"/>
          <w:sz w:val="24"/>
        </w:rPr>
        <w:t>colmado</w:t>
      </w:r>
      <w:r w:rsidR="00B83EDA" w:rsidRPr="00F536FA">
        <w:rPr>
          <w:rFonts w:ascii="Palatino Linotype" w:hAnsi="Palatino Linotype" w:cs="Arial"/>
          <w:color w:val="000000" w:themeColor="text1"/>
          <w:sz w:val="24"/>
        </w:rPr>
        <w:t xml:space="preserve"> el requerimiento en cuestión.</w:t>
      </w:r>
    </w:p>
    <w:p w14:paraId="6FF7D174" w14:textId="375513A8" w:rsidR="001C00DB" w:rsidRPr="00F536FA" w:rsidRDefault="0055711C" w:rsidP="001C00DB">
      <w:pPr>
        <w:spacing w:after="0" w:line="360" w:lineRule="auto"/>
        <w:ind w:right="49"/>
        <w:contextualSpacing/>
        <w:jc w:val="both"/>
        <w:rPr>
          <w:rFonts w:ascii="Palatino Linotype" w:hAnsi="Palatino Linotype" w:cs="Arial"/>
          <w:color w:val="000000" w:themeColor="text1"/>
          <w:sz w:val="24"/>
        </w:rPr>
      </w:pPr>
      <w:r w:rsidRPr="00F536FA">
        <w:rPr>
          <w:rFonts w:ascii="Palatino Linotype" w:hAnsi="Palatino Linotype" w:cs="Arial"/>
          <w:noProof/>
          <w:color w:val="000000" w:themeColor="text1"/>
          <w:sz w:val="24"/>
          <w:lang w:eastAsia="es-MX"/>
        </w:rPr>
        <mc:AlternateContent>
          <mc:Choice Requires="wps">
            <w:drawing>
              <wp:anchor distT="0" distB="0" distL="114300" distR="114300" simplePos="0" relativeHeight="251671552" behindDoc="0" locked="0" layoutInCell="1" allowOverlap="1" wp14:anchorId="7FCBADED" wp14:editId="0E5F7FA1">
                <wp:simplePos x="0" y="0"/>
                <wp:positionH relativeFrom="margin">
                  <wp:align>right</wp:align>
                </wp:positionH>
                <wp:positionV relativeFrom="paragraph">
                  <wp:posOffset>5080</wp:posOffset>
                </wp:positionV>
                <wp:extent cx="5562600" cy="1076325"/>
                <wp:effectExtent l="0" t="0" r="19050" b="28575"/>
                <wp:wrapNone/>
                <wp:docPr id="24" name="Conector recto 24"/>
                <wp:cNvGraphicFramePr/>
                <a:graphic xmlns:a="http://schemas.openxmlformats.org/drawingml/2006/main">
                  <a:graphicData uri="http://schemas.microsoft.com/office/word/2010/wordprocessingShape">
                    <wps:wsp>
                      <wps:cNvCnPr/>
                      <wps:spPr>
                        <a:xfrm flipV="1">
                          <a:off x="0" y="0"/>
                          <a:ext cx="5562600"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2F283E1" id="Conector recto 24" o:spid="_x0000_s1026" style="position:absolute;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4pt" to="824.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" strokecolor="black [3200]" strokeweight=".5pt">
                <v:stroke joinstyle="miter"/>
                <w10:wrap anchorx="margin"/>
              </v:line>
            </w:pict>
          </mc:Fallback>
        </mc:AlternateContent>
      </w:r>
    </w:p>
    <w:p w14:paraId="38C8090B" w14:textId="16AE49E2" w:rsidR="0055711C" w:rsidRPr="00F536FA" w:rsidRDefault="0055711C" w:rsidP="001C00DB">
      <w:pPr>
        <w:spacing w:after="0" w:line="360" w:lineRule="auto"/>
        <w:ind w:right="49"/>
        <w:contextualSpacing/>
        <w:jc w:val="both"/>
        <w:rPr>
          <w:rFonts w:ascii="Palatino Linotype" w:hAnsi="Palatino Linotype" w:cs="Arial"/>
          <w:color w:val="000000" w:themeColor="text1"/>
          <w:sz w:val="24"/>
        </w:rPr>
      </w:pPr>
    </w:p>
    <w:p w14:paraId="10FC378C" w14:textId="77777777" w:rsidR="0055711C" w:rsidRPr="00F536FA" w:rsidRDefault="0055711C" w:rsidP="001C00DB">
      <w:pPr>
        <w:spacing w:after="0" w:line="360" w:lineRule="auto"/>
        <w:ind w:right="49"/>
        <w:contextualSpacing/>
        <w:jc w:val="both"/>
        <w:rPr>
          <w:rFonts w:ascii="Palatino Linotype" w:hAnsi="Palatino Linotype" w:cs="Arial"/>
          <w:color w:val="000000" w:themeColor="text1"/>
          <w:sz w:val="24"/>
        </w:rPr>
      </w:pPr>
    </w:p>
    <w:p w14:paraId="30031963" w14:textId="266B3F06" w:rsidR="00B83EDA" w:rsidRPr="00F536FA" w:rsidRDefault="00B83EDA" w:rsidP="00B83EDA">
      <w:pPr>
        <w:pStyle w:val="Ttulo3"/>
        <w:rPr>
          <w:rFonts w:ascii="Palatino Linotype" w:hAnsi="Palatino Linotype" w:cs="Arial"/>
          <w:b/>
          <w:bCs/>
          <w:color w:val="000000" w:themeColor="text1"/>
        </w:rPr>
      </w:pPr>
      <w:bookmarkStart w:id="37" w:name="_Toc54316040"/>
      <w:r w:rsidRPr="00F536FA">
        <w:rPr>
          <w:rFonts w:ascii="Palatino Linotype" w:hAnsi="Palatino Linotype" w:cs="Arial"/>
          <w:b/>
          <w:bCs/>
          <w:color w:val="000000" w:themeColor="text1"/>
        </w:rPr>
        <w:lastRenderedPageBreak/>
        <w:t>III.VI. De la pelea de gallos llevada a cabo en la Feria Ixtlahuaca 2020.</w:t>
      </w:r>
      <w:bookmarkEnd w:id="37"/>
    </w:p>
    <w:p w14:paraId="3334A337" w14:textId="77777777" w:rsidR="00B83EDA" w:rsidRPr="00F536FA" w:rsidRDefault="00B83EDA" w:rsidP="001C00DB">
      <w:pPr>
        <w:spacing w:after="0" w:line="360" w:lineRule="auto"/>
        <w:ind w:right="49"/>
        <w:contextualSpacing/>
        <w:jc w:val="both"/>
        <w:rPr>
          <w:rFonts w:ascii="Palatino Linotype" w:hAnsi="Palatino Linotype" w:cs="Arial"/>
          <w:color w:val="000000" w:themeColor="text1"/>
          <w:sz w:val="24"/>
        </w:rPr>
      </w:pPr>
    </w:p>
    <w:p w14:paraId="4F3A8930" w14:textId="1A8DE860" w:rsidR="001C00DB" w:rsidRPr="00F536FA" w:rsidRDefault="00B83ED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último, el entonces </w:t>
      </w:r>
      <w:r w:rsidRPr="00F536FA">
        <w:rPr>
          <w:rFonts w:ascii="Palatino Linotype" w:hAnsi="Palatino Linotype" w:cs="Arial"/>
          <w:b/>
          <w:bCs/>
          <w:color w:val="000000" w:themeColor="text1"/>
          <w:sz w:val="24"/>
        </w:rPr>
        <w:t>SOLICITANTE</w:t>
      </w:r>
      <w:r w:rsidRPr="00F536FA">
        <w:rPr>
          <w:rFonts w:ascii="Palatino Linotype" w:hAnsi="Palatino Linotype" w:cs="Arial"/>
          <w:color w:val="000000" w:themeColor="text1"/>
          <w:sz w:val="24"/>
        </w:rPr>
        <w:t xml:space="preserve"> requirió, dentro de la solicitud de información </w:t>
      </w:r>
      <w:r w:rsidRPr="00F536FA">
        <w:rPr>
          <w:rFonts w:ascii="Palatino Linotype" w:hAnsi="Palatino Linotype" w:cs="Arial"/>
          <w:b/>
          <w:bCs/>
          <w:color w:val="000000" w:themeColor="text1"/>
          <w:sz w:val="24"/>
        </w:rPr>
        <w:t>00072/IXTLAHUA/IP/2020</w:t>
      </w:r>
      <w:r w:rsidRPr="00F536FA">
        <w:rPr>
          <w:rFonts w:ascii="Palatino Linotype" w:hAnsi="Palatino Linotype" w:cs="Arial"/>
          <w:color w:val="000000" w:themeColor="text1"/>
          <w:sz w:val="24"/>
        </w:rPr>
        <w:t>, de la empresa o persona física responsable del palenque de peleas de gallos celebrado en la Feria Ixtlahuaca 2019: a) Nombre de la persona física o jurídico-colectiva; b) copia de las aportaciones realizadas por el arrendamiento del “Salón de la Gente”; c) permiso otorgado por el Ayuntamiento para usar el “Salón de la Gente”; y d) medidas que se implementaron para asegurar que el evento cumpliera con lo establecido en la Ley Federal de Juegos y Sorteos.</w:t>
      </w:r>
    </w:p>
    <w:p w14:paraId="45C65255"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2490FADB" w14:textId="64D60E55" w:rsidR="001C00DB" w:rsidRPr="00F536FA" w:rsidRDefault="00B83ED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su respuesta,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a través del Director de Gobierno Municipal, dentro del oficio DGMI/105/2020, manifestó que la persona física responsable de la realización del palenque durante la celebración de la Feria Ixtlahuaca 2019 es el </w:t>
      </w:r>
      <w:r w:rsidRPr="00F536FA">
        <w:rPr>
          <w:rFonts w:ascii="Palatino Linotype" w:hAnsi="Palatino Linotype" w:cs="Arial"/>
          <w:i/>
          <w:iCs/>
          <w:color w:val="000000" w:themeColor="text1"/>
          <w:sz w:val="24"/>
        </w:rPr>
        <w:t>C. Joel Ortega Soltero</w:t>
      </w:r>
      <w:r w:rsidRPr="00F536FA">
        <w:rPr>
          <w:rFonts w:ascii="Palatino Linotype" w:hAnsi="Palatino Linotype" w:cs="Arial"/>
          <w:color w:val="000000" w:themeColor="text1"/>
          <w:sz w:val="24"/>
        </w:rPr>
        <w:t xml:space="preserve"> y, por otro lado, que para la realización de la celebración de las peleas de gallos se obtuvo -por parte del responsable del evento- el permiso número 20191385PG05 emitido por la Dirección General de Juegos y Sorteos, dependiente de la Secretaría de Gobernación.</w:t>
      </w:r>
    </w:p>
    <w:p w14:paraId="22C14FF4"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6F282BF8" w14:textId="448AE7F5" w:rsidR="001C00DB" w:rsidRPr="00F536FA" w:rsidRDefault="00B83EDA"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Asimismo, adjunto al oficio referido </w:t>
      </w:r>
      <w:r w:rsidRPr="00F536FA">
        <w:rPr>
          <w:rFonts w:ascii="Palatino Linotype" w:hAnsi="Palatino Linotype" w:cs="Arial"/>
          <w:i/>
          <w:iCs/>
          <w:color w:val="000000" w:themeColor="text1"/>
          <w:sz w:val="24"/>
        </w:rPr>
        <w:t>supra</w:t>
      </w:r>
      <w:r w:rsidRPr="00F536FA">
        <w:rPr>
          <w:rFonts w:ascii="Palatino Linotype" w:hAnsi="Palatino Linotype" w:cs="Arial"/>
          <w:color w:val="000000" w:themeColor="text1"/>
          <w:sz w:val="24"/>
        </w:rPr>
        <w:t xml:space="preserve">, el Director de Gobierno Municipal compartió una parte </w:t>
      </w:r>
      <w:r w:rsidR="00C35E58" w:rsidRPr="00F536FA">
        <w:rPr>
          <w:rFonts w:ascii="Palatino Linotype" w:hAnsi="Palatino Linotype" w:cs="Arial"/>
          <w:color w:val="000000" w:themeColor="text1"/>
          <w:sz w:val="24"/>
        </w:rPr>
        <w:t xml:space="preserve">-ya que no se incluyeron las páginas 1 y 3- </w:t>
      </w:r>
      <w:r w:rsidRPr="00F536FA">
        <w:rPr>
          <w:rFonts w:ascii="Palatino Linotype" w:hAnsi="Palatino Linotype" w:cs="Arial"/>
          <w:color w:val="000000" w:themeColor="text1"/>
          <w:sz w:val="24"/>
        </w:rPr>
        <w:t xml:space="preserve">del </w:t>
      </w:r>
      <w:r w:rsidR="00C35E58" w:rsidRPr="00F536FA">
        <w:rPr>
          <w:rFonts w:ascii="Palatino Linotype" w:hAnsi="Palatino Linotype" w:cs="Arial"/>
          <w:color w:val="000000" w:themeColor="text1"/>
          <w:sz w:val="24"/>
        </w:rPr>
        <w:t>Permiso para el Cruce de Apuestas en Peleas de Gallos en Escenarios Temporales, en versión pública, expedido por la Dirección General de Juegos y Sorteos, de la Subsecretaría de Gobierno, dependiente de la Secretaría de Gobernación federal.</w:t>
      </w:r>
    </w:p>
    <w:p w14:paraId="4361AF6F"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1EF13BEC" w14:textId="5C93B73A" w:rsidR="001C00DB" w:rsidRPr="00F536FA" w:rsidRDefault="00C35E5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Dicho lo anterior, por cuanto hace al responsable de la realización del evento, debe tomarse por </w:t>
      </w:r>
      <w:r w:rsidRPr="00F536FA">
        <w:rPr>
          <w:rFonts w:ascii="Palatino Linotype" w:hAnsi="Palatino Linotype" w:cs="Arial"/>
          <w:b/>
          <w:bCs/>
          <w:color w:val="000000" w:themeColor="text1"/>
          <w:sz w:val="24"/>
        </w:rPr>
        <w:t>atendido</w:t>
      </w:r>
      <w:r w:rsidRPr="00F536FA">
        <w:rPr>
          <w:rFonts w:ascii="Palatino Linotype" w:hAnsi="Palatino Linotype" w:cs="Arial"/>
          <w:color w:val="000000" w:themeColor="text1"/>
          <w:sz w:val="24"/>
        </w:rPr>
        <w:t xml:space="preserve">, toda vez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señaló a una persona física específica dentro del oficio DGMI/105/2020.</w:t>
      </w:r>
    </w:p>
    <w:p w14:paraId="6C500D57"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5515D172" w14:textId="019ACCE0" w:rsidR="001C00DB" w:rsidRPr="00F536FA" w:rsidRDefault="00C35E5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otro lado, como sucediera en el punto III.V,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omitió pronunciarse respecto de las aportaciones generadas por el arrendamiento del “Salón de la Gente”, sin embargo, de la lectura al Permiso para el Cruce de Apuestas en Peleas de Gallos en Escenarios Temporales número 20191385PG05, en su página 7 se desprende que el lugar de realización de las peleas de gallos, es justamente en el </w:t>
      </w:r>
      <w:r w:rsidRPr="00F536FA">
        <w:rPr>
          <w:rFonts w:ascii="Palatino Linotype" w:hAnsi="Palatino Linotype" w:cs="Arial"/>
          <w:i/>
          <w:iCs/>
          <w:color w:val="000000" w:themeColor="text1"/>
          <w:sz w:val="24"/>
        </w:rPr>
        <w:t>“AUDIRTORIO MUNICIPAL DENOMINADO “DE LA GENTE”, LOCALIDAD SAN FRANCISCO DE ASÍS 12, MINICIPIO IXTLAHUACA, ESTADO DE MÉXICO, C.P. 50740”</w:t>
      </w:r>
      <w:r w:rsidRPr="00F536FA">
        <w:rPr>
          <w:rFonts w:ascii="Palatino Linotype" w:hAnsi="Palatino Linotype" w:cs="Arial"/>
          <w:color w:val="000000" w:themeColor="text1"/>
          <w:sz w:val="24"/>
        </w:rPr>
        <w:t>.</w:t>
      </w:r>
    </w:p>
    <w:p w14:paraId="277E9B8D"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36A7B9AB" w14:textId="2D14CE22" w:rsidR="001C00DB" w:rsidRPr="00F536FA" w:rsidRDefault="00C35E58"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En ese tenor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encuentra certeza de que el evento referido por el particular se realizó en el inmueble del Ayuntamiento denominado “De la Gente” o “Salón de la Gente”; asimismo, </w:t>
      </w:r>
      <w:r w:rsidR="002E11E6" w:rsidRPr="00F536FA">
        <w:rPr>
          <w:rFonts w:ascii="Palatino Linotype" w:hAnsi="Palatino Linotype" w:cs="Arial"/>
          <w:color w:val="000000" w:themeColor="text1"/>
          <w:sz w:val="24"/>
        </w:rPr>
        <w:t xml:space="preserve">de conformidad con los procesos de contratación de eventos feriales -estudiados en puntos anteriores- que lleva a cabo el Ayuntamiento de Ixtlahuaca, se concluye que la realización del evento de peleas de gallos, debió derivar de la suscripción de un contrato o convenio por medio del cual el </w:t>
      </w:r>
      <w:r w:rsidR="002E11E6" w:rsidRPr="00F536FA">
        <w:rPr>
          <w:rFonts w:ascii="Palatino Linotype" w:hAnsi="Palatino Linotype" w:cs="Arial"/>
          <w:b/>
          <w:bCs/>
          <w:color w:val="000000" w:themeColor="text1"/>
          <w:sz w:val="24"/>
        </w:rPr>
        <w:t>SUJETO OBLIGADO</w:t>
      </w:r>
      <w:r w:rsidR="002E11E6" w:rsidRPr="00F536FA">
        <w:rPr>
          <w:rFonts w:ascii="Palatino Linotype" w:hAnsi="Palatino Linotype" w:cs="Arial"/>
          <w:color w:val="000000" w:themeColor="text1"/>
          <w:sz w:val="24"/>
        </w:rPr>
        <w:t xml:space="preserve"> permitiera el uso del auditorio municipal “De la Gente” o “Salón de la Gente” para la realización del palenque. En consecuencia de lo anterior, el </w:t>
      </w:r>
      <w:r w:rsidR="002E11E6" w:rsidRPr="00F536FA">
        <w:rPr>
          <w:rFonts w:ascii="Palatino Linotype" w:hAnsi="Palatino Linotype" w:cs="Arial"/>
          <w:b/>
          <w:bCs/>
          <w:color w:val="000000" w:themeColor="text1"/>
          <w:sz w:val="24"/>
        </w:rPr>
        <w:t>SUJETO OBLIGADO</w:t>
      </w:r>
      <w:r w:rsidR="002E11E6" w:rsidRPr="00F536FA">
        <w:rPr>
          <w:rFonts w:ascii="Palatino Linotype" w:hAnsi="Palatino Linotype" w:cs="Arial"/>
          <w:color w:val="000000" w:themeColor="text1"/>
          <w:sz w:val="24"/>
        </w:rPr>
        <w:t xml:space="preserve"> deberá entregar al particular el documento donde conste el permiso para usar el inmueble en cuestión con motivo del palenque de peleas de gallos, de ser procedente en versión pública.</w:t>
      </w:r>
    </w:p>
    <w:p w14:paraId="21607AE9"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4A1894BA" w14:textId="658F7AEC" w:rsidR="001C00DB" w:rsidRPr="00F536FA" w:rsidRDefault="002E11E6"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Por último, por cuanto hace al punto de la solicitud por el que se requirieron las medidas que se implementaron para asegurar que el evento cumplirá con lo establecido en la Ley Federal de Juegos y Sorteos, como ha sido reiterado,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parte del Permiso </w:t>
      </w:r>
      <w:bookmarkStart w:id="38" w:name="_Hlk54314521"/>
      <w:r w:rsidRPr="00F536FA">
        <w:rPr>
          <w:rFonts w:ascii="Palatino Linotype" w:hAnsi="Palatino Linotype" w:cs="Arial"/>
          <w:color w:val="000000" w:themeColor="text1"/>
          <w:sz w:val="24"/>
        </w:rPr>
        <w:t>para el Cruce de Apuestas en Peleas de Gallos en Escenarios Temporales número 20191385PG05</w:t>
      </w:r>
      <w:bookmarkEnd w:id="38"/>
      <w:r w:rsidRPr="00F536FA">
        <w:rPr>
          <w:rFonts w:ascii="Palatino Linotype" w:hAnsi="Palatino Linotype" w:cs="Arial"/>
          <w:color w:val="000000" w:themeColor="text1"/>
          <w:sz w:val="24"/>
        </w:rPr>
        <w:t xml:space="preserve">, otorgado al </w:t>
      </w:r>
      <w:r w:rsidRPr="00F536FA">
        <w:rPr>
          <w:rFonts w:ascii="Palatino Linotype" w:hAnsi="Palatino Linotype" w:cs="Arial"/>
          <w:i/>
          <w:iCs/>
          <w:color w:val="000000" w:themeColor="text1"/>
          <w:sz w:val="24"/>
        </w:rPr>
        <w:t>C. Joel Ortega Soltero</w:t>
      </w:r>
      <w:r w:rsidRPr="00F536FA">
        <w:rPr>
          <w:rFonts w:ascii="Palatino Linotype" w:hAnsi="Palatino Linotype" w:cs="Arial"/>
          <w:color w:val="000000" w:themeColor="text1"/>
          <w:sz w:val="24"/>
        </w:rPr>
        <w:t>, quien fuera señalado como el responsable de la realización del palenque de peleas gallos.</w:t>
      </w:r>
    </w:p>
    <w:p w14:paraId="029DBBB0"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03EB4E65" w14:textId="618CCD89" w:rsidR="001C00DB" w:rsidRPr="00F536FA" w:rsidRDefault="002E11E6"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Ahora bien, </w:t>
      </w:r>
      <w:r w:rsidR="00A76E1B" w:rsidRPr="00F536FA">
        <w:rPr>
          <w:rFonts w:ascii="Palatino Linotype" w:hAnsi="Palatino Linotype" w:cs="Arial"/>
          <w:color w:val="000000" w:themeColor="text1"/>
          <w:sz w:val="24"/>
        </w:rPr>
        <w:t>por cuanto hace a la Ley Federal de Juegos y Sorteos, ésta señala que corresponderá al Ejecutivo Federal, por conducto de la Secretaría de Gobernación, la reglamentación, autorización, control y vigilancia de los juegos cuando en ellos medien apuestas de cualquier clase; así como de los sorteos, con excepción del de la Lotería Nacional, que se regirá por su propia ley</w:t>
      </w:r>
      <w:r w:rsidR="00A76E1B" w:rsidRPr="00F536FA">
        <w:rPr>
          <w:rStyle w:val="Refdenotaalpie"/>
          <w:rFonts w:ascii="Palatino Linotype" w:hAnsi="Palatino Linotype" w:cs="Arial"/>
          <w:color w:val="000000" w:themeColor="text1"/>
          <w:sz w:val="24"/>
        </w:rPr>
        <w:footnoteReference w:id="12"/>
      </w:r>
      <w:r w:rsidR="00A76E1B" w:rsidRPr="00F536FA">
        <w:rPr>
          <w:rFonts w:ascii="Palatino Linotype" w:hAnsi="Palatino Linotype" w:cs="Arial"/>
          <w:color w:val="000000" w:themeColor="text1"/>
          <w:sz w:val="24"/>
        </w:rPr>
        <w:t>, asimismo, refiere que no se podrá establecer ni funcionar ninguna casa, o lugar abierto o cerrado, en que se practiquen juegos con apuestas ni sorteos, de ninguna clase, sin permiso de la Secretaría de Gobernación. Esta fijará en cada caso los requisitos y condiciones que deberán cumplirse</w:t>
      </w:r>
      <w:r w:rsidR="00A76E1B" w:rsidRPr="00F536FA">
        <w:rPr>
          <w:rStyle w:val="Refdenotaalpie"/>
          <w:rFonts w:ascii="Palatino Linotype" w:hAnsi="Palatino Linotype" w:cs="Arial"/>
          <w:color w:val="000000" w:themeColor="text1"/>
          <w:sz w:val="24"/>
        </w:rPr>
        <w:footnoteReference w:id="13"/>
      </w:r>
      <w:r w:rsidR="00A76E1B" w:rsidRPr="00F536FA">
        <w:rPr>
          <w:rFonts w:ascii="Palatino Linotype" w:hAnsi="Palatino Linotype" w:cs="Arial"/>
          <w:color w:val="000000" w:themeColor="text1"/>
          <w:sz w:val="24"/>
        </w:rPr>
        <w:t xml:space="preserve">; para el caso concreto, el artículo 11 de la norma federal reconoce que la Secretaría de Gobernación tendrá facultad para autorizar, </w:t>
      </w:r>
      <w:r w:rsidR="00A76E1B" w:rsidRPr="00F536FA">
        <w:rPr>
          <w:rFonts w:ascii="Palatino Linotype" w:hAnsi="Palatino Linotype" w:cs="Arial"/>
          <w:b/>
          <w:bCs/>
          <w:color w:val="000000" w:themeColor="text1"/>
          <w:sz w:val="24"/>
        </w:rPr>
        <w:t>en las ferias regionales</w:t>
      </w:r>
      <w:r w:rsidR="00A76E1B" w:rsidRPr="00F536FA">
        <w:rPr>
          <w:rFonts w:ascii="Palatino Linotype" w:hAnsi="Palatino Linotype" w:cs="Arial"/>
          <w:color w:val="000000" w:themeColor="text1"/>
          <w:sz w:val="24"/>
        </w:rPr>
        <w:t>, el cruce de apuestas en los espectáculos que determine el Reglamento de la Ley.</w:t>
      </w:r>
    </w:p>
    <w:p w14:paraId="48F965D9"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5B29961E" w14:textId="0D117266" w:rsidR="001C00DB" w:rsidRPr="00F536FA" w:rsidRDefault="00A76E1B"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Ahora bien, el Reglamento de la Ley Federal de Juegos y Sorteos, en sus artículos 20</w:t>
      </w:r>
      <w:r w:rsidR="00F35C65" w:rsidRPr="00F536FA">
        <w:rPr>
          <w:rFonts w:ascii="Palatino Linotype" w:hAnsi="Palatino Linotype" w:cs="Arial"/>
          <w:color w:val="000000" w:themeColor="text1"/>
          <w:sz w:val="24"/>
        </w:rPr>
        <w:t xml:space="preserve"> y</w:t>
      </w:r>
      <w:r w:rsidRPr="00F536FA">
        <w:rPr>
          <w:rFonts w:ascii="Palatino Linotype" w:hAnsi="Palatino Linotype" w:cs="Arial"/>
          <w:color w:val="000000" w:themeColor="text1"/>
          <w:sz w:val="24"/>
        </w:rPr>
        <w:t xml:space="preserve"> 2</w:t>
      </w:r>
      <w:r w:rsidR="00F35C65" w:rsidRPr="00F536FA">
        <w:rPr>
          <w:rFonts w:ascii="Palatino Linotype" w:hAnsi="Palatino Linotype" w:cs="Arial"/>
          <w:color w:val="000000" w:themeColor="text1"/>
          <w:sz w:val="24"/>
        </w:rPr>
        <w:t>1, se establece que la Secretaría de Gobernación podrá otorgar permisos para celebrar juegos con apuestas y sorteos en escenarios temporales y peleas de gallos mientras se cumplan con los siguientes requisitos:</w:t>
      </w:r>
    </w:p>
    <w:p w14:paraId="7E613ADC" w14:textId="5B2219D9"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0B45E165" w14:textId="41DD9D40" w:rsidR="00A76E1B"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i/>
          <w:iCs/>
        </w:rPr>
        <w:t>“</w:t>
      </w:r>
      <w:r w:rsidR="00A76E1B" w:rsidRPr="00F536FA">
        <w:rPr>
          <w:rFonts w:ascii="Palatino Linotype" w:hAnsi="Palatino Linotype"/>
          <w:b/>
          <w:bCs/>
          <w:i/>
          <w:iCs/>
        </w:rPr>
        <w:t>ARTÍCULO 20.-</w:t>
      </w:r>
      <w:r w:rsidR="00A76E1B" w:rsidRPr="00F536FA">
        <w:rPr>
          <w:rFonts w:ascii="Palatino Linotype" w:hAnsi="Palatino Linotype"/>
          <w:i/>
          <w:iCs/>
        </w:rPr>
        <w:t xml:space="preserve"> </w:t>
      </w:r>
      <w:r w:rsidR="00A76E1B" w:rsidRPr="00F536FA">
        <w:rPr>
          <w:rFonts w:ascii="Palatino Linotype" w:hAnsi="Palatino Linotype"/>
          <w:b/>
          <w:bCs/>
          <w:i/>
          <w:iCs/>
        </w:rPr>
        <w:t>La Secretaría podrá otorgar permisos para celebrar los juegos con apuestas y sorteos</w:t>
      </w:r>
      <w:r w:rsidR="00A76E1B" w:rsidRPr="00F536FA">
        <w:rPr>
          <w:rFonts w:ascii="Palatino Linotype" w:hAnsi="Palatino Linotype"/>
          <w:i/>
          <w:iCs/>
        </w:rPr>
        <w:t xml:space="preserve"> a que se refiere la Ley y el presente Reglamento a los solicitantes conforme a lo siguiente: </w:t>
      </w:r>
    </w:p>
    <w:p w14:paraId="29F7ECEF" w14:textId="1A147739"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i/>
          <w:iCs/>
        </w:rPr>
        <w:t>(…)</w:t>
      </w:r>
    </w:p>
    <w:p w14:paraId="567260AC" w14:textId="5F24271B"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III.</w:t>
      </w:r>
      <w:r w:rsidRPr="00F536FA">
        <w:rPr>
          <w:rFonts w:ascii="Palatino Linotype" w:hAnsi="Palatino Linotype"/>
          <w:i/>
          <w:iCs/>
        </w:rPr>
        <w:t xml:space="preserve"> </w:t>
      </w:r>
      <w:r w:rsidRPr="00F536FA">
        <w:rPr>
          <w:rFonts w:ascii="Palatino Linotype" w:hAnsi="Palatino Linotype"/>
          <w:b/>
          <w:bCs/>
          <w:i/>
          <w:iCs/>
        </w:rPr>
        <w:t>Para la apertura y operación del cruce de apuestas en</w:t>
      </w:r>
      <w:r w:rsidRPr="00F536FA">
        <w:rPr>
          <w:rFonts w:ascii="Palatino Linotype" w:hAnsi="Palatino Linotype"/>
          <w:i/>
          <w:iCs/>
        </w:rPr>
        <w:t xml:space="preserve"> carreras de caballos en </w:t>
      </w:r>
      <w:r w:rsidRPr="00F536FA">
        <w:rPr>
          <w:rFonts w:ascii="Palatino Linotype" w:hAnsi="Palatino Linotype"/>
          <w:b/>
          <w:bCs/>
          <w:i/>
          <w:iCs/>
        </w:rPr>
        <w:t>escenarios temporales y en peleas de gallos</w:t>
      </w:r>
      <w:r w:rsidRPr="00F536FA">
        <w:rPr>
          <w:rFonts w:ascii="Palatino Linotype" w:hAnsi="Palatino Linotype"/>
          <w:i/>
          <w:iCs/>
        </w:rPr>
        <w:t>, a sociedades mercantiles que estén debidamente constituidas conforme a las leyes de los Estados Unidos Mexicanos y a personas físicas</w:t>
      </w:r>
    </w:p>
    <w:p w14:paraId="08FD29FA" w14:textId="3C75481A" w:rsidR="00F35C65"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i/>
          <w:iCs/>
        </w:rPr>
        <w:t>(…)</w:t>
      </w:r>
    </w:p>
    <w:p w14:paraId="2688AB11" w14:textId="77777777" w:rsidR="00A76E1B" w:rsidRPr="00F536FA" w:rsidRDefault="00A76E1B" w:rsidP="00F35C65">
      <w:pPr>
        <w:spacing w:after="0" w:line="276" w:lineRule="auto"/>
        <w:ind w:left="567" w:right="567"/>
        <w:contextualSpacing/>
        <w:jc w:val="both"/>
        <w:rPr>
          <w:rFonts w:ascii="Palatino Linotype" w:hAnsi="Palatino Linotype"/>
          <w:i/>
          <w:iCs/>
        </w:rPr>
      </w:pPr>
    </w:p>
    <w:p w14:paraId="701578A6" w14:textId="77777777"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ARTÍCULO 21.-</w:t>
      </w:r>
      <w:r w:rsidRPr="00F536FA">
        <w:rPr>
          <w:rFonts w:ascii="Palatino Linotype" w:hAnsi="Palatino Linotype"/>
          <w:i/>
          <w:iCs/>
        </w:rPr>
        <w:t xml:space="preserve"> Para la obtención de un permiso el solicitante deberá cumplir con los siguientes requisitos:</w:t>
      </w:r>
    </w:p>
    <w:p w14:paraId="3285AA26" w14:textId="77777777"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w:t>
      </w:r>
      <w:r w:rsidRPr="00F536FA">
        <w:rPr>
          <w:rFonts w:ascii="Palatino Linotype" w:hAnsi="Palatino Linotype"/>
          <w:i/>
          <w:iCs/>
        </w:rPr>
        <w:t xml:space="preserve"> Presentar solicitud por escrito en el formato que establezca la Secretaría; </w:t>
      </w:r>
    </w:p>
    <w:p w14:paraId="5E18A5B8" w14:textId="77777777"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w:t>
      </w:r>
      <w:r w:rsidRPr="00F536FA">
        <w:rPr>
          <w:rFonts w:ascii="Palatino Linotype" w:hAnsi="Palatino Linotype"/>
          <w:i/>
          <w:iCs/>
        </w:rPr>
        <w:t xml:space="preserve"> Presentar copia de la constancia de inscripción en el Registro Federal de Contribuyentes o Cédula de Identificación Fiscal; </w:t>
      </w:r>
    </w:p>
    <w:p w14:paraId="29D773EB" w14:textId="77777777"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III.</w:t>
      </w:r>
      <w:r w:rsidRPr="00F536FA">
        <w:rPr>
          <w:rFonts w:ascii="Palatino Linotype" w:hAnsi="Palatino Linotype"/>
          <w:i/>
          <w:iCs/>
        </w:rPr>
        <w:t xml:space="preserve"> Tratándose de personas físicas: </w:t>
      </w:r>
    </w:p>
    <w:p w14:paraId="50251AB6" w14:textId="77777777" w:rsidR="00A76E1B"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a)</w:t>
      </w:r>
      <w:r w:rsidRPr="00F536FA">
        <w:rPr>
          <w:rFonts w:ascii="Palatino Linotype" w:hAnsi="Palatino Linotype"/>
          <w:i/>
          <w:iCs/>
        </w:rPr>
        <w:t xml:space="preserve"> Señalar nombre, nacionalidad, domicilio y adjuntar copia de identificación oficial con fotografía del solicitante, y </w:t>
      </w:r>
    </w:p>
    <w:p w14:paraId="3A0EF1F6" w14:textId="77777777" w:rsidR="00F35C65" w:rsidRPr="00F536FA" w:rsidRDefault="00A76E1B"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b)</w:t>
      </w:r>
      <w:r w:rsidRPr="00F536FA">
        <w:rPr>
          <w:rFonts w:ascii="Palatino Linotype" w:hAnsi="Palatino Linotype"/>
          <w:i/>
          <w:iCs/>
        </w:rPr>
        <w:t xml:space="preserve"> Declarar, bajo protesta de decir verdad, que no ha sido procesado ni condenado por delito doloso de índole patrimonial, fiscal ni relacionado con la delincuencia organizada o de operaciones con recursos de procedencia ilícita.</w:t>
      </w:r>
      <w:r w:rsidR="00F35C65" w:rsidRPr="00F536FA">
        <w:rPr>
          <w:rFonts w:ascii="Palatino Linotype" w:hAnsi="Palatino Linotype"/>
          <w:i/>
          <w:iCs/>
        </w:rPr>
        <w:t xml:space="preserve"> </w:t>
      </w:r>
    </w:p>
    <w:p w14:paraId="491C00C1" w14:textId="77777777" w:rsidR="00F35C65"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IV.</w:t>
      </w:r>
      <w:r w:rsidRPr="00F536FA">
        <w:rPr>
          <w:rFonts w:ascii="Palatino Linotype" w:hAnsi="Palatino Linotype"/>
          <w:i/>
          <w:iCs/>
        </w:rPr>
        <w:t xml:space="preserve"> Tratándose de personas morales: </w:t>
      </w:r>
    </w:p>
    <w:p w14:paraId="4078293A" w14:textId="77777777" w:rsidR="00F35C65"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a)</w:t>
      </w:r>
      <w:r w:rsidRPr="00F536FA">
        <w:rPr>
          <w:rFonts w:ascii="Palatino Linotype" w:hAnsi="Palatino Linotype"/>
          <w:i/>
          <w:iCs/>
        </w:rPr>
        <w:t xml:space="preserve"> Exhibir testimonio o copia certificada de su acta constitutiva debidamente inscrita en el Registro Público de la Propiedad y del Comercio que corresponda o del instrumento jurídico de su creación, por el que se acredite que se encuentra debidamente constituida conforme a las leyes de los Estados Unidos Mexicanos, y </w:t>
      </w:r>
    </w:p>
    <w:p w14:paraId="0DDD292F" w14:textId="77777777" w:rsidR="00F35C65"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lastRenderedPageBreak/>
        <w:t>b)</w:t>
      </w:r>
      <w:r w:rsidRPr="00F536FA">
        <w:rPr>
          <w:rFonts w:ascii="Palatino Linotype" w:hAnsi="Palatino Linotype"/>
          <w:i/>
          <w:iCs/>
        </w:rPr>
        <w:t xml:space="preserve"> Acreditar la representación legal de la solicitante, mediante poder otorgado ante fedatario público o el instrumento jurídico en que consten las facultades de representación. </w:t>
      </w:r>
    </w:p>
    <w:p w14:paraId="2323CA9A" w14:textId="77777777" w:rsidR="00F35C65"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V.</w:t>
      </w:r>
      <w:r w:rsidRPr="00F536FA">
        <w:rPr>
          <w:rFonts w:ascii="Palatino Linotype" w:hAnsi="Palatino Linotype"/>
          <w:i/>
          <w:iCs/>
        </w:rPr>
        <w:t xml:space="preserve"> Exhibir a la Secretaría una fianza que garantice el cumplimiento del pago de los premios, así como su base de cálculo, salvo que se trate de instituciones públicas o de aquellas que se encuentren eximidas conforme a las leyes respectivas, y </w:t>
      </w:r>
    </w:p>
    <w:p w14:paraId="7FD6666C" w14:textId="77777777" w:rsidR="00F35C65"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b/>
          <w:bCs/>
          <w:i/>
          <w:iCs/>
        </w:rPr>
        <w:t>VI.</w:t>
      </w:r>
      <w:r w:rsidRPr="00F536FA">
        <w:rPr>
          <w:rFonts w:ascii="Palatino Linotype" w:hAnsi="Palatino Linotype"/>
          <w:i/>
          <w:iCs/>
        </w:rPr>
        <w:t xml:space="preserve"> Los demás requisitos específicos que para cada permiso establece el presente Reglamento. </w:t>
      </w:r>
    </w:p>
    <w:p w14:paraId="46469371" w14:textId="7A5808A2" w:rsidR="00A76E1B" w:rsidRPr="00F536FA" w:rsidRDefault="00F35C65" w:rsidP="00F35C65">
      <w:pPr>
        <w:spacing w:after="0" w:line="276" w:lineRule="auto"/>
        <w:ind w:left="567" w:right="567"/>
        <w:contextualSpacing/>
        <w:jc w:val="both"/>
        <w:rPr>
          <w:rFonts w:ascii="Palatino Linotype" w:hAnsi="Palatino Linotype"/>
          <w:i/>
          <w:iCs/>
        </w:rPr>
      </w:pPr>
      <w:r w:rsidRPr="00F536FA">
        <w:rPr>
          <w:rFonts w:ascii="Palatino Linotype" w:hAnsi="Palatino Linotype"/>
          <w:i/>
          <w:iCs/>
        </w:rPr>
        <w:t>Los formatos y demás información necesaria para tramitar los permisos correspondientes estarán a disposición de los interesados en las oficinas de la Dirección, en las de la Secretaría en los estados de la República y a través de Internet en la página correspondiente.”</w:t>
      </w:r>
    </w:p>
    <w:p w14:paraId="1E503B0B" w14:textId="6B5FEC01" w:rsidR="00F35C65" w:rsidRPr="00F536FA" w:rsidRDefault="00F35C65" w:rsidP="00F35C65">
      <w:pPr>
        <w:spacing w:after="0" w:line="276" w:lineRule="auto"/>
        <w:ind w:left="567" w:right="567"/>
        <w:contextualSpacing/>
        <w:jc w:val="both"/>
        <w:rPr>
          <w:rFonts w:ascii="Palatino Linotype" w:hAnsi="Palatino Linotype"/>
        </w:rPr>
      </w:pPr>
      <w:r w:rsidRPr="00F536FA">
        <w:rPr>
          <w:rFonts w:ascii="Palatino Linotype" w:hAnsi="Palatino Linotype"/>
        </w:rPr>
        <w:t>(Énfasis añadido)</w:t>
      </w:r>
    </w:p>
    <w:p w14:paraId="31374717" w14:textId="30AF12DA" w:rsidR="00F35C65" w:rsidRPr="00F536FA" w:rsidRDefault="00F35C65" w:rsidP="001C00DB">
      <w:pPr>
        <w:spacing w:after="0" w:line="360" w:lineRule="auto"/>
        <w:ind w:right="49"/>
        <w:contextualSpacing/>
        <w:jc w:val="both"/>
      </w:pPr>
    </w:p>
    <w:p w14:paraId="2C9B5406" w14:textId="1E702834" w:rsidR="001C00DB" w:rsidRPr="00F536FA" w:rsidRDefault="00F35C65"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Por su parte, el numeral 25 del Reglamento refiere que, aparte de los requisitos señalados en el artículo 21, para la apertura y operación del cruce de apuestas en escenarios temporales y peleas de gallos, se deberá acompañar la solicitud con los siguientes documentos:</w:t>
      </w:r>
    </w:p>
    <w:p w14:paraId="415B9E36" w14:textId="73E5C43E"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Para el caso de personas morales, la escritura constitutiva de la sociedad, el cual deberá prever en su objeto social, como actividad preponderante, aquélla para la cual se solicita el permiso.</w:t>
      </w:r>
    </w:p>
    <w:p w14:paraId="01C8E93E" w14:textId="3762499E"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Manifestar por escrito la ubicación exacta del lugar en que se pretenda instalar el establecimiento.</w:t>
      </w:r>
    </w:p>
    <w:p w14:paraId="50AF0139" w14:textId="3F037F12"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Acreditar experiencia en la operación del cruce de apuestas u organización del sorteo de que se trate o, en su defecto, identificar y acreditar la experiencia del operador que, en su caso, tendría a su cargo el funcionamiento u organización del establecimiento.</w:t>
      </w:r>
    </w:p>
    <w:p w14:paraId="1509E1B9" w14:textId="77777777"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Exhibir los documentos, certificados por fedatario público, que acrediten la propiedad o legal posesión del inmueble en el que se vaya a instalar el establecimiento.</w:t>
      </w:r>
    </w:p>
    <w:p w14:paraId="118F46F1" w14:textId="77777777"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Presentar la relación de los juegos con apuestas y sorteos que se pretendan instalar, así como el programa y la reglamentación de cada uno de ellos.</w:t>
      </w:r>
    </w:p>
    <w:p w14:paraId="05D63764" w14:textId="54C4D823"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Especificar, de manera detallada, los lineamientos de operación del cruce de apuestas que se empleará en la feria, así como el control de las mismas.</w:t>
      </w:r>
    </w:p>
    <w:p w14:paraId="7E00362C" w14:textId="5236A9D6" w:rsidR="00B42F39" w:rsidRPr="00F536FA" w:rsidRDefault="00B42F39" w:rsidP="00B42F39">
      <w:pPr>
        <w:numPr>
          <w:ilvl w:val="1"/>
          <w:numId w:val="2"/>
        </w:numPr>
        <w:spacing w:after="0" w:line="360" w:lineRule="auto"/>
        <w:ind w:left="993" w:right="49"/>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Señalar nombre y domicilio de los representantes del permisionario que actuarán como responsables durante la celebración de los eventos.</w:t>
      </w:r>
    </w:p>
    <w:p w14:paraId="12986396" w14:textId="029294B3"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6181F9F0" w14:textId="78CA5787" w:rsidR="001C00DB" w:rsidRPr="00F536FA" w:rsidRDefault="00B42F3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Una vez otorgado el permiso, para la realización de las peleas de gallos, el artículo 72 del Reglamento de la Ley Federal de Juegos y Sorteos refiere que el permisionario </w:t>
      </w:r>
      <w:r w:rsidRPr="00F536FA">
        <w:rPr>
          <w:rFonts w:ascii="Palatino Linotype" w:hAnsi="Palatino Linotype" w:cs="Arial"/>
          <w:b/>
          <w:bCs/>
          <w:color w:val="000000" w:themeColor="text1"/>
          <w:sz w:val="24"/>
        </w:rPr>
        <w:t>deberá exhibir en el sitio autorizado para efectuar las peleas una copia del permiso, así como del reglamento de operación del establecimiento y de los lineamientos de operación del cruce de apuestas</w:t>
      </w:r>
      <w:r w:rsidRPr="00F536FA">
        <w:rPr>
          <w:rFonts w:ascii="Palatino Linotype" w:hAnsi="Palatino Linotype" w:cs="Arial"/>
          <w:color w:val="000000" w:themeColor="text1"/>
          <w:sz w:val="24"/>
        </w:rPr>
        <w:t>, para ser consultados por el inspector, el juez correspondiente y el público asistente.</w:t>
      </w:r>
    </w:p>
    <w:p w14:paraId="28D3FF37"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13D66CCF" w14:textId="4FFD5491" w:rsidR="001C00DB" w:rsidRPr="00F536FA" w:rsidRDefault="00B42F39"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De lo anterior se desprende que las medidas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debió implementar para asegurar que el evento cumpliera con lo establecido con la Ley Federal de Juegos y Sorteos -y su Reglamento- es asegurar que el evento contase con </w:t>
      </w:r>
      <w:r w:rsidR="00064872" w:rsidRPr="00F536FA">
        <w:rPr>
          <w:rFonts w:ascii="Palatino Linotype" w:hAnsi="Palatino Linotype" w:cs="Arial"/>
          <w:color w:val="000000" w:themeColor="text1"/>
          <w:sz w:val="24"/>
        </w:rPr>
        <w:t>una copia del permiso, el reglamento de operación del establecimiento y de los lineamientos de operación del cruce de apuestas.</w:t>
      </w:r>
    </w:p>
    <w:p w14:paraId="619A8E23" w14:textId="77777777"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1E57F148" w14:textId="35F59671" w:rsidR="001C00DB" w:rsidRPr="00F536FA" w:rsidRDefault="00064872" w:rsidP="00E6523F">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lastRenderedPageBreak/>
        <w:t xml:space="preserve">En ese tenor, toda vez que el </w:t>
      </w:r>
      <w:r w:rsidRPr="00F536FA">
        <w:rPr>
          <w:rFonts w:ascii="Palatino Linotype" w:hAnsi="Palatino Linotype" w:cs="Arial"/>
          <w:b/>
          <w:bCs/>
          <w:color w:val="000000" w:themeColor="text1"/>
          <w:sz w:val="24"/>
        </w:rPr>
        <w:t>SUJETO OBLIGADO</w:t>
      </w:r>
      <w:r w:rsidRPr="00F536FA">
        <w:rPr>
          <w:rFonts w:ascii="Palatino Linotype" w:hAnsi="Palatino Linotype" w:cs="Arial"/>
          <w:color w:val="000000" w:themeColor="text1"/>
          <w:sz w:val="24"/>
        </w:rPr>
        <w:t xml:space="preserve"> entregó el permiso otorgado por la Subdirección de Juegos y Apuestas incompleto, esta Ponencia </w:t>
      </w:r>
      <w:proofErr w:type="spellStart"/>
      <w:r w:rsidRPr="00F536FA">
        <w:rPr>
          <w:rFonts w:ascii="Palatino Linotype" w:hAnsi="Palatino Linotype" w:cs="Arial"/>
          <w:color w:val="000000" w:themeColor="text1"/>
          <w:sz w:val="24"/>
        </w:rPr>
        <w:t>Resolutora</w:t>
      </w:r>
      <w:proofErr w:type="spellEnd"/>
      <w:r w:rsidRPr="00F536FA">
        <w:rPr>
          <w:rFonts w:ascii="Palatino Linotype" w:hAnsi="Palatino Linotype" w:cs="Arial"/>
          <w:color w:val="000000" w:themeColor="text1"/>
          <w:sz w:val="24"/>
        </w:rPr>
        <w:t xml:space="preserve"> determina conforme a derecho </w:t>
      </w:r>
      <w:r w:rsidRPr="00F536FA">
        <w:rPr>
          <w:rFonts w:ascii="Palatino Linotype" w:hAnsi="Palatino Linotype" w:cs="Arial"/>
          <w:b/>
          <w:bCs/>
          <w:color w:val="000000" w:themeColor="text1"/>
          <w:sz w:val="24"/>
        </w:rPr>
        <w:t>ordenar</w:t>
      </w:r>
      <w:r w:rsidRPr="00F536FA">
        <w:rPr>
          <w:rFonts w:ascii="Palatino Linotype" w:hAnsi="Palatino Linotype" w:cs="Arial"/>
          <w:color w:val="000000" w:themeColor="text1"/>
          <w:sz w:val="24"/>
        </w:rPr>
        <w:t xml:space="preserve"> al Ayuntamiento de Ixtlahuaca entregue el permiso </w:t>
      </w:r>
      <w:r w:rsidRPr="00F536FA">
        <w:rPr>
          <w:rFonts w:ascii="Palatino Linotype" w:hAnsi="Palatino Linotype" w:cs="Arial"/>
          <w:b/>
          <w:bCs/>
          <w:color w:val="000000" w:themeColor="text1"/>
          <w:sz w:val="24"/>
        </w:rPr>
        <w:t>íntegro</w:t>
      </w:r>
      <w:r w:rsidRPr="00F536FA">
        <w:rPr>
          <w:rFonts w:ascii="Palatino Linotype" w:hAnsi="Palatino Linotype" w:cs="Arial"/>
          <w:color w:val="000000" w:themeColor="text1"/>
          <w:sz w:val="24"/>
        </w:rPr>
        <w:t>, en versión pública, junto con el reglamento de operación del establecimiento y los lineamientos de operación del cruce de apuestas.</w:t>
      </w:r>
    </w:p>
    <w:p w14:paraId="534B6307" w14:textId="299942C5" w:rsidR="001C00DB" w:rsidRPr="00F536FA" w:rsidRDefault="001C00DB" w:rsidP="001C00DB">
      <w:pPr>
        <w:spacing w:after="0" w:line="360" w:lineRule="auto"/>
        <w:ind w:right="49"/>
        <w:contextualSpacing/>
        <w:jc w:val="both"/>
        <w:rPr>
          <w:rFonts w:ascii="Palatino Linotype" w:hAnsi="Palatino Linotype" w:cs="Arial"/>
          <w:color w:val="000000" w:themeColor="text1"/>
          <w:sz w:val="24"/>
        </w:rPr>
      </w:pPr>
    </w:p>
    <w:p w14:paraId="77D257DB" w14:textId="787364FB" w:rsidR="009B7537" w:rsidRPr="00F536FA" w:rsidRDefault="009B7537" w:rsidP="006D540E">
      <w:pPr>
        <w:pStyle w:val="Ttulo1"/>
        <w:rPr>
          <w:rFonts w:cs="Arial"/>
          <w:b/>
          <w:bCs/>
          <w:color w:val="000000" w:themeColor="text1"/>
        </w:rPr>
      </w:pPr>
      <w:bookmarkStart w:id="39" w:name="_Toc54316041"/>
      <w:r w:rsidRPr="00F536FA">
        <w:rPr>
          <w:rFonts w:cs="Arial"/>
          <w:b/>
          <w:bCs/>
          <w:color w:val="000000" w:themeColor="text1"/>
        </w:rPr>
        <w:t xml:space="preserve">QUINTO. </w:t>
      </w:r>
      <w:r w:rsidR="00612953" w:rsidRPr="00F536FA">
        <w:rPr>
          <w:rFonts w:cs="Arial"/>
          <w:b/>
          <w:bCs/>
          <w:color w:val="000000" w:themeColor="text1"/>
        </w:rPr>
        <w:t>De la versión pública</w:t>
      </w:r>
      <w:r w:rsidRPr="00F536FA">
        <w:rPr>
          <w:rFonts w:cs="Arial"/>
          <w:b/>
          <w:bCs/>
          <w:color w:val="000000" w:themeColor="text1"/>
        </w:rPr>
        <w:t>.</w:t>
      </w:r>
      <w:bookmarkEnd w:id="39"/>
    </w:p>
    <w:p w14:paraId="0F392663" w14:textId="77777777" w:rsidR="009B7537" w:rsidRPr="00F536FA" w:rsidRDefault="009B7537" w:rsidP="009B7537">
      <w:pPr>
        <w:spacing w:after="0" w:line="360" w:lineRule="auto"/>
        <w:ind w:right="49"/>
        <w:contextualSpacing/>
        <w:jc w:val="both"/>
        <w:rPr>
          <w:rFonts w:ascii="Palatino Linotype" w:hAnsi="Palatino Linotype" w:cs="Arial"/>
          <w:color w:val="000000" w:themeColor="text1"/>
          <w:sz w:val="24"/>
        </w:rPr>
      </w:pPr>
    </w:p>
    <w:p w14:paraId="4F936247" w14:textId="22DF09BD" w:rsidR="009B7537"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Debe </w:t>
      </w:r>
      <w:r w:rsidRPr="00F536FA">
        <w:rPr>
          <w:rFonts w:ascii="Palatino Linotype" w:eastAsia="MS Mincho" w:hAnsi="Palatino Linotype" w:cs="Times New Roman"/>
          <w:sz w:val="24"/>
          <w:szCs w:val="24"/>
          <w:lang w:eastAsia="es-ES"/>
        </w:rPr>
        <w:t>destacarse que, debido a la naturaleza de la información solicitada</w:t>
      </w:r>
      <w:r w:rsidRPr="00F536FA">
        <w:rPr>
          <w:rFonts w:ascii="Palatino Linotype" w:eastAsia="MS Mincho" w:hAnsi="Palatino Linotype" w:cs="Times New Roman"/>
          <w:b/>
          <w:sz w:val="24"/>
          <w:szCs w:val="24"/>
          <w:lang w:eastAsia="es-ES"/>
        </w:rPr>
        <w:t xml:space="preserve">, </w:t>
      </w:r>
      <w:r w:rsidRPr="00F536FA">
        <w:rPr>
          <w:rFonts w:ascii="Palatino Linotype" w:eastAsia="MS Mincho" w:hAnsi="Palatino Linotype" w:cs="Times New Roman"/>
          <w:sz w:val="24"/>
          <w:szCs w:val="24"/>
          <w:lang w:eastAsia="es-ES"/>
        </w:rPr>
        <w:t xml:space="preserve">eventualmente </w:t>
      </w:r>
      <w:r w:rsidRPr="00F536FA">
        <w:rPr>
          <w:rFonts w:ascii="Palatino Linotype" w:eastAsia="MS Mincho" w:hAnsi="Palatino Linotype" w:cs="Times New Roman"/>
          <w:sz w:val="24"/>
          <w:szCs w:val="24"/>
          <w:lang w:val="es-ES_tradnl" w:eastAsia="es-ES"/>
        </w:rPr>
        <w:t>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71F15A7"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31E9347B" w14:textId="3FD3B688"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La </w:t>
      </w:r>
      <w:r w:rsidRPr="00F536FA">
        <w:rPr>
          <w:rFonts w:ascii="Palatino Linotype" w:hAnsi="Palatino Linotype" w:cs="Arial"/>
          <w:color w:val="000000" w:themeColor="text1"/>
          <w:sz w:val="24"/>
          <w:lang w:val="es-ES_tradnl"/>
        </w:rPr>
        <w:t xml:space="preserve">clasificación total o parcial de la información requerida, mediante solicitud de acceso a la información pública, constituye una restricción al derecho humano de acceso a la información. Como reiteradamente han dicho, diversos </w:t>
      </w:r>
      <w:r w:rsidR="00064872" w:rsidRPr="00F536FA">
        <w:rPr>
          <w:rFonts w:ascii="Palatino Linotype" w:hAnsi="Palatino Linotype" w:cs="Arial"/>
          <w:color w:val="000000" w:themeColor="text1"/>
          <w:sz w:val="24"/>
          <w:lang w:val="es-ES_tradnl"/>
        </w:rPr>
        <w:t>Órganos Jurisdiccionales</w:t>
      </w:r>
      <w:r w:rsidRPr="00F536FA">
        <w:rPr>
          <w:rFonts w:ascii="Palatino Linotype" w:hAnsi="Palatino Linotype" w:cs="Arial"/>
          <w:color w:val="000000" w:themeColor="text1"/>
          <w:sz w:val="24"/>
          <w:lang w:val="es-ES_tradnl"/>
        </w:rPr>
        <w:t xml:space="preserve">,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w:t>
      </w:r>
      <w:r w:rsidRPr="00F536FA">
        <w:rPr>
          <w:rFonts w:ascii="Palatino Linotype" w:hAnsi="Palatino Linotype" w:cs="Arial"/>
          <w:color w:val="000000" w:themeColor="text1"/>
          <w:sz w:val="24"/>
          <w:lang w:val="es-ES_tradnl"/>
        </w:rPr>
        <w:lastRenderedPageBreak/>
        <w:t>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A75DC22"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74056C92" w14:textId="02BA3B58"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El grave problema que enfrentamos en general, los acuerdos de clasificación de la información que emiten los </w:t>
      </w:r>
      <w:r w:rsidR="000B3229" w:rsidRPr="00F536FA">
        <w:rPr>
          <w:rFonts w:ascii="Palatino Linotype" w:eastAsia="MS Mincho" w:hAnsi="Palatino Linotype" w:cs="Times New Roman"/>
          <w:sz w:val="24"/>
          <w:szCs w:val="24"/>
          <w:lang w:val="es-ES_tradnl" w:eastAsia="es-ES"/>
        </w:rPr>
        <w:t>Sujetos Obligados</w:t>
      </w:r>
      <w:r w:rsidRPr="00F536FA">
        <w:rPr>
          <w:rFonts w:ascii="Palatino Linotype" w:eastAsia="MS Mincho" w:hAnsi="Palatino Linotype" w:cs="Times New Roman"/>
          <w:sz w:val="24"/>
          <w:szCs w:val="24"/>
          <w:lang w:val="es-ES_tradnl" w:eastAsia="es-ES"/>
        </w:rPr>
        <w:t xml:space="preserve"> siguen sin observar los requisitos, tanto por la complejidad del procedimiento como por la falta de atención de los operadores jurídicos.</w:t>
      </w:r>
    </w:p>
    <w:p w14:paraId="5944066B" w14:textId="25A3B4D9"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145DB244" w14:textId="698C8E7A" w:rsidR="0029642C" w:rsidRPr="00F536FA" w:rsidRDefault="0029642C" w:rsidP="00612953">
      <w:pPr>
        <w:spacing w:after="0" w:line="360" w:lineRule="auto"/>
        <w:ind w:right="49"/>
        <w:contextualSpacing/>
        <w:jc w:val="both"/>
        <w:rPr>
          <w:rFonts w:ascii="Palatino Linotype" w:hAnsi="Palatino Linotype" w:cs="Arial"/>
          <w:color w:val="000000" w:themeColor="text1"/>
          <w:sz w:val="24"/>
        </w:rPr>
      </w:pPr>
    </w:p>
    <w:p w14:paraId="5042CBDD" w14:textId="77777777" w:rsidR="0029642C" w:rsidRPr="00F536FA" w:rsidRDefault="0029642C" w:rsidP="00612953">
      <w:pPr>
        <w:spacing w:after="0" w:line="360" w:lineRule="auto"/>
        <w:ind w:right="49"/>
        <w:contextualSpacing/>
        <w:jc w:val="both"/>
        <w:rPr>
          <w:rFonts w:ascii="Palatino Linotype" w:hAnsi="Palatino Linotype" w:cs="Arial"/>
          <w:color w:val="000000" w:themeColor="text1"/>
          <w:sz w:val="24"/>
        </w:rPr>
      </w:pPr>
    </w:p>
    <w:p w14:paraId="76AFD8B5" w14:textId="23D4467A" w:rsidR="0062325E" w:rsidRPr="00F536FA" w:rsidRDefault="0062325E" w:rsidP="00612953">
      <w:pPr>
        <w:spacing w:after="0" w:line="360" w:lineRule="auto"/>
        <w:ind w:right="49"/>
        <w:contextualSpacing/>
        <w:jc w:val="both"/>
        <w:rPr>
          <w:rFonts w:ascii="Palatino Linotype" w:hAnsi="Palatino Linotype" w:cs="Arial"/>
          <w:b/>
          <w:bCs/>
          <w:color w:val="000000" w:themeColor="text1"/>
          <w:sz w:val="24"/>
        </w:rPr>
      </w:pPr>
      <w:r w:rsidRPr="00F536FA">
        <w:rPr>
          <w:rFonts w:ascii="Palatino Linotype" w:hAnsi="Palatino Linotype" w:cs="Arial"/>
          <w:b/>
          <w:bCs/>
          <w:color w:val="000000" w:themeColor="text1"/>
          <w:sz w:val="24"/>
        </w:rPr>
        <w:t>I. Requisitos previos.</w:t>
      </w:r>
    </w:p>
    <w:p w14:paraId="19011714"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350C42E9" w14:textId="5A79A96D"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F536FA">
        <w:rPr>
          <w:rFonts w:ascii="Palatino Linotype" w:eastAsia="MS Mincho" w:hAnsi="Palatino Linotype" w:cs="Times New Roman"/>
          <w:sz w:val="24"/>
          <w:szCs w:val="24"/>
          <w:lang w:val="es-ES_tradnl" w:eastAsia="es-ES"/>
        </w:rPr>
        <w:lastRenderedPageBreak/>
        <w:t>póliza, entre otros), señalando el supuesto de clasificación (confidencialidad o reserva).</w:t>
      </w:r>
    </w:p>
    <w:p w14:paraId="09BAC8C1"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02F60375" w14:textId="3FEC7AE3"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95BEFD1"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49DDB122" w14:textId="380987B6"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5AECF0A" w14:textId="01CBCB59"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0244C61D" w14:textId="560FEB3F" w:rsidR="0062325E" w:rsidRPr="00F536FA" w:rsidRDefault="0062325E" w:rsidP="00612953">
      <w:pPr>
        <w:spacing w:after="0" w:line="360" w:lineRule="auto"/>
        <w:ind w:right="49"/>
        <w:contextualSpacing/>
        <w:jc w:val="both"/>
        <w:rPr>
          <w:rFonts w:ascii="Palatino Linotype" w:hAnsi="Palatino Linotype" w:cs="Arial"/>
          <w:b/>
          <w:bCs/>
          <w:color w:val="000000" w:themeColor="text1"/>
          <w:sz w:val="24"/>
        </w:rPr>
      </w:pPr>
      <w:r w:rsidRPr="00F536FA">
        <w:rPr>
          <w:rFonts w:ascii="Palatino Linotype" w:hAnsi="Palatino Linotype" w:cs="Arial"/>
          <w:b/>
          <w:bCs/>
          <w:color w:val="000000" w:themeColor="text1"/>
          <w:sz w:val="24"/>
        </w:rPr>
        <w:t>II. Supuestos de clasificación.</w:t>
      </w:r>
    </w:p>
    <w:p w14:paraId="41A13D56"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1A3C53AB" w14:textId="2C54B989"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Las disposiciones constitucionales y legales en la materia establecen los dos supuestos generales para clasificar la información: por reserva y por confidencialidad.</w:t>
      </w:r>
    </w:p>
    <w:p w14:paraId="7BCED3F4"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1EA8D871" w14:textId="6A839F45"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lastRenderedPageBreak/>
        <w:t>Los artículos 143 y 116 de la Ley Estatal y de la Ley General, respectivamente, señalan los supuestos para que la información pueda ser clasificada como confidencial:</w:t>
      </w:r>
    </w:p>
    <w:p w14:paraId="2915A989" w14:textId="4E32434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570AC4F0" w14:textId="77777777" w:rsidR="0062325E" w:rsidRPr="00F536FA"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F536FA">
        <w:rPr>
          <w:rFonts w:ascii="Palatino Linotype" w:hAnsi="Palatino Linotype" w:cs="Bookman Old Style"/>
          <w:bCs/>
          <w:i/>
          <w:color w:val="000000"/>
        </w:rPr>
        <w:t xml:space="preserve">“I. </w:t>
      </w:r>
      <w:r w:rsidRPr="00F536F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331FF42" w14:textId="77777777" w:rsidR="0062325E" w:rsidRPr="00F536FA"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F536FA">
        <w:rPr>
          <w:rFonts w:ascii="Palatino Linotype" w:hAnsi="Palatino Linotype" w:cs="Bookman Old Style"/>
          <w:bCs/>
          <w:i/>
          <w:color w:val="000000"/>
        </w:rPr>
        <w:t xml:space="preserve">II. </w:t>
      </w:r>
      <w:r w:rsidRPr="00F536F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01A592C" w14:textId="77777777" w:rsidR="0062325E" w:rsidRPr="00F536FA"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F536FA">
        <w:rPr>
          <w:rFonts w:ascii="Palatino Linotype" w:hAnsi="Palatino Linotype" w:cs="Bookman Old Style"/>
          <w:bCs/>
          <w:i/>
          <w:color w:val="000000"/>
        </w:rPr>
        <w:t xml:space="preserve">III. </w:t>
      </w:r>
      <w:r w:rsidRPr="00F536FA">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DDBD0CA" w14:textId="77777777" w:rsidR="0062325E" w:rsidRPr="00F536FA"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F536FA">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E5AD21" w14:textId="77777777" w:rsidR="0062325E" w:rsidRPr="00F536FA"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F536F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122440B"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1B4E38F2" w14:textId="4A9D7D4B"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07732B"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04AB43E7" w14:textId="4B243853"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Como consecuencia de lo anterior, el </w:t>
      </w:r>
      <w:r w:rsidRPr="00F536FA">
        <w:rPr>
          <w:rFonts w:ascii="Palatino Linotype" w:eastAsia="MS Mincho" w:hAnsi="Palatino Linotype" w:cs="Times New Roman"/>
          <w:b/>
          <w:bCs/>
          <w:sz w:val="24"/>
          <w:szCs w:val="24"/>
          <w:lang w:val="es-ES_tradnl" w:eastAsia="es-ES"/>
        </w:rPr>
        <w:t>SUJETO OBLIGADO</w:t>
      </w:r>
      <w:r w:rsidRPr="00F536FA">
        <w:rPr>
          <w:rFonts w:ascii="Palatino Linotype" w:eastAsia="MS Mincho" w:hAnsi="Palatino Linotype" w:cs="Times New Roman"/>
          <w:sz w:val="24"/>
          <w:szCs w:val="24"/>
          <w:lang w:val="es-ES_tradnl" w:eastAsia="es-ES"/>
        </w:rPr>
        <w:t xml:space="preserve"> debe identificar claramente el tipo de información y hacer un juicio de subsunción o encaje para acreditar que el supuesto de hecho corresponde estrictamente con la hipótesis </w:t>
      </w:r>
      <w:r w:rsidRPr="00F536FA">
        <w:rPr>
          <w:rFonts w:ascii="Palatino Linotype" w:eastAsia="MS Mincho" w:hAnsi="Palatino Linotype" w:cs="Times New Roman"/>
          <w:sz w:val="24"/>
          <w:szCs w:val="24"/>
          <w:lang w:val="es-ES_tradnl" w:eastAsia="es-ES"/>
        </w:rPr>
        <w:lastRenderedPageBreak/>
        <w:t>jurídica. Esto también lo debe de realizar el servidor público habilitado y el titular del área que administra la información.</w:t>
      </w:r>
    </w:p>
    <w:p w14:paraId="0730DCF7"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48832A9A" w14:textId="0265B20E"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Al respecto, los Lineamientos Generales en Materia de Clasificación y Desclasificación de la Información, así Como para la Elaboración de Versiones Públicas, por cuanto hace a la clasificación de la información, señalan lo siguiente:</w:t>
      </w:r>
    </w:p>
    <w:p w14:paraId="376AAD32" w14:textId="3EEE0242"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5F381D1F"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w:t>
      </w:r>
      <w:r w:rsidRPr="00F536FA">
        <w:rPr>
          <w:rFonts w:ascii="Palatino Linotype" w:hAnsi="Palatino Linotype" w:cs="Arial"/>
          <w:b/>
          <w:i/>
        </w:rPr>
        <w:t>Quincuagésimo.</w:t>
      </w:r>
      <w:r w:rsidRPr="00F536F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6C22374"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60D6CFE9"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b/>
          <w:i/>
        </w:rPr>
        <w:t>Quincuagésimo primero.</w:t>
      </w:r>
      <w:r w:rsidRPr="00F536FA">
        <w:rPr>
          <w:rFonts w:ascii="Palatino Linotype" w:hAnsi="Palatino Linotype" w:cs="Arial"/>
          <w:i/>
        </w:rPr>
        <w:t xml:space="preserve"> La leyenda en los documentos clasificados indicará:</w:t>
      </w:r>
    </w:p>
    <w:p w14:paraId="2BF31562"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I. La fecha de sesión del Comité de Transparencia en donde se confirmó la clasificación, en su caso;</w:t>
      </w:r>
    </w:p>
    <w:p w14:paraId="27880E1F"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II. El nombre del área;</w:t>
      </w:r>
    </w:p>
    <w:p w14:paraId="2992739C"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III. La palabra reservado o confidencial;</w:t>
      </w:r>
    </w:p>
    <w:p w14:paraId="7269F1EC"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IV. Las partes o secciones reservadas o confidenciales, en su caso;</w:t>
      </w:r>
    </w:p>
    <w:p w14:paraId="6572EB29"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V. El fundamento legal;</w:t>
      </w:r>
    </w:p>
    <w:p w14:paraId="04B46AA0"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VI. El periodo de reserva, y</w:t>
      </w:r>
    </w:p>
    <w:p w14:paraId="186B30BA"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VII. La rúbrica del titular del área.</w:t>
      </w:r>
    </w:p>
    <w:p w14:paraId="633916AD"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2027D326"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b/>
          <w:i/>
        </w:rPr>
        <w:t>Quincuagésimo segundo.</w:t>
      </w:r>
      <w:r w:rsidRPr="00F536F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2DC2CA7"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3A9BFF6"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62360A2B" w14:textId="77777777" w:rsidR="0062325E" w:rsidRPr="00F536FA"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F536FA">
        <w:rPr>
          <w:rFonts w:ascii="Palatino Linotype" w:hAnsi="Palatino Linotype" w:cs="Arial"/>
          <w:b/>
          <w:i/>
        </w:rPr>
        <w:t>Quincuagésimo tercero.</w:t>
      </w:r>
      <w:r w:rsidRPr="00F536FA">
        <w:rPr>
          <w:rFonts w:ascii="Palatino Linotype" w:hAnsi="Palatino Linotype" w:cs="Arial"/>
          <w:i/>
        </w:rPr>
        <w:t xml:space="preserve"> El formato para señalar la clasificación parcial de un documento, es el siguiente:</w:t>
      </w:r>
    </w:p>
    <w:p w14:paraId="4BD9781D" w14:textId="5D62AAE4" w:rsidR="0062325E" w:rsidRPr="00F536FA" w:rsidRDefault="0062325E" w:rsidP="0062325E">
      <w:pPr>
        <w:spacing w:after="0" w:line="360" w:lineRule="auto"/>
        <w:ind w:right="49"/>
        <w:contextualSpacing/>
        <w:jc w:val="center"/>
        <w:rPr>
          <w:rFonts w:ascii="Palatino Linotype" w:hAnsi="Palatino Linotype" w:cs="Arial"/>
          <w:color w:val="000000" w:themeColor="text1"/>
          <w:sz w:val="24"/>
        </w:rPr>
      </w:pPr>
      <w:r w:rsidRPr="00F536FA">
        <w:rPr>
          <w:rFonts w:ascii="Palatino Linotype" w:hAnsi="Palatino Linotype" w:cs="Arial"/>
          <w:i/>
          <w:noProof/>
          <w:lang w:eastAsia="es-MX"/>
        </w:rPr>
        <w:lastRenderedPageBreak/>
        <w:drawing>
          <wp:inline distT="0" distB="0" distL="0" distR="0" wp14:anchorId="2D42D223" wp14:editId="77844302">
            <wp:extent cx="4374807" cy="3590925"/>
            <wp:effectExtent l="57150" t="57150" r="121285"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119489"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10A99B89" w14:textId="40A92426"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4DF6054B" w14:textId="380CBCF5"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5BB9D68C" w14:textId="130AEE41" w:rsidR="0062325E" w:rsidRPr="00F536FA" w:rsidRDefault="0062325E" w:rsidP="00612953">
      <w:pPr>
        <w:spacing w:after="0" w:line="360" w:lineRule="auto"/>
        <w:ind w:right="49"/>
        <w:contextualSpacing/>
        <w:jc w:val="both"/>
        <w:rPr>
          <w:rFonts w:ascii="Palatino Linotype" w:hAnsi="Palatino Linotype" w:cs="Arial"/>
          <w:b/>
          <w:bCs/>
          <w:color w:val="000000" w:themeColor="text1"/>
          <w:sz w:val="24"/>
        </w:rPr>
      </w:pPr>
      <w:r w:rsidRPr="00F536FA">
        <w:rPr>
          <w:rFonts w:ascii="Palatino Linotype" w:hAnsi="Palatino Linotype" w:cs="Arial"/>
          <w:b/>
          <w:bCs/>
          <w:color w:val="000000" w:themeColor="text1"/>
          <w:sz w:val="24"/>
        </w:rPr>
        <w:t>III. La intervención del Comité de Transparencia.</w:t>
      </w:r>
    </w:p>
    <w:p w14:paraId="60DBABA6" w14:textId="7CAC2258" w:rsidR="0062325E" w:rsidRPr="00F536FA" w:rsidRDefault="0062325E" w:rsidP="00612953">
      <w:pPr>
        <w:spacing w:after="0" w:line="360" w:lineRule="auto"/>
        <w:ind w:right="49"/>
        <w:contextualSpacing/>
        <w:jc w:val="both"/>
        <w:rPr>
          <w:rFonts w:ascii="Palatino Linotype" w:hAnsi="Palatino Linotype" w:cs="Arial"/>
          <w:b/>
          <w:bCs/>
          <w:color w:val="000000" w:themeColor="text1"/>
          <w:sz w:val="24"/>
        </w:rPr>
      </w:pPr>
      <w:r w:rsidRPr="00F536FA">
        <w:rPr>
          <w:rFonts w:ascii="Palatino Linotype" w:hAnsi="Palatino Linotype" w:cs="Arial"/>
          <w:b/>
          <w:bCs/>
          <w:color w:val="000000" w:themeColor="text1"/>
          <w:sz w:val="24"/>
        </w:rPr>
        <w:t>a) Formalidades para emitir el Acuerdo de Clasificación.</w:t>
      </w:r>
    </w:p>
    <w:p w14:paraId="5F05E67D"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286A88A1" w14:textId="3EF93849"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F536FA">
        <w:rPr>
          <w:rFonts w:ascii="Palatino Linotype" w:eastAsia="MS Mincho" w:hAnsi="Palatino Linotype" w:cs="Times New Roman"/>
          <w:sz w:val="24"/>
          <w:szCs w:val="24"/>
          <w:lang w:val="es-ES_tradnl" w:eastAsia="es-ES"/>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A405837"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43EF1B3E" w14:textId="58A209EA"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7B448DC"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5DB553B1" w14:textId="178E8D72"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F536FA">
        <w:rPr>
          <w:rFonts w:ascii="Palatino Linotype" w:eastAsia="MS Mincho" w:hAnsi="Palatino Linotype" w:cs="Times New Roman"/>
          <w:sz w:val="24"/>
          <w:szCs w:val="24"/>
          <w:lang w:val="es-ES_tradnl" w:eastAsia="es-ES"/>
        </w:rPr>
        <w:lastRenderedPageBreak/>
        <w:t>por los titulares de áreas y que son sujetas a control, en primera instancia, por el Comité de Transparencia.</w:t>
      </w:r>
    </w:p>
    <w:p w14:paraId="74CBC80B" w14:textId="577A1873"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0208D33D" w14:textId="4ADCD01A" w:rsidR="0062325E" w:rsidRPr="00F536FA" w:rsidRDefault="0062325E" w:rsidP="00612953">
      <w:pPr>
        <w:spacing w:after="0" w:line="360" w:lineRule="auto"/>
        <w:ind w:right="49"/>
        <w:contextualSpacing/>
        <w:jc w:val="both"/>
        <w:rPr>
          <w:rFonts w:ascii="Palatino Linotype" w:hAnsi="Palatino Linotype" w:cs="Arial"/>
          <w:b/>
          <w:bCs/>
          <w:color w:val="000000" w:themeColor="text1"/>
          <w:sz w:val="24"/>
        </w:rPr>
      </w:pPr>
      <w:r w:rsidRPr="00F536FA">
        <w:rPr>
          <w:rFonts w:ascii="Palatino Linotype" w:hAnsi="Palatino Linotype" w:cs="Arial"/>
          <w:b/>
          <w:bCs/>
          <w:color w:val="000000" w:themeColor="text1"/>
          <w:sz w:val="24"/>
        </w:rPr>
        <w:t>b) Requisitos de fondo del Acuerdo de Clasificación.</w:t>
      </w:r>
    </w:p>
    <w:p w14:paraId="3C0EA9BB"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6AAF28B2" w14:textId="3D9A7870"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hAnsi="Palatino Linotype" w:cs="Arial"/>
          <w:color w:val="000000" w:themeColor="text1"/>
          <w:sz w:val="24"/>
        </w:rPr>
        <w:t xml:space="preserve">Como </w:t>
      </w:r>
      <w:r w:rsidRPr="00F536FA">
        <w:rPr>
          <w:rFonts w:ascii="Palatino Linotype" w:hAnsi="Palatino Linotype" w:cs="Arial"/>
          <w:color w:val="000000" w:themeColor="text1"/>
          <w:sz w:val="24"/>
          <w:lang w:val="es-ES_tradn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B25C719"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1914E4A2" w14:textId="1A87BD5E"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608CBF"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05552018" w14:textId="2AB7D340"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Han sido vastos los estudios doctrinarios relativos a estos derechos fundamentales y al principio de legalidad en ellos contenidos; como ejemplo, el </w:t>
      </w:r>
      <w:r w:rsidRPr="00F536FA">
        <w:rPr>
          <w:rFonts w:ascii="Palatino Linotype" w:eastAsia="MS Mincho" w:hAnsi="Palatino Linotype" w:cs="Times New Roman"/>
          <w:sz w:val="24"/>
          <w:szCs w:val="24"/>
          <w:lang w:val="es-ES_tradnl" w:eastAsia="es-ES"/>
        </w:rPr>
        <w:lastRenderedPageBreak/>
        <w:t xml:space="preserve">procesalista José Ovalle Fabela, en su obra “Garantías Constitucionales del Proceso”, refiere que </w:t>
      </w:r>
      <w:r w:rsidRPr="00F536FA">
        <w:rPr>
          <w:rFonts w:ascii="Palatino Linotype" w:eastAsia="MS Mincho" w:hAnsi="Palatino Linotype" w:cs="Times New Roman"/>
          <w:i/>
          <w:iCs/>
          <w:sz w:val="24"/>
          <w:szCs w:val="24"/>
          <w:lang w:val="es-ES_tradnl" w:eastAsia="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F536FA">
        <w:rPr>
          <w:rFonts w:ascii="Palatino Linotype" w:eastAsia="MS Mincho" w:hAnsi="Palatino Linotype" w:cs="Times New Roman"/>
          <w:sz w:val="24"/>
          <w:szCs w:val="24"/>
          <w:lang w:val="es-ES_tradnl" w:eastAsia="es-ES"/>
        </w:rPr>
        <w:t>.</w:t>
      </w:r>
    </w:p>
    <w:p w14:paraId="2B34CD93"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7F50C7DE" w14:textId="6FD3C2E4" w:rsidR="00612953" w:rsidRPr="00F536FA"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Por su parte, el intérprete judicial del país ha establecido una jurisprudencia</w:t>
      </w:r>
      <w:r w:rsidRPr="00F536FA">
        <w:rPr>
          <w:rStyle w:val="Refdenotaalpie"/>
          <w:rFonts w:ascii="Palatino Linotype" w:eastAsia="MS Mincho" w:hAnsi="Palatino Linotype" w:cs="Times New Roman"/>
          <w:sz w:val="24"/>
          <w:szCs w:val="24"/>
          <w:lang w:val="es-ES_tradnl" w:eastAsia="es-ES"/>
        </w:rPr>
        <w:footnoteReference w:id="14"/>
      </w:r>
      <w:r w:rsidRPr="00F536FA">
        <w:rPr>
          <w:rFonts w:ascii="Palatino Linotype" w:eastAsia="MS Mincho" w:hAnsi="Palatino Linotype" w:cs="Times New Roman"/>
          <w:sz w:val="24"/>
          <w:szCs w:val="24"/>
          <w:lang w:val="es-ES_tradnl" w:eastAsia="es-ES"/>
        </w:rPr>
        <w:t xml:space="preserve"> respecto a qué debe entenderse por fundamentación y motivación, en los siguientes términos:</w:t>
      </w:r>
    </w:p>
    <w:p w14:paraId="7D32827F" w14:textId="79CD0E2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330D1C25" w14:textId="77777777" w:rsidR="0062325E" w:rsidRPr="00F536FA" w:rsidRDefault="0062325E" w:rsidP="0062325E">
      <w:pPr>
        <w:spacing w:line="276" w:lineRule="auto"/>
        <w:ind w:left="567" w:right="567"/>
        <w:contextualSpacing/>
        <w:jc w:val="both"/>
        <w:rPr>
          <w:rFonts w:ascii="Palatino Linotype" w:hAnsi="Palatino Linotype" w:cs="Arial"/>
          <w:i/>
          <w:color w:val="000000"/>
        </w:rPr>
      </w:pPr>
      <w:r w:rsidRPr="00F536FA">
        <w:rPr>
          <w:rFonts w:ascii="Palatino Linotype" w:hAnsi="Palatino Linotype" w:cs="Arial"/>
          <w:b/>
          <w:i/>
          <w:color w:val="000000"/>
        </w:rPr>
        <w:t>FUNDAMENTACIÓN Y MOTIVACIÓN.</w:t>
      </w:r>
      <w:r w:rsidRPr="00F536FA">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5498E84" w14:textId="77777777" w:rsidR="0062325E" w:rsidRPr="00F536FA" w:rsidRDefault="0062325E" w:rsidP="00612953">
      <w:pPr>
        <w:spacing w:after="0" w:line="360" w:lineRule="auto"/>
        <w:ind w:right="49"/>
        <w:contextualSpacing/>
        <w:jc w:val="both"/>
        <w:rPr>
          <w:rFonts w:ascii="Palatino Linotype" w:hAnsi="Palatino Linotype" w:cs="Arial"/>
          <w:color w:val="000000" w:themeColor="text1"/>
          <w:sz w:val="24"/>
        </w:rPr>
      </w:pPr>
    </w:p>
    <w:p w14:paraId="5BF1D035" w14:textId="116B9E48" w:rsidR="00612953" w:rsidRPr="00F536FA"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AB73EFA"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28F0DC6B" w14:textId="4A4CBAE9" w:rsidR="00612953" w:rsidRPr="00F536FA"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350018"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1E1D6678" w14:textId="507B3524" w:rsidR="00612953" w:rsidRPr="00F536FA"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En ese mismo sentido, el numeral trigésimo tercero fracción V de los Lineamientos Generales, precisa que para motivar la clasificación se deben acreditar las circunstancias de tiempo, modo y lugar.</w:t>
      </w:r>
    </w:p>
    <w:p w14:paraId="59E1896F"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43D53095" w14:textId="1053AE4D" w:rsidR="00612953" w:rsidRPr="00F536FA"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5527338" w14:textId="77777777" w:rsidR="000D2150" w:rsidRPr="00F536FA" w:rsidRDefault="000D2150" w:rsidP="000D2150">
      <w:pPr>
        <w:spacing w:after="0" w:line="360" w:lineRule="auto"/>
        <w:ind w:right="49"/>
        <w:contextualSpacing/>
        <w:jc w:val="both"/>
        <w:rPr>
          <w:rFonts w:ascii="Palatino Linotype" w:hAnsi="Palatino Linotype" w:cs="Arial"/>
          <w:color w:val="000000" w:themeColor="text1"/>
          <w:sz w:val="24"/>
        </w:rPr>
      </w:pPr>
    </w:p>
    <w:p w14:paraId="2CFA5A40" w14:textId="18341885" w:rsidR="000D2150" w:rsidRPr="00F536FA"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F536FA">
        <w:rPr>
          <w:rFonts w:ascii="Palatino Linotype" w:eastAsia="MS Mincho" w:hAnsi="Palatino Linotype" w:cs="Times New Roman"/>
          <w:sz w:val="24"/>
          <w:szCs w:val="24"/>
          <w:lang w:val="es-ES_tradnl" w:eastAsia="es-ES"/>
        </w:rPr>
        <w:t xml:space="preserve">Otro tipo de información confidencial constituyen los secretos bancario, fiduciario, industrial, comercial, fiscal, bursátil y postal, cuya titularidad </w:t>
      </w:r>
      <w:r w:rsidRPr="00F536FA">
        <w:rPr>
          <w:rFonts w:ascii="Palatino Linotype" w:eastAsia="MS Mincho" w:hAnsi="Palatino Linotype" w:cs="Times New Roman"/>
          <w:sz w:val="24"/>
          <w:szCs w:val="24"/>
          <w:lang w:val="es-ES_tradnl" w:eastAsia="es-ES"/>
        </w:rPr>
        <w:lastRenderedPageBreak/>
        <w:t>corresponda a particulares, sujetos de derecho internacional o a Sujetos Obligados cuando no involucren el ejercicio de recursos públicos, así lo define la fracción XXI del artículo 3 de la Ley Estatal.</w:t>
      </w:r>
    </w:p>
    <w:p w14:paraId="22CC1E84" w14:textId="77777777" w:rsidR="00612953" w:rsidRPr="00F536FA" w:rsidRDefault="00612953" w:rsidP="00612953">
      <w:pPr>
        <w:spacing w:after="0" w:line="360" w:lineRule="auto"/>
        <w:ind w:right="49"/>
        <w:contextualSpacing/>
        <w:jc w:val="both"/>
        <w:rPr>
          <w:rFonts w:ascii="Palatino Linotype" w:hAnsi="Palatino Linotype" w:cs="Arial"/>
          <w:color w:val="000000" w:themeColor="text1"/>
          <w:sz w:val="24"/>
        </w:rPr>
      </w:pPr>
    </w:p>
    <w:p w14:paraId="70114345" w14:textId="358210B2" w:rsidR="00CF1C39" w:rsidRPr="00F536FA" w:rsidRDefault="00761B1D"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F536FA">
        <w:rPr>
          <w:rFonts w:ascii="Palatino Linotype" w:eastAsia="MS Mincho" w:hAnsi="Palatino Linotype" w:cstheme="majorBidi"/>
          <w:sz w:val="24"/>
          <w:szCs w:val="24"/>
          <w:lang w:val="es-ES" w:eastAsia="es-ES"/>
        </w:rPr>
        <w:t xml:space="preserve">Por </w:t>
      </w:r>
      <w:r w:rsidR="0028241C" w:rsidRPr="00F536FA">
        <w:rPr>
          <w:rFonts w:ascii="Palatino Linotype" w:eastAsia="MS Mincho" w:hAnsi="Palatino Linotype" w:cstheme="majorBidi"/>
          <w:sz w:val="24"/>
          <w:szCs w:val="24"/>
          <w:lang w:val="es-ES_tradnl" w:eastAsia="es-ES"/>
        </w:rPr>
        <w:t>lo tanto,</w:t>
      </w:r>
      <w:r w:rsidR="0028241C" w:rsidRPr="00F536FA">
        <w:rPr>
          <w:rFonts w:ascii="Palatino Linotype" w:eastAsia="MS Mincho" w:hAnsi="Palatino Linotype" w:cstheme="majorBidi"/>
          <w:sz w:val="24"/>
          <w:szCs w:val="24"/>
          <w:lang w:val="es-ES" w:eastAsia="es-ES"/>
        </w:rPr>
        <w:t xml:space="preserve"> en consecuencia y en mérito de lo expuesto en líneas anteriores, resultan</w:t>
      </w:r>
      <w:r w:rsidR="000B3229" w:rsidRPr="00F536FA">
        <w:rPr>
          <w:rFonts w:ascii="Palatino Linotype" w:eastAsia="MS Mincho" w:hAnsi="Palatino Linotype" w:cstheme="majorBidi"/>
          <w:sz w:val="24"/>
          <w:szCs w:val="24"/>
          <w:lang w:val="es-ES" w:eastAsia="es-ES"/>
        </w:rPr>
        <w:t xml:space="preserve"> parcialmente</w:t>
      </w:r>
      <w:r w:rsidR="0028241C" w:rsidRPr="00F536FA">
        <w:rPr>
          <w:rFonts w:ascii="Palatino Linotype" w:eastAsia="MS Mincho" w:hAnsi="Palatino Linotype" w:cstheme="majorBidi"/>
          <w:sz w:val="24"/>
          <w:szCs w:val="24"/>
          <w:lang w:val="es-ES" w:eastAsia="es-ES"/>
        </w:rPr>
        <w:t xml:space="preserve"> fundadas las razones o motivos de inconformidad hechos valer por el </w:t>
      </w:r>
      <w:r w:rsidR="0028241C" w:rsidRPr="00F536FA">
        <w:rPr>
          <w:rFonts w:ascii="Palatino Linotype" w:eastAsia="MS Mincho" w:hAnsi="Palatino Linotype" w:cstheme="majorBidi"/>
          <w:b/>
          <w:sz w:val="24"/>
          <w:szCs w:val="24"/>
          <w:lang w:val="es-ES" w:eastAsia="es-ES"/>
        </w:rPr>
        <w:t>RECURRENTE</w:t>
      </w:r>
      <w:r w:rsidR="0028241C" w:rsidRPr="00F536FA">
        <w:rPr>
          <w:rFonts w:ascii="Palatino Linotype" w:eastAsia="MS Mincho" w:hAnsi="Palatino Linotype" w:cstheme="majorBidi"/>
          <w:sz w:val="24"/>
          <w:szCs w:val="24"/>
          <w:lang w:val="es-ES" w:eastAsia="es-ES"/>
        </w:rPr>
        <w:t xml:space="preserve"> dentro del recurso de revisión </w:t>
      </w:r>
      <w:r w:rsidR="0029642C" w:rsidRPr="00F536FA">
        <w:rPr>
          <w:rFonts w:ascii="Palatino Linotype" w:eastAsia="MS Mincho" w:hAnsi="Palatino Linotype" w:cstheme="majorBidi"/>
          <w:b/>
          <w:sz w:val="24"/>
          <w:szCs w:val="24"/>
          <w:lang w:val="es-ES" w:eastAsia="es-ES"/>
        </w:rPr>
        <w:t>03693</w:t>
      </w:r>
      <w:r w:rsidR="00787624" w:rsidRPr="00F536FA">
        <w:rPr>
          <w:rFonts w:ascii="Palatino Linotype" w:eastAsia="MS Mincho" w:hAnsi="Palatino Linotype" w:cstheme="majorBidi"/>
          <w:b/>
          <w:sz w:val="24"/>
          <w:szCs w:val="24"/>
          <w:lang w:val="es-ES" w:eastAsia="es-ES"/>
        </w:rPr>
        <w:t>/INFOEM/IP/RR/2020</w:t>
      </w:r>
      <w:r w:rsidR="0028241C" w:rsidRPr="00F536FA">
        <w:rPr>
          <w:rFonts w:ascii="Palatino Linotype" w:eastAsia="MS Mincho" w:hAnsi="Palatino Linotype" w:cstheme="majorBidi"/>
          <w:sz w:val="24"/>
          <w:szCs w:val="24"/>
          <w:lang w:val="es-ES" w:eastAsia="es-ES"/>
        </w:rPr>
        <w:t xml:space="preserve">; por ello, y con fundamento en la fracción III del numeral 186 de la Ley de Transparencia y Acceso a la Información Pública del Estado de México y Municipios, se </w:t>
      </w:r>
      <w:r w:rsidR="000D2150" w:rsidRPr="00F536FA">
        <w:rPr>
          <w:rFonts w:ascii="Palatino Linotype" w:eastAsia="MS Mincho" w:hAnsi="Palatino Linotype" w:cstheme="majorBidi"/>
          <w:b/>
          <w:sz w:val="24"/>
          <w:szCs w:val="24"/>
          <w:lang w:val="es-ES" w:eastAsia="es-ES"/>
        </w:rPr>
        <w:t>MODIFICA</w:t>
      </w:r>
      <w:r w:rsidR="0028241C" w:rsidRPr="00F536FA">
        <w:rPr>
          <w:rFonts w:ascii="Palatino Linotype" w:eastAsia="MS Mincho" w:hAnsi="Palatino Linotype" w:cstheme="majorBidi"/>
          <w:sz w:val="24"/>
          <w:szCs w:val="24"/>
          <w:lang w:val="es-ES" w:eastAsia="es-ES"/>
        </w:rPr>
        <w:t xml:space="preserve"> la respuesta a la solicitud de información número </w:t>
      </w:r>
      <w:r w:rsidR="000B3229" w:rsidRPr="00F536FA">
        <w:rPr>
          <w:rFonts w:ascii="Palatino Linotype" w:eastAsia="MS Mincho" w:hAnsi="Palatino Linotype" w:cstheme="majorBidi"/>
          <w:b/>
          <w:sz w:val="24"/>
          <w:szCs w:val="24"/>
          <w:lang w:val="es-ES" w:eastAsia="es-ES"/>
        </w:rPr>
        <w:t>0007</w:t>
      </w:r>
      <w:r w:rsidR="0029642C" w:rsidRPr="00F536FA">
        <w:rPr>
          <w:rFonts w:ascii="Palatino Linotype" w:eastAsia="MS Mincho" w:hAnsi="Palatino Linotype" w:cstheme="majorBidi"/>
          <w:b/>
          <w:sz w:val="24"/>
          <w:szCs w:val="24"/>
          <w:lang w:val="es-ES" w:eastAsia="es-ES"/>
        </w:rPr>
        <w:t>2</w:t>
      </w:r>
      <w:r w:rsidR="0028241C" w:rsidRPr="00F536FA">
        <w:rPr>
          <w:rFonts w:ascii="Palatino Linotype" w:eastAsia="MS Mincho" w:hAnsi="Palatino Linotype" w:cstheme="majorBidi"/>
          <w:b/>
          <w:sz w:val="24"/>
          <w:szCs w:val="24"/>
          <w:lang w:val="es-ES" w:eastAsia="es-ES"/>
        </w:rPr>
        <w:t>/</w:t>
      </w:r>
      <w:r w:rsidR="0029642C" w:rsidRPr="00F536FA">
        <w:rPr>
          <w:rFonts w:ascii="Palatino Linotype" w:eastAsia="MS Mincho" w:hAnsi="Palatino Linotype" w:cstheme="majorBidi"/>
          <w:b/>
          <w:sz w:val="24"/>
          <w:szCs w:val="24"/>
          <w:lang w:val="es-ES" w:eastAsia="es-ES"/>
        </w:rPr>
        <w:t>IXTLAHUA</w:t>
      </w:r>
      <w:r w:rsidR="0028241C" w:rsidRPr="00F536FA">
        <w:rPr>
          <w:rFonts w:ascii="Palatino Linotype" w:eastAsia="MS Mincho" w:hAnsi="Palatino Linotype" w:cstheme="majorBidi"/>
          <w:b/>
          <w:sz w:val="24"/>
          <w:szCs w:val="24"/>
          <w:lang w:val="es-ES" w:eastAsia="es-ES"/>
        </w:rPr>
        <w:t>/IP/</w:t>
      </w:r>
      <w:r w:rsidR="00E7375E" w:rsidRPr="00F536FA">
        <w:rPr>
          <w:rFonts w:ascii="Palatino Linotype" w:eastAsia="MS Mincho" w:hAnsi="Palatino Linotype" w:cstheme="majorBidi"/>
          <w:b/>
          <w:sz w:val="24"/>
          <w:szCs w:val="24"/>
          <w:lang w:val="es-ES" w:eastAsia="es-ES"/>
        </w:rPr>
        <w:t>2020</w:t>
      </w:r>
      <w:r w:rsidR="0028241C" w:rsidRPr="00F536FA">
        <w:rPr>
          <w:rFonts w:ascii="Palatino Linotype" w:eastAsia="MS Mincho" w:hAnsi="Palatino Linotype" w:cstheme="majorBidi"/>
          <w:sz w:val="24"/>
          <w:szCs w:val="24"/>
          <w:lang w:val="es-ES" w:eastAsia="es-ES"/>
        </w:rPr>
        <w:t>.</w:t>
      </w:r>
    </w:p>
    <w:p w14:paraId="74D1B36C" w14:textId="77777777" w:rsidR="006D540E" w:rsidRPr="00F536FA" w:rsidRDefault="006D540E" w:rsidP="006D540E">
      <w:pPr>
        <w:spacing w:after="0" w:line="360" w:lineRule="auto"/>
        <w:contextualSpacing/>
        <w:jc w:val="both"/>
        <w:rPr>
          <w:rFonts w:ascii="Palatino Linotype" w:eastAsia="MS Mincho" w:hAnsi="Palatino Linotype" w:cstheme="majorBidi"/>
          <w:sz w:val="24"/>
          <w:szCs w:val="24"/>
          <w:lang w:val="es-ES" w:eastAsia="es-ES"/>
        </w:rPr>
      </w:pPr>
    </w:p>
    <w:p w14:paraId="7A6E9786" w14:textId="564DD9D6" w:rsidR="006D540E" w:rsidRPr="00F536FA" w:rsidRDefault="006D540E"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F536FA">
        <w:rPr>
          <w:rFonts w:ascii="Palatino Linotype" w:eastAsia="MS Mincho" w:hAnsi="Palatino Linotype" w:cstheme="majorBidi"/>
          <w:sz w:val="24"/>
          <w:szCs w:val="24"/>
          <w:lang w:val="es-ES" w:eastAsia="es-ES"/>
        </w:rPr>
        <w:t>Por lo anteriormente expuesto, este Órgano Garante emite los siguientes: -----------------------------------------------------------------------------------------------------------------</w:t>
      </w:r>
    </w:p>
    <w:p w14:paraId="4B2F2E95" w14:textId="77777777" w:rsidR="00CF1C39" w:rsidRPr="00F536FA" w:rsidRDefault="00CF1C39">
      <w:pPr>
        <w:rPr>
          <w:rFonts w:ascii="Palatino Linotype" w:eastAsia="MS Mincho" w:hAnsi="Palatino Linotype" w:cstheme="majorBidi"/>
          <w:sz w:val="24"/>
          <w:szCs w:val="24"/>
          <w:lang w:val="es-ES" w:eastAsia="es-ES"/>
        </w:rPr>
      </w:pPr>
      <w:r w:rsidRPr="00F536FA">
        <w:rPr>
          <w:rFonts w:ascii="Palatino Linotype" w:eastAsia="MS Mincho" w:hAnsi="Palatino Linotype" w:cstheme="majorBidi"/>
          <w:sz w:val="24"/>
          <w:szCs w:val="24"/>
          <w:lang w:val="es-ES" w:eastAsia="es-ES"/>
        </w:rPr>
        <w:br w:type="page"/>
      </w:r>
    </w:p>
    <w:p w14:paraId="614EB11D" w14:textId="77777777" w:rsidR="006F025F" w:rsidRPr="00F536FA" w:rsidRDefault="006F025F" w:rsidP="008B2E96">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0" w:name="_Toc494366431"/>
      <w:bookmarkStart w:id="41" w:name="_Toc54316042"/>
      <w:r w:rsidRPr="00F536FA">
        <w:rPr>
          <w:rFonts w:ascii="Palatino Linotype" w:eastAsia="Times New Roman" w:hAnsi="Palatino Linotype" w:cstheme="majorBidi"/>
          <w:b/>
          <w:sz w:val="24"/>
          <w:szCs w:val="24"/>
          <w:lang w:val="es-ES_tradnl" w:eastAsia="es-ES"/>
        </w:rPr>
        <w:lastRenderedPageBreak/>
        <w:t>R E S O L U T I V O S</w:t>
      </w:r>
      <w:bookmarkEnd w:id="40"/>
      <w:bookmarkEnd w:id="41"/>
    </w:p>
    <w:p w14:paraId="22ED99E7" w14:textId="77777777" w:rsidR="006F025F" w:rsidRPr="00F536FA" w:rsidRDefault="006F025F" w:rsidP="008B2E96">
      <w:pPr>
        <w:spacing w:after="0" w:line="360" w:lineRule="auto"/>
        <w:rPr>
          <w:lang w:val="es-ES_tradnl" w:eastAsia="es-ES"/>
        </w:rPr>
      </w:pPr>
    </w:p>
    <w:p w14:paraId="1035E9C5" w14:textId="3B749891" w:rsidR="00845705" w:rsidRPr="00F536FA" w:rsidRDefault="006F025F" w:rsidP="008B2E96">
      <w:pPr>
        <w:spacing w:after="0" w:line="360" w:lineRule="auto"/>
        <w:jc w:val="both"/>
        <w:rPr>
          <w:rFonts w:ascii="Palatino Linotype" w:eastAsia="Times New Roman" w:hAnsi="Palatino Linotype" w:cs="Times New Roman"/>
          <w:sz w:val="24"/>
          <w:szCs w:val="24"/>
          <w:lang w:val="es-ES_tradnl" w:eastAsia="es-ES"/>
        </w:rPr>
      </w:pPr>
      <w:r w:rsidRPr="00F536FA">
        <w:rPr>
          <w:rFonts w:ascii="Palatino Linotype" w:eastAsia="Times New Roman" w:hAnsi="Palatino Linotype" w:cs="Arial"/>
          <w:b/>
          <w:sz w:val="24"/>
          <w:szCs w:val="24"/>
          <w:lang w:val="es-ES_tradnl" w:eastAsia="es-ES"/>
        </w:rPr>
        <w:t xml:space="preserve">PRIMERO. </w:t>
      </w:r>
      <w:r w:rsidR="002038F4" w:rsidRPr="00F536FA">
        <w:rPr>
          <w:rFonts w:ascii="Palatino Linotype" w:eastAsia="Times New Roman" w:hAnsi="Palatino Linotype" w:cs="Arial"/>
          <w:sz w:val="24"/>
          <w:szCs w:val="24"/>
          <w:lang w:val="es-ES_tradnl" w:eastAsia="es-ES"/>
        </w:rPr>
        <w:t>Resultan</w:t>
      </w:r>
      <w:r w:rsidRPr="00F536FA">
        <w:rPr>
          <w:rFonts w:ascii="Palatino Linotype" w:eastAsia="Times New Roman" w:hAnsi="Palatino Linotype" w:cs="Arial"/>
          <w:sz w:val="24"/>
          <w:szCs w:val="24"/>
          <w:lang w:val="es-ES_tradnl" w:eastAsia="es-ES"/>
        </w:rPr>
        <w:t xml:space="preserve"> </w:t>
      </w:r>
      <w:r w:rsidR="000B3229" w:rsidRPr="00F536FA">
        <w:rPr>
          <w:rFonts w:ascii="Palatino Linotype" w:eastAsia="Times New Roman" w:hAnsi="Palatino Linotype" w:cs="Arial"/>
          <w:sz w:val="24"/>
          <w:szCs w:val="24"/>
          <w:lang w:val="es-ES_tradnl" w:eastAsia="es-ES"/>
        </w:rPr>
        <w:t xml:space="preserve">parcialmente </w:t>
      </w:r>
      <w:r w:rsidR="00C317BE" w:rsidRPr="00F536FA">
        <w:rPr>
          <w:rFonts w:ascii="Palatino Linotype" w:eastAsia="Times New Roman" w:hAnsi="Palatino Linotype" w:cs="Arial"/>
          <w:sz w:val="24"/>
          <w:szCs w:val="24"/>
          <w:lang w:val="es-ES_tradnl" w:eastAsia="es-ES"/>
        </w:rPr>
        <w:t>fundadas</w:t>
      </w:r>
      <w:r w:rsidRPr="00F536FA">
        <w:rPr>
          <w:rFonts w:ascii="Palatino Linotype" w:eastAsia="Times New Roman" w:hAnsi="Palatino Linotype" w:cs="Arial"/>
          <w:sz w:val="24"/>
          <w:szCs w:val="24"/>
          <w:lang w:val="es-ES_tradnl" w:eastAsia="es-ES"/>
        </w:rPr>
        <w:t xml:space="preserve"> las</w:t>
      </w:r>
      <w:r w:rsidRPr="00F536FA">
        <w:rPr>
          <w:rFonts w:ascii="Palatino Linotype" w:eastAsia="Times New Roman" w:hAnsi="Palatino Linotype" w:cs="Arial"/>
          <w:b/>
          <w:sz w:val="24"/>
          <w:szCs w:val="24"/>
          <w:lang w:val="es-ES_tradnl" w:eastAsia="es-ES"/>
        </w:rPr>
        <w:t xml:space="preserve"> </w:t>
      </w:r>
      <w:r w:rsidRPr="00F536FA">
        <w:rPr>
          <w:rFonts w:ascii="Palatino Linotype" w:eastAsia="Times New Roman" w:hAnsi="Palatino Linotype" w:cs="Arial"/>
          <w:sz w:val="24"/>
          <w:szCs w:val="24"/>
          <w:lang w:val="es-ES" w:eastAsia="es-ES"/>
        </w:rPr>
        <w:t xml:space="preserve">razones o motivos de inconformidad hechos valer </w:t>
      </w:r>
      <w:r w:rsidR="0087682B" w:rsidRPr="00F536FA">
        <w:rPr>
          <w:rFonts w:ascii="Palatino Linotype" w:eastAsia="Calibri" w:hAnsi="Palatino Linotype" w:cs="Arial"/>
          <w:sz w:val="24"/>
          <w:szCs w:val="24"/>
          <w:lang w:val="es-ES" w:eastAsia="es-ES"/>
        </w:rPr>
        <w:t xml:space="preserve">en </w:t>
      </w:r>
      <w:r w:rsidRPr="00F536FA">
        <w:rPr>
          <w:rFonts w:ascii="Palatino Linotype" w:eastAsia="Calibri" w:hAnsi="Palatino Linotype" w:cs="Arial"/>
          <w:sz w:val="24"/>
          <w:szCs w:val="24"/>
          <w:lang w:val="es-ES" w:eastAsia="es-ES"/>
        </w:rPr>
        <w:t xml:space="preserve">el recurso de revisión </w:t>
      </w:r>
      <w:r w:rsidR="00E71454" w:rsidRPr="00F536FA">
        <w:rPr>
          <w:rFonts w:ascii="Palatino Linotype" w:eastAsia="Times New Roman" w:hAnsi="Palatino Linotype" w:cs="Times New Roman"/>
          <w:b/>
          <w:sz w:val="24"/>
          <w:szCs w:val="24"/>
          <w:lang w:val="es-ES_tradnl" w:eastAsia="es-ES"/>
        </w:rPr>
        <w:t xml:space="preserve">03693/INFOEM/IP/RR/2020 </w:t>
      </w:r>
      <w:r w:rsidR="00871F55" w:rsidRPr="00F536FA">
        <w:rPr>
          <w:rFonts w:ascii="Palatino Linotype" w:eastAsia="Times New Roman" w:hAnsi="Palatino Linotype" w:cs="Times New Roman"/>
          <w:sz w:val="24"/>
          <w:szCs w:val="24"/>
          <w:lang w:val="es-ES_tradnl" w:eastAsia="es-ES"/>
        </w:rPr>
        <w:t>en términos del</w:t>
      </w:r>
      <w:r w:rsidR="00871F55" w:rsidRPr="00F536FA">
        <w:rPr>
          <w:rFonts w:ascii="Palatino Linotype" w:eastAsia="Times New Roman" w:hAnsi="Palatino Linotype" w:cs="Times New Roman"/>
          <w:b/>
          <w:bCs/>
          <w:sz w:val="24"/>
          <w:szCs w:val="24"/>
          <w:lang w:val="es-ES_tradnl" w:eastAsia="es-ES"/>
        </w:rPr>
        <w:t xml:space="preserve"> </w:t>
      </w:r>
      <w:r w:rsidR="00C317BE" w:rsidRPr="00F536FA">
        <w:rPr>
          <w:rFonts w:ascii="Palatino Linotype" w:eastAsia="Times New Roman" w:hAnsi="Palatino Linotype" w:cs="Times New Roman"/>
          <w:b/>
          <w:bCs/>
          <w:sz w:val="24"/>
          <w:szCs w:val="24"/>
          <w:lang w:val="es-ES_tradnl" w:eastAsia="es-ES"/>
        </w:rPr>
        <w:t>C</w:t>
      </w:r>
      <w:r w:rsidR="00871F55" w:rsidRPr="00F536FA">
        <w:rPr>
          <w:rFonts w:ascii="Palatino Linotype" w:eastAsia="Times New Roman" w:hAnsi="Palatino Linotype" w:cs="Times New Roman"/>
          <w:b/>
          <w:bCs/>
          <w:sz w:val="24"/>
          <w:szCs w:val="24"/>
          <w:lang w:val="es-ES_tradnl" w:eastAsia="es-ES"/>
        </w:rPr>
        <w:t>onsiderando</w:t>
      </w:r>
      <w:r w:rsidR="00871F55" w:rsidRPr="00F536FA">
        <w:rPr>
          <w:rFonts w:ascii="Palatino Linotype" w:eastAsia="Times New Roman" w:hAnsi="Palatino Linotype" w:cs="Times New Roman"/>
          <w:sz w:val="24"/>
          <w:szCs w:val="24"/>
          <w:lang w:val="es-ES_tradnl" w:eastAsia="es-ES"/>
        </w:rPr>
        <w:t xml:space="preserve"> </w:t>
      </w:r>
      <w:r w:rsidR="00871F55" w:rsidRPr="00F536FA">
        <w:rPr>
          <w:rFonts w:ascii="Palatino Linotype" w:eastAsia="Times New Roman" w:hAnsi="Palatino Linotype" w:cs="Times New Roman"/>
          <w:b/>
          <w:sz w:val="24"/>
          <w:szCs w:val="24"/>
          <w:lang w:val="es-ES_tradnl" w:eastAsia="es-ES"/>
        </w:rPr>
        <w:t>CUARTO</w:t>
      </w:r>
      <w:r w:rsidR="000B3229" w:rsidRPr="00F536FA">
        <w:rPr>
          <w:rFonts w:ascii="Palatino Linotype" w:eastAsia="Times New Roman" w:hAnsi="Palatino Linotype" w:cs="Times New Roman"/>
          <w:b/>
          <w:sz w:val="24"/>
          <w:szCs w:val="24"/>
          <w:lang w:val="es-ES_tradnl" w:eastAsia="es-ES"/>
        </w:rPr>
        <w:t xml:space="preserve"> </w:t>
      </w:r>
      <w:r w:rsidR="000B3229" w:rsidRPr="00F536FA">
        <w:rPr>
          <w:rFonts w:ascii="Palatino Linotype" w:eastAsia="Times New Roman" w:hAnsi="Palatino Linotype" w:cs="Times New Roman"/>
          <w:bCs/>
          <w:sz w:val="24"/>
          <w:szCs w:val="24"/>
          <w:lang w:val="es-ES_tradnl" w:eastAsia="es-ES"/>
        </w:rPr>
        <w:t xml:space="preserve">y </w:t>
      </w:r>
      <w:r w:rsidR="000B3229" w:rsidRPr="00F536FA">
        <w:rPr>
          <w:rFonts w:ascii="Palatino Linotype" w:eastAsia="Times New Roman" w:hAnsi="Palatino Linotype" w:cs="Times New Roman"/>
          <w:b/>
          <w:sz w:val="24"/>
          <w:szCs w:val="24"/>
          <w:lang w:val="es-ES_tradnl" w:eastAsia="es-ES"/>
        </w:rPr>
        <w:t>QUINTO</w:t>
      </w:r>
      <w:r w:rsidR="00871F55" w:rsidRPr="00F536FA">
        <w:rPr>
          <w:rFonts w:ascii="Palatino Linotype" w:eastAsia="Times New Roman" w:hAnsi="Palatino Linotype" w:cs="Times New Roman"/>
          <w:b/>
          <w:sz w:val="24"/>
          <w:szCs w:val="24"/>
          <w:lang w:val="es-ES_tradnl" w:eastAsia="es-ES"/>
        </w:rPr>
        <w:t xml:space="preserve"> </w:t>
      </w:r>
      <w:r w:rsidR="00D020D3" w:rsidRPr="00F536FA">
        <w:rPr>
          <w:rFonts w:ascii="Palatino Linotype" w:eastAsia="Times New Roman" w:hAnsi="Palatino Linotype" w:cs="Times New Roman"/>
          <w:sz w:val="24"/>
          <w:szCs w:val="24"/>
          <w:lang w:val="es-ES_tradnl" w:eastAsia="es-ES"/>
        </w:rPr>
        <w:t>de la presente resolución.</w:t>
      </w:r>
    </w:p>
    <w:p w14:paraId="7F55DC8A" w14:textId="77777777" w:rsidR="0087682B" w:rsidRPr="00F536FA" w:rsidRDefault="0087682B" w:rsidP="008B2E96">
      <w:pPr>
        <w:spacing w:after="0" w:line="360" w:lineRule="auto"/>
        <w:jc w:val="both"/>
        <w:rPr>
          <w:rFonts w:ascii="Palatino Linotype" w:eastAsia="Times New Roman" w:hAnsi="Palatino Linotype" w:cs="Times New Roman"/>
          <w:sz w:val="24"/>
          <w:szCs w:val="24"/>
          <w:lang w:val="es-ES_tradnl" w:eastAsia="es-ES"/>
        </w:rPr>
      </w:pPr>
    </w:p>
    <w:p w14:paraId="1BFAA042" w14:textId="18FDC9BB" w:rsidR="00B846B1" w:rsidRPr="00F536FA" w:rsidRDefault="006F025F" w:rsidP="008B2E96">
      <w:pPr>
        <w:spacing w:after="0" w:line="360" w:lineRule="auto"/>
        <w:contextualSpacing/>
        <w:jc w:val="both"/>
        <w:rPr>
          <w:rFonts w:ascii="Palatino Linotype" w:eastAsia="Times New Roman" w:hAnsi="Palatino Linotype" w:cs="Arial"/>
          <w:color w:val="000000"/>
          <w:sz w:val="24"/>
          <w:szCs w:val="24"/>
          <w:lang w:val="es-ES_tradnl" w:eastAsia="es-ES"/>
        </w:rPr>
      </w:pPr>
      <w:r w:rsidRPr="00F536FA">
        <w:rPr>
          <w:rFonts w:ascii="Palatino Linotype" w:eastAsia="Calibri" w:hAnsi="Palatino Linotype" w:cs="Arial"/>
          <w:b/>
          <w:bCs/>
          <w:sz w:val="24"/>
          <w:szCs w:val="24"/>
          <w:lang w:val="es-ES" w:eastAsia="es-ES"/>
        </w:rPr>
        <w:t xml:space="preserve">SEGUNDO. </w:t>
      </w:r>
      <w:r w:rsidRPr="00F536FA">
        <w:rPr>
          <w:rFonts w:ascii="Palatino Linotype" w:eastAsia="Calibri" w:hAnsi="Palatino Linotype" w:cs="Arial"/>
          <w:sz w:val="24"/>
          <w:szCs w:val="24"/>
          <w:lang w:val="es-ES" w:eastAsia="es-ES"/>
        </w:rPr>
        <w:t xml:space="preserve">Se </w:t>
      </w:r>
      <w:r w:rsidR="000D2150" w:rsidRPr="00F536FA">
        <w:rPr>
          <w:rFonts w:ascii="Palatino Linotype" w:eastAsia="Calibri" w:hAnsi="Palatino Linotype" w:cs="Arial"/>
          <w:b/>
          <w:sz w:val="24"/>
          <w:szCs w:val="24"/>
          <w:lang w:val="es-ES" w:eastAsia="es-ES"/>
        </w:rPr>
        <w:t>MODIFICA</w:t>
      </w:r>
      <w:r w:rsidR="00871F55" w:rsidRPr="00F536FA">
        <w:rPr>
          <w:rFonts w:ascii="Palatino Linotype" w:eastAsia="Calibri" w:hAnsi="Palatino Linotype" w:cs="Arial"/>
          <w:sz w:val="24"/>
          <w:szCs w:val="24"/>
          <w:lang w:val="es-ES" w:eastAsia="es-ES"/>
        </w:rPr>
        <w:t xml:space="preserve"> la respuesta </w:t>
      </w:r>
      <w:r w:rsidR="00915680" w:rsidRPr="00F536FA">
        <w:rPr>
          <w:rFonts w:ascii="Palatino Linotype" w:eastAsia="Calibri" w:hAnsi="Palatino Linotype" w:cs="Arial"/>
          <w:sz w:val="24"/>
          <w:szCs w:val="24"/>
          <w:lang w:val="es-ES" w:eastAsia="es-ES"/>
        </w:rPr>
        <w:t>emitida por el</w:t>
      </w:r>
      <w:r w:rsidRPr="00F536FA">
        <w:rPr>
          <w:rFonts w:ascii="Palatino Linotype" w:eastAsia="Calibri" w:hAnsi="Palatino Linotype" w:cs="Arial"/>
          <w:sz w:val="24"/>
          <w:szCs w:val="24"/>
          <w:lang w:val="es-ES" w:eastAsia="es-ES"/>
        </w:rPr>
        <w:t xml:space="preserve"> </w:t>
      </w:r>
      <w:r w:rsidR="00E71454" w:rsidRPr="00F536FA">
        <w:rPr>
          <w:rFonts w:ascii="Palatino Linotype" w:eastAsia="Calibri" w:hAnsi="Palatino Linotype" w:cs="Arial"/>
          <w:b/>
          <w:sz w:val="24"/>
          <w:szCs w:val="24"/>
          <w:lang w:eastAsia="es-ES"/>
        </w:rPr>
        <w:t>Ayuntamiento de Ixtlahuaca</w:t>
      </w:r>
      <w:r w:rsidR="00392969" w:rsidRPr="00F536FA">
        <w:rPr>
          <w:rFonts w:ascii="Palatino Linotype" w:eastAsia="Calibri" w:hAnsi="Palatino Linotype" w:cs="Arial"/>
          <w:b/>
          <w:sz w:val="24"/>
          <w:szCs w:val="24"/>
          <w:lang w:eastAsia="es-ES"/>
        </w:rPr>
        <w:t xml:space="preserve"> </w:t>
      </w:r>
      <w:r w:rsidR="00871F55" w:rsidRPr="00F536FA">
        <w:rPr>
          <w:rFonts w:ascii="Palatino Linotype" w:eastAsia="Calibri" w:hAnsi="Palatino Linotype" w:cs="Arial"/>
          <w:sz w:val="24"/>
          <w:szCs w:val="24"/>
          <w:lang w:eastAsia="es-ES"/>
        </w:rPr>
        <w:t xml:space="preserve">y se </w:t>
      </w:r>
      <w:r w:rsidR="00871F55" w:rsidRPr="00F536FA">
        <w:rPr>
          <w:rFonts w:ascii="Palatino Linotype" w:eastAsia="Calibri" w:hAnsi="Palatino Linotype" w:cs="Arial"/>
          <w:b/>
          <w:sz w:val="24"/>
          <w:szCs w:val="24"/>
          <w:lang w:eastAsia="es-ES"/>
        </w:rPr>
        <w:t>ORDENA</w:t>
      </w:r>
      <w:r w:rsidRPr="00F536FA">
        <w:rPr>
          <w:rFonts w:ascii="Palatino Linotype" w:eastAsia="Calibri" w:hAnsi="Palatino Linotype" w:cs="Arial"/>
          <w:b/>
          <w:sz w:val="24"/>
          <w:szCs w:val="24"/>
          <w:lang w:val="es-ES" w:eastAsia="es-ES"/>
        </w:rPr>
        <w:t xml:space="preserve"> </w:t>
      </w:r>
      <w:r w:rsidR="00D020D3" w:rsidRPr="00F536FA">
        <w:rPr>
          <w:rFonts w:ascii="Palatino Linotype" w:eastAsia="Calibri" w:hAnsi="Palatino Linotype" w:cs="Arial"/>
          <w:sz w:val="24"/>
          <w:szCs w:val="24"/>
          <w:lang w:val="es-ES" w:eastAsia="es-ES"/>
        </w:rPr>
        <w:t>entregar</w:t>
      </w:r>
      <w:r w:rsidR="000D2150" w:rsidRPr="00F536FA">
        <w:rPr>
          <w:rFonts w:ascii="Palatino Linotype" w:eastAsia="Calibri" w:hAnsi="Palatino Linotype" w:cs="Arial"/>
          <w:sz w:val="24"/>
          <w:szCs w:val="24"/>
          <w:lang w:val="es-ES" w:eastAsia="es-ES"/>
        </w:rPr>
        <w:t>,</w:t>
      </w:r>
      <w:r w:rsidR="00C71D8F" w:rsidRPr="00F536FA">
        <w:rPr>
          <w:rFonts w:ascii="Palatino Linotype" w:eastAsia="Calibri" w:hAnsi="Palatino Linotype" w:cs="Arial"/>
          <w:sz w:val="24"/>
          <w:szCs w:val="24"/>
          <w:lang w:val="es-ES" w:eastAsia="es-ES"/>
        </w:rPr>
        <w:t xml:space="preserve"> </w:t>
      </w:r>
      <w:r w:rsidRPr="00F536FA">
        <w:rPr>
          <w:rFonts w:ascii="Palatino Linotype" w:eastAsia="Calibri" w:hAnsi="Palatino Linotype" w:cs="Arial"/>
          <w:sz w:val="24"/>
          <w:szCs w:val="24"/>
          <w:lang w:val="es-ES" w:eastAsia="es-ES"/>
        </w:rPr>
        <w:t>vía</w:t>
      </w:r>
      <w:r w:rsidR="00915680" w:rsidRPr="00F536FA">
        <w:rPr>
          <w:rFonts w:ascii="Palatino Linotype" w:eastAsia="Calibri" w:hAnsi="Palatino Linotype" w:cs="Arial"/>
          <w:sz w:val="24"/>
          <w:szCs w:val="24"/>
          <w:lang w:val="es-ES" w:eastAsia="es-ES"/>
        </w:rPr>
        <w:t xml:space="preserve"> </w:t>
      </w:r>
      <w:r w:rsidRPr="00F536FA">
        <w:rPr>
          <w:rFonts w:ascii="Palatino Linotype" w:eastAsia="Times New Roman" w:hAnsi="Palatino Linotype" w:cs="Arial"/>
          <w:color w:val="000000"/>
          <w:sz w:val="24"/>
          <w:szCs w:val="24"/>
          <w:lang w:val="es-ES_tradnl" w:eastAsia="es-ES"/>
        </w:rPr>
        <w:t>Sistema de Acceso a Información Mexiquense (</w:t>
      </w:r>
      <w:bookmarkStart w:id="42" w:name="_Toc460947013"/>
      <w:r w:rsidR="00AC7339" w:rsidRPr="00F536FA">
        <w:rPr>
          <w:rFonts w:ascii="Palatino Linotype" w:eastAsia="Times New Roman" w:hAnsi="Palatino Linotype" w:cs="Arial"/>
          <w:color w:val="000000"/>
          <w:sz w:val="24"/>
          <w:szCs w:val="24"/>
          <w:lang w:val="es-ES_tradnl" w:eastAsia="es-ES"/>
        </w:rPr>
        <w:t>SAIMEX)</w:t>
      </w:r>
      <w:r w:rsidR="005C460B" w:rsidRPr="00F536FA">
        <w:rPr>
          <w:rFonts w:ascii="Palatino Linotype" w:eastAsia="Times New Roman" w:hAnsi="Palatino Linotype" w:cs="Arial"/>
          <w:color w:val="000000"/>
          <w:sz w:val="24"/>
          <w:szCs w:val="24"/>
          <w:lang w:val="es-ES_tradnl" w:eastAsia="es-ES"/>
        </w:rPr>
        <w:t xml:space="preserve">, </w:t>
      </w:r>
      <w:r w:rsidR="000D2150" w:rsidRPr="00F536FA">
        <w:rPr>
          <w:rFonts w:ascii="Palatino Linotype" w:eastAsia="Times New Roman" w:hAnsi="Palatino Linotype" w:cs="Arial"/>
          <w:color w:val="000000"/>
          <w:sz w:val="24"/>
          <w:szCs w:val="24"/>
          <w:lang w:val="es-ES_tradnl" w:eastAsia="es-ES"/>
        </w:rPr>
        <w:t xml:space="preserve">de ser procedente en versión pública, </w:t>
      </w:r>
      <w:r w:rsidR="00B846B1" w:rsidRPr="00F536FA">
        <w:rPr>
          <w:rFonts w:ascii="Palatino Linotype" w:eastAsia="Times New Roman" w:hAnsi="Palatino Linotype" w:cs="Arial"/>
          <w:color w:val="000000"/>
          <w:sz w:val="24"/>
          <w:szCs w:val="24"/>
          <w:lang w:val="es-ES_tradnl" w:eastAsia="es-ES"/>
        </w:rPr>
        <w:t>l</w:t>
      </w:r>
      <w:r w:rsidR="00F04A05" w:rsidRPr="00F536FA">
        <w:rPr>
          <w:rFonts w:ascii="Palatino Linotype" w:eastAsia="Times New Roman" w:hAnsi="Palatino Linotype" w:cs="Arial"/>
          <w:color w:val="000000"/>
          <w:sz w:val="24"/>
          <w:szCs w:val="24"/>
          <w:lang w:val="es-ES_tradnl" w:eastAsia="es-ES"/>
        </w:rPr>
        <w:t>a</w:t>
      </w:r>
      <w:r w:rsidR="00B846B1" w:rsidRPr="00F536FA">
        <w:rPr>
          <w:rFonts w:ascii="Palatino Linotype" w:eastAsia="Times New Roman" w:hAnsi="Palatino Linotype" w:cs="Arial"/>
          <w:color w:val="000000"/>
          <w:sz w:val="24"/>
          <w:szCs w:val="24"/>
          <w:lang w:val="es-ES_tradnl" w:eastAsia="es-ES"/>
        </w:rPr>
        <w:t xml:space="preserve"> siguiente</w:t>
      </w:r>
      <w:r w:rsidR="00F04A05" w:rsidRPr="00F536FA">
        <w:rPr>
          <w:rFonts w:ascii="Palatino Linotype" w:eastAsia="Times New Roman" w:hAnsi="Palatino Linotype" w:cs="Arial"/>
          <w:color w:val="000000"/>
          <w:sz w:val="24"/>
          <w:szCs w:val="24"/>
          <w:lang w:val="es-ES_tradnl" w:eastAsia="es-ES"/>
        </w:rPr>
        <w:t xml:space="preserve"> información</w:t>
      </w:r>
      <w:r w:rsidR="0029642C" w:rsidRPr="00F536FA">
        <w:rPr>
          <w:rFonts w:ascii="Palatino Linotype" w:eastAsia="Times New Roman" w:hAnsi="Palatino Linotype" w:cs="Arial"/>
          <w:color w:val="000000"/>
          <w:sz w:val="24"/>
          <w:szCs w:val="24"/>
          <w:lang w:val="es-ES_tradnl" w:eastAsia="es-ES"/>
        </w:rPr>
        <w:t xml:space="preserve"> referente a la Feria de Ixtlahuaca</w:t>
      </w:r>
      <w:r w:rsidR="00F04A05" w:rsidRPr="00F536FA">
        <w:rPr>
          <w:rFonts w:ascii="Palatino Linotype" w:eastAsia="Times New Roman" w:hAnsi="Palatino Linotype" w:cs="Arial"/>
          <w:color w:val="000000"/>
          <w:sz w:val="24"/>
          <w:szCs w:val="24"/>
          <w:lang w:val="es-ES_tradnl" w:eastAsia="es-ES"/>
        </w:rPr>
        <w:t>:</w:t>
      </w:r>
      <w:r w:rsidR="00B846B1" w:rsidRPr="00F536FA">
        <w:rPr>
          <w:rFonts w:ascii="Palatino Linotype" w:eastAsia="Times New Roman" w:hAnsi="Palatino Linotype" w:cs="Arial"/>
          <w:color w:val="000000"/>
          <w:sz w:val="24"/>
          <w:szCs w:val="24"/>
          <w:lang w:val="es-ES_tradnl" w:eastAsia="es-ES"/>
        </w:rPr>
        <w:t xml:space="preserve"> </w:t>
      </w:r>
    </w:p>
    <w:p w14:paraId="2CEE6D7F" w14:textId="77777777" w:rsidR="00FF0ACD" w:rsidRPr="00F536FA" w:rsidRDefault="00FF0ACD" w:rsidP="00226963">
      <w:pPr>
        <w:spacing w:after="0" w:line="360" w:lineRule="auto"/>
        <w:ind w:right="616"/>
        <w:jc w:val="both"/>
        <w:rPr>
          <w:rFonts w:ascii="Palatino Linotype" w:hAnsi="Palatino Linotype"/>
          <w:b/>
          <w:bCs/>
          <w:sz w:val="24"/>
          <w:szCs w:val="24"/>
          <w:lang w:val="es-ES_tradnl"/>
        </w:rPr>
      </w:pPr>
      <w:bookmarkStart w:id="43" w:name="_Hlk22229143"/>
    </w:p>
    <w:bookmarkEnd w:id="43"/>
    <w:p w14:paraId="48A1033B" w14:textId="0E152460" w:rsidR="00B8283F" w:rsidRPr="00F536FA" w:rsidRDefault="0029642C" w:rsidP="000D2150">
      <w:pPr>
        <w:pStyle w:val="Prrafodelista"/>
        <w:numPr>
          <w:ilvl w:val="0"/>
          <w:numId w:val="25"/>
        </w:numPr>
        <w:tabs>
          <w:tab w:val="left" w:pos="993"/>
        </w:tabs>
        <w:spacing w:after="0" w:line="360" w:lineRule="auto"/>
        <w:ind w:left="851" w:right="567" w:hanging="284"/>
        <w:jc w:val="both"/>
        <w:rPr>
          <w:rFonts w:ascii="Palatino Linotype" w:hAnsi="Palatino Linotype"/>
          <w:b/>
          <w:bCs/>
          <w:color w:val="000000"/>
          <w:sz w:val="24"/>
          <w:szCs w:val="24"/>
        </w:rPr>
      </w:pPr>
      <w:r w:rsidRPr="00F536FA">
        <w:rPr>
          <w:rFonts w:ascii="Palatino Linotype" w:hAnsi="Palatino Linotype"/>
          <w:b/>
          <w:bCs/>
          <w:color w:val="000000"/>
          <w:sz w:val="24"/>
          <w:szCs w:val="24"/>
        </w:rPr>
        <w:t>De las ediciones 2015, 2016, 2017, 2018 y 2019</w:t>
      </w:r>
      <w:r w:rsidR="000B3229" w:rsidRPr="00F536FA">
        <w:rPr>
          <w:rFonts w:ascii="Palatino Linotype" w:hAnsi="Palatino Linotype"/>
          <w:b/>
          <w:bCs/>
          <w:color w:val="000000"/>
          <w:sz w:val="24"/>
          <w:szCs w:val="24"/>
        </w:rPr>
        <w:t>:</w:t>
      </w:r>
    </w:p>
    <w:p w14:paraId="6B535565" w14:textId="438CE3C6" w:rsidR="00226963" w:rsidRPr="00F536FA" w:rsidRDefault="000B3229" w:rsidP="0029642C">
      <w:pPr>
        <w:pStyle w:val="Prrafodelista"/>
        <w:numPr>
          <w:ilvl w:val="1"/>
          <w:numId w:val="25"/>
        </w:numPr>
        <w:tabs>
          <w:tab w:val="left" w:pos="1560"/>
        </w:tabs>
        <w:spacing w:after="0" w:line="360" w:lineRule="auto"/>
        <w:ind w:left="1418" w:right="567" w:hanging="284"/>
        <w:jc w:val="both"/>
        <w:rPr>
          <w:rFonts w:ascii="Palatino Linotype" w:hAnsi="Palatino Linotype"/>
          <w:b/>
          <w:bCs/>
          <w:color w:val="000000"/>
        </w:rPr>
      </w:pPr>
      <w:r w:rsidRPr="00F536FA">
        <w:rPr>
          <w:rFonts w:ascii="Palatino Linotype" w:hAnsi="Palatino Linotype"/>
          <w:b/>
          <w:bCs/>
          <w:color w:val="000000"/>
          <w:sz w:val="24"/>
          <w:szCs w:val="24"/>
        </w:rPr>
        <w:t>P</w:t>
      </w:r>
      <w:r w:rsidR="0029642C" w:rsidRPr="00F536FA">
        <w:rPr>
          <w:rFonts w:ascii="Palatino Linotype" w:hAnsi="Palatino Linotype"/>
          <w:b/>
          <w:bCs/>
          <w:color w:val="000000"/>
          <w:sz w:val="24"/>
          <w:szCs w:val="24"/>
        </w:rPr>
        <w:t>ermisos de funcionamiento de los juegos mecánicos.</w:t>
      </w:r>
    </w:p>
    <w:p w14:paraId="579EB9F3" w14:textId="3ED114A3" w:rsidR="0029642C" w:rsidRPr="00F536FA" w:rsidRDefault="0029642C" w:rsidP="0029642C">
      <w:pPr>
        <w:pStyle w:val="Prrafodelista"/>
        <w:numPr>
          <w:ilvl w:val="0"/>
          <w:numId w:val="25"/>
        </w:numPr>
        <w:tabs>
          <w:tab w:val="left" w:pos="1560"/>
        </w:tabs>
        <w:spacing w:after="0" w:line="360" w:lineRule="auto"/>
        <w:ind w:left="851" w:right="567"/>
        <w:jc w:val="both"/>
        <w:rPr>
          <w:rFonts w:ascii="Palatino Linotype" w:hAnsi="Palatino Linotype"/>
          <w:b/>
          <w:bCs/>
          <w:color w:val="000000"/>
        </w:rPr>
      </w:pPr>
      <w:r w:rsidRPr="00F536FA">
        <w:rPr>
          <w:rFonts w:ascii="Palatino Linotype" w:hAnsi="Palatino Linotype"/>
          <w:b/>
          <w:bCs/>
          <w:color w:val="000000"/>
          <w:sz w:val="24"/>
          <w:szCs w:val="24"/>
        </w:rPr>
        <w:t>De las ediciones 2015, 2016, 2017 y 2018:</w:t>
      </w:r>
    </w:p>
    <w:p w14:paraId="76118E93" w14:textId="061CA4AB" w:rsidR="0029642C" w:rsidRPr="00F536FA" w:rsidRDefault="0029642C" w:rsidP="0029642C">
      <w:pPr>
        <w:pStyle w:val="Prrafodelista"/>
        <w:numPr>
          <w:ilvl w:val="1"/>
          <w:numId w:val="25"/>
        </w:numPr>
        <w:tabs>
          <w:tab w:val="left" w:pos="1560"/>
        </w:tabs>
        <w:spacing w:after="0" w:line="360" w:lineRule="auto"/>
        <w:ind w:left="1560" w:right="567"/>
        <w:jc w:val="both"/>
        <w:rPr>
          <w:rFonts w:ascii="Palatino Linotype" w:hAnsi="Palatino Linotype"/>
          <w:b/>
          <w:bCs/>
          <w:color w:val="000000"/>
        </w:rPr>
      </w:pPr>
      <w:r w:rsidRPr="00F536FA">
        <w:rPr>
          <w:rFonts w:ascii="Palatino Linotype" w:hAnsi="Palatino Linotype"/>
          <w:b/>
          <w:bCs/>
          <w:color w:val="000000"/>
          <w:sz w:val="24"/>
          <w:szCs w:val="24"/>
        </w:rPr>
        <w:t>Contratos o convenios celebrados con personas físicas o jurídico-colectivas por concepto de la instalación de juegos mecánicos</w:t>
      </w:r>
      <w:r w:rsidR="0055208E" w:rsidRPr="00F536FA">
        <w:rPr>
          <w:rFonts w:ascii="Palatino Linotype" w:hAnsi="Palatino Linotype"/>
          <w:b/>
          <w:bCs/>
          <w:color w:val="000000"/>
          <w:sz w:val="24"/>
          <w:szCs w:val="24"/>
        </w:rPr>
        <w:t>;</w:t>
      </w:r>
    </w:p>
    <w:p w14:paraId="17A2D8FC" w14:textId="256754F6" w:rsidR="0029642C" w:rsidRPr="00F536FA" w:rsidRDefault="0029642C" w:rsidP="0029642C">
      <w:pPr>
        <w:pStyle w:val="Prrafodelista"/>
        <w:numPr>
          <w:ilvl w:val="1"/>
          <w:numId w:val="25"/>
        </w:numPr>
        <w:tabs>
          <w:tab w:val="left" w:pos="1560"/>
        </w:tabs>
        <w:spacing w:after="0" w:line="360" w:lineRule="auto"/>
        <w:ind w:left="1560" w:right="567"/>
        <w:jc w:val="both"/>
        <w:rPr>
          <w:rFonts w:ascii="Palatino Linotype" w:hAnsi="Palatino Linotype"/>
          <w:b/>
          <w:bCs/>
          <w:color w:val="000000"/>
        </w:rPr>
      </w:pPr>
      <w:r w:rsidRPr="00F536FA">
        <w:rPr>
          <w:rFonts w:ascii="Palatino Linotype" w:hAnsi="Palatino Linotype"/>
          <w:b/>
          <w:bCs/>
          <w:color w:val="000000"/>
        </w:rPr>
        <w:t>Documento donde conste el costo total de realización</w:t>
      </w:r>
      <w:r w:rsidR="0055208E" w:rsidRPr="00F536FA">
        <w:rPr>
          <w:rFonts w:ascii="Palatino Linotype" w:hAnsi="Palatino Linotype"/>
          <w:b/>
          <w:bCs/>
          <w:color w:val="000000"/>
        </w:rPr>
        <w:t>; y</w:t>
      </w:r>
    </w:p>
    <w:p w14:paraId="5177BFE8" w14:textId="350E320A" w:rsidR="0029642C" w:rsidRPr="00F536FA" w:rsidRDefault="0029642C" w:rsidP="0029642C">
      <w:pPr>
        <w:pStyle w:val="Prrafodelista"/>
        <w:numPr>
          <w:ilvl w:val="1"/>
          <w:numId w:val="25"/>
        </w:numPr>
        <w:tabs>
          <w:tab w:val="left" w:pos="1560"/>
        </w:tabs>
        <w:spacing w:after="0" w:line="360" w:lineRule="auto"/>
        <w:ind w:left="1560" w:right="567"/>
        <w:jc w:val="both"/>
        <w:rPr>
          <w:rFonts w:ascii="Palatino Linotype" w:hAnsi="Palatino Linotype"/>
          <w:b/>
          <w:bCs/>
          <w:color w:val="000000"/>
        </w:rPr>
      </w:pPr>
      <w:r w:rsidRPr="00F536FA">
        <w:rPr>
          <w:rFonts w:ascii="Palatino Linotype" w:hAnsi="Palatino Linotype"/>
          <w:b/>
          <w:bCs/>
          <w:color w:val="000000"/>
        </w:rPr>
        <w:t>Programas y eventos artísticos.</w:t>
      </w:r>
    </w:p>
    <w:p w14:paraId="7CA27801" w14:textId="4A08AB75" w:rsidR="0029642C" w:rsidRPr="00F536FA" w:rsidRDefault="0029642C" w:rsidP="0029642C">
      <w:pPr>
        <w:pStyle w:val="Prrafodelista"/>
        <w:numPr>
          <w:ilvl w:val="0"/>
          <w:numId w:val="25"/>
        </w:numPr>
        <w:tabs>
          <w:tab w:val="left" w:pos="1560"/>
        </w:tabs>
        <w:spacing w:after="0" w:line="360" w:lineRule="auto"/>
        <w:ind w:left="993" w:right="567"/>
        <w:jc w:val="both"/>
        <w:rPr>
          <w:rFonts w:ascii="Palatino Linotype" w:hAnsi="Palatino Linotype"/>
          <w:b/>
          <w:bCs/>
          <w:color w:val="000000"/>
        </w:rPr>
      </w:pPr>
      <w:r w:rsidRPr="00F536FA">
        <w:rPr>
          <w:rFonts w:ascii="Palatino Linotype" w:hAnsi="Palatino Linotype"/>
          <w:b/>
          <w:bCs/>
          <w:color w:val="000000"/>
        </w:rPr>
        <w:t>De la edición 2019:</w:t>
      </w:r>
    </w:p>
    <w:p w14:paraId="49A69234" w14:textId="528AA359" w:rsidR="0029642C" w:rsidRPr="00F536FA" w:rsidRDefault="0029642C" w:rsidP="0029642C">
      <w:pPr>
        <w:pStyle w:val="Prrafodelista"/>
        <w:numPr>
          <w:ilvl w:val="1"/>
          <w:numId w:val="25"/>
        </w:numPr>
        <w:tabs>
          <w:tab w:val="left" w:pos="1560"/>
        </w:tabs>
        <w:spacing w:after="0" w:line="360" w:lineRule="auto"/>
        <w:ind w:left="1560" w:right="567"/>
        <w:jc w:val="both"/>
        <w:rPr>
          <w:rFonts w:ascii="Palatino Linotype" w:hAnsi="Palatino Linotype"/>
          <w:b/>
          <w:bCs/>
          <w:color w:val="000000"/>
        </w:rPr>
      </w:pPr>
      <w:r w:rsidRPr="00F536FA">
        <w:rPr>
          <w:rFonts w:ascii="Palatino Linotype" w:hAnsi="Palatino Linotype"/>
          <w:b/>
          <w:bCs/>
          <w:color w:val="000000"/>
        </w:rPr>
        <w:t>De los eventos denominados “Cuernos Chuecos”, concierto de Pancho Barraza y El Trono de México:</w:t>
      </w:r>
    </w:p>
    <w:p w14:paraId="2BA96DD7" w14:textId="0E18638F" w:rsidR="0029642C" w:rsidRPr="00F536FA" w:rsidRDefault="0055208E" w:rsidP="0029642C">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 xml:space="preserve">Persona física o jurídico-colectiva </w:t>
      </w:r>
      <w:r w:rsidR="000753C0" w:rsidRPr="00F536FA">
        <w:rPr>
          <w:rFonts w:ascii="Palatino Linotype" w:hAnsi="Palatino Linotype"/>
          <w:b/>
          <w:bCs/>
          <w:color w:val="000000"/>
        </w:rPr>
        <w:t>contratada</w:t>
      </w:r>
      <w:r w:rsidRPr="00F536FA">
        <w:rPr>
          <w:rFonts w:ascii="Palatino Linotype" w:hAnsi="Palatino Linotype"/>
          <w:b/>
          <w:bCs/>
          <w:color w:val="000000"/>
        </w:rPr>
        <w:t xml:space="preserve"> </w:t>
      </w:r>
      <w:r w:rsidR="000753C0" w:rsidRPr="00F536FA">
        <w:rPr>
          <w:rFonts w:ascii="Palatino Linotype" w:hAnsi="Palatino Linotype"/>
          <w:b/>
          <w:bCs/>
          <w:color w:val="000000"/>
        </w:rPr>
        <w:t>para</w:t>
      </w:r>
      <w:r w:rsidRPr="00F536FA">
        <w:rPr>
          <w:rFonts w:ascii="Palatino Linotype" w:hAnsi="Palatino Linotype"/>
          <w:b/>
          <w:bCs/>
          <w:color w:val="000000"/>
        </w:rPr>
        <w:t xml:space="preserve"> su realización;</w:t>
      </w:r>
    </w:p>
    <w:p w14:paraId="4722A184" w14:textId="0DCA95DF" w:rsidR="0055208E" w:rsidRPr="00F536FA" w:rsidRDefault="0055208E" w:rsidP="0029642C">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lastRenderedPageBreak/>
        <w:t>Monto de las aportaciones realizadas al Ayuntamiento de Ixtlahuaca para su realización;</w:t>
      </w:r>
    </w:p>
    <w:p w14:paraId="5C66EBBD" w14:textId="61136754" w:rsidR="0055208E" w:rsidRPr="00F536FA" w:rsidRDefault="0055208E" w:rsidP="0029642C">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Recibos otorgados por el Ayuntamiento de Ixtlahuaca derivado del pago de aportaciones relacionadas con su realización; y</w:t>
      </w:r>
    </w:p>
    <w:p w14:paraId="465EB873" w14:textId="0F235A53" w:rsidR="0055208E" w:rsidRPr="00F536FA" w:rsidRDefault="0055208E" w:rsidP="0029642C">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Contratos o convenios celebrados con el Ayuntamiento para llevarse a cabo.</w:t>
      </w:r>
    </w:p>
    <w:p w14:paraId="64F4FFE2" w14:textId="10B42FA6" w:rsidR="0029642C" w:rsidRPr="00F536FA" w:rsidRDefault="0055208E" w:rsidP="0029642C">
      <w:pPr>
        <w:pStyle w:val="Prrafodelista"/>
        <w:numPr>
          <w:ilvl w:val="1"/>
          <w:numId w:val="25"/>
        </w:numPr>
        <w:tabs>
          <w:tab w:val="left" w:pos="1560"/>
        </w:tabs>
        <w:spacing w:after="0" w:line="360" w:lineRule="auto"/>
        <w:ind w:left="1560" w:right="567"/>
        <w:jc w:val="both"/>
        <w:rPr>
          <w:rFonts w:ascii="Palatino Linotype" w:hAnsi="Palatino Linotype"/>
          <w:b/>
          <w:bCs/>
          <w:color w:val="000000"/>
        </w:rPr>
      </w:pPr>
      <w:r w:rsidRPr="00F536FA">
        <w:rPr>
          <w:rFonts w:ascii="Palatino Linotype" w:hAnsi="Palatino Linotype"/>
          <w:b/>
          <w:bCs/>
          <w:color w:val="000000"/>
        </w:rPr>
        <w:t>Del palenque de pelea de gallos:</w:t>
      </w:r>
    </w:p>
    <w:p w14:paraId="6B949BEA" w14:textId="45476344" w:rsidR="0055208E" w:rsidRPr="00F536FA" w:rsidRDefault="0055208E" w:rsidP="0055208E">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 xml:space="preserve">Permiso expedido por el Ayuntamiento de Ixtlahuaca para usar el “Salón de la Gente”; </w:t>
      </w:r>
    </w:p>
    <w:p w14:paraId="784F359E" w14:textId="54A72AF3" w:rsidR="0055208E" w:rsidRPr="00F536FA" w:rsidRDefault="0055208E" w:rsidP="0055208E">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Permiso para el Cruce de Apuestas en Peleas de Gallos en Escenarios Temporales número 20191385PG05;</w:t>
      </w:r>
    </w:p>
    <w:p w14:paraId="2C279AF3" w14:textId="7206BF06" w:rsidR="0055208E" w:rsidRPr="00F536FA" w:rsidRDefault="0055208E" w:rsidP="0055208E">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Reglamento de operación del inmueble; y</w:t>
      </w:r>
    </w:p>
    <w:p w14:paraId="07DB46D7" w14:textId="18158166" w:rsidR="0055208E" w:rsidRPr="00F536FA" w:rsidRDefault="0055208E" w:rsidP="0055208E">
      <w:pPr>
        <w:pStyle w:val="Prrafodelista"/>
        <w:numPr>
          <w:ilvl w:val="2"/>
          <w:numId w:val="25"/>
        </w:numPr>
        <w:tabs>
          <w:tab w:val="left" w:pos="1560"/>
        </w:tabs>
        <w:spacing w:after="0" w:line="360" w:lineRule="auto"/>
        <w:ind w:left="2127" w:right="567"/>
        <w:jc w:val="both"/>
        <w:rPr>
          <w:rFonts w:ascii="Palatino Linotype" w:hAnsi="Palatino Linotype"/>
          <w:b/>
          <w:bCs/>
          <w:color w:val="000000"/>
        </w:rPr>
      </w:pPr>
      <w:r w:rsidRPr="00F536FA">
        <w:rPr>
          <w:rFonts w:ascii="Palatino Linotype" w:hAnsi="Palatino Linotype"/>
          <w:b/>
          <w:bCs/>
          <w:color w:val="000000"/>
        </w:rPr>
        <w:t>Lineamientos de operación del cruce de apuestas.</w:t>
      </w:r>
    </w:p>
    <w:p w14:paraId="7189B489" w14:textId="77777777" w:rsidR="0029642C" w:rsidRPr="00F536FA" w:rsidRDefault="0029642C" w:rsidP="0029642C">
      <w:pPr>
        <w:pStyle w:val="Prrafodelista"/>
        <w:tabs>
          <w:tab w:val="left" w:pos="1560"/>
        </w:tabs>
        <w:spacing w:after="0" w:line="360" w:lineRule="auto"/>
        <w:ind w:left="1418" w:right="567"/>
        <w:jc w:val="both"/>
        <w:rPr>
          <w:rFonts w:ascii="Palatino Linotype" w:hAnsi="Palatino Linotype"/>
          <w:b/>
          <w:bCs/>
          <w:color w:val="000000"/>
        </w:rPr>
      </w:pPr>
    </w:p>
    <w:p w14:paraId="74DC67BF" w14:textId="0C11D8B6" w:rsidR="000D2150" w:rsidRPr="00F536FA" w:rsidRDefault="000D2150" w:rsidP="0055711C">
      <w:pPr>
        <w:tabs>
          <w:tab w:val="left" w:pos="993"/>
        </w:tabs>
        <w:spacing w:after="0" w:line="360" w:lineRule="auto"/>
        <w:jc w:val="both"/>
        <w:rPr>
          <w:rFonts w:ascii="Palatino Linotype" w:hAnsi="Palatino Linotype"/>
          <w:color w:val="000000"/>
          <w:sz w:val="24"/>
          <w:szCs w:val="24"/>
          <w:lang w:val="es-ES_tradnl"/>
        </w:rPr>
      </w:pPr>
      <w:r w:rsidRPr="00F536FA">
        <w:rPr>
          <w:rFonts w:ascii="Palatino Linotype" w:hAnsi="Palatino Linotype"/>
          <w:color w:val="000000"/>
          <w:sz w:val="24"/>
          <w:szCs w:val="24"/>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3B36981" w14:textId="34E333DC" w:rsidR="0055208E" w:rsidRPr="00F536FA" w:rsidRDefault="0055208E" w:rsidP="0055711C">
      <w:pPr>
        <w:tabs>
          <w:tab w:val="left" w:pos="993"/>
        </w:tabs>
        <w:spacing w:after="0" w:line="360" w:lineRule="auto"/>
        <w:jc w:val="both"/>
        <w:rPr>
          <w:rFonts w:ascii="Palatino Linotype" w:hAnsi="Palatino Linotype"/>
          <w:color w:val="000000"/>
          <w:sz w:val="24"/>
          <w:szCs w:val="24"/>
          <w:lang w:val="es-ES_tradnl"/>
        </w:rPr>
      </w:pPr>
    </w:p>
    <w:p w14:paraId="2A5EEEFB" w14:textId="53910401" w:rsidR="0055208E" w:rsidRPr="00F536FA" w:rsidRDefault="00F324DF" w:rsidP="0055711C">
      <w:pPr>
        <w:tabs>
          <w:tab w:val="left" w:pos="993"/>
        </w:tabs>
        <w:spacing w:after="0" w:line="360" w:lineRule="auto"/>
        <w:jc w:val="both"/>
        <w:rPr>
          <w:rFonts w:ascii="Palatino Linotype" w:hAnsi="Palatino Linotype"/>
          <w:color w:val="000000"/>
          <w:sz w:val="24"/>
          <w:szCs w:val="24"/>
          <w:lang w:val="es-ES_tradnl"/>
        </w:rPr>
      </w:pPr>
      <w:r w:rsidRPr="00F536FA">
        <w:rPr>
          <w:rFonts w:ascii="Palatino Linotype" w:hAnsi="Palatino Linotype"/>
          <w:color w:val="000000"/>
          <w:sz w:val="24"/>
          <w:szCs w:val="24"/>
          <w:lang w:val="es-ES_tradnl"/>
        </w:rPr>
        <w:t>Por otro lado, si derivado de la búsqueda de</w:t>
      </w:r>
      <w:r w:rsidR="0055208E" w:rsidRPr="00F536FA">
        <w:rPr>
          <w:rFonts w:ascii="Palatino Linotype" w:hAnsi="Palatino Linotype"/>
          <w:color w:val="000000"/>
          <w:sz w:val="24"/>
          <w:szCs w:val="24"/>
          <w:lang w:val="es-ES_tradnl"/>
        </w:rPr>
        <w:t xml:space="preserve"> la información que se ordena entregar en el </w:t>
      </w:r>
      <w:r w:rsidRPr="00F536FA">
        <w:rPr>
          <w:rFonts w:ascii="Palatino Linotype" w:hAnsi="Palatino Linotype"/>
          <w:color w:val="000000"/>
          <w:sz w:val="24"/>
          <w:szCs w:val="24"/>
          <w:lang w:val="es-ES_tradnl"/>
        </w:rPr>
        <w:t>numeral</w:t>
      </w:r>
      <w:r w:rsidR="0055711C" w:rsidRPr="00F536FA">
        <w:rPr>
          <w:rFonts w:ascii="Palatino Linotype" w:hAnsi="Palatino Linotype"/>
          <w:color w:val="000000"/>
          <w:sz w:val="24"/>
          <w:szCs w:val="24"/>
          <w:lang w:val="es-ES_tradnl"/>
        </w:rPr>
        <w:t xml:space="preserve"> </w:t>
      </w:r>
      <w:r w:rsidR="0055711C" w:rsidRPr="00F536FA">
        <w:rPr>
          <w:rFonts w:ascii="Palatino Linotype" w:hAnsi="Palatino Linotype"/>
          <w:b/>
          <w:bCs/>
          <w:i/>
          <w:iCs/>
          <w:color w:val="000000"/>
          <w:sz w:val="24"/>
          <w:szCs w:val="24"/>
          <w:lang w:val="es-ES_tradnl"/>
        </w:rPr>
        <w:t>II</w:t>
      </w:r>
      <w:r w:rsidR="0055711C" w:rsidRPr="00F536FA">
        <w:rPr>
          <w:rFonts w:ascii="Palatino Linotype" w:hAnsi="Palatino Linotype"/>
          <w:color w:val="000000"/>
          <w:sz w:val="24"/>
          <w:szCs w:val="24"/>
          <w:lang w:val="es-ES_tradnl"/>
        </w:rPr>
        <w:t xml:space="preserve">, inciso </w:t>
      </w:r>
      <w:r w:rsidR="0055711C" w:rsidRPr="00F536FA">
        <w:rPr>
          <w:rFonts w:ascii="Palatino Linotype" w:hAnsi="Palatino Linotype"/>
          <w:b/>
          <w:bCs/>
          <w:i/>
          <w:iCs/>
          <w:color w:val="000000"/>
          <w:sz w:val="24"/>
          <w:szCs w:val="24"/>
          <w:lang w:val="es-ES_tradnl"/>
        </w:rPr>
        <w:t>c)</w:t>
      </w:r>
      <w:r w:rsidRPr="00F536FA">
        <w:rPr>
          <w:rFonts w:ascii="Palatino Linotype" w:hAnsi="Palatino Linotype"/>
          <w:b/>
          <w:bCs/>
          <w:i/>
          <w:iCs/>
          <w:color w:val="000000"/>
          <w:sz w:val="24"/>
          <w:szCs w:val="24"/>
          <w:lang w:val="es-ES_tradnl"/>
        </w:rPr>
        <w:t>,</w:t>
      </w:r>
      <w:r w:rsidR="0055208E" w:rsidRPr="00F536FA">
        <w:rPr>
          <w:rFonts w:ascii="Palatino Linotype" w:hAnsi="Palatino Linotype"/>
          <w:color w:val="000000"/>
          <w:sz w:val="24"/>
          <w:szCs w:val="24"/>
          <w:lang w:val="es-ES_tradnl"/>
        </w:rPr>
        <w:t xml:space="preserve"> </w:t>
      </w:r>
      <w:r w:rsidRPr="00F536FA">
        <w:rPr>
          <w:rFonts w:ascii="Palatino Linotype" w:hAnsi="Palatino Linotype"/>
          <w:color w:val="000000"/>
          <w:sz w:val="24"/>
          <w:szCs w:val="24"/>
        </w:rPr>
        <w:t xml:space="preserve">el </w:t>
      </w:r>
      <w:r w:rsidRPr="00F536FA">
        <w:rPr>
          <w:rFonts w:ascii="Palatino Linotype" w:hAnsi="Palatino Linotype"/>
          <w:b/>
          <w:color w:val="000000"/>
          <w:sz w:val="24"/>
          <w:szCs w:val="24"/>
        </w:rPr>
        <w:t>SUJETO OBLIGADO</w:t>
      </w:r>
      <w:r w:rsidRPr="00F536FA">
        <w:rPr>
          <w:rFonts w:ascii="Palatino Linotype" w:hAnsi="Palatino Linotype"/>
          <w:color w:val="000000"/>
          <w:sz w:val="24"/>
          <w:szCs w:val="24"/>
        </w:rPr>
        <w:t xml:space="preserve"> concluyera que ésta no obra en sus archivos, deberá emitir el </w:t>
      </w:r>
      <w:r w:rsidR="000753C0" w:rsidRPr="00F536FA">
        <w:rPr>
          <w:rFonts w:ascii="Palatino Linotype" w:hAnsi="Palatino Linotype"/>
          <w:color w:val="000000"/>
          <w:sz w:val="24"/>
          <w:szCs w:val="24"/>
        </w:rPr>
        <w:t xml:space="preserve">Comité </w:t>
      </w:r>
      <w:r w:rsidRPr="00F536FA">
        <w:rPr>
          <w:rFonts w:ascii="Palatino Linotype" w:hAnsi="Palatino Linotype"/>
          <w:color w:val="000000"/>
          <w:sz w:val="24"/>
          <w:szCs w:val="24"/>
        </w:rPr>
        <w:t>de Transparencia</w:t>
      </w:r>
      <w:r w:rsidR="000753C0" w:rsidRPr="00F536FA">
        <w:rPr>
          <w:rFonts w:ascii="Palatino Linotype" w:hAnsi="Palatino Linotype"/>
          <w:color w:val="000000"/>
          <w:sz w:val="24"/>
          <w:szCs w:val="24"/>
        </w:rPr>
        <w:t xml:space="preserve"> deberá emitir el Acuerdo de Inexistencia respectivo</w:t>
      </w:r>
      <w:r w:rsidRPr="00F536FA">
        <w:rPr>
          <w:rFonts w:ascii="Palatino Linotype" w:hAnsi="Palatino Linotype"/>
          <w:color w:val="000000"/>
          <w:sz w:val="24"/>
          <w:szCs w:val="24"/>
        </w:rPr>
        <w:t xml:space="preserve"> en términos de los artículos 19, 169 y 170 de la Ley de </w:t>
      </w:r>
      <w:r w:rsidRPr="00F536FA">
        <w:rPr>
          <w:rFonts w:ascii="Palatino Linotype" w:hAnsi="Palatino Linotype"/>
          <w:color w:val="000000"/>
          <w:sz w:val="24"/>
          <w:szCs w:val="24"/>
        </w:rPr>
        <w:lastRenderedPageBreak/>
        <w:t>Transparencia y Acceso a la Información Pública del Estado de México y Municipios, en el que funde y motive las razones por las que la información no obra en sus archivos.</w:t>
      </w:r>
    </w:p>
    <w:p w14:paraId="0838A290" w14:textId="77777777" w:rsidR="000753C0" w:rsidRPr="00F536FA" w:rsidRDefault="000753C0" w:rsidP="0055711C">
      <w:pPr>
        <w:tabs>
          <w:tab w:val="left" w:pos="993"/>
        </w:tabs>
        <w:spacing w:after="0" w:line="360" w:lineRule="auto"/>
        <w:jc w:val="both"/>
        <w:rPr>
          <w:rFonts w:ascii="Palatino Linotype" w:hAnsi="Palatino Linotype"/>
          <w:color w:val="000000"/>
          <w:sz w:val="24"/>
          <w:szCs w:val="24"/>
          <w:lang w:val="es-ES_tradnl"/>
        </w:rPr>
      </w:pPr>
    </w:p>
    <w:p w14:paraId="0B494908" w14:textId="7D538595" w:rsidR="0055208E" w:rsidRPr="00F536FA" w:rsidRDefault="0055208E" w:rsidP="0055711C">
      <w:pPr>
        <w:tabs>
          <w:tab w:val="left" w:pos="993"/>
        </w:tabs>
        <w:spacing w:after="0" w:line="360" w:lineRule="auto"/>
        <w:jc w:val="both"/>
        <w:rPr>
          <w:rFonts w:ascii="Palatino Linotype" w:hAnsi="Palatino Linotype"/>
          <w:color w:val="000000"/>
          <w:sz w:val="24"/>
          <w:szCs w:val="24"/>
          <w:lang w:val="es-ES"/>
        </w:rPr>
      </w:pPr>
      <w:r w:rsidRPr="00F536FA">
        <w:rPr>
          <w:rFonts w:ascii="Palatino Linotype" w:hAnsi="Palatino Linotype"/>
          <w:color w:val="000000"/>
          <w:sz w:val="24"/>
          <w:szCs w:val="24"/>
          <w:lang w:val="es-ES_tradnl"/>
        </w:rPr>
        <w:t>Por otro lado, si la información que se ordena entregar en el</w:t>
      </w:r>
      <w:r w:rsidR="0055711C" w:rsidRPr="00F536FA">
        <w:rPr>
          <w:rFonts w:ascii="Palatino Linotype" w:hAnsi="Palatino Linotype"/>
          <w:color w:val="000000"/>
          <w:sz w:val="24"/>
          <w:szCs w:val="24"/>
          <w:lang w:val="es-ES_tradnl"/>
        </w:rPr>
        <w:t xml:space="preserve"> numeral</w:t>
      </w:r>
      <w:r w:rsidRPr="00F536FA">
        <w:rPr>
          <w:rFonts w:ascii="Palatino Linotype" w:hAnsi="Palatino Linotype"/>
          <w:color w:val="000000"/>
          <w:sz w:val="24"/>
          <w:szCs w:val="24"/>
          <w:lang w:val="es-ES_tradnl"/>
        </w:rPr>
        <w:t xml:space="preserve"> </w:t>
      </w:r>
      <w:r w:rsidR="0055711C" w:rsidRPr="00F536FA">
        <w:rPr>
          <w:rFonts w:ascii="Palatino Linotype" w:hAnsi="Palatino Linotype"/>
          <w:b/>
          <w:bCs/>
          <w:i/>
          <w:iCs/>
          <w:color w:val="000000"/>
          <w:sz w:val="24"/>
          <w:szCs w:val="24"/>
          <w:lang w:val="es-ES_tradnl"/>
        </w:rPr>
        <w:t>III</w:t>
      </w:r>
      <w:r w:rsidR="0055711C" w:rsidRPr="00F536FA">
        <w:rPr>
          <w:rFonts w:ascii="Palatino Linotype" w:hAnsi="Palatino Linotype"/>
          <w:color w:val="000000"/>
          <w:sz w:val="24"/>
          <w:szCs w:val="24"/>
          <w:lang w:val="es-ES_tradnl"/>
        </w:rPr>
        <w:t xml:space="preserve">, inciso </w:t>
      </w:r>
      <w:r w:rsidR="0055711C" w:rsidRPr="00F536FA">
        <w:rPr>
          <w:rFonts w:ascii="Palatino Linotype" w:hAnsi="Palatino Linotype"/>
          <w:b/>
          <w:bCs/>
          <w:i/>
          <w:iCs/>
          <w:color w:val="000000"/>
          <w:sz w:val="24"/>
          <w:szCs w:val="24"/>
          <w:lang w:val="es-ES_tradnl"/>
        </w:rPr>
        <w:t>a),</w:t>
      </w:r>
      <w:r w:rsidR="0055711C" w:rsidRPr="00F536FA">
        <w:rPr>
          <w:rFonts w:ascii="Palatino Linotype" w:hAnsi="Palatino Linotype"/>
          <w:color w:val="000000"/>
          <w:sz w:val="24"/>
          <w:szCs w:val="24"/>
          <w:lang w:val="es-ES_tradnl"/>
        </w:rPr>
        <w:t xml:space="preserve"> fracciones </w:t>
      </w:r>
      <w:r w:rsidR="0055711C" w:rsidRPr="00F536FA">
        <w:rPr>
          <w:rFonts w:ascii="Palatino Linotype" w:hAnsi="Palatino Linotype"/>
          <w:b/>
          <w:bCs/>
          <w:i/>
          <w:iCs/>
          <w:color w:val="000000"/>
          <w:sz w:val="24"/>
          <w:szCs w:val="24"/>
          <w:lang w:val="es-ES_tradnl"/>
        </w:rPr>
        <w:t>ii</w:t>
      </w:r>
      <w:r w:rsidR="0055711C" w:rsidRPr="00F536FA">
        <w:rPr>
          <w:rFonts w:ascii="Palatino Linotype" w:hAnsi="Palatino Linotype"/>
          <w:color w:val="000000"/>
          <w:sz w:val="24"/>
          <w:szCs w:val="24"/>
          <w:lang w:val="es-ES_tradnl"/>
        </w:rPr>
        <w:t xml:space="preserve"> y </w:t>
      </w:r>
      <w:r w:rsidR="0055711C" w:rsidRPr="00F536FA">
        <w:rPr>
          <w:rFonts w:ascii="Palatino Linotype" w:hAnsi="Palatino Linotype"/>
          <w:b/>
          <w:bCs/>
          <w:i/>
          <w:iCs/>
          <w:color w:val="000000"/>
          <w:sz w:val="24"/>
          <w:szCs w:val="24"/>
          <w:lang w:val="es-ES_tradnl"/>
        </w:rPr>
        <w:t>iii</w:t>
      </w:r>
      <w:r w:rsidR="0055711C" w:rsidRPr="00F536FA">
        <w:rPr>
          <w:rFonts w:ascii="Palatino Linotype" w:hAnsi="Palatino Linotype"/>
          <w:color w:val="000000"/>
          <w:sz w:val="24"/>
          <w:szCs w:val="24"/>
          <w:lang w:val="es-ES_tradnl"/>
        </w:rPr>
        <w:t xml:space="preserve"> </w:t>
      </w:r>
      <w:r w:rsidRPr="00F536FA">
        <w:rPr>
          <w:rFonts w:ascii="Palatino Linotype" w:hAnsi="Palatino Linotype"/>
          <w:color w:val="000000"/>
          <w:sz w:val="24"/>
          <w:szCs w:val="24"/>
          <w:lang w:val="es-ES_tradnl"/>
        </w:rPr>
        <w:t xml:space="preserve">no haya sido generada, poseída o administrada, el </w:t>
      </w:r>
      <w:r w:rsidRPr="00F536FA">
        <w:rPr>
          <w:rFonts w:ascii="Palatino Linotype" w:hAnsi="Palatino Linotype"/>
          <w:b/>
          <w:color w:val="000000"/>
          <w:sz w:val="24"/>
          <w:szCs w:val="24"/>
          <w:lang w:val="es-ES_tradnl"/>
        </w:rPr>
        <w:t>SUJETO OBLIGADO</w:t>
      </w:r>
      <w:r w:rsidRPr="00F536FA">
        <w:rPr>
          <w:rFonts w:ascii="Palatino Linotype" w:hAnsi="Palatino Linotype"/>
          <w:color w:val="000000"/>
          <w:sz w:val="24"/>
          <w:szCs w:val="24"/>
          <w:lang w:val="es-ES_tradnl"/>
        </w:rPr>
        <w:t xml:space="preserve"> deberá manifestar de manera clara y precisa las razones que expliquen las causas por las cuales no se cuente con la información.</w:t>
      </w:r>
    </w:p>
    <w:p w14:paraId="3A13C53A" w14:textId="77777777" w:rsidR="000D2150" w:rsidRPr="00F536FA" w:rsidRDefault="000D2150" w:rsidP="000D2150">
      <w:pPr>
        <w:tabs>
          <w:tab w:val="left" w:pos="993"/>
        </w:tabs>
        <w:spacing w:after="0" w:line="360" w:lineRule="auto"/>
        <w:ind w:right="567"/>
        <w:jc w:val="both"/>
        <w:rPr>
          <w:rFonts w:ascii="Palatino Linotype" w:hAnsi="Palatino Linotype"/>
          <w:b/>
          <w:bCs/>
          <w:color w:val="000000"/>
        </w:rPr>
      </w:pPr>
    </w:p>
    <w:p w14:paraId="092323BB" w14:textId="77777777" w:rsidR="000201D1" w:rsidRPr="00F536FA"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F536FA">
        <w:rPr>
          <w:rFonts w:ascii="Palatino Linotype" w:eastAsia="MS Mincho" w:hAnsi="Palatino Linotype" w:cs="Times New Roman"/>
          <w:b/>
          <w:color w:val="000000"/>
          <w:sz w:val="24"/>
          <w:szCs w:val="24"/>
          <w:lang w:val="es-ES_tradnl" w:eastAsia="es-ES"/>
        </w:rPr>
        <w:t>TERCERO</w:t>
      </w:r>
      <w:r w:rsidR="000201D1" w:rsidRPr="00F536FA">
        <w:rPr>
          <w:rFonts w:ascii="Palatino Linotype" w:eastAsia="MS Mincho" w:hAnsi="Palatino Linotype" w:cs="Times New Roman"/>
          <w:b/>
          <w:color w:val="000000"/>
          <w:sz w:val="24"/>
          <w:szCs w:val="24"/>
          <w:lang w:val="es-ES_tradnl" w:eastAsia="es-ES"/>
        </w:rPr>
        <w:t>.</w:t>
      </w:r>
      <w:r w:rsidR="000201D1" w:rsidRPr="00F536FA">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F536FA">
        <w:rPr>
          <w:rFonts w:ascii="Palatino Linotype" w:eastAsia="MS Mincho" w:hAnsi="Palatino Linotype" w:cs="Times New Roman"/>
          <w:b/>
          <w:color w:val="000000"/>
          <w:sz w:val="24"/>
          <w:szCs w:val="24"/>
          <w:lang w:val="es-ES_tradnl" w:eastAsia="es-ES"/>
        </w:rPr>
        <w:t xml:space="preserve"> </w:t>
      </w:r>
      <w:r w:rsidR="0087682B" w:rsidRPr="00F536FA">
        <w:rPr>
          <w:rFonts w:ascii="Palatino Linotype" w:eastAsia="MS Mincho" w:hAnsi="Palatino Linotype" w:cs="Times New Roman"/>
          <w:color w:val="000000"/>
          <w:sz w:val="24"/>
          <w:szCs w:val="24"/>
          <w:lang w:val="es-ES_tradnl" w:eastAsia="es-ES"/>
        </w:rPr>
        <w:t>Sujeto Obligado</w:t>
      </w:r>
      <w:r w:rsidR="000201D1" w:rsidRPr="00F536FA">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1E75F5" w14:textId="77777777" w:rsidR="00C07697" w:rsidRPr="00F536FA"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p>
    <w:p w14:paraId="3F9FF43F" w14:textId="1170B4A1" w:rsidR="00C07697" w:rsidRPr="00F536FA" w:rsidRDefault="00C07697" w:rsidP="008B2E96">
      <w:pPr>
        <w:spacing w:after="0" w:line="360" w:lineRule="auto"/>
        <w:jc w:val="both"/>
        <w:rPr>
          <w:rFonts w:ascii="Palatino Linotype" w:eastAsia="MS Mincho" w:hAnsi="Palatino Linotype" w:cs="Times New Roman"/>
          <w:color w:val="FF0000"/>
          <w:sz w:val="24"/>
          <w:szCs w:val="24"/>
          <w:lang w:val="es-ES_tradnl" w:eastAsia="es-ES"/>
        </w:rPr>
      </w:pPr>
      <w:r w:rsidRPr="00F536FA">
        <w:rPr>
          <w:rFonts w:ascii="Palatino Linotype" w:eastAsia="MS Mincho" w:hAnsi="Palatino Linotype" w:cs="Times New Roman"/>
          <w:b/>
          <w:color w:val="000000"/>
          <w:sz w:val="24"/>
          <w:szCs w:val="24"/>
          <w:lang w:val="es-ES_tradnl" w:eastAsia="es-ES"/>
        </w:rPr>
        <w:t>CUARTO</w:t>
      </w:r>
      <w:r w:rsidR="000201D1" w:rsidRPr="00F536FA">
        <w:rPr>
          <w:rFonts w:ascii="Palatino Linotype" w:eastAsia="MS Mincho" w:hAnsi="Palatino Linotype" w:cs="Times New Roman"/>
          <w:b/>
          <w:color w:val="000000"/>
          <w:sz w:val="24"/>
          <w:szCs w:val="24"/>
          <w:lang w:val="es-ES_tradnl" w:eastAsia="es-ES"/>
        </w:rPr>
        <w:t xml:space="preserve">. </w:t>
      </w:r>
      <w:r w:rsidR="000201D1" w:rsidRPr="00F536FA">
        <w:rPr>
          <w:rFonts w:ascii="Palatino Linotype" w:eastAsia="MS Mincho" w:hAnsi="Palatino Linotype" w:cs="Times New Roman"/>
          <w:color w:val="000000"/>
          <w:sz w:val="24"/>
          <w:szCs w:val="24"/>
          <w:lang w:val="es-ES_tradnl" w:eastAsia="es-ES"/>
        </w:rPr>
        <w:t xml:space="preserve">Notifíquese </w:t>
      </w:r>
      <w:r w:rsidR="00A51C51" w:rsidRPr="00F536FA">
        <w:rPr>
          <w:rFonts w:ascii="Palatino Linotype" w:eastAsia="MS Mincho" w:hAnsi="Palatino Linotype" w:cs="Times New Roman"/>
          <w:color w:val="000000"/>
          <w:sz w:val="24"/>
          <w:szCs w:val="24"/>
          <w:lang w:val="es-ES_tradnl" w:eastAsia="es-ES"/>
        </w:rPr>
        <w:t>a</w:t>
      </w:r>
      <w:r w:rsidR="003231CB" w:rsidRPr="00F536FA">
        <w:rPr>
          <w:rFonts w:ascii="Palatino Linotype" w:eastAsia="MS Mincho" w:hAnsi="Palatino Linotype" w:cs="Times New Roman"/>
          <w:color w:val="000000"/>
          <w:sz w:val="24"/>
          <w:szCs w:val="24"/>
          <w:lang w:val="es-ES_tradnl" w:eastAsia="es-ES"/>
        </w:rPr>
        <w:t xml:space="preserve"> </w:t>
      </w:r>
      <w:r w:rsidR="00462961" w:rsidRPr="00462961">
        <w:rPr>
          <w:rFonts w:ascii="Palatino Linotype" w:hAnsi="Palatino Linotype"/>
          <w:b/>
          <w:bCs/>
          <w:sz w:val="24"/>
          <w:szCs w:val="24"/>
          <w:highlight w:val="black"/>
        </w:rPr>
        <w:t>------------------------------------</w:t>
      </w:r>
      <w:r w:rsidR="0043409C" w:rsidRPr="00F536FA">
        <w:rPr>
          <w:rFonts w:ascii="Palatino Linotype" w:hAnsi="Palatino Linotype"/>
          <w:b/>
        </w:rPr>
        <w:t xml:space="preserve"> </w:t>
      </w:r>
      <w:r w:rsidR="0043409C" w:rsidRPr="00F536FA">
        <w:rPr>
          <w:rFonts w:ascii="Palatino Linotype" w:eastAsia="MS Mincho" w:hAnsi="Palatino Linotype" w:cs="Times New Roman"/>
          <w:color w:val="000000"/>
          <w:sz w:val="24"/>
          <w:szCs w:val="24"/>
          <w:lang w:val="es-ES_tradnl" w:eastAsia="es-ES"/>
        </w:rPr>
        <w:t>la p</w:t>
      </w:r>
      <w:r w:rsidR="000201D1" w:rsidRPr="00F536FA">
        <w:rPr>
          <w:rFonts w:ascii="Palatino Linotype" w:eastAsia="MS Mincho" w:hAnsi="Palatino Linotype" w:cs="Times New Roman"/>
          <w:color w:val="000000"/>
          <w:sz w:val="24"/>
          <w:szCs w:val="24"/>
          <w:lang w:val="es-ES_tradnl" w:eastAsia="es-ES"/>
        </w:rPr>
        <w:t>resente</w:t>
      </w:r>
      <w:r w:rsidR="00923A6D" w:rsidRPr="00F536FA">
        <w:rPr>
          <w:rFonts w:ascii="Palatino Linotype" w:eastAsia="MS Mincho" w:hAnsi="Palatino Linotype" w:cs="Times New Roman"/>
          <w:color w:val="000000"/>
          <w:sz w:val="24"/>
          <w:szCs w:val="24"/>
          <w:lang w:val="es-ES_tradnl" w:eastAsia="es-ES"/>
        </w:rPr>
        <w:t xml:space="preserve"> resolución</w:t>
      </w:r>
      <w:r w:rsidR="00742205" w:rsidRPr="00F536FA">
        <w:rPr>
          <w:rFonts w:ascii="Palatino Linotype" w:eastAsia="MS Mincho" w:hAnsi="Palatino Linotype" w:cs="Times New Roman"/>
          <w:color w:val="000000"/>
          <w:sz w:val="24"/>
          <w:szCs w:val="24"/>
          <w:lang w:val="es-ES_tradnl" w:eastAsia="es-ES"/>
        </w:rPr>
        <w:t xml:space="preserve"> e informe justificado</w:t>
      </w:r>
      <w:r w:rsidR="00923A6D" w:rsidRPr="00F536FA">
        <w:rPr>
          <w:rFonts w:ascii="Palatino Linotype" w:eastAsia="MS Mincho" w:hAnsi="Palatino Linotype" w:cs="Times New Roman"/>
          <w:color w:val="000000"/>
          <w:sz w:val="24"/>
          <w:szCs w:val="24"/>
          <w:lang w:val="es-ES_tradnl" w:eastAsia="es-ES"/>
        </w:rPr>
        <w:t>.</w:t>
      </w:r>
      <w:r w:rsidR="00C92A85" w:rsidRPr="00F536FA">
        <w:rPr>
          <w:rFonts w:ascii="Palatino Linotype" w:eastAsia="MS Mincho" w:hAnsi="Palatino Linotype" w:cs="Times New Roman"/>
          <w:color w:val="000000"/>
          <w:sz w:val="24"/>
          <w:szCs w:val="24"/>
          <w:lang w:val="es-ES_tradnl" w:eastAsia="es-ES"/>
        </w:rPr>
        <w:t xml:space="preserve"> </w:t>
      </w:r>
    </w:p>
    <w:p w14:paraId="7669F039" w14:textId="77777777" w:rsidR="0036142D" w:rsidRPr="00F536FA" w:rsidRDefault="0036142D" w:rsidP="008B2E96">
      <w:pPr>
        <w:spacing w:after="0" w:line="360" w:lineRule="auto"/>
        <w:jc w:val="both"/>
        <w:rPr>
          <w:rFonts w:ascii="Palatino Linotype" w:hAnsi="Palatino Linotype"/>
          <w:b/>
        </w:rPr>
      </w:pPr>
    </w:p>
    <w:p w14:paraId="5931A4A8" w14:textId="6794C90B" w:rsidR="0016001E" w:rsidRPr="00F536FA" w:rsidRDefault="00C07697" w:rsidP="008B2E96">
      <w:pPr>
        <w:spacing w:after="0" w:line="360" w:lineRule="auto"/>
        <w:jc w:val="both"/>
        <w:rPr>
          <w:rFonts w:ascii="Palatino Linotype" w:eastAsia="MS Mincho" w:hAnsi="Palatino Linotype" w:cs="Times New Roman"/>
          <w:color w:val="000000"/>
          <w:sz w:val="24"/>
          <w:szCs w:val="24"/>
          <w:lang w:val="es-ES" w:eastAsia="es-ES"/>
        </w:rPr>
      </w:pPr>
      <w:r w:rsidRPr="00F536FA">
        <w:rPr>
          <w:rFonts w:ascii="Palatino Linotype" w:eastAsia="MS Mincho" w:hAnsi="Palatino Linotype" w:cs="Times New Roman"/>
          <w:b/>
          <w:sz w:val="24"/>
          <w:szCs w:val="24"/>
          <w:lang w:val="es-ES_tradnl" w:eastAsia="es-ES"/>
        </w:rPr>
        <w:t>QUINTO</w:t>
      </w:r>
      <w:r w:rsidR="000201D1" w:rsidRPr="00F536FA">
        <w:rPr>
          <w:rFonts w:ascii="Palatino Linotype" w:eastAsia="MS Mincho" w:hAnsi="Palatino Linotype" w:cs="Times New Roman"/>
          <w:b/>
          <w:color w:val="000000"/>
          <w:sz w:val="24"/>
          <w:szCs w:val="24"/>
          <w:lang w:val="es-ES_tradnl" w:eastAsia="es-ES"/>
        </w:rPr>
        <w:t xml:space="preserve">. </w:t>
      </w:r>
      <w:r w:rsidR="000201D1" w:rsidRPr="00F536FA">
        <w:rPr>
          <w:rFonts w:ascii="Palatino Linotype" w:eastAsia="MS Mincho" w:hAnsi="Palatino Linotype" w:cs="Times New Roman"/>
          <w:color w:val="000000"/>
          <w:sz w:val="24"/>
          <w:szCs w:val="24"/>
          <w:lang w:val="es-ES_tradnl" w:eastAsia="es-ES"/>
        </w:rPr>
        <w:t xml:space="preserve">Se hace del conocimiento </w:t>
      </w:r>
      <w:r w:rsidR="003231CB" w:rsidRPr="00F536FA">
        <w:rPr>
          <w:rFonts w:ascii="Palatino Linotype" w:eastAsia="MS Mincho" w:hAnsi="Palatino Linotype" w:cs="Times New Roman"/>
          <w:color w:val="000000"/>
          <w:sz w:val="24"/>
          <w:szCs w:val="24"/>
          <w:lang w:val="es-ES_tradnl" w:eastAsia="es-ES"/>
        </w:rPr>
        <w:t xml:space="preserve">de </w:t>
      </w:r>
      <w:r w:rsidR="00462961" w:rsidRPr="00462961">
        <w:rPr>
          <w:rFonts w:ascii="Palatino Linotype" w:hAnsi="Palatino Linotype"/>
          <w:b/>
          <w:sz w:val="24"/>
          <w:highlight w:val="black"/>
        </w:rPr>
        <w:t>-------------------------------------</w:t>
      </w:r>
      <w:r w:rsidR="003231CB" w:rsidRPr="00F536FA">
        <w:rPr>
          <w:rFonts w:ascii="Palatino Linotype" w:eastAsia="MS Mincho" w:hAnsi="Palatino Linotype" w:cs="Times New Roman"/>
          <w:color w:val="000000"/>
          <w:sz w:val="24"/>
          <w:szCs w:val="24"/>
          <w:lang w:val="es-ES_tradnl" w:eastAsia="es-ES"/>
        </w:rPr>
        <w:t xml:space="preserve"> </w:t>
      </w:r>
      <w:r w:rsidR="000201D1" w:rsidRPr="00F536FA">
        <w:rPr>
          <w:rFonts w:ascii="Palatino Linotype" w:eastAsia="MS Mincho" w:hAnsi="Palatino Linotype" w:cs="Times New Roman"/>
          <w:color w:val="000000"/>
          <w:sz w:val="24"/>
          <w:szCs w:val="24"/>
          <w:lang w:val="es-ES_tradnl" w:eastAsia="es-ES"/>
        </w:rPr>
        <w:t>que</w:t>
      </w:r>
      <w:r w:rsidR="009339CF" w:rsidRPr="00F536FA">
        <w:rPr>
          <w:rFonts w:ascii="Palatino Linotype" w:eastAsia="MS Mincho" w:hAnsi="Palatino Linotype" w:cs="Times New Roman"/>
          <w:color w:val="000000"/>
          <w:sz w:val="24"/>
          <w:szCs w:val="24"/>
          <w:lang w:val="es-ES_tradnl" w:eastAsia="es-ES"/>
        </w:rPr>
        <w:t>,</w:t>
      </w:r>
      <w:r w:rsidR="000201D1" w:rsidRPr="00F536FA">
        <w:rPr>
          <w:rFonts w:ascii="Palatino Linotype" w:eastAsia="MS Mincho" w:hAnsi="Palatino Linotype" w:cs="Times New Roman"/>
          <w:color w:val="000000"/>
          <w:sz w:val="24"/>
          <w:szCs w:val="24"/>
          <w:lang w:val="es-ES_tradnl" w:eastAsia="es-ES"/>
        </w:rPr>
        <w:t xml:space="preserve"> de conformidad con lo establecido en el artículo 196 de la Ley de Transparencia y Acceso a la Información Pública del Estado de México y Municipios, </w:t>
      </w:r>
      <w:bookmarkEnd w:id="42"/>
      <w:r w:rsidR="009339CF" w:rsidRPr="00F536FA">
        <w:rPr>
          <w:rFonts w:ascii="Palatino Linotype" w:eastAsia="MS Mincho" w:hAnsi="Palatino Linotype" w:cs="Times New Roman"/>
          <w:color w:val="000000"/>
          <w:sz w:val="24"/>
          <w:szCs w:val="24"/>
          <w:lang w:val="es-ES_tradnl" w:eastAsia="es-ES"/>
        </w:rPr>
        <w:t xml:space="preserve">en caso de que considere que la resolución le cause algún perjuicio podrá impugnarla </w:t>
      </w:r>
      <w:r w:rsidR="009B7537" w:rsidRPr="00F536FA">
        <w:rPr>
          <w:rFonts w:ascii="Palatino Linotype" w:eastAsia="MS Mincho" w:hAnsi="Palatino Linotype" w:cs="Times New Roman"/>
          <w:color w:val="000000"/>
          <w:sz w:val="24"/>
          <w:szCs w:val="24"/>
          <w:lang w:val="es-ES_tradnl" w:eastAsia="es-ES"/>
        </w:rPr>
        <w:t xml:space="preserve">vía </w:t>
      </w:r>
      <w:r w:rsidR="009B7537" w:rsidRPr="00F536FA">
        <w:rPr>
          <w:rFonts w:ascii="Palatino Linotype" w:eastAsia="MS Mincho" w:hAnsi="Palatino Linotype" w:cs="Times New Roman"/>
          <w:bCs/>
          <w:color w:val="000000"/>
          <w:sz w:val="24"/>
          <w:szCs w:val="24"/>
          <w:lang w:val="es-ES" w:eastAsia="es-ES"/>
        </w:rPr>
        <w:t>juicio</w:t>
      </w:r>
      <w:r w:rsidR="009339CF" w:rsidRPr="00F536FA">
        <w:rPr>
          <w:rFonts w:ascii="Palatino Linotype" w:eastAsia="MS Mincho" w:hAnsi="Palatino Linotype" w:cs="Times New Roman"/>
          <w:bCs/>
          <w:color w:val="000000"/>
          <w:sz w:val="24"/>
          <w:szCs w:val="24"/>
          <w:lang w:val="es-ES" w:eastAsia="es-ES"/>
        </w:rPr>
        <w:t xml:space="preserve"> de amparo</w:t>
      </w:r>
      <w:r w:rsidR="008C559D" w:rsidRPr="00F536FA">
        <w:rPr>
          <w:rFonts w:ascii="Palatino Linotype" w:eastAsia="MS Mincho" w:hAnsi="Palatino Linotype" w:cs="Times New Roman"/>
          <w:bCs/>
          <w:color w:val="000000"/>
          <w:sz w:val="24"/>
          <w:szCs w:val="24"/>
          <w:lang w:val="es-ES" w:eastAsia="es-ES"/>
        </w:rPr>
        <w:t xml:space="preserve"> </w:t>
      </w:r>
      <w:r w:rsidR="009339CF" w:rsidRPr="00F536FA">
        <w:rPr>
          <w:rFonts w:ascii="Palatino Linotype" w:eastAsia="MS Mincho" w:hAnsi="Palatino Linotype" w:cs="Times New Roman"/>
          <w:color w:val="000000"/>
          <w:sz w:val="24"/>
          <w:szCs w:val="24"/>
          <w:lang w:val="es-ES" w:eastAsia="es-ES"/>
        </w:rPr>
        <w:t xml:space="preserve">en los términos de las </w:t>
      </w:r>
      <w:r w:rsidR="00357A58" w:rsidRPr="00F536FA">
        <w:rPr>
          <w:rFonts w:ascii="Palatino Linotype" w:eastAsia="MS Mincho" w:hAnsi="Palatino Linotype" w:cs="Times New Roman"/>
          <w:color w:val="000000"/>
          <w:sz w:val="24"/>
          <w:szCs w:val="24"/>
          <w:lang w:val="es-ES" w:eastAsia="es-ES"/>
        </w:rPr>
        <w:t xml:space="preserve">Leyes </w:t>
      </w:r>
      <w:r w:rsidR="009339CF" w:rsidRPr="00F536FA">
        <w:rPr>
          <w:rFonts w:ascii="Palatino Linotype" w:eastAsia="MS Mincho" w:hAnsi="Palatino Linotype" w:cs="Times New Roman"/>
          <w:color w:val="000000"/>
          <w:sz w:val="24"/>
          <w:szCs w:val="24"/>
          <w:lang w:val="es-ES" w:eastAsia="es-ES"/>
        </w:rPr>
        <w:t>aplicables.</w:t>
      </w:r>
    </w:p>
    <w:p w14:paraId="2C7AE300" w14:textId="01634947" w:rsidR="006D540E" w:rsidRPr="00F536FA" w:rsidRDefault="006D540E" w:rsidP="008B2E96">
      <w:pPr>
        <w:spacing w:after="0" w:line="360" w:lineRule="auto"/>
        <w:jc w:val="both"/>
        <w:rPr>
          <w:rFonts w:ascii="Palatino Linotype" w:eastAsia="MS Mincho" w:hAnsi="Palatino Linotype" w:cs="Times New Roman"/>
          <w:color w:val="000000"/>
          <w:sz w:val="24"/>
          <w:szCs w:val="24"/>
          <w:lang w:val="es-ES" w:eastAsia="es-ES"/>
        </w:rPr>
      </w:pPr>
    </w:p>
    <w:p w14:paraId="260A3908" w14:textId="08DA6E15" w:rsidR="00AA2749" w:rsidRPr="00F536FA" w:rsidRDefault="006D540E" w:rsidP="00357A58">
      <w:pPr>
        <w:spacing w:after="0" w:line="360" w:lineRule="auto"/>
        <w:jc w:val="both"/>
        <w:rPr>
          <w:rFonts w:ascii="Palatino Linotype" w:eastAsia="MS Mincho" w:hAnsi="Palatino Linotype" w:cs="Times New Roman"/>
          <w:sz w:val="24"/>
          <w:szCs w:val="24"/>
          <w:lang w:val="es-ES_tradnl" w:eastAsia="es-ES"/>
        </w:rPr>
      </w:pPr>
      <w:r w:rsidRPr="00F536FA">
        <w:rPr>
          <w:rFonts w:ascii="Palatino Linotype" w:eastAsia="MS Mincho" w:hAnsi="Palatino Linotype" w:cs="Times New Roman"/>
          <w:b/>
          <w:bCs/>
          <w:color w:val="000000"/>
          <w:sz w:val="24"/>
          <w:szCs w:val="24"/>
          <w:lang w:val="es-ES" w:eastAsia="es-ES"/>
        </w:rPr>
        <w:lastRenderedPageBreak/>
        <w:t>SEXTO.</w:t>
      </w:r>
      <w:r w:rsidRPr="00F536FA">
        <w:rPr>
          <w:rFonts w:ascii="Palatino Linotype" w:eastAsia="MS Mincho" w:hAnsi="Palatino Linotype" w:cs="Times New Roman"/>
          <w:color w:val="000000"/>
          <w:sz w:val="24"/>
          <w:szCs w:val="24"/>
          <w:lang w:val="es-ES" w:eastAsia="es-ES"/>
        </w:rPr>
        <w:t xml:space="preserve"> </w:t>
      </w:r>
      <w:r w:rsidR="003E316A" w:rsidRPr="00F536FA">
        <w:rPr>
          <w:rFonts w:ascii="Palatino Linotype" w:eastAsia="MS Mincho" w:hAnsi="Palatino Linotype" w:cs="Times New Roman"/>
          <w:sz w:val="24"/>
          <w:szCs w:val="24"/>
          <w:lang w:val="es-ES_tradnl" w:eastAsia="es-ES"/>
        </w:rPr>
        <w:t xml:space="preserve">Con </w:t>
      </w:r>
      <w:r w:rsidR="003E316A" w:rsidRPr="00F536FA">
        <w:rPr>
          <w:rFonts w:ascii="Palatino Linotype" w:eastAsia="MS Mincho" w:hAnsi="Palatino Linotype" w:cs="Times New Roman"/>
          <w:bCs/>
          <w:sz w:val="24"/>
          <w:szCs w:val="24"/>
          <w:lang w:val="es-ES_tradnl" w:eastAsia="es-ES"/>
        </w:rPr>
        <w:t xml:space="preserve">fundamento en el artículo 198 de la Ley de Transparencia y Acceso a la Información Pública del Estado de México y Municipios, se apercibe al </w:t>
      </w:r>
      <w:r w:rsidR="003E316A" w:rsidRPr="00F536FA">
        <w:rPr>
          <w:rFonts w:ascii="Palatino Linotype" w:eastAsia="MS Mincho" w:hAnsi="Palatino Linotype" w:cs="Times New Roman"/>
          <w:b/>
          <w:bCs/>
          <w:sz w:val="24"/>
          <w:szCs w:val="24"/>
          <w:lang w:val="es-ES_tradnl" w:eastAsia="es-ES"/>
        </w:rPr>
        <w:t>SUJETO OBLIGADO</w:t>
      </w:r>
      <w:r w:rsidR="003E316A" w:rsidRPr="00F536FA">
        <w:rPr>
          <w:rFonts w:ascii="Palatino Linotype" w:eastAsia="MS Mincho" w:hAnsi="Palatino Linotype" w:cs="Times New Roman"/>
          <w:b/>
          <w:sz w:val="24"/>
          <w:szCs w:val="24"/>
          <w:lang w:val="es-ES_tradnl" w:eastAsia="es-ES"/>
        </w:rPr>
        <w:t xml:space="preserve"> </w:t>
      </w:r>
      <w:r w:rsidR="003E316A" w:rsidRPr="00F536FA">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713AB1B5" w14:textId="77777777" w:rsidR="00240779" w:rsidRPr="00F536FA" w:rsidRDefault="00240779" w:rsidP="004B2A20">
      <w:pPr>
        <w:spacing w:after="0" w:line="360" w:lineRule="auto"/>
        <w:jc w:val="both"/>
        <w:rPr>
          <w:rFonts w:ascii="Palatino Linotype" w:eastAsia="MS Mincho" w:hAnsi="Palatino Linotype" w:cs="Times New Roman"/>
          <w:color w:val="000000"/>
          <w:sz w:val="24"/>
          <w:szCs w:val="24"/>
          <w:lang w:val="es-ES_tradnl" w:eastAsia="es-ES"/>
        </w:rPr>
      </w:pPr>
    </w:p>
    <w:p w14:paraId="73C069BB" w14:textId="2539F369" w:rsidR="009339CF" w:rsidRPr="00F536FA" w:rsidRDefault="00E93981" w:rsidP="004B2A20">
      <w:pPr>
        <w:spacing w:after="0" w:line="360" w:lineRule="auto"/>
        <w:ind w:firstLine="1"/>
        <w:jc w:val="both"/>
        <w:rPr>
          <w:rFonts w:ascii="Palatino Linotype" w:hAnsi="Palatino Linotype"/>
          <w:sz w:val="24"/>
          <w:szCs w:val="24"/>
        </w:rPr>
      </w:pPr>
      <w:r w:rsidRPr="00F536FA">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8C559D" w:rsidRPr="00F536FA">
        <w:rPr>
          <w:rFonts w:ascii="Palatino Linotype" w:hAnsi="Palatino Linotype"/>
          <w:sz w:val="24"/>
          <w:szCs w:val="24"/>
        </w:rPr>
        <w:t>,</w:t>
      </w:r>
      <w:r w:rsidRPr="00F536FA">
        <w:rPr>
          <w:rFonts w:ascii="Palatino Linotype" w:hAnsi="Palatino Linotype"/>
          <w:sz w:val="24"/>
          <w:szCs w:val="24"/>
        </w:rPr>
        <w:t xml:space="preserve"> JAVIER MARTÍNEZ CRUZ</w:t>
      </w:r>
      <w:r w:rsidR="008C559D" w:rsidRPr="00F536FA">
        <w:rPr>
          <w:rFonts w:ascii="Palatino Linotype" w:hAnsi="Palatino Linotype"/>
          <w:sz w:val="24"/>
          <w:szCs w:val="24"/>
        </w:rPr>
        <w:t xml:space="preserve"> Y LUIS GUSTAVO PARRA NORIEGA</w:t>
      </w:r>
      <w:r w:rsidRPr="00F536FA">
        <w:rPr>
          <w:rFonts w:ascii="Palatino Linotype" w:hAnsi="Palatino Linotype"/>
          <w:sz w:val="24"/>
          <w:szCs w:val="24"/>
        </w:rPr>
        <w:t xml:space="preserve">, EN LA </w:t>
      </w:r>
      <w:r w:rsidR="00923A6D" w:rsidRPr="00F536FA">
        <w:rPr>
          <w:rFonts w:ascii="Palatino Linotype" w:hAnsi="Palatino Linotype"/>
          <w:sz w:val="24"/>
          <w:szCs w:val="24"/>
        </w:rPr>
        <w:t xml:space="preserve">VIGÉSIMO </w:t>
      </w:r>
      <w:r w:rsidR="00742205" w:rsidRPr="00F536FA">
        <w:rPr>
          <w:rFonts w:ascii="Palatino Linotype" w:hAnsi="Palatino Linotype"/>
          <w:sz w:val="24"/>
          <w:szCs w:val="24"/>
        </w:rPr>
        <w:t>CUARTA</w:t>
      </w:r>
      <w:r w:rsidR="000F3365" w:rsidRPr="00F536FA">
        <w:rPr>
          <w:rFonts w:ascii="Palatino Linotype" w:hAnsi="Palatino Linotype"/>
          <w:sz w:val="24"/>
          <w:szCs w:val="24"/>
        </w:rPr>
        <w:t xml:space="preserve"> </w:t>
      </w:r>
      <w:r w:rsidRPr="00F536FA">
        <w:rPr>
          <w:rFonts w:ascii="Palatino Linotype" w:hAnsi="Palatino Linotype"/>
          <w:sz w:val="24"/>
          <w:szCs w:val="24"/>
        </w:rPr>
        <w:t xml:space="preserve">SESIÓN ORDINARIA CELEBRADA EL </w:t>
      </w:r>
      <w:r w:rsidR="00742205" w:rsidRPr="00F536FA">
        <w:rPr>
          <w:rFonts w:ascii="Palatino Linotype" w:hAnsi="Palatino Linotype"/>
          <w:sz w:val="24"/>
          <w:szCs w:val="24"/>
        </w:rPr>
        <w:t>VEINTIOCHO</w:t>
      </w:r>
      <w:r w:rsidR="00392969" w:rsidRPr="00F536FA">
        <w:rPr>
          <w:rFonts w:ascii="Palatino Linotype" w:hAnsi="Palatino Linotype"/>
          <w:sz w:val="24"/>
          <w:szCs w:val="24"/>
        </w:rPr>
        <w:t xml:space="preserve"> (</w:t>
      </w:r>
      <w:r w:rsidR="00923A6D" w:rsidRPr="00F536FA">
        <w:rPr>
          <w:rFonts w:ascii="Palatino Linotype" w:hAnsi="Palatino Linotype"/>
          <w:sz w:val="24"/>
          <w:szCs w:val="24"/>
        </w:rPr>
        <w:t>2</w:t>
      </w:r>
      <w:r w:rsidR="00742205" w:rsidRPr="00F536FA">
        <w:rPr>
          <w:rFonts w:ascii="Palatino Linotype" w:hAnsi="Palatino Linotype"/>
          <w:sz w:val="24"/>
          <w:szCs w:val="24"/>
        </w:rPr>
        <w:t>8</w:t>
      </w:r>
      <w:r w:rsidR="00392969" w:rsidRPr="00F536FA">
        <w:rPr>
          <w:rFonts w:ascii="Palatino Linotype" w:hAnsi="Palatino Linotype"/>
          <w:sz w:val="24"/>
          <w:szCs w:val="24"/>
        </w:rPr>
        <w:t xml:space="preserve">) DE </w:t>
      </w:r>
      <w:r w:rsidR="00923A6D" w:rsidRPr="00F536FA">
        <w:rPr>
          <w:rFonts w:ascii="Palatino Linotype" w:hAnsi="Palatino Linotype"/>
          <w:sz w:val="24"/>
          <w:szCs w:val="24"/>
        </w:rPr>
        <w:t>OCTUBRE</w:t>
      </w:r>
      <w:r w:rsidR="00392969" w:rsidRPr="00F536FA">
        <w:rPr>
          <w:rFonts w:ascii="Palatino Linotype" w:hAnsi="Palatino Linotype"/>
          <w:sz w:val="24"/>
          <w:szCs w:val="24"/>
        </w:rPr>
        <w:t xml:space="preserve"> DE DOS MIL VEINTE</w:t>
      </w:r>
      <w:r w:rsidRPr="00F536FA">
        <w:rPr>
          <w:rFonts w:ascii="Palatino Linotype" w:hAnsi="Palatino Linotype"/>
          <w:sz w:val="24"/>
          <w:szCs w:val="24"/>
        </w:rPr>
        <w:t xml:space="preserve">, ANTE EL SECRETARIO TÉCNICO DEL PLENO, ALEXIS TAPIA RAMÍREZ. </w:t>
      </w:r>
    </w:p>
    <w:p w14:paraId="0558CD43" w14:textId="77777777" w:rsidR="009339CF" w:rsidRPr="00F536FA" w:rsidRDefault="009339CF">
      <w:pPr>
        <w:rPr>
          <w:rFonts w:ascii="Palatino Linotype" w:hAnsi="Palatino Linotype"/>
        </w:rPr>
      </w:pPr>
      <w:r w:rsidRPr="00F536FA">
        <w:rPr>
          <w:rFonts w:ascii="Palatino Linotype" w:hAnsi="Palatino Linotype"/>
        </w:rPr>
        <w:br w:type="page"/>
      </w:r>
    </w:p>
    <w:tbl>
      <w:tblPr>
        <w:tblW w:w="5000" w:type="pct"/>
        <w:jc w:val="center"/>
        <w:tblLook w:val="04A0" w:firstRow="1" w:lastRow="0" w:firstColumn="1" w:lastColumn="0" w:noHBand="0" w:noVBand="1"/>
      </w:tblPr>
      <w:tblGrid>
        <w:gridCol w:w="4192"/>
        <w:gridCol w:w="202"/>
        <w:gridCol w:w="4395"/>
      </w:tblGrid>
      <w:tr w:rsidR="00E93981" w:rsidRPr="00F536FA" w14:paraId="1E9CEFCB" w14:textId="77777777" w:rsidTr="008C559D">
        <w:trPr>
          <w:trHeight w:val="924"/>
          <w:jc w:val="center"/>
        </w:trPr>
        <w:tc>
          <w:tcPr>
            <w:tcW w:w="5000" w:type="pct"/>
            <w:gridSpan w:val="3"/>
            <w:shd w:val="clear" w:color="auto" w:fill="auto"/>
          </w:tcPr>
          <w:p w14:paraId="37A52A3D" w14:textId="3BAF76B0" w:rsidR="00240779" w:rsidRPr="00F536FA" w:rsidRDefault="00240779" w:rsidP="009339CF">
            <w:pPr>
              <w:spacing w:after="0" w:line="276" w:lineRule="auto"/>
              <w:jc w:val="center"/>
              <w:rPr>
                <w:rFonts w:ascii="Palatino Linotype" w:hAnsi="Palatino Linotype"/>
                <w:b/>
                <w:sz w:val="24"/>
                <w:szCs w:val="24"/>
              </w:rPr>
            </w:pPr>
          </w:p>
          <w:p w14:paraId="55691E38" w14:textId="3CB933D8" w:rsidR="009339CF" w:rsidRPr="00F536FA" w:rsidRDefault="009339CF" w:rsidP="009339CF">
            <w:pPr>
              <w:spacing w:after="0" w:line="276" w:lineRule="auto"/>
              <w:jc w:val="center"/>
              <w:rPr>
                <w:rFonts w:ascii="Palatino Linotype" w:hAnsi="Palatino Linotype"/>
                <w:b/>
                <w:sz w:val="24"/>
                <w:szCs w:val="24"/>
              </w:rPr>
            </w:pPr>
          </w:p>
          <w:p w14:paraId="2806B5B8" w14:textId="77777777" w:rsidR="009339CF" w:rsidRPr="00F536FA" w:rsidRDefault="009339CF" w:rsidP="009339CF">
            <w:pPr>
              <w:spacing w:after="0" w:line="276" w:lineRule="auto"/>
              <w:jc w:val="center"/>
              <w:rPr>
                <w:rFonts w:ascii="Palatino Linotype" w:hAnsi="Palatino Linotype"/>
                <w:b/>
                <w:sz w:val="24"/>
                <w:szCs w:val="24"/>
              </w:rPr>
            </w:pPr>
          </w:p>
          <w:p w14:paraId="56523103" w14:textId="77777777" w:rsidR="00E93981" w:rsidRPr="00F536FA" w:rsidRDefault="00E93981" w:rsidP="009339CF">
            <w:pPr>
              <w:spacing w:after="0" w:line="276" w:lineRule="auto"/>
              <w:jc w:val="center"/>
              <w:rPr>
                <w:rFonts w:ascii="Palatino Linotype" w:hAnsi="Palatino Linotype"/>
                <w:b/>
                <w:sz w:val="24"/>
                <w:szCs w:val="24"/>
              </w:rPr>
            </w:pPr>
            <w:r w:rsidRPr="00F536FA">
              <w:rPr>
                <w:rFonts w:ascii="Palatino Linotype" w:hAnsi="Palatino Linotype"/>
                <w:b/>
                <w:sz w:val="24"/>
                <w:szCs w:val="24"/>
              </w:rPr>
              <w:t xml:space="preserve">Zulema Martínez Sánchez </w:t>
            </w:r>
          </w:p>
          <w:p w14:paraId="2A2F2B8A" w14:textId="77777777" w:rsidR="00E93981" w:rsidRPr="00F536FA" w:rsidRDefault="00E93981" w:rsidP="009339CF">
            <w:pPr>
              <w:spacing w:after="0" w:line="276" w:lineRule="auto"/>
              <w:jc w:val="center"/>
              <w:rPr>
                <w:rFonts w:ascii="Palatino Linotype" w:hAnsi="Palatino Linotype"/>
                <w:sz w:val="24"/>
                <w:szCs w:val="24"/>
              </w:rPr>
            </w:pPr>
            <w:r w:rsidRPr="00F536FA">
              <w:rPr>
                <w:rFonts w:ascii="Palatino Linotype" w:hAnsi="Palatino Linotype"/>
                <w:sz w:val="24"/>
                <w:szCs w:val="24"/>
              </w:rPr>
              <w:t>Comisionada Presidenta</w:t>
            </w:r>
          </w:p>
          <w:p w14:paraId="03924CE7" w14:textId="1BB2F6B6" w:rsidR="00E93981" w:rsidRPr="00F536FA" w:rsidRDefault="00E93981"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(Rúbrica)</w:t>
            </w:r>
          </w:p>
        </w:tc>
      </w:tr>
      <w:tr w:rsidR="00E93981" w:rsidRPr="00F536FA" w14:paraId="7A21D080" w14:textId="77777777" w:rsidTr="008C559D">
        <w:trPr>
          <w:trHeight w:val="902"/>
          <w:jc w:val="center"/>
        </w:trPr>
        <w:tc>
          <w:tcPr>
            <w:tcW w:w="2385" w:type="pct"/>
            <w:shd w:val="clear" w:color="auto" w:fill="auto"/>
          </w:tcPr>
          <w:p w14:paraId="621A22E5" w14:textId="77777777" w:rsidR="009339CF" w:rsidRPr="00F536FA" w:rsidRDefault="009339CF" w:rsidP="009339CF">
            <w:pPr>
              <w:spacing w:after="0" w:line="276" w:lineRule="auto"/>
              <w:jc w:val="center"/>
              <w:rPr>
                <w:rFonts w:ascii="Palatino Linotype" w:hAnsi="Palatino Linotype"/>
                <w:b/>
                <w:sz w:val="24"/>
                <w:szCs w:val="24"/>
              </w:rPr>
            </w:pPr>
          </w:p>
          <w:p w14:paraId="2DC397F7" w14:textId="5B1E280C" w:rsidR="009339CF" w:rsidRPr="00F536FA" w:rsidRDefault="009339CF" w:rsidP="009339CF">
            <w:pPr>
              <w:spacing w:after="0" w:line="276" w:lineRule="auto"/>
              <w:jc w:val="center"/>
              <w:rPr>
                <w:rFonts w:ascii="Palatino Linotype" w:hAnsi="Palatino Linotype"/>
                <w:b/>
                <w:sz w:val="24"/>
                <w:szCs w:val="24"/>
              </w:rPr>
            </w:pPr>
          </w:p>
          <w:p w14:paraId="2EF342A8" w14:textId="77777777" w:rsidR="009339CF" w:rsidRPr="00F536FA" w:rsidRDefault="009339CF" w:rsidP="009339CF">
            <w:pPr>
              <w:spacing w:after="0" w:line="276" w:lineRule="auto"/>
              <w:jc w:val="center"/>
              <w:rPr>
                <w:rFonts w:ascii="Palatino Linotype" w:hAnsi="Palatino Linotype"/>
                <w:b/>
                <w:sz w:val="24"/>
                <w:szCs w:val="24"/>
              </w:rPr>
            </w:pPr>
          </w:p>
          <w:p w14:paraId="05A8093B" w14:textId="1FB99631" w:rsidR="00E93981" w:rsidRPr="00F536FA" w:rsidRDefault="00E93981" w:rsidP="009339CF">
            <w:pPr>
              <w:spacing w:after="0" w:line="276" w:lineRule="auto"/>
              <w:jc w:val="center"/>
              <w:rPr>
                <w:rFonts w:ascii="Palatino Linotype" w:hAnsi="Palatino Linotype"/>
                <w:b/>
                <w:sz w:val="24"/>
                <w:szCs w:val="24"/>
              </w:rPr>
            </w:pPr>
            <w:r w:rsidRPr="00F536FA">
              <w:rPr>
                <w:rFonts w:ascii="Palatino Linotype" w:hAnsi="Palatino Linotype"/>
                <w:b/>
                <w:sz w:val="24"/>
                <w:szCs w:val="24"/>
              </w:rPr>
              <w:t xml:space="preserve">Eva </w:t>
            </w:r>
            <w:proofErr w:type="spellStart"/>
            <w:r w:rsidRPr="00F536FA">
              <w:rPr>
                <w:rFonts w:ascii="Palatino Linotype" w:hAnsi="Palatino Linotype"/>
                <w:b/>
                <w:sz w:val="24"/>
                <w:szCs w:val="24"/>
              </w:rPr>
              <w:t>Abaid</w:t>
            </w:r>
            <w:proofErr w:type="spellEnd"/>
            <w:r w:rsidRPr="00F536FA">
              <w:rPr>
                <w:rFonts w:ascii="Palatino Linotype" w:hAnsi="Palatino Linotype"/>
                <w:b/>
                <w:sz w:val="24"/>
                <w:szCs w:val="24"/>
              </w:rPr>
              <w:t xml:space="preserve"> </w:t>
            </w:r>
            <w:proofErr w:type="spellStart"/>
            <w:r w:rsidRPr="00F536FA">
              <w:rPr>
                <w:rFonts w:ascii="Palatino Linotype" w:hAnsi="Palatino Linotype"/>
                <w:b/>
                <w:sz w:val="24"/>
                <w:szCs w:val="24"/>
              </w:rPr>
              <w:t>Yapur</w:t>
            </w:r>
            <w:proofErr w:type="spellEnd"/>
          </w:p>
          <w:p w14:paraId="1A76BEAE" w14:textId="77777777" w:rsidR="00E93981" w:rsidRPr="00F536FA" w:rsidRDefault="00E93981" w:rsidP="009339CF">
            <w:pPr>
              <w:spacing w:after="0" w:line="276" w:lineRule="auto"/>
              <w:jc w:val="center"/>
              <w:rPr>
                <w:rFonts w:ascii="Palatino Linotype" w:hAnsi="Palatino Linotype"/>
                <w:sz w:val="24"/>
                <w:szCs w:val="24"/>
              </w:rPr>
            </w:pPr>
            <w:r w:rsidRPr="00F536FA">
              <w:rPr>
                <w:rFonts w:ascii="Palatino Linotype" w:hAnsi="Palatino Linotype"/>
                <w:sz w:val="24"/>
                <w:szCs w:val="24"/>
              </w:rPr>
              <w:t>Comisionada</w:t>
            </w:r>
          </w:p>
          <w:p w14:paraId="7F684483" w14:textId="253E1E53" w:rsidR="00E93981" w:rsidRPr="00F536FA" w:rsidRDefault="00E93981"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(Rúbrica)</w:t>
            </w:r>
          </w:p>
        </w:tc>
        <w:tc>
          <w:tcPr>
            <w:tcW w:w="2615" w:type="pct"/>
            <w:gridSpan w:val="2"/>
            <w:shd w:val="clear" w:color="auto" w:fill="auto"/>
          </w:tcPr>
          <w:p w14:paraId="5D96D330" w14:textId="77777777" w:rsidR="009339CF" w:rsidRPr="00F536FA" w:rsidRDefault="009339CF" w:rsidP="009339CF">
            <w:pPr>
              <w:spacing w:after="0" w:line="276" w:lineRule="auto"/>
              <w:jc w:val="center"/>
              <w:rPr>
                <w:rFonts w:ascii="Palatino Linotype" w:hAnsi="Palatino Linotype"/>
                <w:b/>
                <w:sz w:val="24"/>
                <w:szCs w:val="24"/>
              </w:rPr>
            </w:pPr>
          </w:p>
          <w:p w14:paraId="30B7D6FD" w14:textId="4550E8E5" w:rsidR="009339CF" w:rsidRPr="00F536FA" w:rsidRDefault="009339CF" w:rsidP="009339CF">
            <w:pPr>
              <w:spacing w:after="0" w:line="276" w:lineRule="auto"/>
              <w:jc w:val="center"/>
              <w:rPr>
                <w:rFonts w:ascii="Palatino Linotype" w:hAnsi="Palatino Linotype"/>
                <w:b/>
                <w:sz w:val="24"/>
                <w:szCs w:val="24"/>
              </w:rPr>
            </w:pPr>
          </w:p>
          <w:p w14:paraId="4C036611" w14:textId="77777777" w:rsidR="009339CF" w:rsidRPr="00F536FA" w:rsidRDefault="009339CF" w:rsidP="009339CF">
            <w:pPr>
              <w:spacing w:after="0" w:line="276" w:lineRule="auto"/>
              <w:jc w:val="center"/>
              <w:rPr>
                <w:rFonts w:ascii="Palatino Linotype" w:hAnsi="Palatino Linotype"/>
                <w:b/>
                <w:sz w:val="24"/>
                <w:szCs w:val="24"/>
              </w:rPr>
            </w:pPr>
          </w:p>
          <w:p w14:paraId="5E194C33" w14:textId="7E30C9BA" w:rsidR="00E93981" w:rsidRPr="00F536FA" w:rsidRDefault="00E93981" w:rsidP="009339CF">
            <w:pPr>
              <w:spacing w:after="0" w:line="276" w:lineRule="auto"/>
              <w:jc w:val="center"/>
              <w:rPr>
                <w:rFonts w:ascii="Palatino Linotype" w:hAnsi="Palatino Linotype"/>
                <w:b/>
                <w:sz w:val="24"/>
                <w:szCs w:val="24"/>
              </w:rPr>
            </w:pPr>
            <w:r w:rsidRPr="00F536FA">
              <w:rPr>
                <w:rFonts w:ascii="Palatino Linotype" w:hAnsi="Palatino Linotype"/>
                <w:b/>
                <w:sz w:val="24"/>
                <w:szCs w:val="24"/>
              </w:rPr>
              <w:t>José Guadalupe Luna Hernández</w:t>
            </w:r>
          </w:p>
          <w:p w14:paraId="0B8D2F0D" w14:textId="77777777" w:rsidR="00E93981" w:rsidRPr="00F536FA" w:rsidRDefault="00E93981" w:rsidP="009339CF">
            <w:pPr>
              <w:spacing w:after="0" w:line="276" w:lineRule="auto"/>
              <w:jc w:val="center"/>
              <w:rPr>
                <w:rFonts w:ascii="Palatino Linotype" w:hAnsi="Palatino Linotype"/>
                <w:sz w:val="24"/>
                <w:szCs w:val="24"/>
              </w:rPr>
            </w:pPr>
            <w:r w:rsidRPr="00F536FA">
              <w:rPr>
                <w:rFonts w:ascii="Palatino Linotype" w:hAnsi="Palatino Linotype"/>
                <w:sz w:val="24"/>
                <w:szCs w:val="24"/>
              </w:rPr>
              <w:t>Comisionado</w:t>
            </w:r>
          </w:p>
          <w:p w14:paraId="4252B620" w14:textId="77777777" w:rsidR="00E93981" w:rsidRPr="00F536FA" w:rsidRDefault="00F013D8"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(Rúbrica)</w:t>
            </w:r>
          </w:p>
        </w:tc>
      </w:tr>
      <w:tr w:rsidR="009339CF" w:rsidRPr="00F536FA" w14:paraId="6FD331C8" w14:textId="77777777" w:rsidTr="008C559D">
        <w:trPr>
          <w:jc w:val="center"/>
        </w:trPr>
        <w:tc>
          <w:tcPr>
            <w:tcW w:w="2500" w:type="pct"/>
            <w:gridSpan w:val="2"/>
            <w:shd w:val="clear" w:color="auto" w:fill="auto"/>
            <w:hideMark/>
          </w:tcPr>
          <w:p w14:paraId="05D93713" w14:textId="77777777" w:rsidR="009339CF" w:rsidRPr="00F536FA" w:rsidRDefault="009339CF" w:rsidP="009339CF">
            <w:pPr>
              <w:spacing w:after="0" w:line="276" w:lineRule="auto"/>
              <w:jc w:val="center"/>
              <w:rPr>
                <w:rFonts w:ascii="Palatino Linotype" w:hAnsi="Palatino Linotype"/>
                <w:b/>
                <w:sz w:val="24"/>
                <w:szCs w:val="24"/>
              </w:rPr>
            </w:pPr>
          </w:p>
          <w:p w14:paraId="3CBBE565" w14:textId="650E5A1C" w:rsidR="009339CF" w:rsidRPr="00F536FA" w:rsidRDefault="009339CF" w:rsidP="009339CF">
            <w:pPr>
              <w:spacing w:after="0" w:line="276" w:lineRule="auto"/>
              <w:jc w:val="center"/>
              <w:rPr>
                <w:rFonts w:ascii="Palatino Linotype" w:hAnsi="Palatino Linotype"/>
                <w:b/>
                <w:sz w:val="24"/>
                <w:szCs w:val="24"/>
              </w:rPr>
            </w:pPr>
          </w:p>
          <w:p w14:paraId="72A3C880" w14:textId="77777777" w:rsidR="009339CF" w:rsidRPr="00F536FA" w:rsidRDefault="009339CF" w:rsidP="009339CF">
            <w:pPr>
              <w:spacing w:after="0" w:line="276" w:lineRule="auto"/>
              <w:jc w:val="center"/>
              <w:rPr>
                <w:rFonts w:ascii="Palatino Linotype" w:hAnsi="Palatino Linotype"/>
                <w:b/>
                <w:sz w:val="24"/>
                <w:szCs w:val="24"/>
              </w:rPr>
            </w:pPr>
          </w:p>
          <w:p w14:paraId="3E5DEBB9" w14:textId="77777777" w:rsidR="009339CF" w:rsidRPr="00F536FA" w:rsidRDefault="009339CF" w:rsidP="009339CF">
            <w:pPr>
              <w:spacing w:after="0" w:line="276" w:lineRule="auto"/>
              <w:jc w:val="center"/>
              <w:rPr>
                <w:rFonts w:ascii="Palatino Linotype" w:hAnsi="Palatino Linotype"/>
                <w:b/>
                <w:sz w:val="24"/>
                <w:szCs w:val="24"/>
              </w:rPr>
            </w:pPr>
            <w:r w:rsidRPr="00F536FA">
              <w:rPr>
                <w:rFonts w:ascii="Palatino Linotype" w:hAnsi="Palatino Linotype"/>
                <w:b/>
                <w:sz w:val="24"/>
                <w:szCs w:val="24"/>
              </w:rPr>
              <w:t xml:space="preserve">Javier Martínez Cruz </w:t>
            </w:r>
          </w:p>
          <w:p w14:paraId="3428E90E" w14:textId="77777777" w:rsidR="009339CF" w:rsidRPr="00F536FA" w:rsidRDefault="009339CF" w:rsidP="009339CF">
            <w:pPr>
              <w:spacing w:after="0" w:line="276" w:lineRule="auto"/>
              <w:jc w:val="center"/>
              <w:rPr>
                <w:rFonts w:ascii="Palatino Linotype" w:hAnsi="Palatino Linotype"/>
                <w:sz w:val="24"/>
                <w:szCs w:val="24"/>
              </w:rPr>
            </w:pPr>
            <w:r w:rsidRPr="00F536FA">
              <w:rPr>
                <w:rFonts w:ascii="Palatino Linotype" w:hAnsi="Palatino Linotype"/>
                <w:sz w:val="24"/>
                <w:szCs w:val="24"/>
              </w:rPr>
              <w:t>Comisionado</w:t>
            </w:r>
          </w:p>
          <w:p w14:paraId="0E5A2B39" w14:textId="2081978D" w:rsidR="009339CF" w:rsidRPr="00F536FA" w:rsidRDefault="009339CF" w:rsidP="009339CF">
            <w:pPr>
              <w:spacing w:after="0" w:line="276" w:lineRule="auto"/>
              <w:jc w:val="center"/>
              <w:rPr>
                <w:rFonts w:ascii="Palatino Linotype" w:hAnsi="Palatino Linotype"/>
                <w:b/>
                <w:sz w:val="24"/>
                <w:szCs w:val="24"/>
              </w:rPr>
            </w:pPr>
            <w:r w:rsidRPr="00F536FA">
              <w:rPr>
                <w:rFonts w:ascii="Palatino Linotype" w:hAnsi="Palatino Linotype"/>
                <w:sz w:val="24"/>
                <w:szCs w:val="24"/>
              </w:rPr>
              <w:t>(Rúbrica)</w:t>
            </w:r>
          </w:p>
        </w:tc>
        <w:tc>
          <w:tcPr>
            <w:tcW w:w="2500" w:type="pct"/>
            <w:shd w:val="clear" w:color="auto" w:fill="auto"/>
          </w:tcPr>
          <w:p w14:paraId="7B3FCA36" w14:textId="77777777" w:rsidR="009339CF" w:rsidRPr="00F536FA" w:rsidRDefault="009339CF" w:rsidP="009339CF">
            <w:pPr>
              <w:tabs>
                <w:tab w:val="left" w:pos="780"/>
                <w:tab w:val="center" w:pos="4499"/>
              </w:tabs>
              <w:spacing w:after="0" w:line="276" w:lineRule="auto"/>
              <w:jc w:val="center"/>
              <w:rPr>
                <w:rFonts w:ascii="Palatino Linotype" w:hAnsi="Palatino Linotype"/>
                <w:b/>
                <w:sz w:val="24"/>
                <w:szCs w:val="24"/>
              </w:rPr>
            </w:pPr>
          </w:p>
          <w:p w14:paraId="26FE5909" w14:textId="77777777" w:rsidR="009339CF" w:rsidRPr="00F536FA" w:rsidRDefault="009339CF" w:rsidP="009339CF">
            <w:pPr>
              <w:tabs>
                <w:tab w:val="left" w:pos="780"/>
                <w:tab w:val="center" w:pos="4499"/>
              </w:tabs>
              <w:spacing w:after="0" w:line="276" w:lineRule="auto"/>
              <w:jc w:val="center"/>
              <w:rPr>
                <w:rFonts w:ascii="Palatino Linotype" w:hAnsi="Palatino Linotype"/>
                <w:b/>
                <w:sz w:val="24"/>
                <w:szCs w:val="24"/>
              </w:rPr>
            </w:pPr>
          </w:p>
          <w:p w14:paraId="53323A03" w14:textId="77777777" w:rsidR="009339CF" w:rsidRPr="00F536FA" w:rsidRDefault="009339CF" w:rsidP="009339CF">
            <w:pPr>
              <w:tabs>
                <w:tab w:val="left" w:pos="780"/>
                <w:tab w:val="center" w:pos="4499"/>
              </w:tabs>
              <w:spacing w:after="0" w:line="276" w:lineRule="auto"/>
              <w:jc w:val="center"/>
              <w:rPr>
                <w:rFonts w:ascii="Palatino Linotype" w:hAnsi="Palatino Linotype"/>
                <w:b/>
                <w:sz w:val="24"/>
                <w:szCs w:val="24"/>
              </w:rPr>
            </w:pPr>
          </w:p>
          <w:p w14:paraId="06BDF777" w14:textId="77777777" w:rsidR="009339CF" w:rsidRPr="00F536FA" w:rsidRDefault="009339CF" w:rsidP="009339CF">
            <w:pPr>
              <w:tabs>
                <w:tab w:val="left" w:pos="780"/>
                <w:tab w:val="center" w:pos="4499"/>
              </w:tabs>
              <w:spacing w:after="0" w:line="276" w:lineRule="auto"/>
              <w:jc w:val="center"/>
              <w:rPr>
                <w:rFonts w:ascii="Palatino Linotype" w:hAnsi="Palatino Linotype"/>
                <w:b/>
                <w:sz w:val="24"/>
                <w:szCs w:val="24"/>
              </w:rPr>
            </w:pPr>
            <w:r w:rsidRPr="00F536FA">
              <w:rPr>
                <w:rFonts w:ascii="Palatino Linotype" w:hAnsi="Palatino Linotype"/>
                <w:b/>
                <w:sz w:val="24"/>
                <w:szCs w:val="24"/>
              </w:rPr>
              <w:t>Luis Gustavo Parra Noriega</w:t>
            </w:r>
          </w:p>
          <w:p w14:paraId="2E2A0A8B" w14:textId="77777777" w:rsidR="009339CF" w:rsidRPr="00F536FA" w:rsidRDefault="009339CF"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Comisionado</w:t>
            </w:r>
          </w:p>
          <w:p w14:paraId="3F3F05ED" w14:textId="6E9BAB7A" w:rsidR="009339CF" w:rsidRPr="00F536FA" w:rsidRDefault="009339CF"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(Rúbrica)</w:t>
            </w:r>
          </w:p>
        </w:tc>
      </w:tr>
      <w:tr w:rsidR="00E93981" w:rsidRPr="00F536FA" w14:paraId="10A497B7" w14:textId="77777777" w:rsidTr="008C559D">
        <w:trPr>
          <w:jc w:val="center"/>
        </w:trPr>
        <w:tc>
          <w:tcPr>
            <w:tcW w:w="5000" w:type="pct"/>
            <w:gridSpan w:val="3"/>
            <w:shd w:val="clear" w:color="auto" w:fill="auto"/>
          </w:tcPr>
          <w:p w14:paraId="774E7281" w14:textId="77777777" w:rsidR="009339CF" w:rsidRPr="00F536FA" w:rsidRDefault="009339CF" w:rsidP="009339CF">
            <w:pPr>
              <w:spacing w:after="0" w:line="276" w:lineRule="auto"/>
              <w:jc w:val="center"/>
              <w:rPr>
                <w:rFonts w:ascii="Palatino Linotype" w:hAnsi="Palatino Linotype"/>
                <w:b/>
                <w:sz w:val="24"/>
                <w:szCs w:val="24"/>
              </w:rPr>
            </w:pPr>
          </w:p>
          <w:p w14:paraId="63370EA6" w14:textId="77777777" w:rsidR="009339CF" w:rsidRPr="00F536FA" w:rsidRDefault="009339CF" w:rsidP="009339CF">
            <w:pPr>
              <w:spacing w:after="0" w:line="276" w:lineRule="auto"/>
              <w:jc w:val="center"/>
              <w:rPr>
                <w:rFonts w:ascii="Palatino Linotype" w:hAnsi="Palatino Linotype"/>
                <w:b/>
                <w:sz w:val="24"/>
                <w:szCs w:val="24"/>
              </w:rPr>
            </w:pPr>
          </w:p>
          <w:p w14:paraId="10827B24" w14:textId="77777777" w:rsidR="009339CF" w:rsidRPr="00F536FA" w:rsidRDefault="009339CF" w:rsidP="009339CF">
            <w:pPr>
              <w:spacing w:after="0" w:line="276" w:lineRule="auto"/>
              <w:jc w:val="center"/>
              <w:rPr>
                <w:rFonts w:ascii="Palatino Linotype" w:hAnsi="Palatino Linotype"/>
                <w:b/>
                <w:sz w:val="24"/>
                <w:szCs w:val="24"/>
              </w:rPr>
            </w:pPr>
          </w:p>
          <w:p w14:paraId="1429B9F3" w14:textId="5239DA8F" w:rsidR="00E93981" w:rsidRPr="00F536FA" w:rsidRDefault="00E93981" w:rsidP="009339CF">
            <w:pPr>
              <w:spacing w:after="0" w:line="276" w:lineRule="auto"/>
              <w:jc w:val="center"/>
              <w:rPr>
                <w:rFonts w:ascii="Palatino Linotype" w:hAnsi="Palatino Linotype"/>
                <w:b/>
                <w:sz w:val="24"/>
                <w:szCs w:val="24"/>
              </w:rPr>
            </w:pPr>
            <w:r w:rsidRPr="00F536FA">
              <w:rPr>
                <w:rFonts w:ascii="Palatino Linotype" w:hAnsi="Palatino Linotype"/>
                <w:b/>
                <w:sz w:val="24"/>
                <w:szCs w:val="24"/>
              </w:rPr>
              <w:t>Alexis Tapia Ramírez</w:t>
            </w:r>
          </w:p>
          <w:p w14:paraId="1FCF4F29" w14:textId="15C37820" w:rsidR="00E93981" w:rsidRPr="00F536FA" w:rsidRDefault="00E93981"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Secretario Técnic</w:t>
            </w:r>
            <w:r w:rsidR="009339CF" w:rsidRPr="00F536FA">
              <w:rPr>
                <w:rFonts w:ascii="Palatino Linotype" w:hAnsi="Palatino Linotype"/>
                <w:sz w:val="24"/>
                <w:szCs w:val="24"/>
              </w:rPr>
              <w:t>o</w:t>
            </w:r>
            <w:r w:rsidRPr="00F536FA">
              <w:rPr>
                <w:rFonts w:ascii="Palatino Linotype" w:hAnsi="Palatino Linotype"/>
                <w:sz w:val="24"/>
                <w:szCs w:val="24"/>
              </w:rPr>
              <w:t xml:space="preserve"> del Pleno</w:t>
            </w:r>
          </w:p>
          <w:p w14:paraId="6F1C8DFD" w14:textId="77777777" w:rsidR="00E93981" w:rsidRPr="00F536FA" w:rsidRDefault="00E93981" w:rsidP="009339CF">
            <w:pPr>
              <w:tabs>
                <w:tab w:val="left" w:pos="780"/>
                <w:tab w:val="center" w:pos="4499"/>
              </w:tabs>
              <w:spacing w:after="0" w:line="276" w:lineRule="auto"/>
              <w:jc w:val="center"/>
              <w:rPr>
                <w:rFonts w:ascii="Palatino Linotype" w:hAnsi="Palatino Linotype"/>
                <w:sz w:val="24"/>
                <w:szCs w:val="24"/>
              </w:rPr>
            </w:pPr>
            <w:r w:rsidRPr="00F536FA">
              <w:rPr>
                <w:rFonts w:ascii="Palatino Linotype" w:hAnsi="Palatino Linotype"/>
                <w:sz w:val="24"/>
                <w:szCs w:val="24"/>
              </w:rPr>
              <w:t>(Rúbrica)</w:t>
            </w:r>
          </w:p>
          <w:p w14:paraId="358028A8" w14:textId="77777777" w:rsidR="00E93981" w:rsidRPr="00F536FA" w:rsidRDefault="00E93981" w:rsidP="009339CF">
            <w:pPr>
              <w:tabs>
                <w:tab w:val="left" w:pos="780"/>
                <w:tab w:val="center" w:pos="4499"/>
              </w:tabs>
              <w:spacing w:after="0" w:line="276" w:lineRule="auto"/>
              <w:rPr>
                <w:rFonts w:ascii="Palatino Linotype" w:hAnsi="Palatino Linotype" w:cs="Arial"/>
                <w:sz w:val="24"/>
                <w:szCs w:val="24"/>
              </w:rPr>
            </w:pPr>
          </w:p>
        </w:tc>
      </w:tr>
    </w:tbl>
    <w:p w14:paraId="3BBB89FC" w14:textId="77777777" w:rsidR="009B7537" w:rsidRPr="00F536FA" w:rsidRDefault="009B7537" w:rsidP="004B2A20">
      <w:pPr>
        <w:spacing w:after="0" w:line="360" w:lineRule="auto"/>
        <w:jc w:val="both"/>
        <w:rPr>
          <w:rFonts w:ascii="Palatino Linotype" w:hAnsi="Palatino Linotype" w:cs="Arial"/>
          <w:sz w:val="24"/>
          <w:szCs w:val="24"/>
        </w:rPr>
      </w:pPr>
    </w:p>
    <w:p w14:paraId="0FDFF0C5" w14:textId="77777777" w:rsidR="009B7537" w:rsidRPr="00F536FA" w:rsidRDefault="009B7537" w:rsidP="004B2A20">
      <w:pPr>
        <w:spacing w:after="0" w:line="360" w:lineRule="auto"/>
        <w:jc w:val="both"/>
        <w:rPr>
          <w:rFonts w:ascii="Palatino Linotype" w:hAnsi="Palatino Linotype" w:cs="Arial"/>
          <w:sz w:val="24"/>
          <w:szCs w:val="24"/>
        </w:rPr>
      </w:pPr>
    </w:p>
    <w:p w14:paraId="155D036D" w14:textId="20C10C27" w:rsidR="00DE6AF4" w:rsidRPr="006D540E" w:rsidRDefault="00E93981" w:rsidP="004B2A20">
      <w:pPr>
        <w:spacing w:after="0" w:line="360" w:lineRule="auto"/>
        <w:jc w:val="both"/>
        <w:rPr>
          <w:sz w:val="32"/>
          <w:szCs w:val="32"/>
        </w:rPr>
      </w:pPr>
      <w:r w:rsidRPr="00F536FA">
        <w:rPr>
          <w:rFonts w:ascii="Palatino Linotype" w:hAnsi="Palatino Linotype" w:cs="Arial"/>
          <w:sz w:val="24"/>
          <w:szCs w:val="24"/>
        </w:rPr>
        <w:t xml:space="preserve">Esta hoja corresponde a la resolución de </w:t>
      </w:r>
      <w:r w:rsidR="00742205" w:rsidRPr="00F536FA">
        <w:rPr>
          <w:rFonts w:ascii="Palatino Linotype" w:hAnsi="Palatino Linotype" w:cs="Arial"/>
          <w:sz w:val="24"/>
          <w:szCs w:val="24"/>
        </w:rPr>
        <w:t>veintiocho</w:t>
      </w:r>
      <w:r w:rsidR="00392969" w:rsidRPr="00F536FA">
        <w:rPr>
          <w:rFonts w:ascii="Palatino Linotype" w:hAnsi="Palatino Linotype" w:cs="Arial"/>
          <w:sz w:val="24"/>
          <w:szCs w:val="24"/>
        </w:rPr>
        <w:t xml:space="preserve"> (</w:t>
      </w:r>
      <w:r w:rsidR="00923A6D" w:rsidRPr="00F536FA">
        <w:rPr>
          <w:rFonts w:ascii="Palatino Linotype" w:hAnsi="Palatino Linotype" w:cs="Arial"/>
          <w:sz w:val="24"/>
          <w:szCs w:val="24"/>
        </w:rPr>
        <w:t>2</w:t>
      </w:r>
      <w:r w:rsidR="00742205" w:rsidRPr="00F536FA">
        <w:rPr>
          <w:rFonts w:ascii="Palatino Linotype" w:hAnsi="Palatino Linotype" w:cs="Arial"/>
          <w:sz w:val="24"/>
          <w:szCs w:val="24"/>
        </w:rPr>
        <w:t>8</w:t>
      </w:r>
      <w:r w:rsidR="00392969" w:rsidRPr="00F536FA">
        <w:rPr>
          <w:rFonts w:ascii="Palatino Linotype" w:hAnsi="Palatino Linotype" w:cs="Arial"/>
          <w:sz w:val="24"/>
          <w:szCs w:val="24"/>
        </w:rPr>
        <w:t xml:space="preserve">) de </w:t>
      </w:r>
      <w:r w:rsidR="00923A6D" w:rsidRPr="00F536FA">
        <w:rPr>
          <w:rFonts w:ascii="Palatino Linotype" w:hAnsi="Palatino Linotype" w:cs="Arial"/>
          <w:sz w:val="24"/>
          <w:szCs w:val="24"/>
        </w:rPr>
        <w:t>octubre</w:t>
      </w:r>
      <w:r w:rsidR="00392969" w:rsidRPr="00F536FA">
        <w:rPr>
          <w:rFonts w:ascii="Palatino Linotype" w:hAnsi="Palatino Linotype" w:cs="Arial"/>
          <w:sz w:val="24"/>
          <w:szCs w:val="24"/>
        </w:rPr>
        <w:t xml:space="preserve"> de dos mil veinte</w:t>
      </w:r>
      <w:r w:rsidRPr="00F536FA">
        <w:rPr>
          <w:rFonts w:ascii="Palatino Linotype" w:hAnsi="Palatino Linotype" w:cs="Arial"/>
          <w:sz w:val="24"/>
          <w:szCs w:val="24"/>
        </w:rPr>
        <w:t xml:space="preserve">, emitida en el recurso de revisión </w:t>
      </w:r>
      <w:r w:rsidR="00742205" w:rsidRPr="00F536FA">
        <w:rPr>
          <w:rFonts w:ascii="Palatino Linotype" w:hAnsi="Palatino Linotype" w:cs="Arial"/>
          <w:b/>
          <w:sz w:val="24"/>
          <w:szCs w:val="24"/>
        </w:rPr>
        <w:t>03693</w:t>
      </w:r>
      <w:r w:rsidR="00787624" w:rsidRPr="00F536FA">
        <w:rPr>
          <w:rFonts w:ascii="Palatino Linotype" w:hAnsi="Palatino Linotype" w:cs="Arial"/>
          <w:b/>
          <w:sz w:val="24"/>
          <w:szCs w:val="24"/>
        </w:rPr>
        <w:t>/INFOEM/IP/RR/2020</w:t>
      </w:r>
      <w:r w:rsidRPr="00F536FA">
        <w:rPr>
          <w:rFonts w:ascii="Palatino Linotype" w:hAnsi="Palatino Linotype" w:cs="Arial"/>
          <w:bCs/>
          <w:sz w:val="24"/>
          <w:szCs w:val="24"/>
        </w:rPr>
        <w:t>.</w:t>
      </w:r>
      <w:r w:rsidRPr="006D540E">
        <w:rPr>
          <w:rFonts w:ascii="Palatino Linotype" w:hAnsi="Palatino Linotype" w:cs="Arial"/>
          <w:bCs/>
          <w:sz w:val="24"/>
          <w:szCs w:val="24"/>
        </w:rPr>
        <w:t xml:space="preserve"> </w:t>
      </w:r>
    </w:p>
    <w:sectPr w:rsidR="00DE6AF4" w:rsidRPr="006D540E" w:rsidSect="009A4582">
      <w:headerReference w:type="even" r:id="rId19"/>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694AC" w14:textId="77777777" w:rsidR="002F7869" w:rsidRDefault="002F7869" w:rsidP="00792776">
      <w:pPr>
        <w:spacing w:after="0" w:line="240" w:lineRule="auto"/>
      </w:pPr>
      <w:r>
        <w:separator/>
      </w:r>
    </w:p>
  </w:endnote>
  <w:endnote w:type="continuationSeparator" w:id="0">
    <w:p w14:paraId="6CF50F19" w14:textId="77777777" w:rsidR="002F7869" w:rsidRDefault="002F7869"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6041743B" w14:textId="63B67C42" w:rsidR="002F7869" w:rsidRPr="00883450" w:rsidRDefault="002F7869"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93B24">
              <w:rPr>
                <w:rFonts w:ascii="Palatino Linotype" w:hAnsi="Palatino Linotype"/>
                <w:b/>
                <w:bCs/>
                <w:noProof/>
                <w:szCs w:val="20"/>
              </w:rPr>
              <w:t>92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93B24">
              <w:rPr>
                <w:rFonts w:ascii="Palatino Linotype" w:hAnsi="Palatino Linotype"/>
                <w:b/>
                <w:bCs/>
                <w:noProof/>
                <w:szCs w:val="20"/>
              </w:rPr>
              <w:t>94</w:t>
            </w:r>
            <w:r w:rsidRPr="00883450">
              <w:rPr>
                <w:rFonts w:ascii="Palatino Linotype" w:hAnsi="Palatino Linotype"/>
                <w:b/>
                <w:bCs/>
                <w:szCs w:val="20"/>
              </w:rPr>
              <w:fldChar w:fldCharType="end"/>
            </w:r>
          </w:p>
        </w:sdtContent>
      </w:sdt>
    </w:sdtContent>
  </w:sdt>
  <w:p w14:paraId="4A14D63F" w14:textId="77777777" w:rsidR="002F7869" w:rsidRDefault="002F78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2813" w14:textId="158EF1C2" w:rsidR="002F7869" w:rsidRPr="00883450" w:rsidRDefault="002F7869"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93B24" w:rsidRPr="00193B2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93B24" w:rsidRPr="00193B24">
      <w:rPr>
        <w:rFonts w:ascii="Palatino Linotype" w:hAnsi="Palatino Linotype"/>
        <w:noProof/>
        <w:lang w:val="es-ES"/>
      </w:rPr>
      <w:t>94</w:t>
    </w:r>
    <w:r w:rsidRPr="00883450">
      <w:rPr>
        <w:rFonts w:ascii="Palatino Linotype" w:hAnsi="Palatino Linotype"/>
      </w:rPr>
      <w:fldChar w:fldCharType="end"/>
    </w:r>
  </w:p>
  <w:p w14:paraId="07FB1F8C" w14:textId="77777777" w:rsidR="002F7869" w:rsidRPr="00883450" w:rsidRDefault="002F786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636BF" w14:textId="77777777" w:rsidR="002F7869" w:rsidRDefault="002F7869" w:rsidP="00792776">
      <w:pPr>
        <w:spacing w:after="0" w:line="240" w:lineRule="auto"/>
      </w:pPr>
      <w:r>
        <w:separator/>
      </w:r>
    </w:p>
  </w:footnote>
  <w:footnote w:type="continuationSeparator" w:id="0">
    <w:p w14:paraId="671D2206" w14:textId="77777777" w:rsidR="002F7869" w:rsidRDefault="002F7869" w:rsidP="00792776">
      <w:pPr>
        <w:spacing w:after="0" w:line="240" w:lineRule="auto"/>
      </w:pPr>
      <w:r>
        <w:continuationSeparator/>
      </w:r>
    </w:p>
  </w:footnote>
  <w:footnote w:id="1">
    <w:p w14:paraId="126E1FEA" w14:textId="10FB4FE4" w:rsidR="002F7869" w:rsidRPr="009C43C2" w:rsidRDefault="002F7869"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14:paraId="25CB1246" w14:textId="77777777" w:rsidR="002F7869" w:rsidRPr="009C43C2" w:rsidRDefault="002F7869"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A88DF18" w14:textId="77777777" w:rsidR="002F7869" w:rsidRPr="009C43C2" w:rsidRDefault="002F7869"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FE3897C" w14:textId="77777777" w:rsidR="002F7869" w:rsidRDefault="002F7869" w:rsidP="00F42836">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4A953585" w14:textId="77777777" w:rsidR="002F7869" w:rsidRDefault="002F7869" w:rsidP="00E72B5A">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6">
    <w:p w14:paraId="36941F46" w14:textId="56467307" w:rsidR="002F7869" w:rsidRDefault="002F7869" w:rsidP="00B3732B">
      <w:pPr>
        <w:pStyle w:val="Textonotapie"/>
        <w:jc w:val="both"/>
      </w:pPr>
      <w:r>
        <w:rPr>
          <w:rStyle w:val="Refdenotaalpie"/>
        </w:rPr>
        <w:footnoteRef/>
      </w:r>
      <w:r>
        <w:t xml:space="preserve"> </w:t>
      </w:r>
      <w:r w:rsidRPr="00B3732B">
        <w:t>Artículo 5.61.- Las medidas de seguridad son determinaciones preventivas ordenadas por las autoridades de desarrollo urbano, que serán de ejecución inmediata y durarán todo el tiempo en que persistan las causas que las motivaron. Las medidas de seguridad tendrán por objeto evitar la consolidación de acciones o hechos contrarios a las disposiciones contenidas en este Libro, su reglamentación, los planes de desarrollo urbano y las autorizaciones emitidas por las autoridades de desarrollo urbano y procederá su adopción cuando se afecte el interés social.</w:t>
      </w:r>
    </w:p>
  </w:footnote>
  <w:footnote w:id="7">
    <w:p w14:paraId="1362DA32" w14:textId="77777777" w:rsidR="002F7869" w:rsidRDefault="002F7869" w:rsidP="00705829">
      <w:pPr>
        <w:pStyle w:val="Textonotapie"/>
      </w:pPr>
      <w:r>
        <w:rPr>
          <w:rStyle w:val="Refdenotaalpie"/>
        </w:rPr>
        <w:footnoteRef/>
      </w:r>
      <w:r>
        <w:t xml:space="preserve"> Alcance del Formato PbRM-04c, Manual para la Planeación, Programación y Presupuesto de Egresos Municipal para el Ejercicio Fiscal 2020.</w:t>
      </w:r>
    </w:p>
  </w:footnote>
  <w:footnote w:id="8">
    <w:p w14:paraId="47A8E09B" w14:textId="5F32AEB9" w:rsidR="002F7869" w:rsidRDefault="002F7869">
      <w:pPr>
        <w:pStyle w:val="Textonotapie"/>
      </w:pPr>
      <w:r>
        <w:rPr>
          <w:rStyle w:val="Refdenotaalpie"/>
        </w:rPr>
        <w:footnoteRef/>
      </w:r>
      <w:r>
        <w:t xml:space="preserve"> Artículo 4, Ley de Transparencia y Acceso a la Información Pública del Estado de México y Municipios.</w:t>
      </w:r>
    </w:p>
  </w:footnote>
  <w:footnote w:id="9">
    <w:p w14:paraId="62D17D44" w14:textId="16DFFAB7" w:rsidR="002F7869" w:rsidRDefault="002F7869">
      <w:pPr>
        <w:pStyle w:val="Textonotapie"/>
      </w:pPr>
      <w:r>
        <w:rPr>
          <w:rStyle w:val="Refdenotaalpie"/>
        </w:rPr>
        <w:footnoteRef/>
      </w:r>
      <w:r>
        <w:t xml:space="preserve"> Recuperado de:</w:t>
      </w:r>
    </w:p>
    <w:p w14:paraId="29A1EC0A" w14:textId="4FB4F844" w:rsidR="002F7869" w:rsidRDefault="00193B24">
      <w:pPr>
        <w:pStyle w:val="Textonotapie"/>
      </w:pPr>
      <w:hyperlink r:id="rId1" w:history="1">
        <w:r w:rsidR="002F7869" w:rsidRPr="00E44A60">
          <w:rPr>
            <w:rStyle w:val="Hipervnculo"/>
          </w:rPr>
          <w:t>https://www.dondehayferia.com/feria-ixtlahuaca-2018</w:t>
        </w:r>
      </w:hyperlink>
    </w:p>
    <w:p w14:paraId="39410F92" w14:textId="6DFA8D75" w:rsidR="002F7869" w:rsidRDefault="00193B24">
      <w:pPr>
        <w:pStyle w:val="Textonotapie"/>
      </w:pPr>
      <w:hyperlink r:id="rId2" w:history="1">
        <w:r w:rsidR="002F7869" w:rsidRPr="00E44A60">
          <w:rPr>
            <w:rStyle w:val="Hipervnculo"/>
          </w:rPr>
          <w:t>https://www.dondehayferia.com/feria-regional-ixtlahuaca-2017</w:t>
        </w:r>
      </w:hyperlink>
    </w:p>
    <w:p w14:paraId="30D3A3BC" w14:textId="77777777" w:rsidR="002F7869" w:rsidRDefault="002F7869">
      <w:pPr>
        <w:pStyle w:val="Textonotapie"/>
      </w:pPr>
    </w:p>
  </w:footnote>
  <w:footnote w:id="10">
    <w:p w14:paraId="43E531C0" w14:textId="7FE934C2" w:rsidR="002F7869" w:rsidRDefault="002F7869">
      <w:pPr>
        <w:pStyle w:val="Textonotapie"/>
      </w:pPr>
      <w:r>
        <w:rPr>
          <w:rStyle w:val="Refdenotaalpie"/>
        </w:rPr>
        <w:footnoteRef/>
      </w:r>
      <w:r>
        <w:t xml:space="preserve"> Artículo 93, Ley Orgánica Municipal del Estado de México.</w:t>
      </w:r>
    </w:p>
  </w:footnote>
  <w:footnote w:id="11">
    <w:p w14:paraId="66DB7655" w14:textId="02E4C661" w:rsidR="002F7869" w:rsidRDefault="002F7869">
      <w:pPr>
        <w:pStyle w:val="Textonotapie"/>
      </w:pPr>
      <w:r>
        <w:rPr>
          <w:rStyle w:val="Refdenotaalpie"/>
        </w:rPr>
        <w:footnoteRef/>
      </w:r>
      <w:r>
        <w:t xml:space="preserve"> Artículo 95, Ídem.</w:t>
      </w:r>
    </w:p>
  </w:footnote>
  <w:footnote w:id="12">
    <w:p w14:paraId="3D2ED6E7" w14:textId="2FC7E376" w:rsidR="002F7869" w:rsidRDefault="002F7869">
      <w:pPr>
        <w:pStyle w:val="Textonotapie"/>
      </w:pPr>
      <w:r>
        <w:rPr>
          <w:rStyle w:val="Refdenotaalpie"/>
        </w:rPr>
        <w:footnoteRef/>
      </w:r>
      <w:r>
        <w:t xml:space="preserve"> Artículo 3, Ley Federal de Juegos y Sorteos</w:t>
      </w:r>
    </w:p>
  </w:footnote>
  <w:footnote w:id="13">
    <w:p w14:paraId="120F2491" w14:textId="783F09B9" w:rsidR="002F7869" w:rsidRDefault="002F7869">
      <w:pPr>
        <w:pStyle w:val="Textonotapie"/>
      </w:pPr>
      <w:r>
        <w:rPr>
          <w:rStyle w:val="Refdenotaalpie"/>
        </w:rPr>
        <w:footnoteRef/>
      </w:r>
      <w:r>
        <w:t xml:space="preserve"> Artículo 4, Ley Federal de Juegos y Sorteos</w:t>
      </w:r>
    </w:p>
  </w:footnote>
  <w:footnote w:id="14">
    <w:p w14:paraId="29E893A6" w14:textId="60218472" w:rsidR="002F7869" w:rsidRDefault="002F7869">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EE2AD" w14:textId="79E05F8B" w:rsidR="002F7869" w:rsidRDefault="00193B24">
    <w:pPr>
      <w:pStyle w:val="Encabezado"/>
    </w:pPr>
    <w:r>
      <w:rPr>
        <w:noProof/>
        <w:lang w:eastAsia="es-MX"/>
      </w:rPr>
      <w:pict w14:anchorId="2FBE4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05125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0A5A3" w14:textId="30FB6505" w:rsidR="002F7869" w:rsidRDefault="00193B24">
    <w:pPr>
      <w:pStyle w:val="Encabezado"/>
    </w:pPr>
    <w:r>
      <w:rPr>
        <w:noProof/>
        <w:lang w:eastAsia="es-MX"/>
      </w:rPr>
      <w:pict w14:anchorId="375F4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05125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190F4565" w14:textId="77777777" w:rsidR="002F7869" w:rsidRDefault="002F7869"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85"/>
      <w:gridCol w:w="3912"/>
    </w:tblGrid>
    <w:tr w:rsidR="002F7869" w:rsidRPr="00EF13C1" w14:paraId="5DDE080A" w14:textId="77777777" w:rsidTr="00741E66">
      <w:trPr>
        <w:trHeight w:val="138"/>
      </w:trPr>
      <w:tc>
        <w:tcPr>
          <w:tcW w:w="2552" w:type="dxa"/>
          <w:gridSpan w:val="2"/>
          <w:vAlign w:val="center"/>
        </w:tcPr>
        <w:p w14:paraId="79E5EBBC" w14:textId="77777777" w:rsidR="002F7869" w:rsidRPr="00EF13C1" w:rsidRDefault="002F7869"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14:paraId="04918668" w14:textId="2A66ECAD" w:rsidR="002F7869" w:rsidRPr="005176BA" w:rsidRDefault="002F7869"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03693/INFOEM/IP/RR/2020</w:t>
          </w:r>
        </w:p>
      </w:tc>
    </w:tr>
    <w:tr w:rsidR="002F7869" w:rsidRPr="00EF13C1" w14:paraId="5ADACD4F" w14:textId="77777777" w:rsidTr="00787624">
      <w:trPr>
        <w:trHeight w:val="321"/>
      </w:trPr>
      <w:tc>
        <w:tcPr>
          <w:tcW w:w="2467" w:type="dxa"/>
          <w:vAlign w:val="center"/>
        </w:tcPr>
        <w:p w14:paraId="29E753AE" w14:textId="77777777" w:rsidR="002F7869" w:rsidRPr="00EF13C1" w:rsidRDefault="002F7869" w:rsidP="00E71454">
          <w:pPr>
            <w:rPr>
              <w:rFonts w:ascii="Palatino Linotype" w:hAnsi="Palatino Linotype"/>
              <w:b/>
              <w:sz w:val="22"/>
              <w:szCs w:val="22"/>
            </w:rPr>
          </w:pPr>
          <w:r w:rsidRPr="00EF13C1">
            <w:rPr>
              <w:rFonts w:ascii="Palatino Linotype" w:hAnsi="Palatino Linotype"/>
              <w:b/>
              <w:sz w:val="22"/>
              <w:szCs w:val="22"/>
            </w:rPr>
            <w:t>Sujeto obligado:</w:t>
          </w:r>
        </w:p>
      </w:tc>
      <w:tc>
        <w:tcPr>
          <w:tcW w:w="3997" w:type="dxa"/>
          <w:gridSpan w:val="2"/>
        </w:tcPr>
        <w:p w14:paraId="2A821134" w14:textId="562882A1" w:rsidR="002F7869" w:rsidRPr="00EF13C1" w:rsidRDefault="002F7869" w:rsidP="00E71454">
          <w:pPr>
            <w:pStyle w:val="Encabezado"/>
            <w:ind w:left="-165"/>
            <w:jc w:val="right"/>
            <w:rPr>
              <w:rFonts w:ascii="Palatino Linotype" w:hAnsi="Palatino Linotype"/>
              <w:b/>
              <w:sz w:val="22"/>
              <w:szCs w:val="22"/>
            </w:rPr>
          </w:pPr>
          <w:r w:rsidRPr="00E71454">
            <w:rPr>
              <w:rFonts w:ascii="Palatino Linotype" w:hAnsi="Palatino Linotype"/>
              <w:b/>
              <w:sz w:val="22"/>
              <w:szCs w:val="22"/>
            </w:rPr>
            <w:t>Ayuntamiento de Ixtlahuaca</w:t>
          </w:r>
        </w:p>
      </w:tc>
    </w:tr>
    <w:tr w:rsidR="002F7869" w:rsidRPr="00EF13C1" w14:paraId="6ED7F049" w14:textId="77777777" w:rsidTr="00741E66">
      <w:trPr>
        <w:trHeight w:val="321"/>
      </w:trPr>
      <w:tc>
        <w:tcPr>
          <w:tcW w:w="2552" w:type="dxa"/>
          <w:gridSpan w:val="2"/>
          <w:vAlign w:val="center"/>
        </w:tcPr>
        <w:p w14:paraId="17032C3D" w14:textId="77777777" w:rsidR="002F7869" w:rsidRPr="00EF13C1" w:rsidRDefault="002F7869"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14:paraId="6FC4E025" w14:textId="77777777" w:rsidR="002F7869" w:rsidRPr="00EF13C1" w:rsidRDefault="002F7869"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D2A22AB" w14:textId="77777777" w:rsidR="002F7869" w:rsidRDefault="002F7869"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20F69" w14:textId="5D8CA4DE" w:rsidR="002F7869" w:rsidRDefault="00193B24" w:rsidP="009A4582">
    <w:pPr>
      <w:pStyle w:val="Encabezado"/>
      <w:tabs>
        <w:tab w:val="left" w:pos="3103"/>
      </w:tabs>
    </w:pPr>
    <w:r>
      <w:rPr>
        <w:noProof/>
        <w:lang w:eastAsia="es-MX"/>
      </w:rPr>
      <w:pict w14:anchorId="779DC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05125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F7869">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5"/>
    </w:tblGrid>
    <w:tr w:rsidR="002F7869" w:rsidRPr="005176BA" w14:paraId="280D1477" w14:textId="77777777" w:rsidTr="00787624">
      <w:trPr>
        <w:trHeight w:val="142"/>
      </w:trPr>
      <w:tc>
        <w:tcPr>
          <w:tcW w:w="2405" w:type="dxa"/>
          <w:shd w:val="clear" w:color="auto" w:fill="FFFFFF" w:themeFill="background1"/>
        </w:tcPr>
        <w:p w14:paraId="4AC6289A" w14:textId="77777777" w:rsidR="002F7869" w:rsidRPr="005176BA" w:rsidRDefault="002F7869" w:rsidP="005176BA">
          <w:pPr>
            <w:rPr>
              <w:rFonts w:ascii="Palatino Linotype" w:hAnsi="Palatino Linotype"/>
              <w:b/>
            </w:rPr>
          </w:pPr>
          <w:r w:rsidRPr="005176BA">
            <w:rPr>
              <w:rFonts w:ascii="Palatino Linotype" w:hAnsi="Palatino Linotype"/>
              <w:b/>
            </w:rPr>
            <w:t>Recurso de revisión:</w:t>
          </w:r>
        </w:p>
      </w:tc>
      <w:tc>
        <w:tcPr>
          <w:tcW w:w="4115" w:type="dxa"/>
          <w:shd w:val="clear" w:color="auto" w:fill="FFFFFF" w:themeFill="background1"/>
        </w:tcPr>
        <w:p w14:paraId="2F1086B8" w14:textId="66A69FA6" w:rsidR="002F7869" w:rsidRPr="005176BA" w:rsidRDefault="002F7869" w:rsidP="00F40914">
          <w:pPr>
            <w:jc w:val="right"/>
            <w:rPr>
              <w:rFonts w:ascii="Palatino Linotype" w:hAnsi="Palatino Linotype"/>
              <w:b/>
            </w:rPr>
          </w:pPr>
          <w:r>
            <w:rPr>
              <w:rFonts w:ascii="Palatino Linotype" w:hAnsi="Palatino Linotype" w:cs="Arial"/>
              <w:b/>
              <w:bCs/>
              <w:lang w:eastAsia="es-MX"/>
            </w:rPr>
            <w:t>03693/INFOEM/IP/RR/2020</w:t>
          </w:r>
        </w:p>
      </w:tc>
    </w:tr>
    <w:tr w:rsidR="002F7869" w:rsidRPr="005176BA" w14:paraId="7BC6782F" w14:textId="77777777" w:rsidTr="00787624">
      <w:tc>
        <w:tcPr>
          <w:tcW w:w="2405" w:type="dxa"/>
          <w:shd w:val="clear" w:color="auto" w:fill="FFFFFF" w:themeFill="background1"/>
        </w:tcPr>
        <w:p w14:paraId="18D6E7FC" w14:textId="77777777" w:rsidR="002F7869" w:rsidRPr="005176BA" w:rsidRDefault="002F7869" w:rsidP="005176BA">
          <w:pPr>
            <w:rPr>
              <w:rFonts w:ascii="Palatino Linotype" w:hAnsi="Palatino Linotype"/>
              <w:b/>
            </w:rPr>
          </w:pPr>
          <w:r w:rsidRPr="005176BA">
            <w:rPr>
              <w:rFonts w:ascii="Palatino Linotype" w:hAnsi="Palatino Linotype"/>
              <w:b/>
            </w:rPr>
            <w:t>Recurrente:</w:t>
          </w:r>
        </w:p>
      </w:tc>
      <w:tc>
        <w:tcPr>
          <w:tcW w:w="4115" w:type="dxa"/>
          <w:shd w:val="clear" w:color="auto" w:fill="FFFFFF" w:themeFill="background1"/>
        </w:tcPr>
        <w:p w14:paraId="078E5E5B" w14:textId="62A86C48" w:rsidR="002F7869" w:rsidRPr="0038737F" w:rsidRDefault="002F7869" w:rsidP="00F40914">
          <w:pPr>
            <w:jc w:val="right"/>
            <w:rPr>
              <w:rFonts w:ascii="Palatino Linotype" w:hAnsi="Palatino Linotype"/>
              <w:b/>
            </w:rPr>
          </w:pPr>
          <w:r w:rsidRPr="002F7869">
            <w:rPr>
              <w:rFonts w:ascii="Palatino Linotype" w:hAnsi="Palatino Linotype"/>
              <w:b/>
              <w:highlight w:val="black"/>
            </w:rPr>
            <w:t>---------------------------------------</w:t>
          </w:r>
        </w:p>
      </w:tc>
    </w:tr>
    <w:tr w:rsidR="002F7869" w:rsidRPr="005176BA" w14:paraId="23F98684" w14:textId="77777777" w:rsidTr="00787624">
      <w:tc>
        <w:tcPr>
          <w:tcW w:w="2405" w:type="dxa"/>
          <w:shd w:val="clear" w:color="auto" w:fill="FFFFFF" w:themeFill="background1"/>
        </w:tcPr>
        <w:p w14:paraId="07FDACF2" w14:textId="77777777" w:rsidR="002F7869" w:rsidRPr="005176BA" w:rsidRDefault="002F7869" w:rsidP="005176BA">
          <w:pPr>
            <w:rPr>
              <w:rFonts w:ascii="Palatino Linotype" w:hAnsi="Palatino Linotype"/>
              <w:b/>
            </w:rPr>
          </w:pPr>
          <w:r w:rsidRPr="005176BA">
            <w:rPr>
              <w:rFonts w:ascii="Palatino Linotype" w:hAnsi="Palatino Linotype"/>
              <w:b/>
            </w:rPr>
            <w:t>Sujeto Obligado:</w:t>
          </w:r>
        </w:p>
      </w:tc>
      <w:tc>
        <w:tcPr>
          <w:tcW w:w="4115" w:type="dxa"/>
          <w:shd w:val="clear" w:color="auto" w:fill="FFFFFF" w:themeFill="background1"/>
        </w:tcPr>
        <w:p w14:paraId="29E07BC9" w14:textId="422EA6D0" w:rsidR="002F7869" w:rsidRPr="005176BA" w:rsidRDefault="002F7869" w:rsidP="00254283">
          <w:pPr>
            <w:jc w:val="right"/>
            <w:rPr>
              <w:rFonts w:ascii="Palatino Linotype" w:hAnsi="Palatino Linotype"/>
              <w:b/>
            </w:rPr>
          </w:pPr>
          <w:r w:rsidRPr="00E71454">
            <w:rPr>
              <w:rFonts w:ascii="Palatino Linotype" w:hAnsi="Palatino Linotype"/>
              <w:b/>
            </w:rPr>
            <w:t>Ayuntamiento de Ixtlahuaca</w:t>
          </w:r>
        </w:p>
      </w:tc>
    </w:tr>
    <w:tr w:rsidR="002F7869" w:rsidRPr="005176BA" w14:paraId="03DDF8AC" w14:textId="77777777" w:rsidTr="00787624">
      <w:tc>
        <w:tcPr>
          <w:tcW w:w="2405" w:type="dxa"/>
          <w:shd w:val="clear" w:color="auto" w:fill="FFFFFF" w:themeFill="background1"/>
        </w:tcPr>
        <w:p w14:paraId="36AA4E25" w14:textId="77777777" w:rsidR="002F7869" w:rsidRPr="005176BA" w:rsidRDefault="002F7869" w:rsidP="005176BA">
          <w:pPr>
            <w:rPr>
              <w:rFonts w:ascii="Palatino Linotype" w:hAnsi="Palatino Linotype"/>
              <w:b/>
            </w:rPr>
          </w:pPr>
          <w:r w:rsidRPr="005176BA">
            <w:rPr>
              <w:rFonts w:ascii="Palatino Linotype" w:hAnsi="Palatino Linotype"/>
              <w:b/>
            </w:rPr>
            <w:t xml:space="preserve">Comisionado ponente: </w:t>
          </w:r>
        </w:p>
      </w:tc>
      <w:tc>
        <w:tcPr>
          <w:tcW w:w="4115" w:type="dxa"/>
          <w:shd w:val="clear" w:color="auto" w:fill="FFFFFF" w:themeFill="background1"/>
        </w:tcPr>
        <w:p w14:paraId="3E84B343" w14:textId="281E30BC" w:rsidR="002F7869" w:rsidRPr="005176BA" w:rsidRDefault="002F7869" w:rsidP="00F40914">
          <w:pPr>
            <w:jc w:val="right"/>
            <w:rPr>
              <w:rFonts w:ascii="Palatino Linotype" w:hAnsi="Palatino Linotype"/>
              <w:b/>
            </w:rPr>
          </w:pPr>
          <w:r w:rsidRPr="005176BA">
            <w:rPr>
              <w:rFonts w:ascii="Palatino Linotype" w:hAnsi="Palatino Linotype"/>
              <w:b/>
            </w:rPr>
            <w:t xml:space="preserve">José Guadalupe Luna Hernández </w:t>
          </w:r>
        </w:p>
      </w:tc>
    </w:tr>
  </w:tbl>
  <w:p w14:paraId="75997E1A" w14:textId="77777777" w:rsidR="002F7869" w:rsidRDefault="002F7869"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2268"/>
        </w:tabs>
        <w:ind w:left="2268"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F38F2"/>
    <w:multiLevelType w:val="hybridMultilevel"/>
    <w:tmpl w:val="A1B8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0C053A"/>
    <w:multiLevelType w:val="hybridMultilevel"/>
    <w:tmpl w:val="8080385C"/>
    <w:lvl w:ilvl="0" w:tplc="6D1A1C9E">
      <w:start w:val="1"/>
      <w:numFmt w:val="decimal"/>
      <w:lvlText w:val="%1."/>
      <w:lvlJc w:val="left"/>
      <w:pPr>
        <w:ind w:left="927" w:hanging="360"/>
      </w:pPr>
      <w:rPr>
        <w:rFonts w:hint="default"/>
        <w:sz w:val="24"/>
        <w:szCs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51223F"/>
    <w:multiLevelType w:val="hybridMultilevel"/>
    <w:tmpl w:val="39E0B190"/>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6F5A6F02">
      <w:start w:val="1"/>
      <w:numFmt w:val="lowerRoman"/>
      <w:lvlText w:val="%3."/>
      <w:lvlJc w:val="right"/>
      <w:pPr>
        <w:ind w:left="2160" w:hanging="180"/>
      </w:pPr>
      <w:rPr>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0300342"/>
    <w:multiLevelType w:val="hybridMultilevel"/>
    <w:tmpl w:val="8B968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1B7B99"/>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39E19F6"/>
    <w:multiLevelType w:val="hybridMultilevel"/>
    <w:tmpl w:val="909E80EE"/>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954D46"/>
    <w:multiLevelType w:val="hybridMultilevel"/>
    <w:tmpl w:val="7CC4D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731D20"/>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17490"/>
    <w:multiLevelType w:val="hybridMultilevel"/>
    <w:tmpl w:val="714A9D52"/>
    <w:lvl w:ilvl="0" w:tplc="A5506610">
      <w:start w:val="1"/>
      <w:numFmt w:val="decimal"/>
      <w:lvlText w:val="%1."/>
      <w:lvlJc w:val="left"/>
      <w:pPr>
        <w:ind w:left="36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b/>
        <w:bCs/>
      </w:rPr>
    </w:lvl>
    <w:lvl w:ilvl="2" w:tplc="5D46B248">
      <w:start w:val="1"/>
      <w:numFmt w:val="lowerRoman"/>
      <w:lvlText w:val="%3."/>
      <w:lvlJc w:val="righ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F758E9"/>
    <w:multiLevelType w:val="hybridMultilevel"/>
    <w:tmpl w:val="0DE20550"/>
    <w:lvl w:ilvl="0" w:tplc="98D82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39750262"/>
    <w:multiLevelType w:val="hybridMultilevel"/>
    <w:tmpl w:val="0C28B45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4D5BF6"/>
    <w:multiLevelType w:val="hybridMultilevel"/>
    <w:tmpl w:val="ACE8AD2A"/>
    <w:lvl w:ilvl="0" w:tplc="CBC8449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D9065F7"/>
    <w:multiLevelType w:val="hybridMultilevel"/>
    <w:tmpl w:val="EAA6A6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E63BD4"/>
    <w:multiLevelType w:val="hybridMultilevel"/>
    <w:tmpl w:val="BABC309E"/>
    <w:lvl w:ilvl="0" w:tplc="13FE580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9317CA"/>
    <w:multiLevelType w:val="hybridMultilevel"/>
    <w:tmpl w:val="A474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D102EE"/>
    <w:multiLevelType w:val="hybridMultilevel"/>
    <w:tmpl w:val="19C4B4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9"/>
  </w:num>
  <w:num w:numId="3">
    <w:abstractNumId w:val="33"/>
  </w:num>
  <w:num w:numId="4">
    <w:abstractNumId w:val="15"/>
  </w:num>
  <w:num w:numId="5">
    <w:abstractNumId w:val="1"/>
  </w:num>
  <w:num w:numId="6">
    <w:abstractNumId w:val="0"/>
  </w:num>
  <w:num w:numId="7">
    <w:abstractNumId w:val="22"/>
  </w:num>
  <w:num w:numId="8">
    <w:abstractNumId w:val="36"/>
  </w:num>
  <w:num w:numId="9">
    <w:abstractNumId w:val="2"/>
  </w:num>
  <w:num w:numId="10">
    <w:abstractNumId w:val="35"/>
  </w:num>
  <w:num w:numId="11">
    <w:abstractNumId w:val="34"/>
  </w:num>
  <w:num w:numId="12">
    <w:abstractNumId w:val="39"/>
  </w:num>
  <w:num w:numId="13">
    <w:abstractNumId w:val="6"/>
  </w:num>
  <w:num w:numId="14">
    <w:abstractNumId w:val="32"/>
  </w:num>
  <w:num w:numId="15">
    <w:abstractNumId w:val="8"/>
  </w:num>
  <w:num w:numId="16">
    <w:abstractNumId w:val="38"/>
  </w:num>
  <w:num w:numId="17">
    <w:abstractNumId w:val="26"/>
  </w:num>
  <w:num w:numId="18">
    <w:abstractNumId w:val="16"/>
  </w:num>
  <w:num w:numId="19">
    <w:abstractNumId w:val="17"/>
  </w:num>
  <w:num w:numId="20">
    <w:abstractNumId w:val="2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8"/>
  </w:num>
  <w:num w:numId="24">
    <w:abstractNumId w:val="31"/>
  </w:num>
  <w:num w:numId="25">
    <w:abstractNumId w:val="21"/>
  </w:num>
  <w:num w:numId="26">
    <w:abstractNumId w:val="9"/>
  </w:num>
  <w:num w:numId="27">
    <w:abstractNumId w:val="11"/>
  </w:num>
  <w:num w:numId="28">
    <w:abstractNumId w:val="14"/>
  </w:num>
  <w:num w:numId="29">
    <w:abstractNumId w:val="40"/>
  </w:num>
  <w:num w:numId="30">
    <w:abstractNumId w:val="3"/>
  </w:num>
  <w:num w:numId="31">
    <w:abstractNumId w:val="28"/>
  </w:num>
  <w:num w:numId="32">
    <w:abstractNumId w:val="20"/>
  </w:num>
  <w:num w:numId="33">
    <w:abstractNumId w:val="29"/>
  </w:num>
  <w:num w:numId="34">
    <w:abstractNumId w:val="5"/>
  </w:num>
  <w:num w:numId="35">
    <w:abstractNumId w:val="24"/>
  </w:num>
  <w:num w:numId="36">
    <w:abstractNumId w:val="30"/>
  </w:num>
  <w:num w:numId="37">
    <w:abstractNumId w:val="7"/>
  </w:num>
  <w:num w:numId="38">
    <w:abstractNumId w:val="10"/>
  </w:num>
  <w:num w:numId="39">
    <w:abstractNumId w:val="23"/>
  </w:num>
  <w:num w:numId="40">
    <w:abstractNumId w:val="13"/>
  </w:num>
  <w:num w:numId="41">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C9C"/>
    <w:rsid w:val="00003F73"/>
    <w:rsid w:val="00006578"/>
    <w:rsid w:val="00010318"/>
    <w:rsid w:val="000112B8"/>
    <w:rsid w:val="000130C2"/>
    <w:rsid w:val="00017C23"/>
    <w:rsid w:val="000200E0"/>
    <w:rsid w:val="000201D1"/>
    <w:rsid w:val="000208ED"/>
    <w:rsid w:val="00022852"/>
    <w:rsid w:val="00033641"/>
    <w:rsid w:val="00036186"/>
    <w:rsid w:val="0003652E"/>
    <w:rsid w:val="00036990"/>
    <w:rsid w:val="000371C6"/>
    <w:rsid w:val="00037311"/>
    <w:rsid w:val="0003744D"/>
    <w:rsid w:val="0004167E"/>
    <w:rsid w:val="00050177"/>
    <w:rsid w:val="00050285"/>
    <w:rsid w:val="000505CB"/>
    <w:rsid w:val="0005130C"/>
    <w:rsid w:val="00056204"/>
    <w:rsid w:val="000571D7"/>
    <w:rsid w:val="00060857"/>
    <w:rsid w:val="00061F4F"/>
    <w:rsid w:val="000628ED"/>
    <w:rsid w:val="000631A9"/>
    <w:rsid w:val="00064872"/>
    <w:rsid w:val="0007062A"/>
    <w:rsid w:val="00071E5C"/>
    <w:rsid w:val="00072EFA"/>
    <w:rsid w:val="00072F7D"/>
    <w:rsid w:val="00073297"/>
    <w:rsid w:val="00073E49"/>
    <w:rsid w:val="000753C0"/>
    <w:rsid w:val="00075BC9"/>
    <w:rsid w:val="00076075"/>
    <w:rsid w:val="00077233"/>
    <w:rsid w:val="000838EF"/>
    <w:rsid w:val="00083E35"/>
    <w:rsid w:val="000845C6"/>
    <w:rsid w:val="00084DF9"/>
    <w:rsid w:val="00084FCB"/>
    <w:rsid w:val="00087D6E"/>
    <w:rsid w:val="0009188D"/>
    <w:rsid w:val="00092399"/>
    <w:rsid w:val="00092435"/>
    <w:rsid w:val="0009442B"/>
    <w:rsid w:val="000966F8"/>
    <w:rsid w:val="00096DE1"/>
    <w:rsid w:val="000A3C1D"/>
    <w:rsid w:val="000A4EA1"/>
    <w:rsid w:val="000A5860"/>
    <w:rsid w:val="000A7C35"/>
    <w:rsid w:val="000A7D5D"/>
    <w:rsid w:val="000B155B"/>
    <w:rsid w:val="000B15B7"/>
    <w:rsid w:val="000B2C8C"/>
    <w:rsid w:val="000B2EAF"/>
    <w:rsid w:val="000B3229"/>
    <w:rsid w:val="000B336A"/>
    <w:rsid w:val="000B5A4C"/>
    <w:rsid w:val="000B5EB7"/>
    <w:rsid w:val="000C61F5"/>
    <w:rsid w:val="000C66EA"/>
    <w:rsid w:val="000C6868"/>
    <w:rsid w:val="000C788D"/>
    <w:rsid w:val="000D1329"/>
    <w:rsid w:val="000D1D31"/>
    <w:rsid w:val="000D2150"/>
    <w:rsid w:val="000D25F2"/>
    <w:rsid w:val="000D3EF1"/>
    <w:rsid w:val="000E210B"/>
    <w:rsid w:val="000E49B5"/>
    <w:rsid w:val="000E4A12"/>
    <w:rsid w:val="000E5BBE"/>
    <w:rsid w:val="000F0F94"/>
    <w:rsid w:val="000F1CC9"/>
    <w:rsid w:val="000F2441"/>
    <w:rsid w:val="000F3365"/>
    <w:rsid w:val="000F36FA"/>
    <w:rsid w:val="000F3773"/>
    <w:rsid w:val="000F4901"/>
    <w:rsid w:val="000F545A"/>
    <w:rsid w:val="00100DEF"/>
    <w:rsid w:val="00101818"/>
    <w:rsid w:val="00101D13"/>
    <w:rsid w:val="00104A75"/>
    <w:rsid w:val="00104BC4"/>
    <w:rsid w:val="00104F32"/>
    <w:rsid w:val="00104F67"/>
    <w:rsid w:val="001052E8"/>
    <w:rsid w:val="00106806"/>
    <w:rsid w:val="00107729"/>
    <w:rsid w:val="00107A21"/>
    <w:rsid w:val="00110938"/>
    <w:rsid w:val="00110A90"/>
    <w:rsid w:val="0011115A"/>
    <w:rsid w:val="001112B5"/>
    <w:rsid w:val="00114D5F"/>
    <w:rsid w:val="0011548C"/>
    <w:rsid w:val="0011594D"/>
    <w:rsid w:val="00117516"/>
    <w:rsid w:val="001206F4"/>
    <w:rsid w:val="00124119"/>
    <w:rsid w:val="0012566C"/>
    <w:rsid w:val="00130749"/>
    <w:rsid w:val="00131C6F"/>
    <w:rsid w:val="00133663"/>
    <w:rsid w:val="00133E2F"/>
    <w:rsid w:val="0013576C"/>
    <w:rsid w:val="00135AAB"/>
    <w:rsid w:val="00140674"/>
    <w:rsid w:val="00141821"/>
    <w:rsid w:val="00141BDA"/>
    <w:rsid w:val="001421D1"/>
    <w:rsid w:val="00143016"/>
    <w:rsid w:val="00143CA1"/>
    <w:rsid w:val="00145E3E"/>
    <w:rsid w:val="00146414"/>
    <w:rsid w:val="00147141"/>
    <w:rsid w:val="00151E30"/>
    <w:rsid w:val="00152A54"/>
    <w:rsid w:val="00152B52"/>
    <w:rsid w:val="00152C81"/>
    <w:rsid w:val="00153924"/>
    <w:rsid w:val="0015629F"/>
    <w:rsid w:val="0016001E"/>
    <w:rsid w:val="00160C41"/>
    <w:rsid w:val="00161FA6"/>
    <w:rsid w:val="00163316"/>
    <w:rsid w:val="001655F5"/>
    <w:rsid w:val="001656F1"/>
    <w:rsid w:val="00167344"/>
    <w:rsid w:val="0017140F"/>
    <w:rsid w:val="00174971"/>
    <w:rsid w:val="001750B7"/>
    <w:rsid w:val="00177281"/>
    <w:rsid w:val="00177F43"/>
    <w:rsid w:val="00181E44"/>
    <w:rsid w:val="00186301"/>
    <w:rsid w:val="0019022A"/>
    <w:rsid w:val="00190B36"/>
    <w:rsid w:val="00193B24"/>
    <w:rsid w:val="00196B6A"/>
    <w:rsid w:val="0019761F"/>
    <w:rsid w:val="001A5BAD"/>
    <w:rsid w:val="001B12E8"/>
    <w:rsid w:val="001B28F9"/>
    <w:rsid w:val="001B3A28"/>
    <w:rsid w:val="001B44B7"/>
    <w:rsid w:val="001B4876"/>
    <w:rsid w:val="001B625E"/>
    <w:rsid w:val="001C00DB"/>
    <w:rsid w:val="001C18D2"/>
    <w:rsid w:val="001C263E"/>
    <w:rsid w:val="001C4776"/>
    <w:rsid w:val="001C487F"/>
    <w:rsid w:val="001C516D"/>
    <w:rsid w:val="001C537E"/>
    <w:rsid w:val="001C6D03"/>
    <w:rsid w:val="001D01D3"/>
    <w:rsid w:val="001D03B2"/>
    <w:rsid w:val="001D1238"/>
    <w:rsid w:val="001D1D31"/>
    <w:rsid w:val="001D4672"/>
    <w:rsid w:val="001D4927"/>
    <w:rsid w:val="001D6E38"/>
    <w:rsid w:val="001D6F26"/>
    <w:rsid w:val="001E0E1E"/>
    <w:rsid w:val="001E242A"/>
    <w:rsid w:val="001E4B71"/>
    <w:rsid w:val="001E4EF4"/>
    <w:rsid w:val="001E63EE"/>
    <w:rsid w:val="001E679F"/>
    <w:rsid w:val="001E7650"/>
    <w:rsid w:val="001F2E00"/>
    <w:rsid w:val="001F4C0C"/>
    <w:rsid w:val="001F5DBD"/>
    <w:rsid w:val="001F6670"/>
    <w:rsid w:val="00200794"/>
    <w:rsid w:val="002018E8"/>
    <w:rsid w:val="00201BF3"/>
    <w:rsid w:val="00201CDE"/>
    <w:rsid w:val="00201EDF"/>
    <w:rsid w:val="00201F41"/>
    <w:rsid w:val="00202E6A"/>
    <w:rsid w:val="002038F4"/>
    <w:rsid w:val="00205BAD"/>
    <w:rsid w:val="0020741E"/>
    <w:rsid w:val="00210A6F"/>
    <w:rsid w:val="00210C2B"/>
    <w:rsid w:val="00211B1B"/>
    <w:rsid w:val="002123CB"/>
    <w:rsid w:val="00213827"/>
    <w:rsid w:val="00216FB6"/>
    <w:rsid w:val="002170B1"/>
    <w:rsid w:val="00220CA4"/>
    <w:rsid w:val="002237A8"/>
    <w:rsid w:val="00226963"/>
    <w:rsid w:val="002277E8"/>
    <w:rsid w:val="00232FEC"/>
    <w:rsid w:val="00233A15"/>
    <w:rsid w:val="00234EBF"/>
    <w:rsid w:val="00235CAA"/>
    <w:rsid w:val="0023622E"/>
    <w:rsid w:val="0023760B"/>
    <w:rsid w:val="00240779"/>
    <w:rsid w:val="0024202C"/>
    <w:rsid w:val="00244765"/>
    <w:rsid w:val="0024486E"/>
    <w:rsid w:val="00246E0F"/>
    <w:rsid w:val="0025061A"/>
    <w:rsid w:val="00254283"/>
    <w:rsid w:val="002567C9"/>
    <w:rsid w:val="00260A26"/>
    <w:rsid w:val="00261185"/>
    <w:rsid w:val="002640DE"/>
    <w:rsid w:val="0026441B"/>
    <w:rsid w:val="00267B6F"/>
    <w:rsid w:val="002704F5"/>
    <w:rsid w:val="0027056C"/>
    <w:rsid w:val="00273142"/>
    <w:rsid w:val="00273AAB"/>
    <w:rsid w:val="00274152"/>
    <w:rsid w:val="00274C4E"/>
    <w:rsid w:val="00275DCC"/>
    <w:rsid w:val="00275FB3"/>
    <w:rsid w:val="0027789C"/>
    <w:rsid w:val="002811EE"/>
    <w:rsid w:val="0028241C"/>
    <w:rsid w:val="00285900"/>
    <w:rsid w:val="00291D12"/>
    <w:rsid w:val="00291EC4"/>
    <w:rsid w:val="002921DD"/>
    <w:rsid w:val="002953C4"/>
    <w:rsid w:val="0029642C"/>
    <w:rsid w:val="00297587"/>
    <w:rsid w:val="002A1452"/>
    <w:rsid w:val="002A16FE"/>
    <w:rsid w:val="002A17EE"/>
    <w:rsid w:val="002A38B7"/>
    <w:rsid w:val="002A5A66"/>
    <w:rsid w:val="002A6380"/>
    <w:rsid w:val="002A646F"/>
    <w:rsid w:val="002B18B0"/>
    <w:rsid w:val="002B44C4"/>
    <w:rsid w:val="002B64FF"/>
    <w:rsid w:val="002B6EA6"/>
    <w:rsid w:val="002B6FAB"/>
    <w:rsid w:val="002B7631"/>
    <w:rsid w:val="002B77DD"/>
    <w:rsid w:val="002B7F54"/>
    <w:rsid w:val="002C5C97"/>
    <w:rsid w:val="002C6556"/>
    <w:rsid w:val="002C6BBC"/>
    <w:rsid w:val="002D1047"/>
    <w:rsid w:val="002D16F1"/>
    <w:rsid w:val="002D7A3C"/>
    <w:rsid w:val="002E0764"/>
    <w:rsid w:val="002E11E6"/>
    <w:rsid w:val="002E2087"/>
    <w:rsid w:val="002E68A2"/>
    <w:rsid w:val="002E7B04"/>
    <w:rsid w:val="002F3433"/>
    <w:rsid w:val="002F3BFA"/>
    <w:rsid w:val="002F4300"/>
    <w:rsid w:val="002F5B0C"/>
    <w:rsid w:val="002F7869"/>
    <w:rsid w:val="003003FF"/>
    <w:rsid w:val="00301311"/>
    <w:rsid w:val="00303A99"/>
    <w:rsid w:val="003040B9"/>
    <w:rsid w:val="0030413B"/>
    <w:rsid w:val="003044DA"/>
    <w:rsid w:val="00306048"/>
    <w:rsid w:val="00307FE7"/>
    <w:rsid w:val="00313ECC"/>
    <w:rsid w:val="00314F26"/>
    <w:rsid w:val="00315476"/>
    <w:rsid w:val="00315BF5"/>
    <w:rsid w:val="003162D6"/>
    <w:rsid w:val="003202E9"/>
    <w:rsid w:val="003222D0"/>
    <w:rsid w:val="003231CB"/>
    <w:rsid w:val="0032356A"/>
    <w:rsid w:val="00323F76"/>
    <w:rsid w:val="0032530A"/>
    <w:rsid w:val="00326D55"/>
    <w:rsid w:val="00327AF8"/>
    <w:rsid w:val="00327F6E"/>
    <w:rsid w:val="003313A9"/>
    <w:rsid w:val="003354FC"/>
    <w:rsid w:val="00336C1B"/>
    <w:rsid w:val="00342CC4"/>
    <w:rsid w:val="003471FE"/>
    <w:rsid w:val="0034797B"/>
    <w:rsid w:val="00351415"/>
    <w:rsid w:val="00351579"/>
    <w:rsid w:val="00354158"/>
    <w:rsid w:val="00354999"/>
    <w:rsid w:val="0035601C"/>
    <w:rsid w:val="00357179"/>
    <w:rsid w:val="00357A58"/>
    <w:rsid w:val="00360335"/>
    <w:rsid w:val="0036142D"/>
    <w:rsid w:val="00361944"/>
    <w:rsid w:val="003628D9"/>
    <w:rsid w:val="003664B3"/>
    <w:rsid w:val="00366B82"/>
    <w:rsid w:val="00366DAB"/>
    <w:rsid w:val="0037219D"/>
    <w:rsid w:val="0037277E"/>
    <w:rsid w:val="00374179"/>
    <w:rsid w:val="00375752"/>
    <w:rsid w:val="003759D5"/>
    <w:rsid w:val="003762BD"/>
    <w:rsid w:val="00376C60"/>
    <w:rsid w:val="0037797F"/>
    <w:rsid w:val="00381802"/>
    <w:rsid w:val="00381A20"/>
    <w:rsid w:val="00382836"/>
    <w:rsid w:val="00382BC1"/>
    <w:rsid w:val="00383D80"/>
    <w:rsid w:val="00385E76"/>
    <w:rsid w:val="0038737F"/>
    <w:rsid w:val="00387F22"/>
    <w:rsid w:val="00390F92"/>
    <w:rsid w:val="00392969"/>
    <w:rsid w:val="00395964"/>
    <w:rsid w:val="003A4137"/>
    <w:rsid w:val="003A623D"/>
    <w:rsid w:val="003A629F"/>
    <w:rsid w:val="003A6D6B"/>
    <w:rsid w:val="003A6E9C"/>
    <w:rsid w:val="003A7685"/>
    <w:rsid w:val="003B263E"/>
    <w:rsid w:val="003B2671"/>
    <w:rsid w:val="003B4437"/>
    <w:rsid w:val="003B571D"/>
    <w:rsid w:val="003B5F5E"/>
    <w:rsid w:val="003B64CD"/>
    <w:rsid w:val="003B69DE"/>
    <w:rsid w:val="003B6F84"/>
    <w:rsid w:val="003C27E0"/>
    <w:rsid w:val="003C3CD5"/>
    <w:rsid w:val="003C780C"/>
    <w:rsid w:val="003C7BBB"/>
    <w:rsid w:val="003D04A4"/>
    <w:rsid w:val="003D2599"/>
    <w:rsid w:val="003D424F"/>
    <w:rsid w:val="003D4338"/>
    <w:rsid w:val="003D63CC"/>
    <w:rsid w:val="003D6D54"/>
    <w:rsid w:val="003E0388"/>
    <w:rsid w:val="003E1440"/>
    <w:rsid w:val="003E1D7A"/>
    <w:rsid w:val="003E316A"/>
    <w:rsid w:val="003E34B5"/>
    <w:rsid w:val="003E4138"/>
    <w:rsid w:val="003E585E"/>
    <w:rsid w:val="003E6B82"/>
    <w:rsid w:val="003F0067"/>
    <w:rsid w:val="003F0B8E"/>
    <w:rsid w:val="003F2187"/>
    <w:rsid w:val="003F3247"/>
    <w:rsid w:val="003F3FDE"/>
    <w:rsid w:val="003F4348"/>
    <w:rsid w:val="003F57ED"/>
    <w:rsid w:val="003F590D"/>
    <w:rsid w:val="003F6346"/>
    <w:rsid w:val="00400BAD"/>
    <w:rsid w:val="0040151F"/>
    <w:rsid w:val="00402909"/>
    <w:rsid w:val="00404C2B"/>
    <w:rsid w:val="0040514C"/>
    <w:rsid w:val="004068F4"/>
    <w:rsid w:val="00415B60"/>
    <w:rsid w:val="0041783C"/>
    <w:rsid w:val="0042167E"/>
    <w:rsid w:val="00424B10"/>
    <w:rsid w:val="00431247"/>
    <w:rsid w:val="0043409C"/>
    <w:rsid w:val="0043504A"/>
    <w:rsid w:val="00435071"/>
    <w:rsid w:val="0043741D"/>
    <w:rsid w:val="004374EE"/>
    <w:rsid w:val="004420A8"/>
    <w:rsid w:val="00444C3E"/>
    <w:rsid w:val="004460F0"/>
    <w:rsid w:val="00450D60"/>
    <w:rsid w:val="00451BB3"/>
    <w:rsid w:val="00452DD1"/>
    <w:rsid w:val="00453580"/>
    <w:rsid w:val="00454AFA"/>
    <w:rsid w:val="00456131"/>
    <w:rsid w:val="0045789A"/>
    <w:rsid w:val="004605D3"/>
    <w:rsid w:val="00462961"/>
    <w:rsid w:val="00464173"/>
    <w:rsid w:val="004646D9"/>
    <w:rsid w:val="004652CC"/>
    <w:rsid w:val="004653A7"/>
    <w:rsid w:val="004660AA"/>
    <w:rsid w:val="00467C1C"/>
    <w:rsid w:val="00474E0F"/>
    <w:rsid w:val="004762CF"/>
    <w:rsid w:val="00482151"/>
    <w:rsid w:val="00482C7F"/>
    <w:rsid w:val="004835DC"/>
    <w:rsid w:val="004843F2"/>
    <w:rsid w:val="00485E23"/>
    <w:rsid w:val="004862AE"/>
    <w:rsid w:val="00490291"/>
    <w:rsid w:val="0049249E"/>
    <w:rsid w:val="00493730"/>
    <w:rsid w:val="004937AB"/>
    <w:rsid w:val="004952EB"/>
    <w:rsid w:val="00495F9A"/>
    <w:rsid w:val="004A04FC"/>
    <w:rsid w:val="004A1681"/>
    <w:rsid w:val="004A2FBC"/>
    <w:rsid w:val="004A3422"/>
    <w:rsid w:val="004A43C0"/>
    <w:rsid w:val="004A56E3"/>
    <w:rsid w:val="004A70B0"/>
    <w:rsid w:val="004A779E"/>
    <w:rsid w:val="004B0C02"/>
    <w:rsid w:val="004B2A20"/>
    <w:rsid w:val="004B2AAC"/>
    <w:rsid w:val="004B2F94"/>
    <w:rsid w:val="004C07C4"/>
    <w:rsid w:val="004C1002"/>
    <w:rsid w:val="004C20EF"/>
    <w:rsid w:val="004C2D13"/>
    <w:rsid w:val="004C4BC7"/>
    <w:rsid w:val="004C675B"/>
    <w:rsid w:val="004C69FF"/>
    <w:rsid w:val="004C7B94"/>
    <w:rsid w:val="004D2743"/>
    <w:rsid w:val="004D3B01"/>
    <w:rsid w:val="004D4CD3"/>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924"/>
    <w:rsid w:val="00505C3A"/>
    <w:rsid w:val="00510198"/>
    <w:rsid w:val="005128EF"/>
    <w:rsid w:val="0051337C"/>
    <w:rsid w:val="00513D72"/>
    <w:rsid w:val="005144D6"/>
    <w:rsid w:val="005176BA"/>
    <w:rsid w:val="00517DB8"/>
    <w:rsid w:val="00521D8E"/>
    <w:rsid w:val="00523819"/>
    <w:rsid w:val="00524A7E"/>
    <w:rsid w:val="00525360"/>
    <w:rsid w:val="00526E52"/>
    <w:rsid w:val="0052768E"/>
    <w:rsid w:val="00534389"/>
    <w:rsid w:val="00534CBE"/>
    <w:rsid w:val="0053563C"/>
    <w:rsid w:val="00535948"/>
    <w:rsid w:val="005377B9"/>
    <w:rsid w:val="005413DE"/>
    <w:rsid w:val="0054282F"/>
    <w:rsid w:val="00544BAE"/>
    <w:rsid w:val="00547A87"/>
    <w:rsid w:val="0055208E"/>
    <w:rsid w:val="005541A3"/>
    <w:rsid w:val="005563D9"/>
    <w:rsid w:val="0055711C"/>
    <w:rsid w:val="005617EA"/>
    <w:rsid w:val="005627B0"/>
    <w:rsid w:val="005648B9"/>
    <w:rsid w:val="00564AA4"/>
    <w:rsid w:val="00565A3D"/>
    <w:rsid w:val="00565E89"/>
    <w:rsid w:val="005702BE"/>
    <w:rsid w:val="005706DC"/>
    <w:rsid w:val="00570A3F"/>
    <w:rsid w:val="0057226E"/>
    <w:rsid w:val="0057675A"/>
    <w:rsid w:val="00577021"/>
    <w:rsid w:val="00581371"/>
    <w:rsid w:val="0058189C"/>
    <w:rsid w:val="00581B3D"/>
    <w:rsid w:val="00581DCC"/>
    <w:rsid w:val="00582905"/>
    <w:rsid w:val="005865BB"/>
    <w:rsid w:val="00586A12"/>
    <w:rsid w:val="005906D6"/>
    <w:rsid w:val="0059199C"/>
    <w:rsid w:val="00592CAA"/>
    <w:rsid w:val="0059326B"/>
    <w:rsid w:val="005952EA"/>
    <w:rsid w:val="005969D9"/>
    <w:rsid w:val="005974E5"/>
    <w:rsid w:val="005979B8"/>
    <w:rsid w:val="005A0283"/>
    <w:rsid w:val="005A11F2"/>
    <w:rsid w:val="005A2581"/>
    <w:rsid w:val="005A2B5F"/>
    <w:rsid w:val="005A5231"/>
    <w:rsid w:val="005A6596"/>
    <w:rsid w:val="005A6F45"/>
    <w:rsid w:val="005B2BD1"/>
    <w:rsid w:val="005B31A8"/>
    <w:rsid w:val="005B3579"/>
    <w:rsid w:val="005B5790"/>
    <w:rsid w:val="005C2D31"/>
    <w:rsid w:val="005C460B"/>
    <w:rsid w:val="005C4663"/>
    <w:rsid w:val="005C4F60"/>
    <w:rsid w:val="005C6BE3"/>
    <w:rsid w:val="005D1CFC"/>
    <w:rsid w:val="005D3C6B"/>
    <w:rsid w:val="005D5465"/>
    <w:rsid w:val="005E01F7"/>
    <w:rsid w:val="005E0C5D"/>
    <w:rsid w:val="005E355A"/>
    <w:rsid w:val="005E406F"/>
    <w:rsid w:val="005E4F8B"/>
    <w:rsid w:val="005E5C8C"/>
    <w:rsid w:val="005E6787"/>
    <w:rsid w:val="005E6B8D"/>
    <w:rsid w:val="005E7BEE"/>
    <w:rsid w:val="005F140F"/>
    <w:rsid w:val="005F39D2"/>
    <w:rsid w:val="005F3A27"/>
    <w:rsid w:val="005F4922"/>
    <w:rsid w:val="005F5930"/>
    <w:rsid w:val="00600629"/>
    <w:rsid w:val="00601A0E"/>
    <w:rsid w:val="00601C7F"/>
    <w:rsid w:val="0060200F"/>
    <w:rsid w:val="006034DD"/>
    <w:rsid w:val="00603DB1"/>
    <w:rsid w:val="00606374"/>
    <w:rsid w:val="00607A40"/>
    <w:rsid w:val="0061037B"/>
    <w:rsid w:val="00610965"/>
    <w:rsid w:val="00612344"/>
    <w:rsid w:val="00612953"/>
    <w:rsid w:val="006129A4"/>
    <w:rsid w:val="006129A5"/>
    <w:rsid w:val="006158AA"/>
    <w:rsid w:val="00615994"/>
    <w:rsid w:val="00616052"/>
    <w:rsid w:val="0061680A"/>
    <w:rsid w:val="00617410"/>
    <w:rsid w:val="00617412"/>
    <w:rsid w:val="0062325E"/>
    <w:rsid w:val="006239A9"/>
    <w:rsid w:val="006303CF"/>
    <w:rsid w:val="006307B0"/>
    <w:rsid w:val="00630814"/>
    <w:rsid w:val="00632BCB"/>
    <w:rsid w:val="00633AF6"/>
    <w:rsid w:val="00637B54"/>
    <w:rsid w:val="006415FB"/>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5B09"/>
    <w:rsid w:val="006869D2"/>
    <w:rsid w:val="00686EF7"/>
    <w:rsid w:val="00687BDA"/>
    <w:rsid w:val="00692454"/>
    <w:rsid w:val="00692796"/>
    <w:rsid w:val="0069321C"/>
    <w:rsid w:val="00693390"/>
    <w:rsid w:val="00694CC8"/>
    <w:rsid w:val="00695AED"/>
    <w:rsid w:val="006A1DD3"/>
    <w:rsid w:val="006A1E80"/>
    <w:rsid w:val="006A1F3D"/>
    <w:rsid w:val="006A53F0"/>
    <w:rsid w:val="006A60E4"/>
    <w:rsid w:val="006B56C3"/>
    <w:rsid w:val="006B686C"/>
    <w:rsid w:val="006B6AF5"/>
    <w:rsid w:val="006C4663"/>
    <w:rsid w:val="006D00D3"/>
    <w:rsid w:val="006D080A"/>
    <w:rsid w:val="006D0FB6"/>
    <w:rsid w:val="006D146D"/>
    <w:rsid w:val="006D540E"/>
    <w:rsid w:val="006D62F6"/>
    <w:rsid w:val="006E337A"/>
    <w:rsid w:val="006E6883"/>
    <w:rsid w:val="006E77A3"/>
    <w:rsid w:val="006E7900"/>
    <w:rsid w:val="006F025F"/>
    <w:rsid w:val="006F2152"/>
    <w:rsid w:val="006F2DF0"/>
    <w:rsid w:val="006F3A12"/>
    <w:rsid w:val="006F4455"/>
    <w:rsid w:val="006F4AFE"/>
    <w:rsid w:val="006F6469"/>
    <w:rsid w:val="006F7A53"/>
    <w:rsid w:val="0070296E"/>
    <w:rsid w:val="00703547"/>
    <w:rsid w:val="00703C2B"/>
    <w:rsid w:val="00704A38"/>
    <w:rsid w:val="00704FC1"/>
    <w:rsid w:val="00705013"/>
    <w:rsid w:val="00705829"/>
    <w:rsid w:val="0070716A"/>
    <w:rsid w:val="00707D23"/>
    <w:rsid w:val="00710CE2"/>
    <w:rsid w:val="00713980"/>
    <w:rsid w:val="00714C71"/>
    <w:rsid w:val="007158EA"/>
    <w:rsid w:val="00720B31"/>
    <w:rsid w:val="0072210C"/>
    <w:rsid w:val="007225E6"/>
    <w:rsid w:val="007230A3"/>
    <w:rsid w:val="00723A8D"/>
    <w:rsid w:val="0072503B"/>
    <w:rsid w:val="007264DF"/>
    <w:rsid w:val="007276DE"/>
    <w:rsid w:val="007303F8"/>
    <w:rsid w:val="007319E8"/>
    <w:rsid w:val="00732341"/>
    <w:rsid w:val="007326AF"/>
    <w:rsid w:val="00732D0D"/>
    <w:rsid w:val="00735D06"/>
    <w:rsid w:val="0074131F"/>
    <w:rsid w:val="00741E66"/>
    <w:rsid w:val="00742205"/>
    <w:rsid w:val="00742576"/>
    <w:rsid w:val="00742BE5"/>
    <w:rsid w:val="00744AB7"/>
    <w:rsid w:val="007466C9"/>
    <w:rsid w:val="00751308"/>
    <w:rsid w:val="007531F4"/>
    <w:rsid w:val="00753887"/>
    <w:rsid w:val="00754D45"/>
    <w:rsid w:val="00756441"/>
    <w:rsid w:val="007566B0"/>
    <w:rsid w:val="00761B1D"/>
    <w:rsid w:val="007623BE"/>
    <w:rsid w:val="00762E1E"/>
    <w:rsid w:val="00764115"/>
    <w:rsid w:val="007654C1"/>
    <w:rsid w:val="00766DF7"/>
    <w:rsid w:val="00770F1F"/>
    <w:rsid w:val="0077110E"/>
    <w:rsid w:val="007737F5"/>
    <w:rsid w:val="00774451"/>
    <w:rsid w:val="007753F8"/>
    <w:rsid w:val="0077560D"/>
    <w:rsid w:val="0077600E"/>
    <w:rsid w:val="007778A9"/>
    <w:rsid w:val="00780F1E"/>
    <w:rsid w:val="00783D75"/>
    <w:rsid w:val="007841CA"/>
    <w:rsid w:val="00785952"/>
    <w:rsid w:val="00785FE7"/>
    <w:rsid w:val="00787624"/>
    <w:rsid w:val="00787AA6"/>
    <w:rsid w:val="00792776"/>
    <w:rsid w:val="00793656"/>
    <w:rsid w:val="00793A2B"/>
    <w:rsid w:val="00794A8E"/>
    <w:rsid w:val="00795270"/>
    <w:rsid w:val="007A0043"/>
    <w:rsid w:val="007A098C"/>
    <w:rsid w:val="007A3E4E"/>
    <w:rsid w:val="007A4FF1"/>
    <w:rsid w:val="007A75CB"/>
    <w:rsid w:val="007A7E33"/>
    <w:rsid w:val="007B0B37"/>
    <w:rsid w:val="007B1DF5"/>
    <w:rsid w:val="007B222D"/>
    <w:rsid w:val="007B4727"/>
    <w:rsid w:val="007B5031"/>
    <w:rsid w:val="007B5FFC"/>
    <w:rsid w:val="007C0B6A"/>
    <w:rsid w:val="007C6D49"/>
    <w:rsid w:val="007D1E0A"/>
    <w:rsid w:val="007D3AB1"/>
    <w:rsid w:val="007D40F4"/>
    <w:rsid w:val="007D5D25"/>
    <w:rsid w:val="007E0079"/>
    <w:rsid w:val="007E1D67"/>
    <w:rsid w:val="007E1DE8"/>
    <w:rsid w:val="007E362F"/>
    <w:rsid w:val="007E4D1C"/>
    <w:rsid w:val="007E4E22"/>
    <w:rsid w:val="007E6BB3"/>
    <w:rsid w:val="007F0AC5"/>
    <w:rsid w:val="007F3526"/>
    <w:rsid w:val="007F387A"/>
    <w:rsid w:val="007F56F9"/>
    <w:rsid w:val="007F70A4"/>
    <w:rsid w:val="00800D0F"/>
    <w:rsid w:val="00801918"/>
    <w:rsid w:val="00804343"/>
    <w:rsid w:val="0080587E"/>
    <w:rsid w:val="008079CC"/>
    <w:rsid w:val="00811775"/>
    <w:rsid w:val="008138CE"/>
    <w:rsid w:val="00815846"/>
    <w:rsid w:val="00815D12"/>
    <w:rsid w:val="008161A8"/>
    <w:rsid w:val="00820149"/>
    <w:rsid w:val="0082256E"/>
    <w:rsid w:val="008228E9"/>
    <w:rsid w:val="0082320A"/>
    <w:rsid w:val="008254CC"/>
    <w:rsid w:val="00833E7D"/>
    <w:rsid w:val="0083440C"/>
    <w:rsid w:val="008346C9"/>
    <w:rsid w:val="00836903"/>
    <w:rsid w:val="0084003C"/>
    <w:rsid w:val="008406D3"/>
    <w:rsid w:val="00841094"/>
    <w:rsid w:val="008425DB"/>
    <w:rsid w:val="00842DE5"/>
    <w:rsid w:val="008438C6"/>
    <w:rsid w:val="00845705"/>
    <w:rsid w:val="00845D19"/>
    <w:rsid w:val="008478F3"/>
    <w:rsid w:val="00847FFC"/>
    <w:rsid w:val="00852EC1"/>
    <w:rsid w:val="00853887"/>
    <w:rsid w:val="00854C30"/>
    <w:rsid w:val="00855296"/>
    <w:rsid w:val="00856D82"/>
    <w:rsid w:val="00864338"/>
    <w:rsid w:val="0086565D"/>
    <w:rsid w:val="008679FC"/>
    <w:rsid w:val="00870BA2"/>
    <w:rsid w:val="00871F55"/>
    <w:rsid w:val="00873107"/>
    <w:rsid w:val="00874659"/>
    <w:rsid w:val="0087682B"/>
    <w:rsid w:val="00877158"/>
    <w:rsid w:val="00877C6F"/>
    <w:rsid w:val="008815EE"/>
    <w:rsid w:val="00881801"/>
    <w:rsid w:val="00883832"/>
    <w:rsid w:val="00883B38"/>
    <w:rsid w:val="008841CE"/>
    <w:rsid w:val="0088496E"/>
    <w:rsid w:val="0088635D"/>
    <w:rsid w:val="008870CA"/>
    <w:rsid w:val="00887109"/>
    <w:rsid w:val="00887614"/>
    <w:rsid w:val="00890E4A"/>
    <w:rsid w:val="00891C81"/>
    <w:rsid w:val="00891E19"/>
    <w:rsid w:val="00892202"/>
    <w:rsid w:val="00893B7C"/>
    <w:rsid w:val="008A05D4"/>
    <w:rsid w:val="008A2097"/>
    <w:rsid w:val="008A4CF1"/>
    <w:rsid w:val="008B0AE6"/>
    <w:rsid w:val="008B2E96"/>
    <w:rsid w:val="008B39B1"/>
    <w:rsid w:val="008B455B"/>
    <w:rsid w:val="008B4C47"/>
    <w:rsid w:val="008B4F24"/>
    <w:rsid w:val="008B4F9C"/>
    <w:rsid w:val="008B7033"/>
    <w:rsid w:val="008C1879"/>
    <w:rsid w:val="008C18E6"/>
    <w:rsid w:val="008C2739"/>
    <w:rsid w:val="008C516B"/>
    <w:rsid w:val="008C559D"/>
    <w:rsid w:val="008C6663"/>
    <w:rsid w:val="008C7FA2"/>
    <w:rsid w:val="008D1427"/>
    <w:rsid w:val="008D3FD7"/>
    <w:rsid w:val="008D45C3"/>
    <w:rsid w:val="008D5551"/>
    <w:rsid w:val="008D71FB"/>
    <w:rsid w:val="008E05D2"/>
    <w:rsid w:val="008E0EBE"/>
    <w:rsid w:val="008E205F"/>
    <w:rsid w:val="008E2951"/>
    <w:rsid w:val="008E2A6B"/>
    <w:rsid w:val="008E3BAC"/>
    <w:rsid w:val="008E49E0"/>
    <w:rsid w:val="008E4F33"/>
    <w:rsid w:val="008E7B8F"/>
    <w:rsid w:val="008F0EEC"/>
    <w:rsid w:val="008F1B8C"/>
    <w:rsid w:val="008F520D"/>
    <w:rsid w:val="008F796D"/>
    <w:rsid w:val="009002CA"/>
    <w:rsid w:val="00904A51"/>
    <w:rsid w:val="00904ED8"/>
    <w:rsid w:val="0090534F"/>
    <w:rsid w:val="0090539F"/>
    <w:rsid w:val="009137FE"/>
    <w:rsid w:val="00913F26"/>
    <w:rsid w:val="00915680"/>
    <w:rsid w:val="00916A11"/>
    <w:rsid w:val="00920E5F"/>
    <w:rsid w:val="009217A6"/>
    <w:rsid w:val="00921E87"/>
    <w:rsid w:val="00923A6D"/>
    <w:rsid w:val="00924969"/>
    <w:rsid w:val="00925F21"/>
    <w:rsid w:val="009270E2"/>
    <w:rsid w:val="0093024F"/>
    <w:rsid w:val="009339CF"/>
    <w:rsid w:val="00935FF6"/>
    <w:rsid w:val="009368B9"/>
    <w:rsid w:val="009403B9"/>
    <w:rsid w:val="00940C10"/>
    <w:rsid w:val="00941371"/>
    <w:rsid w:val="0094139E"/>
    <w:rsid w:val="00943A89"/>
    <w:rsid w:val="009507F4"/>
    <w:rsid w:val="00952C51"/>
    <w:rsid w:val="0095399B"/>
    <w:rsid w:val="00954545"/>
    <w:rsid w:val="00954A32"/>
    <w:rsid w:val="00955611"/>
    <w:rsid w:val="00957302"/>
    <w:rsid w:val="00960D99"/>
    <w:rsid w:val="009617E8"/>
    <w:rsid w:val="0096275E"/>
    <w:rsid w:val="00963CB7"/>
    <w:rsid w:val="00966090"/>
    <w:rsid w:val="00966F60"/>
    <w:rsid w:val="00967019"/>
    <w:rsid w:val="009673AF"/>
    <w:rsid w:val="00970362"/>
    <w:rsid w:val="00971AFE"/>
    <w:rsid w:val="0097282D"/>
    <w:rsid w:val="00973681"/>
    <w:rsid w:val="0098143D"/>
    <w:rsid w:val="00981E96"/>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537"/>
    <w:rsid w:val="009B7F08"/>
    <w:rsid w:val="009C0DCA"/>
    <w:rsid w:val="009C339F"/>
    <w:rsid w:val="009C454B"/>
    <w:rsid w:val="009C454E"/>
    <w:rsid w:val="009C7281"/>
    <w:rsid w:val="009C789B"/>
    <w:rsid w:val="009D2A65"/>
    <w:rsid w:val="009D31A7"/>
    <w:rsid w:val="009D4641"/>
    <w:rsid w:val="009D6E07"/>
    <w:rsid w:val="009E113B"/>
    <w:rsid w:val="009E689B"/>
    <w:rsid w:val="009E6F3D"/>
    <w:rsid w:val="009E7245"/>
    <w:rsid w:val="009E775F"/>
    <w:rsid w:val="009F1868"/>
    <w:rsid w:val="009F2346"/>
    <w:rsid w:val="009F25B7"/>
    <w:rsid w:val="009F4560"/>
    <w:rsid w:val="009F52A7"/>
    <w:rsid w:val="009F5E1C"/>
    <w:rsid w:val="009F67F3"/>
    <w:rsid w:val="00A0004A"/>
    <w:rsid w:val="00A00A77"/>
    <w:rsid w:val="00A0112A"/>
    <w:rsid w:val="00A01CB6"/>
    <w:rsid w:val="00A03660"/>
    <w:rsid w:val="00A06AAF"/>
    <w:rsid w:val="00A070E0"/>
    <w:rsid w:val="00A073E0"/>
    <w:rsid w:val="00A07496"/>
    <w:rsid w:val="00A07AEF"/>
    <w:rsid w:val="00A16246"/>
    <w:rsid w:val="00A16B6C"/>
    <w:rsid w:val="00A20850"/>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3AEB"/>
    <w:rsid w:val="00A7427A"/>
    <w:rsid w:val="00A744BF"/>
    <w:rsid w:val="00A75436"/>
    <w:rsid w:val="00A76A6A"/>
    <w:rsid w:val="00A76D4A"/>
    <w:rsid w:val="00A76E1B"/>
    <w:rsid w:val="00A81EC8"/>
    <w:rsid w:val="00A82851"/>
    <w:rsid w:val="00A82E6A"/>
    <w:rsid w:val="00A8547B"/>
    <w:rsid w:val="00A86F8F"/>
    <w:rsid w:val="00A90DD1"/>
    <w:rsid w:val="00A9141A"/>
    <w:rsid w:val="00A93B4B"/>
    <w:rsid w:val="00A93DA7"/>
    <w:rsid w:val="00A950B8"/>
    <w:rsid w:val="00A96DE8"/>
    <w:rsid w:val="00AA01E5"/>
    <w:rsid w:val="00AA0394"/>
    <w:rsid w:val="00AA0DEA"/>
    <w:rsid w:val="00AA0FFF"/>
    <w:rsid w:val="00AA1FA6"/>
    <w:rsid w:val="00AA24D3"/>
    <w:rsid w:val="00AA2749"/>
    <w:rsid w:val="00AA60BB"/>
    <w:rsid w:val="00AA66C2"/>
    <w:rsid w:val="00AA6A2B"/>
    <w:rsid w:val="00AB01AB"/>
    <w:rsid w:val="00AB4EDD"/>
    <w:rsid w:val="00AB56C1"/>
    <w:rsid w:val="00AB5EEB"/>
    <w:rsid w:val="00AC0948"/>
    <w:rsid w:val="00AC1862"/>
    <w:rsid w:val="00AC1CD8"/>
    <w:rsid w:val="00AC33CA"/>
    <w:rsid w:val="00AC45D5"/>
    <w:rsid w:val="00AC48DC"/>
    <w:rsid w:val="00AC69DD"/>
    <w:rsid w:val="00AC7339"/>
    <w:rsid w:val="00AD0CC5"/>
    <w:rsid w:val="00AD19AF"/>
    <w:rsid w:val="00AD2F6A"/>
    <w:rsid w:val="00AD48AE"/>
    <w:rsid w:val="00AD7540"/>
    <w:rsid w:val="00AE0D08"/>
    <w:rsid w:val="00AE0FDF"/>
    <w:rsid w:val="00AE0FF6"/>
    <w:rsid w:val="00AE3529"/>
    <w:rsid w:val="00AE4B41"/>
    <w:rsid w:val="00AE6539"/>
    <w:rsid w:val="00AE7843"/>
    <w:rsid w:val="00AE7F06"/>
    <w:rsid w:val="00AF0B5C"/>
    <w:rsid w:val="00AF2179"/>
    <w:rsid w:val="00AF2E2E"/>
    <w:rsid w:val="00AF3EF9"/>
    <w:rsid w:val="00AF428C"/>
    <w:rsid w:val="00AF79BC"/>
    <w:rsid w:val="00AF7E01"/>
    <w:rsid w:val="00B00BA4"/>
    <w:rsid w:val="00B01F89"/>
    <w:rsid w:val="00B052A7"/>
    <w:rsid w:val="00B07266"/>
    <w:rsid w:val="00B07AE6"/>
    <w:rsid w:val="00B07E95"/>
    <w:rsid w:val="00B10E49"/>
    <w:rsid w:val="00B11F06"/>
    <w:rsid w:val="00B17F1D"/>
    <w:rsid w:val="00B205DC"/>
    <w:rsid w:val="00B21ED7"/>
    <w:rsid w:val="00B2499C"/>
    <w:rsid w:val="00B3039F"/>
    <w:rsid w:val="00B310C4"/>
    <w:rsid w:val="00B31373"/>
    <w:rsid w:val="00B334C9"/>
    <w:rsid w:val="00B35133"/>
    <w:rsid w:val="00B3732B"/>
    <w:rsid w:val="00B402DC"/>
    <w:rsid w:val="00B42F39"/>
    <w:rsid w:val="00B43D3A"/>
    <w:rsid w:val="00B45371"/>
    <w:rsid w:val="00B456F0"/>
    <w:rsid w:val="00B47F08"/>
    <w:rsid w:val="00B47FF0"/>
    <w:rsid w:val="00B51871"/>
    <w:rsid w:val="00B54680"/>
    <w:rsid w:val="00B5525E"/>
    <w:rsid w:val="00B6120E"/>
    <w:rsid w:val="00B63653"/>
    <w:rsid w:val="00B6542A"/>
    <w:rsid w:val="00B67478"/>
    <w:rsid w:val="00B76C22"/>
    <w:rsid w:val="00B7792E"/>
    <w:rsid w:val="00B80E11"/>
    <w:rsid w:val="00B820B7"/>
    <w:rsid w:val="00B8283F"/>
    <w:rsid w:val="00B83457"/>
    <w:rsid w:val="00B83EDA"/>
    <w:rsid w:val="00B846B1"/>
    <w:rsid w:val="00B85136"/>
    <w:rsid w:val="00B85BBB"/>
    <w:rsid w:val="00B904AC"/>
    <w:rsid w:val="00B90D7C"/>
    <w:rsid w:val="00B9135C"/>
    <w:rsid w:val="00B92CA6"/>
    <w:rsid w:val="00B94310"/>
    <w:rsid w:val="00B95257"/>
    <w:rsid w:val="00B9573B"/>
    <w:rsid w:val="00B9660E"/>
    <w:rsid w:val="00B96A56"/>
    <w:rsid w:val="00B97C28"/>
    <w:rsid w:val="00BA1A05"/>
    <w:rsid w:val="00BA3D39"/>
    <w:rsid w:val="00BA4C01"/>
    <w:rsid w:val="00BA52E2"/>
    <w:rsid w:val="00BA74BE"/>
    <w:rsid w:val="00BB0639"/>
    <w:rsid w:val="00BB1412"/>
    <w:rsid w:val="00BB1B83"/>
    <w:rsid w:val="00BB3FA7"/>
    <w:rsid w:val="00BB45D8"/>
    <w:rsid w:val="00BB5FAF"/>
    <w:rsid w:val="00BB6CA7"/>
    <w:rsid w:val="00BC2409"/>
    <w:rsid w:val="00BC2536"/>
    <w:rsid w:val="00BC3A05"/>
    <w:rsid w:val="00BC5810"/>
    <w:rsid w:val="00BD6780"/>
    <w:rsid w:val="00BD714C"/>
    <w:rsid w:val="00BE050A"/>
    <w:rsid w:val="00BE1446"/>
    <w:rsid w:val="00BE1888"/>
    <w:rsid w:val="00BE18E4"/>
    <w:rsid w:val="00BE41C0"/>
    <w:rsid w:val="00BE46DD"/>
    <w:rsid w:val="00BE68E0"/>
    <w:rsid w:val="00BE69E6"/>
    <w:rsid w:val="00BE77C5"/>
    <w:rsid w:val="00BF15FE"/>
    <w:rsid w:val="00BF1B38"/>
    <w:rsid w:val="00BF2B03"/>
    <w:rsid w:val="00BF5E06"/>
    <w:rsid w:val="00C00DEB"/>
    <w:rsid w:val="00C013AD"/>
    <w:rsid w:val="00C03E3D"/>
    <w:rsid w:val="00C07697"/>
    <w:rsid w:val="00C1097C"/>
    <w:rsid w:val="00C13B8D"/>
    <w:rsid w:val="00C15C30"/>
    <w:rsid w:val="00C16223"/>
    <w:rsid w:val="00C179EE"/>
    <w:rsid w:val="00C21C4A"/>
    <w:rsid w:val="00C22AF9"/>
    <w:rsid w:val="00C23039"/>
    <w:rsid w:val="00C23A71"/>
    <w:rsid w:val="00C2496C"/>
    <w:rsid w:val="00C24986"/>
    <w:rsid w:val="00C24ABC"/>
    <w:rsid w:val="00C25854"/>
    <w:rsid w:val="00C25D6B"/>
    <w:rsid w:val="00C26336"/>
    <w:rsid w:val="00C26359"/>
    <w:rsid w:val="00C26A49"/>
    <w:rsid w:val="00C310A5"/>
    <w:rsid w:val="00C317BE"/>
    <w:rsid w:val="00C3184A"/>
    <w:rsid w:val="00C31D07"/>
    <w:rsid w:val="00C347E4"/>
    <w:rsid w:val="00C34A4B"/>
    <w:rsid w:val="00C358B7"/>
    <w:rsid w:val="00C35E58"/>
    <w:rsid w:val="00C37031"/>
    <w:rsid w:val="00C4023D"/>
    <w:rsid w:val="00C4243A"/>
    <w:rsid w:val="00C43FB8"/>
    <w:rsid w:val="00C4705C"/>
    <w:rsid w:val="00C5364C"/>
    <w:rsid w:val="00C541AA"/>
    <w:rsid w:val="00C54FC1"/>
    <w:rsid w:val="00C551AD"/>
    <w:rsid w:val="00C57DAD"/>
    <w:rsid w:val="00C60745"/>
    <w:rsid w:val="00C62521"/>
    <w:rsid w:val="00C62761"/>
    <w:rsid w:val="00C64E0E"/>
    <w:rsid w:val="00C64EC5"/>
    <w:rsid w:val="00C703CC"/>
    <w:rsid w:val="00C7171B"/>
    <w:rsid w:val="00C71D63"/>
    <w:rsid w:val="00C71D8F"/>
    <w:rsid w:val="00C71ED4"/>
    <w:rsid w:val="00C74ED9"/>
    <w:rsid w:val="00C762CC"/>
    <w:rsid w:val="00C7709D"/>
    <w:rsid w:val="00C77B94"/>
    <w:rsid w:val="00C80199"/>
    <w:rsid w:val="00C80865"/>
    <w:rsid w:val="00C8182C"/>
    <w:rsid w:val="00C82469"/>
    <w:rsid w:val="00C8288D"/>
    <w:rsid w:val="00C840A2"/>
    <w:rsid w:val="00C870B2"/>
    <w:rsid w:val="00C874D5"/>
    <w:rsid w:val="00C902EB"/>
    <w:rsid w:val="00C92A85"/>
    <w:rsid w:val="00C943AE"/>
    <w:rsid w:val="00C9537D"/>
    <w:rsid w:val="00C9708F"/>
    <w:rsid w:val="00CA0EE7"/>
    <w:rsid w:val="00CA10C1"/>
    <w:rsid w:val="00CA1996"/>
    <w:rsid w:val="00CA3C25"/>
    <w:rsid w:val="00CA485F"/>
    <w:rsid w:val="00CA4E53"/>
    <w:rsid w:val="00CA55D0"/>
    <w:rsid w:val="00CA7B56"/>
    <w:rsid w:val="00CB11B1"/>
    <w:rsid w:val="00CB16AF"/>
    <w:rsid w:val="00CB27EA"/>
    <w:rsid w:val="00CB69D0"/>
    <w:rsid w:val="00CB7D60"/>
    <w:rsid w:val="00CC02A3"/>
    <w:rsid w:val="00CC404F"/>
    <w:rsid w:val="00CC511D"/>
    <w:rsid w:val="00CC7193"/>
    <w:rsid w:val="00CC798E"/>
    <w:rsid w:val="00CC7E82"/>
    <w:rsid w:val="00CD3031"/>
    <w:rsid w:val="00CD4716"/>
    <w:rsid w:val="00CD49B9"/>
    <w:rsid w:val="00CD53FE"/>
    <w:rsid w:val="00CD77F6"/>
    <w:rsid w:val="00CE342B"/>
    <w:rsid w:val="00CE4F6D"/>
    <w:rsid w:val="00CE52D7"/>
    <w:rsid w:val="00CE6BAF"/>
    <w:rsid w:val="00CE71CB"/>
    <w:rsid w:val="00CE773C"/>
    <w:rsid w:val="00CF1AD4"/>
    <w:rsid w:val="00CF1C39"/>
    <w:rsid w:val="00CF46D1"/>
    <w:rsid w:val="00D01849"/>
    <w:rsid w:val="00D020D3"/>
    <w:rsid w:val="00D04205"/>
    <w:rsid w:val="00D045AD"/>
    <w:rsid w:val="00D04EF6"/>
    <w:rsid w:val="00D06651"/>
    <w:rsid w:val="00D1104A"/>
    <w:rsid w:val="00D1161B"/>
    <w:rsid w:val="00D129CA"/>
    <w:rsid w:val="00D140CA"/>
    <w:rsid w:val="00D175DF"/>
    <w:rsid w:val="00D20F14"/>
    <w:rsid w:val="00D21751"/>
    <w:rsid w:val="00D240C9"/>
    <w:rsid w:val="00D30FC1"/>
    <w:rsid w:val="00D317A8"/>
    <w:rsid w:val="00D32316"/>
    <w:rsid w:val="00D32F07"/>
    <w:rsid w:val="00D33F9D"/>
    <w:rsid w:val="00D364DC"/>
    <w:rsid w:val="00D36D4A"/>
    <w:rsid w:val="00D402B7"/>
    <w:rsid w:val="00D41E70"/>
    <w:rsid w:val="00D4204B"/>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665C7"/>
    <w:rsid w:val="00D70802"/>
    <w:rsid w:val="00D709CE"/>
    <w:rsid w:val="00D71586"/>
    <w:rsid w:val="00D74517"/>
    <w:rsid w:val="00D7652F"/>
    <w:rsid w:val="00D80A25"/>
    <w:rsid w:val="00D813AF"/>
    <w:rsid w:val="00D820A4"/>
    <w:rsid w:val="00D83B7F"/>
    <w:rsid w:val="00D83C6F"/>
    <w:rsid w:val="00D84741"/>
    <w:rsid w:val="00D85A8C"/>
    <w:rsid w:val="00D8617E"/>
    <w:rsid w:val="00D90182"/>
    <w:rsid w:val="00D92794"/>
    <w:rsid w:val="00D933FE"/>
    <w:rsid w:val="00D95A22"/>
    <w:rsid w:val="00D96DE0"/>
    <w:rsid w:val="00D97100"/>
    <w:rsid w:val="00DA120A"/>
    <w:rsid w:val="00DA352E"/>
    <w:rsid w:val="00DA583A"/>
    <w:rsid w:val="00DA6628"/>
    <w:rsid w:val="00DA6915"/>
    <w:rsid w:val="00DA6B13"/>
    <w:rsid w:val="00DA7079"/>
    <w:rsid w:val="00DA7B77"/>
    <w:rsid w:val="00DA7C37"/>
    <w:rsid w:val="00DB164E"/>
    <w:rsid w:val="00DB773A"/>
    <w:rsid w:val="00DC0038"/>
    <w:rsid w:val="00DC0CF8"/>
    <w:rsid w:val="00DC1BCE"/>
    <w:rsid w:val="00DC600B"/>
    <w:rsid w:val="00DC77B6"/>
    <w:rsid w:val="00DD03AE"/>
    <w:rsid w:val="00DD0573"/>
    <w:rsid w:val="00DD10B9"/>
    <w:rsid w:val="00DD2750"/>
    <w:rsid w:val="00DD3A30"/>
    <w:rsid w:val="00DD438B"/>
    <w:rsid w:val="00DD4F0B"/>
    <w:rsid w:val="00DD5AC5"/>
    <w:rsid w:val="00DD70ED"/>
    <w:rsid w:val="00DE2C23"/>
    <w:rsid w:val="00DE664C"/>
    <w:rsid w:val="00DE6AF4"/>
    <w:rsid w:val="00DE6C7D"/>
    <w:rsid w:val="00DF09A2"/>
    <w:rsid w:val="00DF0B5F"/>
    <w:rsid w:val="00DF2203"/>
    <w:rsid w:val="00DF3188"/>
    <w:rsid w:val="00DF4623"/>
    <w:rsid w:val="00DF56A2"/>
    <w:rsid w:val="00DF5C80"/>
    <w:rsid w:val="00DF621D"/>
    <w:rsid w:val="00E0005D"/>
    <w:rsid w:val="00E00869"/>
    <w:rsid w:val="00E05C8A"/>
    <w:rsid w:val="00E064B6"/>
    <w:rsid w:val="00E10778"/>
    <w:rsid w:val="00E107BA"/>
    <w:rsid w:val="00E122C9"/>
    <w:rsid w:val="00E1429E"/>
    <w:rsid w:val="00E15246"/>
    <w:rsid w:val="00E165B2"/>
    <w:rsid w:val="00E204F9"/>
    <w:rsid w:val="00E22607"/>
    <w:rsid w:val="00E26B27"/>
    <w:rsid w:val="00E26E23"/>
    <w:rsid w:val="00E27B7B"/>
    <w:rsid w:val="00E300EC"/>
    <w:rsid w:val="00E312CA"/>
    <w:rsid w:val="00E31ACB"/>
    <w:rsid w:val="00E32BB3"/>
    <w:rsid w:val="00E34292"/>
    <w:rsid w:val="00E36A14"/>
    <w:rsid w:val="00E404D0"/>
    <w:rsid w:val="00E41337"/>
    <w:rsid w:val="00E41A92"/>
    <w:rsid w:val="00E4452E"/>
    <w:rsid w:val="00E4470A"/>
    <w:rsid w:val="00E45032"/>
    <w:rsid w:val="00E473E1"/>
    <w:rsid w:val="00E50F9E"/>
    <w:rsid w:val="00E527D8"/>
    <w:rsid w:val="00E531F1"/>
    <w:rsid w:val="00E5332B"/>
    <w:rsid w:val="00E561E4"/>
    <w:rsid w:val="00E56826"/>
    <w:rsid w:val="00E5799E"/>
    <w:rsid w:val="00E610FD"/>
    <w:rsid w:val="00E6380E"/>
    <w:rsid w:val="00E64D75"/>
    <w:rsid w:val="00E6523F"/>
    <w:rsid w:val="00E65278"/>
    <w:rsid w:val="00E659ED"/>
    <w:rsid w:val="00E66EC1"/>
    <w:rsid w:val="00E71454"/>
    <w:rsid w:val="00E72B5A"/>
    <w:rsid w:val="00E7375E"/>
    <w:rsid w:val="00E75283"/>
    <w:rsid w:val="00E76189"/>
    <w:rsid w:val="00E7677C"/>
    <w:rsid w:val="00E76AC7"/>
    <w:rsid w:val="00E77D0C"/>
    <w:rsid w:val="00E80D76"/>
    <w:rsid w:val="00E834F6"/>
    <w:rsid w:val="00E84523"/>
    <w:rsid w:val="00E85E6D"/>
    <w:rsid w:val="00E93368"/>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B6D0B"/>
    <w:rsid w:val="00EC549F"/>
    <w:rsid w:val="00EC77B9"/>
    <w:rsid w:val="00ED15B4"/>
    <w:rsid w:val="00ED1828"/>
    <w:rsid w:val="00ED52D5"/>
    <w:rsid w:val="00ED549D"/>
    <w:rsid w:val="00ED5E30"/>
    <w:rsid w:val="00ED5F31"/>
    <w:rsid w:val="00EE025F"/>
    <w:rsid w:val="00EE132E"/>
    <w:rsid w:val="00EE3293"/>
    <w:rsid w:val="00EE3609"/>
    <w:rsid w:val="00EE50CD"/>
    <w:rsid w:val="00EE643B"/>
    <w:rsid w:val="00EF4B70"/>
    <w:rsid w:val="00F00FE7"/>
    <w:rsid w:val="00F012DC"/>
    <w:rsid w:val="00F013D8"/>
    <w:rsid w:val="00F04A05"/>
    <w:rsid w:val="00F0552B"/>
    <w:rsid w:val="00F05E61"/>
    <w:rsid w:val="00F07985"/>
    <w:rsid w:val="00F100CC"/>
    <w:rsid w:val="00F1099E"/>
    <w:rsid w:val="00F11B2C"/>
    <w:rsid w:val="00F11FAB"/>
    <w:rsid w:val="00F12AFF"/>
    <w:rsid w:val="00F14E0F"/>
    <w:rsid w:val="00F174D9"/>
    <w:rsid w:val="00F1755B"/>
    <w:rsid w:val="00F17A45"/>
    <w:rsid w:val="00F226A6"/>
    <w:rsid w:val="00F2420E"/>
    <w:rsid w:val="00F25BB4"/>
    <w:rsid w:val="00F264E0"/>
    <w:rsid w:val="00F26E8B"/>
    <w:rsid w:val="00F27753"/>
    <w:rsid w:val="00F30EDB"/>
    <w:rsid w:val="00F315AB"/>
    <w:rsid w:val="00F31828"/>
    <w:rsid w:val="00F324DF"/>
    <w:rsid w:val="00F350E6"/>
    <w:rsid w:val="00F35C65"/>
    <w:rsid w:val="00F361D6"/>
    <w:rsid w:val="00F364C5"/>
    <w:rsid w:val="00F37BB8"/>
    <w:rsid w:val="00F40914"/>
    <w:rsid w:val="00F42836"/>
    <w:rsid w:val="00F44D54"/>
    <w:rsid w:val="00F45D2A"/>
    <w:rsid w:val="00F4618F"/>
    <w:rsid w:val="00F46FE2"/>
    <w:rsid w:val="00F473B3"/>
    <w:rsid w:val="00F4794D"/>
    <w:rsid w:val="00F479F5"/>
    <w:rsid w:val="00F47FB4"/>
    <w:rsid w:val="00F536FA"/>
    <w:rsid w:val="00F54FB7"/>
    <w:rsid w:val="00F55249"/>
    <w:rsid w:val="00F573BB"/>
    <w:rsid w:val="00F57829"/>
    <w:rsid w:val="00F62318"/>
    <w:rsid w:val="00F63D81"/>
    <w:rsid w:val="00F67150"/>
    <w:rsid w:val="00F71E93"/>
    <w:rsid w:val="00F720FB"/>
    <w:rsid w:val="00F73152"/>
    <w:rsid w:val="00F73B52"/>
    <w:rsid w:val="00F74051"/>
    <w:rsid w:val="00F75C15"/>
    <w:rsid w:val="00F801A8"/>
    <w:rsid w:val="00F81482"/>
    <w:rsid w:val="00F81740"/>
    <w:rsid w:val="00F86624"/>
    <w:rsid w:val="00F92D50"/>
    <w:rsid w:val="00F96BE3"/>
    <w:rsid w:val="00F9731D"/>
    <w:rsid w:val="00F97622"/>
    <w:rsid w:val="00FA0CD3"/>
    <w:rsid w:val="00FA151B"/>
    <w:rsid w:val="00FA2C16"/>
    <w:rsid w:val="00FA365F"/>
    <w:rsid w:val="00FA3AA7"/>
    <w:rsid w:val="00FA5D80"/>
    <w:rsid w:val="00FB14E1"/>
    <w:rsid w:val="00FB29BB"/>
    <w:rsid w:val="00FB2D48"/>
    <w:rsid w:val="00FB3974"/>
    <w:rsid w:val="00FB3DED"/>
    <w:rsid w:val="00FB5BB0"/>
    <w:rsid w:val="00FB6FB2"/>
    <w:rsid w:val="00FB77A4"/>
    <w:rsid w:val="00FC0A55"/>
    <w:rsid w:val="00FC1427"/>
    <w:rsid w:val="00FC2C22"/>
    <w:rsid w:val="00FC2C5D"/>
    <w:rsid w:val="00FC2E96"/>
    <w:rsid w:val="00FC4C22"/>
    <w:rsid w:val="00FD2223"/>
    <w:rsid w:val="00FD701E"/>
    <w:rsid w:val="00FE264D"/>
    <w:rsid w:val="00FE2BAB"/>
    <w:rsid w:val="00FE4792"/>
    <w:rsid w:val="00FE6885"/>
    <w:rsid w:val="00FE7731"/>
    <w:rsid w:val="00FF0ACD"/>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7F16E"/>
  <w15:chartTrackingRefBased/>
  <w15:docId w15:val="{90CA97B8-357C-4A84-AD85-F8922372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948"/>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6B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A16B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5948"/>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character" w:customStyle="1" w:styleId="Ttulo3Car">
    <w:name w:val="Título 3 Car"/>
    <w:basedOn w:val="Fuentedeprrafopredeter"/>
    <w:link w:val="Ttulo3"/>
    <w:uiPriority w:val="9"/>
    <w:rsid w:val="00A16B6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A16B6C"/>
    <w:rPr>
      <w:rFonts w:asciiTheme="majorHAnsi" w:eastAsiaTheme="majorEastAsia" w:hAnsiTheme="majorHAnsi" w:cstheme="majorBidi"/>
      <w:color w:val="1F4D78" w:themeColor="accent1" w:themeShade="7F"/>
    </w:rPr>
  </w:style>
  <w:style w:type="paragraph" w:styleId="Lista">
    <w:name w:val="List"/>
    <w:basedOn w:val="Normal"/>
    <w:uiPriority w:val="99"/>
    <w:unhideWhenUsed/>
    <w:rsid w:val="00A16B6C"/>
    <w:pPr>
      <w:ind w:left="283" w:hanging="283"/>
      <w:contextualSpacing/>
    </w:pPr>
  </w:style>
  <w:style w:type="paragraph" w:styleId="Lista2">
    <w:name w:val="List 2"/>
    <w:basedOn w:val="Normal"/>
    <w:uiPriority w:val="99"/>
    <w:unhideWhenUsed/>
    <w:rsid w:val="00A16B6C"/>
    <w:pPr>
      <w:ind w:left="566" w:hanging="283"/>
      <w:contextualSpacing/>
    </w:pPr>
  </w:style>
  <w:style w:type="paragraph" w:styleId="Listaconvietas2">
    <w:name w:val="List Bullet 2"/>
    <w:basedOn w:val="Normal"/>
    <w:uiPriority w:val="99"/>
    <w:unhideWhenUsed/>
    <w:rsid w:val="00A16B6C"/>
    <w:pPr>
      <w:numPr>
        <w:numId w:val="6"/>
      </w:numPr>
      <w:contextualSpacing/>
    </w:pPr>
  </w:style>
  <w:style w:type="paragraph" w:styleId="Textoindependiente">
    <w:name w:val="Body Text"/>
    <w:basedOn w:val="Normal"/>
    <w:link w:val="TextoindependienteCar"/>
    <w:uiPriority w:val="99"/>
    <w:unhideWhenUsed/>
    <w:rsid w:val="00A16B6C"/>
    <w:pPr>
      <w:spacing w:after="120"/>
    </w:pPr>
  </w:style>
  <w:style w:type="character" w:customStyle="1" w:styleId="TextoindependienteCar">
    <w:name w:val="Texto independiente Car"/>
    <w:basedOn w:val="Fuentedeprrafopredeter"/>
    <w:link w:val="Textoindependiente"/>
    <w:uiPriority w:val="99"/>
    <w:rsid w:val="00A16B6C"/>
  </w:style>
  <w:style w:type="paragraph" w:styleId="Sangradetextonormal">
    <w:name w:val="Body Text Indent"/>
    <w:basedOn w:val="Normal"/>
    <w:link w:val="SangradetextonormalCar"/>
    <w:uiPriority w:val="99"/>
    <w:unhideWhenUsed/>
    <w:rsid w:val="00A16B6C"/>
    <w:pPr>
      <w:spacing w:after="120"/>
      <w:ind w:left="283"/>
    </w:pPr>
  </w:style>
  <w:style w:type="character" w:customStyle="1" w:styleId="SangradetextonormalCar">
    <w:name w:val="Sangría de texto normal Car"/>
    <w:basedOn w:val="Fuentedeprrafopredeter"/>
    <w:link w:val="Sangradetextonormal"/>
    <w:uiPriority w:val="99"/>
    <w:rsid w:val="00A16B6C"/>
  </w:style>
  <w:style w:type="paragraph" w:styleId="Textoindependienteprimerasangra2">
    <w:name w:val="Body Text First Indent 2"/>
    <w:basedOn w:val="Sangradetextonormal"/>
    <w:link w:val="Textoindependienteprimerasangra2Car"/>
    <w:uiPriority w:val="99"/>
    <w:unhideWhenUsed/>
    <w:rsid w:val="00A16B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6B6C"/>
  </w:style>
  <w:style w:type="numbering" w:customStyle="1" w:styleId="Sinlista1">
    <w:name w:val="Sin lista1"/>
    <w:next w:val="Sinlista"/>
    <w:uiPriority w:val="99"/>
    <w:semiHidden/>
    <w:unhideWhenUsed/>
    <w:rsid w:val="00633AF6"/>
  </w:style>
  <w:style w:type="character" w:customStyle="1" w:styleId="Hipervnculovisitado1">
    <w:name w:val="Hipervínculo visitado1"/>
    <w:basedOn w:val="Fuentedeprrafopredeter"/>
    <w:uiPriority w:val="99"/>
    <w:semiHidden/>
    <w:unhideWhenUsed/>
    <w:rsid w:val="00633AF6"/>
    <w:rPr>
      <w:color w:val="954F72"/>
      <w:u w:val="single"/>
    </w:rPr>
  </w:style>
  <w:style w:type="character" w:styleId="Hipervnculovisitado">
    <w:name w:val="FollowedHyperlink"/>
    <w:basedOn w:val="Fuentedeprrafopredeter"/>
    <w:uiPriority w:val="99"/>
    <w:semiHidden/>
    <w:unhideWhenUsed/>
    <w:rsid w:val="00633AF6"/>
    <w:rPr>
      <w:color w:val="954F72" w:themeColor="followedHyperlink"/>
      <w:u w:val="single"/>
    </w:rPr>
  </w:style>
  <w:style w:type="character" w:customStyle="1" w:styleId="Mencinsinresolver2">
    <w:name w:val="Mención sin resolver2"/>
    <w:basedOn w:val="Fuentedeprrafopredeter"/>
    <w:uiPriority w:val="99"/>
    <w:semiHidden/>
    <w:unhideWhenUsed/>
    <w:rsid w:val="00915680"/>
    <w:rPr>
      <w:color w:val="605E5C"/>
      <w:shd w:val="clear" w:color="auto" w:fill="E1DFDD"/>
    </w:rPr>
  </w:style>
  <w:style w:type="paragraph" w:styleId="TDC3">
    <w:name w:val="toc 3"/>
    <w:basedOn w:val="Normal"/>
    <w:next w:val="Normal"/>
    <w:autoRedefine/>
    <w:uiPriority w:val="39"/>
    <w:unhideWhenUsed/>
    <w:rsid w:val="008C559D"/>
    <w:pPr>
      <w:spacing w:after="100"/>
      <w:ind w:left="440"/>
    </w:pPr>
  </w:style>
  <w:style w:type="character" w:customStyle="1" w:styleId="Mencinsinresolver3">
    <w:name w:val="Mención sin resolver3"/>
    <w:basedOn w:val="Fuentedeprrafopredeter"/>
    <w:uiPriority w:val="99"/>
    <w:semiHidden/>
    <w:unhideWhenUsed/>
    <w:rsid w:val="00A76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4110">
      <w:bodyDiv w:val="1"/>
      <w:marLeft w:val="0"/>
      <w:marRight w:val="0"/>
      <w:marTop w:val="0"/>
      <w:marBottom w:val="0"/>
      <w:divBdr>
        <w:top w:val="none" w:sz="0" w:space="0" w:color="auto"/>
        <w:left w:val="none" w:sz="0" w:space="0" w:color="auto"/>
        <w:bottom w:val="none" w:sz="0" w:space="0" w:color="auto"/>
        <w:right w:val="none" w:sz="0" w:space="0" w:color="auto"/>
      </w:divBdr>
    </w:div>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8363575">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23496099">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991597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44854934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085226500">
      <w:bodyDiv w:val="1"/>
      <w:marLeft w:val="0"/>
      <w:marRight w:val="0"/>
      <w:marTop w:val="0"/>
      <w:marBottom w:val="0"/>
      <w:divBdr>
        <w:top w:val="none" w:sz="0" w:space="0" w:color="auto"/>
        <w:left w:val="none" w:sz="0" w:space="0" w:color="auto"/>
        <w:bottom w:val="none" w:sz="0" w:space="0" w:color="auto"/>
        <w:right w:val="none" w:sz="0" w:space="0" w:color="auto"/>
      </w:divBdr>
    </w:div>
    <w:div w:id="1101997289">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39303449">
      <w:bodyDiv w:val="1"/>
      <w:marLeft w:val="0"/>
      <w:marRight w:val="0"/>
      <w:marTop w:val="0"/>
      <w:marBottom w:val="0"/>
      <w:divBdr>
        <w:top w:val="none" w:sz="0" w:space="0" w:color="auto"/>
        <w:left w:val="none" w:sz="0" w:space="0" w:color="auto"/>
        <w:bottom w:val="none" w:sz="0" w:space="0" w:color="auto"/>
        <w:right w:val="none" w:sz="0" w:space="0" w:color="auto"/>
      </w:divBdr>
    </w:div>
    <w:div w:id="1177424634">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sChild>
    </w:div>
    <w:div w:id="1261256454">
      <w:bodyDiv w:val="1"/>
      <w:marLeft w:val="0"/>
      <w:marRight w:val="0"/>
      <w:marTop w:val="0"/>
      <w:marBottom w:val="0"/>
      <w:divBdr>
        <w:top w:val="none" w:sz="0" w:space="0" w:color="auto"/>
        <w:left w:val="none" w:sz="0" w:space="0" w:color="auto"/>
        <w:bottom w:val="none" w:sz="0" w:space="0" w:color="auto"/>
        <w:right w:val="none" w:sz="0" w:space="0" w:color="auto"/>
      </w:divBdr>
    </w:div>
    <w:div w:id="1268780074">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28337511">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876510104">
          <w:marLeft w:val="0"/>
          <w:marRight w:val="0"/>
          <w:marTop w:val="0"/>
          <w:marBottom w:val="101"/>
          <w:divBdr>
            <w:top w:val="none" w:sz="0" w:space="0" w:color="auto"/>
            <w:left w:val="none" w:sz="0" w:space="0" w:color="auto"/>
            <w:bottom w:val="none" w:sz="0" w:space="0" w:color="auto"/>
            <w:right w:val="none" w:sz="0" w:space="0" w:color="auto"/>
          </w:divBdr>
        </w:div>
      </w:divsChild>
    </w:div>
    <w:div w:id="1399865906">
      <w:bodyDiv w:val="1"/>
      <w:marLeft w:val="0"/>
      <w:marRight w:val="0"/>
      <w:marTop w:val="0"/>
      <w:marBottom w:val="0"/>
      <w:divBdr>
        <w:top w:val="none" w:sz="0" w:space="0" w:color="auto"/>
        <w:left w:val="none" w:sz="0" w:space="0" w:color="auto"/>
        <w:bottom w:val="none" w:sz="0" w:space="0" w:color="auto"/>
        <w:right w:val="none" w:sz="0" w:space="0" w:color="auto"/>
      </w:divBdr>
    </w:div>
    <w:div w:id="1406878190">
      <w:bodyDiv w:val="1"/>
      <w:marLeft w:val="0"/>
      <w:marRight w:val="0"/>
      <w:marTop w:val="0"/>
      <w:marBottom w:val="0"/>
      <w:divBdr>
        <w:top w:val="none" w:sz="0" w:space="0" w:color="auto"/>
        <w:left w:val="none" w:sz="0" w:space="0" w:color="auto"/>
        <w:bottom w:val="none" w:sz="0" w:space="0" w:color="auto"/>
        <w:right w:val="none" w:sz="0" w:space="0" w:color="auto"/>
      </w:divBdr>
    </w:div>
    <w:div w:id="1427073694">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94781370">
      <w:bodyDiv w:val="1"/>
      <w:marLeft w:val="0"/>
      <w:marRight w:val="0"/>
      <w:marTop w:val="0"/>
      <w:marBottom w:val="0"/>
      <w:divBdr>
        <w:top w:val="none" w:sz="0" w:space="0" w:color="auto"/>
        <w:left w:val="none" w:sz="0" w:space="0" w:color="auto"/>
        <w:bottom w:val="none" w:sz="0" w:space="0" w:color="auto"/>
        <w:right w:val="none" w:sz="0" w:space="0" w:color="auto"/>
      </w:divBdr>
    </w:div>
    <w:div w:id="1636787790">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05105630">
          <w:marLeft w:val="0"/>
          <w:marRight w:val="0"/>
          <w:marTop w:val="0"/>
          <w:marBottom w:val="101"/>
          <w:divBdr>
            <w:top w:val="none" w:sz="0" w:space="0" w:color="auto"/>
            <w:left w:val="none" w:sz="0" w:space="0" w:color="auto"/>
            <w:bottom w:val="none" w:sz="0" w:space="0" w:color="auto"/>
            <w:right w:val="none" w:sz="0" w:space="0" w:color="auto"/>
          </w:divBdr>
        </w:div>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58691269">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8219941">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38695800">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41758140">
          <w:marLeft w:val="0"/>
          <w:marRight w:val="0"/>
          <w:marTop w:val="0"/>
          <w:marBottom w:val="82"/>
          <w:divBdr>
            <w:top w:val="none" w:sz="0" w:space="0" w:color="auto"/>
            <w:left w:val="none" w:sz="0" w:space="0" w:color="auto"/>
            <w:bottom w:val="none" w:sz="0" w:space="0" w:color="auto"/>
            <w:right w:val="none" w:sz="0" w:space="0" w:color="auto"/>
          </w:divBdr>
        </w:div>
        <w:div w:id="50346836">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dondehayferia.com/feria-regional-ixtlahuaca-2017" TargetMode="External"/><Relationship Id="rId1" Type="http://schemas.openxmlformats.org/officeDocument/2006/relationships/hyperlink" Target="https://www.dondehayferia.com/feria-ixtlahuaca-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5977-B497-4180-B292-2B995BF09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94</Pages>
  <Words>21417</Words>
  <Characters>117799</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2020-10-22T21:22:00Z</cp:lastPrinted>
  <dcterms:created xsi:type="dcterms:W3CDTF">2020-10-23T19:59:00Z</dcterms:created>
  <dcterms:modified xsi:type="dcterms:W3CDTF">2020-11-23T21:06:00Z</dcterms:modified>
</cp:coreProperties>
</file>