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3841" w:rsidRPr="00100412" w:rsidRDefault="001E4363" w:rsidP="00744368">
      <w:pPr>
        <w:spacing w:before="240" w:after="240" w:line="360" w:lineRule="auto"/>
        <w:jc w:val="center"/>
        <w:rPr>
          <w:rFonts w:ascii="Palatino Linotype" w:hAnsi="Palatino Linotype"/>
          <w:b/>
          <w:lang w:val="es-ES_tradnl"/>
        </w:rPr>
      </w:pPr>
      <w:r w:rsidRPr="00100412">
        <w:rPr>
          <w:rFonts w:ascii="Palatino Linotype" w:hAnsi="Palatino Linotype"/>
          <w:b/>
          <w:lang w:val="es-ES_tradnl"/>
        </w:rPr>
        <w:t>RESUMEN DE LA RESOLUCIÓN</w:t>
      </w:r>
    </w:p>
    <w:p w:rsidR="00252343" w:rsidRPr="00100412" w:rsidRDefault="00252343" w:rsidP="008E1E4F">
      <w:pPr>
        <w:spacing w:before="240" w:after="240" w:line="360" w:lineRule="auto"/>
        <w:jc w:val="both"/>
        <w:rPr>
          <w:rFonts w:ascii="Palatino Linotype" w:hAnsi="Palatino Linotype"/>
          <w:lang w:val="es-ES_tradnl"/>
        </w:rPr>
      </w:pPr>
      <w:bookmarkStart w:id="0" w:name="_Toc476570283"/>
      <w:r w:rsidRPr="00100412">
        <w:rPr>
          <w:rFonts w:ascii="Palatino Linotype" w:hAnsi="Palatino Linotype"/>
          <w:lang w:val="es-ES_tradnl"/>
        </w:rPr>
        <w:t>El artículo 160 de la Ley General Transparencia y Acceso a la Información P</w:t>
      </w:r>
      <w:r w:rsidR="006647AF" w:rsidRPr="00100412">
        <w:rPr>
          <w:rFonts w:ascii="Palatino Linotype" w:hAnsi="Palatino Linotype"/>
          <w:lang w:val="es-ES_tradnl"/>
        </w:rPr>
        <w:t>ública, delimita de manera categórica</w:t>
      </w:r>
      <w:r w:rsidRPr="00100412">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100412" w:rsidRDefault="00252343" w:rsidP="008E1E4F">
      <w:pPr>
        <w:spacing w:before="240" w:after="240" w:line="360" w:lineRule="auto"/>
        <w:jc w:val="both"/>
        <w:rPr>
          <w:rFonts w:ascii="Palatino Linotype" w:hAnsi="Palatino Linotype"/>
          <w:lang w:val="es-ES_tradnl"/>
        </w:rPr>
      </w:pPr>
      <w:r w:rsidRPr="00100412">
        <w:rPr>
          <w:rFonts w:ascii="Palatino Linotype" w:hAnsi="Palatino Linotype"/>
          <w:lang w:val="es-ES_tradnl"/>
        </w:rPr>
        <w:t xml:space="preserve">Resulta evidente, incuestionable e </w:t>
      </w:r>
      <w:r w:rsidR="006647AF" w:rsidRPr="00100412">
        <w:rPr>
          <w:rFonts w:ascii="Palatino Linotype" w:hAnsi="Palatino Linotype"/>
          <w:lang w:val="es-ES_tradnl"/>
        </w:rPr>
        <w:t>indiscutible</w:t>
      </w:r>
      <w:r w:rsidRPr="00100412">
        <w:rPr>
          <w:rFonts w:ascii="Palatino Linotype" w:hAnsi="Palatino Linotype"/>
          <w:lang w:val="es-ES_tradnl"/>
        </w:rPr>
        <w:t xml:space="preserve"> que la resolución recurrida, dictada por este Órgano Ga</w:t>
      </w:r>
      <w:r w:rsidR="002C3C43" w:rsidRPr="00100412">
        <w:rPr>
          <w:rFonts w:ascii="Palatino Linotype" w:hAnsi="Palatino Linotype"/>
          <w:lang w:val="es-ES_tradnl"/>
        </w:rPr>
        <w:t xml:space="preserve">rante en fecha </w:t>
      </w:r>
      <w:r w:rsidR="005254EB" w:rsidRPr="00100412">
        <w:rPr>
          <w:rFonts w:ascii="Palatino Linotype" w:hAnsi="Palatino Linotype"/>
          <w:lang w:val="es-ES_tradnl"/>
        </w:rPr>
        <w:t>siete</w:t>
      </w:r>
      <w:r w:rsidR="00CF0EA2" w:rsidRPr="00100412">
        <w:rPr>
          <w:rFonts w:ascii="Palatino Linotype" w:hAnsi="Palatino Linotype"/>
          <w:lang w:val="es-ES_tradnl"/>
        </w:rPr>
        <w:t xml:space="preserve"> </w:t>
      </w:r>
      <w:r w:rsidR="00744368" w:rsidRPr="00100412">
        <w:rPr>
          <w:rFonts w:ascii="Palatino Linotype" w:hAnsi="Palatino Linotype"/>
          <w:lang w:val="es-ES_tradnl"/>
        </w:rPr>
        <w:t>(</w:t>
      </w:r>
      <w:r w:rsidR="005254EB" w:rsidRPr="00100412">
        <w:rPr>
          <w:rFonts w:ascii="Palatino Linotype" w:hAnsi="Palatino Linotype"/>
          <w:lang w:val="es-ES_tradnl"/>
        </w:rPr>
        <w:t>07</w:t>
      </w:r>
      <w:r w:rsidR="00744368" w:rsidRPr="00100412">
        <w:rPr>
          <w:rFonts w:ascii="Palatino Linotype" w:hAnsi="Palatino Linotype"/>
          <w:lang w:val="es-ES_tradnl"/>
        </w:rPr>
        <w:t xml:space="preserve">) de </w:t>
      </w:r>
      <w:r w:rsidR="005254EB" w:rsidRPr="00100412">
        <w:rPr>
          <w:rFonts w:ascii="Palatino Linotype" w:hAnsi="Palatino Linotype"/>
          <w:lang w:val="es-ES_tradnl"/>
        </w:rPr>
        <w:t>octu</w:t>
      </w:r>
      <w:r w:rsidR="00744368" w:rsidRPr="00100412">
        <w:rPr>
          <w:rFonts w:ascii="Palatino Linotype" w:hAnsi="Palatino Linotype"/>
          <w:lang w:val="es-ES_tradnl"/>
        </w:rPr>
        <w:t xml:space="preserve">bre de dos mil veinte, </w:t>
      </w:r>
      <w:r w:rsidRPr="00100412">
        <w:rPr>
          <w:rFonts w:ascii="Palatino Linotype" w:hAnsi="Palatino Linotype"/>
          <w:lang w:val="es-ES_tradnl"/>
        </w:rPr>
        <w:t xml:space="preserve">en el recurso de revisión </w:t>
      </w:r>
      <w:r w:rsidR="005254EB" w:rsidRPr="00100412">
        <w:rPr>
          <w:rFonts w:ascii="Palatino Linotype" w:hAnsi="Palatino Linotype"/>
          <w:lang w:val="es-ES_tradnl"/>
        </w:rPr>
        <w:t>03183</w:t>
      </w:r>
      <w:r w:rsidR="00D275B7" w:rsidRPr="00100412">
        <w:rPr>
          <w:rFonts w:ascii="Palatino Linotype" w:hAnsi="Palatino Linotype"/>
          <w:lang w:val="es-ES_tradnl"/>
        </w:rPr>
        <w:t>/INFOEM</w:t>
      </w:r>
      <w:r w:rsidR="005254EB" w:rsidRPr="00100412">
        <w:rPr>
          <w:rFonts w:ascii="Palatino Linotype" w:hAnsi="Palatino Linotype"/>
          <w:lang w:val="es-ES_tradnl"/>
        </w:rPr>
        <w:t>/IP/RR/2020</w:t>
      </w:r>
      <w:r w:rsidRPr="00100412">
        <w:rPr>
          <w:rFonts w:ascii="Palatino Linotype" w:hAnsi="Palatino Linotype"/>
          <w:lang w:val="es-ES_tradnl"/>
        </w:rPr>
        <w:t>, no implica ninguno de los supuestos anteriores, por lo que</w:t>
      </w:r>
      <w:r w:rsidR="006647AF" w:rsidRPr="00100412">
        <w:rPr>
          <w:rFonts w:ascii="Palatino Linotype" w:hAnsi="Palatino Linotype"/>
          <w:lang w:val="es-ES_tradnl"/>
        </w:rPr>
        <w:t xml:space="preserve"> a</w:t>
      </w:r>
      <w:r w:rsidRPr="00100412">
        <w:rPr>
          <w:rFonts w:ascii="Palatino Linotype" w:hAnsi="Palatino Linotype"/>
          <w:lang w:val="es-ES_tradnl"/>
        </w:rPr>
        <w:t xml:space="preserve">l estar evidenciado que no se colmaban los supuestos necesarios para la procedencia, </w:t>
      </w:r>
      <w:r w:rsidR="002E6038" w:rsidRPr="00100412">
        <w:rPr>
          <w:rFonts w:ascii="Palatino Linotype" w:hAnsi="Palatino Linotype"/>
          <w:lang w:val="es-ES_tradnl"/>
        </w:rPr>
        <w:t>puede afectarse</w:t>
      </w:r>
      <w:r w:rsidRPr="00100412">
        <w:rPr>
          <w:rFonts w:ascii="Palatino Linotype" w:hAnsi="Palatino Linotype"/>
          <w:lang w:val="es-ES_tradnl"/>
        </w:rPr>
        <w:t xml:space="preserve"> el principio de legalidad</w:t>
      </w:r>
      <w:r w:rsidR="006647AF" w:rsidRPr="00100412">
        <w:rPr>
          <w:rFonts w:ascii="Palatino Linotype" w:hAnsi="Palatino Linotype"/>
          <w:lang w:val="es-ES_tradnl"/>
        </w:rPr>
        <w:t>;</w:t>
      </w:r>
      <w:r w:rsidRPr="00100412">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D275B7" w:rsidRPr="00100412" w:rsidRDefault="006647AF" w:rsidP="00055959">
      <w:pPr>
        <w:shd w:val="clear" w:color="auto" w:fill="FFFFFF"/>
        <w:tabs>
          <w:tab w:val="left" w:pos="0"/>
        </w:tabs>
        <w:spacing w:before="240" w:after="150" w:line="360" w:lineRule="auto"/>
        <w:ind w:right="49"/>
        <w:jc w:val="both"/>
        <w:rPr>
          <w:rFonts w:ascii="Palatino Linotype" w:hAnsi="Palatino Linotype"/>
          <w:lang w:val="es-ES_tradnl"/>
        </w:rPr>
      </w:pPr>
      <w:r w:rsidRPr="00100412">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2423EF" w:rsidRPr="00100412">
        <w:rPr>
          <w:rFonts w:ascii="Palatino Linotype" w:hAnsi="Palatino Linotype"/>
          <w:lang w:val="es-ES_tradnl"/>
        </w:rPr>
        <w:t>185/20</w:t>
      </w:r>
      <w:r w:rsidRPr="00100412">
        <w:rPr>
          <w:rFonts w:ascii="Palatino Linotype" w:hAnsi="Palatino Linotype"/>
          <w:lang w:val="es-ES_tradnl"/>
        </w:rPr>
        <w:t xml:space="preserve">, </w:t>
      </w:r>
      <w:r w:rsidR="002E6038" w:rsidRPr="00100412">
        <w:rPr>
          <w:rFonts w:ascii="Palatino Linotype" w:hAnsi="Palatino Linotype"/>
          <w:lang w:val="es-ES_tradnl"/>
        </w:rPr>
        <w:t xml:space="preserve">instruye a este Instituto para que emita una nueva resolución en la que </w:t>
      </w:r>
      <w:r w:rsidR="00252343" w:rsidRPr="00100412">
        <w:rPr>
          <w:rFonts w:ascii="Palatino Linotype" w:hAnsi="Palatino Linotype"/>
          <w:lang w:val="es-ES_tradnl"/>
        </w:rPr>
        <w:t>orden</w:t>
      </w:r>
      <w:r w:rsidR="002E6038" w:rsidRPr="00100412">
        <w:rPr>
          <w:rFonts w:ascii="Palatino Linotype" w:hAnsi="Palatino Linotype"/>
          <w:lang w:val="es-ES_tradnl"/>
        </w:rPr>
        <w:t>e a</w:t>
      </w:r>
      <w:r w:rsidR="00252343" w:rsidRPr="00100412">
        <w:rPr>
          <w:rFonts w:ascii="Palatino Linotype" w:hAnsi="Palatino Linotype"/>
          <w:lang w:val="es-ES_tradnl"/>
        </w:rPr>
        <w:t>l Sujeto Obligado</w:t>
      </w:r>
      <w:r w:rsidR="002E6038" w:rsidRPr="00100412">
        <w:rPr>
          <w:rFonts w:ascii="Palatino Linotype" w:hAnsi="Palatino Linotype"/>
          <w:lang w:val="es-ES_tradnl"/>
        </w:rPr>
        <w:t>,</w:t>
      </w:r>
      <w:r w:rsidR="00252343" w:rsidRPr="00100412">
        <w:rPr>
          <w:rFonts w:ascii="Palatino Linotype" w:hAnsi="Palatino Linotype"/>
          <w:lang w:val="es-ES_tradnl"/>
        </w:rPr>
        <w:t xml:space="preserve"> </w:t>
      </w:r>
      <w:r w:rsidR="00744368" w:rsidRPr="00100412">
        <w:rPr>
          <w:rFonts w:ascii="Palatino Linotype" w:hAnsi="Palatino Linotype"/>
          <w:lang w:val="es-ES_tradnl"/>
        </w:rPr>
        <w:t>a realizar la entrega</w:t>
      </w:r>
      <w:r w:rsidR="001C2C27" w:rsidRPr="00100412">
        <w:rPr>
          <w:rFonts w:ascii="Palatino Linotype" w:hAnsi="Palatino Linotype"/>
          <w:lang w:val="es-ES_tradnl"/>
        </w:rPr>
        <w:t>,</w:t>
      </w:r>
      <w:r w:rsidR="00744368" w:rsidRPr="00100412">
        <w:rPr>
          <w:rFonts w:ascii="Palatino Linotype" w:hAnsi="Palatino Linotype"/>
          <w:lang w:val="es-ES_tradnl"/>
        </w:rPr>
        <w:t xml:space="preserve"> </w:t>
      </w:r>
      <w:r w:rsidR="001C2C27" w:rsidRPr="00100412">
        <w:rPr>
          <w:rFonts w:ascii="Palatino Linotype" w:hAnsi="Palatino Linotype"/>
          <w:lang w:val="es-ES_tradnl"/>
        </w:rPr>
        <w:t>d</w:t>
      </w:r>
      <w:r w:rsidR="001C2C27" w:rsidRPr="00100412">
        <w:rPr>
          <w:rFonts w:ascii="Palatino Linotype" w:hAnsi="Palatino Linotype"/>
          <w:color w:val="000000"/>
        </w:rPr>
        <w:t xml:space="preserve">el Secretario del </w:t>
      </w:r>
      <w:r w:rsidR="001C2C27" w:rsidRPr="00100412">
        <w:rPr>
          <w:rFonts w:ascii="Palatino Linotype" w:hAnsi="Palatino Linotype"/>
          <w:color w:val="000000"/>
        </w:rPr>
        <w:lastRenderedPageBreak/>
        <w:t xml:space="preserve">Ayuntamiento, todos los </w:t>
      </w:r>
      <w:r w:rsidR="00100412" w:rsidRPr="00100412">
        <w:rPr>
          <w:rFonts w:ascii="Palatino Linotype" w:hAnsi="Palatino Linotype"/>
          <w:color w:val="000000"/>
        </w:rPr>
        <w:t>memorándums</w:t>
      </w:r>
      <w:r w:rsidR="001C2C27" w:rsidRPr="00100412">
        <w:rPr>
          <w:rFonts w:ascii="Palatino Linotype" w:hAnsi="Palatino Linotype"/>
          <w:color w:val="000000"/>
        </w:rPr>
        <w:t xml:space="preserve"> y oficios que le haya emitido el Presidente Municipal durante el ejercicio fiscal 2019.</w:t>
      </w:r>
    </w:p>
    <w:p w:rsidR="00744368" w:rsidRPr="00100412" w:rsidRDefault="006647AF" w:rsidP="008E1E4F">
      <w:pPr>
        <w:spacing w:before="240" w:after="240" w:line="360" w:lineRule="auto"/>
        <w:jc w:val="both"/>
        <w:rPr>
          <w:rFonts w:ascii="Palatino Linotype" w:eastAsia="MS Mincho" w:hAnsi="Palatino Linotype"/>
          <w:lang w:val="es-ES_tradnl"/>
        </w:rPr>
      </w:pPr>
      <w:r w:rsidRPr="00100412">
        <w:rPr>
          <w:rFonts w:ascii="Palatino Linotype" w:hAnsi="Palatino Linotype" w:cs="Arial"/>
          <w:lang w:val="es-ES_tradnl" w:eastAsia="es-MX"/>
        </w:rPr>
        <w:t>L</w:t>
      </w:r>
      <w:r w:rsidRPr="00100412">
        <w:rPr>
          <w:rFonts w:ascii="Palatino Linotype" w:hAnsi="Palatino Linotype"/>
          <w:lang w:val="es-ES_tradnl"/>
        </w:rPr>
        <w:t xml:space="preserve">o que resulta </w:t>
      </w:r>
      <w:r w:rsidR="002E6038" w:rsidRPr="00100412">
        <w:rPr>
          <w:rFonts w:ascii="Palatino Linotype" w:hAnsi="Palatino Linotype"/>
          <w:lang w:val="es-ES_tradnl"/>
        </w:rPr>
        <w:t>inverso</w:t>
      </w:r>
      <w:r w:rsidRPr="00100412">
        <w:rPr>
          <w:rFonts w:ascii="Palatino Linotype" w:hAnsi="Palatino Linotype"/>
          <w:lang w:val="es-ES_tradnl"/>
        </w:rPr>
        <w:t xml:space="preserve"> a los principios </w:t>
      </w:r>
      <w:r w:rsidRPr="00100412">
        <w:rPr>
          <w:rFonts w:ascii="Palatino Linotype" w:eastAsia="MS Mincho" w:hAnsi="Palatino Linotype"/>
          <w:lang w:val="es-ES_tradnl"/>
        </w:rPr>
        <w:t>de simplicidad y rapidez, bajo los cuales se rige el derecho de acceso a la información, y a</w:t>
      </w:r>
      <w:r w:rsidR="002C3C43" w:rsidRPr="00100412">
        <w:rPr>
          <w:rFonts w:ascii="Palatino Linotype" w:eastAsia="MS Mincho" w:hAnsi="Palatino Linotype"/>
          <w:lang w:val="es-ES_tradnl"/>
        </w:rPr>
        <w:t xml:space="preserve"> </w:t>
      </w:r>
      <w:r w:rsidRPr="00100412">
        <w:rPr>
          <w:rFonts w:ascii="Palatino Linotype" w:eastAsia="MS Mincho" w:hAnsi="Palatino Linotype"/>
          <w:lang w:val="es-ES_tradnl"/>
        </w:rPr>
        <w:t>l</w:t>
      </w:r>
      <w:r w:rsidR="002C3C43" w:rsidRPr="00100412">
        <w:rPr>
          <w:rFonts w:ascii="Palatino Linotype" w:eastAsia="MS Mincho" w:hAnsi="Palatino Linotype"/>
          <w:lang w:val="es-ES_tradnl"/>
        </w:rPr>
        <w:t>os</w:t>
      </w:r>
      <w:r w:rsidRPr="00100412">
        <w:rPr>
          <w:rFonts w:ascii="Palatino Linotype" w:eastAsia="MS Mincho" w:hAnsi="Palatino Linotype"/>
          <w:lang w:val="es-ES_tradnl"/>
        </w:rPr>
        <w:t xml:space="preserve"> cual</w:t>
      </w:r>
      <w:r w:rsidR="002C3C43" w:rsidRPr="00100412">
        <w:rPr>
          <w:rFonts w:ascii="Palatino Linotype" w:eastAsia="MS Mincho" w:hAnsi="Palatino Linotype"/>
          <w:lang w:val="es-ES_tradnl"/>
        </w:rPr>
        <w:t>es</w:t>
      </w:r>
      <w:r w:rsidRPr="00100412">
        <w:rPr>
          <w:rFonts w:ascii="Palatino Linotype" w:eastAsia="MS Mincho" w:hAnsi="Palatino Linotype"/>
          <w:lang w:val="es-ES_tradnl"/>
        </w:rPr>
        <w:t xml:space="preserve"> dio observancia este Instituto al</w:t>
      </w:r>
      <w:r w:rsidR="00300EBF" w:rsidRPr="00100412">
        <w:rPr>
          <w:rFonts w:ascii="Palatino Linotype" w:eastAsia="MS Mincho" w:hAnsi="Palatino Linotype"/>
          <w:lang w:val="es-ES_tradnl"/>
        </w:rPr>
        <w:t xml:space="preserve"> emi</w:t>
      </w:r>
      <w:r w:rsidR="006D12DF" w:rsidRPr="00100412">
        <w:rPr>
          <w:rFonts w:ascii="Palatino Linotype" w:eastAsia="MS Mincho" w:hAnsi="Palatino Linotype"/>
          <w:lang w:val="es-ES_tradnl"/>
        </w:rPr>
        <w:t>tir s</w:t>
      </w:r>
      <w:r w:rsidR="009F1A1E" w:rsidRPr="00100412">
        <w:rPr>
          <w:rFonts w:ascii="Palatino Linotype" w:eastAsia="MS Mincho" w:hAnsi="Palatino Linotype"/>
          <w:lang w:val="es-ES_tradnl"/>
        </w:rPr>
        <w:t xml:space="preserve">u resolución de fecha </w:t>
      </w:r>
      <w:r w:rsidR="001C2C27" w:rsidRPr="00100412">
        <w:rPr>
          <w:rFonts w:ascii="Palatino Linotype" w:eastAsia="MS Mincho" w:hAnsi="Palatino Linotype"/>
          <w:lang w:val="es-ES_tradnl"/>
        </w:rPr>
        <w:t>siete</w:t>
      </w:r>
      <w:r w:rsidR="00744368" w:rsidRPr="00100412">
        <w:rPr>
          <w:rFonts w:ascii="Palatino Linotype" w:eastAsia="MS Mincho" w:hAnsi="Palatino Linotype"/>
          <w:lang w:val="es-ES_tradnl"/>
        </w:rPr>
        <w:t xml:space="preserve"> (</w:t>
      </w:r>
      <w:r w:rsidR="001C2C27" w:rsidRPr="00100412">
        <w:rPr>
          <w:rFonts w:ascii="Palatino Linotype" w:eastAsia="MS Mincho" w:hAnsi="Palatino Linotype"/>
          <w:lang w:val="es-ES_tradnl"/>
        </w:rPr>
        <w:t>07</w:t>
      </w:r>
      <w:r w:rsidR="00744368" w:rsidRPr="00100412">
        <w:rPr>
          <w:rFonts w:ascii="Palatino Linotype" w:eastAsia="MS Mincho" w:hAnsi="Palatino Linotype"/>
          <w:lang w:val="es-ES_tradnl"/>
        </w:rPr>
        <w:t xml:space="preserve">) de </w:t>
      </w:r>
      <w:r w:rsidR="001C2C27" w:rsidRPr="00100412">
        <w:rPr>
          <w:rFonts w:ascii="Palatino Linotype" w:eastAsia="MS Mincho" w:hAnsi="Palatino Linotype"/>
          <w:lang w:val="es-ES_tradnl"/>
        </w:rPr>
        <w:t>octu</w:t>
      </w:r>
      <w:r w:rsidR="006D12DF" w:rsidRPr="00100412">
        <w:rPr>
          <w:rFonts w:ascii="Palatino Linotype" w:eastAsia="MS Mincho" w:hAnsi="Palatino Linotype"/>
          <w:lang w:val="es-ES_tradnl"/>
        </w:rPr>
        <w:t>bre</w:t>
      </w:r>
      <w:r w:rsidR="00744368" w:rsidRPr="00100412">
        <w:rPr>
          <w:rFonts w:ascii="Palatino Linotype" w:eastAsia="MS Mincho" w:hAnsi="Palatino Linotype"/>
          <w:lang w:val="es-ES_tradnl"/>
        </w:rPr>
        <w:t xml:space="preserve"> de dos mil veinte.</w:t>
      </w:r>
    </w:p>
    <w:p w:rsidR="00252343" w:rsidRPr="00100412" w:rsidRDefault="00FC71CA" w:rsidP="008E1E4F">
      <w:pPr>
        <w:spacing w:before="240" w:after="240" w:line="360" w:lineRule="auto"/>
        <w:jc w:val="both"/>
        <w:rPr>
          <w:rFonts w:ascii="Palatino Linotype" w:hAnsi="Palatino Linotype"/>
          <w:lang w:val="es-ES_tradnl"/>
        </w:rPr>
      </w:pPr>
      <w:r w:rsidRPr="00100412">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5D25A550" wp14:editId="0843E2A8">
                <wp:simplePos x="0" y="0"/>
                <wp:positionH relativeFrom="column">
                  <wp:posOffset>4862</wp:posOffset>
                </wp:positionH>
                <wp:positionV relativeFrom="paragraph">
                  <wp:posOffset>47122</wp:posOffset>
                </wp:positionV>
                <wp:extent cx="5377218" cy="4292221"/>
                <wp:effectExtent l="0" t="0" r="33020" b="32385"/>
                <wp:wrapNone/>
                <wp:docPr id="1" name="Conector recto 1"/>
                <wp:cNvGraphicFramePr/>
                <a:graphic xmlns:a="http://schemas.openxmlformats.org/drawingml/2006/main">
                  <a:graphicData uri="http://schemas.microsoft.com/office/word/2010/wordprocessingShape">
                    <wps:wsp>
                      <wps:cNvCnPr/>
                      <wps:spPr>
                        <a:xfrm>
                          <a:off x="0" y="0"/>
                          <a:ext cx="5377218" cy="42922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0274A"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7pt" to="423.8pt,3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" strokecolor="black [3200]" strokeweight=".5pt">
                <v:stroke joinstyle="miter"/>
              </v:line>
            </w:pict>
          </mc:Fallback>
        </mc:AlternateContent>
      </w:r>
    </w:p>
    <w:p w:rsidR="00FC71CA" w:rsidRPr="00100412" w:rsidRDefault="00FC71CA" w:rsidP="008E1E4F">
      <w:pPr>
        <w:spacing w:before="240" w:after="240" w:line="360" w:lineRule="auto"/>
        <w:jc w:val="both"/>
        <w:rPr>
          <w:rFonts w:ascii="Palatino Linotype" w:hAnsi="Palatino Linotype"/>
          <w:lang w:val="es-ES_tradnl"/>
        </w:rPr>
      </w:pPr>
    </w:p>
    <w:p w:rsidR="00FC71CA" w:rsidRPr="00100412" w:rsidRDefault="00FC71CA" w:rsidP="008E1E4F">
      <w:pPr>
        <w:spacing w:before="240" w:after="240" w:line="360" w:lineRule="auto"/>
        <w:jc w:val="both"/>
        <w:rPr>
          <w:rFonts w:ascii="Palatino Linotype" w:hAnsi="Palatino Linotype"/>
          <w:lang w:val="es-ES_tradnl"/>
        </w:rPr>
      </w:pPr>
    </w:p>
    <w:p w:rsidR="00FC71CA" w:rsidRPr="00100412" w:rsidRDefault="00FC71CA" w:rsidP="008E1E4F">
      <w:pPr>
        <w:spacing w:before="240" w:after="240" w:line="360" w:lineRule="auto"/>
        <w:jc w:val="both"/>
        <w:rPr>
          <w:rFonts w:ascii="Palatino Linotype" w:hAnsi="Palatino Linotype"/>
          <w:lang w:val="es-ES_tradnl"/>
        </w:rPr>
      </w:pPr>
    </w:p>
    <w:p w:rsidR="00FC71CA" w:rsidRPr="00100412" w:rsidRDefault="00FC71CA" w:rsidP="008E1E4F">
      <w:pPr>
        <w:spacing w:before="240" w:after="240" w:line="360" w:lineRule="auto"/>
        <w:jc w:val="both"/>
        <w:rPr>
          <w:rFonts w:ascii="Palatino Linotype" w:hAnsi="Palatino Linotype"/>
          <w:lang w:val="es-ES_tradnl"/>
        </w:rPr>
      </w:pPr>
    </w:p>
    <w:p w:rsidR="00930475" w:rsidRPr="00100412" w:rsidRDefault="00930475" w:rsidP="008E1E4F">
      <w:pPr>
        <w:spacing w:before="240" w:after="240" w:line="360" w:lineRule="auto"/>
        <w:jc w:val="both"/>
        <w:rPr>
          <w:rFonts w:ascii="Palatino Linotype" w:hAnsi="Palatino Linotype"/>
          <w:lang w:val="es-ES_tradnl"/>
        </w:rPr>
      </w:pPr>
    </w:p>
    <w:p w:rsidR="009F1A1E" w:rsidRPr="00100412" w:rsidRDefault="009F1A1E" w:rsidP="008E1E4F">
      <w:pPr>
        <w:spacing w:before="240" w:after="240" w:line="360" w:lineRule="auto"/>
        <w:jc w:val="both"/>
        <w:rPr>
          <w:rFonts w:ascii="Palatino Linotype" w:hAnsi="Palatino Linotype"/>
          <w:lang w:val="es-ES_tradnl"/>
        </w:rPr>
      </w:pPr>
    </w:p>
    <w:p w:rsidR="009F1A1E" w:rsidRPr="00100412" w:rsidRDefault="009F1A1E" w:rsidP="008E1E4F">
      <w:pPr>
        <w:spacing w:before="240" w:after="240" w:line="360" w:lineRule="auto"/>
        <w:jc w:val="both"/>
        <w:rPr>
          <w:rFonts w:ascii="Palatino Linotype" w:hAnsi="Palatino Linotype"/>
          <w:lang w:val="es-ES_tradnl"/>
        </w:rPr>
      </w:pPr>
    </w:p>
    <w:p w:rsidR="00376FB6" w:rsidRPr="00100412" w:rsidRDefault="00376FB6" w:rsidP="008E1E4F">
      <w:pPr>
        <w:spacing w:before="240" w:after="240" w:line="360" w:lineRule="auto"/>
        <w:jc w:val="both"/>
        <w:rPr>
          <w:rFonts w:ascii="Palatino Linotype" w:hAnsi="Palatino Linotype"/>
          <w:lang w:val="es-ES_tradnl"/>
        </w:rPr>
      </w:pPr>
    </w:p>
    <w:p w:rsidR="009F1A1E" w:rsidRPr="00100412" w:rsidRDefault="009F1A1E" w:rsidP="008E1E4F">
      <w:pPr>
        <w:spacing w:before="240" w:after="240" w:line="360" w:lineRule="auto"/>
        <w:jc w:val="both"/>
        <w:rPr>
          <w:rFonts w:ascii="Palatino Linotype" w:hAnsi="Palatino Linotype"/>
          <w:lang w:val="es-ES_tradnl"/>
        </w:rPr>
      </w:pPr>
    </w:p>
    <w:p w:rsidR="00FC71CA" w:rsidRPr="00100412" w:rsidRDefault="00FC71CA" w:rsidP="008E1E4F">
      <w:pPr>
        <w:spacing w:before="240" w:after="240" w:line="360" w:lineRule="auto"/>
        <w:jc w:val="both"/>
        <w:rPr>
          <w:rFonts w:ascii="Palatino Linotype" w:hAnsi="Palatino Linotype"/>
          <w:lang w:val="es-ES_tradnl"/>
        </w:rPr>
      </w:pPr>
    </w:p>
    <w:bookmarkEnd w:id="0"/>
    <w:p w:rsidR="00333841" w:rsidRPr="00100412" w:rsidRDefault="00333841" w:rsidP="00C91589">
      <w:pPr>
        <w:spacing w:before="240" w:after="240" w:line="276" w:lineRule="auto"/>
        <w:jc w:val="center"/>
        <w:rPr>
          <w:rFonts w:ascii="Palatino Linotype" w:hAnsi="Palatino Linotype"/>
          <w:sz w:val="28"/>
          <w:szCs w:val="28"/>
          <w:lang w:val="es-ES_tradnl"/>
        </w:rPr>
      </w:pPr>
      <w:r w:rsidRPr="00100412">
        <w:rPr>
          <w:rFonts w:ascii="Palatino Linotype" w:hAnsi="Palatino Linotype"/>
          <w:b/>
          <w:sz w:val="28"/>
          <w:szCs w:val="28"/>
          <w:lang w:val="es-ES_tradnl"/>
        </w:rPr>
        <w:lastRenderedPageBreak/>
        <w:t>Índice</w:t>
      </w:r>
      <w:r w:rsidRPr="00100412">
        <w:rPr>
          <w:rFonts w:ascii="Palatino Linotype" w:hAnsi="Palatino Linotype"/>
          <w:sz w:val="28"/>
          <w:szCs w:val="28"/>
          <w:lang w:val="es-ES_tradnl"/>
        </w:rPr>
        <w:t>.</w:t>
      </w:r>
    </w:p>
    <w:sdt>
      <w:sdtPr>
        <w:rPr>
          <w:rFonts w:ascii="Palatino Linotype" w:eastAsiaTheme="minorEastAsia" w:hAnsi="Palatino Linotype" w:cstheme="minorBidi"/>
          <w:color w:val="auto"/>
          <w:sz w:val="24"/>
          <w:szCs w:val="28"/>
          <w:lang w:val="es-ES_tradnl" w:eastAsia="es-ES"/>
        </w:rPr>
        <w:id w:val="1703668029"/>
        <w:docPartObj>
          <w:docPartGallery w:val="Table of Contents"/>
          <w:docPartUnique/>
        </w:docPartObj>
      </w:sdtPr>
      <w:sdtEndPr>
        <w:rPr>
          <w:rFonts w:eastAsia="Times New Roman" w:cs="Times New Roman"/>
          <w:b/>
          <w:bCs/>
          <w:color w:val="FFFFFF" w:themeColor="background1"/>
          <w:szCs w:val="24"/>
          <w:lang w:eastAsia="es-ES_tradnl"/>
        </w:rPr>
      </w:sdtEndPr>
      <w:sdtContent>
        <w:p w:rsidR="00333841" w:rsidRPr="00100412" w:rsidRDefault="00333841" w:rsidP="00230F20">
          <w:pPr>
            <w:pStyle w:val="TtuloTDC"/>
            <w:spacing w:before="0" w:line="360" w:lineRule="auto"/>
            <w:jc w:val="both"/>
            <w:rPr>
              <w:rFonts w:ascii="Palatino Linotype" w:hAnsi="Palatino Linotype"/>
              <w:color w:val="auto"/>
              <w:sz w:val="6"/>
              <w:szCs w:val="28"/>
              <w:lang w:val="es-ES_tradnl"/>
            </w:rPr>
          </w:pPr>
        </w:p>
        <w:p w:rsidR="00090A44" w:rsidRPr="00100412" w:rsidRDefault="00333841" w:rsidP="00090A44">
          <w:pPr>
            <w:pStyle w:val="TDC1"/>
            <w:spacing w:after="0" w:line="480" w:lineRule="auto"/>
            <w:ind w:left="0"/>
            <w:rPr>
              <w:rFonts w:ascii="Palatino Linotype" w:eastAsiaTheme="minorEastAsia" w:hAnsi="Palatino Linotype" w:cstheme="minorBidi"/>
              <w:noProof/>
              <w:lang w:val="es-MX" w:eastAsia="es-MX"/>
            </w:rPr>
          </w:pPr>
          <w:r w:rsidRPr="00100412">
            <w:rPr>
              <w:rFonts w:ascii="Palatino Linotype" w:hAnsi="Palatino Linotype"/>
              <w:lang w:val="es-ES_tradnl"/>
            </w:rPr>
            <w:fldChar w:fldCharType="begin"/>
          </w:r>
          <w:r w:rsidRPr="00100412">
            <w:rPr>
              <w:rFonts w:ascii="Palatino Linotype" w:hAnsi="Palatino Linotype"/>
              <w:lang w:val="es-ES_tradnl"/>
            </w:rPr>
            <w:instrText xml:space="preserve"> TOC \o "1-3" \h \z \u </w:instrText>
          </w:r>
          <w:r w:rsidRPr="00100412">
            <w:rPr>
              <w:rFonts w:ascii="Palatino Linotype" w:hAnsi="Palatino Linotype"/>
              <w:lang w:val="es-ES_tradnl"/>
            </w:rPr>
            <w:fldChar w:fldCharType="separate"/>
          </w:r>
          <w:hyperlink w:anchor="_Toc68821509" w:history="1">
            <w:r w:rsidR="00090A44" w:rsidRPr="00100412">
              <w:rPr>
                <w:rStyle w:val="Hipervnculo"/>
                <w:rFonts w:ascii="Palatino Linotype" w:eastAsiaTheme="minorEastAsia" w:hAnsi="Palatino Linotype"/>
                <w:b/>
                <w:noProof/>
                <w:lang w:val="es-ES_tradnl"/>
              </w:rPr>
              <w:t>ANTECEDENTES</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_Toc68821509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5</w:t>
            </w:r>
            <w:r w:rsidR="00090A44" w:rsidRPr="00100412">
              <w:rPr>
                <w:rFonts w:ascii="Palatino Linotype" w:hAnsi="Palatino Linotype"/>
                <w:noProof/>
                <w:webHidden/>
              </w:rPr>
              <w:fldChar w:fldCharType="end"/>
            </w:r>
          </w:hyperlink>
        </w:p>
        <w:p w:rsidR="00090A44" w:rsidRPr="00100412" w:rsidRDefault="008D5B21" w:rsidP="00090A44">
          <w:pPr>
            <w:pStyle w:val="TDC1"/>
            <w:spacing w:after="0" w:line="480" w:lineRule="auto"/>
            <w:ind w:left="0"/>
            <w:rPr>
              <w:rFonts w:ascii="Palatino Linotype" w:eastAsiaTheme="minorEastAsia" w:hAnsi="Palatino Linotype" w:cstheme="minorBidi"/>
              <w:noProof/>
              <w:lang w:val="es-MX" w:eastAsia="es-MX"/>
            </w:rPr>
          </w:pPr>
          <w:hyperlink w:anchor="_Toc68821512" w:history="1">
            <w:r w:rsidR="00090A44" w:rsidRPr="00100412">
              <w:rPr>
                <w:rStyle w:val="Hipervnculo"/>
                <w:rFonts w:ascii="Palatino Linotype" w:eastAsiaTheme="minorEastAsia" w:hAnsi="Palatino Linotype"/>
                <w:b/>
                <w:noProof/>
                <w:lang w:val="es-ES_tradnl"/>
              </w:rPr>
              <w:t>CONSIDERANDO</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_Toc68821512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15</w:t>
            </w:r>
            <w:r w:rsidR="00090A44" w:rsidRPr="00100412">
              <w:rPr>
                <w:rFonts w:ascii="Palatino Linotype" w:hAnsi="Palatino Linotype"/>
                <w:noProof/>
                <w:webHidden/>
              </w:rPr>
              <w:fldChar w:fldCharType="end"/>
            </w:r>
          </w:hyperlink>
        </w:p>
        <w:p w:rsidR="00090A44" w:rsidRPr="00100412" w:rsidRDefault="008D5B21" w:rsidP="00090A44">
          <w:pPr>
            <w:pStyle w:val="TDC2"/>
            <w:spacing w:after="0"/>
            <w:rPr>
              <w:rFonts w:ascii="Palatino Linotype" w:eastAsiaTheme="minorEastAsia" w:hAnsi="Palatino Linotype" w:cstheme="minorBidi"/>
              <w:noProof/>
              <w:lang w:val="es-MX" w:eastAsia="es-MX"/>
            </w:rPr>
          </w:pPr>
          <w:hyperlink w:anchor="_Toc68821513" w:history="1">
            <w:r w:rsidR="00090A44" w:rsidRPr="00100412">
              <w:rPr>
                <w:rStyle w:val="Hipervnculo"/>
                <w:rFonts w:ascii="Palatino Linotype" w:eastAsiaTheme="minorEastAsia" w:hAnsi="Palatino Linotype"/>
                <w:b/>
                <w:noProof/>
                <w:lang w:val="es-ES_tradnl"/>
              </w:rPr>
              <w:t>PRIMERO. Atribuciones del INAI</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_Toc68821513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15</w:t>
            </w:r>
            <w:r w:rsidR="00090A44" w:rsidRPr="00100412">
              <w:rPr>
                <w:rFonts w:ascii="Palatino Linotype" w:hAnsi="Palatino Linotype"/>
                <w:noProof/>
                <w:webHidden/>
              </w:rPr>
              <w:fldChar w:fldCharType="end"/>
            </w:r>
          </w:hyperlink>
        </w:p>
        <w:p w:rsidR="00090A44" w:rsidRPr="00100412" w:rsidRDefault="008D5B21" w:rsidP="00090A44">
          <w:pPr>
            <w:pStyle w:val="TDC2"/>
            <w:spacing w:after="0"/>
            <w:rPr>
              <w:rFonts w:ascii="Palatino Linotype" w:eastAsiaTheme="minorEastAsia" w:hAnsi="Palatino Linotype" w:cstheme="minorBidi"/>
              <w:noProof/>
              <w:lang w:val="es-MX" w:eastAsia="es-MX"/>
            </w:rPr>
          </w:pPr>
          <w:hyperlink w:anchor="_Toc68821514" w:history="1">
            <w:r w:rsidR="00090A44" w:rsidRPr="00100412">
              <w:rPr>
                <w:rStyle w:val="Hipervnculo"/>
                <w:rFonts w:ascii="Palatino Linotype" w:eastAsiaTheme="minorEastAsia" w:hAnsi="Palatino Linotype"/>
                <w:b/>
                <w:noProof/>
                <w:lang w:val="es-ES_tradnl"/>
              </w:rPr>
              <w:t>SEGUNDO. Resolución y efectos</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_Toc68821514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16</w:t>
            </w:r>
            <w:r w:rsidR="00090A44" w:rsidRPr="00100412">
              <w:rPr>
                <w:rFonts w:ascii="Palatino Linotype" w:hAnsi="Palatino Linotype"/>
                <w:noProof/>
                <w:webHidden/>
              </w:rPr>
              <w:fldChar w:fldCharType="end"/>
            </w:r>
          </w:hyperlink>
        </w:p>
        <w:p w:rsidR="00090A44" w:rsidRPr="00100412" w:rsidRDefault="008D5B21" w:rsidP="00090A44">
          <w:pPr>
            <w:pStyle w:val="TDC1"/>
            <w:spacing w:after="0" w:line="480" w:lineRule="auto"/>
            <w:rPr>
              <w:rFonts w:ascii="Palatino Linotype" w:eastAsiaTheme="minorEastAsia" w:hAnsi="Palatino Linotype" w:cstheme="minorBidi"/>
              <w:noProof/>
              <w:lang w:val="es-MX" w:eastAsia="es-MX"/>
            </w:rPr>
          </w:pPr>
          <w:hyperlink w:anchor="_Toc68821515" w:history="1">
            <w:r w:rsidR="00090A44" w:rsidRPr="00100412">
              <w:rPr>
                <w:rStyle w:val="Hipervnculo"/>
                <w:rFonts w:ascii="Palatino Linotype" w:eastAsiaTheme="minorEastAsia" w:hAnsi="Palatino Linotype"/>
                <w:b/>
                <w:noProof/>
                <w:lang w:val="es-ES_tradnl"/>
              </w:rPr>
              <w:t>TERCERO. Consideraciones de especial pronunciamiento</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_Toc68821515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17</w:t>
            </w:r>
            <w:r w:rsidR="00090A44" w:rsidRPr="00100412">
              <w:rPr>
                <w:rFonts w:ascii="Palatino Linotype" w:hAnsi="Palatino Linotype"/>
                <w:noProof/>
                <w:webHidden/>
              </w:rPr>
              <w:fldChar w:fldCharType="end"/>
            </w:r>
          </w:hyperlink>
        </w:p>
        <w:p w:rsidR="00090A44" w:rsidRPr="00100412" w:rsidRDefault="008D5B21" w:rsidP="00090A44">
          <w:pPr>
            <w:pStyle w:val="TDC1"/>
            <w:tabs>
              <w:tab w:val="left" w:pos="1100"/>
            </w:tabs>
            <w:spacing w:after="0" w:line="480" w:lineRule="auto"/>
            <w:rPr>
              <w:rFonts w:ascii="Palatino Linotype" w:eastAsiaTheme="minorEastAsia" w:hAnsi="Palatino Linotype" w:cstheme="minorBidi"/>
              <w:noProof/>
              <w:lang w:val="es-MX" w:eastAsia="es-MX"/>
            </w:rPr>
          </w:pPr>
          <w:hyperlink w:anchor="_Toc68821516" w:history="1">
            <w:r w:rsidR="00090A44" w:rsidRPr="00100412">
              <w:rPr>
                <w:rStyle w:val="Hipervnculo"/>
                <w:rFonts w:ascii="Palatino Linotype" w:eastAsiaTheme="minorEastAsia" w:hAnsi="Palatino Linotype"/>
                <w:b/>
                <w:noProof/>
              </w:rPr>
              <w:t>I.</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rPr>
              <w:t>Del Principio de Legalidad</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_Toc68821516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17</w:t>
            </w:r>
            <w:r w:rsidR="00090A44" w:rsidRPr="00100412">
              <w:rPr>
                <w:rFonts w:ascii="Palatino Linotype" w:hAnsi="Palatino Linotype"/>
                <w:noProof/>
                <w:webHidden/>
              </w:rPr>
              <w:fldChar w:fldCharType="end"/>
            </w:r>
          </w:hyperlink>
        </w:p>
        <w:p w:rsidR="00090A44" w:rsidRPr="00100412" w:rsidRDefault="008D5B21" w:rsidP="00090A44">
          <w:pPr>
            <w:pStyle w:val="TDC1"/>
            <w:spacing w:after="0" w:line="480" w:lineRule="auto"/>
            <w:rPr>
              <w:rFonts w:ascii="Palatino Linotype" w:eastAsiaTheme="minorEastAsia" w:hAnsi="Palatino Linotype" w:cstheme="minorBidi"/>
              <w:noProof/>
              <w:lang w:val="es-MX" w:eastAsia="es-MX"/>
            </w:rPr>
          </w:pPr>
          <w:hyperlink w:anchor="_Toc68821517" w:history="1">
            <w:r w:rsidR="00090A44" w:rsidRPr="00100412">
              <w:rPr>
                <w:rStyle w:val="Hipervnculo"/>
                <w:rFonts w:ascii="Palatino Linotype" w:eastAsiaTheme="minorEastAsia" w:hAnsi="Palatino Linotype"/>
                <w:b/>
                <w:noProof/>
              </w:rPr>
              <w:t>II. De las causales legamente establecidas de procedencias del recurso de inconformidad establecido en el Ley General de Transparencia y Acceso a la Información Pública</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_Toc68821517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24</w:t>
            </w:r>
            <w:r w:rsidR="00090A44" w:rsidRPr="00100412">
              <w:rPr>
                <w:rFonts w:ascii="Palatino Linotype" w:hAnsi="Palatino Linotype"/>
                <w:noProof/>
                <w:webHidden/>
              </w:rPr>
              <w:fldChar w:fldCharType="end"/>
            </w:r>
          </w:hyperlink>
        </w:p>
        <w:p w:rsidR="00090A44" w:rsidRPr="00100412" w:rsidRDefault="008D5B21" w:rsidP="00090A44">
          <w:pPr>
            <w:pStyle w:val="TDC1"/>
            <w:tabs>
              <w:tab w:val="left" w:pos="1320"/>
            </w:tabs>
            <w:spacing w:after="0" w:line="480" w:lineRule="auto"/>
            <w:rPr>
              <w:rFonts w:ascii="Palatino Linotype" w:eastAsiaTheme="minorEastAsia" w:hAnsi="Palatino Linotype" w:cstheme="minorBidi"/>
              <w:noProof/>
              <w:lang w:val="es-MX" w:eastAsia="es-MX"/>
            </w:rPr>
          </w:pPr>
          <w:hyperlink w:anchor="_Toc68821518" w:history="1">
            <w:r w:rsidR="00090A44" w:rsidRPr="00100412">
              <w:rPr>
                <w:rStyle w:val="Hipervnculo"/>
                <w:rFonts w:ascii="Palatino Linotype" w:eastAsiaTheme="minorEastAsia" w:hAnsi="Palatino Linotype"/>
                <w:b/>
                <w:noProof/>
              </w:rPr>
              <w:t>III.</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rPr>
              <w:t>De la interpretación de la Ley General de Transparencia y Acceso a la Información Pública</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_Toc68821518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41</w:t>
            </w:r>
            <w:r w:rsidR="00090A44" w:rsidRPr="00100412">
              <w:rPr>
                <w:rFonts w:ascii="Palatino Linotype" w:hAnsi="Palatino Linotype"/>
                <w:noProof/>
                <w:webHidden/>
              </w:rPr>
              <w:fldChar w:fldCharType="end"/>
            </w:r>
          </w:hyperlink>
        </w:p>
        <w:p w:rsidR="00090A44" w:rsidRPr="00100412" w:rsidRDefault="008D5B21" w:rsidP="00090A44">
          <w:pPr>
            <w:pStyle w:val="TDC1"/>
            <w:tabs>
              <w:tab w:val="left" w:pos="1320"/>
            </w:tabs>
            <w:spacing w:after="0" w:line="480" w:lineRule="auto"/>
            <w:rPr>
              <w:rFonts w:ascii="Palatino Linotype" w:eastAsiaTheme="minorEastAsia" w:hAnsi="Palatino Linotype" w:cstheme="minorBidi"/>
              <w:noProof/>
              <w:lang w:val="es-MX" w:eastAsia="es-MX"/>
            </w:rPr>
          </w:pPr>
          <w:hyperlink w:anchor="_Toc68821519" w:history="1">
            <w:r w:rsidR="00090A44" w:rsidRPr="00100412">
              <w:rPr>
                <w:rStyle w:val="Hipervnculo"/>
                <w:rFonts w:ascii="Palatino Linotype" w:eastAsiaTheme="minorEastAsia" w:hAnsi="Palatino Linotype"/>
                <w:b/>
                <w:noProof/>
              </w:rPr>
              <w:t>IV.</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rPr>
              <w:t>Del Amparo en Revisión 654/18</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_Toc68821519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55</w:t>
            </w:r>
            <w:r w:rsidR="00090A44" w:rsidRPr="00100412">
              <w:rPr>
                <w:rFonts w:ascii="Palatino Linotype" w:hAnsi="Palatino Linotype"/>
                <w:noProof/>
                <w:webHidden/>
              </w:rPr>
              <w:fldChar w:fldCharType="end"/>
            </w:r>
          </w:hyperlink>
        </w:p>
        <w:p w:rsidR="00090A44" w:rsidRPr="00100412" w:rsidRDefault="008D5B21" w:rsidP="00090A44">
          <w:pPr>
            <w:pStyle w:val="TDC1"/>
            <w:tabs>
              <w:tab w:val="left" w:pos="1100"/>
            </w:tabs>
            <w:spacing w:after="0" w:line="480" w:lineRule="auto"/>
            <w:rPr>
              <w:rFonts w:ascii="Palatino Linotype" w:eastAsiaTheme="minorEastAsia" w:hAnsi="Palatino Linotype" w:cstheme="minorBidi"/>
              <w:noProof/>
              <w:lang w:val="es-MX" w:eastAsia="es-MX"/>
            </w:rPr>
          </w:pPr>
          <w:hyperlink w:anchor="_Toc68821520" w:history="1">
            <w:r w:rsidR="00090A44" w:rsidRPr="00100412">
              <w:rPr>
                <w:rStyle w:val="Hipervnculo"/>
                <w:rFonts w:ascii="Palatino Linotype" w:eastAsiaTheme="minorEastAsia" w:hAnsi="Palatino Linotype"/>
                <w:b/>
                <w:noProof/>
              </w:rPr>
              <w:t>V.</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rPr>
              <w:t>De los Derechos del solicitante de acceso a la información</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_Toc68821520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78</w:t>
            </w:r>
            <w:r w:rsidR="00090A44" w:rsidRPr="00100412">
              <w:rPr>
                <w:rFonts w:ascii="Palatino Linotype" w:hAnsi="Palatino Linotype"/>
                <w:noProof/>
                <w:webHidden/>
              </w:rPr>
              <w:fldChar w:fldCharType="end"/>
            </w:r>
          </w:hyperlink>
        </w:p>
        <w:p w:rsidR="00090A44" w:rsidRPr="00100412" w:rsidRDefault="008D5B21" w:rsidP="00090A44">
          <w:pPr>
            <w:pStyle w:val="TDC1"/>
            <w:tabs>
              <w:tab w:val="left" w:pos="1320"/>
            </w:tabs>
            <w:spacing w:after="0" w:line="480" w:lineRule="auto"/>
            <w:rPr>
              <w:rFonts w:ascii="Palatino Linotype" w:eastAsiaTheme="minorEastAsia" w:hAnsi="Palatino Linotype" w:cstheme="minorBidi"/>
              <w:noProof/>
              <w:lang w:val="es-MX" w:eastAsia="es-MX"/>
            </w:rPr>
          </w:pPr>
          <w:hyperlink w:anchor="_Toc68821521" w:history="1">
            <w:r w:rsidR="00090A44" w:rsidRPr="00100412">
              <w:rPr>
                <w:rStyle w:val="Hipervnculo"/>
                <w:rFonts w:ascii="Palatino Linotype" w:eastAsiaTheme="minorEastAsia" w:hAnsi="Palatino Linotype"/>
                <w:b/>
                <w:noProof/>
              </w:rPr>
              <w:t>VI.</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rPr>
              <w:t>De las Restricciones del solicitante del derecho de acceso a la información</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_Toc68821521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80</w:t>
            </w:r>
            <w:r w:rsidR="00090A44" w:rsidRPr="00100412">
              <w:rPr>
                <w:rFonts w:ascii="Palatino Linotype" w:hAnsi="Palatino Linotype"/>
                <w:noProof/>
                <w:webHidden/>
              </w:rPr>
              <w:fldChar w:fldCharType="end"/>
            </w:r>
          </w:hyperlink>
        </w:p>
        <w:p w:rsidR="00090A44" w:rsidRPr="00100412" w:rsidRDefault="008D5B21" w:rsidP="00090A44">
          <w:pPr>
            <w:pStyle w:val="TDC1"/>
            <w:tabs>
              <w:tab w:val="left" w:pos="1320"/>
            </w:tabs>
            <w:spacing w:after="0" w:line="480" w:lineRule="auto"/>
            <w:rPr>
              <w:rFonts w:ascii="Palatino Linotype" w:eastAsiaTheme="minorEastAsia" w:hAnsi="Palatino Linotype" w:cstheme="minorBidi"/>
              <w:noProof/>
              <w:lang w:val="es-MX" w:eastAsia="es-MX"/>
            </w:rPr>
          </w:pPr>
          <w:hyperlink w:anchor="_Toc68821522" w:history="1">
            <w:r w:rsidR="00090A44" w:rsidRPr="00100412">
              <w:rPr>
                <w:rStyle w:val="Hipervnculo"/>
                <w:rFonts w:ascii="Palatino Linotype" w:eastAsiaTheme="minorEastAsia" w:hAnsi="Palatino Linotype"/>
                <w:b/>
                <w:noProof/>
              </w:rPr>
              <w:t>VII.</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rPr>
              <w:t>De la acreditación de la legalidad de la resolución del Instituto de Transparencia, Acceso a la Información Pública y Protección de Datos Personales del Estado de México y Municipios.</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_Toc68821522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85</w:t>
            </w:r>
            <w:r w:rsidR="00090A44" w:rsidRPr="00100412">
              <w:rPr>
                <w:rFonts w:ascii="Palatino Linotype" w:hAnsi="Palatino Linotype"/>
                <w:noProof/>
                <w:webHidden/>
              </w:rPr>
              <w:fldChar w:fldCharType="end"/>
            </w:r>
          </w:hyperlink>
        </w:p>
        <w:p w:rsidR="00090A44" w:rsidRPr="00100412" w:rsidRDefault="008D5B21" w:rsidP="00090A44">
          <w:pPr>
            <w:pStyle w:val="TDC1"/>
            <w:tabs>
              <w:tab w:val="left" w:pos="1320"/>
            </w:tabs>
            <w:spacing w:after="0" w:line="480" w:lineRule="auto"/>
            <w:rPr>
              <w:rFonts w:ascii="Palatino Linotype" w:eastAsiaTheme="minorEastAsia" w:hAnsi="Palatino Linotype" w:cstheme="minorBidi"/>
              <w:noProof/>
              <w:lang w:val="es-MX" w:eastAsia="es-MX"/>
            </w:rPr>
          </w:pPr>
          <w:hyperlink w:anchor="_Toc68821523" w:history="1">
            <w:r w:rsidR="00090A44" w:rsidRPr="00100412">
              <w:rPr>
                <w:rStyle w:val="Hipervnculo"/>
                <w:rFonts w:ascii="Palatino Linotype" w:eastAsiaTheme="minorEastAsia" w:hAnsi="Palatino Linotype"/>
                <w:b/>
                <w:noProof/>
              </w:rPr>
              <w:t>VIII.</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lang w:val="es-ES_tradnl"/>
              </w:rPr>
              <w:t>De las deficiencias en la resolución del recurso de inconformidad emitida por el Instituto Nacional de Transparencia, Acceso a la Información Pública y Protección de Datos Personales</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_Toc68821523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96</w:t>
            </w:r>
            <w:r w:rsidR="00090A44" w:rsidRPr="00100412">
              <w:rPr>
                <w:rFonts w:ascii="Palatino Linotype" w:hAnsi="Palatino Linotype"/>
                <w:noProof/>
                <w:webHidden/>
              </w:rPr>
              <w:fldChar w:fldCharType="end"/>
            </w:r>
          </w:hyperlink>
        </w:p>
        <w:p w:rsidR="00090A44" w:rsidRPr="00100412" w:rsidRDefault="008D5B21" w:rsidP="00090A44">
          <w:pPr>
            <w:pStyle w:val="TDC1"/>
            <w:tabs>
              <w:tab w:val="left" w:pos="1320"/>
            </w:tabs>
            <w:spacing w:after="0" w:line="480" w:lineRule="auto"/>
            <w:rPr>
              <w:rFonts w:ascii="Palatino Linotype" w:eastAsiaTheme="minorEastAsia" w:hAnsi="Palatino Linotype" w:cstheme="minorBidi"/>
              <w:noProof/>
              <w:lang w:val="es-MX" w:eastAsia="es-MX"/>
            </w:rPr>
          </w:pPr>
          <w:hyperlink w:anchor="_Toc68821524" w:history="1">
            <w:r w:rsidR="00090A44" w:rsidRPr="00100412">
              <w:rPr>
                <w:rStyle w:val="Hipervnculo"/>
                <w:rFonts w:ascii="Palatino Linotype" w:eastAsiaTheme="minorEastAsia" w:hAnsi="Palatino Linotype"/>
                <w:b/>
                <w:noProof/>
              </w:rPr>
              <w:t>IX.</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rPr>
              <w:t>Conclusiones</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_Toc68821524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97</w:t>
            </w:r>
            <w:r w:rsidR="00090A44" w:rsidRPr="00100412">
              <w:rPr>
                <w:rFonts w:ascii="Palatino Linotype" w:hAnsi="Palatino Linotype"/>
                <w:noProof/>
                <w:webHidden/>
              </w:rPr>
              <w:fldChar w:fldCharType="end"/>
            </w:r>
          </w:hyperlink>
        </w:p>
        <w:p w:rsidR="00090A44" w:rsidRPr="00100412" w:rsidRDefault="008D5B21" w:rsidP="00090A44">
          <w:pPr>
            <w:pStyle w:val="TDC1"/>
            <w:spacing w:after="0" w:line="480" w:lineRule="auto"/>
            <w:rPr>
              <w:rFonts w:ascii="Palatino Linotype" w:eastAsiaTheme="minorEastAsia" w:hAnsi="Palatino Linotype" w:cstheme="minorBidi"/>
              <w:noProof/>
              <w:lang w:val="es-MX" w:eastAsia="es-MX"/>
            </w:rPr>
          </w:pPr>
          <w:hyperlink w:anchor="_Toc68821525" w:history="1">
            <w:r w:rsidR="00090A44" w:rsidRPr="00100412">
              <w:rPr>
                <w:rStyle w:val="Hipervnculo"/>
                <w:rFonts w:ascii="Palatino Linotype" w:eastAsiaTheme="minorEastAsia" w:hAnsi="Palatino Linotype"/>
                <w:b/>
                <w:noProof/>
                <w:shd w:val="clear" w:color="auto" w:fill="FFFFFF"/>
              </w:rPr>
              <w:t>CUARTO. Cumplimiento al Recurso de Inconformidad 185/20</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_Toc68821525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99</w:t>
            </w:r>
            <w:r w:rsidR="00090A44" w:rsidRPr="00100412">
              <w:rPr>
                <w:rFonts w:ascii="Palatino Linotype" w:hAnsi="Palatino Linotype"/>
                <w:noProof/>
                <w:webHidden/>
              </w:rPr>
              <w:fldChar w:fldCharType="end"/>
            </w:r>
          </w:hyperlink>
        </w:p>
        <w:p w:rsidR="00090A44" w:rsidRPr="00100412" w:rsidRDefault="008D5B21" w:rsidP="00090A44">
          <w:pPr>
            <w:pStyle w:val="TDC2"/>
            <w:spacing w:after="0"/>
            <w:rPr>
              <w:rFonts w:ascii="Palatino Linotype" w:eastAsiaTheme="minorEastAsia" w:hAnsi="Palatino Linotype" w:cstheme="minorBidi"/>
              <w:noProof/>
              <w:lang w:val="es-MX" w:eastAsia="es-MX"/>
            </w:rPr>
          </w:pPr>
          <w:hyperlink w:anchor="_Toc68821526" w:history="1">
            <w:r w:rsidR="00090A44" w:rsidRPr="00100412">
              <w:rPr>
                <w:rStyle w:val="Hipervnculo"/>
                <w:rFonts w:ascii="Palatino Linotype" w:eastAsiaTheme="minorEastAsia" w:hAnsi="Palatino Linotype"/>
                <w:b/>
                <w:noProof/>
              </w:rPr>
              <w:t>QUINTO. De la versión pública.</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_Toc68821526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101</w:t>
            </w:r>
            <w:r w:rsidR="00090A44" w:rsidRPr="00100412">
              <w:rPr>
                <w:rFonts w:ascii="Palatino Linotype" w:hAnsi="Palatino Linotype"/>
                <w:noProof/>
                <w:webHidden/>
              </w:rPr>
              <w:fldChar w:fldCharType="end"/>
            </w:r>
          </w:hyperlink>
        </w:p>
        <w:p w:rsidR="00090A44" w:rsidRPr="00100412" w:rsidRDefault="008D5B21" w:rsidP="00090A44">
          <w:pPr>
            <w:pStyle w:val="TDC2"/>
            <w:tabs>
              <w:tab w:val="left" w:pos="1100"/>
            </w:tabs>
            <w:spacing w:after="0"/>
            <w:rPr>
              <w:rFonts w:ascii="Palatino Linotype" w:eastAsiaTheme="minorEastAsia" w:hAnsi="Palatino Linotype" w:cstheme="minorBidi"/>
              <w:noProof/>
              <w:lang w:val="es-MX" w:eastAsia="es-MX"/>
            </w:rPr>
          </w:pPr>
          <w:hyperlink w:anchor="_Toc68821527" w:history="1">
            <w:r w:rsidR="00090A44" w:rsidRPr="00100412">
              <w:rPr>
                <w:rStyle w:val="Hipervnculo"/>
                <w:rFonts w:ascii="Palatino Linotype" w:eastAsiaTheme="minorEastAsia" w:hAnsi="Palatino Linotype"/>
                <w:b/>
                <w:noProof/>
              </w:rPr>
              <w:t>A.</w:t>
            </w:r>
            <w:r w:rsidR="00090A44" w:rsidRPr="00100412">
              <w:rPr>
                <w:rFonts w:ascii="Palatino Linotype" w:eastAsiaTheme="minorEastAsia" w:hAnsi="Palatino Linotype" w:cstheme="minorBidi"/>
                <w:noProof/>
                <w:lang w:val="es-MX" w:eastAsia="es-MX"/>
              </w:rPr>
              <w:tab/>
            </w:r>
            <w:r w:rsidR="00090A44" w:rsidRPr="00100412">
              <w:rPr>
                <w:rStyle w:val="Hipervnculo"/>
                <w:rFonts w:ascii="Palatino Linotype" w:eastAsiaTheme="minorEastAsia" w:hAnsi="Palatino Linotype"/>
                <w:b/>
                <w:noProof/>
              </w:rPr>
              <w:t>Requisitos de fondo del acuerdo de clasificación.</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_Toc68821527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103</w:t>
            </w:r>
            <w:r w:rsidR="00090A44" w:rsidRPr="00100412">
              <w:rPr>
                <w:rFonts w:ascii="Palatino Linotype" w:hAnsi="Palatino Linotype"/>
                <w:noProof/>
                <w:webHidden/>
              </w:rPr>
              <w:fldChar w:fldCharType="end"/>
            </w:r>
          </w:hyperlink>
        </w:p>
        <w:p w:rsidR="00090A44" w:rsidRPr="00100412" w:rsidRDefault="008D5B21" w:rsidP="00090A44">
          <w:pPr>
            <w:pStyle w:val="TDC1"/>
            <w:spacing w:after="0" w:line="480" w:lineRule="auto"/>
            <w:ind w:left="0"/>
            <w:rPr>
              <w:rFonts w:asciiTheme="minorHAnsi" w:eastAsiaTheme="minorEastAsia" w:hAnsiTheme="minorHAnsi" w:cstheme="minorBidi"/>
              <w:noProof/>
              <w:lang w:val="es-MX" w:eastAsia="es-MX"/>
            </w:rPr>
          </w:pPr>
          <w:hyperlink w:anchor="_Toc68821528" w:history="1">
            <w:r w:rsidR="00090A44" w:rsidRPr="00100412">
              <w:rPr>
                <w:rStyle w:val="Hipervnculo"/>
                <w:rFonts w:ascii="Palatino Linotype" w:eastAsia="Calibri" w:hAnsi="Palatino Linotype"/>
                <w:b/>
                <w:noProof/>
                <w:lang w:val="es-ES_tradnl" w:eastAsia="es-ES"/>
              </w:rPr>
              <w:t>R E S O L U T I V O S</w:t>
            </w:r>
            <w:r w:rsidR="00090A44" w:rsidRPr="00100412">
              <w:rPr>
                <w:rFonts w:ascii="Palatino Linotype" w:hAnsi="Palatino Linotype"/>
                <w:noProof/>
                <w:webHidden/>
              </w:rPr>
              <w:tab/>
            </w:r>
            <w:r w:rsidR="00090A44" w:rsidRPr="00100412">
              <w:rPr>
                <w:rFonts w:ascii="Palatino Linotype" w:hAnsi="Palatino Linotype"/>
                <w:noProof/>
                <w:webHidden/>
              </w:rPr>
              <w:fldChar w:fldCharType="begin"/>
            </w:r>
            <w:r w:rsidR="00090A44" w:rsidRPr="00100412">
              <w:rPr>
                <w:rFonts w:ascii="Palatino Linotype" w:hAnsi="Palatino Linotype"/>
                <w:noProof/>
                <w:webHidden/>
              </w:rPr>
              <w:instrText xml:space="preserve"> PAGEREF _Toc68821528 \h </w:instrText>
            </w:r>
            <w:r w:rsidR="00090A44" w:rsidRPr="00100412">
              <w:rPr>
                <w:rFonts w:ascii="Palatino Linotype" w:hAnsi="Palatino Linotype"/>
                <w:noProof/>
                <w:webHidden/>
              </w:rPr>
            </w:r>
            <w:r w:rsidR="00090A44" w:rsidRPr="00100412">
              <w:rPr>
                <w:rFonts w:ascii="Palatino Linotype" w:hAnsi="Palatino Linotype"/>
                <w:noProof/>
                <w:webHidden/>
              </w:rPr>
              <w:fldChar w:fldCharType="separate"/>
            </w:r>
            <w:r w:rsidR="00A625A6" w:rsidRPr="00100412">
              <w:rPr>
                <w:rFonts w:ascii="Palatino Linotype" w:hAnsi="Palatino Linotype"/>
                <w:noProof/>
                <w:webHidden/>
              </w:rPr>
              <w:t>110</w:t>
            </w:r>
            <w:r w:rsidR="00090A44" w:rsidRPr="00100412">
              <w:rPr>
                <w:rFonts w:ascii="Palatino Linotype" w:hAnsi="Palatino Linotype"/>
                <w:noProof/>
                <w:webHidden/>
              </w:rPr>
              <w:fldChar w:fldCharType="end"/>
            </w:r>
          </w:hyperlink>
        </w:p>
        <w:p w:rsidR="00230F20" w:rsidRPr="00100412" w:rsidRDefault="00333841" w:rsidP="00090A44">
          <w:pPr>
            <w:spacing w:line="480" w:lineRule="auto"/>
            <w:jc w:val="both"/>
            <w:rPr>
              <w:rFonts w:ascii="Palatino Linotype" w:hAnsi="Palatino Linotype"/>
              <w:b/>
              <w:bCs/>
              <w:color w:val="FFFFFF" w:themeColor="background1"/>
              <w:lang w:val="es-ES_tradnl"/>
            </w:rPr>
          </w:pPr>
          <w:r w:rsidRPr="00100412">
            <w:rPr>
              <w:rFonts w:ascii="Palatino Linotype" w:hAnsi="Palatino Linotype"/>
              <w:b/>
              <w:bCs/>
              <w:lang w:val="es-ES_tradnl"/>
            </w:rPr>
            <w:fldChar w:fldCharType="end"/>
          </w:r>
          <w:r w:rsidR="00230F20" w:rsidRPr="00100412">
            <w:rPr>
              <w:rFonts w:ascii="Palatino Linotype" w:hAnsi="Palatino Linotype"/>
              <w:b/>
              <w:bCs/>
              <w:color w:val="FFFFFF" w:themeColor="background1"/>
              <w:sz w:val="6"/>
              <w:lang w:val="es-ES_tradnl"/>
            </w:rPr>
            <w:t>.</w:t>
          </w:r>
        </w:p>
      </w:sdtContent>
    </w:sdt>
    <w:p w:rsidR="00090A44" w:rsidRPr="00100412" w:rsidRDefault="00090A44" w:rsidP="008E1E4F">
      <w:pPr>
        <w:spacing w:line="360" w:lineRule="auto"/>
        <w:jc w:val="both"/>
        <w:rPr>
          <w:rFonts w:ascii="Palatino Linotype" w:hAnsi="Palatino Linotype"/>
          <w:lang w:val="es-ES_tradnl"/>
        </w:rPr>
      </w:pPr>
    </w:p>
    <w:p w:rsidR="00090A44" w:rsidRPr="00100412" w:rsidRDefault="00090A44" w:rsidP="008E1E4F">
      <w:pPr>
        <w:spacing w:line="360" w:lineRule="auto"/>
        <w:jc w:val="both"/>
        <w:rPr>
          <w:rFonts w:ascii="Palatino Linotype" w:hAnsi="Palatino Linotype"/>
          <w:lang w:val="es-ES_tradnl"/>
        </w:rPr>
      </w:pPr>
    </w:p>
    <w:p w:rsidR="00090A44" w:rsidRPr="00100412" w:rsidRDefault="00090A44" w:rsidP="008E1E4F">
      <w:pPr>
        <w:spacing w:line="360" w:lineRule="auto"/>
        <w:jc w:val="both"/>
        <w:rPr>
          <w:rFonts w:ascii="Palatino Linotype" w:hAnsi="Palatino Linotype"/>
          <w:lang w:val="es-ES_tradnl"/>
        </w:rPr>
      </w:pPr>
    </w:p>
    <w:p w:rsidR="00090A44" w:rsidRPr="00100412" w:rsidRDefault="00090A44" w:rsidP="008E1E4F">
      <w:pPr>
        <w:spacing w:line="360" w:lineRule="auto"/>
        <w:jc w:val="both"/>
        <w:rPr>
          <w:rFonts w:ascii="Palatino Linotype" w:hAnsi="Palatino Linotype"/>
          <w:lang w:val="es-ES_tradnl"/>
        </w:rPr>
      </w:pPr>
    </w:p>
    <w:p w:rsidR="00090A44" w:rsidRPr="00100412" w:rsidRDefault="00090A44" w:rsidP="008E1E4F">
      <w:pPr>
        <w:spacing w:line="360" w:lineRule="auto"/>
        <w:jc w:val="both"/>
        <w:rPr>
          <w:rFonts w:ascii="Palatino Linotype" w:hAnsi="Palatino Linotype"/>
          <w:lang w:val="es-ES_tradnl"/>
        </w:rPr>
      </w:pPr>
    </w:p>
    <w:p w:rsidR="00333841" w:rsidRPr="00100412" w:rsidRDefault="00333841" w:rsidP="008E1E4F">
      <w:pPr>
        <w:spacing w:line="360" w:lineRule="auto"/>
        <w:jc w:val="both"/>
        <w:rPr>
          <w:rFonts w:ascii="Palatino Linotype" w:hAnsi="Palatino Linotype"/>
          <w:b/>
          <w:bCs/>
          <w:lang w:val="es-ES_tradnl"/>
        </w:rPr>
      </w:pPr>
      <w:r w:rsidRPr="00100412">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AF44B1" w:rsidRPr="00100412">
        <w:rPr>
          <w:rFonts w:ascii="Palatino Linotype" w:hAnsi="Palatino Linotype"/>
          <w:lang w:val="es-ES_tradnl"/>
        </w:rPr>
        <w:t>catorc</w:t>
      </w:r>
      <w:r w:rsidR="009F1A1E" w:rsidRPr="00100412">
        <w:rPr>
          <w:rFonts w:ascii="Palatino Linotype" w:hAnsi="Palatino Linotype"/>
          <w:lang w:val="es-ES_tradnl"/>
        </w:rPr>
        <w:t>e</w:t>
      </w:r>
      <w:r w:rsidR="008A6E0E" w:rsidRPr="00100412">
        <w:rPr>
          <w:rFonts w:ascii="Palatino Linotype" w:hAnsi="Palatino Linotype"/>
          <w:lang w:val="es-ES_tradnl"/>
        </w:rPr>
        <w:t xml:space="preserve"> (</w:t>
      </w:r>
      <w:r w:rsidR="00AF44B1" w:rsidRPr="00100412">
        <w:rPr>
          <w:rFonts w:ascii="Palatino Linotype" w:hAnsi="Palatino Linotype"/>
          <w:lang w:val="es-ES_tradnl"/>
        </w:rPr>
        <w:t>14</w:t>
      </w:r>
      <w:r w:rsidR="00744368" w:rsidRPr="00100412">
        <w:rPr>
          <w:rFonts w:ascii="Palatino Linotype" w:hAnsi="Palatino Linotype"/>
          <w:lang w:val="es-ES_tradnl"/>
        </w:rPr>
        <w:t xml:space="preserve">) de </w:t>
      </w:r>
      <w:r w:rsidR="009F1A1E" w:rsidRPr="00100412">
        <w:rPr>
          <w:rFonts w:ascii="Palatino Linotype" w:hAnsi="Palatino Linotype"/>
          <w:lang w:val="es-ES_tradnl"/>
        </w:rPr>
        <w:t>abril</w:t>
      </w:r>
      <w:r w:rsidR="00744368" w:rsidRPr="00100412">
        <w:rPr>
          <w:rFonts w:ascii="Palatino Linotype" w:hAnsi="Palatino Linotype"/>
          <w:lang w:val="es-ES_tradnl"/>
        </w:rPr>
        <w:t xml:space="preserve"> de </w:t>
      </w:r>
      <w:proofErr w:type="gramStart"/>
      <w:r w:rsidR="00874766" w:rsidRPr="00100412">
        <w:rPr>
          <w:rFonts w:ascii="Palatino Linotype" w:hAnsi="Palatino Linotype"/>
          <w:lang w:val="es-ES_tradnl"/>
        </w:rPr>
        <w:t>dos mil veintiuno</w:t>
      </w:r>
      <w:proofErr w:type="gramEnd"/>
      <w:r w:rsidR="00874766" w:rsidRPr="00100412">
        <w:rPr>
          <w:rFonts w:ascii="Palatino Linotype" w:hAnsi="Palatino Linotype"/>
          <w:lang w:val="es-ES_tradnl"/>
        </w:rPr>
        <w:t>.</w:t>
      </w:r>
    </w:p>
    <w:p w:rsidR="00333841" w:rsidRPr="00100412" w:rsidRDefault="001E4363" w:rsidP="008E1E4F">
      <w:pPr>
        <w:spacing w:before="240" w:after="360" w:line="360" w:lineRule="auto"/>
        <w:jc w:val="both"/>
        <w:rPr>
          <w:rFonts w:ascii="Palatino Linotype" w:hAnsi="Palatino Linotype" w:cs="Arial"/>
          <w:b/>
          <w:bCs/>
          <w:lang w:val="es-ES_tradnl"/>
        </w:rPr>
      </w:pPr>
      <w:r w:rsidRPr="00100412">
        <w:rPr>
          <w:rFonts w:ascii="Palatino Linotype" w:hAnsi="Palatino Linotype"/>
          <w:lang w:val="es-ES_tradnl"/>
        </w:rPr>
        <w:t xml:space="preserve">Visto </w:t>
      </w:r>
      <w:r w:rsidR="001E023E" w:rsidRPr="00100412">
        <w:rPr>
          <w:rFonts w:ascii="Palatino Linotype" w:hAnsi="Palatino Linotype"/>
          <w:color w:val="000000" w:themeColor="text1"/>
          <w:lang w:val="es-ES_tradnl"/>
        </w:rPr>
        <w:t xml:space="preserve">el expediente formado con motivo </w:t>
      </w:r>
      <w:r w:rsidR="003029AF" w:rsidRPr="00100412">
        <w:rPr>
          <w:rFonts w:ascii="Palatino Linotype" w:hAnsi="Palatino Linotype"/>
        </w:rPr>
        <w:t xml:space="preserve">del recurso de revisión </w:t>
      </w:r>
      <w:r w:rsidR="00831F4F" w:rsidRPr="00100412">
        <w:rPr>
          <w:rFonts w:ascii="Palatino Linotype" w:hAnsi="Palatino Linotype"/>
          <w:b/>
        </w:rPr>
        <w:t>0</w:t>
      </w:r>
      <w:r w:rsidR="00AF44B1" w:rsidRPr="00100412">
        <w:rPr>
          <w:rFonts w:ascii="Palatino Linotype" w:hAnsi="Palatino Linotype"/>
          <w:b/>
        </w:rPr>
        <w:t>3183</w:t>
      </w:r>
      <w:r w:rsidR="00831F4F" w:rsidRPr="00100412">
        <w:rPr>
          <w:rFonts w:ascii="Palatino Linotype" w:hAnsi="Palatino Linotype"/>
          <w:b/>
        </w:rPr>
        <w:t>/INFOEM/IP/RR/2020</w:t>
      </w:r>
      <w:r w:rsidR="001E023E" w:rsidRPr="00100412">
        <w:rPr>
          <w:rFonts w:ascii="Palatino Linotype" w:hAnsi="Palatino Linotype"/>
          <w:color w:val="000000" w:themeColor="text1"/>
          <w:lang w:val="es-ES_tradnl"/>
        </w:rPr>
        <w:t>, promovido</w:t>
      </w:r>
      <w:r w:rsidR="00055959" w:rsidRPr="00100412">
        <w:rPr>
          <w:rFonts w:ascii="Palatino Linotype" w:hAnsi="Palatino Linotype"/>
          <w:color w:val="000000" w:themeColor="text1"/>
          <w:lang w:val="es-ES_tradnl"/>
        </w:rPr>
        <w:t xml:space="preserve"> por</w:t>
      </w:r>
      <w:r w:rsidR="001E023E" w:rsidRPr="00100412">
        <w:rPr>
          <w:rFonts w:ascii="Palatino Linotype" w:hAnsi="Palatino Linotype"/>
          <w:color w:val="000000" w:themeColor="text1"/>
          <w:lang w:val="es-ES_tradnl"/>
        </w:rPr>
        <w:t xml:space="preserve"> </w:t>
      </w:r>
      <w:r w:rsidR="00262CE8" w:rsidRPr="00262CE8">
        <w:rPr>
          <w:rFonts w:ascii="Palatino Linotype" w:hAnsi="Palatino Linotype"/>
          <w:b/>
          <w:highlight w:val="black"/>
        </w:rPr>
        <w:t>-------------------------------------</w:t>
      </w:r>
      <w:bookmarkStart w:id="1" w:name="_GoBack"/>
      <w:bookmarkEnd w:id="1"/>
      <w:r w:rsidR="001E023E" w:rsidRPr="00100412">
        <w:rPr>
          <w:rFonts w:ascii="Palatino Linotype" w:hAnsi="Palatino Linotype"/>
          <w:color w:val="000000" w:themeColor="text1"/>
          <w:lang w:val="es-ES_tradnl"/>
        </w:rPr>
        <w:t xml:space="preserve">, </w:t>
      </w:r>
      <w:r w:rsidR="001E023E" w:rsidRPr="00100412">
        <w:rPr>
          <w:rFonts w:ascii="Palatino Linotype" w:hAnsi="Palatino Linotype" w:cs="Arial"/>
          <w:color w:val="000000" w:themeColor="text1"/>
          <w:lang w:val="es-ES_tradnl"/>
        </w:rPr>
        <w:t>en lo sucesivo</w:t>
      </w:r>
      <w:r w:rsidR="001E023E" w:rsidRPr="00100412">
        <w:rPr>
          <w:rFonts w:ascii="Palatino Linotype" w:hAnsi="Palatino Linotype" w:cs="Arial"/>
          <w:b/>
          <w:color w:val="000000" w:themeColor="text1"/>
          <w:lang w:val="es-ES_tradnl"/>
        </w:rPr>
        <w:t xml:space="preserve"> LA RECURRENTE,</w:t>
      </w:r>
      <w:r w:rsidR="001E023E" w:rsidRPr="00100412">
        <w:rPr>
          <w:rFonts w:ascii="Palatino Linotype" w:hAnsi="Palatino Linotype"/>
          <w:color w:val="000000" w:themeColor="text1"/>
          <w:lang w:val="es-ES_tradnl"/>
        </w:rPr>
        <w:t xml:space="preserve"> en contra de la respuesta emitida por el </w:t>
      </w:r>
      <w:r w:rsidR="001E023E" w:rsidRPr="00100412">
        <w:rPr>
          <w:rFonts w:ascii="Palatino Linotype" w:hAnsi="Palatino Linotype"/>
          <w:b/>
          <w:color w:val="000000" w:themeColor="text1"/>
          <w:lang w:val="es-ES_tradnl"/>
        </w:rPr>
        <w:t xml:space="preserve">Ayuntamiento de Ixtapan de la Sal, </w:t>
      </w:r>
      <w:r w:rsidR="001E023E" w:rsidRPr="00100412">
        <w:rPr>
          <w:rFonts w:ascii="Palatino Linotype" w:hAnsi="Palatino Linotype"/>
          <w:color w:val="000000" w:themeColor="text1"/>
          <w:lang w:val="es-ES_tradnl"/>
        </w:rPr>
        <w:t xml:space="preserve">en lo sucesivo </w:t>
      </w:r>
      <w:r w:rsidR="001E023E" w:rsidRPr="00100412">
        <w:rPr>
          <w:rFonts w:ascii="Palatino Linotype" w:hAnsi="Palatino Linotype"/>
          <w:b/>
          <w:color w:val="000000" w:themeColor="text1"/>
          <w:lang w:val="es-ES_tradnl"/>
        </w:rPr>
        <w:t>EL SUJETO OBLIGADO</w:t>
      </w:r>
      <w:r w:rsidR="001E023E" w:rsidRPr="00100412">
        <w:rPr>
          <w:rFonts w:ascii="Palatino Linotype" w:hAnsi="Palatino Linotype"/>
          <w:color w:val="000000" w:themeColor="text1"/>
          <w:lang w:val="es-ES_tradnl"/>
        </w:rPr>
        <w:t xml:space="preserve">, se procede a dictar la presente resolución, </w:t>
      </w:r>
      <w:r w:rsidR="001E023E" w:rsidRPr="00100412">
        <w:rPr>
          <w:rStyle w:val="Ninguno"/>
          <w:rFonts w:ascii="Palatino Linotype" w:eastAsia="Palatino Linotype" w:hAnsi="Palatino Linotype" w:cs="Palatino Linotype"/>
        </w:rPr>
        <w:t xml:space="preserve">en cumplimiento al fallo emitido en fecha </w:t>
      </w:r>
      <w:r w:rsidR="00AF44B1" w:rsidRPr="00100412">
        <w:rPr>
          <w:rStyle w:val="Ninguno"/>
          <w:rFonts w:ascii="Palatino Linotype" w:eastAsia="Palatino Linotype" w:hAnsi="Palatino Linotype" w:cs="Palatino Linotype"/>
        </w:rPr>
        <w:t>tres</w:t>
      </w:r>
      <w:r w:rsidR="001E023E" w:rsidRPr="00100412">
        <w:rPr>
          <w:rStyle w:val="Ninguno"/>
          <w:rFonts w:ascii="Palatino Linotype" w:eastAsia="Palatino Linotype" w:hAnsi="Palatino Linotype" w:cs="Palatino Linotype"/>
        </w:rPr>
        <w:t xml:space="preserve"> </w:t>
      </w:r>
      <w:r w:rsidR="0068544A" w:rsidRPr="00100412">
        <w:rPr>
          <w:rStyle w:val="Ninguno"/>
          <w:rFonts w:ascii="Palatino Linotype" w:eastAsia="Palatino Linotype" w:hAnsi="Palatino Linotype" w:cs="Palatino Linotype"/>
        </w:rPr>
        <w:t>(</w:t>
      </w:r>
      <w:r w:rsidR="00AF44B1" w:rsidRPr="00100412">
        <w:rPr>
          <w:rStyle w:val="Ninguno"/>
          <w:rFonts w:ascii="Palatino Linotype" w:eastAsia="Palatino Linotype" w:hAnsi="Palatino Linotype" w:cs="Palatino Linotype"/>
        </w:rPr>
        <w:t>03</w:t>
      </w:r>
      <w:r w:rsidR="00055959" w:rsidRPr="00100412">
        <w:rPr>
          <w:rStyle w:val="Ninguno"/>
          <w:rFonts w:ascii="Palatino Linotype" w:eastAsia="Palatino Linotype" w:hAnsi="Palatino Linotype" w:cs="Palatino Linotype"/>
        </w:rPr>
        <w:t xml:space="preserve">) </w:t>
      </w:r>
      <w:r w:rsidR="001E023E" w:rsidRPr="00100412">
        <w:rPr>
          <w:rStyle w:val="Ninguno"/>
          <w:rFonts w:ascii="Palatino Linotype" w:eastAsia="Palatino Linotype" w:hAnsi="Palatino Linotype" w:cs="Palatino Linotype"/>
        </w:rPr>
        <w:t xml:space="preserve">de </w:t>
      </w:r>
      <w:r w:rsidR="00AF44B1" w:rsidRPr="00100412">
        <w:rPr>
          <w:rStyle w:val="Ninguno"/>
          <w:rFonts w:ascii="Palatino Linotype" w:eastAsia="Palatino Linotype" w:hAnsi="Palatino Linotype" w:cs="Palatino Linotype"/>
        </w:rPr>
        <w:t>febre</w:t>
      </w:r>
      <w:r w:rsidR="00FC71CA" w:rsidRPr="00100412">
        <w:rPr>
          <w:rStyle w:val="Ninguno"/>
          <w:rFonts w:ascii="Palatino Linotype" w:eastAsia="Palatino Linotype" w:hAnsi="Palatino Linotype" w:cs="Palatino Linotype"/>
        </w:rPr>
        <w:t>ro de dos mil veintiuno</w:t>
      </w:r>
      <w:r w:rsidR="001E023E" w:rsidRPr="00100412">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1E023E" w:rsidRPr="00100412">
        <w:rPr>
          <w:rStyle w:val="Ninguno"/>
          <w:rFonts w:ascii="Palatino Linotype" w:eastAsia="Palatino Linotype" w:hAnsi="Palatino Linotype" w:cs="Palatino Linotype"/>
          <w:b/>
        </w:rPr>
        <w:t>Órgano Garante Nacional</w:t>
      </w:r>
      <w:r w:rsidR="001E023E" w:rsidRPr="00100412">
        <w:rPr>
          <w:rStyle w:val="Ninguno"/>
          <w:rFonts w:ascii="Palatino Linotype" w:eastAsia="Palatino Linotype" w:hAnsi="Palatino Linotype" w:cs="Palatino Linotype"/>
        </w:rPr>
        <w:t>, correspondiente a</w:t>
      </w:r>
      <w:r w:rsidR="00BB4836" w:rsidRPr="00100412">
        <w:rPr>
          <w:rStyle w:val="Ninguno"/>
          <w:rFonts w:ascii="Palatino Linotype" w:eastAsia="Palatino Linotype" w:hAnsi="Palatino Linotype" w:cs="Palatino Linotype"/>
        </w:rPr>
        <w:t>l</w:t>
      </w:r>
      <w:r w:rsidR="001E023E" w:rsidRPr="00100412">
        <w:rPr>
          <w:rStyle w:val="Ninguno"/>
          <w:rFonts w:ascii="Palatino Linotype" w:eastAsia="Palatino Linotype" w:hAnsi="Palatino Linotype" w:cs="Palatino Linotype"/>
        </w:rPr>
        <w:t xml:space="preserve">  Recurso de Inconformidad número</w:t>
      </w:r>
      <w:r w:rsidR="00BB4836" w:rsidRPr="00100412">
        <w:rPr>
          <w:rStyle w:val="Ninguno"/>
          <w:rFonts w:ascii="Palatino Linotype" w:eastAsia="Palatino Linotype" w:hAnsi="Palatino Linotype" w:cs="Palatino Linotype"/>
        </w:rPr>
        <w:t xml:space="preserve"> </w:t>
      </w:r>
      <w:r w:rsidR="004950BC" w:rsidRPr="00100412">
        <w:rPr>
          <w:rStyle w:val="Ninguno"/>
          <w:rFonts w:ascii="Palatino Linotype" w:eastAsia="Palatino Linotype" w:hAnsi="Palatino Linotype" w:cs="Palatino Linotype"/>
          <w:b/>
        </w:rPr>
        <w:t>RIA 0</w:t>
      </w:r>
      <w:r w:rsidR="00AF44B1" w:rsidRPr="00100412">
        <w:rPr>
          <w:rStyle w:val="Ninguno"/>
          <w:rFonts w:ascii="Palatino Linotype" w:eastAsia="Palatino Linotype" w:hAnsi="Palatino Linotype" w:cs="Palatino Linotype"/>
          <w:b/>
        </w:rPr>
        <w:t>185</w:t>
      </w:r>
      <w:r w:rsidR="00D275B7" w:rsidRPr="00100412">
        <w:rPr>
          <w:rStyle w:val="Ninguno"/>
          <w:rFonts w:ascii="Palatino Linotype" w:eastAsia="Palatino Linotype" w:hAnsi="Palatino Linotype" w:cs="Palatino Linotype"/>
          <w:b/>
        </w:rPr>
        <w:t>/20</w:t>
      </w:r>
      <w:r w:rsidR="00333841" w:rsidRPr="00100412">
        <w:rPr>
          <w:rFonts w:ascii="Palatino Linotype" w:hAnsi="Palatino Linotype"/>
          <w:lang w:val="es-ES_tradnl"/>
        </w:rPr>
        <w:t>, con base en los siguientes:</w:t>
      </w:r>
    </w:p>
    <w:p w:rsidR="00333841" w:rsidRPr="00100412" w:rsidRDefault="00333841" w:rsidP="008E1E4F">
      <w:pPr>
        <w:pStyle w:val="Ttulo1"/>
        <w:spacing w:line="360" w:lineRule="auto"/>
        <w:jc w:val="center"/>
        <w:rPr>
          <w:rFonts w:ascii="Palatino Linotype" w:hAnsi="Palatino Linotype"/>
          <w:b/>
          <w:color w:val="auto"/>
          <w:sz w:val="24"/>
          <w:szCs w:val="24"/>
          <w:lang w:val="es-ES_tradnl"/>
        </w:rPr>
      </w:pPr>
      <w:bookmarkStart w:id="2" w:name="_Toc68821509"/>
      <w:r w:rsidRPr="00100412">
        <w:rPr>
          <w:rFonts w:ascii="Palatino Linotype" w:hAnsi="Palatino Linotype"/>
          <w:b/>
          <w:color w:val="auto"/>
          <w:sz w:val="24"/>
          <w:szCs w:val="24"/>
          <w:lang w:val="es-ES_tradnl"/>
        </w:rPr>
        <w:t>ANTECEDENTES</w:t>
      </w:r>
      <w:bookmarkEnd w:id="2"/>
    </w:p>
    <w:p w:rsidR="00AF44B1" w:rsidRPr="00100412" w:rsidRDefault="00AF44B1" w:rsidP="00AF44B1">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00412">
        <w:rPr>
          <w:rFonts w:ascii="Palatino Linotype" w:eastAsia="Calibri" w:hAnsi="Palatino Linotype" w:cs="Arial"/>
          <w:lang w:val="es-ES"/>
        </w:rPr>
        <w:t>El día trece (13) de mayo de dos mil veinte</w:t>
      </w:r>
      <w:r w:rsidRPr="00100412">
        <w:rPr>
          <w:rFonts w:ascii="Palatino Linotype" w:hAnsi="Palatino Linotype"/>
          <w:b/>
        </w:rPr>
        <w:t xml:space="preserve">, </w:t>
      </w:r>
      <w:r w:rsidRPr="00100412">
        <w:rPr>
          <w:rFonts w:ascii="Palatino Linotype" w:eastAsia="Calibri" w:hAnsi="Palatino Linotype" w:cs="Arial"/>
          <w:lang w:val="es-ES"/>
        </w:rPr>
        <w:t xml:space="preserve">se presentó ante el </w:t>
      </w:r>
      <w:r w:rsidRPr="00100412">
        <w:rPr>
          <w:rFonts w:ascii="Palatino Linotype" w:eastAsia="Calibri" w:hAnsi="Palatino Linotype" w:cs="Arial"/>
          <w:b/>
          <w:lang w:val="es-ES"/>
        </w:rPr>
        <w:t>SUJETO OBLIGADO</w:t>
      </w:r>
      <w:r w:rsidRPr="00100412">
        <w:rPr>
          <w:rFonts w:ascii="Palatino Linotype" w:eastAsia="Calibri" w:hAnsi="Palatino Linotype" w:cs="Arial"/>
        </w:rPr>
        <w:t xml:space="preserve"> vía </w:t>
      </w:r>
      <w:r w:rsidRPr="00100412">
        <w:rPr>
          <w:rFonts w:ascii="Palatino Linotype" w:eastAsia="Calibri" w:hAnsi="Palatino Linotype" w:cs="Arial"/>
          <w:lang w:val="es-ES"/>
        </w:rPr>
        <w:t>SAIMEX, la solicitud de información pública registrada con el número</w:t>
      </w:r>
      <w:r w:rsidRPr="00100412">
        <w:rPr>
          <w:rFonts w:ascii="Palatino Linotype" w:hAnsi="Palatino Linotype"/>
          <w:b/>
        </w:rPr>
        <w:t xml:space="preserve"> 00485/IXTASAL/IP/2020, </w:t>
      </w:r>
      <w:r w:rsidRPr="00100412">
        <w:rPr>
          <w:rFonts w:ascii="Palatino Linotype" w:eastAsia="Calibri" w:hAnsi="Palatino Linotype" w:cs="Arial"/>
          <w:lang w:val="es-ES"/>
        </w:rPr>
        <w:t>mediante las cuales se solicitó la siguiente información:</w:t>
      </w:r>
    </w:p>
    <w:tbl>
      <w:tblPr>
        <w:tblStyle w:val="Tablaconcuadrcula1"/>
        <w:tblW w:w="0" w:type="auto"/>
        <w:tblLayout w:type="fixed"/>
        <w:tblLook w:val="04A0" w:firstRow="1" w:lastRow="0" w:firstColumn="1" w:lastColumn="0" w:noHBand="0" w:noVBand="1"/>
      </w:tblPr>
      <w:tblGrid>
        <w:gridCol w:w="2802"/>
        <w:gridCol w:w="6252"/>
      </w:tblGrid>
      <w:tr w:rsidR="00AF44B1" w:rsidRPr="00100412" w:rsidTr="00855DA2">
        <w:tc>
          <w:tcPr>
            <w:tcW w:w="2802" w:type="dxa"/>
          </w:tcPr>
          <w:p w:rsidR="00AF44B1" w:rsidRPr="00100412" w:rsidRDefault="00AF44B1" w:rsidP="00855DA2">
            <w:pPr>
              <w:spacing w:line="360" w:lineRule="auto"/>
              <w:ind w:right="333"/>
              <w:jc w:val="center"/>
              <w:rPr>
                <w:rFonts w:ascii="Palatino Linotype" w:hAnsi="Palatino Linotype"/>
                <w:b/>
                <w:color w:val="000000"/>
                <w:lang w:val="es-ES"/>
              </w:rPr>
            </w:pPr>
            <w:r w:rsidRPr="00100412">
              <w:rPr>
                <w:rFonts w:ascii="Palatino Linotype" w:hAnsi="Palatino Linotype"/>
                <w:b/>
                <w:color w:val="000000"/>
                <w:lang w:val="es-ES"/>
              </w:rPr>
              <w:t>Recurso de revisión</w:t>
            </w:r>
          </w:p>
        </w:tc>
        <w:tc>
          <w:tcPr>
            <w:tcW w:w="6252" w:type="dxa"/>
          </w:tcPr>
          <w:p w:rsidR="00AF44B1" w:rsidRPr="00100412" w:rsidRDefault="00AF44B1" w:rsidP="00855DA2">
            <w:pPr>
              <w:spacing w:line="360" w:lineRule="auto"/>
              <w:ind w:right="333"/>
              <w:jc w:val="center"/>
              <w:rPr>
                <w:rFonts w:ascii="Palatino Linotype" w:hAnsi="Palatino Linotype"/>
                <w:b/>
                <w:color w:val="000000"/>
                <w:lang w:val="es-ES"/>
              </w:rPr>
            </w:pPr>
            <w:r w:rsidRPr="00100412">
              <w:rPr>
                <w:rFonts w:ascii="Palatino Linotype" w:hAnsi="Palatino Linotype"/>
                <w:b/>
                <w:color w:val="000000"/>
                <w:lang w:val="es-ES"/>
              </w:rPr>
              <w:t>Información solicitada</w:t>
            </w:r>
          </w:p>
        </w:tc>
      </w:tr>
      <w:tr w:rsidR="00AF44B1" w:rsidRPr="00100412" w:rsidTr="00855DA2">
        <w:tc>
          <w:tcPr>
            <w:tcW w:w="2802" w:type="dxa"/>
          </w:tcPr>
          <w:p w:rsidR="00AF44B1" w:rsidRPr="00100412" w:rsidRDefault="00AF44B1" w:rsidP="00AF44B1">
            <w:pPr>
              <w:pStyle w:val="Prrafodelista"/>
              <w:numPr>
                <w:ilvl w:val="0"/>
                <w:numId w:val="9"/>
              </w:numPr>
              <w:spacing w:line="360" w:lineRule="auto"/>
              <w:ind w:left="0" w:right="333"/>
              <w:jc w:val="both"/>
              <w:rPr>
                <w:rFonts w:ascii="Palatino Linotype" w:hAnsi="Palatino Linotype"/>
                <w:b/>
                <w:color w:val="000000"/>
                <w:sz w:val="20"/>
                <w:lang w:val="es-ES"/>
              </w:rPr>
            </w:pPr>
            <w:r w:rsidRPr="00100412">
              <w:rPr>
                <w:rFonts w:ascii="Palatino Linotype" w:hAnsi="Palatino Linotype"/>
                <w:b/>
                <w:bCs/>
                <w:color w:val="000000" w:themeColor="text1"/>
                <w:sz w:val="20"/>
              </w:rPr>
              <w:t>00485/IXTASAL/IP/2020</w:t>
            </w:r>
          </w:p>
        </w:tc>
        <w:tc>
          <w:tcPr>
            <w:tcW w:w="6252" w:type="dxa"/>
          </w:tcPr>
          <w:p w:rsidR="00AF44B1" w:rsidRPr="00100412" w:rsidRDefault="00AF44B1" w:rsidP="00855DA2">
            <w:pPr>
              <w:pStyle w:val="Prrafodelista"/>
              <w:ind w:left="0"/>
              <w:jc w:val="both"/>
              <w:rPr>
                <w:rFonts w:ascii="Palatino Linotype" w:hAnsi="Palatino Linotype"/>
                <w:color w:val="000000"/>
              </w:rPr>
            </w:pPr>
            <w:r w:rsidRPr="00100412">
              <w:rPr>
                <w:rFonts w:ascii="Palatino Linotype" w:hAnsi="Palatino Linotype"/>
                <w:color w:val="000000"/>
              </w:rPr>
              <w:t xml:space="preserve">Del secretario del ayuntamiento, solicito, todos los </w:t>
            </w:r>
            <w:proofErr w:type="spellStart"/>
            <w:r w:rsidRPr="00100412">
              <w:rPr>
                <w:rFonts w:ascii="Palatino Linotype" w:hAnsi="Palatino Linotype"/>
                <w:color w:val="000000"/>
              </w:rPr>
              <w:t>meomrámdums</w:t>
            </w:r>
            <w:proofErr w:type="spellEnd"/>
            <w:r w:rsidRPr="00100412">
              <w:rPr>
                <w:rFonts w:ascii="Palatino Linotype" w:hAnsi="Palatino Linotype"/>
                <w:color w:val="000000"/>
              </w:rPr>
              <w:t xml:space="preserve"> y oficios que le haya emitido el presidente municipal durante el ejercicio fiscal 2019.</w:t>
            </w:r>
          </w:p>
        </w:tc>
      </w:tr>
    </w:tbl>
    <w:p w:rsidR="00AF44B1" w:rsidRPr="00100412" w:rsidRDefault="00AF44B1" w:rsidP="00AF44B1">
      <w:pPr>
        <w:pStyle w:val="Prrafodelista"/>
        <w:numPr>
          <w:ilvl w:val="0"/>
          <w:numId w:val="10"/>
        </w:numPr>
        <w:spacing w:line="360" w:lineRule="auto"/>
        <w:ind w:left="851" w:right="34"/>
        <w:jc w:val="both"/>
        <w:rPr>
          <w:rFonts w:ascii="Palatino Linotype" w:hAnsi="Palatino Linotype"/>
        </w:rPr>
      </w:pPr>
      <w:r w:rsidRPr="00100412">
        <w:rPr>
          <w:rFonts w:ascii="Palatino Linotype" w:hAnsi="Palatino Linotype" w:cs="Arial"/>
          <w:lang w:val="es-ES"/>
        </w:rPr>
        <w:lastRenderedPageBreak/>
        <w:t>Se eligió como modalidad de entrega de la información</w:t>
      </w:r>
      <w:r w:rsidRPr="00100412">
        <w:rPr>
          <w:rFonts w:ascii="Palatino Linotype" w:hAnsi="Palatino Linotype"/>
        </w:rPr>
        <w:t>: A través del SAIMEX</w:t>
      </w:r>
    </w:p>
    <w:p w:rsidR="00BB4836" w:rsidRPr="00100412" w:rsidRDefault="00BB4836" w:rsidP="00BB4836">
      <w:pPr>
        <w:pStyle w:val="Prrafodelista"/>
        <w:spacing w:line="360" w:lineRule="auto"/>
        <w:ind w:right="34"/>
        <w:jc w:val="both"/>
        <w:rPr>
          <w:rFonts w:ascii="Palatino Linotype" w:hAnsi="Palatino Linotype" w:cs="Arial"/>
          <w:b/>
          <w:lang w:val="es-ES_tradnl"/>
        </w:rPr>
      </w:pPr>
    </w:p>
    <w:p w:rsidR="000B047C" w:rsidRPr="00100412" w:rsidRDefault="00AF44B1" w:rsidP="000B04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100412">
        <w:rPr>
          <w:rFonts w:ascii="Palatino Linotype" w:hAnsi="Palatino Linotype" w:cs="Arial"/>
          <w:color w:val="000000" w:themeColor="text1"/>
        </w:rPr>
        <w:t xml:space="preserve">El día tres (03) de julio de dos mil veinte, el </w:t>
      </w:r>
      <w:r w:rsidRPr="00100412">
        <w:rPr>
          <w:rFonts w:ascii="Palatino Linotype" w:hAnsi="Palatino Linotype" w:cs="Arial"/>
          <w:b/>
          <w:color w:val="000000" w:themeColor="text1"/>
        </w:rPr>
        <w:t>SUJETO OBLIGADO,</w:t>
      </w:r>
      <w:r w:rsidRPr="00100412">
        <w:rPr>
          <w:rFonts w:ascii="Palatino Linotype" w:hAnsi="Palatino Linotype" w:cs="Arial"/>
          <w:color w:val="000000" w:themeColor="text1"/>
        </w:rPr>
        <w:t xml:space="preserve"> dio respuesta a la solicitud de información, a través del archivo electrónico </w:t>
      </w:r>
      <w:r w:rsidRPr="00100412">
        <w:rPr>
          <w:rFonts w:ascii="Palatino Linotype" w:hAnsi="Palatino Linotype" w:cs="Arial"/>
          <w:b/>
          <w:color w:val="000000" w:themeColor="text1"/>
        </w:rPr>
        <w:t>Acta de la 12va Sesión Extraordinaria.pdf</w:t>
      </w:r>
      <w:r w:rsidRPr="00100412">
        <w:rPr>
          <w:rFonts w:ascii="Palatino Linotype" w:hAnsi="Palatino Linotype" w:cs="Arial"/>
          <w:color w:val="000000" w:themeColor="text1"/>
        </w:rPr>
        <w:t xml:space="preserve"> que corresponde al Acta de la décimo segunda sesión extraordinaria del Comité de Transparencia de fecha dieciocho (18) de junio del año en curso, misma que ya es del conocimiento de las partes; no </w:t>
      </w:r>
      <w:proofErr w:type="gramStart"/>
      <w:r w:rsidRPr="00100412">
        <w:rPr>
          <w:rFonts w:ascii="Palatino Linotype" w:hAnsi="Palatino Linotype" w:cs="Arial"/>
          <w:color w:val="000000" w:themeColor="text1"/>
        </w:rPr>
        <w:t>obstante</w:t>
      </w:r>
      <w:proofErr w:type="gramEnd"/>
      <w:r w:rsidRPr="00100412">
        <w:rPr>
          <w:rFonts w:ascii="Palatino Linotype" w:hAnsi="Palatino Linotype" w:cs="Arial"/>
          <w:color w:val="000000" w:themeColor="text1"/>
        </w:rPr>
        <w:t xml:space="preserve"> </w:t>
      </w:r>
      <w:r w:rsidRPr="00100412">
        <w:rPr>
          <w:rFonts w:ascii="Palatino Linotype" w:hAnsi="Palatino Linotype" w:cs="Arial"/>
          <w:i/>
          <w:color w:val="000000" w:themeColor="text1"/>
        </w:rPr>
        <w:t>grosso modo</w:t>
      </w:r>
      <w:r w:rsidRPr="00100412">
        <w:rPr>
          <w:rFonts w:ascii="Palatino Linotype" w:hAnsi="Palatino Linotype" w:cs="Arial"/>
          <w:color w:val="000000" w:themeColor="text1"/>
        </w:rPr>
        <w:t xml:space="preserve"> se ilustra que se acordó lo siguiente</w:t>
      </w:r>
      <w:r w:rsidR="000B047C" w:rsidRPr="00100412">
        <w:rPr>
          <w:rFonts w:ascii="Palatino Linotype" w:hAnsi="Palatino Linotype" w:cs="Arial"/>
          <w:color w:val="000000" w:themeColor="text1"/>
        </w:rPr>
        <w:t>:</w:t>
      </w:r>
    </w:p>
    <w:p w:rsidR="000B047C" w:rsidRPr="00100412" w:rsidRDefault="00AF44B1" w:rsidP="000B047C">
      <w:pPr>
        <w:tabs>
          <w:tab w:val="left" w:pos="0"/>
        </w:tabs>
        <w:ind w:right="49"/>
        <w:jc w:val="center"/>
        <w:rPr>
          <w:rFonts w:ascii="Palatino Linotype" w:hAnsi="Palatino Linotype" w:cs="Arial"/>
          <w:i/>
          <w:color w:val="000000" w:themeColor="text1"/>
          <w:sz w:val="22"/>
          <w:lang w:val="es-MX"/>
        </w:rPr>
      </w:pPr>
      <w:r w:rsidRPr="00100412">
        <w:rPr>
          <w:rFonts w:ascii="Palatino Linotype" w:hAnsi="Palatino Linotype" w:cs="Arial"/>
          <w:i/>
          <w:noProof/>
          <w:color w:val="000000" w:themeColor="text1"/>
          <w:sz w:val="22"/>
          <w:lang w:val="es-MX" w:eastAsia="es-MX"/>
        </w:rPr>
        <mc:AlternateContent>
          <mc:Choice Requires="wps">
            <w:drawing>
              <wp:anchor distT="0" distB="0" distL="114300" distR="114300" simplePos="0" relativeHeight="251663360" behindDoc="0" locked="0" layoutInCell="1" allowOverlap="1" wp14:anchorId="2F5AEC6C" wp14:editId="4E2CB736">
                <wp:simplePos x="0" y="0"/>
                <wp:positionH relativeFrom="column">
                  <wp:posOffset>81914</wp:posOffset>
                </wp:positionH>
                <wp:positionV relativeFrom="paragraph">
                  <wp:posOffset>227964</wp:posOffset>
                </wp:positionV>
                <wp:extent cx="5400675" cy="362902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400675" cy="36290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65CD34"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5pt,17.95pt" to="431.7pt,3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" strokecolor="black [3200]" strokeweight="1.5pt">
                <v:stroke joinstyle="miter"/>
              </v:line>
            </w:pict>
          </mc:Fallback>
        </mc:AlternateContent>
      </w:r>
    </w:p>
    <w:p w:rsidR="000B047C" w:rsidRPr="00100412" w:rsidRDefault="00AF44B1" w:rsidP="000B047C">
      <w:pPr>
        <w:pStyle w:val="Prrafodelista"/>
        <w:tabs>
          <w:tab w:val="left" w:pos="0"/>
        </w:tabs>
        <w:spacing w:line="360" w:lineRule="auto"/>
        <w:ind w:left="0" w:right="49"/>
        <w:jc w:val="center"/>
        <w:rPr>
          <w:rFonts w:ascii="Palatino Linotype" w:hAnsi="Palatino Linotype" w:cs="Arial"/>
          <w:i/>
          <w:color w:val="000000" w:themeColor="text1"/>
        </w:rPr>
      </w:pPr>
      <w:r w:rsidRPr="00100412">
        <w:rPr>
          <w:rFonts w:ascii="Palatino Linotype" w:hAnsi="Palatino Linotype" w:cs="Arial"/>
          <w:i/>
          <w:noProof/>
          <w:color w:val="000000" w:themeColor="text1"/>
          <w:sz w:val="22"/>
          <w:lang w:val="es-MX" w:eastAsia="es-MX"/>
        </w:rPr>
        <w:lastRenderedPageBreak/>
        <w:drawing>
          <wp:inline distT="0" distB="0" distL="0" distR="0" wp14:anchorId="247D7380" wp14:editId="7BC4CA04">
            <wp:extent cx="5206621" cy="5979390"/>
            <wp:effectExtent l="19050" t="19050" r="1333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454" cy="5991831"/>
                    </a:xfrm>
                    <a:prstGeom prst="rect">
                      <a:avLst/>
                    </a:prstGeom>
                    <a:noFill/>
                    <a:ln>
                      <a:solidFill>
                        <a:schemeClr val="tx1"/>
                      </a:solidFill>
                    </a:ln>
                  </pic:spPr>
                </pic:pic>
              </a:graphicData>
            </a:graphic>
          </wp:inline>
        </w:drawing>
      </w:r>
    </w:p>
    <w:p w:rsidR="000B047C" w:rsidRPr="00100412" w:rsidRDefault="00AF44B1" w:rsidP="000B047C">
      <w:pPr>
        <w:pStyle w:val="Prrafodelista"/>
        <w:tabs>
          <w:tab w:val="left" w:pos="0"/>
        </w:tabs>
        <w:spacing w:line="360" w:lineRule="auto"/>
        <w:ind w:left="0" w:right="49"/>
        <w:jc w:val="center"/>
        <w:rPr>
          <w:rFonts w:ascii="Palatino Linotype" w:hAnsi="Palatino Linotype" w:cs="Arial"/>
          <w:i/>
          <w:color w:val="000000" w:themeColor="text1"/>
        </w:rPr>
      </w:pPr>
      <w:r w:rsidRPr="00100412">
        <w:rPr>
          <w:rFonts w:ascii="Palatino Linotype" w:hAnsi="Palatino Linotype" w:cs="Arial"/>
          <w:i/>
          <w:noProof/>
          <w:color w:val="000000" w:themeColor="text1"/>
          <w:lang w:val="es-MX" w:eastAsia="es-MX"/>
        </w:rPr>
        <w:lastRenderedPageBreak/>
        <w:drawing>
          <wp:inline distT="0" distB="0" distL="0" distR="0" wp14:anchorId="4786F776" wp14:editId="1FD03506">
            <wp:extent cx="5240741" cy="3634047"/>
            <wp:effectExtent l="19050" t="19050" r="17145" b="241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298" cy="3637207"/>
                    </a:xfrm>
                    <a:prstGeom prst="rect">
                      <a:avLst/>
                    </a:prstGeom>
                    <a:noFill/>
                    <a:ln>
                      <a:solidFill>
                        <a:schemeClr val="tx1"/>
                      </a:solidFill>
                    </a:ln>
                  </pic:spPr>
                </pic:pic>
              </a:graphicData>
            </a:graphic>
          </wp:inline>
        </w:drawing>
      </w:r>
    </w:p>
    <w:p w:rsidR="00AF44B1" w:rsidRPr="00100412" w:rsidRDefault="00AF44B1" w:rsidP="000B047C">
      <w:pPr>
        <w:pStyle w:val="Prrafodelista"/>
        <w:tabs>
          <w:tab w:val="left" w:pos="0"/>
        </w:tabs>
        <w:spacing w:line="360" w:lineRule="auto"/>
        <w:ind w:left="0" w:right="49"/>
        <w:jc w:val="center"/>
        <w:rPr>
          <w:rFonts w:ascii="Palatino Linotype" w:hAnsi="Palatino Linotype" w:cs="Arial"/>
          <w:i/>
          <w:color w:val="000000" w:themeColor="text1"/>
        </w:rPr>
      </w:pPr>
    </w:p>
    <w:p w:rsidR="000B047C" w:rsidRPr="00100412" w:rsidRDefault="00AF44B1" w:rsidP="000B047C">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100412">
        <w:rPr>
          <w:rFonts w:ascii="Palatino Linotype" w:hAnsi="Palatino Linotype" w:cs="Arial"/>
          <w:color w:val="000000" w:themeColor="text1"/>
          <w:lang w:val="es-ES"/>
        </w:rPr>
        <w:t>En fecha veintiuno (21) de agosto de dos mil veinte, la particular interpuso recurso de revisión en contra de la respuesta, en los siguientes términos:</w:t>
      </w:r>
    </w:p>
    <w:p w:rsidR="000B047C" w:rsidRPr="00100412" w:rsidRDefault="000B047C" w:rsidP="000B047C">
      <w:pPr>
        <w:spacing w:line="360" w:lineRule="auto"/>
        <w:ind w:right="34"/>
        <w:jc w:val="both"/>
        <w:rPr>
          <w:rFonts w:ascii="Palatino Linotype" w:hAnsi="Palatino Linotype"/>
          <w:b/>
        </w:rPr>
      </w:pPr>
    </w:p>
    <w:p w:rsidR="000B047C" w:rsidRPr="00100412" w:rsidRDefault="000B047C" w:rsidP="000B047C">
      <w:pPr>
        <w:spacing w:line="360" w:lineRule="auto"/>
        <w:ind w:left="360" w:right="34"/>
        <w:jc w:val="both"/>
        <w:rPr>
          <w:rFonts w:ascii="Palatino Linotype" w:hAnsi="Palatino Linotype"/>
          <w:b/>
        </w:rPr>
      </w:pPr>
      <w:r w:rsidRPr="00100412">
        <w:rPr>
          <w:rFonts w:ascii="Palatino Linotype" w:hAnsi="Palatino Linotype"/>
          <w:b/>
        </w:rPr>
        <w:t xml:space="preserve">Recurso de revisión: </w:t>
      </w:r>
      <w:r w:rsidR="005254EB" w:rsidRPr="00100412">
        <w:rPr>
          <w:rFonts w:ascii="Palatino Linotype" w:hAnsi="Palatino Linotype"/>
          <w:b/>
        </w:rPr>
        <w:t>03183</w:t>
      </w:r>
      <w:r w:rsidRPr="00100412">
        <w:rPr>
          <w:rFonts w:ascii="Palatino Linotype" w:hAnsi="Palatino Linotype"/>
          <w:b/>
        </w:rPr>
        <w:t>/INFOEM/IP/RR/2020</w:t>
      </w:r>
    </w:p>
    <w:p w:rsidR="00AF44B1" w:rsidRPr="00100412" w:rsidRDefault="00AF44B1" w:rsidP="000B047C">
      <w:pPr>
        <w:spacing w:line="360" w:lineRule="auto"/>
        <w:ind w:left="360" w:right="34"/>
        <w:jc w:val="both"/>
        <w:rPr>
          <w:rFonts w:ascii="Palatino Linotype" w:hAnsi="Palatino Linotype"/>
          <w:b/>
        </w:rPr>
      </w:pPr>
    </w:p>
    <w:p w:rsidR="000B047C" w:rsidRPr="00100412" w:rsidRDefault="000B047C" w:rsidP="00AF44B1">
      <w:pPr>
        <w:pStyle w:val="Prrafodelista"/>
        <w:numPr>
          <w:ilvl w:val="0"/>
          <w:numId w:val="10"/>
        </w:numPr>
        <w:spacing w:line="360" w:lineRule="auto"/>
        <w:jc w:val="both"/>
        <w:rPr>
          <w:rFonts w:ascii="Palatino Linotype" w:hAnsi="Palatino Linotype"/>
        </w:rPr>
      </w:pPr>
      <w:bookmarkStart w:id="3" w:name="_Toc466982514"/>
      <w:bookmarkStart w:id="4" w:name="_Toc51854302"/>
      <w:bookmarkStart w:id="5" w:name="_Toc67611429"/>
      <w:bookmarkStart w:id="6" w:name="_Toc67611680"/>
      <w:bookmarkStart w:id="7" w:name="_Toc67611955"/>
      <w:bookmarkStart w:id="8" w:name="_Toc27589208"/>
      <w:bookmarkStart w:id="9" w:name="_Toc29395022"/>
      <w:bookmarkStart w:id="10" w:name="_Toc29481467"/>
      <w:bookmarkStart w:id="11" w:name="_Toc33113911"/>
      <w:bookmarkStart w:id="12" w:name="_Toc33643059"/>
      <w:bookmarkStart w:id="13" w:name="_Toc33724991"/>
      <w:bookmarkStart w:id="14" w:name="_Toc33726434"/>
      <w:bookmarkStart w:id="15" w:name="_Toc34157662"/>
      <w:bookmarkStart w:id="16" w:name="_Toc35003615"/>
      <w:bookmarkStart w:id="17" w:name="_Toc35535691"/>
      <w:bookmarkStart w:id="18" w:name="_Toc51262525"/>
      <w:bookmarkStart w:id="19" w:name="_Toc471908126"/>
      <w:bookmarkStart w:id="20" w:name="_Toc491791300"/>
      <w:bookmarkStart w:id="21" w:name="_Toc496726170"/>
      <w:bookmarkStart w:id="22" w:name="_Toc497242134"/>
      <w:bookmarkStart w:id="23" w:name="_Toc497292517"/>
      <w:bookmarkStart w:id="24" w:name="_Toc498503716"/>
      <w:bookmarkStart w:id="25" w:name="_Toc499568660"/>
      <w:bookmarkStart w:id="26" w:name="_Toc499568693"/>
      <w:bookmarkStart w:id="27" w:name="_Toc499665452"/>
      <w:bookmarkStart w:id="28" w:name="_Toc499729819"/>
      <w:bookmarkStart w:id="29" w:name="_Toc499835024"/>
      <w:bookmarkStart w:id="30" w:name="_Toc499835835"/>
      <w:bookmarkStart w:id="31" w:name="_Toc499835858"/>
      <w:bookmarkStart w:id="32" w:name="_Toc500264537"/>
      <w:bookmarkStart w:id="33" w:name="_Toc503290275"/>
      <w:bookmarkStart w:id="34" w:name="_Toc524009637"/>
      <w:bookmarkStart w:id="35" w:name="_Toc524009672"/>
      <w:bookmarkStart w:id="36" w:name="_Toc524602720"/>
      <w:bookmarkStart w:id="37" w:name="_Toc526365279"/>
      <w:bookmarkStart w:id="38" w:name="_Toc526365337"/>
      <w:bookmarkStart w:id="39" w:name="_Toc530067664"/>
      <w:bookmarkStart w:id="40" w:name="_Toc530067692"/>
      <w:bookmarkStart w:id="41" w:name="_Toc530067939"/>
      <w:bookmarkStart w:id="42" w:name="_Toc530590420"/>
      <w:bookmarkStart w:id="43" w:name="_Toc530593951"/>
      <w:bookmarkStart w:id="44" w:name="_Toc531190248"/>
      <w:bookmarkStart w:id="45" w:name="_Toc531190295"/>
      <w:bookmarkStart w:id="46" w:name="_Toc534908208"/>
      <w:bookmarkStart w:id="47" w:name="_Toc534909344"/>
      <w:bookmarkStart w:id="48" w:name="_Toc535353305"/>
      <w:bookmarkStart w:id="49" w:name="_Toc535353791"/>
      <w:bookmarkStart w:id="50" w:name="_Toc18436351"/>
      <w:bookmarkStart w:id="51" w:name="_Toc18436385"/>
      <w:bookmarkStart w:id="52" w:name="_Toc18513477"/>
      <w:bookmarkStart w:id="53" w:name="_Toc18513503"/>
      <w:bookmarkStart w:id="54" w:name="_Toc18606801"/>
      <w:bookmarkStart w:id="55" w:name="_Toc19723536"/>
      <w:bookmarkStart w:id="56" w:name="_Toc20322795"/>
      <w:bookmarkStart w:id="57" w:name="_Toc20323052"/>
      <w:bookmarkStart w:id="58" w:name="_Toc20323181"/>
      <w:bookmarkStart w:id="59" w:name="_Toc20420591"/>
      <w:bookmarkStart w:id="60" w:name="_Toc20421579"/>
      <w:bookmarkStart w:id="61" w:name="_Toc21027316"/>
      <w:bookmarkStart w:id="62" w:name="_Toc22660652"/>
      <w:bookmarkStart w:id="63" w:name="_Toc22811623"/>
      <w:bookmarkStart w:id="64" w:name="_Toc26436015"/>
      <w:bookmarkStart w:id="65" w:name="_Toc68820604"/>
      <w:bookmarkStart w:id="66" w:name="_Toc68820676"/>
      <w:bookmarkStart w:id="67" w:name="_Toc68821066"/>
      <w:bookmarkStart w:id="68" w:name="_Toc68821510"/>
      <w:r w:rsidRPr="00100412">
        <w:rPr>
          <w:rStyle w:val="Ttulo2Car"/>
          <w:rFonts w:ascii="Palatino Linotype" w:hAnsi="Palatino Linotype"/>
          <w:b/>
          <w:color w:val="000000" w:themeColor="text1"/>
          <w:sz w:val="24"/>
          <w:szCs w:val="24"/>
        </w:rPr>
        <w:t>Acto impugnado</w:t>
      </w:r>
      <w:bookmarkEnd w:id="3"/>
      <w:r w:rsidRPr="00100412">
        <w:rPr>
          <w:rStyle w:val="Ttulo2Car"/>
          <w:rFonts w:ascii="Palatino Linotype" w:hAnsi="Palatino Linotype"/>
          <w:b/>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AF44B1" w:rsidRPr="00100412">
        <w:rPr>
          <w:rFonts w:ascii="Palatino Linotype" w:hAnsi="Palatino Linotype"/>
          <w:i/>
          <w:color w:val="000000" w:themeColor="text1"/>
        </w:rPr>
        <w:t xml:space="preserve"> </w:t>
      </w:r>
      <w:r w:rsidR="00AF44B1" w:rsidRPr="00100412">
        <w:rPr>
          <w:rStyle w:val="Ttulo2Car"/>
          <w:rFonts w:ascii="Palatino Linotype" w:hAnsi="Palatino Linotype"/>
          <w:i/>
          <w:color w:val="000000" w:themeColor="text1"/>
          <w:sz w:val="24"/>
          <w:szCs w:val="24"/>
        </w:rPr>
        <w:t>“La respuesta del sujeto obligado, a través de una infundada acta del comité de transparencia.</w:t>
      </w:r>
      <w:r w:rsidR="00AF44B1" w:rsidRPr="00100412">
        <w:rPr>
          <w:rFonts w:ascii="Palatino Linotype" w:hAnsi="Palatino Linotype"/>
        </w:rPr>
        <w:t>”</w:t>
      </w:r>
    </w:p>
    <w:p w:rsidR="000B047C" w:rsidRPr="00100412" w:rsidRDefault="000B047C" w:rsidP="00025D6B">
      <w:pPr>
        <w:pStyle w:val="Ttulo2"/>
        <w:numPr>
          <w:ilvl w:val="0"/>
          <w:numId w:val="10"/>
        </w:numPr>
        <w:spacing w:line="360" w:lineRule="auto"/>
        <w:jc w:val="both"/>
        <w:rPr>
          <w:rFonts w:ascii="Palatino Linotype" w:hAnsi="Palatino Linotype"/>
          <w:i/>
          <w:color w:val="000000" w:themeColor="text1"/>
          <w:sz w:val="24"/>
          <w:szCs w:val="24"/>
        </w:rPr>
      </w:pPr>
      <w:bookmarkStart w:id="127" w:name="_Toc51854303"/>
      <w:bookmarkStart w:id="128" w:name="_Toc67611430"/>
      <w:bookmarkStart w:id="129" w:name="_Toc67611681"/>
      <w:bookmarkStart w:id="130" w:name="_Toc67611956"/>
      <w:bookmarkStart w:id="131" w:name="_Toc68820605"/>
      <w:bookmarkStart w:id="132" w:name="_Toc68820677"/>
      <w:bookmarkStart w:id="133" w:name="_Toc68821067"/>
      <w:bookmarkStart w:id="134" w:name="_Toc68821511"/>
      <w:r w:rsidRPr="00100412">
        <w:rPr>
          <w:rStyle w:val="Ttulo2Car"/>
          <w:rFonts w:ascii="Palatino Linotype" w:hAnsi="Palatino Linotype"/>
          <w:b/>
          <w:color w:val="000000" w:themeColor="text1"/>
          <w:sz w:val="24"/>
          <w:szCs w:val="24"/>
        </w:rPr>
        <w:lastRenderedPageBreak/>
        <w:t>Razones o Motivos de inconformidad:</w:t>
      </w:r>
      <w:bookmarkEnd w:id="69"/>
      <w:r w:rsidRPr="00100412">
        <w:rPr>
          <w:rFonts w:ascii="Palatino Linotype" w:hAnsi="Palatino Linotype"/>
          <w:b/>
          <w:color w:val="000000" w:themeColor="text1"/>
          <w:sz w:val="24"/>
          <w:szCs w:val="24"/>
        </w:rPr>
        <w:t xml:space="preserve"> </w:t>
      </w:r>
      <w:r w:rsidRPr="00100412">
        <w:rPr>
          <w:rFonts w:ascii="Palatino Linotype" w:hAnsi="Palatino Linotype"/>
          <w:i/>
          <w:color w:val="000000" w:themeColor="text1"/>
          <w:sz w:val="24"/>
          <w:szCs w:val="24"/>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w:t>
      </w:r>
      <w:r w:rsidRPr="00100412">
        <w:rPr>
          <w:rFonts w:ascii="Palatino Linotype" w:hAnsi="Palatino Linotype"/>
          <w:i/>
          <w:color w:val="000000" w:themeColor="text1"/>
          <w:sz w:val="24"/>
          <w:szCs w:val="24"/>
        </w:rPr>
        <w:lastRenderedPageBreak/>
        <w:t xml:space="preserve">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Pr="00100412">
        <w:rPr>
          <w:rFonts w:ascii="Palatino Linotype" w:hAnsi="Palatino Linotype"/>
          <w:i/>
          <w:color w:val="000000" w:themeColor="text1"/>
          <w:sz w:val="24"/>
          <w:szCs w:val="24"/>
        </w:rPr>
        <w:t>infoem</w:t>
      </w:r>
      <w:proofErr w:type="spellEnd"/>
      <w:r w:rsidRPr="00100412">
        <w:rPr>
          <w:rFonts w:ascii="Palatino Linotype" w:hAnsi="Palatino Linotype"/>
          <w:i/>
          <w:color w:val="000000" w:themeColor="text1"/>
          <w:sz w:val="24"/>
          <w:szCs w:val="24"/>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Pr="00100412">
        <w:rPr>
          <w:rFonts w:ascii="Palatino Linotype" w:hAnsi="Palatino Linotype"/>
          <w:i/>
          <w:color w:val="000000" w:themeColor="text1"/>
          <w:sz w:val="24"/>
          <w:szCs w:val="24"/>
        </w:rPr>
        <w:t>covid</w:t>
      </w:r>
      <w:proofErr w:type="spellEnd"/>
      <w:r w:rsidRPr="00100412">
        <w:rPr>
          <w:rFonts w:ascii="Palatino Linotype" w:hAnsi="Palatino Linotype"/>
          <w:i/>
          <w:color w:val="000000" w:themeColor="text1"/>
          <w:sz w:val="24"/>
          <w:szCs w:val="24"/>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w:t>
      </w:r>
      <w:r w:rsidRPr="00100412">
        <w:rPr>
          <w:rFonts w:ascii="Palatino Linotype" w:hAnsi="Palatino Linotype"/>
          <w:i/>
          <w:color w:val="000000" w:themeColor="text1"/>
          <w:sz w:val="24"/>
          <w:szCs w:val="24"/>
        </w:rPr>
        <w:lastRenderedPageBreak/>
        <w:t xml:space="preserve">in situ la información solicitada, ello implica, que la tiene localizada y lista, por tanto, sólo faltaría escanearla y enviarla por </w:t>
      </w:r>
      <w:proofErr w:type="spellStart"/>
      <w:r w:rsidRPr="00100412">
        <w:rPr>
          <w:rFonts w:ascii="Palatino Linotype" w:hAnsi="Palatino Linotype"/>
          <w:i/>
          <w:color w:val="000000" w:themeColor="text1"/>
          <w:sz w:val="24"/>
          <w:szCs w:val="24"/>
        </w:rPr>
        <w:t>saimex</w:t>
      </w:r>
      <w:proofErr w:type="spellEnd"/>
      <w:r w:rsidRPr="00100412">
        <w:rPr>
          <w:rFonts w:ascii="Palatino Linotype" w:hAnsi="Palatino Linotype"/>
          <w:i/>
          <w:color w:val="000000" w:themeColor="text1"/>
          <w:sz w:val="24"/>
          <w:szCs w:val="24"/>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Pr="00100412">
        <w:rPr>
          <w:rFonts w:ascii="Palatino Linotype" w:hAnsi="Palatino Linotype"/>
          <w:i/>
          <w:color w:val="000000" w:themeColor="text1"/>
          <w:sz w:val="24"/>
          <w:szCs w:val="24"/>
        </w:rPr>
        <w:t>saimex</w:t>
      </w:r>
      <w:proofErr w:type="spellEnd"/>
      <w:r w:rsidRPr="00100412">
        <w:rPr>
          <w:rFonts w:ascii="Palatino Linotype" w:hAnsi="Palatino Linotype"/>
          <w:i/>
          <w:color w:val="000000" w:themeColor="text1"/>
          <w:sz w:val="24"/>
          <w:szCs w:val="24"/>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Pr="00100412">
        <w:rPr>
          <w:rFonts w:ascii="Palatino Linotype" w:hAnsi="Palatino Linotype"/>
          <w:i/>
          <w:color w:val="000000" w:themeColor="text1"/>
          <w:sz w:val="24"/>
          <w:szCs w:val="24"/>
        </w:rPr>
        <w:t>esta</w:t>
      </w:r>
      <w:proofErr w:type="spellEnd"/>
      <w:r w:rsidRPr="00100412">
        <w:rPr>
          <w:rFonts w:ascii="Palatino Linotype" w:hAnsi="Palatino Linotype"/>
          <w:i/>
          <w:color w:val="000000" w:themeColor="text1"/>
          <w:sz w:val="24"/>
          <w:szCs w:val="24"/>
        </w:rPr>
        <w:t xml:space="preserve"> la información, pero si la quieren que </w:t>
      </w:r>
      <w:r w:rsidRPr="00100412">
        <w:rPr>
          <w:rFonts w:ascii="Palatino Linotype" w:hAnsi="Palatino Linotype"/>
          <w:i/>
          <w:color w:val="000000" w:themeColor="text1"/>
          <w:sz w:val="24"/>
          <w:szCs w:val="24"/>
        </w:rPr>
        <w:lastRenderedPageBreak/>
        <w:t>vengan”; ante tal abuso de autoridad, solicito se imponga multa al presidente municipal y a cada uno de los integrantes del comité de transparencia por pretender identificarme e intimidarme por realizar solicitudes.”</w:t>
      </w:r>
      <w:bookmarkEnd w:id="70"/>
      <w:bookmarkEnd w:id="71"/>
      <w:bookmarkEnd w:id="72"/>
      <w:bookmarkEnd w:id="73"/>
      <w:bookmarkEnd w:id="74"/>
      <w:bookmarkEnd w:id="75"/>
      <w:bookmarkEnd w:id="76"/>
      <w:bookmarkEnd w:id="77"/>
      <w:bookmarkEnd w:id="78"/>
      <w:bookmarkEnd w:id="79"/>
      <w:bookmarkEnd w:id="80"/>
      <w:bookmarkEnd w:id="127"/>
      <w:bookmarkEnd w:id="128"/>
      <w:bookmarkEnd w:id="129"/>
      <w:bookmarkEnd w:id="130"/>
      <w:bookmarkEnd w:id="131"/>
      <w:bookmarkEnd w:id="132"/>
      <w:bookmarkEnd w:id="133"/>
      <w:bookmarkEnd w:id="134"/>
      <w:r w:rsidRPr="00100412">
        <w:rPr>
          <w:rFonts w:ascii="Palatino Linotype" w:hAnsi="Palatino Linotype"/>
          <w:i/>
          <w:color w:val="000000" w:themeColor="text1"/>
          <w:sz w:val="24"/>
          <w:szCs w:val="24"/>
        </w:rPr>
        <w:t xml:space="preserve"> </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0A06B7" w:rsidRPr="00100412" w:rsidRDefault="000A06B7" w:rsidP="000A06B7">
      <w:pPr>
        <w:pStyle w:val="Prrafodelista"/>
        <w:numPr>
          <w:ilvl w:val="0"/>
          <w:numId w:val="1"/>
        </w:numPr>
        <w:spacing w:before="240" w:after="240" w:line="360" w:lineRule="auto"/>
        <w:ind w:left="0" w:firstLine="0"/>
        <w:jc w:val="both"/>
        <w:rPr>
          <w:rFonts w:ascii="Palatino Linotype" w:hAnsi="Palatino Linotype"/>
          <w:i/>
        </w:rPr>
      </w:pPr>
      <w:r w:rsidRPr="00100412">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veintisiete (27) de agosto del año en curso, puso a disposición de las partes el expediente electrónico </w:t>
      </w:r>
      <w:r w:rsidRPr="00100412">
        <w:rPr>
          <w:rFonts w:ascii="Palatino Linotype" w:eastAsia="Calibri" w:hAnsi="Palatino Linotype" w:cs="Arial"/>
        </w:rPr>
        <w:t xml:space="preserve">vía </w:t>
      </w:r>
      <w:r w:rsidRPr="00100412">
        <w:rPr>
          <w:rFonts w:ascii="Palatino Linotype" w:eastAsia="Calibri" w:hAnsi="Palatino Linotype" w:cs="Arial"/>
          <w:b/>
          <w:lang w:val="es-ES"/>
        </w:rPr>
        <w:t xml:space="preserve">SAIMEX </w:t>
      </w:r>
      <w:r w:rsidRPr="00100412">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100412">
        <w:rPr>
          <w:rFonts w:ascii="Palatino Linotype" w:eastAsia="Calibri" w:hAnsi="Palatino Linotype" w:cs="Arial"/>
          <w:b/>
          <w:lang w:val="es-ES"/>
        </w:rPr>
        <w:t>SUJETO OBLIGADO</w:t>
      </w:r>
      <w:r w:rsidRPr="00100412">
        <w:rPr>
          <w:rFonts w:ascii="Palatino Linotype" w:eastAsia="Calibri" w:hAnsi="Palatino Linotype" w:cs="Arial"/>
          <w:lang w:val="es-ES"/>
        </w:rPr>
        <w:t xml:space="preserve"> presentará el Informe Justificado procedente.</w:t>
      </w:r>
    </w:p>
    <w:p w:rsidR="00FC71CA" w:rsidRPr="00100412" w:rsidRDefault="00FC71CA" w:rsidP="00FC71CA">
      <w:pPr>
        <w:pStyle w:val="Prrafodelista"/>
        <w:spacing w:before="240" w:after="240" w:line="360" w:lineRule="auto"/>
        <w:ind w:left="0"/>
        <w:jc w:val="both"/>
        <w:rPr>
          <w:rFonts w:ascii="Palatino Linotype" w:hAnsi="Palatino Linotype"/>
          <w:i/>
        </w:rPr>
      </w:pPr>
    </w:p>
    <w:p w:rsidR="000A06B7" w:rsidRPr="00100412" w:rsidRDefault="000A06B7" w:rsidP="000A06B7">
      <w:pPr>
        <w:pStyle w:val="Prrafodelista"/>
        <w:numPr>
          <w:ilvl w:val="0"/>
          <w:numId w:val="1"/>
        </w:numPr>
        <w:spacing w:before="240" w:after="240" w:line="360" w:lineRule="auto"/>
        <w:ind w:left="0" w:firstLine="0"/>
        <w:jc w:val="both"/>
        <w:rPr>
          <w:rFonts w:ascii="Palatino Linotype" w:hAnsi="Palatino Linotype"/>
        </w:rPr>
      </w:pPr>
      <w:r w:rsidRPr="00100412">
        <w:rPr>
          <w:rFonts w:ascii="Palatino Linotype" w:hAnsi="Palatino Linotype"/>
          <w:color w:val="000000"/>
        </w:rPr>
        <w:t xml:space="preserve">El </w:t>
      </w:r>
      <w:r w:rsidRPr="00100412">
        <w:rPr>
          <w:rFonts w:ascii="Palatino Linotype" w:hAnsi="Palatino Linotype"/>
          <w:b/>
          <w:color w:val="000000"/>
        </w:rPr>
        <w:t>SUJETO OBLIGADO</w:t>
      </w:r>
      <w:r w:rsidRPr="00100412">
        <w:rPr>
          <w:rFonts w:ascii="Palatino Linotype" w:hAnsi="Palatino Linotype"/>
          <w:color w:val="000000"/>
        </w:rPr>
        <w:t xml:space="preserve"> fue omiso en rendir los informes justificados a los recursos de referencia. Por su parte </w:t>
      </w:r>
      <w:r w:rsidRPr="00100412">
        <w:rPr>
          <w:rFonts w:ascii="Palatino Linotype" w:hAnsi="Palatino Linotype"/>
          <w:b/>
          <w:color w:val="000000"/>
        </w:rPr>
        <w:t xml:space="preserve">LA PARTICULAR </w:t>
      </w:r>
      <w:r w:rsidRPr="00100412">
        <w:rPr>
          <w:rFonts w:ascii="Palatino Linotype" w:hAnsi="Palatino Linotype"/>
          <w:color w:val="000000"/>
        </w:rPr>
        <w:t>dejo de realizar manifestaciones que a su derecho conviniera y asistiera.</w:t>
      </w:r>
    </w:p>
    <w:p w:rsidR="00874766" w:rsidRPr="00100412" w:rsidRDefault="00874766" w:rsidP="00FC71CA">
      <w:pPr>
        <w:pStyle w:val="Prrafodelista"/>
        <w:tabs>
          <w:tab w:val="left" w:pos="0"/>
        </w:tabs>
        <w:spacing w:line="360" w:lineRule="auto"/>
        <w:ind w:left="0" w:right="49"/>
        <w:jc w:val="both"/>
        <w:rPr>
          <w:rFonts w:ascii="Palatino Linotype" w:eastAsia="Calibri" w:hAnsi="Palatino Linotype" w:cs="Arial"/>
          <w:lang w:val="es-ES_tradnl"/>
        </w:rPr>
      </w:pPr>
    </w:p>
    <w:p w:rsidR="000A06B7" w:rsidRPr="00100412" w:rsidRDefault="000A06B7" w:rsidP="000A06B7">
      <w:pPr>
        <w:pStyle w:val="Prrafodelista"/>
        <w:numPr>
          <w:ilvl w:val="0"/>
          <w:numId w:val="1"/>
        </w:numPr>
        <w:spacing w:before="240" w:after="240" w:line="360" w:lineRule="auto"/>
        <w:ind w:left="0" w:firstLine="0"/>
        <w:jc w:val="both"/>
        <w:rPr>
          <w:rFonts w:ascii="Palatino Linotype" w:hAnsi="Palatino Linotype"/>
          <w:lang w:val="es-ES_tradnl"/>
        </w:rPr>
      </w:pPr>
      <w:r w:rsidRPr="00100412">
        <w:rPr>
          <w:rFonts w:ascii="Palatino Linotype" w:hAnsi="Palatino Linotype"/>
        </w:rPr>
        <w:t>El Comisionado Ponente decreto el cierre de instrucción mediante acuerdo de fecha veinticinco (25) de septiembre de dos mil veinte; ordenando</w:t>
      </w:r>
      <w:r w:rsidRPr="00100412">
        <w:rPr>
          <w:rFonts w:ascii="Palatino Linotype" w:hAnsi="Palatino Linotype" w:cs="Arial"/>
        </w:rPr>
        <w:t xml:space="preserve"> turnar el expediente a resolución.</w:t>
      </w:r>
    </w:p>
    <w:p w:rsidR="000A06B7" w:rsidRPr="00100412" w:rsidRDefault="000A06B7" w:rsidP="000A06B7">
      <w:pPr>
        <w:pStyle w:val="Prrafodelista"/>
        <w:rPr>
          <w:rFonts w:ascii="Palatino Linotype" w:hAnsi="Palatino Linotype"/>
          <w:lang w:val="es-ES_tradnl"/>
        </w:rPr>
      </w:pPr>
    </w:p>
    <w:p w:rsidR="00E12F6B" w:rsidRPr="00100412" w:rsidRDefault="00A53E26" w:rsidP="005B102C">
      <w:pPr>
        <w:pStyle w:val="Prrafodelista"/>
        <w:numPr>
          <w:ilvl w:val="0"/>
          <w:numId w:val="1"/>
        </w:numPr>
        <w:spacing w:before="240" w:after="240" w:line="360" w:lineRule="auto"/>
        <w:ind w:left="0" w:right="49" w:firstLine="0"/>
        <w:jc w:val="both"/>
        <w:rPr>
          <w:rFonts w:ascii="Palatino Linotype" w:hAnsi="Palatino Linotype"/>
          <w:b/>
          <w:u w:val="single"/>
          <w:lang w:val="es-ES_tradnl"/>
        </w:rPr>
      </w:pPr>
      <w:r w:rsidRPr="00100412">
        <w:rPr>
          <w:rFonts w:ascii="Palatino Linotype" w:hAnsi="Palatino Linotype"/>
          <w:lang w:val="es-ES_tradnl"/>
        </w:rPr>
        <w:t xml:space="preserve">Así, en fecha </w:t>
      </w:r>
      <w:r w:rsidR="005B102C" w:rsidRPr="00100412">
        <w:rPr>
          <w:rFonts w:ascii="Palatino Linotype" w:hAnsi="Palatino Linotype"/>
          <w:lang w:val="es-ES_tradnl"/>
        </w:rPr>
        <w:t>siete</w:t>
      </w:r>
      <w:r w:rsidR="00874766" w:rsidRPr="00100412">
        <w:rPr>
          <w:rFonts w:ascii="Palatino Linotype" w:hAnsi="Palatino Linotype"/>
          <w:lang w:val="es-ES_tradnl"/>
        </w:rPr>
        <w:t xml:space="preserve"> (</w:t>
      </w:r>
      <w:r w:rsidR="005B102C" w:rsidRPr="00100412">
        <w:rPr>
          <w:rFonts w:ascii="Palatino Linotype" w:hAnsi="Palatino Linotype"/>
          <w:lang w:val="es-ES_tradnl"/>
        </w:rPr>
        <w:t>07</w:t>
      </w:r>
      <w:r w:rsidR="00874766" w:rsidRPr="00100412">
        <w:rPr>
          <w:rFonts w:ascii="Palatino Linotype" w:hAnsi="Palatino Linotype"/>
          <w:lang w:val="es-ES_tradnl"/>
        </w:rPr>
        <w:t xml:space="preserve">) de </w:t>
      </w:r>
      <w:r w:rsidR="005B102C" w:rsidRPr="00100412">
        <w:rPr>
          <w:rFonts w:ascii="Palatino Linotype" w:hAnsi="Palatino Linotype"/>
          <w:lang w:val="es-ES_tradnl"/>
        </w:rPr>
        <w:t>octu</w:t>
      </w:r>
      <w:r w:rsidR="00BD4A5E" w:rsidRPr="00100412">
        <w:rPr>
          <w:rFonts w:ascii="Palatino Linotype" w:hAnsi="Palatino Linotype"/>
          <w:lang w:val="es-ES_tradnl"/>
        </w:rPr>
        <w:t>bre</w:t>
      </w:r>
      <w:r w:rsidR="00874766" w:rsidRPr="00100412">
        <w:rPr>
          <w:rFonts w:ascii="Palatino Linotype" w:hAnsi="Palatino Linotype"/>
          <w:lang w:val="es-ES_tradnl"/>
        </w:rPr>
        <w:t xml:space="preserve"> de dos mil veinte, en la </w:t>
      </w:r>
      <w:r w:rsidR="005B102C" w:rsidRPr="00100412">
        <w:rPr>
          <w:rFonts w:ascii="Palatino Linotype" w:hAnsi="Palatino Linotype"/>
          <w:lang w:val="es-ES_tradnl"/>
        </w:rPr>
        <w:t>Vigésima Primera</w:t>
      </w:r>
      <w:r w:rsidR="009E4CDD" w:rsidRPr="00100412">
        <w:rPr>
          <w:rFonts w:ascii="Palatino Linotype" w:hAnsi="Palatino Linotype"/>
          <w:lang w:val="es-ES_tradnl"/>
        </w:rPr>
        <w:t xml:space="preserve"> </w:t>
      </w:r>
      <w:r w:rsidR="00BD4A5E" w:rsidRPr="00100412">
        <w:rPr>
          <w:rFonts w:ascii="Palatino Linotype" w:hAnsi="Palatino Linotype"/>
          <w:lang w:val="es-ES_tradnl"/>
        </w:rPr>
        <w:t>Sesión</w:t>
      </w:r>
      <w:r w:rsidR="00874766" w:rsidRPr="00100412">
        <w:rPr>
          <w:rFonts w:ascii="Palatino Linotype" w:hAnsi="Palatino Linotype"/>
          <w:lang w:val="es-ES_tradnl"/>
        </w:rPr>
        <w:t xml:space="preserve"> Ordinaria del Pleno del Instituto de Transparencia, Acceso a la Información Pública y Protección de Datos Personales del Estado de México y Municipios, se </w:t>
      </w:r>
      <w:r w:rsidR="00874766" w:rsidRPr="00100412">
        <w:rPr>
          <w:rFonts w:ascii="Palatino Linotype" w:hAnsi="Palatino Linotype"/>
          <w:lang w:val="es-ES_tradnl"/>
        </w:rPr>
        <w:lastRenderedPageBreak/>
        <w:t xml:space="preserve">aprobó la resolución, en la que se determinó </w:t>
      </w:r>
      <w:r w:rsidR="00874766" w:rsidRPr="00100412">
        <w:rPr>
          <w:rFonts w:ascii="Palatino Linotype" w:eastAsia="Calibri" w:hAnsi="Palatino Linotype" w:cs="Arial"/>
          <w:b/>
          <w:lang w:val="es-ES_tradnl"/>
        </w:rPr>
        <w:t xml:space="preserve">CONFIRMAR </w:t>
      </w:r>
      <w:r w:rsidR="00874766" w:rsidRPr="00100412">
        <w:rPr>
          <w:rFonts w:ascii="Palatino Linotype" w:eastAsia="Calibri" w:hAnsi="Palatino Linotype" w:cs="Arial"/>
          <w:lang w:val="es-ES_tradnl"/>
        </w:rPr>
        <w:t xml:space="preserve">la respuesta emitida por el </w:t>
      </w:r>
      <w:r w:rsidR="00874766" w:rsidRPr="00100412">
        <w:rPr>
          <w:rFonts w:ascii="Palatino Linotype" w:hAnsi="Palatino Linotype" w:cs="Arial"/>
          <w:lang w:val="es-ES_tradnl"/>
        </w:rPr>
        <w:t>Ayuntamiento de Ixtapan de la Sal,</w:t>
      </w:r>
      <w:r w:rsidR="00874766" w:rsidRPr="00100412">
        <w:rPr>
          <w:rFonts w:ascii="Palatino Linotype" w:eastAsia="Calibri" w:hAnsi="Palatino Linotype" w:cs="Arial"/>
          <w:lang w:val="es-ES_tradnl"/>
        </w:rPr>
        <w:t xml:space="preserve"> a la</w:t>
      </w:r>
      <w:r w:rsidR="00D3649F" w:rsidRPr="00100412">
        <w:rPr>
          <w:rFonts w:ascii="Palatino Linotype" w:eastAsia="Calibri" w:hAnsi="Palatino Linotype" w:cs="Arial"/>
          <w:lang w:val="es-ES_tradnl"/>
        </w:rPr>
        <w:t>s</w:t>
      </w:r>
      <w:r w:rsidR="00874766" w:rsidRPr="00100412">
        <w:rPr>
          <w:rFonts w:ascii="Palatino Linotype" w:eastAsia="Calibri" w:hAnsi="Palatino Linotype" w:cs="Arial"/>
          <w:lang w:val="es-ES_tradnl"/>
        </w:rPr>
        <w:t xml:space="preserve"> solicitud</w:t>
      </w:r>
      <w:r w:rsidR="00D3649F" w:rsidRPr="00100412">
        <w:rPr>
          <w:rFonts w:ascii="Palatino Linotype" w:eastAsia="Calibri" w:hAnsi="Palatino Linotype" w:cs="Arial"/>
          <w:lang w:val="es-ES_tradnl"/>
        </w:rPr>
        <w:t>es</w:t>
      </w:r>
      <w:r w:rsidR="00874766" w:rsidRPr="00100412">
        <w:rPr>
          <w:rFonts w:ascii="Palatino Linotype" w:eastAsia="Calibri" w:hAnsi="Palatino Linotype" w:cs="Arial"/>
          <w:lang w:val="es-ES_tradnl"/>
        </w:rPr>
        <w:t xml:space="preserve"> de información </w:t>
      </w:r>
      <w:r w:rsidR="005B102C" w:rsidRPr="00100412">
        <w:rPr>
          <w:rFonts w:ascii="Palatino Linotype" w:hAnsi="Palatino Linotype"/>
          <w:bCs/>
          <w:color w:val="000000" w:themeColor="text1"/>
        </w:rPr>
        <w:t>00485/IXTASAL/IP/2020</w:t>
      </w:r>
      <w:r w:rsidR="00B60327" w:rsidRPr="00100412">
        <w:rPr>
          <w:rFonts w:ascii="Palatino Linotype" w:hAnsi="Palatino Linotype"/>
          <w:lang w:val="es-ES_tradnl"/>
        </w:rPr>
        <w:t>, cuyos puntos resolutivos son los siguientes:</w:t>
      </w:r>
    </w:p>
    <w:p w:rsidR="00E12F6B" w:rsidRPr="00100412" w:rsidRDefault="005B102C" w:rsidP="005B102C">
      <w:pPr>
        <w:pStyle w:val="Sinespaciado"/>
        <w:tabs>
          <w:tab w:val="left" w:pos="2475"/>
        </w:tabs>
        <w:spacing w:line="276" w:lineRule="auto"/>
        <w:jc w:val="both"/>
        <w:rPr>
          <w:rFonts w:ascii="Palatino Linotype" w:hAnsi="Palatino Linotype"/>
          <w:sz w:val="22"/>
          <w:szCs w:val="22"/>
        </w:rPr>
      </w:pPr>
      <w:r w:rsidRPr="00100412">
        <w:rPr>
          <w:rFonts w:ascii="Palatino Linotype" w:hAnsi="Palatino Linotype"/>
          <w:sz w:val="22"/>
          <w:szCs w:val="22"/>
        </w:rPr>
        <w:tab/>
      </w:r>
    </w:p>
    <w:p w:rsidR="005B102C" w:rsidRPr="00100412" w:rsidRDefault="00E12F6B" w:rsidP="005B102C">
      <w:pPr>
        <w:spacing w:line="360" w:lineRule="auto"/>
        <w:ind w:left="426" w:right="474"/>
        <w:jc w:val="both"/>
        <w:rPr>
          <w:rFonts w:ascii="Palatino Linotype" w:hAnsi="Palatino Linotype"/>
          <w:i/>
        </w:rPr>
      </w:pPr>
      <w:r w:rsidRPr="00100412">
        <w:rPr>
          <w:rFonts w:ascii="Palatino Linotype" w:hAnsi="Palatino Linotype" w:cs="Arial"/>
          <w:b/>
          <w:i/>
          <w:lang w:val="es-ES_tradnl"/>
        </w:rPr>
        <w:t>“</w:t>
      </w:r>
      <w:r w:rsidR="005B102C" w:rsidRPr="00100412">
        <w:rPr>
          <w:rFonts w:ascii="Palatino Linotype" w:hAnsi="Palatino Linotype" w:cs="Arial"/>
          <w:b/>
          <w:i/>
        </w:rPr>
        <w:t xml:space="preserve">PRIMERO. </w:t>
      </w:r>
      <w:r w:rsidR="005B102C" w:rsidRPr="00100412">
        <w:rPr>
          <w:rFonts w:ascii="Palatino Linotype" w:hAnsi="Palatino Linotype" w:cs="Arial"/>
          <w:i/>
        </w:rPr>
        <w:t>Resultan infundadas las</w:t>
      </w:r>
      <w:r w:rsidR="005B102C" w:rsidRPr="00100412">
        <w:rPr>
          <w:rFonts w:ascii="Palatino Linotype" w:hAnsi="Palatino Linotype" w:cs="Arial"/>
          <w:b/>
          <w:i/>
        </w:rPr>
        <w:t xml:space="preserve"> </w:t>
      </w:r>
      <w:r w:rsidR="005B102C" w:rsidRPr="00100412">
        <w:rPr>
          <w:rFonts w:ascii="Palatino Linotype" w:hAnsi="Palatino Linotype" w:cs="Arial"/>
          <w:i/>
          <w:lang w:val="es-ES"/>
        </w:rPr>
        <w:t xml:space="preserve">razones o motivos de inconformidad hechos valer </w:t>
      </w:r>
      <w:r w:rsidR="005B102C" w:rsidRPr="00100412">
        <w:rPr>
          <w:rFonts w:ascii="Palatino Linotype" w:eastAsia="Calibri" w:hAnsi="Palatino Linotype" w:cs="Arial"/>
          <w:i/>
          <w:lang w:val="es-ES"/>
        </w:rPr>
        <w:t xml:space="preserve">en el recurso de revisión </w:t>
      </w:r>
      <w:r w:rsidR="005B102C" w:rsidRPr="00100412">
        <w:rPr>
          <w:rFonts w:ascii="Palatino Linotype" w:hAnsi="Palatino Linotype"/>
          <w:b/>
          <w:i/>
        </w:rPr>
        <w:t xml:space="preserve">03183/INFOEM/IP/RR/2020, </w:t>
      </w:r>
      <w:r w:rsidR="005B102C" w:rsidRPr="00100412">
        <w:rPr>
          <w:rFonts w:ascii="Palatino Linotype" w:hAnsi="Palatino Linotype" w:cs="Arial"/>
          <w:bCs/>
          <w:i/>
        </w:rPr>
        <w:t xml:space="preserve">en términos del </w:t>
      </w:r>
      <w:r w:rsidR="005B102C" w:rsidRPr="00100412">
        <w:rPr>
          <w:rFonts w:ascii="Palatino Linotype" w:hAnsi="Palatino Linotype" w:cs="Arial"/>
          <w:b/>
          <w:bCs/>
          <w:i/>
        </w:rPr>
        <w:t>Considerando</w:t>
      </w:r>
      <w:r w:rsidR="005B102C" w:rsidRPr="00100412">
        <w:rPr>
          <w:rFonts w:ascii="Palatino Linotype" w:hAnsi="Palatino Linotype" w:cs="Arial"/>
          <w:bCs/>
          <w:i/>
        </w:rPr>
        <w:t xml:space="preserve"> </w:t>
      </w:r>
      <w:r w:rsidR="005B102C" w:rsidRPr="00100412">
        <w:rPr>
          <w:rFonts w:ascii="Palatino Linotype" w:hAnsi="Palatino Linotype" w:cs="Arial"/>
          <w:b/>
          <w:bCs/>
          <w:i/>
        </w:rPr>
        <w:t>CUARTO</w:t>
      </w:r>
      <w:r w:rsidR="005B102C" w:rsidRPr="00100412">
        <w:rPr>
          <w:rFonts w:ascii="Palatino Linotype" w:hAnsi="Palatino Linotype" w:cs="Arial"/>
          <w:bCs/>
          <w:i/>
        </w:rPr>
        <w:t xml:space="preserve"> de la presente resolución.</w:t>
      </w:r>
    </w:p>
    <w:p w:rsidR="005B102C" w:rsidRPr="00100412" w:rsidRDefault="005B102C" w:rsidP="005B102C">
      <w:pPr>
        <w:spacing w:before="240" w:after="240" w:line="360" w:lineRule="auto"/>
        <w:ind w:left="426" w:right="474"/>
        <w:jc w:val="both"/>
        <w:rPr>
          <w:rFonts w:ascii="Palatino Linotype" w:eastAsia="Calibri" w:hAnsi="Palatino Linotype" w:cs="Arial"/>
          <w:i/>
          <w:lang w:val="es-ES"/>
        </w:rPr>
      </w:pPr>
      <w:r w:rsidRPr="00100412">
        <w:rPr>
          <w:rFonts w:ascii="Palatino Linotype" w:hAnsi="Palatino Linotype"/>
          <w:b/>
          <w:i/>
        </w:rPr>
        <w:t>SEGUNDO.</w:t>
      </w:r>
      <w:r w:rsidRPr="00100412">
        <w:rPr>
          <w:rStyle w:val="Ttulo2Car"/>
          <w:rFonts w:ascii="Palatino Linotype" w:hAnsi="Palatino Linotype"/>
          <w:b/>
          <w:i/>
        </w:rPr>
        <w:t xml:space="preserve"> </w:t>
      </w:r>
      <w:r w:rsidRPr="00100412">
        <w:rPr>
          <w:rFonts w:ascii="Palatino Linotype" w:eastAsia="Calibri" w:hAnsi="Palatino Linotype" w:cs="Arial"/>
          <w:i/>
          <w:lang w:val="es-ES"/>
        </w:rPr>
        <w:t>Se</w:t>
      </w:r>
      <w:r w:rsidRPr="00100412">
        <w:rPr>
          <w:rFonts w:ascii="Palatino Linotype" w:eastAsia="Calibri" w:hAnsi="Palatino Linotype" w:cs="Arial"/>
          <w:b/>
          <w:i/>
          <w:lang w:val="es-ES"/>
        </w:rPr>
        <w:t xml:space="preserve"> CONFIRMA </w:t>
      </w:r>
      <w:r w:rsidRPr="00100412">
        <w:rPr>
          <w:rFonts w:ascii="Palatino Linotype" w:eastAsia="Calibri" w:hAnsi="Palatino Linotype" w:cs="Arial"/>
          <w:i/>
          <w:lang w:val="es-ES"/>
        </w:rPr>
        <w:t xml:space="preserve">la respuesta emitida por el </w:t>
      </w:r>
      <w:r w:rsidRPr="00100412">
        <w:rPr>
          <w:rFonts w:ascii="Palatino Linotype" w:hAnsi="Palatino Linotype" w:cs="Arial"/>
          <w:b/>
          <w:i/>
        </w:rPr>
        <w:t>Ayuntamiento de Ixtapan de la Sal,</w:t>
      </w:r>
      <w:r w:rsidRPr="00100412">
        <w:rPr>
          <w:rFonts w:ascii="Palatino Linotype" w:eastAsia="Calibri" w:hAnsi="Palatino Linotype" w:cs="Arial"/>
          <w:i/>
          <w:lang w:val="es-ES"/>
        </w:rPr>
        <w:t xml:space="preserve"> a la solicitud de información </w:t>
      </w:r>
      <w:r w:rsidRPr="00100412">
        <w:rPr>
          <w:rFonts w:ascii="Palatino Linotype" w:hAnsi="Palatino Linotype"/>
          <w:b/>
          <w:bCs/>
          <w:i/>
          <w:color w:val="000000" w:themeColor="text1"/>
        </w:rPr>
        <w:t>00485/IXTASAL/IP/2020</w:t>
      </w:r>
      <w:r w:rsidRPr="00100412">
        <w:rPr>
          <w:rFonts w:ascii="Palatino Linotype" w:eastAsia="Calibri" w:hAnsi="Palatino Linotype" w:cs="Arial"/>
          <w:b/>
          <w:i/>
          <w:lang w:val="es-ES"/>
        </w:rPr>
        <w:t>.</w:t>
      </w:r>
      <w:r w:rsidRPr="00100412">
        <w:rPr>
          <w:rFonts w:ascii="Palatino Linotype" w:eastAsia="Calibri" w:hAnsi="Palatino Linotype" w:cs="Arial"/>
          <w:i/>
          <w:lang w:val="es-ES"/>
        </w:rPr>
        <w:t xml:space="preserve"> </w:t>
      </w:r>
    </w:p>
    <w:p w:rsidR="005B102C" w:rsidRPr="00100412" w:rsidRDefault="005B102C" w:rsidP="005B102C">
      <w:pPr>
        <w:tabs>
          <w:tab w:val="left" w:pos="8080"/>
        </w:tabs>
        <w:spacing w:line="360" w:lineRule="auto"/>
        <w:ind w:left="426" w:right="474"/>
        <w:contextualSpacing/>
        <w:jc w:val="both"/>
        <w:rPr>
          <w:rFonts w:ascii="Palatino Linotype" w:eastAsia="Palatino Linotype" w:hAnsi="Palatino Linotype" w:cs="Palatino Linotype"/>
          <w:b/>
          <w:i/>
        </w:rPr>
      </w:pPr>
      <w:r w:rsidRPr="00100412">
        <w:rPr>
          <w:rFonts w:ascii="Palatino Linotype" w:eastAsia="Palatino Linotype" w:hAnsi="Palatino Linotype" w:cs="Palatino Linotype"/>
          <w:b/>
          <w:i/>
        </w:rPr>
        <w:t xml:space="preserve">TERCERO. REMÍTASE, </w:t>
      </w:r>
      <w:r w:rsidRPr="00100412">
        <w:rPr>
          <w:rFonts w:ascii="Palatino Linotype" w:eastAsia="Palatino Linotype" w:hAnsi="Palatino Linotype" w:cs="Palatino Linotype"/>
          <w:i/>
        </w:rPr>
        <w:t xml:space="preserve">vía Sistema de Acceso a la Información Mexiquense (SAIMEX), la presente resolución al Titular de la Unidad de Transparencia del </w:t>
      </w:r>
      <w:r w:rsidRPr="00100412">
        <w:rPr>
          <w:rFonts w:ascii="Palatino Linotype" w:eastAsia="Palatino Linotype" w:hAnsi="Palatino Linotype" w:cs="Palatino Linotype"/>
          <w:b/>
          <w:i/>
        </w:rPr>
        <w:t>SUJETO OBLIGADO.</w:t>
      </w:r>
    </w:p>
    <w:p w:rsidR="005B102C" w:rsidRPr="00100412" w:rsidRDefault="005B102C" w:rsidP="005B102C">
      <w:pPr>
        <w:tabs>
          <w:tab w:val="left" w:pos="8080"/>
        </w:tabs>
        <w:spacing w:line="360" w:lineRule="auto"/>
        <w:ind w:left="426" w:right="474"/>
        <w:contextualSpacing/>
        <w:jc w:val="both"/>
        <w:rPr>
          <w:rFonts w:ascii="Palatino Linotype" w:eastAsia="Palatino Linotype" w:hAnsi="Palatino Linotype" w:cs="Palatino Linotype"/>
          <w:b/>
          <w:i/>
        </w:rPr>
      </w:pPr>
    </w:p>
    <w:p w:rsidR="005B102C" w:rsidRPr="00100412" w:rsidRDefault="005B102C" w:rsidP="005B102C">
      <w:pPr>
        <w:shd w:val="clear" w:color="auto" w:fill="FFFFFF"/>
        <w:spacing w:line="360" w:lineRule="auto"/>
        <w:ind w:left="426" w:right="474"/>
        <w:jc w:val="both"/>
        <w:rPr>
          <w:rFonts w:ascii="Palatino Linotype" w:hAnsi="Palatino Linotype"/>
          <w:i/>
        </w:rPr>
      </w:pPr>
      <w:r w:rsidRPr="00100412">
        <w:rPr>
          <w:rFonts w:ascii="Palatino Linotype" w:hAnsi="Palatino Linotype" w:cs="Arial"/>
          <w:b/>
          <w:i/>
        </w:rPr>
        <w:t xml:space="preserve">CUARTO. </w:t>
      </w:r>
      <w:r w:rsidRPr="00100412">
        <w:rPr>
          <w:rFonts w:ascii="Palatino Linotype" w:hAnsi="Palatino Linotype"/>
          <w:b/>
          <w:bCs/>
          <w:i/>
          <w:color w:val="222222"/>
          <w:lang w:val="es-ES"/>
        </w:rPr>
        <w:t xml:space="preserve">Notifíquese </w:t>
      </w:r>
      <w:r w:rsidRPr="00100412">
        <w:rPr>
          <w:rFonts w:ascii="Palatino Linotype" w:hAnsi="Palatino Linotype"/>
          <w:bCs/>
          <w:i/>
          <w:color w:val="222222"/>
          <w:lang w:val="es-ES"/>
        </w:rPr>
        <w:t>a la</w:t>
      </w:r>
      <w:r w:rsidRPr="00100412">
        <w:rPr>
          <w:rFonts w:ascii="Palatino Linotype" w:hAnsi="Palatino Linotype"/>
          <w:i/>
        </w:rPr>
        <w:t xml:space="preserve"> </w:t>
      </w:r>
      <w:r w:rsidRPr="00100412">
        <w:rPr>
          <w:rFonts w:ascii="Palatino Linotype" w:hAnsi="Palatino Linotype"/>
          <w:b/>
          <w:i/>
        </w:rPr>
        <w:t>RECURRENTE</w:t>
      </w:r>
      <w:r w:rsidRPr="00100412">
        <w:rPr>
          <w:rFonts w:ascii="Palatino Linotype" w:hAnsi="Palatino Linotype"/>
          <w:b/>
          <w:i/>
          <w:szCs w:val="22"/>
        </w:rPr>
        <w:t xml:space="preserve"> </w:t>
      </w:r>
      <w:r w:rsidRPr="00100412">
        <w:rPr>
          <w:rFonts w:ascii="Palatino Linotype" w:hAnsi="Palatino Linotype"/>
          <w:i/>
        </w:rPr>
        <w:t>la presente resolución.</w:t>
      </w:r>
    </w:p>
    <w:p w:rsidR="005B102C" w:rsidRPr="00100412" w:rsidRDefault="005B102C" w:rsidP="005B102C">
      <w:pPr>
        <w:shd w:val="clear" w:color="auto" w:fill="FFFFFF"/>
        <w:spacing w:line="360" w:lineRule="auto"/>
        <w:ind w:left="426" w:right="474"/>
        <w:jc w:val="both"/>
        <w:rPr>
          <w:rFonts w:ascii="Palatino Linotype" w:hAnsi="Palatino Linotype"/>
          <w:i/>
        </w:rPr>
      </w:pPr>
    </w:p>
    <w:p w:rsidR="00C91589" w:rsidRPr="00100412" w:rsidRDefault="005B102C" w:rsidP="005B102C">
      <w:pPr>
        <w:spacing w:line="360" w:lineRule="auto"/>
        <w:ind w:left="426" w:right="474"/>
        <w:jc w:val="both"/>
        <w:rPr>
          <w:rFonts w:ascii="Palatino Linotype" w:eastAsia="MS Mincho" w:hAnsi="Palatino Linotype"/>
          <w:i/>
          <w:lang w:val="es-ES"/>
        </w:rPr>
      </w:pPr>
      <w:r w:rsidRPr="00100412">
        <w:rPr>
          <w:rFonts w:ascii="Palatino Linotype" w:eastAsia="MS Mincho" w:hAnsi="Palatino Linotype"/>
          <w:b/>
          <w:i/>
          <w:lang w:val="es-MX"/>
        </w:rPr>
        <w:t>QUINTO.</w:t>
      </w:r>
      <w:r w:rsidRPr="00100412">
        <w:rPr>
          <w:rFonts w:ascii="Palatino Linotype" w:eastAsia="MS Mincho" w:hAnsi="Palatino Linotype"/>
          <w:i/>
          <w:lang w:val="es-MX"/>
        </w:rPr>
        <w:t xml:space="preserve"> </w:t>
      </w:r>
      <w:r w:rsidRPr="00100412">
        <w:rPr>
          <w:rFonts w:ascii="Palatino Linotype" w:eastAsia="MS Mincho" w:hAnsi="Palatino Linotype"/>
          <w:i/>
          <w:lang w:val="es-ES"/>
        </w:rPr>
        <w:t xml:space="preserve">Se hace del conocimiento de la </w:t>
      </w:r>
      <w:r w:rsidRPr="00100412">
        <w:rPr>
          <w:rFonts w:ascii="Palatino Linotype" w:eastAsia="MS Mincho" w:hAnsi="Palatino Linotype"/>
          <w:b/>
          <w:i/>
          <w:lang w:val="es-ES"/>
        </w:rPr>
        <w:t>RECURRENTE</w:t>
      </w:r>
      <w:r w:rsidRPr="00100412">
        <w:rPr>
          <w:rFonts w:ascii="Palatino Linotype" w:hAnsi="Palatino Linotype"/>
          <w:b/>
          <w:i/>
          <w:szCs w:val="22"/>
        </w:rPr>
        <w:t xml:space="preserve"> </w:t>
      </w:r>
      <w:r w:rsidRPr="00100412">
        <w:rPr>
          <w:rFonts w:ascii="Palatino Linotype" w:eastAsia="MS Mincho" w:hAnsi="Palatino Linotype"/>
          <w:i/>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00412">
        <w:rPr>
          <w:rFonts w:ascii="Palatino Linotype" w:eastAsia="MS Mincho" w:hAnsi="Palatino Linotype"/>
          <w:bCs/>
          <w:i/>
          <w:lang w:val="es-ES"/>
        </w:rPr>
        <w:t>vía juicio de amparo</w:t>
      </w:r>
      <w:r w:rsidRPr="00100412">
        <w:rPr>
          <w:rFonts w:ascii="Palatino Linotype" w:eastAsia="MS Mincho" w:hAnsi="Palatino Linotype"/>
          <w:i/>
          <w:lang w:val="es-ES"/>
        </w:rPr>
        <w:t> en los términos de las leyes aplicables.</w:t>
      </w:r>
      <w:r w:rsidR="00E12F6B" w:rsidRPr="00100412">
        <w:rPr>
          <w:rFonts w:ascii="Palatino Linotype" w:eastAsia="MS Mincho" w:hAnsi="Palatino Linotype"/>
          <w:i/>
          <w:lang w:val="es-ES_tradnl"/>
        </w:rPr>
        <w:t>”</w:t>
      </w:r>
    </w:p>
    <w:p w:rsidR="00D3649F" w:rsidRPr="00100412" w:rsidRDefault="00D3649F" w:rsidP="00D3649F">
      <w:pPr>
        <w:spacing w:line="360" w:lineRule="auto"/>
        <w:ind w:right="758"/>
        <w:jc w:val="both"/>
        <w:rPr>
          <w:rFonts w:ascii="Palatino Linotype" w:eastAsia="MS Mincho" w:hAnsi="Palatino Linotype"/>
          <w:i/>
          <w:sz w:val="22"/>
          <w:szCs w:val="22"/>
          <w:lang w:val="es-ES_tradnl"/>
        </w:rPr>
      </w:pPr>
    </w:p>
    <w:p w:rsidR="00E12F6B" w:rsidRPr="00100412" w:rsidRDefault="00F42E7F" w:rsidP="00F42E7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100412">
        <w:rPr>
          <w:rFonts w:ascii="Palatino Linotype" w:hAnsi="Palatino Linotype"/>
          <w:lang w:val="es-ES_tradnl"/>
        </w:rPr>
        <w:lastRenderedPageBreak/>
        <w:t>El diecinueve (19) de octubre de dos mil veinte, mediante escrito libre, del dieciséis del mismo mes y año, ante el Órgano Garante Local, la parte recurrente presentó su recurso de inconformidad en contra de la resolución emitida.</w:t>
      </w:r>
    </w:p>
    <w:p w:rsidR="00E12F6B" w:rsidRPr="00100412"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01BA2" w:rsidRPr="00100412" w:rsidRDefault="00F42E7F" w:rsidP="00F42E7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100412">
        <w:rPr>
          <w:rFonts w:ascii="Palatino Linotype" w:hAnsi="Palatino Linotype"/>
          <w:lang w:val="es-ES_tradnl"/>
        </w:rPr>
        <w:t>El veintisiete (26) de octubre de dos mil veinte, el Comisionado Ponente, a través su Secretario de Acuerdos y Ponencia de Acceso a la Información, acordó la admisi</w:t>
      </w:r>
      <w:r w:rsidR="001C2C27" w:rsidRPr="00100412">
        <w:rPr>
          <w:rFonts w:ascii="Palatino Linotype" w:hAnsi="Palatino Linotype"/>
          <w:lang w:val="es-ES_tradnl"/>
        </w:rPr>
        <w:t>ón del recurso de inconformidad</w:t>
      </w:r>
      <w:r w:rsidRPr="00100412">
        <w:rPr>
          <w:rFonts w:ascii="Palatino Linotype" w:hAnsi="Palatino Linotype"/>
          <w:lang w:val="es-ES_tradnl"/>
        </w:rPr>
        <w:t>.</w:t>
      </w:r>
    </w:p>
    <w:p w:rsidR="00B01BA2" w:rsidRPr="00100412" w:rsidRDefault="00B01BA2" w:rsidP="00B01BA2">
      <w:pPr>
        <w:pStyle w:val="Prrafodelista"/>
        <w:rPr>
          <w:rFonts w:ascii="Palatino Linotype" w:hAnsi="Palatino Linotype"/>
          <w:lang w:val="es-ES_tradnl"/>
        </w:rPr>
      </w:pPr>
    </w:p>
    <w:p w:rsidR="00B60327" w:rsidRPr="00100412" w:rsidRDefault="001C2C27" w:rsidP="00313A13">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100412">
        <w:rPr>
          <w:rFonts w:ascii="Palatino Linotype" w:hAnsi="Palatino Linotype"/>
          <w:lang w:val="es-ES_tradnl"/>
        </w:rPr>
        <w:t>E</w:t>
      </w:r>
      <w:r w:rsidR="00313A13" w:rsidRPr="00100412">
        <w:rPr>
          <w:rFonts w:ascii="Palatino Linotype" w:hAnsi="Palatino Linotype"/>
          <w:lang w:val="es-ES_tradnl"/>
        </w:rPr>
        <w:t>l</w:t>
      </w:r>
      <w:r w:rsidR="001933D7" w:rsidRPr="00100412">
        <w:rPr>
          <w:rFonts w:ascii="Palatino Linotype" w:hAnsi="Palatino Linotype"/>
          <w:lang w:val="es-ES_tradnl"/>
        </w:rPr>
        <w:t xml:space="preserve"> </w:t>
      </w:r>
      <w:r w:rsidR="00313A13" w:rsidRPr="00100412">
        <w:rPr>
          <w:rFonts w:ascii="Palatino Linotype" w:hAnsi="Palatino Linotype"/>
          <w:lang w:val="es-ES_tradnl"/>
        </w:rPr>
        <w:t>treinta (30) de octubre de dos mil veinte</w:t>
      </w:r>
      <w:r w:rsidR="001933D7" w:rsidRPr="00100412">
        <w:rPr>
          <w:rFonts w:ascii="Palatino Linotype" w:hAnsi="Palatino Linotype"/>
          <w:lang w:val="es-ES_tradnl"/>
        </w:rPr>
        <w:t xml:space="preserve">, se notificó a </w:t>
      </w:r>
      <w:r w:rsidR="00335E91" w:rsidRPr="00100412">
        <w:rPr>
          <w:rFonts w:ascii="Palatino Linotype" w:hAnsi="Palatino Linotype"/>
          <w:lang w:val="es-ES_tradnl"/>
        </w:rPr>
        <w:t>este Instituto</w:t>
      </w:r>
      <w:r w:rsidR="001933D7" w:rsidRPr="00100412">
        <w:rPr>
          <w:rFonts w:ascii="Palatino Linotype" w:hAnsi="Palatino Linotype"/>
          <w:lang w:val="es-ES_tradnl"/>
        </w:rPr>
        <w:t xml:space="preserve">, la admisión del recurso de inconformidad </w:t>
      </w:r>
      <w:r w:rsidR="00313A13" w:rsidRPr="00100412">
        <w:rPr>
          <w:rFonts w:ascii="Palatino Linotype" w:hAnsi="Palatino Linotype"/>
          <w:b/>
          <w:lang w:val="es-ES_tradnl"/>
        </w:rPr>
        <w:t>RIA 185/20</w:t>
      </w:r>
      <w:r w:rsidR="001933D7" w:rsidRPr="00100412">
        <w:rPr>
          <w:rFonts w:ascii="Palatino Linotype" w:hAnsi="Palatino Linotype"/>
          <w:lang w:val="es-ES_tradnl"/>
        </w:rPr>
        <w:t xml:space="preserve"> interpuesto, </w:t>
      </w:r>
      <w:r w:rsidR="00313A13" w:rsidRPr="00100412">
        <w:rPr>
          <w:rFonts w:ascii="Palatino Linotype" w:hAnsi="Palatino Linotype"/>
          <w:lang w:val="es-ES_tradnl"/>
        </w:rPr>
        <w:t>otorgando</w:t>
      </w:r>
      <w:r w:rsidR="001933D7" w:rsidRPr="00100412">
        <w:rPr>
          <w:rFonts w:ascii="Palatino Linotype" w:hAnsi="Palatino Linotype"/>
          <w:lang w:val="es-ES_tradnl"/>
        </w:rPr>
        <w:t xml:space="preserve"> un plazo de diez días hábiles a partir de dicha notificación para que manifestará lo que a su derecho conviniera, dando cumplimiento al segundo párrafo del artículo 165 de la Ley General de Transparencia y Acceso a la Información Pública.</w:t>
      </w:r>
    </w:p>
    <w:p w:rsidR="00400279" w:rsidRPr="00100412"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100412" w:rsidRDefault="008B7A7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El </w:t>
      </w:r>
      <w:r w:rsidR="00313A13" w:rsidRPr="00100412">
        <w:rPr>
          <w:rFonts w:ascii="Palatino Linotype" w:hAnsi="Palatino Linotype"/>
          <w:lang w:val="es-ES_tradnl"/>
        </w:rPr>
        <w:t>diecisiete</w:t>
      </w:r>
      <w:r w:rsidR="00E12F6B" w:rsidRPr="00100412">
        <w:rPr>
          <w:rFonts w:ascii="Palatino Linotype" w:hAnsi="Palatino Linotype"/>
          <w:lang w:val="es-ES_tradnl"/>
        </w:rPr>
        <w:t xml:space="preserve"> (</w:t>
      </w:r>
      <w:r w:rsidR="00012A1A" w:rsidRPr="00100412">
        <w:rPr>
          <w:rFonts w:ascii="Palatino Linotype" w:hAnsi="Palatino Linotype"/>
          <w:lang w:val="es-ES_tradnl"/>
        </w:rPr>
        <w:t>1</w:t>
      </w:r>
      <w:r w:rsidR="00313A13" w:rsidRPr="00100412">
        <w:rPr>
          <w:rFonts w:ascii="Palatino Linotype" w:hAnsi="Palatino Linotype"/>
          <w:lang w:val="es-ES_tradnl"/>
        </w:rPr>
        <w:t>7</w:t>
      </w:r>
      <w:r w:rsidR="00E12F6B" w:rsidRPr="00100412">
        <w:rPr>
          <w:rFonts w:ascii="Palatino Linotype" w:hAnsi="Palatino Linotype"/>
          <w:lang w:val="es-ES_tradnl"/>
        </w:rPr>
        <w:t>) de noviembre de dos mil veinte</w:t>
      </w:r>
      <w:r w:rsidR="00400279" w:rsidRPr="00100412">
        <w:rPr>
          <w:rFonts w:ascii="Palatino Linotype" w:hAnsi="Palatino Linotype"/>
          <w:lang w:val="es-ES_tradnl"/>
        </w:rPr>
        <w:t>, se tuvo por rendido el informe justificado</w:t>
      </w:r>
      <w:r w:rsidR="00490EB5" w:rsidRPr="00100412">
        <w:rPr>
          <w:rFonts w:ascii="Palatino Linotype" w:hAnsi="Palatino Linotype"/>
          <w:lang w:val="es-ES_tradnl"/>
        </w:rPr>
        <w:t>.</w:t>
      </w:r>
    </w:p>
    <w:p w:rsidR="00012A1A" w:rsidRPr="00100412" w:rsidRDefault="00012A1A" w:rsidP="00012A1A">
      <w:pPr>
        <w:pStyle w:val="Prrafodelista"/>
        <w:rPr>
          <w:rFonts w:ascii="Palatino Linotype" w:hAnsi="Palatino Linotype"/>
          <w:lang w:val="es-ES_tradnl"/>
        </w:rPr>
      </w:pPr>
    </w:p>
    <w:p w:rsidR="001A5313" w:rsidRPr="00100412" w:rsidRDefault="00CA5FC5" w:rsidP="00CA5FC5">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El </w:t>
      </w:r>
      <w:r w:rsidR="00313A13" w:rsidRPr="00100412">
        <w:rPr>
          <w:rFonts w:ascii="Palatino Linotype" w:hAnsi="Palatino Linotype"/>
          <w:lang w:val="es-ES_tradnl"/>
        </w:rPr>
        <w:t>ocho</w:t>
      </w:r>
      <w:r w:rsidRPr="00100412">
        <w:rPr>
          <w:rFonts w:ascii="Palatino Linotype" w:hAnsi="Palatino Linotype"/>
          <w:lang w:val="es-ES_tradnl"/>
        </w:rPr>
        <w:t xml:space="preserve"> </w:t>
      </w:r>
      <w:r w:rsidR="00B01BA2" w:rsidRPr="00100412">
        <w:rPr>
          <w:rFonts w:ascii="Palatino Linotype" w:hAnsi="Palatino Linotype"/>
          <w:lang w:val="es-ES_tradnl"/>
        </w:rPr>
        <w:t>(</w:t>
      </w:r>
      <w:r w:rsidR="00313A13" w:rsidRPr="00100412">
        <w:rPr>
          <w:rFonts w:ascii="Palatino Linotype" w:hAnsi="Palatino Linotype"/>
          <w:lang w:val="es-ES_tradnl"/>
        </w:rPr>
        <w:t>08</w:t>
      </w:r>
      <w:r w:rsidRPr="00100412">
        <w:rPr>
          <w:rFonts w:ascii="Palatino Linotype" w:hAnsi="Palatino Linotype"/>
          <w:lang w:val="es-ES_tradnl"/>
        </w:rPr>
        <w:t xml:space="preserve">) de </w:t>
      </w:r>
      <w:r w:rsidR="00313A13" w:rsidRPr="00100412">
        <w:rPr>
          <w:rFonts w:ascii="Palatino Linotype" w:hAnsi="Palatino Linotype"/>
          <w:lang w:val="es-ES_tradnl"/>
        </w:rPr>
        <w:t>dici</w:t>
      </w:r>
      <w:r w:rsidRPr="00100412">
        <w:rPr>
          <w:rFonts w:ascii="Palatino Linotype" w:hAnsi="Palatino Linotype"/>
          <w:lang w:val="es-ES_tradnl"/>
        </w:rPr>
        <w:t xml:space="preserve">embre de dos mil veinte, se emitió acuerdo por medio del cual se amplió el periodo para emitir una resolución dentro del recurso de inconformidad </w:t>
      </w:r>
      <w:r w:rsidR="00313A13" w:rsidRPr="00100412">
        <w:rPr>
          <w:rFonts w:ascii="Palatino Linotype" w:hAnsi="Palatino Linotype"/>
          <w:lang w:val="es-ES_tradnl"/>
        </w:rPr>
        <w:t>RIA 185/20</w:t>
      </w:r>
      <w:r w:rsidR="00B01BA2" w:rsidRPr="00100412">
        <w:rPr>
          <w:rFonts w:ascii="Palatino Linotype" w:hAnsi="Palatino Linotype"/>
          <w:lang w:val="es-ES_tradnl"/>
        </w:rPr>
        <w:t>.</w:t>
      </w:r>
    </w:p>
    <w:p w:rsidR="00CA5FC5" w:rsidRPr="00100412" w:rsidRDefault="00CA5FC5" w:rsidP="00CA5FC5">
      <w:pPr>
        <w:pStyle w:val="Prrafodelista"/>
        <w:rPr>
          <w:rFonts w:ascii="Palatino Linotype" w:hAnsi="Palatino Linotype"/>
          <w:lang w:val="es-ES_tradnl"/>
        </w:rPr>
      </w:pPr>
    </w:p>
    <w:p w:rsidR="00E12F6B" w:rsidRPr="00100412" w:rsidRDefault="00CA5FC5" w:rsidP="00CA5FC5">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El </w:t>
      </w:r>
      <w:r w:rsidR="00313A13" w:rsidRPr="00100412">
        <w:rPr>
          <w:rFonts w:ascii="Palatino Linotype" w:hAnsi="Palatino Linotype"/>
          <w:lang w:val="es-ES_tradnl"/>
        </w:rPr>
        <w:t>veintinueve</w:t>
      </w:r>
      <w:r w:rsidRPr="00100412">
        <w:rPr>
          <w:rFonts w:ascii="Palatino Linotype" w:hAnsi="Palatino Linotype"/>
          <w:lang w:val="es-ES_tradnl"/>
        </w:rPr>
        <w:t xml:space="preserve"> (</w:t>
      </w:r>
      <w:r w:rsidR="00313A13" w:rsidRPr="00100412">
        <w:rPr>
          <w:rFonts w:ascii="Palatino Linotype" w:hAnsi="Palatino Linotype"/>
          <w:lang w:val="es-ES_tradnl"/>
        </w:rPr>
        <w:t>29</w:t>
      </w:r>
      <w:r w:rsidRPr="00100412">
        <w:rPr>
          <w:rFonts w:ascii="Palatino Linotype" w:hAnsi="Palatino Linotype"/>
          <w:lang w:val="es-ES_tradnl"/>
        </w:rPr>
        <w:t xml:space="preserve">) de enero de </w:t>
      </w:r>
      <w:proofErr w:type="gramStart"/>
      <w:r w:rsidRPr="00100412">
        <w:rPr>
          <w:rFonts w:ascii="Palatino Linotype" w:hAnsi="Palatino Linotype"/>
          <w:lang w:val="es-ES_tradnl"/>
        </w:rPr>
        <w:t>dos mil veintiuno</w:t>
      </w:r>
      <w:proofErr w:type="gramEnd"/>
      <w:r w:rsidRPr="00100412">
        <w:rPr>
          <w:rFonts w:ascii="Palatino Linotype" w:hAnsi="Palatino Linotype"/>
          <w:lang w:val="es-ES_tradnl"/>
        </w:rPr>
        <w:t xml:space="preserve">, al no existir diligencias pendientes por desahogar, se emitió el acuerdo por medio del cual se declaró </w:t>
      </w:r>
      <w:r w:rsidRPr="00100412">
        <w:rPr>
          <w:rFonts w:ascii="Palatino Linotype" w:hAnsi="Palatino Linotype"/>
          <w:lang w:val="es-ES_tradnl"/>
        </w:rPr>
        <w:lastRenderedPageBreak/>
        <w:t>cerrada la instrucción, pasando el expediente a resolución, en términos de lo dispuesto en los artículos 168 y 169 de la Ley General de Transparencia y Acceso a la Información Pública, mismo que fue notificado a las partes.</w:t>
      </w:r>
    </w:p>
    <w:p w:rsidR="00490EB5" w:rsidRPr="00100412" w:rsidRDefault="00490EB5" w:rsidP="008E1E4F">
      <w:pPr>
        <w:pStyle w:val="Prrafodelista"/>
        <w:spacing w:line="360" w:lineRule="auto"/>
        <w:jc w:val="both"/>
        <w:rPr>
          <w:rFonts w:ascii="Palatino Linotype" w:hAnsi="Palatino Linotype"/>
          <w:lang w:val="es-ES_tradnl"/>
        </w:rPr>
      </w:pPr>
    </w:p>
    <w:p w:rsidR="00400279" w:rsidRPr="00100412"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En sesión </w:t>
      </w:r>
      <w:r w:rsidR="001A5313" w:rsidRPr="00100412">
        <w:rPr>
          <w:rFonts w:ascii="Palatino Linotype" w:hAnsi="Palatino Linotype"/>
          <w:lang w:val="es-ES_tradnl"/>
        </w:rPr>
        <w:t xml:space="preserve">ordinaria </w:t>
      </w:r>
      <w:r w:rsidRPr="00100412">
        <w:rPr>
          <w:rFonts w:ascii="Palatino Linotype" w:hAnsi="Palatino Linotype"/>
          <w:lang w:val="es-ES_tradnl"/>
        </w:rPr>
        <w:t xml:space="preserve">celebrada el día </w:t>
      </w:r>
      <w:r w:rsidR="00313A13" w:rsidRPr="00100412">
        <w:rPr>
          <w:rFonts w:ascii="Palatino Linotype" w:hAnsi="Palatino Linotype"/>
          <w:lang w:val="es-ES_tradnl"/>
        </w:rPr>
        <w:t>tres</w:t>
      </w:r>
      <w:r w:rsidR="006F079C" w:rsidRPr="00100412">
        <w:rPr>
          <w:rFonts w:ascii="Palatino Linotype" w:hAnsi="Palatino Linotype"/>
          <w:lang w:val="es-ES_tradnl"/>
        </w:rPr>
        <w:t xml:space="preserve"> </w:t>
      </w:r>
      <w:r w:rsidR="001A5313" w:rsidRPr="00100412">
        <w:rPr>
          <w:rFonts w:ascii="Palatino Linotype" w:hAnsi="Palatino Linotype"/>
          <w:lang w:val="es-ES_tradnl"/>
        </w:rPr>
        <w:t>(</w:t>
      </w:r>
      <w:r w:rsidR="00313A13" w:rsidRPr="00100412">
        <w:rPr>
          <w:rFonts w:ascii="Palatino Linotype" w:hAnsi="Palatino Linotype"/>
          <w:lang w:val="es-ES_tradnl"/>
        </w:rPr>
        <w:t>03</w:t>
      </w:r>
      <w:r w:rsidR="001A5313" w:rsidRPr="00100412">
        <w:rPr>
          <w:rFonts w:ascii="Palatino Linotype" w:hAnsi="Palatino Linotype"/>
          <w:lang w:val="es-ES_tradnl"/>
        </w:rPr>
        <w:t xml:space="preserve">) de </w:t>
      </w:r>
      <w:r w:rsidR="00313A13" w:rsidRPr="00100412">
        <w:rPr>
          <w:rFonts w:ascii="Palatino Linotype" w:hAnsi="Palatino Linotype"/>
          <w:lang w:val="es-ES_tradnl"/>
        </w:rPr>
        <w:t>febrero</w:t>
      </w:r>
      <w:r w:rsidR="0032234E" w:rsidRPr="00100412">
        <w:rPr>
          <w:rFonts w:ascii="Palatino Linotype" w:hAnsi="Palatino Linotype"/>
          <w:lang w:val="es-ES_tradnl"/>
        </w:rPr>
        <w:t xml:space="preserve"> de </w:t>
      </w:r>
      <w:proofErr w:type="gramStart"/>
      <w:r w:rsidR="0032234E" w:rsidRPr="00100412">
        <w:rPr>
          <w:rFonts w:ascii="Palatino Linotype" w:hAnsi="Palatino Linotype"/>
          <w:lang w:val="es-ES_tradnl"/>
        </w:rPr>
        <w:t>dos mil veintiuno</w:t>
      </w:r>
      <w:proofErr w:type="gramEnd"/>
      <w:r w:rsidR="001A5313" w:rsidRPr="00100412">
        <w:rPr>
          <w:rFonts w:ascii="Palatino Linotype" w:hAnsi="Palatino Linotype"/>
          <w:lang w:val="es-ES_tradnl"/>
        </w:rPr>
        <w:t xml:space="preserve">, el Pleno del INAI, </w:t>
      </w:r>
      <w:r w:rsidRPr="00100412">
        <w:rPr>
          <w:rFonts w:ascii="Palatino Linotype" w:hAnsi="Palatino Linotype"/>
          <w:lang w:val="es-ES_tradnl"/>
        </w:rPr>
        <w:t>aprobó la resolución</w:t>
      </w:r>
      <w:r w:rsidR="001A5313" w:rsidRPr="00100412">
        <w:rPr>
          <w:rFonts w:ascii="Palatino Linotype" w:hAnsi="Palatino Linotype"/>
          <w:lang w:val="es-ES_tradnl"/>
        </w:rPr>
        <w:t xml:space="preserve"> del recurso de </w:t>
      </w:r>
      <w:r w:rsidR="00055959" w:rsidRPr="00100412">
        <w:rPr>
          <w:rFonts w:ascii="Palatino Linotype" w:hAnsi="Palatino Linotype"/>
          <w:lang w:val="es-ES_tradnl"/>
        </w:rPr>
        <w:t>inconformidad</w:t>
      </w:r>
      <w:r w:rsidR="00055959" w:rsidRPr="00100412">
        <w:rPr>
          <w:rFonts w:ascii="Palatino Linotype" w:hAnsi="Palatino Linotype"/>
          <w:lang w:val="es-ES_tradnl"/>
        </w:rPr>
        <w:br/>
      </w:r>
      <w:r w:rsidR="00313A13" w:rsidRPr="00100412">
        <w:rPr>
          <w:rFonts w:ascii="Palatino Linotype" w:hAnsi="Palatino Linotype"/>
          <w:lang w:val="es-ES_tradnl"/>
        </w:rPr>
        <w:t>RIA 185/20</w:t>
      </w:r>
      <w:r w:rsidR="001A5313" w:rsidRPr="00100412">
        <w:rPr>
          <w:rFonts w:ascii="Palatino Linotype" w:hAnsi="Palatino Linotype"/>
          <w:lang w:val="es-ES_tradnl"/>
        </w:rPr>
        <w:t>20</w:t>
      </w:r>
      <w:r w:rsidRPr="00100412">
        <w:rPr>
          <w:rFonts w:ascii="Palatino Linotype" w:hAnsi="Palatino Linotype"/>
          <w:lang w:val="es-ES_tradnl"/>
        </w:rPr>
        <w:t xml:space="preserve">, posteriormente en fecha </w:t>
      </w:r>
      <w:r w:rsidR="00241D36" w:rsidRPr="00100412">
        <w:rPr>
          <w:rFonts w:ascii="Palatino Linotype" w:hAnsi="Palatino Linotype"/>
          <w:lang w:val="es-ES_tradnl"/>
        </w:rPr>
        <w:t>dieci</w:t>
      </w:r>
      <w:r w:rsidR="00FD2D9C" w:rsidRPr="00100412">
        <w:rPr>
          <w:rFonts w:ascii="Palatino Linotype" w:hAnsi="Palatino Linotype"/>
          <w:lang w:val="es-ES_tradnl"/>
        </w:rPr>
        <w:t>siete</w:t>
      </w:r>
      <w:r w:rsidR="008A6F85" w:rsidRPr="00100412">
        <w:rPr>
          <w:rFonts w:ascii="Palatino Linotype" w:hAnsi="Palatino Linotype"/>
          <w:lang w:val="es-ES_tradnl"/>
        </w:rPr>
        <w:t xml:space="preserve"> (</w:t>
      </w:r>
      <w:r w:rsidR="00096050" w:rsidRPr="00100412">
        <w:rPr>
          <w:rFonts w:ascii="Palatino Linotype" w:hAnsi="Palatino Linotype"/>
          <w:lang w:val="es-ES_tradnl"/>
        </w:rPr>
        <w:t>1</w:t>
      </w:r>
      <w:r w:rsidR="00FD2D9C" w:rsidRPr="00100412">
        <w:rPr>
          <w:rFonts w:ascii="Palatino Linotype" w:hAnsi="Palatino Linotype"/>
          <w:lang w:val="es-ES_tradnl"/>
        </w:rPr>
        <w:t>7</w:t>
      </w:r>
      <w:r w:rsidR="001A5313" w:rsidRPr="00100412">
        <w:rPr>
          <w:rFonts w:ascii="Palatino Linotype" w:hAnsi="Palatino Linotype"/>
          <w:lang w:val="es-ES_tradnl"/>
        </w:rPr>
        <w:t xml:space="preserve">) de </w:t>
      </w:r>
      <w:r w:rsidR="00241D36" w:rsidRPr="00100412">
        <w:rPr>
          <w:rFonts w:ascii="Palatino Linotype" w:hAnsi="Palatino Linotype"/>
          <w:lang w:val="es-ES_tradnl"/>
        </w:rPr>
        <w:t>marz</w:t>
      </w:r>
      <w:r w:rsidR="001A5313" w:rsidRPr="00100412">
        <w:rPr>
          <w:rFonts w:ascii="Palatino Linotype" w:hAnsi="Palatino Linotype"/>
          <w:lang w:val="es-ES_tradnl"/>
        </w:rPr>
        <w:t>o de</w:t>
      </w:r>
      <w:r w:rsidR="0032234E" w:rsidRPr="00100412">
        <w:rPr>
          <w:rFonts w:ascii="Palatino Linotype" w:hAnsi="Palatino Linotype"/>
          <w:lang w:val="es-ES_tradnl"/>
        </w:rPr>
        <w:t>l año</w:t>
      </w:r>
      <w:r w:rsidR="00241D36" w:rsidRPr="00100412">
        <w:rPr>
          <w:rFonts w:ascii="Palatino Linotype" w:hAnsi="Palatino Linotype"/>
          <w:lang w:val="es-ES_tradnl"/>
        </w:rPr>
        <w:t xml:space="preserve"> en curso</w:t>
      </w:r>
      <w:r w:rsidRPr="00100412">
        <w:rPr>
          <w:rFonts w:ascii="Palatino Linotype" w:hAnsi="Palatino Linotype"/>
          <w:lang w:val="es-ES_tradnl"/>
        </w:rPr>
        <w:t>, fue notificada a este Órgano Garante</w:t>
      </w:r>
      <w:r w:rsidR="00FD2D9C" w:rsidRPr="00100412">
        <w:rPr>
          <w:rFonts w:ascii="Palatino Linotype" w:hAnsi="Palatino Linotype"/>
          <w:lang w:val="es-ES_tradnl"/>
        </w:rPr>
        <w:t xml:space="preserve"> L</w:t>
      </w:r>
      <w:r w:rsidR="00096050" w:rsidRPr="00100412">
        <w:rPr>
          <w:rFonts w:ascii="Palatino Linotype" w:hAnsi="Palatino Linotype"/>
          <w:lang w:val="es-ES_tradnl"/>
        </w:rPr>
        <w:t>ocal</w:t>
      </w:r>
      <w:r w:rsidRPr="00100412">
        <w:rPr>
          <w:rFonts w:ascii="Palatino Linotype" w:hAnsi="Palatino Linotype"/>
          <w:lang w:val="es-ES_tradnl"/>
        </w:rPr>
        <w:t xml:space="preserve">. </w:t>
      </w:r>
    </w:p>
    <w:p w:rsidR="00333841" w:rsidRPr="00100412" w:rsidRDefault="00333841" w:rsidP="008E1E4F">
      <w:pPr>
        <w:pStyle w:val="Ttulo1"/>
        <w:spacing w:line="360" w:lineRule="auto"/>
        <w:jc w:val="center"/>
        <w:rPr>
          <w:rFonts w:ascii="Palatino Linotype" w:hAnsi="Palatino Linotype"/>
          <w:b/>
          <w:color w:val="auto"/>
          <w:sz w:val="24"/>
          <w:szCs w:val="24"/>
          <w:lang w:val="es-ES_tradnl"/>
        </w:rPr>
      </w:pPr>
      <w:bookmarkStart w:id="135" w:name="_Toc68821512"/>
      <w:r w:rsidRPr="00100412">
        <w:rPr>
          <w:rFonts w:ascii="Palatino Linotype" w:hAnsi="Palatino Linotype"/>
          <w:b/>
          <w:color w:val="auto"/>
          <w:sz w:val="24"/>
          <w:szCs w:val="24"/>
          <w:lang w:val="es-ES_tradnl"/>
        </w:rPr>
        <w:t>CONSIDERANDO</w:t>
      </w:r>
      <w:bookmarkEnd w:id="135"/>
    </w:p>
    <w:p w:rsidR="00333841" w:rsidRPr="00100412" w:rsidRDefault="00333841" w:rsidP="008E1E4F">
      <w:pPr>
        <w:spacing w:line="360" w:lineRule="auto"/>
        <w:jc w:val="both"/>
        <w:rPr>
          <w:rFonts w:ascii="Palatino Linotype" w:hAnsi="Palatino Linotype"/>
          <w:lang w:val="es-ES_tradnl" w:eastAsia="en-US"/>
        </w:rPr>
      </w:pPr>
    </w:p>
    <w:p w:rsidR="00333841" w:rsidRPr="00100412" w:rsidRDefault="00333841" w:rsidP="008E1E4F">
      <w:pPr>
        <w:pStyle w:val="Ttulo2"/>
        <w:spacing w:line="360" w:lineRule="auto"/>
        <w:jc w:val="both"/>
        <w:rPr>
          <w:rFonts w:ascii="Palatino Linotype" w:hAnsi="Palatino Linotype"/>
          <w:b/>
          <w:color w:val="auto"/>
          <w:sz w:val="24"/>
          <w:szCs w:val="24"/>
          <w:lang w:val="es-ES_tradnl"/>
        </w:rPr>
      </w:pPr>
      <w:bookmarkStart w:id="136" w:name="_Toc68821513"/>
      <w:r w:rsidRPr="00100412">
        <w:rPr>
          <w:rFonts w:ascii="Palatino Linotype" w:hAnsi="Palatino Linotype"/>
          <w:b/>
          <w:color w:val="auto"/>
          <w:sz w:val="24"/>
          <w:szCs w:val="24"/>
          <w:lang w:val="es-ES_tradnl"/>
        </w:rPr>
        <w:t xml:space="preserve">PRIMERO. </w:t>
      </w:r>
      <w:r w:rsidR="00400279" w:rsidRPr="00100412">
        <w:rPr>
          <w:rFonts w:ascii="Palatino Linotype" w:hAnsi="Palatino Linotype"/>
          <w:b/>
          <w:color w:val="auto"/>
          <w:sz w:val="24"/>
          <w:szCs w:val="24"/>
          <w:lang w:val="es-ES_tradnl"/>
        </w:rPr>
        <w:t>A</w:t>
      </w:r>
      <w:r w:rsidR="0030712E" w:rsidRPr="00100412">
        <w:rPr>
          <w:rFonts w:ascii="Palatino Linotype" w:hAnsi="Palatino Linotype"/>
          <w:b/>
          <w:color w:val="auto"/>
          <w:sz w:val="24"/>
          <w:szCs w:val="24"/>
          <w:lang w:val="es-ES_tradnl"/>
        </w:rPr>
        <w:t>tribuciones del</w:t>
      </w:r>
      <w:r w:rsidR="00400279" w:rsidRPr="00100412">
        <w:rPr>
          <w:rFonts w:ascii="Palatino Linotype" w:hAnsi="Palatino Linotype"/>
          <w:b/>
          <w:color w:val="auto"/>
          <w:sz w:val="24"/>
          <w:szCs w:val="24"/>
          <w:lang w:val="es-ES_tradnl"/>
        </w:rPr>
        <w:t xml:space="preserve"> INAI</w:t>
      </w:r>
      <w:bookmarkEnd w:id="136"/>
    </w:p>
    <w:p w:rsidR="008E1E4F" w:rsidRPr="00100412"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eastAsia="Calibri" w:hAnsi="Palatino Linotype"/>
          <w:lang w:val="es-ES_tradnl"/>
        </w:rPr>
        <w:t>E</w:t>
      </w:r>
      <w:r w:rsidR="00C10C55" w:rsidRPr="00100412">
        <w:rPr>
          <w:rFonts w:ascii="Palatino Linotype" w:eastAsia="Calibri" w:hAnsi="Palatino Linotype"/>
          <w:lang w:val="es-ES_tradnl"/>
        </w:rPr>
        <w:t>l</w:t>
      </w:r>
      <w:r w:rsidR="00C10C55" w:rsidRPr="00100412">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w:t>
      </w:r>
      <w:r w:rsidR="00C10C55" w:rsidRPr="00100412">
        <w:rPr>
          <w:rFonts w:ascii="Palatino Linotype" w:hAnsi="Palatino Linotype"/>
          <w:lang w:val="es-ES_tradnl"/>
        </w:rPr>
        <w:lastRenderedPageBreak/>
        <w:t>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100412"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100412" w:rsidRDefault="008E1E4F" w:rsidP="008E1E4F">
      <w:pPr>
        <w:pStyle w:val="Ttulo2"/>
        <w:spacing w:line="360" w:lineRule="auto"/>
        <w:jc w:val="both"/>
        <w:rPr>
          <w:rFonts w:ascii="Palatino Linotype" w:hAnsi="Palatino Linotype"/>
          <w:b/>
          <w:color w:val="auto"/>
          <w:sz w:val="24"/>
          <w:szCs w:val="24"/>
          <w:lang w:val="es-ES_tradnl"/>
        </w:rPr>
      </w:pPr>
      <w:bookmarkStart w:id="137" w:name="_Toc68821514"/>
      <w:r w:rsidRPr="00100412">
        <w:rPr>
          <w:rFonts w:ascii="Palatino Linotype" w:hAnsi="Palatino Linotype"/>
          <w:b/>
          <w:color w:val="auto"/>
          <w:sz w:val="24"/>
          <w:szCs w:val="24"/>
          <w:lang w:val="es-ES_tradnl"/>
        </w:rPr>
        <w:t>SEGUNDO. Resolución y efectos</w:t>
      </w:r>
      <w:bookmarkEnd w:id="137"/>
    </w:p>
    <w:p w:rsidR="008E1E4F" w:rsidRPr="00100412" w:rsidRDefault="008E1E4F" w:rsidP="008E1E4F">
      <w:pPr>
        <w:pStyle w:val="Prrafodelista"/>
        <w:tabs>
          <w:tab w:val="left" w:pos="0"/>
        </w:tabs>
        <w:spacing w:line="360" w:lineRule="auto"/>
        <w:ind w:left="0" w:right="49"/>
        <w:jc w:val="both"/>
        <w:rPr>
          <w:rFonts w:ascii="Palatino Linotype" w:hAnsi="Palatino Linotype"/>
          <w:lang w:val="es-ES_tradnl"/>
        </w:rPr>
      </w:pPr>
    </w:p>
    <w:p w:rsidR="008D734F" w:rsidRPr="00100412" w:rsidRDefault="00ED7D43" w:rsidP="008D734F">
      <w:pPr>
        <w:pStyle w:val="Prrafodelista"/>
        <w:numPr>
          <w:ilvl w:val="0"/>
          <w:numId w:val="1"/>
        </w:numPr>
        <w:tabs>
          <w:tab w:val="left" w:pos="0"/>
        </w:tabs>
        <w:spacing w:line="360" w:lineRule="auto"/>
        <w:ind w:left="0" w:right="49" w:firstLine="0"/>
        <w:jc w:val="both"/>
        <w:rPr>
          <w:rFonts w:ascii="Palatino Linotype" w:hAnsi="Palatino Linotype"/>
          <w:i/>
          <w:lang w:val="es-ES_tradnl"/>
        </w:rPr>
      </w:pPr>
      <w:r w:rsidRPr="00100412">
        <w:rPr>
          <w:rFonts w:ascii="Palatino Linotype" w:eastAsia="Calibri" w:hAnsi="Palatino Linotype"/>
          <w:lang w:val="es-ES_tradnl"/>
        </w:rPr>
        <w:t>En</w:t>
      </w:r>
      <w:r w:rsidRPr="00100412">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100412">
        <w:rPr>
          <w:rFonts w:ascii="Palatino Linotype" w:hAnsi="Palatino Linotype" w:cs="Arial"/>
          <w:lang w:val="es-ES_tradnl"/>
        </w:rPr>
        <w:t xml:space="preserve">: </w:t>
      </w:r>
      <w:r w:rsidR="008D734F" w:rsidRPr="00100412">
        <w:rPr>
          <w:rFonts w:ascii="Palatino Linotype" w:hAnsi="Palatino Linotype"/>
          <w:i/>
          <w:lang w:val="es-ES_tradnl"/>
        </w:rPr>
        <w:t>"...REVOCAR la resolución del Instituto de Transparencia, Acceso a la Información Pública y Protección de Datos Personales del Estado de México y Municipios, y se le instruye a efecto de que emita una nueva resolución en la que:</w:t>
      </w:r>
    </w:p>
    <w:p w:rsidR="008D734F" w:rsidRPr="00100412" w:rsidRDefault="008D734F" w:rsidP="008D734F">
      <w:pPr>
        <w:pStyle w:val="Prrafodelista"/>
        <w:tabs>
          <w:tab w:val="left" w:pos="0"/>
        </w:tabs>
        <w:spacing w:line="360" w:lineRule="auto"/>
        <w:ind w:left="0" w:right="49"/>
        <w:jc w:val="both"/>
        <w:rPr>
          <w:rFonts w:ascii="Palatino Linotype" w:hAnsi="Palatino Linotype"/>
          <w:i/>
          <w:lang w:val="es-ES_tradnl"/>
        </w:rPr>
      </w:pPr>
      <w:r w:rsidRPr="00100412">
        <w:rPr>
          <w:rFonts w:ascii="Palatino Linotype" w:hAnsi="Palatino Linotype"/>
          <w:i/>
          <w:lang w:val="es-ES_tradnl"/>
        </w:rPr>
        <w:t>Instruya al Ayuntamiento de Ixtapan de la Sal a realizar la entrega de la información solicitada, en la modalidad elegida por el particular, esto es en medios electrónicos, con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rsidR="00ED7D43" w:rsidRPr="00100412" w:rsidRDefault="008D734F" w:rsidP="008D734F">
      <w:pPr>
        <w:pStyle w:val="Prrafodelista"/>
        <w:tabs>
          <w:tab w:val="left" w:pos="0"/>
        </w:tabs>
        <w:spacing w:line="360" w:lineRule="auto"/>
        <w:ind w:left="0" w:right="49"/>
        <w:jc w:val="both"/>
        <w:rPr>
          <w:rFonts w:ascii="Palatino Linotype" w:hAnsi="Palatino Linotype"/>
          <w:i/>
          <w:lang w:val="es-ES_tradnl"/>
        </w:rPr>
      </w:pPr>
      <w:r w:rsidRPr="00100412">
        <w:rPr>
          <w:rFonts w:ascii="Palatino Linotype" w:hAnsi="Palatino Linotype"/>
          <w:i/>
          <w:lang w:val="es-ES_tradnl"/>
        </w:rPr>
        <w:t>Asimismo, atendiendo a las circunstancias que pueda derivar del volumen de la información o las características de ésta, deberá dar el tiempo correspondiente para que se dé cumplimiento a la resolución.</w:t>
      </w:r>
      <w:r w:rsidR="00ED7D43" w:rsidRPr="00100412">
        <w:rPr>
          <w:rFonts w:ascii="Palatino Linotype" w:hAnsi="Palatino Linotype"/>
          <w:i/>
          <w:lang w:val="es-ES_tradnl"/>
        </w:rPr>
        <w:t>”</w:t>
      </w:r>
    </w:p>
    <w:p w:rsidR="00855DA2" w:rsidRPr="00100412" w:rsidRDefault="00855DA2" w:rsidP="00855DA2">
      <w:pPr>
        <w:pStyle w:val="Ttulo1"/>
        <w:spacing w:line="360" w:lineRule="auto"/>
        <w:jc w:val="both"/>
        <w:rPr>
          <w:rFonts w:ascii="Palatino Linotype" w:hAnsi="Palatino Linotype"/>
          <w:b/>
          <w:color w:val="auto"/>
          <w:sz w:val="24"/>
          <w:szCs w:val="24"/>
          <w:lang w:val="es-ES_tradnl"/>
        </w:rPr>
      </w:pPr>
      <w:bookmarkStart w:id="138" w:name="_Toc17302579"/>
      <w:bookmarkStart w:id="139" w:name="_Toc68821515"/>
      <w:r w:rsidRPr="00100412">
        <w:rPr>
          <w:rFonts w:ascii="Palatino Linotype" w:hAnsi="Palatino Linotype"/>
          <w:b/>
          <w:color w:val="auto"/>
          <w:sz w:val="24"/>
          <w:szCs w:val="24"/>
          <w:lang w:val="es-ES_tradnl"/>
        </w:rPr>
        <w:lastRenderedPageBreak/>
        <w:t>TERCERO. Consideraciones de especial pronunciamiento</w:t>
      </w:r>
      <w:bookmarkEnd w:id="138"/>
      <w:bookmarkEnd w:id="139"/>
    </w:p>
    <w:p w:rsidR="00855DA2" w:rsidRPr="00100412" w:rsidRDefault="00855DA2" w:rsidP="00855DA2">
      <w:pPr>
        <w:rPr>
          <w:lang w:val="es-ES_tradnl" w:eastAsia="en-US"/>
        </w:rPr>
      </w:pPr>
    </w:p>
    <w:p w:rsidR="00855DA2" w:rsidRPr="00100412" w:rsidRDefault="00855DA2" w:rsidP="00EA2B68">
      <w:pPr>
        <w:pStyle w:val="Ttulo1"/>
        <w:numPr>
          <w:ilvl w:val="0"/>
          <w:numId w:val="20"/>
        </w:numPr>
        <w:rPr>
          <w:rFonts w:ascii="Palatino Linotype" w:hAnsi="Palatino Linotype"/>
          <w:b/>
          <w:color w:val="000000" w:themeColor="text1"/>
          <w:sz w:val="24"/>
        </w:rPr>
      </w:pPr>
      <w:bookmarkStart w:id="140" w:name="_Toc68821516"/>
      <w:r w:rsidRPr="00100412">
        <w:rPr>
          <w:rFonts w:ascii="Palatino Linotype" w:hAnsi="Palatino Linotype"/>
          <w:b/>
          <w:color w:val="000000" w:themeColor="text1"/>
          <w:sz w:val="24"/>
        </w:rPr>
        <w:t>Del Principio de Legalidad</w:t>
      </w:r>
      <w:bookmarkEnd w:id="140"/>
    </w:p>
    <w:p w:rsidR="00855DA2" w:rsidRPr="00100412" w:rsidRDefault="00855DA2" w:rsidP="00855DA2">
      <w:pPr>
        <w:pStyle w:val="Prrafodelista"/>
        <w:rPr>
          <w:rFonts w:ascii="Palatino Linotype" w:hAnsi="Palatino Linotype"/>
          <w:lang w:val="es-ES_tradnl"/>
        </w:rPr>
      </w:pPr>
    </w:p>
    <w:p w:rsidR="00855DA2" w:rsidRPr="00100412" w:rsidRDefault="00855DA2" w:rsidP="00F91DB5">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100412">
        <w:rPr>
          <w:rFonts w:ascii="Palatino Linotype" w:hAnsi="Palatino Linotype"/>
          <w:b/>
          <w:lang w:val="es-ES_tradnl"/>
        </w:rPr>
        <w:t>1</w:t>
      </w:r>
      <w:r w:rsidRPr="00100412">
        <w:rPr>
          <w:rFonts w:ascii="Palatino Linotype" w:hAnsi="Palatino Linotype"/>
          <w:lang w:val="es-ES_tradnl"/>
        </w:rPr>
        <w:t xml:space="preserve">. </w:t>
      </w:r>
      <w:r w:rsidRPr="00100412">
        <w:rPr>
          <w:rFonts w:ascii="Palatino Linotype" w:eastAsia="Calibri" w:hAnsi="Palatino Linotype"/>
          <w:lang w:val="es-ES_tradnl"/>
        </w:rPr>
        <w:t>Conviene</w:t>
      </w:r>
      <w:r w:rsidRPr="00100412">
        <w:rPr>
          <w:rFonts w:ascii="Palatino Linotype" w:hAnsi="Palatino Linotype" w:cs="Arial"/>
          <w:color w:val="000000"/>
        </w:rPr>
        <w:t xml:space="preserve"> recordar que la Declaración de los Derechos del Hombre y del Ciudadano de 1789 en su artículo 16, proclamó que una sociedad sólo podía entenderse fundada en una Constitución </w:t>
      </w:r>
      <w:r w:rsidRPr="00100412">
        <w:rPr>
          <w:rFonts w:ascii="Palatino Linotype" w:hAnsi="Palatino Linotype" w:cs="Arial"/>
          <w:i/>
          <w:iCs/>
          <w:color w:val="000000"/>
        </w:rPr>
        <w:t>si se asegura la garantía de los derechos y la separación de poderes</w:t>
      </w:r>
      <w:r w:rsidRPr="00100412">
        <w:rPr>
          <w:rFonts w:ascii="Palatino Linotype" w:hAnsi="Palatino Linotype" w:cs="Arial"/>
          <w:color w:val="000000"/>
        </w:rPr>
        <w:t xml:space="preserve">, figuras clásicas del modelo del Estado limitado y de poderes divididos. Estas dos referencias son representativas para sostener que el constitucionalismo pretende limitar los poderes públicos y consolidar la esfera de las autonomías garantizadas mediante normas. </w:t>
      </w:r>
      <w:r w:rsidRPr="00100412">
        <w:rPr>
          <w:rFonts w:ascii="Palatino Linotype" w:hAnsi="Palatino Linotype"/>
        </w:rPr>
        <w:t xml:space="preserve">Desde entonces, puede decirse que el Estado de Derecho se basa en la aspiración a que los hombres sean gobernados por leyes y no por otros hombres, y que la división de poderes supone un gobierno moderado y representativo en el que el poder del gobierno se encuentra en diferentes manos que se contrapesan.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100412">
        <w:rPr>
          <w:rFonts w:ascii="Palatino Linotype" w:hAnsi="Palatino Linotype"/>
        </w:rPr>
        <w:t xml:space="preserve">Es por ello, que el </w:t>
      </w:r>
      <w:r w:rsidRPr="00100412">
        <w:rPr>
          <w:rFonts w:ascii="Palatino Linotype" w:hAnsi="Palatino Linotype"/>
          <w:color w:val="000000"/>
        </w:rPr>
        <w:t>principio de división de poderes constituye uno de los pilares fundamentales de cualquier sistema democrático, ya que implica la limitación del poder público para evitar su abuso, de manera que dicho poder sirva como instrumento para los fines del bien común y no para el beneficio de quienes lo ejercen con motivo de su cargo.</w:t>
      </w:r>
    </w:p>
    <w:p w:rsidR="00855DA2" w:rsidRPr="00100412" w:rsidRDefault="00855DA2" w:rsidP="00855DA2">
      <w:pPr>
        <w:pStyle w:val="Prrafodelista"/>
        <w:tabs>
          <w:tab w:val="left" w:pos="0"/>
        </w:tabs>
        <w:spacing w:line="360" w:lineRule="auto"/>
        <w:ind w:left="0" w:right="49"/>
        <w:jc w:val="both"/>
        <w:rPr>
          <w:rFonts w:ascii="Palatino Linotype" w:eastAsiaTheme="minorEastAsia" w:hAnsi="Palatino Linotype" w:cstheme="minorBidi"/>
          <w:i/>
          <w:lang w:eastAsia="es-ES"/>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100412">
        <w:rPr>
          <w:rFonts w:ascii="Palatino Linotype" w:hAnsi="Palatino Linotype"/>
        </w:rPr>
        <w:lastRenderedPageBreak/>
        <w:t>Al respecto, Elías Díaz, señala que se suman y pueden ser cuatro las características esenciales e indispensables del Estado de Derecho: (1) el imperio de la ley</w:t>
      </w:r>
      <w:r w:rsidRPr="00100412">
        <w:rPr>
          <w:rFonts w:ascii="Palatino Linotype" w:hAnsi="Palatino Linotype"/>
          <w:shd w:val="clear" w:color="auto" w:fill="FFFFFF"/>
        </w:rPr>
        <w:t>; ley como expresión de la voluntad general; (2) División de poderes: legislativo, ejecutivo y judicial; (3) Legalidad de la Administración: actuación según la ley y suficiente control judicial; (4) Derechos y libertades fundamentales, garantía jurídico-formal y efectiva realización material</w:t>
      </w:r>
      <w:r w:rsidRPr="00100412">
        <w:rPr>
          <w:rFonts w:ascii="Palatino Linotype" w:hAnsi="Palatino Linotype"/>
          <w:color w:val="333333"/>
          <w:shd w:val="clear" w:color="auto" w:fill="FFFFFF"/>
        </w:rPr>
        <w:t>.</w:t>
      </w:r>
      <w:r w:rsidRPr="00100412">
        <w:rPr>
          <w:rStyle w:val="Refdenotaalpie"/>
          <w:rFonts w:ascii="Palatino Linotype" w:hAnsi="Palatino Linotype"/>
          <w:color w:val="333333"/>
          <w:shd w:val="clear" w:color="auto" w:fill="FFFFFF"/>
        </w:rPr>
        <w:footnoteReference w:id="1"/>
      </w:r>
    </w:p>
    <w:p w:rsidR="00855DA2" w:rsidRPr="00100412" w:rsidRDefault="00855DA2" w:rsidP="00855DA2">
      <w:pPr>
        <w:pStyle w:val="Prrafodelista"/>
        <w:tabs>
          <w:tab w:val="left" w:pos="0"/>
        </w:tabs>
        <w:spacing w:line="360" w:lineRule="auto"/>
        <w:ind w:left="0" w:right="49"/>
        <w:jc w:val="both"/>
        <w:rPr>
          <w:rFonts w:ascii="Palatino Linotype" w:eastAsiaTheme="minorEastAsia" w:hAnsi="Palatino Linotype" w:cstheme="minorBidi"/>
          <w:i/>
          <w:lang w:val="es-ES_tradnl" w:eastAsia="es-ES"/>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100412">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100412">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100412">
        <w:rPr>
          <w:rFonts w:ascii="Palatino Linotype" w:hAnsi="Palatino Linotype"/>
          <w:lang w:val="es-ES_tradnl"/>
        </w:rPr>
        <w:t xml:space="preserve"> y del primer párrafo del artículo 16 de Constitucional: “</w:t>
      </w:r>
      <w:r w:rsidRPr="00100412">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p>
    <w:p w:rsidR="00855DA2" w:rsidRPr="00100412" w:rsidRDefault="00855DA2" w:rsidP="00855DA2">
      <w:pPr>
        <w:pStyle w:val="Prrafodelista"/>
        <w:rPr>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100412">
        <w:rPr>
          <w:rFonts w:ascii="Palatino Linotype" w:hAnsi="Palatino Linotype"/>
          <w:lang w:val="es-ES_tradnl"/>
        </w:rPr>
        <w:t xml:space="preserve">El principio de legalidad comprende en sí dos figuras jurídicas: el principio de legalidad y la reserva de ley, cuya distinción radica en que cada uno de estos principios surte efectos en diferentes campos del derecho, el primero se sitúa en la </w:t>
      </w:r>
      <w:r w:rsidRPr="00100412">
        <w:rPr>
          <w:rFonts w:ascii="Palatino Linotype" w:hAnsi="Palatino Linotype"/>
          <w:lang w:val="es-ES_tradnl"/>
        </w:rPr>
        <w:lastRenderedPageBreak/>
        <w:t>esfera aplicativa de éste; mientras que el segundo, implica centrar nuestra atención en su esfera normativa.</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100412">
        <w:rPr>
          <w:rFonts w:ascii="Palatino Linotype" w:hAnsi="Palatino Linotype"/>
          <w:lang w:val="es-ES_tradnl"/>
        </w:rPr>
        <w:t>El principio de legalidad entraña que los órganos del Estado deben ceñir su actuar a lo que disponga la ley, lo que implica el respeto absoluto en la producción de las normas al orden escalonado exigido por la jerarquía de las fuentes del derecho, y finalmente, la sumisión de los actos concretos de una autoridad a las disposiciones de carácter general.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855DA2" w:rsidRPr="00100412" w:rsidRDefault="00855DA2" w:rsidP="00855DA2">
      <w:pPr>
        <w:pStyle w:val="Prrafodelista"/>
        <w:rPr>
          <w:color w:val="1E1916"/>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color w:val="1E1916"/>
          <w:lang w:val="es-ES_tradnl"/>
        </w:rPr>
        <w:t xml:space="preserve">La sujeción de los órganos públicos a la ley se concreta en el principio de </w:t>
      </w:r>
      <w:r w:rsidRPr="00100412">
        <w:rPr>
          <w:rFonts w:ascii="Palatino Linotype" w:hAnsi="Palatino Linotype"/>
          <w:i/>
          <w:color w:val="1E1916"/>
          <w:lang w:val="es-ES_tradnl"/>
        </w:rPr>
        <w:t>mera legalidad</w:t>
      </w:r>
      <w:r w:rsidRPr="00100412">
        <w:rPr>
          <w:rFonts w:ascii="Palatino Linotype" w:hAnsi="Palatino Linotype"/>
          <w:color w:val="1E1916"/>
          <w:lang w:val="es-ES_tradnl"/>
        </w:rPr>
        <w:t xml:space="preserve">, el cual es distinto al principio de </w:t>
      </w:r>
      <w:r w:rsidRPr="00100412">
        <w:rPr>
          <w:rFonts w:ascii="Palatino Linotype" w:hAnsi="Palatino Linotype"/>
          <w:i/>
          <w:color w:val="1E1916"/>
          <w:lang w:val="es-ES_tradnl"/>
        </w:rPr>
        <w:t xml:space="preserve">estricta legalidad </w:t>
      </w:r>
      <w:r w:rsidRPr="00100412">
        <w:rPr>
          <w:rFonts w:ascii="Palatino Linotype" w:hAnsi="Palatino Linotype"/>
          <w:color w:val="1E1916"/>
          <w:lang w:val="es-ES_tradnl"/>
        </w:rPr>
        <w:t xml:space="preserve">según el cual las autoridades no solamente deben de acatar las leyes cualesquiera que sean sus </w:t>
      </w:r>
      <w:r w:rsidRPr="00100412">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100412">
        <w:rPr>
          <w:rStyle w:val="Refdenotaalpie"/>
          <w:rFonts w:ascii="Palatino Linotype" w:hAnsi="Palatino Linotype"/>
          <w:color w:val="1E1916"/>
          <w:lang w:val="es-ES_tradnl"/>
        </w:rPr>
        <w:footnoteReference w:id="2"/>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contra del Estado de Derecho en el cual las autoridades deben encontrarse sujetas a la ley, es decir, debe existir sujeción de los poderes públicos al ordenamiento legal. Es por ello, que el Estado de Derecho es aquel en el cual prevalece el principio de legalidad que regula y controla el poder y la actividad de los órganos del Estado y en el que el sometimiento a la ley, sin lugar a dudas, </w:t>
      </w:r>
      <w:proofErr w:type="spellStart"/>
      <w:r w:rsidRPr="00100412">
        <w:rPr>
          <w:rFonts w:ascii="Palatino Linotype" w:hAnsi="Palatino Linotype"/>
          <w:lang w:val="es-ES_tradnl"/>
        </w:rPr>
        <w:t>esta</w:t>
      </w:r>
      <w:proofErr w:type="spellEnd"/>
      <w:r w:rsidRPr="00100412">
        <w:rPr>
          <w:rFonts w:ascii="Palatino Linotype" w:hAnsi="Palatino Linotype"/>
          <w:lang w:val="es-ES_tradnl"/>
        </w:rPr>
        <w:t xml:space="preserve"> relacionado con el respeto a la persona humana y a sus derechos fundamentales.</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Ahora bien, el artículo 8 de la Ley General de Transparencia y Acceso a la Información Pública establece los nueve principios rectores de los organismos garantes: certeza, eficacia, imparcialidad, independencia, legalidad, máxima publicidad, objetividad, profesionalismo y transparencia, como sigue:</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bookmarkStart w:id="141" w:name="Artículo_8"/>
      <w:r w:rsidRPr="00100412">
        <w:rPr>
          <w:rFonts w:ascii="Palatino Linotype" w:hAnsi="Palatino Linotype"/>
          <w:b/>
          <w:i/>
          <w:sz w:val="22"/>
          <w:szCs w:val="22"/>
          <w:lang w:val="es-ES_tradnl"/>
        </w:rPr>
        <w:t>Artículo 8</w:t>
      </w:r>
      <w:bookmarkEnd w:id="141"/>
      <w:r w:rsidRPr="00100412">
        <w:rPr>
          <w:rFonts w:ascii="Palatino Linotype" w:hAnsi="Palatino Linotype"/>
          <w:b/>
          <w:i/>
          <w:sz w:val="22"/>
          <w:szCs w:val="22"/>
          <w:lang w:val="es-ES_tradnl"/>
        </w:rPr>
        <w:t xml:space="preserve">. </w:t>
      </w:r>
      <w:r w:rsidRPr="00100412">
        <w:rPr>
          <w:rFonts w:ascii="Palatino Linotype" w:hAnsi="Palatino Linotype"/>
          <w:i/>
          <w:sz w:val="22"/>
          <w:szCs w:val="22"/>
          <w:lang w:val="es-ES_tradnl"/>
        </w:rPr>
        <w:t>Los Organismos garantes del derecho de acceso a la información deberán regir su funcionamiento de acuerdo a los siguientes principios:</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r w:rsidRPr="00100412">
        <w:rPr>
          <w:rFonts w:ascii="Palatino Linotype" w:hAnsi="Palatino Linotype"/>
          <w:b/>
          <w:i/>
          <w:sz w:val="22"/>
          <w:szCs w:val="22"/>
          <w:lang w:val="es-ES_tradnl"/>
        </w:rPr>
        <w:lastRenderedPageBreak/>
        <w:t>I.</w:t>
      </w:r>
      <w:r w:rsidRPr="00100412">
        <w:rPr>
          <w:rFonts w:ascii="Palatino Linotype" w:hAnsi="Palatino Linotype"/>
          <w:b/>
          <w:i/>
          <w:sz w:val="22"/>
          <w:szCs w:val="22"/>
          <w:lang w:val="es-ES_tradnl"/>
        </w:rPr>
        <w:tab/>
        <w:t xml:space="preserve">Certeza: </w:t>
      </w:r>
      <w:r w:rsidRPr="00100412">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II. Eficacia: </w:t>
      </w:r>
      <w:r w:rsidRPr="00100412">
        <w:rPr>
          <w:rFonts w:ascii="Palatino Linotype" w:hAnsi="Palatino Linotype"/>
          <w:i/>
          <w:sz w:val="22"/>
          <w:szCs w:val="22"/>
          <w:lang w:val="es-ES_tradnl"/>
        </w:rPr>
        <w:t>Obligación de los Organismos garantes para tutelar, de manera efectiva, el derecho de acceso a la información;</w:t>
      </w: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III. Imparcialidad: </w:t>
      </w:r>
      <w:r w:rsidRPr="00100412">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IV. Independencia: </w:t>
      </w:r>
      <w:r w:rsidRPr="00100412">
        <w:rPr>
          <w:rFonts w:ascii="Palatino Linotype" w:hAnsi="Palatino Linotype"/>
          <w:i/>
          <w:sz w:val="22"/>
          <w:szCs w:val="22"/>
          <w:lang w:val="es-ES_tradnl"/>
        </w:rPr>
        <w:t>Cualidad que deben tener los Organismos garantes para actuar sin supeditarse a interés, autoridad o persona alguna;</w:t>
      </w: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r w:rsidRPr="00100412">
        <w:rPr>
          <w:rFonts w:ascii="Palatino Linotype" w:hAnsi="Palatino Linotype"/>
          <w:b/>
          <w:i/>
          <w:sz w:val="22"/>
          <w:szCs w:val="22"/>
          <w:lang w:val="es-ES_tradnl"/>
        </w:rPr>
        <w:t>V.</w:t>
      </w:r>
      <w:r w:rsidRPr="00100412">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VI. Máxima Publicidad: </w:t>
      </w:r>
      <w:r w:rsidRPr="00100412">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VII. Objetividad: </w:t>
      </w:r>
      <w:r w:rsidRPr="00100412">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VIII. Profesionalismo:</w:t>
      </w:r>
      <w:r w:rsidRPr="00100412">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IX. Transparencia: </w:t>
      </w:r>
      <w:r w:rsidRPr="00100412">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lastRenderedPageBreak/>
        <w:t>Como puede advertirse, la fracción V del citado artículo 8 de la Ley General de Transparencia y Acceso a la Información establece el principio de legalidad como la obligación de los Organismos garantes de ajustar su actuación, así como fundar y motivar sus resoluciones y actos en las normas aplicables.</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w:t>
      </w:r>
      <w:proofErr w:type="gramStart"/>
      <w:r w:rsidRPr="00100412">
        <w:rPr>
          <w:rFonts w:ascii="Palatino Linotype" w:hAnsi="Palatino Linotype"/>
          <w:lang w:val="es-ES_tradnl"/>
        </w:rPr>
        <w:t>primeramente</w:t>
      </w:r>
      <w:proofErr w:type="gramEnd"/>
      <w:r w:rsidRPr="00100412">
        <w:rPr>
          <w:rFonts w:ascii="Palatino Linotype" w:hAnsi="Palatino Linotype"/>
          <w:lang w:val="es-ES_tradnl"/>
        </w:rPr>
        <w:t xml:space="preserve"> que el texto de la Ley General establece que es una </w:t>
      </w:r>
      <w:r w:rsidRPr="00100412">
        <w:rPr>
          <w:rFonts w:ascii="Palatino Linotype" w:hAnsi="Palatino Linotype"/>
          <w:b/>
          <w:i/>
          <w:lang w:val="es-ES_tradnl"/>
        </w:rPr>
        <w:t>obligación,</w:t>
      </w:r>
      <w:r w:rsidRPr="00100412">
        <w:rPr>
          <w:rFonts w:ascii="Palatino Linotype" w:hAnsi="Palatino Linotype"/>
          <w:lang w:val="es-ES_tradnl"/>
        </w:rPr>
        <w:t xml:space="preserve"> por lo tanto, debe entenderse como un deber y no una opción sujeta a capricho de los órganos garantes; segundo, en ambos casos (1) ajustar sus actuaciones y (2) fundar y motivar sus resoluciones y actos en las normas aplicables, sin duda constituye una garantía de seguridad y certeza jurídica.</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En consecuencia, los órganos de Estado definen sus alcances bajo la tutela del principio de legalidad consagrado en la Constitución por el cual deben </w:t>
      </w:r>
      <w:r w:rsidRPr="00100412">
        <w:rPr>
          <w:rFonts w:ascii="Palatino Linotype" w:hAnsi="Palatino Linotype"/>
          <w:shd w:val="clear" w:color="auto" w:fill="FFFFFF"/>
          <w:lang w:val="es-ES_tradnl"/>
        </w:rPr>
        <w:t>de fundar y motivar sus actos y que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lastRenderedPageBreak/>
        <w:t xml:space="preserve">Es por ello, que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100412">
        <w:rPr>
          <w:rFonts w:ascii="Palatino Linotype" w:hAnsi="Palatino Linotype"/>
          <w:spacing w:val="-2"/>
          <w:lang w:val="es-ES_tradnl"/>
        </w:rPr>
        <w:t xml:space="preserve">los </w:t>
      </w:r>
      <w:r w:rsidRPr="00100412">
        <w:rPr>
          <w:rFonts w:ascii="Palatino Linotype" w:hAnsi="Palatino Linotype"/>
          <w:lang w:val="es-ES_tradnl"/>
        </w:rPr>
        <w:t xml:space="preserve">fundamentos y motivos del acto de autoridad, es decir, que exista adecuación entre los motivos aducidos y las normas aplicables, configurándose así las </w:t>
      </w:r>
      <w:proofErr w:type="spellStart"/>
      <w:r w:rsidRPr="00100412">
        <w:rPr>
          <w:rFonts w:ascii="Palatino Linotype" w:hAnsi="Palatino Linotype"/>
          <w:lang w:val="es-ES_tradnl"/>
        </w:rPr>
        <w:t>hipótesis</w:t>
      </w:r>
      <w:proofErr w:type="spellEnd"/>
      <w:r w:rsidRPr="00100412">
        <w:rPr>
          <w:rFonts w:ascii="Palatino Linotype" w:hAnsi="Palatino Linotype"/>
          <w:spacing w:val="-5"/>
          <w:lang w:val="es-ES_tradnl"/>
        </w:rPr>
        <w:t xml:space="preserve"> </w:t>
      </w:r>
      <w:r w:rsidRPr="00100412">
        <w:rPr>
          <w:rFonts w:ascii="Palatino Linotype" w:hAnsi="Palatino Linotype"/>
          <w:lang w:val="es-ES_tradnl"/>
        </w:rPr>
        <w:t>normativas.</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Sirve de sustento a lo anterior, la jurisprudencia que se cita a continuación, la cual ha sido sustento de las numerosas ejecutorias que ha dictado el Poder Judicial de la Federación y que ha sido uno de los sustentos que han dado lugar a las diversas tesis aisladas y jurisprudenciales que existen en materia de fundamentación y</w:t>
      </w:r>
      <w:r w:rsidRPr="00100412">
        <w:rPr>
          <w:rFonts w:ascii="Palatino Linotype" w:hAnsi="Palatino Linotype"/>
          <w:spacing w:val="-4"/>
          <w:lang w:val="es-ES_tradnl"/>
        </w:rPr>
        <w:t xml:space="preserve"> </w:t>
      </w:r>
      <w:r w:rsidRPr="00100412">
        <w:rPr>
          <w:rFonts w:ascii="Palatino Linotype" w:hAnsi="Palatino Linotype"/>
          <w:lang w:val="es-ES_tradnl"/>
        </w:rPr>
        <w:t>motivación:</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spacing w:line="276" w:lineRule="auto"/>
        <w:ind w:left="908" w:right="108"/>
        <w:jc w:val="both"/>
        <w:rPr>
          <w:rFonts w:ascii="Palatino Linotype" w:hAnsi="Palatino Linotype"/>
          <w:i/>
          <w:sz w:val="22"/>
          <w:szCs w:val="22"/>
          <w:lang w:val="es-ES_tradnl"/>
        </w:rPr>
      </w:pPr>
      <w:r w:rsidRPr="00100412">
        <w:rPr>
          <w:rFonts w:ascii="Palatino Linotype" w:hAnsi="Palatino Linotype"/>
          <w:b/>
          <w:i/>
          <w:sz w:val="22"/>
          <w:szCs w:val="22"/>
          <w:lang w:val="es-ES_tradnl"/>
        </w:rPr>
        <w:t xml:space="preserve">“FUNDAMENTACION Y MOTIVACION. </w:t>
      </w:r>
      <w:r w:rsidRPr="00100412">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w:t>
      </w:r>
      <w:r w:rsidRPr="00100412">
        <w:rPr>
          <w:rFonts w:ascii="Palatino Linotype" w:hAnsi="Palatino Linotype"/>
          <w:i/>
          <w:sz w:val="22"/>
          <w:szCs w:val="22"/>
          <w:lang w:val="es-ES_tradnl"/>
        </w:rPr>
        <w:lastRenderedPageBreak/>
        <w:t xml:space="preserve">exista adecuación entre los motivos aducidos y las normas aplicables, es decir, que en el caso concreto se configuren las </w:t>
      </w:r>
      <w:proofErr w:type="spellStart"/>
      <w:r w:rsidRPr="00100412">
        <w:rPr>
          <w:rFonts w:ascii="Palatino Linotype" w:hAnsi="Palatino Linotype"/>
          <w:i/>
          <w:sz w:val="22"/>
          <w:szCs w:val="22"/>
          <w:lang w:val="es-ES_tradnl"/>
        </w:rPr>
        <w:t>hipótesis</w:t>
      </w:r>
      <w:proofErr w:type="spellEnd"/>
      <w:r w:rsidRPr="00100412">
        <w:rPr>
          <w:rFonts w:ascii="Palatino Linotype" w:hAnsi="Palatino Linotype"/>
          <w:i/>
          <w:spacing w:val="-2"/>
          <w:sz w:val="22"/>
          <w:szCs w:val="22"/>
          <w:lang w:val="es-ES_tradnl"/>
        </w:rPr>
        <w:t xml:space="preserve"> </w:t>
      </w:r>
      <w:r w:rsidRPr="00100412">
        <w:rPr>
          <w:rFonts w:ascii="Palatino Linotype" w:hAnsi="Palatino Linotype"/>
          <w:i/>
          <w:sz w:val="22"/>
          <w:szCs w:val="22"/>
          <w:lang w:val="es-ES_tradnl"/>
        </w:rPr>
        <w:t>normativas.”</w:t>
      </w:r>
      <w:r w:rsidRPr="00100412">
        <w:rPr>
          <w:rStyle w:val="Refdenotaalpie"/>
          <w:rFonts w:ascii="Palatino Linotype" w:hAnsi="Palatino Linotype"/>
          <w:i/>
          <w:sz w:val="22"/>
          <w:szCs w:val="22"/>
          <w:lang w:val="es-ES_tradnl"/>
        </w:rPr>
        <w:footnoteReference w:id="3"/>
      </w:r>
    </w:p>
    <w:p w:rsidR="00855DA2" w:rsidRPr="00100412" w:rsidRDefault="00855DA2" w:rsidP="00855DA2">
      <w:pPr>
        <w:spacing w:line="276" w:lineRule="auto"/>
        <w:ind w:left="908" w:right="1121"/>
        <w:jc w:val="both"/>
        <w:rPr>
          <w:rFonts w:ascii="Palatino Linotype" w:hAnsi="Palatino Linotype"/>
          <w:i/>
          <w:sz w:val="22"/>
          <w:szCs w:val="22"/>
          <w:lang w:val="es-ES_tradnl"/>
        </w:rPr>
      </w:pPr>
    </w:p>
    <w:p w:rsidR="00855DA2" w:rsidRPr="00100412" w:rsidRDefault="00855DA2" w:rsidP="00032B94">
      <w:pPr>
        <w:pStyle w:val="Ttulo1"/>
        <w:jc w:val="both"/>
        <w:rPr>
          <w:rFonts w:ascii="Palatino Linotype" w:hAnsi="Palatino Linotype"/>
          <w:b/>
          <w:color w:val="000000" w:themeColor="text1"/>
          <w:sz w:val="24"/>
        </w:rPr>
      </w:pPr>
      <w:bookmarkStart w:id="142" w:name="_Toc68821517"/>
      <w:r w:rsidRPr="00100412">
        <w:rPr>
          <w:rFonts w:ascii="Palatino Linotype" w:hAnsi="Palatino Linotype"/>
          <w:b/>
          <w:color w:val="000000" w:themeColor="text1"/>
          <w:sz w:val="24"/>
        </w:rPr>
        <w:t>II. De las causales legamente establecidas de procedencias del recurso de inconformidad establecido en el Ley General de Transparencia y Acceso a la Información Pública</w:t>
      </w:r>
      <w:bookmarkEnd w:id="142"/>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spacing w:line="276" w:lineRule="auto"/>
        <w:ind w:left="900"/>
        <w:jc w:val="both"/>
        <w:rPr>
          <w:rFonts w:ascii="Palatino Linotype" w:hAnsi="Palatino Linotype"/>
          <w:i/>
          <w:lang w:val="es-ES_tradnl"/>
        </w:rPr>
      </w:pPr>
      <w:r w:rsidRPr="00100412">
        <w:rPr>
          <w:rFonts w:ascii="Palatino Linotype" w:hAnsi="Palatino Linotype"/>
          <w:b/>
          <w:i/>
          <w:lang w:val="es-ES_tradnl"/>
        </w:rPr>
        <w:t>“Artículo 6o.</w:t>
      </w:r>
      <w:r w:rsidRPr="00100412">
        <w:rPr>
          <w:rFonts w:ascii="Palatino Linotype" w:hAnsi="Palatino Linotype"/>
          <w:i/>
          <w:lang w:val="es-ES_tradnl"/>
        </w:rPr>
        <w:t xml:space="preserve"> (…) </w:t>
      </w:r>
    </w:p>
    <w:p w:rsidR="00855DA2" w:rsidRPr="00100412" w:rsidRDefault="00855DA2" w:rsidP="00855DA2">
      <w:pPr>
        <w:spacing w:line="276" w:lineRule="auto"/>
        <w:ind w:left="900"/>
        <w:jc w:val="both"/>
        <w:rPr>
          <w:rFonts w:ascii="Palatino Linotype" w:hAnsi="Palatino Linotype"/>
          <w:b/>
          <w:i/>
          <w:lang w:val="es-ES_tradnl"/>
        </w:rPr>
      </w:pPr>
      <w:r w:rsidRPr="00100412">
        <w:rPr>
          <w:rFonts w:ascii="Palatino Linotype" w:hAnsi="Palatino Linotype"/>
          <w:b/>
          <w:i/>
          <w:lang w:val="es-ES_tradnl"/>
        </w:rPr>
        <w:t xml:space="preserve">A. (...) </w:t>
      </w:r>
    </w:p>
    <w:p w:rsidR="00855DA2" w:rsidRPr="00100412" w:rsidRDefault="00855DA2" w:rsidP="00855DA2">
      <w:pPr>
        <w:spacing w:line="276" w:lineRule="auto"/>
        <w:ind w:left="900"/>
        <w:jc w:val="both"/>
        <w:rPr>
          <w:rFonts w:ascii="Palatino Linotype" w:hAnsi="Palatino Linotype"/>
          <w:i/>
          <w:lang w:val="es-ES_tradnl"/>
        </w:rPr>
      </w:pPr>
      <w:r w:rsidRPr="00100412">
        <w:rPr>
          <w:rFonts w:ascii="Palatino Linotype" w:hAnsi="Palatino Linotype"/>
          <w:b/>
          <w:i/>
          <w:lang w:val="es-ES_tradnl"/>
        </w:rPr>
        <w:t>VIII.-</w:t>
      </w:r>
      <w:r w:rsidRPr="00100412">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100412">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Federal que </w:t>
      </w:r>
      <w:r w:rsidRPr="00100412">
        <w:rPr>
          <w:rFonts w:ascii="Palatino Linotype" w:hAnsi="Palatino Linotype"/>
          <w:b/>
          <w:i/>
          <w:lang w:val="es-ES_tradnl"/>
        </w:rPr>
        <w:lastRenderedPageBreak/>
        <w:t>determinen la reserva, confidencialidad, inexistencia o negativa de la información, en los términos que establezca la ley.</w:t>
      </w:r>
      <w:r w:rsidRPr="00100412">
        <w:rPr>
          <w:rFonts w:ascii="Palatino Linotype" w:hAnsi="Palatino Linotype"/>
          <w:i/>
          <w:lang w:val="es-ES_tradnl"/>
        </w:rPr>
        <w:t xml:space="preserve">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causales para interponer un recurso de inconformidad ante el INAI.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El artículo 160 de la Ley General de Transparencia y Acceso a la Información Pública establece:</w:t>
      </w:r>
    </w:p>
    <w:p w:rsidR="00855DA2" w:rsidRPr="00100412" w:rsidRDefault="00855DA2" w:rsidP="00855DA2">
      <w:pPr>
        <w:spacing w:line="276" w:lineRule="auto"/>
        <w:ind w:left="810"/>
        <w:jc w:val="both"/>
        <w:rPr>
          <w:rFonts w:ascii="Palatino Linotype" w:hAnsi="Palatino Linotype"/>
          <w:i/>
          <w:lang w:val="es-ES_tradnl"/>
        </w:rPr>
      </w:pPr>
      <w:r w:rsidRPr="00100412">
        <w:rPr>
          <w:rFonts w:ascii="Palatino Linotype" w:hAnsi="Palatino Linotype"/>
          <w:b/>
          <w:i/>
          <w:lang w:val="es-ES_tradnl"/>
        </w:rPr>
        <w:t>Artículo 160.</w:t>
      </w:r>
      <w:r w:rsidRPr="00100412">
        <w:rPr>
          <w:rFonts w:ascii="Palatino Linotype" w:hAnsi="Palatino Linotype"/>
          <w:i/>
          <w:lang w:val="es-ES_tradnl"/>
        </w:rPr>
        <w:t xml:space="preserve"> El recurso de inconformidad procede contra las resoluciones emitidas por los Organismos garantes de las Entidades Federativas que</w:t>
      </w:r>
    </w:p>
    <w:p w:rsidR="00855DA2" w:rsidRPr="00100412" w:rsidRDefault="00855DA2" w:rsidP="00855DA2">
      <w:pPr>
        <w:spacing w:line="276" w:lineRule="auto"/>
        <w:ind w:left="810"/>
        <w:jc w:val="both"/>
        <w:rPr>
          <w:rFonts w:ascii="Palatino Linotype" w:hAnsi="Palatino Linotype"/>
          <w:i/>
          <w:lang w:val="es-ES_tradnl"/>
        </w:rPr>
      </w:pPr>
    </w:p>
    <w:p w:rsidR="00855DA2" w:rsidRPr="00100412" w:rsidRDefault="00855DA2" w:rsidP="00855DA2">
      <w:pPr>
        <w:spacing w:line="276" w:lineRule="auto"/>
        <w:ind w:left="810"/>
        <w:jc w:val="both"/>
        <w:rPr>
          <w:rFonts w:ascii="Palatino Linotype" w:hAnsi="Palatino Linotype"/>
          <w:i/>
          <w:lang w:val="es-ES_tradnl"/>
        </w:rPr>
      </w:pPr>
      <w:r w:rsidRPr="00100412">
        <w:rPr>
          <w:rFonts w:ascii="Palatino Linotype" w:hAnsi="Palatino Linotype"/>
          <w:i/>
          <w:lang w:val="es-ES_tradnl"/>
        </w:rPr>
        <w:t xml:space="preserve">I. Confirmen o modifiquen la clasificación de la información, o </w:t>
      </w:r>
    </w:p>
    <w:p w:rsidR="00855DA2" w:rsidRPr="00100412" w:rsidRDefault="00855DA2" w:rsidP="00855DA2">
      <w:pPr>
        <w:spacing w:line="276" w:lineRule="auto"/>
        <w:ind w:left="810"/>
        <w:jc w:val="both"/>
        <w:rPr>
          <w:rFonts w:ascii="Palatino Linotype" w:hAnsi="Palatino Linotype"/>
          <w:i/>
          <w:lang w:val="es-ES_tradnl"/>
        </w:rPr>
      </w:pPr>
      <w:r w:rsidRPr="00100412">
        <w:rPr>
          <w:rFonts w:ascii="Palatino Linotype" w:hAnsi="Palatino Linotype"/>
          <w:i/>
          <w:lang w:val="es-ES_tradnl"/>
        </w:rPr>
        <w:t xml:space="preserve">II. Confirmen la inexistencia o negativa de información. </w:t>
      </w:r>
    </w:p>
    <w:p w:rsidR="00855DA2" w:rsidRPr="00100412" w:rsidRDefault="00855DA2" w:rsidP="00855DA2">
      <w:pPr>
        <w:spacing w:line="276" w:lineRule="auto"/>
        <w:ind w:left="810"/>
        <w:jc w:val="both"/>
        <w:rPr>
          <w:rFonts w:ascii="Palatino Linotype" w:hAnsi="Palatino Linotype"/>
          <w:i/>
          <w:lang w:val="es-ES_tradnl"/>
        </w:rPr>
      </w:pPr>
    </w:p>
    <w:p w:rsidR="00855DA2" w:rsidRPr="00100412" w:rsidRDefault="00855DA2" w:rsidP="00855DA2">
      <w:pPr>
        <w:spacing w:line="276" w:lineRule="auto"/>
        <w:ind w:left="810"/>
        <w:jc w:val="both"/>
        <w:rPr>
          <w:rFonts w:ascii="Palatino Linotype" w:hAnsi="Palatino Linotype"/>
          <w:i/>
          <w:lang w:val="es-ES_tradnl"/>
        </w:rPr>
      </w:pPr>
      <w:r w:rsidRPr="00100412">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La interpretación conforme del precepto constitucional y legal, permite deducir que hay un catálogo cerrado de causales de procedencia. La selección que </w:t>
      </w:r>
      <w:r w:rsidRPr="00100412">
        <w:rPr>
          <w:rFonts w:ascii="Palatino Linotype" w:hAnsi="Palatino Linotype"/>
          <w:lang w:val="es-ES_tradnl"/>
        </w:rPr>
        <w:lastRenderedPageBreak/>
        <w:t>formula el poder revisor de la constitución manifiesta clara e indubitablemente que no se consideró una facultad completa y total del órgano revisor para conocer, vía recurso de inconformidad, todos los recursos de revisión dictados por los órganos garantes locales.</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En ese mismo sentido, el legislador ordinario, al emitir la ley general, abundó en la certeza jurídica al establecer una definición precisa, clara, indubitable de lo que debe entenderse, por negativa. 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r w:rsidR="00F91DB5" w:rsidRPr="00100412">
        <w:rPr>
          <w:rFonts w:ascii="Palatino Linotype" w:hAnsi="Palatino Linotype"/>
          <w:lang w:val="es-ES_tradnl"/>
        </w:rPr>
        <w:t>artículo</w:t>
      </w:r>
      <w:r w:rsidRPr="00100412">
        <w:rPr>
          <w:rFonts w:ascii="Palatino Linotype" w:hAnsi="Palatino Linotype"/>
          <w:lang w:val="es-ES_tradnl"/>
        </w:rPr>
        <w:t xml:space="preserve"> 160 del ordenamiento legal en cita.</w:t>
      </w:r>
    </w:p>
    <w:p w:rsidR="00855DA2" w:rsidRPr="00100412" w:rsidRDefault="00855DA2" w:rsidP="00855DA2">
      <w:pPr>
        <w:pStyle w:val="Prrafodelista"/>
        <w:tabs>
          <w:tab w:val="left" w:pos="0"/>
        </w:tabs>
        <w:spacing w:line="360" w:lineRule="auto"/>
        <w:ind w:left="0" w:right="49"/>
        <w:jc w:val="both"/>
        <w:rPr>
          <w:rFonts w:ascii="Palatino Linotype" w:hAnsi="Palatino Linotype"/>
          <w:i/>
          <w:lang w:val="es-ES_tradnl"/>
        </w:rPr>
      </w:pPr>
    </w:p>
    <w:p w:rsidR="00855DA2" w:rsidRPr="00100412" w:rsidRDefault="00855DA2" w:rsidP="00855DA2">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100412">
        <w:rPr>
          <w:rFonts w:ascii="Palatino Linotype" w:hAnsi="Palatino Linotype"/>
          <w:b/>
          <w:lang w:val="es-ES_tradnl"/>
        </w:rPr>
        <w:t xml:space="preserve"> Confirmen o modifiquen la clasificación de la información, o </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El artículo 179 fracción II de la Ley de Transparencia y Acceso a la Información del Estado de México y Municipios establece que el recurso de revisión procede en contra de la clasificación de la información, la cual consiste en </w:t>
      </w:r>
      <w:r w:rsidRPr="00100412">
        <w:rPr>
          <w:rFonts w:ascii="Palatino Linotype" w:eastAsiaTheme="minorHAnsi" w:hAnsi="Palatino Linotype"/>
          <w:lang w:val="es-ES_tradnl" w:eastAsia="en-US"/>
        </w:rPr>
        <w:t>la restricción temporal (por</w:t>
      </w:r>
      <w:r w:rsidRPr="00100412">
        <w:rPr>
          <w:rFonts w:ascii="Palatino Linotype" w:hAnsi="Palatino Linotype"/>
          <w:lang w:val="es-ES_tradnl"/>
        </w:rPr>
        <w:t xml:space="preserve"> </w:t>
      </w:r>
      <w:r w:rsidRPr="00100412">
        <w:rPr>
          <w:rFonts w:ascii="Palatino Linotype" w:eastAsiaTheme="minorHAnsi" w:hAnsi="Palatino Linotype"/>
          <w:lang w:val="es-ES_tradnl" w:eastAsia="en-US"/>
        </w:rPr>
        <w:t xml:space="preserve">reserva), o permanente (por confidencialidad), del ejercicio del derecho de acceso a la información, </w:t>
      </w:r>
      <w:r w:rsidRPr="00100412">
        <w:rPr>
          <w:rFonts w:ascii="Palatino Linotype" w:hAnsi="Palatino Linotype"/>
          <w:lang w:val="es-ES_tradnl"/>
        </w:rPr>
        <w:t xml:space="preserve">ya sea </w:t>
      </w:r>
      <w:r w:rsidRPr="00100412">
        <w:rPr>
          <w:rFonts w:ascii="Palatino Linotype" w:eastAsiaTheme="minorHAnsi" w:hAnsi="Palatino Linotype"/>
          <w:lang w:val="es-ES_tradnl" w:eastAsia="en-US"/>
        </w:rPr>
        <w:t xml:space="preserve">como consecuencia de un acto formal pero inválido, cuando las autoridades han seguido el procedimiento </w:t>
      </w:r>
      <w:r w:rsidRPr="00100412">
        <w:rPr>
          <w:rFonts w:ascii="Palatino Linotype" w:eastAsiaTheme="minorHAnsi" w:hAnsi="Palatino Linotype"/>
          <w:lang w:val="es-ES_tradnl" w:eastAsia="en-US"/>
        </w:rPr>
        <w:lastRenderedPageBreak/>
        <w:t>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100412">
        <w:rPr>
          <w:rFonts w:ascii="Palatino Linotype" w:hAnsi="Palatino Linotype"/>
          <w:lang w:val="es-ES_tradnl"/>
        </w:rPr>
        <w:t xml:space="preserve"> </w:t>
      </w:r>
      <w:r w:rsidRPr="00100412">
        <w:rPr>
          <w:rFonts w:ascii="Palatino Linotype" w:eastAsiaTheme="minorHAnsi" w:hAnsi="Palatino Linotype"/>
          <w:lang w:val="es-ES_tradnl" w:eastAsia="en-US"/>
        </w:rPr>
        <w:t>ordenar la entrega de la información, o reponer el acuerdo de clasificación con una</w:t>
      </w:r>
      <w:r w:rsidRPr="00100412">
        <w:rPr>
          <w:rFonts w:ascii="Palatino Linotype" w:hAnsi="Palatino Linotype"/>
          <w:lang w:val="es-ES_tradnl"/>
        </w:rPr>
        <w:t xml:space="preserve"> </w:t>
      </w:r>
      <w:r w:rsidRPr="00100412">
        <w:rPr>
          <w:rFonts w:ascii="Palatino Linotype" w:eastAsiaTheme="minorHAnsi" w:hAnsi="Palatino Linotype"/>
          <w:lang w:val="es-ES_tradnl" w:eastAsia="en-US"/>
        </w:rPr>
        <w:t>justificación adecuada; aunque también en este supuesto podríamos estar frente a</w:t>
      </w:r>
      <w:r w:rsidRPr="00100412">
        <w:rPr>
          <w:rFonts w:ascii="Palatino Linotype" w:hAnsi="Palatino Linotype"/>
          <w:lang w:val="es-ES_tradnl"/>
        </w:rPr>
        <w:t xml:space="preserve"> </w:t>
      </w:r>
      <w:r w:rsidRPr="00100412">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100412">
        <w:rPr>
          <w:rFonts w:ascii="Palatino Linotype" w:hAnsi="Palatino Linotype"/>
          <w:lang w:val="es-ES_tradnl"/>
        </w:rPr>
        <w:t xml:space="preserve"> </w:t>
      </w:r>
      <w:r w:rsidRPr="00100412">
        <w:rPr>
          <w:rFonts w:ascii="Palatino Linotype" w:eastAsiaTheme="minorHAnsi" w:hAnsi="Palatino Linotype"/>
          <w:lang w:val="es-ES_tradnl" w:eastAsia="en-US"/>
        </w:rPr>
        <w:t>la responsabilidad correspondiente a los funcionarios involucrados.</w:t>
      </w:r>
    </w:p>
    <w:p w:rsidR="00855DA2" w:rsidRPr="00100412" w:rsidRDefault="00855DA2" w:rsidP="00855DA2">
      <w:pPr>
        <w:tabs>
          <w:tab w:val="left" w:pos="0"/>
        </w:tabs>
        <w:spacing w:line="360" w:lineRule="auto"/>
        <w:ind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En ese tenor, el legislador previó que en los casos en los cuales los órganos garantes confirmen o </w:t>
      </w:r>
      <w:proofErr w:type="gramStart"/>
      <w:r w:rsidRPr="00100412">
        <w:rPr>
          <w:rFonts w:ascii="Palatino Linotype" w:hAnsi="Palatino Linotype"/>
          <w:lang w:val="es-ES_tradnl"/>
        </w:rPr>
        <w:t>modifiquen  la</w:t>
      </w:r>
      <w:proofErr w:type="gramEnd"/>
      <w:r w:rsidRPr="00100412">
        <w:rPr>
          <w:rFonts w:ascii="Palatino Linotype" w:hAnsi="Palatino Linotype"/>
          <w:lang w:val="es-ES_tradnl"/>
        </w:rPr>
        <w:t xml:space="preserve"> clasificación de la información, procede el recurso de inconformidad ante el Instituto Nacional de Transparencia, Acceso a la Información Pública y Protección de Datos Personales.</w:t>
      </w:r>
    </w:p>
    <w:p w:rsidR="00855DA2" w:rsidRPr="00100412" w:rsidRDefault="00855DA2" w:rsidP="00855DA2">
      <w:pPr>
        <w:tabs>
          <w:tab w:val="left" w:pos="0"/>
        </w:tabs>
        <w:spacing w:line="360" w:lineRule="auto"/>
        <w:ind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Ahora bien, el Diccionario de la Real Academia de la Lengua Española define “confirmar”, </w:t>
      </w:r>
      <w:r w:rsidRPr="00100412">
        <w:rPr>
          <w:rFonts w:ascii="Palatino Linotype" w:hAnsi="Palatino Linotype"/>
          <w:i/>
          <w:lang w:val="es-ES_tradnl"/>
        </w:rPr>
        <w:t>“</w:t>
      </w:r>
      <w:r w:rsidRPr="00100412">
        <w:rPr>
          <w:rFonts w:ascii="Palatino Linotype" w:eastAsia="Arial Unicode MS" w:hAnsi="Palatino Linotype" w:cs="Arial Unicode MS"/>
          <w:i/>
          <w:spacing w:val="4"/>
          <w:lang w:val="es-ES_tradnl"/>
        </w:rPr>
        <w:t xml:space="preserve">Del lat. </w:t>
      </w:r>
      <w:proofErr w:type="spellStart"/>
      <w:r w:rsidRPr="00100412">
        <w:rPr>
          <w:rFonts w:ascii="Palatino Linotype" w:eastAsia="Arial Unicode MS" w:hAnsi="Palatino Linotype" w:cs="Arial Unicode MS"/>
          <w:i/>
          <w:iCs/>
          <w:spacing w:val="4"/>
          <w:lang w:val="es-ES_tradnl"/>
        </w:rPr>
        <w:t>confirmāre</w:t>
      </w:r>
      <w:proofErr w:type="spellEnd"/>
      <w:r w:rsidRPr="00100412">
        <w:rPr>
          <w:rFonts w:ascii="Palatino Linotype" w:eastAsia="Arial Unicode MS" w:hAnsi="Palatino Linotype" w:cs="Arial Unicode MS"/>
          <w:i/>
          <w:iCs/>
          <w:spacing w:val="4"/>
          <w:lang w:val="es-ES_tradnl"/>
        </w:rPr>
        <w:t>.</w:t>
      </w:r>
      <w:r w:rsidRPr="00100412">
        <w:rPr>
          <w:rFonts w:ascii="Palatino Linotype" w:hAnsi="Palatino Linotype"/>
          <w:i/>
          <w:lang w:val="es-ES_tradnl"/>
        </w:rPr>
        <w:t xml:space="preserve"> </w:t>
      </w:r>
      <w:r w:rsidRPr="00100412">
        <w:rPr>
          <w:rFonts w:ascii="Palatino Linotype" w:eastAsia="Arial Unicode MS" w:hAnsi="Palatino Linotype" w:cs="Arial Unicode MS"/>
          <w:b/>
          <w:bCs/>
          <w:i/>
          <w:spacing w:val="4"/>
          <w:lang w:val="es-ES_tradnl"/>
        </w:rPr>
        <w:t xml:space="preserve">1. </w:t>
      </w:r>
      <w:proofErr w:type="spellStart"/>
      <w:r w:rsidRPr="00100412">
        <w:rPr>
          <w:rFonts w:ascii="Palatino Linotype" w:eastAsia="Arial Unicode MS" w:hAnsi="Palatino Linotype" w:cs="Arial Unicode MS"/>
          <w:i/>
          <w:spacing w:val="4"/>
          <w:lang w:val="es-ES_tradnl"/>
        </w:rPr>
        <w:t>tr</w:t>
      </w:r>
      <w:proofErr w:type="spellEnd"/>
      <w:r w:rsidRPr="00100412">
        <w:rPr>
          <w:rFonts w:ascii="Palatino Linotype" w:eastAsia="Arial Unicode MS" w:hAnsi="Palatino Linotype" w:cs="Arial Unicode MS"/>
          <w:i/>
          <w:spacing w:val="4"/>
          <w:lang w:val="es-ES_tradnl"/>
        </w:rPr>
        <w:t xml:space="preserve">. Corroborar la verdad, certeza o el grado de probabilidad de algo. </w:t>
      </w:r>
      <w:r w:rsidRPr="00100412">
        <w:rPr>
          <w:rFonts w:ascii="Palatino Linotype" w:eastAsia="Arial Unicode MS" w:hAnsi="Palatino Linotype" w:cs="Arial Unicode MS"/>
          <w:b/>
          <w:bCs/>
          <w:i/>
          <w:spacing w:val="4"/>
          <w:lang w:val="es-ES_tradnl"/>
        </w:rPr>
        <w:t xml:space="preserve">2. </w:t>
      </w:r>
      <w:proofErr w:type="spellStart"/>
      <w:r w:rsidRPr="00100412">
        <w:rPr>
          <w:rFonts w:ascii="Palatino Linotype" w:eastAsia="Arial Unicode MS" w:hAnsi="Palatino Linotype" w:cs="Arial Unicode MS"/>
          <w:i/>
          <w:spacing w:val="4"/>
          <w:lang w:val="es-ES_tradnl"/>
        </w:rPr>
        <w:t>tr</w:t>
      </w:r>
      <w:proofErr w:type="spellEnd"/>
      <w:r w:rsidRPr="00100412">
        <w:rPr>
          <w:rFonts w:ascii="Palatino Linotype" w:eastAsia="Arial Unicode MS" w:hAnsi="Palatino Linotype" w:cs="Arial Unicode MS"/>
          <w:i/>
          <w:spacing w:val="4"/>
          <w:lang w:val="es-ES_tradnl"/>
        </w:rPr>
        <w:t>. Revalidar lo ya aprobado.</w:t>
      </w:r>
      <w:r w:rsidRPr="00100412">
        <w:rPr>
          <w:rFonts w:ascii="Palatino Linotype" w:hAnsi="Palatino Linotype"/>
          <w:i/>
          <w:lang w:val="es-ES_tradnl"/>
        </w:rPr>
        <w:t xml:space="preserve"> </w:t>
      </w:r>
      <w:r w:rsidRPr="00100412">
        <w:rPr>
          <w:rFonts w:ascii="Palatino Linotype" w:eastAsia="Arial Unicode MS" w:hAnsi="Palatino Linotype" w:cs="Arial Unicode MS"/>
          <w:b/>
          <w:bCs/>
          <w:i/>
          <w:spacing w:val="4"/>
          <w:lang w:val="es-ES_tradnl"/>
        </w:rPr>
        <w:t xml:space="preserve">3. </w:t>
      </w:r>
      <w:proofErr w:type="spellStart"/>
      <w:r w:rsidRPr="00100412">
        <w:rPr>
          <w:rFonts w:ascii="Palatino Linotype" w:eastAsia="Arial Unicode MS" w:hAnsi="Palatino Linotype" w:cs="Arial Unicode MS"/>
          <w:i/>
          <w:spacing w:val="4"/>
          <w:lang w:val="es-ES_tradnl"/>
        </w:rPr>
        <w:t>tr</w:t>
      </w:r>
      <w:proofErr w:type="spellEnd"/>
      <w:r w:rsidRPr="00100412">
        <w:rPr>
          <w:rFonts w:ascii="Palatino Linotype" w:eastAsia="Arial Unicode MS" w:hAnsi="Palatino Linotype" w:cs="Arial Unicode MS"/>
          <w:i/>
          <w:spacing w:val="4"/>
          <w:lang w:val="es-ES_tradnl"/>
        </w:rPr>
        <w:t>. Asegurar, dar a alguien o algo mayor firmeza o seguridad.”</w:t>
      </w:r>
      <w:r w:rsidRPr="00100412">
        <w:rPr>
          <w:rFonts w:ascii="Palatino Linotype" w:eastAsia="Arial Unicode MS" w:hAnsi="Palatino Linotype" w:cs="Arial Unicode MS"/>
          <w:spacing w:val="4"/>
          <w:lang w:val="es-ES_tradnl"/>
        </w:rPr>
        <w:t xml:space="preserve"> </w:t>
      </w:r>
      <w:r w:rsidRPr="00100412">
        <w:rPr>
          <w:rStyle w:val="Refdenotaalpie"/>
          <w:rFonts w:ascii="Palatino Linotype" w:eastAsia="Arial Unicode MS" w:hAnsi="Palatino Linotype" w:cs="Arial Unicode MS"/>
          <w:spacing w:val="4"/>
          <w:lang w:val="es-ES_tradnl"/>
        </w:rPr>
        <w:footnoteReference w:id="4"/>
      </w:r>
      <w:r w:rsidRPr="00100412">
        <w:rPr>
          <w:rFonts w:ascii="Palatino Linotype" w:hAnsi="Palatino Linotype"/>
          <w:lang w:val="es-ES_tradnl"/>
        </w:rPr>
        <w:t xml:space="preserve">Así mismo define “modificar”, </w:t>
      </w:r>
      <w:r w:rsidRPr="00100412">
        <w:rPr>
          <w:rFonts w:ascii="Palatino Linotype" w:hAnsi="Palatino Linotype"/>
          <w:i/>
          <w:lang w:val="es-ES_tradnl"/>
        </w:rPr>
        <w:t>“</w:t>
      </w:r>
      <w:r w:rsidRPr="00100412">
        <w:rPr>
          <w:rFonts w:ascii="Palatino Linotype" w:eastAsia="Arial Unicode MS" w:hAnsi="Palatino Linotype" w:cs="Arial Unicode MS"/>
          <w:i/>
          <w:spacing w:val="4"/>
          <w:lang w:val="es-ES_tradnl"/>
        </w:rPr>
        <w:t xml:space="preserve">Del lat. </w:t>
      </w:r>
      <w:proofErr w:type="spellStart"/>
      <w:r w:rsidRPr="00100412">
        <w:rPr>
          <w:rFonts w:ascii="Palatino Linotype" w:eastAsia="Arial Unicode MS" w:hAnsi="Palatino Linotype" w:cs="Arial Unicode MS"/>
          <w:i/>
          <w:iCs/>
          <w:spacing w:val="4"/>
          <w:lang w:val="es-ES_tradnl"/>
        </w:rPr>
        <w:lastRenderedPageBreak/>
        <w:t>modificāre</w:t>
      </w:r>
      <w:proofErr w:type="spellEnd"/>
      <w:r w:rsidRPr="00100412">
        <w:rPr>
          <w:rFonts w:ascii="Palatino Linotype" w:eastAsia="Arial Unicode MS" w:hAnsi="Palatino Linotype" w:cs="Arial Unicode MS"/>
          <w:i/>
          <w:spacing w:val="4"/>
          <w:lang w:val="es-ES_tradnl"/>
        </w:rPr>
        <w:t xml:space="preserve"> 'regular', 'ordenar', 'moderar'. </w:t>
      </w:r>
      <w:r w:rsidRPr="00100412">
        <w:rPr>
          <w:rFonts w:ascii="Palatino Linotype" w:eastAsia="Arial Unicode MS" w:hAnsi="Palatino Linotype" w:cs="Arial Unicode MS"/>
          <w:b/>
          <w:bCs/>
          <w:i/>
          <w:spacing w:val="4"/>
          <w:lang w:val="es-ES_tradnl"/>
        </w:rPr>
        <w:t xml:space="preserve">1. </w:t>
      </w:r>
      <w:proofErr w:type="spellStart"/>
      <w:r w:rsidRPr="00100412">
        <w:rPr>
          <w:rFonts w:ascii="Palatino Linotype" w:eastAsia="Arial Unicode MS" w:hAnsi="Palatino Linotype" w:cs="Arial Unicode MS"/>
          <w:i/>
          <w:spacing w:val="4"/>
          <w:lang w:val="es-ES_tradnl"/>
        </w:rPr>
        <w:t>tr</w:t>
      </w:r>
      <w:proofErr w:type="spellEnd"/>
      <w:r w:rsidRPr="00100412">
        <w:rPr>
          <w:rFonts w:ascii="Palatino Linotype" w:eastAsia="Arial Unicode MS" w:hAnsi="Palatino Linotype" w:cs="Arial Unicode MS"/>
          <w:i/>
          <w:spacing w:val="4"/>
          <w:lang w:val="es-ES_tradnl"/>
        </w:rPr>
        <w:t xml:space="preserve">. Transformar o cambiar algo mudando alguna de sus características. U. t. c. </w:t>
      </w:r>
      <w:proofErr w:type="spellStart"/>
      <w:r w:rsidRPr="00100412">
        <w:rPr>
          <w:rFonts w:ascii="Palatino Linotype" w:eastAsia="Arial Unicode MS" w:hAnsi="Palatino Linotype" w:cs="Arial Unicode MS"/>
          <w:i/>
          <w:spacing w:val="4"/>
          <w:lang w:val="es-ES_tradnl"/>
        </w:rPr>
        <w:t>prnl</w:t>
      </w:r>
      <w:proofErr w:type="spellEnd"/>
      <w:r w:rsidRPr="00100412">
        <w:rPr>
          <w:rFonts w:ascii="Palatino Linotype" w:eastAsia="Arial Unicode MS" w:hAnsi="Palatino Linotype" w:cs="Arial Unicode MS"/>
          <w:i/>
          <w:spacing w:val="4"/>
          <w:lang w:val="es-ES_tradnl"/>
        </w:rPr>
        <w:t>...”</w:t>
      </w:r>
      <w:r w:rsidRPr="00100412">
        <w:rPr>
          <w:rFonts w:ascii="Palatino Linotype" w:eastAsia="Arial Unicode MS" w:hAnsi="Palatino Linotype" w:cs="Arial Unicode MS"/>
          <w:spacing w:val="4"/>
          <w:lang w:val="es-ES_tradnl"/>
        </w:rPr>
        <w:t xml:space="preserve"> </w:t>
      </w:r>
      <w:r w:rsidRPr="00100412">
        <w:rPr>
          <w:rStyle w:val="Refdenotaalpie"/>
          <w:rFonts w:ascii="Palatino Linotype" w:eastAsia="Arial Unicode MS" w:hAnsi="Palatino Linotype" w:cs="Arial Unicode MS"/>
          <w:spacing w:val="4"/>
          <w:lang w:val="es-ES_tradnl"/>
        </w:rPr>
        <w:footnoteReference w:id="5"/>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De lo anterior, se advierte que la procedencia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tabs>
          <w:tab w:val="left" w:pos="0"/>
        </w:tabs>
        <w:spacing w:line="360" w:lineRule="auto"/>
        <w:ind w:left="630" w:right="49"/>
        <w:jc w:val="both"/>
        <w:rPr>
          <w:rFonts w:ascii="Palatino Linotype" w:hAnsi="Palatino Linotype"/>
          <w:b/>
          <w:lang w:val="es-ES_tradnl"/>
        </w:rPr>
      </w:pPr>
      <w:r w:rsidRPr="00100412">
        <w:rPr>
          <w:rFonts w:ascii="Palatino Linotype" w:hAnsi="Palatino Linotype"/>
          <w:b/>
          <w:lang w:val="es-ES_tradnl"/>
        </w:rPr>
        <w:t>b) Confirmen la inexistencia o negativa de información</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El artículo 179 fracción IV de la Ley de Transparencia y Acceso a la Información Pública del Estado de México y Municipios prevé que en contra de la declaración de inexistencia de la información, </w:t>
      </w:r>
      <w:r w:rsidRPr="00100412">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w:t>
      </w:r>
      <w:r w:rsidRPr="00100412">
        <w:rPr>
          <w:rFonts w:ascii="Palatino Linotype" w:eastAsiaTheme="minorHAnsi" w:hAnsi="Palatino Linotype"/>
          <w:lang w:val="es-ES_tradnl" w:eastAsia="en-US"/>
        </w:rPr>
        <w:lastRenderedPageBreak/>
        <w:t>la facultad, competencia o función se ejerció, se documentó en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documentó, pero la información se sustrajo del archivo público por el servidor público que la generó o por cualquier otro.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De lo anterior, se advierte que la procedencia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párrafo anterior. </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Ahora bien, 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Pr="00100412">
        <w:rPr>
          <w:rFonts w:ascii="Palatino Linotype" w:hAnsi="Palatino Linotype"/>
          <w:b/>
          <w:lang w:val="es-ES_tradnl"/>
        </w:rPr>
        <w:t>niega o limita el acceso a información solicitada.</w:t>
      </w:r>
      <w:r w:rsidRPr="00100412">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w:t>
      </w:r>
      <w:r w:rsidRPr="00100412">
        <w:rPr>
          <w:rFonts w:ascii="Palatino Linotype" w:hAnsi="Palatino Linotype"/>
          <w:lang w:val="es-ES_tradnl"/>
        </w:rPr>
        <w:lastRenderedPageBreak/>
        <w:t xml:space="preserve">información como confidencial o reservada; si </w:t>
      </w:r>
      <w:proofErr w:type="gramStart"/>
      <w:r w:rsidRPr="00100412">
        <w:rPr>
          <w:rFonts w:ascii="Palatino Linotype" w:hAnsi="Palatino Linotype"/>
          <w:lang w:val="es-ES_tradnl"/>
        </w:rPr>
        <w:t>alguna de estas razones son</w:t>
      </w:r>
      <w:proofErr w:type="gramEnd"/>
      <w:r w:rsidRPr="00100412">
        <w:rPr>
          <w:rFonts w:ascii="Palatino Linotype" w:hAnsi="Palatino Linotype"/>
          <w:lang w:val="es-ES_tradnl"/>
        </w:rPr>
        <w:t xml:space="preserve"> consideradas como insuficientes por el solicitante podrá interponer el recurso de revisión ante el órgano garante.</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100412">
        <w:rPr>
          <w:rFonts w:ascii="Palatino Linotype" w:hAnsi="Palatino Linotype"/>
          <w:lang w:val="es-ES_tradnl"/>
        </w:rPr>
        <w:t xml:space="preserve">El Diccionario de la Lengua Española de la Real Academia Española, nos proporciona varias definiciones de “negar”: </w:t>
      </w:r>
      <w:r w:rsidRPr="00100412">
        <w:rPr>
          <w:rFonts w:ascii="Palatino Linotype" w:hAnsi="Palatino Linotype"/>
          <w:i/>
          <w:lang w:val="es-ES_tradnl"/>
        </w:rPr>
        <w:t>“</w:t>
      </w:r>
      <w:r w:rsidRPr="00100412">
        <w:rPr>
          <w:rFonts w:ascii="Palatino Linotype" w:eastAsia="Arial Unicode MS" w:hAnsi="Palatino Linotype"/>
          <w:i/>
          <w:lang w:val="es-ES_tradnl"/>
        </w:rPr>
        <w:t xml:space="preserve">Del </w:t>
      </w:r>
      <w:proofErr w:type="spellStart"/>
      <w:proofErr w:type="gramStart"/>
      <w:r w:rsidRPr="00100412">
        <w:rPr>
          <w:rFonts w:ascii="Palatino Linotype" w:eastAsia="Arial Unicode MS" w:hAnsi="Palatino Linotype"/>
          <w:i/>
          <w:lang w:val="es-ES_tradnl"/>
        </w:rPr>
        <w:t>lat.negāre</w:t>
      </w:r>
      <w:proofErr w:type="spellEnd"/>
      <w:proofErr w:type="gramEnd"/>
      <w:r w:rsidRPr="00100412">
        <w:rPr>
          <w:rFonts w:ascii="Palatino Linotype" w:eastAsia="Arial Unicode MS" w:hAnsi="Palatino Linotype"/>
          <w:i/>
          <w:lang w:val="es-ES_tradnl"/>
        </w:rPr>
        <w:t xml:space="preserve">. 1. </w:t>
      </w:r>
      <w:proofErr w:type="spellStart"/>
      <w:r w:rsidRPr="00100412">
        <w:rPr>
          <w:rFonts w:ascii="Palatino Linotype" w:eastAsia="Arial Unicode MS" w:hAnsi="Palatino Linotype"/>
          <w:i/>
          <w:lang w:val="es-ES_tradnl"/>
        </w:rPr>
        <w:t>tr</w:t>
      </w:r>
      <w:proofErr w:type="spellEnd"/>
      <w:r w:rsidRPr="00100412">
        <w:rPr>
          <w:rFonts w:ascii="Palatino Linotype" w:eastAsia="Arial Unicode MS" w:hAnsi="Palatino Linotype"/>
          <w:i/>
          <w:lang w:val="es-ES_tradnl"/>
        </w:rPr>
        <w:t xml:space="preserve">. Decir que algo no existe, no es verdad o no es como alguien creo </w:t>
      </w:r>
      <w:proofErr w:type="gramStart"/>
      <w:r w:rsidRPr="00100412">
        <w:rPr>
          <w:rFonts w:ascii="Palatino Linotype" w:eastAsia="Arial Unicode MS" w:hAnsi="Palatino Linotype"/>
          <w:i/>
          <w:lang w:val="es-ES_tradnl"/>
        </w:rPr>
        <w:t>afirma;  2</w:t>
      </w:r>
      <w:proofErr w:type="gramEnd"/>
      <w:r w:rsidRPr="00100412">
        <w:rPr>
          <w:rFonts w:ascii="Palatino Linotype" w:eastAsia="Arial Unicode MS" w:hAnsi="Palatino Linotype"/>
          <w:i/>
          <w:lang w:val="es-ES_tradnl"/>
        </w:rPr>
        <w:t xml:space="preserve">. </w:t>
      </w:r>
      <w:proofErr w:type="spellStart"/>
      <w:r w:rsidRPr="00100412">
        <w:rPr>
          <w:rFonts w:ascii="Palatino Linotype" w:eastAsia="Arial Unicode MS" w:hAnsi="Palatino Linotype"/>
          <w:i/>
          <w:lang w:val="es-ES_tradnl"/>
        </w:rPr>
        <w:t>tr</w:t>
      </w:r>
      <w:proofErr w:type="spellEnd"/>
      <w:r w:rsidRPr="00100412">
        <w:rPr>
          <w:rFonts w:ascii="Palatino Linotype" w:eastAsia="Arial Unicode MS" w:hAnsi="Palatino Linotype"/>
          <w:i/>
          <w:lang w:val="es-ES_tradnl"/>
        </w:rPr>
        <w:t xml:space="preserve">. Dejar de reconocer algo, no admitir su existencia; 3. </w:t>
      </w:r>
      <w:proofErr w:type="spellStart"/>
      <w:r w:rsidRPr="00100412">
        <w:rPr>
          <w:rFonts w:ascii="Palatino Linotype" w:eastAsia="Arial Unicode MS" w:hAnsi="Palatino Linotype"/>
          <w:i/>
          <w:lang w:val="es-ES_tradnl"/>
        </w:rPr>
        <w:t>tr</w:t>
      </w:r>
      <w:proofErr w:type="spellEnd"/>
      <w:r w:rsidRPr="00100412">
        <w:rPr>
          <w:rFonts w:ascii="Palatino Linotype" w:eastAsia="Arial Unicode MS" w:hAnsi="Palatino Linotype"/>
          <w:i/>
          <w:lang w:val="es-ES_tradnl"/>
        </w:rPr>
        <w:t xml:space="preserve">. Decir que no a lo que se pretende o se pide, o no concederlo; 4. </w:t>
      </w:r>
      <w:proofErr w:type="spellStart"/>
      <w:r w:rsidRPr="00100412">
        <w:rPr>
          <w:rFonts w:ascii="Palatino Linotype" w:eastAsia="Arial Unicode MS" w:hAnsi="Palatino Linotype"/>
          <w:i/>
          <w:lang w:val="es-ES_tradnl"/>
        </w:rPr>
        <w:t>tr</w:t>
      </w:r>
      <w:proofErr w:type="spellEnd"/>
      <w:r w:rsidRPr="00100412">
        <w:rPr>
          <w:rFonts w:ascii="Palatino Linotype" w:eastAsia="Arial Unicode MS" w:hAnsi="Palatino Linotype"/>
          <w:i/>
          <w:lang w:val="es-ES_tradnl"/>
        </w:rPr>
        <w:t xml:space="preserve">. Prohibir o vedar, impedir o estorbar…” </w:t>
      </w:r>
      <w:r w:rsidRPr="00100412">
        <w:rPr>
          <w:rFonts w:ascii="Palatino Linotype" w:eastAsia="Arial Unicode MS" w:hAnsi="Palatino Linotype"/>
          <w:i/>
          <w:sz w:val="16"/>
          <w:szCs w:val="16"/>
          <w:lang w:val="es-ES_tradnl"/>
        </w:rPr>
        <w:footnoteReference w:id="6"/>
      </w:r>
    </w:p>
    <w:p w:rsidR="00855DA2" w:rsidRPr="00100412" w:rsidRDefault="00855DA2" w:rsidP="00855DA2">
      <w:pPr>
        <w:pStyle w:val="Prrafodelista"/>
        <w:rPr>
          <w:rFonts w:ascii="Palatino Linotype" w:eastAsia="Arial Unicode MS" w:hAnsi="Palatino Linotype"/>
          <w:i/>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100412">
        <w:rPr>
          <w:rFonts w:ascii="Palatino Linotype" w:eastAsia="Arial Unicode MS" w:hAnsi="Palatino Linotype"/>
          <w:lang w:val="es-ES_tradnl"/>
        </w:rPr>
        <w:t xml:space="preserve">De lo anterior podemos concluir que se configura la negativa de la información solicitada cuando el sujeto obligado manifiesta que no existe </w:t>
      </w:r>
      <w:proofErr w:type="gramStart"/>
      <w:r w:rsidRPr="00100412">
        <w:rPr>
          <w:rFonts w:ascii="Palatino Linotype" w:eastAsia="Arial Unicode MS" w:hAnsi="Palatino Linotype"/>
          <w:lang w:val="es-ES_tradnl"/>
        </w:rPr>
        <w:t>la  información</w:t>
      </w:r>
      <w:proofErr w:type="gramEnd"/>
      <w:r w:rsidRPr="00100412">
        <w:rPr>
          <w:rFonts w:ascii="Palatino Linotype" w:eastAsia="Arial Unicode MS" w:hAnsi="Palatino Linotype"/>
          <w:lang w:val="es-ES_tradnl"/>
        </w:rPr>
        <w:t>, que no admite la existencia de la información, decir en su respuesta que no a lo que se le pide o no conceder el acceso a la información, vedar o impedir el acceso a la información sin fundamentación y motivación.</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Pr="00100412">
        <w:rPr>
          <w:rFonts w:ascii="Palatino Linotype" w:hAnsi="Palatino Linotype"/>
          <w:i/>
          <w:lang w:val="es-ES_tradnl"/>
        </w:rPr>
        <w:t xml:space="preserve">Se entenderá como negativa de acceso a la </w:t>
      </w:r>
      <w:r w:rsidRPr="00100412">
        <w:rPr>
          <w:rFonts w:ascii="Palatino Linotype" w:hAnsi="Palatino Linotype"/>
          <w:i/>
          <w:lang w:val="es-ES_tradnl"/>
        </w:rPr>
        <w:lastRenderedPageBreak/>
        <w:t>información la falta de resolución de los Organismos garantes de las Entidades Federativas dentro del plazo previsto para ello.”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De lo anterior se advierte que el legislador estableció que se entenderá como “negativa de la información” para la procedencia del recurso de inconformidad por lo tanto conforme al principio general de derecho que establece que </w:t>
      </w:r>
      <w:r w:rsidRPr="00100412">
        <w:rPr>
          <w:rFonts w:ascii="Palatino Linotype" w:hAnsi="Palatino Linotype" w:cs="Arial"/>
          <w:bCs/>
          <w:shd w:val="clear" w:color="auto" w:fill="FFFFFF"/>
          <w:lang w:val="es-ES_tradnl"/>
        </w:rPr>
        <w:t xml:space="preserve">donde la ley no distingue, no hay porque distinguir, por tanto no debe interpretarse que la negativa de la información se refiere a los supuestos de procedencia </w:t>
      </w:r>
      <w:r w:rsidRPr="00100412">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Pr="00100412">
        <w:rPr>
          <w:rFonts w:ascii="Palatino Linotype" w:hAnsi="Palatino Linotype"/>
          <w:lang w:val="es-ES_tradnl"/>
        </w:rPr>
        <w:t>la negativa de la información debe entenderse como la falta de resolución de los organismos garantes locales dentro del plazo previsto para ello.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 Para el caso que nos ocupa el artículo 181, tercer párrafo de la Ley de Transparencia y Acceso a la Información del Estado de México y Municipios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Luego entonces, procede el recurso de inconformidad cuando el órgano garante local no emita una resolución en el plazo previsto para ello, ya que se advierte que al no resolver sobre el medio de impugnación hecho valer por el particular, confirma la negativa de la información hecha por parte del sujeto </w:t>
      </w:r>
      <w:r w:rsidRPr="00100412">
        <w:rPr>
          <w:rFonts w:ascii="Palatino Linotype" w:hAnsi="Palatino Linotype"/>
          <w:lang w:val="es-ES_tradnl"/>
        </w:rPr>
        <w:lastRenderedPageBreak/>
        <w:t>obligado, en cuyo caso nos encontramos frente a lo que la doctrina define como “afirmativa ficta”.</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En materia administrativa, cuando las peticiones o solicitudes hechas por los particulares no son respondidas o bien, los procedimientos administrativos no se resuelven dentro de los plazos legales establecidos para responder o emitir una resolución, se entiende que hay un silencio administrativo, ante el cual, para dar certidumbre a los particulares, puede configurarse una afirmativa </w:t>
      </w:r>
      <w:hyperlink r:id="rId10" w:tgtFrame="_blank" w:history="1">
        <w:r w:rsidRPr="00100412">
          <w:rPr>
            <w:rStyle w:val="Hipervnculo"/>
            <w:rFonts w:ascii="Palatino Linotype" w:eastAsiaTheme="majorEastAsia" w:hAnsi="Palatino Linotype"/>
            <w:color w:val="auto"/>
            <w:u w:val="none"/>
            <w:lang w:val="es-ES_tradnl"/>
          </w:rPr>
          <w:t>o una negativa ficta</w:t>
        </w:r>
      </w:hyperlink>
      <w:r w:rsidRPr="00100412">
        <w:rPr>
          <w:rFonts w:ascii="Palatino Linotype" w:hAnsi="Palatino Linotype"/>
          <w:lang w:val="es-ES_tradnl"/>
        </w:rPr>
        <w:t>. Existe una afirmativa ficta cuando el silencio de la autoridad da pie a una respuesta afirmativa de la petición; es decir, que la autoridad la concede</w:t>
      </w:r>
      <w:r w:rsidRPr="00100412">
        <w:rPr>
          <w:rFonts w:ascii="Palatino Linotype" w:hAnsi="Palatino Linotype" w:cs="Arial"/>
          <w:color w:val="000000"/>
          <w:lang w:val="es-ES_tradnl"/>
        </w:rPr>
        <w:t>; por el contrario, se dice que hay una negativa ficta cuando el silencio de la autoridad implica una respuesta negativa, dando pie a que quien hizo la petición se defienda en tribunales.</w:t>
      </w:r>
      <w:r w:rsidRPr="00100412">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En el caso que nos ocupa, nos encontramos ante una afirmativa ficta, ya que  el silencio de la autoridad confirma el acto impugnado, ya que al </w:t>
      </w:r>
      <w:r w:rsidRPr="00100412">
        <w:rPr>
          <w:rFonts w:ascii="Palatino Linotype" w:hAnsi="Palatino Linotype" w:cs="Calibri"/>
          <w:color w:val="212529"/>
          <w:shd w:val="clear" w:color="auto" w:fill="FFFFFF"/>
          <w:lang w:val="es-ES_tradnl"/>
        </w:rPr>
        <w:t xml:space="preserve">no emitirse una resolución expresa a un recurso de revisión por parte de los órganos garantes locales, en el plazo legal establecido, se entenderá que se confirmó la determinación administrativa impugnada, es decir  la negativa de información del sujeto obligado, </w:t>
      </w:r>
      <w:r w:rsidRPr="00100412">
        <w:rPr>
          <w:rFonts w:ascii="Palatino Linotype" w:hAnsi="Palatino Linotype" w:cs="Calibri"/>
          <w:color w:val="212529"/>
          <w:shd w:val="clear" w:color="auto" w:fill="FFFFFF"/>
          <w:lang w:val="es-ES_tradnl"/>
        </w:rPr>
        <w:lastRenderedPageBreak/>
        <w:t>por lo que el particular podrá decidir esperar la emisión de la resolución expresa o promover el recurso de inconformidad contra la confirmación ficta.</w:t>
      </w:r>
    </w:p>
    <w:p w:rsidR="00855DA2" w:rsidRPr="00100412" w:rsidRDefault="00855DA2" w:rsidP="00855DA2">
      <w:pPr>
        <w:pStyle w:val="Prrafodelista"/>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cs="Calibri"/>
          <w:color w:val="212529"/>
          <w:shd w:val="clear" w:color="auto" w:fill="FFFFFF"/>
          <w:lang w:val="es-ES_tradnl"/>
        </w:rPr>
        <w:t>Bajo estas consideraciones</w:t>
      </w:r>
      <w:r w:rsidRPr="00100412">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widowControl w:val="0"/>
        <w:numPr>
          <w:ilvl w:val="0"/>
          <w:numId w:val="5"/>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100412">
        <w:rPr>
          <w:rFonts w:ascii="Palatino Linotype" w:hAnsi="Palatino Linotype"/>
          <w:i/>
          <w:sz w:val="22"/>
          <w:szCs w:val="22"/>
          <w:lang w:val="es-ES_tradnl"/>
        </w:rPr>
        <w:t>Cuando se clasifica la información como</w:t>
      </w:r>
      <w:r w:rsidRPr="00100412">
        <w:rPr>
          <w:rFonts w:ascii="Palatino Linotype" w:hAnsi="Palatino Linotype"/>
          <w:i/>
          <w:spacing w:val="-1"/>
          <w:sz w:val="22"/>
          <w:szCs w:val="22"/>
          <w:lang w:val="es-ES_tradnl"/>
        </w:rPr>
        <w:t xml:space="preserve"> </w:t>
      </w:r>
      <w:r w:rsidRPr="00100412">
        <w:rPr>
          <w:rFonts w:ascii="Palatino Linotype" w:hAnsi="Palatino Linotype"/>
          <w:i/>
          <w:sz w:val="22"/>
          <w:szCs w:val="22"/>
          <w:lang w:val="es-ES_tradnl"/>
        </w:rPr>
        <w:t>reservada;</w:t>
      </w:r>
    </w:p>
    <w:p w:rsidR="00855DA2" w:rsidRPr="00100412" w:rsidRDefault="00855DA2" w:rsidP="00855DA2">
      <w:pPr>
        <w:pStyle w:val="Prrafodelista"/>
        <w:widowControl w:val="0"/>
        <w:numPr>
          <w:ilvl w:val="0"/>
          <w:numId w:val="5"/>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100412">
        <w:rPr>
          <w:rFonts w:ascii="Palatino Linotype" w:hAnsi="Palatino Linotype"/>
          <w:i/>
          <w:sz w:val="22"/>
          <w:szCs w:val="22"/>
          <w:lang w:val="es-ES_tradnl"/>
        </w:rPr>
        <w:t>Cuando se clasifica la información como</w:t>
      </w:r>
      <w:r w:rsidRPr="00100412">
        <w:rPr>
          <w:rFonts w:ascii="Palatino Linotype" w:hAnsi="Palatino Linotype"/>
          <w:i/>
          <w:spacing w:val="-15"/>
          <w:sz w:val="22"/>
          <w:szCs w:val="22"/>
          <w:lang w:val="es-ES_tradnl"/>
        </w:rPr>
        <w:t xml:space="preserve"> </w:t>
      </w:r>
      <w:r w:rsidRPr="00100412">
        <w:rPr>
          <w:rFonts w:ascii="Palatino Linotype" w:hAnsi="Palatino Linotype"/>
          <w:i/>
          <w:sz w:val="22"/>
          <w:szCs w:val="22"/>
          <w:lang w:val="es-ES_tradnl"/>
        </w:rPr>
        <w:t>confidencial;</w:t>
      </w:r>
    </w:p>
    <w:p w:rsidR="00855DA2" w:rsidRPr="00100412" w:rsidRDefault="00855DA2" w:rsidP="00855DA2">
      <w:pPr>
        <w:pStyle w:val="Prrafodelista"/>
        <w:widowControl w:val="0"/>
        <w:numPr>
          <w:ilvl w:val="0"/>
          <w:numId w:val="5"/>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100412">
        <w:rPr>
          <w:rFonts w:ascii="Palatino Linotype" w:hAnsi="Palatino Linotype"/>
          <w:i/>
          <w:sz w:val="22"/>
          <w:szCs w:val="22"/>
          <w:lang w:val="es-ES_tradnl"/>
        </w:rPr>
        <w:t>Cuando se declara la inexistencia de la información;</w:t>
      </w:r>
      <w:r w:rsidRPr="00100412">
        <w:rPr>
          <w:rFonts w:ascii="Palatino Linotype" w:hAnsi="Palatino Linotype"/>
          <w:i/>
          <w:spacing w:val="-19"/>
          <w:sz w:val="22"/>
          <w:szCs w:val="22"/>
          <w:lang w:val="es-ES_tradnl"/>
        </w:rPr>
        <w:t xml:space="preserve"> </w:t>
      </w:r>
      <w:r w:rsidRPr="00100412">
        <w:rPr>
          <w:rFonts w:ascii="Palatino Linotype" w:hAnsi="Palatino Linotype"/>
          <w:i/>
          <w:sz w:val="22"/>
          <w:szCs w:val="22"/>
          <w:lang w:val="es-ES_tradnl"/>
        </w:rPr>
        <w:t>y</w:t>
      </w:r>
    </w:p>
    <w:p w:rsidR="00855DA2" w:rsidRPr="00100412" w:rsidRDefault="00855DA2" w:rsidP="00855DA2">
      <w:pPr>
        <w:pStyle w:val="Prrafodelista"/>
        <w:widowControl w:val="0"/>
        <w:numPr>
          <w:ilvl w:val="0"/>
          <w:numId w:val="5"/>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100412">
        <w:rPr>
          <w:rFonts w:ascii="Palatino Linotype" w:hAnsi="Palatino Linotype"/>
          <w:i/>
          <w:sz w:val="22"/>
          <w:szCs w:val="22"/>
          <w:lang w:val="es-ES_tradnl"/>
        </w:rPr>
        <w:t>Cuando existe una negativa de la información, es decir, cuando no existe respuesta por parte de los sujetos obligados o de los organismos</w:t>
      </w:r>
      <w:r w:rsidRPr="00100412">
        <w:rPr>
          <w:rFonts w:ascii="Palatino Linotype" w:hAnsi="Palatino Linotype"/>
          <w:i/>
          <w:spacing w:val="-4"/>
          <w:sz w:val="22"/>
          <w:szCs w:val="22"/>
          <w:lang w:val="es-ES_tradnl"/>
        </w:rPr>
        <w:t xml:space="preserve"> </w:t>
      </w:r>
      <w:r w:rsidRPr="00100412">
        <w:rPr>
          <w:rFonts w:ascii="Palatino Linotype" w:hAnsi="Palatino Linotype"/>
          <w:i/>
          <w:sz w:val="22"/>
          <w:szCs w:val="22"/>
          <w:lang w:val="es-ES_tradnl"/>
        </w:rPr>
        <w:t>garantes.</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Es por ello que se insisten que  en el asunto que nos ocupa no estamos en presencia de alguna de las prácticas</w:t>
      </w:r>
      <w:r w:rsidRPr="00100412">
        <w:rPr>
          <w:rFonts w:ascii="Palatino Linotype" w:hAnsi="Palatino Linotype"/>
          <w:spacing w:val="-11"/>
          <w:lang w:val="es-ES_tradnl"/>
        </w:rPr>
        <w:t xml:space="preserve"> </w:t>
      </w:r>
      <w:r w:rsidRPr="00100412">
        <w:rPr>
          <w:rFonts w:ascii="Palatino Linotype" w:hAnsi="Palatino Linotype"/>
          <w:lang w:val="es-ES_tradnl"/>
        </w:rPr>
        <w:t>antes</w:t>
      </w:r>
      <w:r w:rsidRPr="00100412">
        <w:rPr>
          <w:rFonts w:ascii="Palatino Linotype" w:hAnsi="Palatino Linotype"/>
          <w:spacing w:val="-15"/>
          <w:lang w:val="es-ES_tradnl"/>
        </w:rPr>
        <w:t xml:space="preserve"> </w:t>
      </w:r>
      <w:r w:rsidRPr="00100412">
        <w:rPr>
          <w:rFonts w:ascii="Palatino Linotype" w:hAnsi="Palatino Linotype"/>
          <w:lang w:val="es-ES_tradnl"/>
        </w:rPr>
        <w:t>enlistadas,</w:t>
      </w:r>
      <w:r w:rsidRPr="00100412">
        <w:rPr>
          <w:rFonts w:ascii="Palatino Linotype" w:hAnsi="Palatino Linotype"/>
          <w:spacing w:val="-15"/>
          <w:lang w:val="es-ES_tradnl"/>
        </w:rPr>
        <w:t xml:space="preserve"> </w:t>
      </w:r>
      <w:r w:rsidRPr="00100412">
        <w:rPr>
          <w:rFonts w:ascii="Palatino Linotype" w:hAnsi="Palatino Linotype"/>
          <w:lang w:val="es-ES_tradnl"/>
        </w:rPr>
        <w:t>ya</w:t>
      </w:r>
      <w:r w:rsidRPr="00100412">
        <w:rPr>
          <w:rFonts w:ascii="Palatino Linotype" w:hAnsi="Palatino Linotype"/>
          <w:spacing w:val="-12"/>
          <w:lang w:val="es-ES_tradnl"/>
        </w:rPr>
        <w:t xml:space="preserve"> </w:t>
      </w:r>
      <w:r w:rsidRPr="00100412">
        <w:rPr>
          <w:rFonts w:ascii="Palatino Linotype" w:hAnsi="Palatino Linotype"/>
          <w:lang w:val="es-ES_tradnl"/>
        </w:rPr>
        <w:t>que</w:t>
      </w:r>
      <w:r w:rsidRPr="00100412">
        <w:rPr>
          <w:rFonts w:ascii="Palatino Linotype" w:hAnsi="Palatino Linotype"/>
          <w:spacing w:val="-13"/>
          <w:lang w:val="es-ES_tradnl"/>
        </w:rPr>
        <w:t xml:space="preserve"> </w:t>
      </w:r>
      <w:r w:rsidRPr="00100412">
        <w:rPr>
          <w:rFonts w:ascii="Palatino Linotype" w:hAnsi="Palatino Linotype"/>
          <w:lang w:val="es-ES_tradnl"/>
        </w:rPr>
        <w:t>la</w:t>
      </w:r>
      <w:r w:rsidRPr="00100412">
        <w:rPr>
          <w:rFonts w:ascii="Palatino Linotype" w:hAnsi="Palatino Linotype"/>
          <w:spacing w:val="-17"/>
          <w:lang w:val="es-ES_tradnl"/>
        </w:rPr>
        <w:t xml:space="preserve"> </w:t>
      </w:r>
      <w:r w:rsidRPr="00100412">
        <w:rPr>
          <w:rFonts w:ascii="Palatino Linotype" w:hAnsi="Palatino Linotype"/>
          <w:lang w:val="es-ES_tradnl"/>
        </w:rPr>
        <w:t>respuesta</w:t>
      </w:r>
      <w:r w:rsidRPr="00100412">
        <w:rPr>
          <w:rFonts w:ascii="Palatino Linotype" w:hAnsi="Palatino Linotype"/>
          <w:spacing w:val="-17"/>
          <w:lang w:val="es-ES_tradnl"/>
        </w:rPr>
        <w:t xml:space="preserve"> </w:t>
      </w:r>
      <w:r w:rsidRPr="00100412">
        <w:rPr>
          <w:rFonts w:ascii="Palatino Linotype" w:hAnsi="Palatino Linotype"/>
          <w:lang w:val="es-ES_tradnl"/>
        </w:rPr>
        <w:t>del</w:t>
      </w:r>
      <w:r w:rsidRPr="00100412">
        <w:rPr>
          <w:rFonts w:ascii="Palatino Linotype" w:hAnsi="Palatino Linotype"/>
          <w:spacing w:val="-13"/>
          <w:lang w:val="es-ES_tradnl"/>
        </w:rPr>
        <w:t xml:space="preserve"> </w:t>
      </w:r>
      <w:r w:rsidRPr="00100412">
        <w:rPr>
          <w:rFonts w:ascii="Palatino Linotype" w:hAnsi="Palatino Linotype"/>
          <w:lang w:val="es-ES_tradnl"/>
        </w:rPr>
        <w:t>Sujeto</w:t>
      </w:r>
      <w:r w:rsidRPr="00100412">
        <w:rPr>
          <w:rFonts w:ascii="Palatino Linotype" w:hAnsi="Palatino Linotype"/>
          <w:spacing w:val="-12"/>
          <w:lang w:val="es-ES_tradnl"/>
        </w:rPr>
        <w:t xml:space="preserve"> </w:t>
      </w:r>
      <w:r w:rsidRPr="00100412">
        <w:rPr>
          <w:rFonts w:ascii="Palatino Linotype" w:hAnsi="Palatino Linotype"/>
          <w:lang w:val="es-ES_tradnl"/>
        </w:rPr>
        <w:t>Obligado,</w:t>
      </w:r>
      <w:r w:rsidRPr="00100412">
        <w:rPr>
          <w:rFonts w:ascii="Palatino Linotype" w:hAnsi="Palatino Linotype"/>
          <w:spacing w:val="-10"/>
          <w:lang w:val="es-ES_tradnl"/>
        </w:rPr>
        <w:t xml:space="preserve"> </w:t>
      </w:r>
      <w:r w:rsidRPr="00100412">
        <w:rPr>
          <w:rFonts w:ascii="Palatino Linotype" w:hAnsi="Palatino Linotype"/>
          <w:lang w:val="es-ES_tradnl"/>
        </w:rPr>
        <w:t>en</w:t>
      </w:r>
      <w:r w:rsidRPr="00100412">
        <w:rPr>
          <w:rFonts w:ascii="Palatino Linotype" w:hAnsi="Palatino Linotype"/>
          <w:spacing w:val="-12"/>
          <w:lang w:val="es-ES_tradnl"/>
        </w:rPr>
        <w:t xml:space="preserve"> </w:t>
      </w:r>
      <w:r w:rsidRPr="00100412">
        <w:rPr>
          <w:rFonts w:ascii="Palatino Linotype" w:hAnsi="Palatino Linotype"/>
          <w:lang w:val="es-ES_tradnl"/>
        </w:rPr>
        <w:t>ningún</w:t>
      </w:r>
      <w:r w:rsidRPr="00100412">
        <w:rPr>
          <w:rFonts w:ascii="Palatino Linotype" w:hAnsi="Palatino Linotype"/>
          <w:spacing w:val="-13"/>
          <w:lang w:val="es-ES_tradnl"/>
        </w:rPr>
        <w:t xml:space="preserve"> </w:t>
      </w:r>
      <w:r w:rsidRPr="00100412">
        <w:rPr>
          <w:rFonts w:ascii="Palatino Linotype" w:hAnsi="Palatino Linotype"/>
          <w:lang w:val="es-ES_tradnl"/>
        </w:rPr>
        <w:t>momento clasificó</w:t>
      </w:r>
      <w:r w:rsidRPr="00100412">
        <w:rPr>
          <w:rFonts w:ascii="Palatino Linotype" w:hAnsi="Palatino Linotype"/>
          <w:spacing w:val="-7"/>
          <w:lang w:val="es-ES_tradnl"/>
        </w:rPr>
        <w:t xml:space="preserve"> </w:t>
      </w:r>
      <w:r w:rsidRPr="00100412">
        <w:rPr>
          <w:rFonts w:ascii="Palatino Linotype" w:hAnsi="Palatino Linotype"/>
          <w:lang w:val="es-ES_tradnl"/>
        </w:rPr>
        <w:t>la</w:t>
      </w:r>
      <w:r w:rsidRPr="00100412">
        <w:rPr>
          <w:rFonts w:ascii="Palatino Linotype" w:hAnsi="Palatino Linotype"/>
          <w:spacing w:val="-6"/>
          <w:lang w:val="es-ES_tradnl"/>
        </w:rPr>
        <w:t xml:space="preserve"> </w:t>
      </w:r>
      <w:r w:rsidRPr="00100412">
        <w:rPr>
          <w:rFonts w:ascii="Palatino Linotype" w:hAnsi="Palatino Linotype"/>
          <w:lang w:val="es-ES_tradnl"/>
        </w:rPr>
        <w:t>información</w:t>
      </w:r>
      <w:r w:rsidRPr="00100412">
        <w:rPr>
          <w:rFonts w:ascii="Palatino Linotype" w:hAnsi="Palatino Linotype"/>
          <w:spacing w:val="-6"/>
          <w:lang w:val="es-ES_tradnl"/>
        </w:rPr>
        <w:t xml:space="preserve"> </w:t>
      </w:r>
      <w:r w:rsidRPr="00100412">
        <w:rPr>
          <w:rFonts w:ascii="Palatino Linotype" w:hAnsi="Palatino Linotype"/>
          <w:lang w:val="es-ES_tradnl"/>
        </w:rPr>
        <w:t>como</w:t>
      </w:r>
      <w:r w:rsidRPr="00100412">
        <w:rPr>
          <w:rFonts w:ascii="Palatino Linotype" w:hAnsi="Palatino Linotype"/>
          <w:spacing w:val="-6"/>
          <w:lang w:val="es-ES_tradnl"/>
        </w:rPr>
        <w:t xml:space="preserve"> </w:t>
      </w:r>
      <w:r w:rsidRPr="00100412">
        <w:rPr>
          <w:rFonts w:ascii="Palatino Linotype" w:hAnsi="Palatino Linotype"/>
          <w:lang w:val="es-ES_tradnl"/>
        </w:rPr>
        <w:t>reservada</w:t>
      </w:r>
      <w:r w:rsidRPr="00100412">
        <w:rPr>
          <w:rFonts w:ascii="Palatino Linotype" w:hAnsi="Palatino Linotype"/>
          <w:spacing w:val="-6"/>
          <w:lang w:val="es-ES_tradnl"/>
        </w:rPr>
        <w:t xml:space="preserve"> </w:t>
      </w:r>
      <w:r w:rsidRPr="00100412">
        <w:rPr>
          <w:rFonts w:ascii="Palatino Linotype" w:hAnsi="Palatino Linotype"/>
          <w:lang w:val="es-ES_tradnl"/>
        </w:rPr>
        <w:t>o</w:t>
      </w:r>
      <w:r w:rsidRPr="00100412">
        <w:rPr>
          <w:rFonts w:ascii="Palatino Linotype" w:hAnsi="Palatino Linotype"/>
          <w:spacing w:val="-6"/>
          <w:lang w:val="es-ES_tradnl"/>
        </w:rPr>
        <w:t xml:space="preserve"> </w:t>
      </w:r>
      <w:r w:rsidRPr="00100412">
        <w:rPr>
          <w:rFonts w:ascii="Palatino Linotype" w:hAnsi="Palatino Linotype"/>
          <w:lang w:val="es-ES_tradnl"/>
        </w:rPr>
        <w:t>confidencial,</w:t>
      </w:r>
      <w:r w:rsidRPr="00100412">
        <w:rPr>
          <w:rFonts w:ascii="Palatino Linotype" w:hAnsi="Palatino Linotype"/>
          <w:spacing w:val="-3"/>
          <w:lang w:val="es-ES_tradnl"/>
        </w:rPr>
        <w:t xml:space="preserve"> </w:t>
      </w:r>
      <w:r w:rsidRPr="00100412">
        <w:rPr>
          <w:rFonts w:ascii="Palatino Linotype" w:hAnsi="Palatino Linotype"/>
          <w:lang w:val="es-ES_tradnl"/>
        </w:rPr>
        <w:t>tampoco</w:t>
      </w:r>
      <w:r w:rsidRPr="00100412">
        <w:rPr>
          <w:rFonts w:ascii="Palatino Linotype" w:hAnsi="Palatino Linotype"/>
          <w:spacing w:val="-7"/>
          <w:lang w:val="es-ES_tradnl"/>
        </w:rPr>
        <w:t xml:space="preserve"> </w:t>
      </w:r>
      <w:r w:rsidRPr="00100412">
        <w:rPr>
          <w:rFonts w:ascii="Palatino Linotype" w:hAnsi="Palatino Linotype"/>
          <w:lang w:val="es-ES_tradnl"/>
        </w:rPr>
        <w:t>declaró</w:t>
      </w:r>
      <w:r w:rsidRPr="00100412">
        <w:rPr>
          <w:rFonts w:ascii="Palatino Linotype" w:hAnsi="Palatino Linotype"/>
          <w:spacing w:val="-6"/>
          <w:lang w:val="es-ES_tradnl"/>
        </w:rPr>
        <w:t xml:space="preserve"> </w:t>
      </w:r>
      <w:r w:rsidRPr="00100412">
        <w:rPr>
          <w:rFonts w:ascii="Palatino Linotype" w:hAnsi="Palatino Linotype"/>
          <w:lang w:val="es-ES_tradnl"/>
        </w:rPr>
        <w:t>su</w:t>
      </w:r>
      <w:r w:rsidRPr="00100412">
        <w:rPr>
          <w:rFonts w:ascii="Palatino Linotype" w:hAnsi="Palatino Linotype"/>
          <w:spacing w:val="-6"/>
          <w:lang w:val="es-ES_tradnl"/>
        </w:rPr>
        <w:t xml:space="preserve"> </w:t>
      </w:r>
      <w:r w:rsidRPr="00100412">
        <w:rPr>
          <w:rFonts w:ascii="Palatino Linotype" w:hAnsi="Palatino Linotype"/>
          <w:lang w:val="es-ES_tradnl"/>
        </w:rPr>
        <w:t>inexistencia y mucho menos fue omiso en la atención a la solicitud de acceso a la</w:t>
      </w:r>
      <w:r w:rsidRPr="00100412">
        <w:rPr>
          <w:rFonts w:ascii="Palatino Linotype" w:hAnsi="Palatino Linotype"/>
          <w:spacing w:val="-12"/>
          <w:lang w:val="es-ES_tradnl"/>
        </w:rPr>
        <w:t xml:space="preserve"> </w:t>
      </w:r>
      <w:r w:rsidRPr="00100412">
        <w:rPr>
          <w:rFonts w:ascii="Palatino Linotype" w:hAnsi="Palatino Linotype"/>
          <w:lang w:val="es-ES_tradnl"/>
        </w:rPr>
        <w:t xml:space="preserve">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w:t>
      </w:r>
      <w:r w:rsidRPr="00100412">
        <w:rPr>
          <w:rFonts w:ascii="Palatino Linotype" w:hAnsi="Palatino Linotype"/>
          <w:lang w:val="es-ES_tradnl"/>
        </w:rPr>
        <w:lastRenderedPageBreak/>
        <w:t>y mucho menos fue omiso en tramitar y resolver el recurso de revisión en los tiempos establecidos por la Ley de la Materia.</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causales de improcedencia  establecidas en el artículo 178 de la multicitada ley general. </w:t>
      </w:r>
      <w:r w:rsidRPr="00100412">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100412">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100412">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100412">
        <w:rPr>
          <w:rStyle w:val="Refdenotaalpie"/>
          <w:rFonts w:ascii="Palatino Linotype" w:hAnsi="Palatino Linotype"/>
          <w:i/>
          <w:lang w:val="es-ES_tradnl"/>
        </w:rPr>
        <w:footnoteReference w:id="7"/>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lastRenderedPageBreak/>
        <w:t xml:space="preserve">Ahora bien, el artículo 178 de la Ley General de Transparencia y Acceso a la Información Pública establece las </w:t>
      </w:r>
      <w:proofErr w:type="spellStart"/>
      <w:r w:rsidRPr="00100412">
        <w:rPr>
          <w:rFonts w:ascii="Palatino Linotype" w:hAnsi="Palatino Linotype"/>
          <w:lang w:val="es-ES_tradnl"/>
        </w:rPr>
        <w:t>hipótesis</w:t>
      </w:r>
      <w:proofErr w:type="spellEnd"/>
      <w:r w:rsidRPr="00100412">
        <w:rPr>
          <w:rFonts w:ascii="Palatino Linotype" w:hAnsi="Palatino Linotype"/>
          <w:lang w:val="es-ES_tradnl"/>
        </w:rPr>
        <w:t xml:space="preserve"> en las cuales procede el </w:t>
      </w:r>
      <w:proofErr w:type="spellStart"/>
      <w:r w:rsidRPr="00100412">
        <w:rPr>
          <w:rFonts w:ascii="Palatino Linotype" w:hAnsi="Palatino Linotype"/>
          <w:lang w:val="es-ES_tradnl"/>
        </w:rPr>
        <w:t>desechamiento</w:t>
      </w:r>
      <w:proofErr w:type="spellEnd"/>
      <w:r w:rsidRPr="00100412">
        <w:rPr>
          <w:rFonts w:ascii="Palatino Linotype" w:hAnsi="Palatino Linotype"/>
          <w:lang w:val="es-ES_tradnl"/>
        </w:rPr>
        <w:t xml:space="preserve"> por improcedencia del recurso de inconformidad, causales que tendrán como efecto ya sea el </w:t>
      </w:r>
      <w:proofErr w:type="spellStart"/>
      <w:r w:rsidRPr="00100412">
        <w:rPr>
          <w:rFonts w:ascii="Palatino Linotype" w:hAnsi="Palatino Linotype"/>
          <w:lang w:val="es-ES_tradnl"/>
        </w:rPr>
        <w:t>desechamiento</w:t>
      </w:r>
      <w:proofErr w:type="spellEnd"/>
      <w:r w:rsidRPr="00100412">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100412">
        <w:rPr>
          <w:rFonts w:ascii="Palatino Linotype" w:hAnsi="Palatino Linotype"/>
          <w:lang w:val="es-ES_tradnl"/>
        </w:rPr>
        <w:t>desechamiento</w:t>
      </w:r>
      <w:proofErr w:type="spellEnd"/>
      <w:r w:rsidRPr="00100412">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100412">
        <w:rPr>
          <w:rFonts w:ascii="Palatino Linotype" w:hAnsi="Palatino Linotype"/>
          <w:b/>
          <w:lang w:val="es-ES_tradnl"/>
        </w:rPr>
        <w:t xml:space="preserve">Luego entonces, el recurso de inconformidad no procederá en contra de la falta de formalidad de las resoluciones de los organismos garantes locales. Por ejemplo, </w:t>
      </w:r>
      <w:r w:rsidRPr="00100412">
        <w:rPr>
          <w:rFonts w:ascii="Palatino Linotype" w:hAnsi="Palatino Linotype"/>
          <w:b/>
          <w:lang w:val="es-ES_tradnl"/>
        </w:rPr>
        <w:lastRenderedPageBreak/>
        <w:t xml:space="preserve">no procederá ante la confirmación del cambio de modalidad de acceso a la información por parte del sujeto obligado.” </w:t>
      </w:r>
      <w:r w:rsidRPr="00100412">
        <w:rPr>
          <w:rStyle w:val="Refdenotaalpie"/>
          <w:rFonts w:ascii="Palatino Linotype" w:hAnsi="Palatino Linotype"/>
          <w:b/>
          <w:lang w:val="es-ES_tradnl"/>
        </w:rPr>
        <w:footnoteReference w:id="8"/>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100412">
        <w:rPr>
          <w:rStyle w:val="Refdenotaalpie"/>
          <w:rFonts w:ascii="Palatino Linotype" w:hAnsi="Palatino Linotype"/>
          <w:lang w:val="es-ES_tradnl"/>
        </w:rPr>
        <w:footnoteReference w:id="9"/>
      </w:r>
      <w:r w:rsidRPr="00100412">
        <w:rPr>
          <w:rFonts w:ascii="Palatino Linotype" w:hAnsi="Palatino Linotype"/>
          <w:lang w:val="es-ES_tradnl"/>
        </w:rPr>
        <w:t xml:space="preserve">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100412">
        <w:rPr>
          <w:rStyle w:val="Refdenotaalpie"/>
          <w:rFonts w:ascii="Palatino Linotype" w:hAnsi="Palatino Linotype"/>
          <w:lang w:val="es-ES_tradnl"/>
        </w:rPr>
        <w:footnoteReference w:id="10"/>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Sirve de sustento el criterio del Cuarto Tribunal Colegiado en Materia Administrativa del Primero Circuito, publicado en el Semanario Judicial de la Federación, Octava Época, Tomo VII, noviembre de 1991, página 185, que dice:  </w:t>
      </w:r>
    </w:p>
    <w:p w:rsidR="00855DA2" w:rsidRPr="00100412" w:rsidRDefault="00855DA2" w:rsidP="00855DA2">
      <w:pPr>
        <w:spacing w:line="360" w:lineRule="auto"/>
        <w:ind w:left="720"/>
        <w:jc w:val="both"/>
        <w:rPr>
          <w:rFonts w:ascii="Palatino Linotype" w:hAnsi="Palatino Linotype"/>
          <w:i/>
          <w:lang w:val="es-ES_tradnl"/>
        </w:rPr>
      </w:pPr>
    </w:p>
    <w:p w:rsidR="00855DA2" w:rsidRPr="00100412" w:rsidRDefault="00855DA2" w:rsidP="00855DA2">
      <w:pPr>
        <w:spacing w:line="276" w:lineRule="auto"/>
        <w:ind w:left="720"/>
        <w:jc w:val="both"/>
        <w:rPr>
          <w:rFonts w:ascii="Palatino Linotype" w:hAnsi="Palatino Linotype"/>
          <w:b/>
          <w:i/>
          <w:lang w:val="es-ES_tradnl"/>
        </w:rPr>
      </w:pPr>
      <w:r w:rsidRPr="00100412">
        <w:rPr>
          <w:rFonts w:ascii="Palatino Linotype" w:hAnsi="Palatino Linotype"/>
          <w:b/>
          <w:i/>
          <w:lang w:val="es-ES_tradnl"/>
        </w:rPr>
        <w:t xml:space="preserve">CONTENCIOSO ADMINISTRATIVO, IMPROCEDENCIA DEL JUICIO, ANTE EL TRIBUNAL FISCAL. CONCEPTO JURIDICO. </w:t>
      </w:r>
      <w:r w:rsidRPr="00100412">
        <w:rPr>
          <w:rFonts w:ascii="Palatino Linotype" w:hAnsi="Palatino Linotype"/>
          <w:i/>
          <w:lang w:val="es-ES_tradnl"/>
        </w:rPr>
        <w:t xml:space="preserve">Las causas de </w:t>
      </w:r>
      <w:r w:rsidRPr="00100412">
        <w:rPr>
          <w:rFonts w:ascii="Palatino Linotype" w:hAnsi="Palatino Linotype"/>
          <w:i/>
          <w:lang w:val="es-ES_tradnl"/>
        </w:rPr>
        <w:lastRenderedPageBreak/>
        <w:t xml:space="preserve">improcedencia que determina la ley de la materia, ven o se refieren a la procedencia del juicio mismo, esto es, </w:t>
      </w:r>
      <w:r w:rsidRPr="00100412">
        <w:rPr>
          <w:rFonts w:ascii="Palatino Linotype" w:hAnsi="Palatino Linotype"/>
          <w:b/>
          <w:i/>
          <w:u w:val="single"/>
          <w:lang w:val="es-ES_tradnl"/>
        </w:rPr>
        <w:t>los motivos de improcedencia son en cuanto a que la acción en sí misma considerada no procede por las causas específicas consignadas en la ley;</w:t>
      </w:r>
      <w:r w:rsidRPr="00100412">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100412">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100412">
        <w:rPr>
          <w:rFonts w:ascii="Palatino Linotype" w:hAnsi="Palatino Linotype"/>
          <w:i/>
          <w:lang w:val="es-ES_tradnl"/>
        </w:rPr>
        <w:t>.</w:t>
      </w:r>
    </w:p>
    <w:p w:rsidR="00855DA2" w:rsidRPr="00100412" w:rsidRDefault="00855DA2" w:rsidP="00855DA2">
      <w:pPr>
        <w:spacing w:line="276" w:lineRule="auto"/>
        <w:ind w:left="720"/>
        <w:jc w:val="both"/>
        <w:rPr>
          <w:rFonts w:ascii="Palatino Linotype" w:hAnsi="Palatino Linotype"/>
          <w:i/>
          <w:lang w:val="es-ES_tradnl"/>
        </w:rPr>
      </w:pPr>
    </w:p>
    <w:p w:rsidR="00855DA2" w:rsidRPr="00100412" w:rsidRDefault="00855DA2" w:rsidP="00855DA2">
      <w:pPr>
        <w:spacing w:line="276" w:lineRule="auto"/>
        <w:ind w:left="720"/>
        <w:jc w:val="both"/>
        <w:rPr>
          <w:rFonts w:ascii="Palatino Linotype" w:hAnsi="Palatino Linotype"/>
          <w:i/>
          <w:lang w:val="es-ES_tradnl"/>
        </w:rPr>
      </w:pPr>
      <w:r w:rsidRPr="00100412">
        <w:rPr>
          <w:rFonts w:ascii="Palatino Linotype" w:hAnsi="Palatino Linotype"/>
          <w:i/>
          <w:lang w:val="es-ES_tradnl"/>
        </w:rPr>
        <w:t>CUARTO TRIBUNAL COLEGIADO EN MATERIA ADMINISTRATIVA DEL PRIMER CIRCUITO.</w:t>
      </w:r>
    </w:p>
    <w:p w:rsidR="00855DA2" w:rsidRPr="00100412" w:rsidRDefault="00855DA2" w:rsidP="00855DA2">
      <w:pPr>
        <w:spacing w:line="276" w:lineRule="auto"/>
        <w:ind w:left="720"/>
        <w:jc w:val="both"/>
        <w:rPr>
          <w:rFonts w:ascii="Palatino Linotype" w:hAnsi="Palatino Linotype"/>
          <w:i/>
          <w:lang w:val="es-ES_tradnl"/>
        </w:rPr>
      </w:pPr>
    </w:p>
    <w:p w:rsidR="00855DA2" w:rsidRPr="00100412" w:rsidRDefault="00855DA2" w:rsidP="00855DA2">
      <w:pPr>
        <w:spacing w:line="276" w:lineRule="auto"/>
        <w:ind w:left="720"/>
        <w:jc w:val="both"/>
        <w:rPr>
          <w:rFonts w:ascii="Palatino Linotype" w:hAnsi="Palatino Linotype"/>
          <w:i/>
          <w:lang w:val="es-ES_tradnl"/>
        </w:rPr>
      </w:pPr>
      <w:r w:rsidRPr="00100412">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lastRenderedPageBreak/>
        <w:t>En el mismo sentido, sirve de apoyo el criterio del Sexto Tribunal Colegiado en Materia Administrativa del Tercer Circuito, contenido en la Gaceta del Semanario Judicial de la Federación, Décima Época, Libro 78, septiembre de 2020 Tomo II, Tesis: III.6o.A.30 A (10a.), página: 982, que dispone lo siguiente:</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spacing w:line="276" w:lineRule="auto"/>
        <w:ind w:left="720" w:hanging="720"/>
        <w:jc w:val="both"/>
        <w:rPr>
          <w:rFonts w:ascii="Palatino Linotype" w:hAnsi="Palatino Linotype"/>
          <w:b/>
          <w:i/>
          <w:lang w:val="es-ES_tradnl"/>
        </w:rPr>
      </w:pPr>
      <w:r w:rsidRPr="00100412">
        <w:rPr>
          <w:rFonts w:ascii="Palatino Linotype" w:hAnsi="Palatino Linotype"/>
          <w:b/>
          <w:i/>
          <w:lang w:val="es-ES_tradnl"/>
        </w:rPr>
        <w:tab/>
        <w:t>SOBRESEIMIENTO EN EL JUICIO CONTENCIOSO ADMINISTRATIVO FEDERAL. SU NATURALEZA JURÍDICA.</w:t>
      </w:r>
      <w:r w:rsidRPr="00100412">
        <w:rPr>
          <w:rFonts w:ascii="Palatino Linotype" w:hAnsi="Palatino Linotype"/>
          <w:i/>
          <w:lang w:val="es-ES_tradnl"/>
        </w:rPr>
        <w:t xml:space="preserve"> 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100412">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100412">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w:t>
      </w:r>
      <w:proofErr w:type="spellStart"/>
      <w:r w:rsidRPr="00100412">
        <w:rPr>
          <w:rFonts w:ascii="Palatino Linotype" w:hAnsi="Palatino Linotype"/>
          <w:i/>
          <w:lang w:val="es-ES_tradnl"/>
        </w:rPr>
        <w:t>hipótesis</w:t>
      </w:r>
      <w:proofErr w:type="spellEnd"/>
      <w:r w:rsidRPr="00100412">
        <w:rPr>
          <w:rFonts w:ascii="Palatino Linotype" w:hAnsi="Palatino Linotype"/>
          <w:i/>
          <w:lang w:val="es-ES_tradnl"/>
        </w:rPr>
        <w:t xml:space="preserve">,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100412">
        <w:rPr>
          <w:rFonts w:ascii="Palatino Linotype" w:hAnsi="Palatino Linotype"/>
          <w:i/>
          <w:lang w:val="es-ES_tradnl"/>
        </w:rPr>
        <w:t>supercedere</w:t>
      </w:r>
      <w:proofErr w:type="spellEnd"/>
      <w:r w:rsidRPr="00100412">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w:t>
      </w:r>
      <w:r w:rsidRPr="00100412">
        <w:rPr>
          <w:rFonts w:ascii="Palatino Linotype" w:hAnsi="Palatino Linotype"/>
          <w:i/>
          <w:lang w:val="es-ES_tradnl"/>
        </w:rPr>
        <w:lastRenderedPageBreak/>
        <w:t xml:space="preserve">probada alguna causa de improcedencia, entre otros supuestos, dado que sin ésta, aquél no podría justificarse, </w:t>
      </w:r>
      <w:r w:rsidRPr="00100412">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100412">
        <w:rPr>
          <w:rFonts w:ascii="Palatino Linotype" w:hAnsi="Palatino Linotype"/>
          <w:i/>
          <w:lang w:val="es-ES_tradnl"/>
        </w:rPr>
        <w:t xml:space="preserve">; </w:t>
      </w:r>
      <w:r w:rsidRPr="00100412">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855DA2" w:rsidRPr="00100412" w:rsidRDefault="00855DA2" w:rsidP="00855DA2">
      <w:pPr>
        <w:spacing w:line="276" w:lineRule="auto"/>
        <w:ind w:left="720" w:hanging="720"/>
        <w:jc w:val="both"/>
        <w:rPr>
          <w:rFonts w:ascii="Palatino Linotype" w:hAnsi="Palatino Linotype"/>
          <w:i/>
          <w:lang w:val="es-ES_tradnl"/>
        </w:rPr>
      </w:pPr>
      <w:r w:rsidRPr="00100412">
        <w:rPr>
          <w:rFonts w:ascii="Palatino Linotype" w:hAnsi="Palatino Linotype"/>
          <w:i/>
          <w:lang w:val="es-ES_tradnl"/>
        </w:rPr>
        <w:tab/>
        <w:t>SEXTO TRIBUNAL COLEGIADO EN MATERIA ADMINISTRATIVA DEL TERCER CIRCUITO.</w:t>
      </w:r>
    </w:p>
    <w:p w:rsidR="00855DA2" w:rsidRPr="00100412" w:rsidRDefault="00855DA2" w:rsidP="00855DA2">
      <w:pPr>
        <w:spacing w:line="276" w:lineRule="auto"/>
        <w:ind w:left="720" w:hanging="720"/>
        <w:jc w:val="both"/>
        <w:rPr>
          <w:rFonts w:ascii="Palatino Linotype" w:hAnsi="Palatino Linotype"/>
          <w:i/>
          <w:lang w:val="es-ES_tradnl"/>
        </w:rPr>
      </w:pPr>
      <w:r w:rsidRPr="00100412">
        <w:rPr>
          <w:rFonts w:ascii="Palatino Linotype" w:hAnsi="Palatino Linotype"/>
          <w:i/>
          <w:lang w:val="es-ES_tradnl"/>
        </w:rPr>
        <w:tab/>
        <w:t>Amparo directo 28/2020. Santiago Díaz Muñoz. 3 de junio de 2020. Unanimidad de votos. Ponente: Mario Alberto Domínguez Trejo. Secretario: Miguel Mora Pérez.</w:t>
      </w:r>
    </w:p>
    <w:p w:rsidR="00855DA2" w:rsidRPr="00100412" w:rsidRDefault="00855DA2" w:rsidP="00855DA2">
      <w:pPr>
        <w:spacing w:line="276" w:lineRule="auto"/>
        <w:ind w:left="720" w:hanging="720"/>
        <w:jc w:val="both"/>
        <w:rPr>
          <w:rFonts w:ascii="Palatino Linotype" w:hAnsi="Palatino Linotype"/>
          <w:i/>
          <w:lang w:val="es-ES_tradnl"/>
        </w:rPr>
      </w:pPr>
      <w:r w:rsidRPr="00100412">
        <w:rPr>
          <w:rFonts w:ascii="Palatino Linotype" w:hAnsi="Palatino Linotype"/>
          <w:i/>
          <w:lang w:val="es-ES_tradnl"/>
        </w:rPr>
        <w:tab/>
        <w:t>Esta tesis se publicó el viernes 18 de septiembre de 2020 a las 10:27 horas en el Semanario Judicial de la Federación.</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w:t>
      </w:r>
      <w:proofErr w:type="spellStart"/>
      <w:r w:rsidRPr="00100412">
        <w:rPr>
          <w:rFonts w:ascii="Palatino Linotype" w:hAnsi="Palatino Linotype"/>
          <w:lang w:val="es-ES_tradnl"/>
        </w:rPr>
        <w:t>hipótesis</w:t>
      </w:r>
      <w:proofErr w:type="spellEnd"/>
      <w:r w:rsidRPr="00100412">
        <w:rPr>
          <w:rFonts w:ascii="Palatino Linotype" w:hAnsi="Palatino Linotype"/>
          <w:lang w:val="es-ES_tradnl"/>
        </w:rPr>
        <w:t xml:space="preserve"> legales establecidas para ello lo que conlleva la inviabilidad de que el Órgano Garante Nacional analice y resuelva el recurso de inconformidad.</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lastRenderedPageBreak/>
        <w:t xml:space="preserve">De lo anterior, se reitera categóricamente que el recurso de inconformidad resultaba improcedente por no actualizarse las </w:t>
      </w:r>
      <w:proofErr w:type="spellStart"/>
      <w:r w:rsidRPr="00100412">
        <w:rPr>
          <w:rFonts w:ascii="Palatino Linotype" w:hAnsi="Palatino Linotype"/>
          <w:lang w:val="es-ES_tradnl"/>
        </w:rPr>
        <w:t>hipótesis</w:t>
      </w:r>
      <w:proofErr w:type="spellEnd"/>
      <w:r w:rsidRPr="00100412">
        <w:rPr>
          <w:rFonts w:ascii="Palatino Linotype" w:hAnsi="Palatino Linotype"/>
          <w:lang w:val="es-ES_tradnl"/>
        </w:rPr>
        <w:t xml:space="preserve">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shd w:val="clear" w:color="auto" w:fill="FFFFFF"/>
          <w:lang w:val="es-ES_tradnl"/>
        </w:rPr>
        <w:t xml:space="preserve">En efecto, la </w:t>
      </w:r>
      <w:r w:rsidRPr="00100412">
        <w:rPr>
          <w:rFonts w:ascii="Palatino Linotype" w:hAnsi="Palatino Linotype"/>
          <w:lang w:val="es-ES_tradnl"/>
        </w:rPr>
        <w:t>improcedencia</w:t>
      </w:r>
      <w:r w:rsidRPr="00100412">
        <w:rPr>
          <w:rFonts w:ascii="Palatino Linotype" w:hAnsi="Palatino Linotype"/>
          <w:shd w:val="clear" w:color="auto" w:fill="FFFFFF"/>
          <w:lang w:val="es-ES_tradnl"/>
        </w:rPr>
        <w:t xml:space="preserve">, conlleva la determinación unilateral de rechazar el medio de impugnación porque ante quien se presentó carece de atribuciones para conocer de las pretensiones del actor, en virtud de que el acto impugnado no encuadra dentro de las </w:t>
      </w:r>
      <w:proofErr w:type="spellStart"/>
      <w:r w:rsidRPr="00100412">
        <w:rPr>
          <w:rFonts w:ascii="Palatino Linotype" w:hAnsi="Palatino Linotype"/>
          <w:shd w:val="clear" w:color="auto" w:fill="FFFFFF"/>
          <w:lang w:val="es-ES_tradnl"/>
        </w:rPr>
        <w:t>hipótesis</w:t>
      </w:r>
      <w:proofErr w:type="spellEnd"/>
      <w:r w:rsidRPr="00100412">
        <w:rPr>
          <w:rFonts w:ascii="Palatino Linotype" w:hAnsi="Palatino Linotype"/>
          <w:shd w:val="clear" w:color="auto" w:fill="FFFFFF"/>
          <w:lang w:val="es-ES_tradnl"/>
        </w:rPr>
        <w:t xml:space="preserve"> legales para la procedencia del recurso de inconformidad que le compete conocer al Instituto Nacional de Transparencia, Acceso a la Información Pública y Protección de Datos Personales, por lo que ante esta clara </w:t>
      </w:r>
      <w:r w:rsidRPr="00100412">
        <w:rPr>
          <w:rFonts w:ascii="Palatino Linotype" w:hAnsi="Palatino Linotype"/>
          <w:lang w:val="es-ES_tradnl"/>
        </w:rPr>
        <w:t>improcedencia</w:t>
      </w:r>
      <w:r w:rsidRPr="00100412">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lastRenderedPageBreak/>
        <w:t xml:space="preserve">Bajo dichas consideraciones, la procedencia o improcedencia de </w:t>
      </w:r>
      <w:proofErr w:type="spellStart"/>
      <w:r w:rsidRPr="00100412">
        <w:rPr>
          <w:rFonts w:ascii="Palatino Linotype" w:hAnsi="Palatino Linotype"/>
          <w:lang w:val="es-ES_tradnl"/>
        </w:rPr>
        <w:t>lo</w:t>
      </w:r>
      <w:proofErr w:type="spellEnd"/>
      <w:r w:rsidRPr="00100412">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855DA2" w:rsidRPr="00100412" w:rsidRDefault="00855DA2" w:rsidP="00855DA2">
      <w:pPr>
        <w:pStyle w:val="Prrafodelista"/>
        <w:rPr>
          <w:rFonts w:ascii="Palatino Linotype" w:hAnsi="Palatino Linotype" w:cs="Calibri"/>
          <w:color w:val="212529"/>
          <w:shd w:val="clear" w:color="auto" w:fill="FFFFFF"/>
          <w:lang w:val="es-ES_tradnl"/>
        </w:rPr>
      </w:pPr>
    </w:p>
    <w:p w:rsidR="00855DA2" w:rsidRPr="00100412" w:rsidRDefault="00855DA2" w:rsidP="00032B94">
      <w:pPr>
        <w:pStyle w:val="Ttulo1"/>
        <w:numPr>
          <w:ilvl w:val="0"/>
          <w:numId w:val="22"/>
        </w:numPr>
        <w:rPr>
          <w:rFonts w:ascii="Palatino Linotype" w:hAnsi="Palatino Linotype"/>
          <w:b/>
          <w:color w:val="000000" w:themeColor="text1"/>
          <w:sz w:val="24"/>
        </w:rPr>
      </w:pPr>
      <w:bookmarkStart w:id="143" w:name="_Toc68821518"/>
      <w:r w:rsidRPr="00100412">
        <w:rPr>
          <w:rFonts w:ascii="Palatino Linotype" w:hAnsi="Palatino Linotype"/>
          <w:b/>
          <w:color w:val="000000" w:themeColor="text1"/>
          <w:sz w:val="24"/>
        </w:rPr>
        <w:t>De la interpretación de la Ley General de Transparencia y Acceso a la Información Pública</w:t>
      </w:r>
      <w:bookmarkEnd w:id="143"/>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En primer término, conviene precisar que el artículo 6º constitucional, fracción VIII establece que el Instituto Nacional de Transparencia, Acceso a la Información y Protección de Datos Personales (INAI) tiene competencia para conocer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 </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w:t>
      </w:r>
      <w:r w:rsidRPr="00100412">
        <w:rPr>
          <w:rFonts w:ascii="Palatino Linotype" w:hAnsi="Palatino Linotype"/>
          <w:lang w:val="es-ES_tradnl"/>
        </w:rPr>
        <w:lastRenderedPageBreak/>
        <w:t>confirmen o modifiquen la clasificación de información, confirmen la inexistencia o exista una negativa de información.</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shd w:val="clear" w:color="auto" w:fill="FFFFFF"/>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El Órgano Garante Nacional en la resolución que nos ocupa señala que </w:t>
      </w:r>
      <w:r w:rsidRPr="00100412">
        <w:rPr>
          <w:rFonts w:ascii="Palatino Linotype" w:hAnsi="Palatino Linotype"/>
          <w:b/>
          <w:i/>
        </w:rPr>
        <w:t>la interpretación</w:t>
      </w:r>
      <w:r w:rsidRPr="00100412">
        <w:rPr>
          <w:rFonts w:ascii="Palatino Linotype" w:hAnsi="Palatino Linotype"/>
        </w:rPr>
        <w:t xml:space="preserve"> del término “negativa de información”, </w:t>
      </w:r>
      <w:r w:rsidRPr="00100412">
        <w:rPr>
          <w:rFonts w:ascii="Palatino Linotype" w:hAnsi="Palatino Linotype"/>
          <w:b/>
          <w:i/>
        </w:rPr>
        <w:t>que el legislador incluyó en la procedencia del recurso de inconformidad, es para aquellos casos en que a juicio del solicitante exista una negativa de entregar lo solicitado y se convalide ésta por el Órgano Local</w:t>
      </w:r>
      <w:r w:rsidRPr="00100412">
        <w:rPr>
          <w:rFonts w:ascii="Palatino Linotype" w:hAnsi="Palatino Linotype"/>
        </w:rPr>
        <w:t xml:space="preserve">. </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rPr>
        <w:t xml:space="preserve">Asimismo, el Órgano Garante Nacional señala que en términos de los supuestos de procedencia del recurso de revisión previstos en el artículo 143 de la Ley General de Transparencia y Acceso a la Información Pública (diversos a la inexistencia y clasificación, en tanto que son supuestos </w:t>
      </w:r>
      <w:r w:rsidRPr="00100412">
        <w:rPr>
          <w:rFonts w:ascii="Palatino Linotype" w:hAnsi="Palatino Linotype"/>
          <w:b/>
        </w:rPr>
        <w:t>ya contemplados expresamente</w:t>
      </w:r>
      <w:r w:rsidRPr="00100412">
        <w:rPr>
          <w:rFonts w:ascii="Palatino Linotype" w:hAnsi="Palatino Linotype"/>
        </w:rPr>
        <w:t xml:space="preserve"> en el artículo 160 de la misma Ley), </w:t>
      </w:r>
      <w:r w:rsidRPr="00100412">
        <w:rPr>
          <w:rFonts w:ascii="Palatino Linotype" w:hAnsi="Palatino Linotype"/>
          <w:b/>
          <w:u w:val="single"/>
        </w:rPr>
        <w:t>que se traduzcan en una resistencia a la entrega de lo requerido y en la forma solicitada, como lo serían: la declaración de incompetencia del sujeto obligado, la falta de respuesta, la entrega de información incompleta o que no corresponde con lo peticionado, la entrega o puesta a disposición en una modalidad o formato distinto, o bien, en un formato incomprensible o no accesible, los costos o tiempos de entrega, la falta de trámite, la negativa a permitir la consulta directa, la falta o deficiencia de la fundamentación o motivación y la orientación a un trámite específico.</w:t>
      </w:r>
      <w:r w:rsidRPr="00100412">
        <w:rPr>
          <w:rFonts w:ascii="Palatino Linotype" w:hAnsi="Palatino Linotype"/>
        </w:rPr>
        <w:t xml:space="preserve"> </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lastRenderedPageBreak/>
        <w:t xml:space="preserve">De lo anterior, se concluye que el Órgano Garante Nacional establece que los supuestos de </w:t>
      </w:r>
      <w:r w:rsidRPr="00100412">
        <w:rPr>
          <w:rFonts w:ascii="Palatino Linotype" w:hAnsi="Palatino Linotype"/>
        </w:rPr>
        <w:t xml:space="preserve">inexistencia y clasificación, </w:t>
      </w:r>
      <w:r w:rsidRPr="00100412">
        <w:rPr>
          <w:rFonts w:ascii="Palatino Linotype" w:hAnsi="Palatino Linotype"/>
          <w:lang w:val="es-ES_tradnl"/>
        </w:rPr>
        <w:t xml:space="preserve">establecidos en el artículo 160 de la Ley General de Transparencia y Acceso a la Información Pública constituyen “supuestos expresamente contemplados en la ley”; en tanto que lo relativo a la negativa de la información se traduce en una resistencia a la entrega de lo requerido y en la forma solicitada, para lo cual enlista varios supuestos: (a) </w:t>
      </w:r>
      <w:r w:rsidRPr="00100412">
        <w:rPr>
          <w:rFonts w:ascii="Palatino Linotype" w:hAnsi="Palatino Linotype"/>
          <w:b/>
          <w:u w:val="single"/>
        </w:rPr>
        <w:t>la declaración de incompetencia del sujeto obligado, (b) la falta de respuesta, (c) la entrega de información incompleta o que no corresponde con lo peticionado, (d) la entrega o puesta a disposición en una modalidad o formato distinto, o bien, en un formato incomprensible o no accesible, (e) los costos o tiempos de entrega, (f) la falta de trámite, (g) la negativa a permitir la consulta directa, (h) la falta o deficiencia de la fundamentación o motivación y (i) la orientación a un trámite específico.</w:t>
      </w:r>
    </w:p>
    <w:p w:rsidR="00855DA2" w:rsidRPr="00100412" w:rsidRDefault="00855DA2" w:rsidP="00855DA2">
      <w:pPr>
        <w:pStyle w:val="Prrafodelista"/>
        <w:spacing w:line="360" w:lineRule="auto"/>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t xml:space="preserve">Ahora bien, el término </w:t>
      </w:r>
      <w:r w:rsidRPr="00100412">
        <w:rPr>
          <w:rFonts w:ascii="Palatino Linotype" w:hAnsi="Palatino Linotype"/>
          <w:i/>
        </w:rPr>
        <w:t>“</w:t>
      </w:r>
      <w:proofErr w:type="spellStart"/>
      <w:r w:rsidRPr="00100412">
        <w:rPr>
          <w:rFonts w:ascii="Palatino Linotype" w:hAnsi="Palatino Linotype"/>
          <w:i/>
        </w:rPr>
        <w:t>expresamente”</w:t>
      </w:r>
      <w:r w:rsidRPr="00100412">
        <w:rPr>
          <w:rFonts w:ascii="Palatino Linotype" w:hAnsi="Palatino Linotype"/>
        </w:rPr>
        <w:t>esta</w:t>
      </w:r>
      <w:proofErr w:type="spellEnd"/>
      <w:r w:rsidRPr="00100412">
        <w:rPr>
          <w:rFonts w:ascii="Palatino Linotype" w:hAnsi="Palatino Linotype"/>
        </w:rPr>
        <w:t xml:space="preserve"> relacionado de una manera o modo expreso, explícito, coherente, evidente, manifiesto y claro; por lo que para el Órgano Garante </w:t>
      </w:r>
      <w:r w:rsidR="00F91DB5" w:rsidRPr="00100412">
        <w:rPr>
          <w:rFonts w:ascii="Palatino Linotype" w:hAnsi="Palatino Linotype"/>
        </w:rPr>
        <w:t>únicamente</w:t>
      </w:r>
      <w:r w:rsidRPr="00100412">
        <w:rPr>
          <w:rFonts w:ascii="Palatino Linotype" w:hAnsi="Palatino Linotype"/>
        </w:rPr>
        <w:t xml:space="preserve"> los supuestos de inexistencia y clasificación contemplados en el artículo 160 de la Ley General están establecidos de manera evidente, clara y coherente; en tanto que lo relativo a la negativa de información se </w:t>
      </w:r>
      <w:r w:rsidRPr="00100412">
        <w:rPr>
          <w:rFonts w:ascii="Palatino Linotype" w:hAnsi="Palatino Linotype"/>
          <w:i/>
        </w:rPr>
        <w:t>“traduce”</w:t>
      </w:r>
      <w:r w:rsidRPr="00100412">
        <w:rPr>
          <w:rFonts w:ascii="Palatino Linotype" w:hAnsi="Palatino Linotype"/>
        </w:rPr>
        <w:t xml:space="preserve"> en una resistencia de la entrega de lo solicitado; lo cual, sin duda implica una interpretación de la norma innecesaria, pues el propio legislador en el </w:t>
      </w:r>
      <w:r w:rsidR="00F91DB5" w:rsidRPr="00100412">
        <w:rPr>
          <w:rFonts w:ascii="Palatino Linotype" w:hAnsi="Palatino Linotype"/>
        </w:rPr>
        <w:t>último</w:t>
      </w:r>
      <w:r w:rsidRPr="00100412">
        <w:rPr>
          <w:rFonts w:ascii="Palatino Linotype" w:hAnsi="Palatino Linotype"/>
        </w:rPr>
        <w:t xml:space="preserve"> párrafo establece de manera evidente, expresa y clara lo que debe </w:t>
      </w:r>
      <w:r w:rsidR="00F91DB5" w:rsidRPr="00100412">
        <w:rPr>
          <w:rFonts w:ascii="Palatino Linotype" w:hAnsi="Palatino Linotype"/>
        </w:rPr>
        <w:t>entenderse</w:t>
      </w:r>
      <w:r w:rsidRPr="00100412">
        <w:rPr>
          <w:rFonts w:ascii="Palatino Linotype" w:hAnsi="Palatino Linotype"/>
        </w:rPr>
        <w:t xml:space="preserve"> por </w:t>
      </w:r>
      <w:r w:rsidRPr="00100412">
        <w:rPr>
          <w:rFonts w:ascii="Palatino Linotype" w:hAnsi="Palatino Linotype"/>
        </w:rPr>
        <w:lastRenderedPageBreak/>
        <w:t xml:space="preserve">negativa de la información y no se requiere de una traducción, es decir, no requiere explicar o </w:t>
      </w:r>
      <w:r w:rsidR="00F91DB5" w:rsidRPr="00100412">
        <w:rPr>
          <w:rFonts w:ascii="Palatino Linotype" w:hAnsi="Palatino Linotype"/>
        </w:rPr>
        <w:t>interpretar</w:t>
      </w:r>
      <w:r w:rsidRPr="00100412">
        <w:rPr>
          <w:rFonts w:ascii="Palatino Linotype" w:hAnsi="Palatino Linotype"/>
        </w:rPr>
        <w:t>.</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Lo anterior es así ya que el artículo 160 de la Ley General de Transparencia y Acceso a la Información en su último párrafo establece que se entenderá como negativa de acceso a la información la falta de resolución de los Organismos garantes de las Entidades Federativas dentro del plazo previsto para ello.</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Tanto el artículo 6º Constitucional como la Ley General establecen los casos en los cuales procede el recurso de inconformidad, por lo que la precisarlos así, el poder reformador de la unión estableció una restricción constitucional excluyendo los supuestos que el INAI, señala en su resolución.</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es decir, cuando no exista resolución de los Organismos garantes de las Entidades Federativas dentro del plazo previsto para ello.</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De lo anterior se advierte que </w:t>
      </w:r>
      <w:r w:rsidRPr="00100412">
        <w:rPr>
          <w:rFonts w:ascii="Palatino Linotype" w:hAnsi="Palatino Linotype" w:cs="Arial"/>
          <w:bCs/>
          <w:shd w:val="clear" w:color="auto" w:fill="FFFFFF"/>
          <w:lang w:val="es-ES_tradnl"/>
        </w:rPr>
        <w:t xml:space="preserve">de la interpretación literal y conforme al texto constitucional, la que además es deferente con el principio de legalidad, </w:t>
      </w:r>
      <w:r w:rsidRPr="00100412">
        <w:rPr>
          <w:rFonts w:ascii="Palatino Linotype" w:hAnsi="Palatino Linotype"/>
          <w:lang w:val="es-ES_tradnl"/>
        </w:rPr>
        <w:t xml:space="preserve">la negativa </w:t>
      </w:r>
      <w:r w:rsidRPr="00100412">
        <w:rPr>
          <w:rFonts w:ascii="Palatino Linotype" w:hAnsi="Palatino Linotype"/>
          <w:lang w:val="es-ES_tradnl"/>
        </w:rPr>
        <w:lastRenderedPageBreak/>
        <w:t xml:space="preserve">de la información debe entenderse como la falta de resolución de los organismos garantes locales dentro del plazo previsto para ello, toda vez que el legislador en el propio texto de la Ley General ya estableció que se entenderá como “negativa de la información” para la procedencia del recurso de inconformidad, por lo tanto si </w:t>
      </w:r>
      <w:r w:rsidRPr="00100412">
        <w:rPr>
          <w:rFonts w:ascii="Palatino Linotype" w:hAnsi="Palatino Linotype" w:cs="Arial"/>
          <w:bCs/>
          <w:shd w:val="clear" w:color="auto" w:fill="FFFFFF"/>
          <w:lang w:val="es-ES_tradnl"/>
        </w:rPr>
        <w:t>la ley no distingue, no hay porque distinguir.</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shd w:val="clear" w:color="auto" w:fill="FFFFFF"/>
        </w:rPr>
      </w:pPr>
      <w:r w:rsidRPr="00100412">
        <w:rPr>
          <w:rFonts w:ascii="Palatino Linotype" w:hAnsi="Palatino Linotype"/>
          <w:lang w:val="es-ES_tradnl"/>
        </w:rPr>
        <w:t xml:space="preserve">Bajo este tenor, es de precisar </w:t>
      </w:r>
      <w:proofErr w:type="gramStart"/>
      <w:r w:rsidRPr="00100412">
        <w:rPr>
          <w:rFonts w:ascii="Palatino Linotype" w:hAnsi="Palatino Linotype"/>
          <w:lang w:val="es-ES_tradnl"/>
        </w:rPr>
        <w:t>que  existen</w:t>
      </w:r>
      <w:proofErr w:type="gramEnd"/>
      <w:r w:rsidRPr="00100412">
        <w:rPr>
          <w:rFonts w:ascii="Palatino Linotype" w:hAnsi="Palatino Linotype"/>
          <w:lang w:val="es-ES_tradnl"/>
        </w:rPr>
        <w:t xml:space="preserve"> dificultades para la aplicación de las leyes, como son los conflictos de aplicación de leyes en el tiempo y  el espacio, así como las que se producen en función de la violación de las exigencias de compatibilidad y plenitud que deben satisfacer los ordenamientos jurídicos en tanto sistemas normativos: (1) los problemas de imprecisión (contradicciones o antinomias) e insuficiencia (lagunas). Por una parte, las antinomias son aquellas que se producen cuando dos normas pertenecientes a éste coinciden, prescribiendo conductas opuestas en cualquiera de sus ámbitos de validez: temporal, espacial, personal o materia, es decir, se </w:t>
      </w:r>
      <w:proofErr w:type="spellStart"/>
      <w:r w:rsidRPr="00100412">
        <w:rPr>
          <w:rFonts w:ascii="Palatino Linotype" w:hAnsi="Palatino Linotype"/>
          <w:lang w:val="es-ES_tradnl"/>
        </w:rPr>
        <w:t>esta</w:t>
      </w:r>
      <w:proofErr w:type="spellEnd"/>
      <w:r w:rsidRPr="00100412">
        <w:rPr>
          <w:rFonts w:ascii="Palatino Linotype" w:hAnsi="Palatino Linotype"/>
          <w:lang w:val="es-ES_tradnl"/>
        </w:rPr>
        <w:t xml:space="preserve"> en presencia de normas contradictorias. En tanto que las lagunas son las omisiones en que incurre el legislador cuando no prevé en las normas que dicta, alguno o algunos casos.</w:t>
      </w:r>
    </w:p>
    <w:p w:rsidR="00F91DB5" w:rsidRPr="00100412" w:rsidRDefault="00F91DB5" w:rsidP="00F91DB5">
      <w:pPr>
        <w:pStyle w:val="Prrafodelista"/>
        <w:rPr>
          <w:rFonts w:ascii="Palatino Linotype" w:hAnsi="Palatino Linotype"/>
          <w:shd w:val="clear" w:color="auto" w:fill="FFFFFF"/>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shd w:val="clear" w:color="auto" w:fill="FFFFFF"/>
        </w:rPr>
      </w:pPr>
      <w:r w:rsidRPr="00100412">
        <w:rPr>
          <w:rFonts w:ascii="Palatino Linotype" w:hAnsi="Palatino Linotype"/>
          <w:shd w:val="clear" w:color="auto" w:fill="FFFFFF"/>
        </w:rPr>
        <w:t xml:space="preserve">Es por ello, que cuando surgen estas dificultades para la aplicación de la norma (antinomias o lagunas) se debe recurrir a la interpretación y a la integración de las normas jurídicas. La interpretación, a efecto de conocer cuál es el significado una norma y poder así aplicarla a un caso concreto y la integración por virtud de la </w:t>
      </w:r>
      <w:r w:rsidRPr="00100412">
        <w:rPr>
          <w:rFonts w:ascii="Palatino Linotype" w:hAnsi="Palatino Linotype"/>
          <w:shd w:val="clear" w:color="auto" w:fill="FFFFFF"/>
        </w:rPr>
        <w:lastRenderedPageBreak/>
        <w:t>cual se completan, salvan, o llenan las lagunas que aparecen en los ordenamientos jurídicos.</w:t>
      </w:r>
    </w:p>
    <w:p w:rsidR="00855DA2" w:rsidRPr="00100412" w:rsidRDefault="00855DA2" w:rsidP="00855DA2">
      <w:pPr>
        <w:pStyle w:val="Prrafodelista"/>
        <w:rPr>
          <w:rFonts w:ascii="Palatino Linotype" w:hAnsi="Palatino Linotype"/>
          <w:shd w:val="clear" w:color="auto" w:fill="FFFFFF"/>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shd w:val="clear" w:color="auto" w:fill="FFFFFF"/>
        </w:rPr>
      </w:pPr>
      <w:r w:rsidRPr="00100412">
        <w:rPr>
          <w:rFonts w:ascii="Palatino Linotype" w:hAnsi="Palatino Linotype"/>
          <w:shd w:val="clear" w:color="auto" w:fill="FFFFFF"/>
        </w:rPr>
        <w:t xml:space="preserve">Una vez precisado lo anterior, en el caso que nos ocupa, no nos encontramos en presencia de normas contradictorias (antinomias), ya que no existe norma contradictoria a lo establecido en el artículo 160 de la Ley General de Transparencia y Acceso a la Información Pública, o exista una sobreposición de normas jurídicas en cuanto a los ámbitos de validez del precepto legal citado, que las haga incompatibles, que requiera de una </w:t>
      </w:r>
      <w:proofErr w:type="spellStart"/>
      <w:r w:rsidRPr="00100412">
        <w:rPr>
          <w:rFonts w:ascii="Palatino Linotype" w:hAnsi="Palatino Linotype"/>
          <w:shd w:val="clear" w:color="auto" w:fill="FFFFFF"/>
        </w:rPr>
        <w:t>interpetración</w:t>
      </w:r>
      <w:proofErr w:type="spellEnd"/>
      <w:r w:rsidRPr="00100412">
        <w:rPr>
          <w:rFonts w:ascii="Palatino Linotype" w:hAnsi="Palatino Linotype"/>
          <w:shd w:val="clear" w:color="auto" w:fill="FFFFFF"/>
        </w:rPr>
        <w:t xml:space="preserve"> o integración para determinar de ambas normas cuál debe eliminarse, o eliminarse ambas, o bien, introducir alguna modificación en una o ambas, para hacerlas compatibles.</w:t>
      </w:r>
    </w:p>
    <w:p w:rsidR="00855DA2" w:rsidRPr="00100412" w:rsidRDefault="00855DA2" w:rsidP="00855DA2">
      <w:pPr>
        <w:pStyle w:val="Prrafodelista"/>
        <w:tabs>
          <w:tab w:val="left" w:pos="0"/>
        </w:tabs>
        <w:spacing w:line="360" w:lineRule="auto"/>
        <w:ind w:left="0" w:right="49"/>
        <w:jc w:val="both"/>
        <w:rPr>
          <w:rFonts w:ascii="Palatino Linotype" w:hAnsi="Palatino Linotype"/>
          <w:shd w:val="clear" w:color="auto" w:fill="FFFFFF"/>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shd w:val="clear" w:color="auto" w:fill="FFFFFF"/>
        </w:rPr>
      </w:pPr>
      <w:r w:rsidRPr="00100412">
        <w:rPr>
          <w:rFonts w:ascii="Palatino Linotype" w:hAnsi="Palatino Linotype"/>
          <w:shd w:val="clear" w:color="auto" w:fill="FFFFFF"/>
        </w:rPr>
        <w:t xml:space="preserve">Asimismo, no nos encontramos en presencia de una omisión por parte del legislador al caso en concreto (laguna), toda vez que como se ha dicho reiteradamente el artículo 160 de la Ley General de Transparencia y Acceso a la Información Pública señala expresamente la procedencia del recurso de inconformidad e incluso en cuanto a la negativa de la información, el propio legislador es quien establece el sentido y alcance normativo de la ley, es decir, nos encontramos frente a la </w:t>
      </w:r>
      <w:proofErr w:type="spellStart"/>
      <w:r w:rsidRPr="00100412">
        <w:rPr>
          <w:rFonts w:ascii="Palatino Linotype" w:hAnsi="Palatino Linotype"/>
          <w:shd w:val="clear" w:color="auto" w:fill="FFFFFF"/>
        </w:rPr>
        <w:t>intepretación</w:t>
      </w:r>
      <w:proofErr w:type="spellEnd"/>
      <w:r w:rsidRPr="00100412">
        <w:rPr>
          <w:rFonts w:ascii="Palatino Linotype" w:hAnsi="Palatino Linotype"/>
          <w:shd w:val="clear" w:color="auto" w:fill="FFFFFF"/>
        </w:rPr>
        <w:t xml:space="preserve"> auténtica contenida en una ley, la cual posee obligatoriedad general.</w:t>
      </w:r>
    </w:p>
    <w:p w:rsidR="00855DA2" w:rsidRPr="00100412" w:rsidRDefault="00855DA2" w:rsidP="00855DA2">
      <w:pPr>
        <w:pStyle w:val="Prrafodelista"/>
        <w:tabs>
          <w:tab w:val="left" w:pos="0"/>
        </w:tabs>
        <w:spacing w:line="360" w:lineRule="auto"/>
        <w:ind w:left="0" w:right="49"/>
        <w:jc w:val="both"/>
        <w:rPr>
          <w:rFonts w:ascii="Palatino Linotype" w:hAnsi="Palatino Linotype"/>
          <w:shd w:val="clear" w:color="auto" w:fill="FFFFFF"/>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shd w:val="clear" w:color="auto" w:fill="FFFFFF"/>
        </w:rPr>
        <w:t xml:space="preserve">Por lo tanto, en ningún momento nos encontramos frente a expresiones oscuras o incompletas que </w:t>
      </w:r>
      <w:proofErr w:type="spellStart"/>
      <w:r w:rsidRPr="00100412">
        <w:rPr>
          <w:rFonts w:ascii="Palatino Linotype" w:hAnsi="Palatino Linotype"/>
          <w:shd w:val="clear" w:color="auto" w:fill="FFFFFF"/>
        </w:rPr>
        <w:t>requierean</w:t>
      </w:r>
      <w:proofErr w:type="spellEnd"/>
      <w:r w:rsidRPr="00100412">
        <w:rPr>
          <w:rFonts w:ascii="Palatino Linotype" w:hAnsi="Palatino Linotype"/>
          <w:shd w:val="clear" w:color="auto" w:fill="FFFFFF"/>
        </w:rPr>
        <w:t xml:space="preserve"> acudir a la interpretación para completar, </w:t>
      </w:r>
      <w:r w:rsidRPr="00100412">
        <w:rPr>
          <w:rFonts w:ascii="Palatino Linotype" w:hAnsi="Palatino Linotype"/>
          <w:shd w:val="clear" w:color="auto" w:fill="FFFFFF"/>
        </w:rPr>
        <w:lastRenderedPageBreak/>
        <w:t>restringir o extender su letra. Si el texto legal es claro, como es el caso, debe aplicarse en sus términos, de lo contrario estaríamos frente a una decisión altamente discrecional de creación y manipulación de la norma.</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Si bien es cierto, conforme al artículo 41 fracción I de la Ley General de Transparencia y Acceso a la Información Pública  es atribución del INAI interpretar la ley, también lo es que dicha atribución no es absoluta, sino que se encuentra limitada por el principio de legalidad y por la supremacía constitucional, de lo contrario sería un poder superior al poder reformados de la constitución y al Poder Judicial, convirtiéndose en un poder odioso en un sistema constitucional de derecho al que habría que resistir, dentro del diseño constitucional.</w:t>
      </w:r>
    </w:p>
    <w:p w:rsidR="00855DA2" w:rsidRPr="00100412" w:rsidRDefault="00855DA2" w:rsidP="00855DA2">
      <w:pPr>
        <w:pStyle w:val="Prrafodelista"/>
        <w:tabs>
          <w:tab w:val="left" w:pos="0"/>
        </w:tabs>
        <w:spacing w:line="360" w:lineRule="auto"/>
        <w:ind w:left="0" w:right="49"/>
        <w:jc w:val="both"/>
        <w:rPr>
          <w:rFonts w:ascii="Palatino Linotype" w:hAnsi="Palatino Linotype"/>
          <w:shd w:val="clear" w:color="auto" w:fill="FFFFFF"/>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shd w:val="clear" w:color="auto" w:fill="FFFFFF"/>
        </w:rPr>
      </w:pPr>
      <w:r w:rsidRPr="00100412">
        <w:rPr>
          <w:rFonts w:ascii="Palatino Linotype" w:hAnsi="Palatino Linotype"/>
          <w:shd w:val="clear" w:color="auto" w:fill="FFFFFF"/>
        </w:rPr>
        <w:t xml:space="preserve">No se cuestiona la atribución legal del INAI para que en el ámbito de sus </w:t>
      </w:r>
      <w:proofErr w:type="gramStart"/>
      <w:r w:rsidRPr="00100412">
        <w:rPr>
          <w:rFonts w:ascii="Palatino Linotype" w:hAnsi="Palatino Linotype"/>
          <w:shd w:val="clear" w:color="auto" w:fill="FFFFFF"/>
        </w:rPr>
        <w:t>atribuciones  interprete</w:t>
      </w:r>
      <w:proofErr w:type="gramEnd"/>
      <w:r w:rsidRPr="00100412">
        <w:rPr>
          <w:rFonts w:ascii="Palatino Linotype" w:hAnsi="Palatino Linotype"/>
          <w:shd w:val="clear" w:color="auto" w:fill="FFFFFF"/>
        </w:rPr>
        <w:t xml:space="preserve"> la Ley General de Transparencia y Acceso a la Información Pública, lo cuestionable es que se pretenda interpretar la norma cuando no hay necesidad de ello y que los efectos de dicha interpretación sean excesivos al grado de crear una norma especial que rija al caso en concreto al momento de emitir su resolución. La interpretación de la norma jurídica no le permite al interprete elaborar una norma especial de referencia, sino que tiene la obligación de sujetarse a las reglas de interpretación e integración del </w:t>
      </w:r>
      <w:proofErr w:type="spellStart"/>
      <w:r w:rsidRPr="00100412">
        <w:rPr>
          <w:rFonts w:ascii="Palatino Linotype" w:hAnsi="Palatino Linotype"/>
          <w:shd w:val="clear" w:color="auto" w:fill="FFFFFF"/>
        </w:rPr>
        <w:t>odenamiento</w:t>
      </w:r>
      <w:proofErr w:type="spellEnd"/>
      <w:r w:rsidRPr="00100412">
        <w:rPr>
          <w:rFonts w:ascii="Palatino Linotype" w:hAnsi="Palatino Linotype"/>
          <w:shd w:val="clear" w:color="auto" w:fill="FFFFFF"/>
        </w:rPr>
        <w:t xml:space="preserve"> jurídico de que se trate, las cuales debe observar escrupulosamente.</w:t>
      </w:r>
    </w:p>
    <w:p w:rsidR="00855DA2" w:rsidRPr="00100412" w:rsidRDefault="00855DA2" w:rsidP="00855DA2">
      <w:pPr>
        <w:pStyle w:val="Prrafodelista"/>
        <w:rPr>
          <w:rFonts w:ascii="Palatino Linotype" w:hAnsi="Palatino Linotype"/>
          <w:shd w:val="clear" w:color="auto" w:fill="FFFFFF"/>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shd w:val="clear" w:color="auto" w:fill="FFFFFF"/>
        </w:rPr>
      </w:pPr>
      <w:r w:rsidRPr="00100412">
        <w:rPr>
          <w:rFonts w:ascii="Palatino Linotype" w:hAnsi="Palatino Linotype"/>
          <w:shd w:val="clear" w:color="auto" w:fill="FFFFFF"/>
        </w:rPr>
        <w:lastRenderedPageBreak/>
        <w:t xml:space="preserve">De lo contrario, estaríamos frente a la arbitrariedad subjetiva del interprete, o peor aún, la existencia de legisladores individuales cuya voluntad </w:t>
      </w:r>
      <w:proofErr w:type="gramStart"/>
      <w:r w:rsidRPr="00100412">
        <w:rPr>
          <w:rFonts w:ascii="Palatino Linotype" w:hAnsi="Palatino Linotype"/>
          <w:shd w:val="clear" w:color="auto" w:fill="FFFFFF"/>
        </w:rPr>
        <w:t>se  pueda</w:t>
      </w:r>
      <w:proofErr w:type="gramEnd"/>
      <w:r w:rsidRPr="00100412">
        <w:rPr>
          <w:rFonts w:ascii="Palatino Linotype" w:hAnsi="Palatino Linotype"/>
          <w:shd w:val="clear" w:color="auto" w:fill="FFFFFF"/>
        </w:rPr>
        <w:t xml:space="preserve"> averiguar por métodos empíricos, es decir, no existe algo así como </w:t>
      </w:r>
      <w:r w:rsidRPr="00100412">
        <w:rPr>
          <w:rFonts w:ascii="Palatino Linotype" w:hAnsi="Palatino Linotype"/>
          <w:i/>
          <w:shd w:val="clear" w:color="auto" w:fill="FFFFFF"/>
        </w:rPr>
        <w:t>“una voluntad colectiva”</w:t>
      </w:r>
      <w:r w:rsidRPr="00100412">
        <w:rPr>
          <w:rFonts w:ascii="Palatino Linotype" w:hAnsi="Palatino Linotype"/>
          <w:shd w:val="clear" w:color="auto" w:fill="FFFFFF"/>
        </w:rPr>
        <w:t xml:space="preserve"> de los órganos colegiados. </w:t>
      </w:r>
    </w:p>
    <w:p w:rsidR="00855DA2" w:rsidRPr="00100412" w:rsidRDefault="00855DA2" w:rsidP="00855DA2">
      <w:pPr>
        <w:pStyle w:val="Prrafodelista"/>
        <w:spacing w:line="360" w:lineRule="auto"/>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rPr>
        <w:t>Asimismo, el Órgano Garante señala que el legislador envistió a ese Instituto de la facultad de interpretar la Ley General de Transparencia y Acceso a la Información Pública, de conformidad con lo previsto en su artículo 41, fracción I, por lo tanto, propugnan por una interpretación conforme y siguiendo el principio de progresividad.</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En este sentido, conviene precisar que el principio de interpretación conforme </w:t>
      </w:r>
      <w:r w:rsidRPr="00100412">
        <w:rPr>
          <w:rFonts w:ascii="Palatino Linotype" w:hAnsi="Palatino Linotype"/>
        </w:rPr>
        <w:t>constituye el principio por el cual las normas relativas a los derechos humanos son, en su carácter de estándares de mínimos, objeto de una remisión hacia la Constitución y los tratados internacionales para efectos de su aplicación más protectora.</w:t>
      </w:r>
    </w:p>
    <w:p w:rsidR="00855DA2" w:rsidRPr="00100412" w:rsidRDefault="00855DA2" w:rsidP="00855DA2">
      <w:pPr>
        <w:pStyle w:val="Prrafodelista"/>
        <w:spacing w:line="360" w:lineRule="auto"/>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rPr>
        <w:t xml:space="preserve">Este principio persigue dos propósitos: (1) asegurar la integración normativa de los derechos, </w:t>
      </w:r>
      <w:proofErr w:type="spellStart"/>
      <w:r w:rsidRPr="00100412">
        <w:rPr>
          <w:rFonts w:ascii="Palatino Linotype" w:hAnsi="Palatino Linotype"/>
        </w:rPr>
        <w:t>entendiendose</w:t>
      </w:r>
      <w:proofErr w:type="spellEnd"/>
      <w:r w:rsidRPr="00100412">
        <w:rPr>
          <w:rFonts w:ascii="Palatino Linotype" w:hAnsi="Palatino Linotype"/>
        </w:rPr>
        <w:t xml:space="preserve"> que se dirige a dinamizar las normas que conforman el parámetro de control de la regularidad constitucional, con ampliaciones más protectoras; y, (2) resolver las tensiones, conflictos o antinomias que se presenten entre los mismos, es decir, marca las contenciones entre diferentes parámetros de </w:t>
      </w:r>
      <w:r w:rsidRPr="00100412">
        <w:rPr>
          <w:rFonts w:ascii="Palatino Linotype" w:hAnsi="Palatino Linotype"/>
        </w:rPr>
        <w:lastRenderedPageBreak/>
        <w:t>control de la regularidad constitucional de diversos derechos en juego, o las contenciones ante normas que los regulan.</w:t>
      </w:r>
    </w:p>
    <w:p w:rsidR="00855DA2" w:rsidRPr="00100412" w:rsidRDefault="00855DA2" w:rsidP="00855DA2">
      <w:pPr>
        <w:pStyle w:val="Prrafodelista"/>
        <w:tabs>
          <w:tab w:val="left" w:pos="0"/>
        </w:tabs>
        <w:spacing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t xml:space="preserve">El modelo mexicano de interpretación conforme ha adoptado una naturaleza sui generis en la medida que las remisiones interpretativas no se dan únicamente respecto a los tratados internacionales, sino también respecto a la propia Constitución. </w:t>
      </w:r>
    </w:p>
    <w:p w:rsidR="00855DA2" w:rsidRPr="00100412" w:rsidRDefault="00855DA2" w:rsidP="00855DA2">
      <w:pPr>
        <w:pStyle w:val="Prrafodelista"/>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t xml:space="preserve">Es por ello, que llevar a cabo una interpretación conforme como lo señala el Órgano Garante, presupone primero, la existencia de conflictos o antinomias, </w:t>
      </w:r>
      <w:proofErr w:type="gramStart"/>
      <w:r w:rsidRPr="00100412">
        <w:rPr>
          <w:rFonts w:ascii="Palatino Linotype" w:hAnsi="Palatino Linotype"/>
        </w:rPr>
        <w:t>y</w:t>
      </w:r>
      <w:proofErr w:type="gramEnd"/>
      <w:r w:rsidRPr="00100412">
        <w:rPr>
          <w:rFonts w:ascii="Palatino Linotype" w:hAnsi="Palatino Linotype"/>
        </w:rPr>
        <w:t xml:space="preserve"> en segundo lugar, que para la resolver dichos conflictos normativos se deba acudir al texto constitucional o a los tratados internacionales para efectos de aplicar la norma </w:t>
      </w:r>
      <w:proofErr w:type="spellStart"/>
      <w:r w:rsidRPr="00100412">
        <w:rPr>
          <w:rFonts w:ascii="Palatino Linotype" w:hAnsi="Palatino Linotype"/>
        </w:rPr>
        <w:t>mas</w:t>
      </w:r>
      <w:proofErr w:type="spellEnd"/>
      <w:r w:rsidRPr="00100412">
        <w:rPr>
          <w:rFonts w:ascii="Palatino Linotype" w:hAnsi="Palatino Linotype"/>
        </w:rPr>
        <w:t xml:space="preserve"> protectora; sin embargo, en el presente caso, no existe un conflicto de aplicación de normas jurídicas, antinomias o lagunas legales. </w:t>
      </w:r>
    </w:p>
    <w:p w:rsidR="00855DA2" w:rsidRPr="00100412" w:rsidRDefault="00855DA2" w:rsidP="00855DA2">
      <w:pPr>
        <w:pStyle w:val="Prrafodelista"/>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t xml:space="preserve">No </w:t>
      </w:r>
      <w:proofErr w:type="gramStart"/>
      <w:r w:rsidRPr="00100412">
        <w:rPr>
          <w:rFonts w:ascii="Palatino Linotype" w:hAnsi="Palatino Linotype"/>
        </w:rPr>
        <w:t>obstante</w:t>
      </w:r>
      <w:proofErr w:type="gramEnd"/>
      <w:r w:rsidRPr="00100412">
        <w:rPr>
          <w:rFonts w:ascii="Palatino Linotype" w:hAnsi="Palatino Linotype"/>
        </w:rPr>
        <w:t xml:space="preserve"> lo anterior, efectivamente, en virtud del principio de interpretación conforme, es que el Órgano Garante Nacional al interpretar la Ley General de Transparencia y Acceso a la </w:t>
      </w:r>
      <w:r w:rsidR="00032B94" w:rsidRPr="00100412">
        <w:rPr>
          <w:rFonts w:ascii="Palatino Linotype" w:hAnsi="Palatino Linotype"/>
        </w:rPr>
        <w:t>Información</w:t>
      </w:r>
      <w:r w:rsidRPr="00100412">
        <w:rPr>
          <w:rFonts w:ascii="Palatino Linotype" w:hAnsi="Palatino Linotype"/>
        </w:rPr>
        <w:t xml:space="preserve"> Pública, debe remitirse a lo establecido en la propia Constitución. </w:t>
      </w:r>
    </w:p>
    <w:p w:rsidR="00855DA2" w:rsidRPr="00100412" w:rsidRDefault="00855DA2" w:rsidP="00855DA2">
      <w:pPr>
        <w:pStyle w:val="Prrafodelista"/>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lang w:val="es-ES_tradnl"/>
        </w:rPr>
        <w:t xml:space="preserve">Por lo tanto, la interpretación conforme a la Constitución nos conduce a señalar que en caso de existir coalición ente dos normas jurídicas, estas se deben interpretarse conforme al texto Constitucional; sin embargo, en el presente caso no </w:t>
      </w:r>
      <w:r w:rsidRPr="00100412">
        <w:rPr>
          <w:rFonts w:ascii="Palatino Linotype" w:hAnsi="Palatino Linotype"/>
          <w:lang w:val="es-ES_tradnl"/>
        </w:rPr>
        <w:lastRenderedPageBreak/>
        <w:t xml:space="preserve">existe una colisión o contradicción entre normas jurídicas que conlleve su interpretación conforme al texto constitucional, máxime que el </w:t>
      </w:r>
      <w:r w:rsidR="00F91DB5" w:rsidRPr="00100412">
        <w:rPr>
          <w:rFonts w:ascii="Palatino Linotype" w:hAnsi="Palatino Linotype"/>
          <w:lang w:val="es-ES_tradnl"/>
        </w:rPr>
        <w:t>artículo</w:t>
      </w:r>
      <w:r w:rsidRPr="00100412">
        <w:rPr>
          <w:rFonts w:ascii="Palatino Linotype" w:hAnsi="Palatino Linotype"/>
          <w:lang w:val="es-ES_tradnl"/>
        </w:rPr>
        <w:t xml:space="preserve"> sexto constitucional y el </w:t>
      </w:r>
      <w:r w:rsidR="00F91DB5" w:rsidRPr="00100412">
        <w:rPr>
          <w:rFonts w:ascii="Palatino Linotype" w:hAnsi="Palatino Linotype"/>
          <w:lang w:val="es-ES_tradnl"/>
        </w:rPr>
        <w:t>artículo</w:t>
      </w:r>
      <w:r w:rsidRPr="00100412">
        <w:rPr>
          <w:rFonts w:ascii="Palatino Linotype" w:hAnsi="Palatino Linotype"/>
          <w:lang w:val="es-ES_tradnl"/>
        </w:rPr>
        <w:t xml:space="preserve"> 160 de la Ley General de Transparencia y Acceso a la Información Pública de manera clara establecen cuales son las causales restringidas de procedencia del recurso de inconformidad y, por otro lado, no se señala cual es la otra norma jurídica a la que acudirá el INAI para resolver el asunto y justificar la procedencia.</w:t>
      </w:r>
    </w:p>
    <w:p w:rsidR="00855DA2" w:rsidRPr="00100412" w:rsidRDefault="00855DA2" w:rsidP="00855DA2">
      <w:pPr>
        <w:pStyle w:val="Prrafodelista"/>
        <w:tabs>
          <w:tab w:val="left" w:pos="0"/>
        </w:tabs>
        <w:spacing w:line="360" w:lineRule="auto"/>
        <w:ind w:left="0" w:right="49"/>
        <w:jc w:val="both"/>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rPr>
        <w:t>Aunado a lo anterior, el Órgano Garante Nacional, señala que el hecho de limitar la interpretación de la negativa de información a la falta de resolución por parte del Órgano Garante, va en contra de la obligación de este Instituto de garantizar el principio pro homine previsto en el artículo 1° Constitucional, que prevé la aplicación de la norma más protectora en beneficio de la persona y, principalmente, garantizar el derecho de acceso a la información pública, previsto en el artículo 6° Constitucional.</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En el caso que nos ocupa, el Órgano Garante Nacional únicamente se limita a señalar que es </w:t>
      </w:r>
      <w:r w:rsidRPr="00100412">
        <w:rPr>
          <w:rFonts w:ascii="Palatino Linotype" w:hAnsi="Palatino Linotype"/>
        </w:rPr>
        <w:t xml:space="preserve">obligación de ese Instituto de garantizar el principio pro homine previsto en el artículo 1° Constitucional, que prevé la aplicación de la norma más protectora en beneficio de la persona y, principalmente, garantizar el derecho de acceso a la información pública; sin embargo, es omiso en señalar en que consiste la “garantía” del principio “pro homine” que hace, es decir si se trata de acudir a la </w:t>
      </w:r>
      <w:r w:rsidRPr="00100412">
        <w:rPr>
          <w:rFonts w:ascii="Palatino Linotype" w:hAnsi="Palatino Linotype"/>
        </w:rPr>
        <w:lastRenderedPageBreak/>
        <w:t>norma más protectora, o bien, preferir la interpretación de mayor alcance de ésta al reconocer y/o garantizar el ejercicio de un derecho fundamental; o bien, en sentido complementario, aplicar la norma y/o interpretación más restringida al establecer limitaciones y/o restricciones al ejercicio de los derechos humanos.</w:t>
      </w:r>
    </w:p>
    <w:p w:rsidR="00855DA2" w:rsidRPr="00100412" w:rsidRDefault="00855DA2" w:rsidP="00855DA2">
      <w:pPr>
        <w:pStyle w:val="Prrafodelista"/>
        <w:spacing w:line="360" w:lineRule="auto"/>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rPr>
        <w:t xml:space="preserve">Conviene recordar que el principio pro persona tiene dos manifestaciones o reglas principales: (1) preferencia interpretativa y, (2) preferencia de </w:t>
      </w:r>
      <w:proofErr w:type="gramStart"/>
      <w:r w:rsidRPr="00100412">
        <w:rPr>
          <w:rFonts w:ascii="Palatino Linotype" w:hAnsi="Palatino Linotype"/>
        </w:rPr>
        <w:t>normas</w:t>
      </w:r>
      <w:bookmarkStart w:id="144" w:name="P21"/>
      <w:bookmarkEnd w:id="144"/>
      <w:r w:rsidRPr="00100412">
        <w:rPr>
          <w:rFonts w:ascii="Palatino Linotype" w:hAnsi="Palatino Linotype"/>
        </w:rPr>
        <w:t>;  a</w:t>
      </w:r>
      <w:proofErr w:type="gramEnd"/>
      <w:r w:rsidRPr="00100412">
        <w:rPr>
          <w:rFonts w:ascii="Palatino Linotype" w:hAnsi="Palatino Linotype"/>
        </w:rPr>
        <w:t xml:space="preserve"> su vez la preferencia interpretativa tiene dos manifestaciones: a) la interpretativa extensiva y, b) la interpretativa restringida. Por su parte, la preferencia de normas se manifiesta de dos maneras: a) la preferencia de la norma más protectora y, b) la de la conservación de la norma más favorable.</w:t>
      </w:r>
    </w:p>
    <w:p w:rsidR="00855DA2" w:rsidRPr="00100412" w:rsidRDefault="00855DA2" w:rsidP="00855DA2">
      <w:pPr>
        <w:pStyle w:val="Prrafodelista"/>
        <w:spacing w:line="360" w:lineRule="auto"/>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rPr>
        <w:t xml:space="preserve"> La preferencia interpretativa del principio </w:t>
      </w:r>
      <w:proofErr w:type="spellStart"/>
      <w:r w:rsidRPr="00100412">
        <w:rPr>
          <w:rFonts w:ascii="Palatino Linotype" w:hAnsi="Palatino Linotype"/>
        </w:rPr>
        <w:t>pro</w:t>
      </w:r>
      <w:proofErr w:type="spellEnd"/>
      <w:r w:rsidRPr="00100412">
        <w:rPr>
          <w:rFonts w:ascii="Palatino Linotype" w:hAnsi="Palatino Linotype"/>
        </w:rPr>
        <w:t xml:space="preserve"> persona, a diferencia de la preferencia de normas, no implica la disyuntiva de aplicar una norma de entre varias posibles, sino que el juzgador o intérprete jurídico se encuentra frente a una norma de derechos humanos, con contenido de derechos humanos o que sirve para proteger derechos humanos, respecto a la cual se pueden hacer varias interpretaciones, es decir, hay una norma que protege derechos fundamentales y una pluralidad de posibles interpretaciones de dicha norma, o bien, una pluralidad de significados, contenidos y alcances de una determinada norma.</w:t>
      </w:r>
    </w:p>
    <w:p w:rsidR="00855DA2" w:rsidRPr="00100412" w:rsidRDefault="00855DA2" w:rsidP="00855DA2">
      <w:pPr>
        <w:pStyle w:val="Prrafodelista"/>
        <w:tabs>
          <w:tab w:val="left" w:pos="0"/>
        </w:tabs>
        <w:spacing w:line="360" w:lineRule="auto"/>
        <w:ind w:left="0" w:right="49"/>
        <w:jc w:val="both"/>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lastRenderedPageBreak/>
        <w:t xml:space="preserve">Conviene recordar que este principio tiene dos manifestaciones o reglas principales: (1) Preferencia interpretativa y, (2) Preferencia de </w:t>
      </w:r>
      <w:proofErr w:type="gramStart"/>
      <w:r w:rsidRPr="00100412">
        <w:rPr>
          <w:rFonts w:ascii="Palatino Linotype" w:hAnsi="Palatino Linotype"/>
        </w:rPr>
        <w:t>normas;  a</w:t>
      </w:r>
      <w:proofErr w:type="gramEnd"/>
      <w:r w:rsidRPr="00100412">
        <w:rPr>
          <w:rFonts w:ascii="Palatino Linotype" w:hAnsi="Palatino Linotype"/>
        </w:rPr>
        <w:t xml:space="preserve"> su vez la preferencia interpretativa tiene dos manifestaciones: a) la interpretativa extensiva y, b) la interpretativa restringida. Por su parte, la preferencia de normas se manifiesta de dos maneras: a) la preferencia de la norma más protectora y, b) la de la conservación de la norma más favorable.</w:t>
      </w:r>
    </w:p>
    <w:p w:rsidR="00855DA2" w:rsidRPr="00100412" w:rsidRDefault="00855DA2" w:rsidP="00855DA2">
      <w:pPr>
        <w:pStyle w:val="Prrafodelista"/>
        <w:tabs>
          <w:tab w:val="left" w:pos="0"/>
        </w:tabs>
        <w:spacing w:line="360" w:lineRule="auto"/>
        <w:ind w:left="0" w:right="49"/>
        <w:jc w:val="both"/>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rPr>
        <w:t>En este tenor, la preferencia interpretativa conlleva dar a una norma que contiene derechos humanos su más amplia interpretación para que éstos se ejerzan, o bien, el mínimo alcance interpretativo posible si se trata de limitar o suspender su ejercicio, sin dejar fuera los matices que entre ambos extremos se pueden presentar.</w:t>
      </w:r>
      <w:r w:rsidRPr="00100412">
        <w:rPr>
          <w:rFonts w:ascii="Palatino Linotype" w:hAnsi="Palatino Linotype"/>
          <w:lang w:val="es-ES_tradnl"/>
        </w:rPr>
        <w:t xml:space="preserve"> L</w:t>
      </w:r>
      <w:r w:rsidRPr="00100412">
        <w:rPr>
          <w:rFonts w:ascii="Palatino Linotype" w:hAnsi="Palatino Linotype"/>
        </w:rPr>
        <w:t xml:space="preserve">a preferencia interpretativa restringida implica que cuando se establecen restricciones permanentes al ejercicio de los derechos o su suspensión extraordinaria, la norma debe ser interpretada de tal manera que se limite o restrinja lo menos posible dicho ejercicio. Se debe adoptar la interpretación que mejor haga permanecer el derecho, que mejor tutele a la persona, aun cuando resulte necesario establecer limitaciones al ejercicio de los derechos. Es decir, que ante un caso concreto en el que por condiciones extraordinarias se tenga que imponer una restricción al ejercicio de un derecho humano determinado, el juzgador o intérprete legal debe optar por la interpretación que menos reduzca la esencia de dicho derecho, por la interpretación que aun ante la restricción permita el ejercicio de los aspectos claves del derecho de que se trate, por la interpretación más restringida y </w:t>
      </w:r>
      <w:r w:rsidRPr="00100412">
        <w:rPr>
          <w:rFonts w:ascii="Palatino Linotype" w:hAnsi="Palatino Linotype"/>
        </w:rPr>
        <w:lastRenderedPageBreak/>
        <w:t>que en la medida de lo posible haga viable el ejercicio del derecho como si no existiere restricción.</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lang w:val="es-ES_tradnl"/>
        </w:rPr>
        <w:t xml:space="preserve">Cabe destacar que la alegada interpretación </w:t>
      </w:r>
      <w:r w:rsidRPr="00100412">
        <w:rPr>
          <w:rFonts w:ascii="Palatino Linotype" w:hAnsi="Palatino Linotype"/>
          <w:i/>
          <w:lang w:val="es-ES_tradnl"/>
        </w:rPr>
        <w:t>pro homine</w:t>
      </w:r>
      <w:r w:rsidRPr="00100412">
        <w:rPr>
          <w:rFonts w:ascii="Palatino Linotype" w:hAnsi="Palatino Linotype"/>
          <w:lang w:val="es-ES_tradnl"/>
        </w:rPr>
        <w:t xml:space="preserve"> referida por el  INAI en su resolución con la que pretende justificar su abuso, implica escoger de entre dos normas jurídicas formales, válidas y vigentes, la que otorgue una protección mayor, no resulta aplicable al caso ya que por un lado tenemos al </w:t>
      </w:r>
      <w:r w:rsidR="00F91DB5" w:rsidRPr="00100412">
        <w:rPr>
          <w:rFonts w:ascii="Palatino Linotype" w:hAnsi="Palatino Linotype"/>
          <w:lang w:val="es-ES_tradnl"/>
        </w:rPr>
        <w:t>artículo</w:t>
      </w:r>
      <w:r w:rsidRPr="00100412">
        <w:rPr>
          <w:rFonts w:ascii="Palatino Linotype" w:hAnsi="Palatino Linotype"/>
          <w:lang w:val="es-ES_tradnl"/>
        </w:rPr>
        <w:t xml:space="preserve"> sexto constitucional y al </w:t>
      </w:r>
      <w:r w:rsidR="00F91DB5" w:rsidRPr="00100412">
        <w:rPr>
          <w:rFonts w:ascii="Palatino Linotype" w:hAnsi="Palatino Linotype"/>
          <w:lang w:val="es-ES_tradnl"/>
        </w:rPr>
        <w:t>artículo</w:t>
      </w:r>
      <w:r w:rsidRPr="00100412">
        <w:rPr>
          <w:rFonts w:ascii="Palatino Linotype" w:hAnsi="Palatino Linotype"/>
          <w:lang w:val="es-ES_tradnl"/>
        </w:rPr>
        <w:t xml:space="preserve"> 160 de la Ley General de Transparencia y Acceso a la Información Pública que señalan cuales son las causales restringidas de procedencia y, por otro lado, en ningún momento se señala cual es la otra norma jurídica que otorga mayor protección, a la que acudirá el INAI para resolver el asunto y justificar la procedencia.</w:t>
      </w:r>
    </w:p>
    <w:p w:rsidR="00855DA2" w:rsidRPr="00100412" w:rsidRDefault="00855DA2" w:rsidP="00855DA2">
      <w:pPr>
        <w:pStyle w:val="Prrafodelista"/>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t xml:space="preserve">Por lo que se reitera, que la interpretación </w:t>
      </w:r>
      <w:r w:rsidRPr="00100412">
        <w:rPr>
          <w:rFonts w:ascii="Palatino Linotype" w:hAnsi="Palatino Linotype"/>
          <w:i/>
        </w:rPr>
        <w:t>pro homine</w:t>
      </w:r>
      <w:r w:rsidRPr="00100412">
        <w:rPr>
          <w:rFonts w:ascii="Palatino Linotype" w:hAnsi="Palatino Linotype"/>
        </w:rPr>
        <w:t xml:space="preserve"> implica necesariamente que existan dos normas jurídicas de diferente jerarquía tengan una diferencia en el grado de protección; sin </w:t>
      </w:r>
      <w:proofErr w:type="gramStart"/>
      <w:r w:rsidRPr="00100412">
        <w:rPr>
          <w:rFonts w:ascii="Palatino Linotype" w:hAnsi="Palatino Linotype"/>
        </w:rPr>
        <w:t>embargo</w:t>
      </w:r>
      <w:proofErr w:type="gramEnd"/>
      <w:r w:rsidRPr="00100412">
        <w:rPr>
          <w:rFonts w:ascii="Palatino Linotype" w:hAnsi="Palatino Linotype"/>
        </w:rPr>
        <w:t xml:space="preserve"> en el caso que nos ocupa, no existen dos normas jurídicas en colisión que deban ser interpretadas bajo el principio pro persona para determinar </w:t>
      </w:r>
      <w:r w:rsidR="00F91DB5" w:rsidRPr="00100412">
        <w:rPr>
          <w:rFonts w:ascii="Palatino Linotype" w:hAnsi="Palatino Linotype"/>
        </w:rPr>
        <w:t>cuál</w:t>
      </w:r>
      <w:r w:rsidRPr="00100412">
        <w:rPr>
          <w:rFonts w:ascii="Palatino Linotype" w:hAnsi="Palatino Linotype"/>
        </w:rPr>
        <w:t xml:space="preserve"> de ellas le otorga una mayor protección a la persona. </w:t>
      </w:r>
    </w:p>
    <w:p w:rsidR="00855DA2" w:rsidRPr="00100412" w:rsidRDefault="00855DA2" w:rsidP="00855DA2">
      <w:pPr>
        <w:pStyle w:val="Prrafodelista"/>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t xml:space="preserve">En su resolución, el Órgano Garante Nacional considera que el artículo 160 de la Ley General de Transparencia y Acceso a la Información Pública tiene una protección limitada; sin embargo, no refiere cuál es norma en el derecho positivo que establezca una mayor protección que conlleve a hacer una interpretación pro </w:t>
      </w:r>
      <w:r w:rsidRPr="00100412">
        <w:rPr>
          <w:rFonts w:ascii="Palatino Linotype" w:hAnsi="Palatino Linotype"/>
        </w:rPr>
        <w:lastRenderedPageBreak/>
        <w:t xml:space="preserve">persona para determinar cuál de ellas otorga mayor protección a la persona. Por lo que la actuación del INAI en su resolución no es una </w:t>
      </w:r>
      <w:proofErr w:type="spellStart"/>
      <w:r w:rsidRPr="00100412">
        <w:rPr>
          <w:rFonts w:ascii="Palatino Linotype" w:hAnsi="Palatino Linotype"/>
        </w:rPr>
        <w:t>intepretación</w:t>
      </w:r>
      <w:proofErr w:type="spellEnd"/>
      <w:r w:rsidRPr="00100412">
        <w:rPr>
          <w:rFonts w:ascii="Palatino Linotype" w:hAnsi="Palatino Linotype"/>
        </w:rPr>
        <w:t xml:space="preserve"> pro homine sino una creación normativa libre.</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lang w:val="es-ES_tradnl"/>
        </w:rPr>
        <w:t xml:space="preserve">No debe perderse de vista que si bien, el INAI cuenta con atribuciones de interpretar la norma, mediante los procedimientos generalmente reconocidos, ello no implica, ni debe confundirse en una acción de creación libre del derecho, que le corresponde al poder reformador de la Unión y al legislador democrático, pero no al INAI. </w:t>
      </w:r>
    </w:p>
    <w:p w:rsidR="00855DA2" w:rsidRPr="00100412" w:rsidRDefault="00855DA2" w:rsidP="00855DA2">
      <w:pPr>
        <w:pStyle w:val="Prrafodelista"/>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t>En consecuencia, existe deficiencia en la resolución del Órgano Garante Nacional, toda vez que justifica su actuar en una interpretación de la norma jurídica, la cual no requiere de interpretación alguna, de acuerdo a lo expuesto en líneas anteriores, y en la supuesta interpretación conforme que hace, que tampoco es tal, pues el propio texto constitucional establece las causales de procedencia del recurso de inconformidad.</w:t>
      </w:r>
    </w:p>
    <w:p w:rsidR="00855DA2" w:rsidRPr="00100412" w:rsidRDefault="00855DA2" w:rsidP="00855DA2">
      <w:pPr>
        <w:pStyle w:val="Prrafodelista"/>
        <w:rPr>
          <w:rFonts w:ascii="Palatino Linotype" w:hAnsi="Palatino Linotype"/>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rPr>
      </w:pPr>
      <w:r w:rsidRPr="00100412">
        <w:rPr>
          <w:rFonts w:ascii="Palatino Linotype" w:hAnsi="Palatino Linotype"/>
        </w:rPr>
        <w:t xml:space="preserve">Por lo tanto, el INAI pretende convertirse no sólo en un </w:t>
      </w:r>
      <w:r w:rsidR="00032B94" w:rsidRPr="00100412">
        <w:rPr>
          <w:rFonts w:ascii="Palatino Linotype" w:hAnsi="Palatino Linotype"/>
        </w:rPr>
        <w:t>intérprete</w:t>
      </w:r>
      <w:r w:rsidRPr="00100412">
        <w:rPr>
          <w:rFonts w:ascii="Palatino Linotype" w:hAnsi="Palatino Linotype"/>
        </w:rPr>
        <w:t xml:space="preserve"> de la ley, sino en un legislador positivo al señalar que debe entenderse por negativa de información, lo cual el legislador ya estableció en la ley, lo cual implica una actuación  excesiva, violentando el principio de legalidad y de división de poderes ya que en el presente caso, no estamos frente a una interpretación, sino ante la </w:t>
      </w:r>
      <w:r w:rsidRPr="00100412">
        <w:rPr>
          <w:rFonts w:ascii="Palatino Linotype" w:hAnsi="Palatino Linotype"/>
        </w:rPr>
        <w:lastRenderedPageBreak/>
        <w:t xml:space="preserve">creación de norma jurídica, excediendo su facultad interpretativa a la que alude en su resolución. </w:t>
      </w:r>
    </w:p>
    <w:p w:rsidR="00855DA2" w:rsidRPr="00100412" w:rsidRDefault="00855DA2" w:rsidP="00855DA2">
      <w:pPr>
        <w:pStyle w:val="Prrafodelista"/>
        <w:spacing w:line="360" w:lineRule="auto"/>
        <w:rPr>
          <w:rFonts w:ascii="Palatino Linotype" w:hAnsi="Palatino Linotype"/>
          <w:lang w:val="es-ES_tradnl"/>
        </w:rPr>
      </w:pPr>
    </w:p>
    <w:p w:rsidR="00855DA2" w:rsidRPr="00100412" w:rsidRDefault="00855DA2" w:rsidP="00855DA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Dicha facultad conferida al Órgano Garante no resulta cuestionable, sino más bien el hecho de que justifique la creación legislativa disfrazada de una interpretación excesiva y caprichosa de la norma jurídica en una atribución conferida por el legislador, ya que no se debe perder de vista que </w:t>
      </w:r>
      <w:r w:rsidRPr="00100412">
        <w:rPr>
          <w:rFonts w:ascii="Palatino Linotype" w:hAnsi="Palatino Linotype"/>
          <w:shd w:val="clear" w:color="auto" w:fill="FFFFFF"/>
        </w:rPr>
        <w:t xml:space="preserve">la función de interpretación jurídica es precisamente la de eliminar una situación de indeterminación que presentan las normas generales en algunos casos; sin embargo en el caso que nos ocupa y como reiteradamente se ha </w:t>
      </w:r>
      <w:proofErr w:type="spellStart"/>
      <w:r w:rsidRPr="00100412">
        <w:rPr>
          <w:rFonts w:ascii="Palatino Linotype" w:hAnsi="Palatino Linotype"/>
          <w:shd w:val="clear" w:color="auto" w:fill="FFFFFF"/>
        </w:rPr>
        <w:t>mencioando</w:t>
      </w:r>
      <w:proofErr w:type="spellEnd"/>
      <w:r w:rsidRPr="00100412">
        <w:rPr>
          <w:rFonts w:ascii="Palatino Linotype" w:hAnsi="Palatino Linotype"/>
          <w:shd w:val="clear" w:color="auto" w:fill="FFFFFF"/>
        </w:rPr>
        <w:t xml:space="preserve"> en la presente resolución, el artículo 160 de la Ley General de Transparencia y Acceso a la Información Pública que establece las causales de procedencia del recurso de </w:t>
      </w:r>
      <w:proofErr w:type="spellStart"/>
      <w:r w:rsidRPr="00100412">
        <w:rPr>
          <w:rFonts w:ascii="Palatino Linotype" w:hAnsi="Palatino Linotype"/>
          <w:shd w:val="clear" w:color="auto" w:fill="FFFFFF"/>
        </w:rPr>
        <w:t>reviisón</w:t>
      </w:r>
      <w:proofErr w:type="spellEnd"/>
      <w:r w:rsidRPr="00100412">
        <w:rPr>
          <w:rFonts w:ascii="Palatino Linotype" w:hAnsi="Palatino Linotype"/>
          <w:shd w:val="clear" w:color="auto" w:fill="FFFFFF"/>
        </w:rPr>
        <w:t xml:space="preserve"> no requiere de hacer una explicación o aclaración de la norma en cuestión pues se establecen de manera clara, concisa y explicita dichas causales de procedencia.</w:t>
      </w:r>
    </w:p>
    <w:p w:rsidR="00855DA2" w:rsidRPr="00100412" w:rsidRDefault="00855DA2" w:rsidP="00855DA2">
      <w:pPr>
        <w:pStyle w:val="Prrafodelista"/>
        <w:spacing w:line="360" w:lineRule="auto"/>
        <w:ind w:left="540" w:right="49"/>
        <w:jc w:val="both"/>
        <w:rPr>
          <w:rFonts w:ascii="Palatino Linotype" w:hAnsi="Palatino Linotype"/>
          <w:b/>
          <w:lang w:val="es-ES_tradnl"/>
        </w:rPr>
      </w:pPr>
    </w:p>
    <w:p w:rsidR="00855DA2" w:rsidRPr="00100412" w:rsidRDefault="00855DA2" w:rsidP="00032B94">
      <w:pPr>
        <w:pStyle w:val="Ttulo1"/>
        <w:numPr>
          <w:ilvl w:val="0"/>
          <w:numId w:val="24"/>
        </w:numPr>
        <w:rPr>
          <w:rFonts w:ascii="Palatino Linotype" w:hAnsi="Palatino Linotype"/>
          <w:b/>
          <w:color w:val="000000" w:themeColor="text1"/>
          <w:sz w:val="24"/>
        </w:rPr>
      </w:pPr>
      <w:bookmarkStart w:id="145" w:name="_Toc68821519"/>
      <w:r w:rsidRPr="00100412">
        <w:rPr>
          <w:rFonts w:ascii="Palatino Linotype" w:hAnsi="Palatino Linotype"/>
          <w:b/>
          <w:color w:val="000000" w:themeColor="text1"/>
          <w:sz w:val="24"/>
        </w:rPr>
        <w:t>Del Amparo en Revisión 654/18</w:t>
      </w:r>
      <w:bookmarkEnd w:id="145"/>
      <w:r w:rsidRPr="00100412">
        <w:rPr>
          <w:rFonts w:ascii="Palatino Linotype" w:hAnsi="Palatino Linotype"/>
          <w:b/>
          <w:color w:val="000000" w:themeColor="text1"/>
          <w:sz w:val="24"/>
        </w:rPr>
        <w:t xml:space="preserve">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lang w:val="es-ES_tradnl"/>
        </w:rPr>
      </w:pPr>
      <w:r w:rsidRPr="00100412">
        <w:rPr>
          <w:rFonts w:ascii="Palatino Linotype" w:hAnsi="Palatino Linotype"/>
          <w:lang w:val="es-ES_tradnl"/>
        </w:rPr>
        <w:t xml:space="preserve">Ahora bien, en la resolución emitida por el INAI que se cumplimenta, se hace referencia que </w:t>
      </w:r>
      <w:r w:rsidRPr="00100412">
        <w:rPr>
          <w:rFonts w:ascii="Palatino Linotype" w:hAnsi="Palatino Linotype"/>
        </w:rPr>
        <w:t xml:space="preserve">la Segunda Sala de la Suprema Corte de Justicia de la Nación, al resolver el Amparo en Revisión 654/18, precisó que la procedencia del recurso de inconformidad en el supuesto de “negativa de </w:t>
      </w:r>
      <w:r w:rsidR="00032B94" w:rsidRPr="00100412">
        <w:rPr>
          <w:rFonts w:ascii="Palatino Linotype" w:hAnsi="Palatino Linotype"/>
        </w:rPr>
        <w:t>información</w:t>
      </w:r>
      <w:r w:rsidRPr="00100412">
        <w:rPr>
          <w:rFonts w:ascii="Palatino Linotype" w:hAnsi="Palatino Linotype"/>
        </w:rPr>
        <w:t xml:space="preserve">”, comprende a todas </w:t>
      </w:r>
      <w:r w:rsidRPr="00100412">
        <w:rPr>
          <w:rFonts w:ascii="Palatino Linotype" w:hAnsi="Palatino Linotype"/>
        </w:rPr>
        <w:lastRenderedPageBreak/>
        <w:t xml:space="preserve">aquellas resoluciones que expresamente niegan la solicitud como aquellas que implícitamente constituyen un rechazo, por lo que ambos supuestos encuadran en la referida </w:t>
      </w:r>
      <w:proofErr w:type="spellStart"/>
      <w:r w:rsidRPr="00100412">
        <w:rPr>
          <w:rFonts w:ascii="Palatino Linotype" w:hAnsi="Palatino Linotype"/>
        </w:rPr>
        <w:t>hipótesis</w:t>
      </w:r>
      <w:proofErr w:type="spellEnd"/>
      <w:r w:rsidRPr="00100412">
        <w:rPr>
          <w:rFonts w:ascii="Palatino Linotype" w:hAnsi="Palatino Linotype"/>
        </w:rPr>
        <w:t xml:space="preserve"> jurídica de procedibilidad del recurso de inconformidad, ya que los efectos ulteriores de ambas son equiparables.</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lang w:val="es-ES_tradnl"/>
        </w:rPr>
      </w:pPr>
      <w:r w:rsidRPr="00100412">
        <w:rPr>
          <w:rFonts w:ascii="Palatino Linotype" w:hAnsi="Palatino Linotype"/>
          <w:lang w:val="es-ES_tradnl"/>
        </w:rPr>
        <w:t>Asimismo, el Órgano Garante Nacional en su resolución señala que</w:t>
      </w:r>
      <w:r w:rsidRPr="00100412">
        <w:rPr>
          <w:rFonts w:ascii="Palatino Linotype" w:hAnsi="Palatino Linotype"/>
        </w:rPr>
        <w:t xml:space="preserve"> la Segunda Sala del Máximo Tribunal de nuestro país ha determinado que las resoluciones que impliquen un rechazo o invoquen un impedimento para acceder a la información solicitada son susceptibles de combatirse a través del recurso de inconformidad previsto por la Ley General de la materia, con independencia de que la negativa no haya sido expresamente manifestada al contestar la solicitud de acceso a la información o al resolver el recurso de revisión correspondiente, pues solo así será posible salvaguardar el principio de máxima publicidad que mandata la Constitución Federal.</w:t>
      </w:r>
    </w:p>
    <w:p w:rsidR="00A625A6" w:rsidRPr="00100412" w:rsidRDefault="00A625A6" w:rsidP="00A625A6">
      <w:pPr>
        <w:pStyle w:val="Prrafodelista"/>
        <w:rPr>
          <w:rFonts w:ascii="Palatino Linotype" w:hAnsi="Palatino Linotype" w:cs="Calibri"/>
          <w:shd w:val="clear" w:color="auto" w:fill="FFFFFF"/>
          <w:lang w:val="es-ES_tradnl"/>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t>Conviene precisar, primeramente, que en la Sentencia del Amparo en Revisión 654/2018 dictada por la Segunda Sala de la Suprema Corte de Justica de la Nación</w:t>
      </w:r>
      <w:r w:rsidRPr="00100412">
        <w:rPr>
          <w:rStyle w:val="Refdenotaalpie"/>
          <w:rFonts w:ascii="Palatino Linotype" w:hAnsi="Palatino Linotype" w:cs="Calibri"/>
          <w:shd w:val="clear" w:color="auto" w:fill="FFFFFF"/>
        </w:rPr>
        <w:footnoteReference w:id="11"/>
      </w:r>
      <w:r w:rsidRPr="00100412">
        <w:rPr>
          <w:rFonts w:ascii="Palatino Linotype" w:hAnsi="Palatino Linotype" w:cs="Calibri"/>
          <w:shd w:val="clear" w:color="auto" w:fill="FFFFFF"/>
        </w:rPr>
        <w:t>, se advierte que los hechos que le dieron origen, son diferentes a los hechos del caso que nos ocupa, como a continuación se muestra:</w:t>
      </w:r>
    </w:p>
    <w:p w:rsidR="00A625A6" w:rsidRPr="00100412" w:rsidRDefault="00A625A6" w:rsidP="00A625A6">
      <w:pPr>
        <w:pStyle w:val="Prrafodelista"/>
        <w:numPr>
          <w:ilvl w:val="2"/>
          <w:numId w:val="1"/>
        </w:numPr>
        <w:spacing w:line="360" w:lineRule="auto"/>
        <w:ind w:left="1080"/>
        <w:jc w:val="both"/>
        <w:rPr>
          <w:rFonts w:ascii="Palatino Linotype" w:hAnsi="Palatino Linotype"/>
        </w:rPr>
      </w:pPr>
      <w:r w:rsidRPr="00100412">
        <w:rPr>
          <w:rFonts w:ascii="Palatino Linotype" w:hAnsi="Palatino Linotype" w:cs="Calibri"/>
          <w:shd w:val="clear" w:color="auto" w:fill="FFFFFF"/>
        </w:rPr>
        <w:t xml:space="preserve">Un particular realizó tres solicitudes de información a la </w:t>
      </w:r>
      <w:r w:rsidRPr="00100412">
        <w:rPr>
          <w:rFonts w:ascii="Palatino Linotype" w:hAnsi="Palatino Linotype"/>
        </w:rPr>
        <w:t xml:space="preserve">Secretaría de Cultura y Turismo del Estado de Puebla, sujeto obligado que en su </w:t>
      </w:r>
      <w:r w:rsidRPr="00100412">
        <w:rPr>
          <w:rFonts w:ascii="Palatino Linotype" w:hAnsi="Palatino Linotype"/>
        </w:rPr>
        <w:lastRenderedPageBreak/>
        <w:t>respuesta señaló que no era posible en esos momentos atender a sus solicitudes favorablemente, en virtud de que se encontraba dentro del proceso de modificación de sus ordenamientos y disposiciones reglamentarias que norman sus funciones, resaltando que se encontraba dentro de los noventa días para la realización de la entrega recepción de toda la documentación e información física y electrónica que correspondía al Consejo Estatal para la Cultura y las Artes de Puebla.</w:t>
      </w:r>
    </w:p>
    <w:p w:rsidR="00A625A6" w:rsidRPr="00100412" w:rsidRDefault="00A625A6" w:rsidP="00A625A6">
      <w:pPr>
        <w:pStyle w:val="Prrafodelista"/>
        <w:numPr>
          <w:ilvl w:val="2"/>
          <w:numId w:val="1"/>
        </w:numPr>
        <w:spacing w:line="360" w:lineRule="auto"/>
        <w:ind w:left="1080"/>
        <w:jc w:val="both"/>
        <w:rPr>
          <w:rFonts w:ascii="Palatino Linotype" w:hAnsi="Palatino Linotype"/>
        </w:rPr>
      </w:pPr>
      <w:r w:rsidRPr="00100412">
        <w:rPr>
          <w:rFonts w:ascii="Palatino Linotype" w:hAnsi="Palatino Linotype"/>
        </w:rPr>
        <w:t>Derivado de la respuesta del sujeto obligado, el particular interpuso recurso de revisión ante el ante el Instituto de Transparencia, Acceso a la Información Pública y de Protección de Datos Personales del Estado de Puebla, órgano garante que resolvió desechar el recurso de revisión, toda vez que no existió la negativa del sujeto obligado de proporcionar total o parcialmente la información requerida.</w:t>
      </w:r>
    </w:p>
    <w:p w:rsidR="00A625A6" w:rsidRPr="00100412" w:rsidRDefault="00A625A6" w:rsidP="00A625A6">
      <w:pPr>
        <w:pStyle w:val="Prrafodelista"/>
        <w:numPr>
          <w:ilvl w:val="2"/>
          <w:numId w:val="1"/>
        </w:numPr>
        <w:spacing w:line="360" w:lineRule="auto"/>
        <w:ind w:left="1080"/>
        <w:jc w:val="both"/>
        <w:rPr>
          <w:rFonts w:ascii="Palatino Linotype" w:hAnsi="Palatino Linotype"/>
        </w:rPr>
      </w:pPr>
      <w:r w:rsidRPr="00100412">
        <w:rPr>
          <w:rFonts w:ascii="Palatino Linotype" w:hAnsi="Palatino Linotype"/>
        </w:rPr>
        <w:t xml:space="preserve">Inconforme con la resolución del Órgano Garante del Estado de Puebla, el particular interpuso recurso de inconformidad ante el Instituto Nacional de Transparencia, Acceso a la Información y Protección de Datos Personales, medio de impugnación que fue resuelto en el sentido de desecharlo, al considerar que no se confirmó o modificó la clasificación de la información peticionada ni se confirmó la inexistencia o negativa de ésta, razón por la cual, estimó actualizada la causal de improcedencia prevista por el artículo 178, fracción III, de la Ley General de Transparencia y Acceso a la Información Pública, al no actualizarse </w:t>
      </w:r>
      <w:r w:rsidRPr="00100412">
        <w:rPr>
          <w:rFonts w:ascii="Palatino Linotype" w:hAnsi="Palatino Linotype"/>
        </w:rPr>
        <w:lastRenderedPageBreak/>
        <w:t>ninguno de los supuestos previstos en el artículo 160 del mismo ordenamiento.</w:t>
      </w:r>
    </w:p>
    <w:p w:rsidR="00A625A6" w:rsidRPr="00100412" w:rsidRDefault="00A625A6" w:rsidP="00A625A6">
      <w:pPr>
        <w:pStyle w:val="Prrafodelista"/>
        <w:numPr>
          <w:ilvl w:val="2"/>
          <w:numId w:val="1"/>
        </w:numPr>
        <w:spacing w:line="360" w:lineRule="auto"/>
        <w:ind w:left="1080"/>
        <w:jc w:val="both"/>
        <w:rPr>
          <w:rFonts w:ascii="Palatino Linotype" w:hAnsi="Palatino Linotype"/>
        </w:rPr>
      </w:pPr>
      <w:r w:rsidRPr="00100412">
        <w:rPr>
          <w:rFonts w:ascii="Palatino Linotype" w:hAnsi="Palatino Linotype"/>
        </w:rPr>
        <w:t xml:space="preserve">Contra la determinación anterior, el particular promovió juicio de amparo, en el cual el Juez de Distrito resolvió conceder el amparo considerando, esencialmente, que el Órgano Garante Nacional erróneamente realizó una interpretación literal del artículo 160 de la Ley General de Transparencia y Acceso a la Información Pública, a partir de la cual determinó que únicamente puede admitir aquellos recursos de inconformidad en los que los organismos locales confirmen o modifiquen la clasificación de la información, o bien, confirmen la inexistencia o negativa de la información, pues en el caso en concreto la resolución entraña en sí una negativa de acceso a la información, aun cuando el sentido de la determinación no sea expresamente alguno de los referidos, apartándose con ello del principio pro homine. Lo anterior, en virtud de que de autos no se advirtió que la autoridad haya entregado al </w:t>
      </w:r>
      <w:proofErr w:type="gramStart"/>
      <w:r w:rsidRPr="00100412">
        <w:rPr>
          <w:rFonts w:ascii="Palatino Linotype" w:hAnsi="Palatino Linotype"/>
        </w:rPr>
        <w:t>particular  la</w:t>
      </w:r>
      <w:proofErr w:type="gramEnd"/>
      <w:r w:rsidRPr="00100412">
        <w:rPr>
          <w:rFonts w:ascii="Palatino Linotype" w:hAnsi="Palatino Linotype"/>
        </w:rPr>
        <w:t xml:space="preserve"> información solicitada ni que el argumento en que sustentó su respuesta se encuentra previsto en la ley general de la materia para limitar el acceso a la información, limitándose a señalar que no se encontraba en posibilidad de atender su solicitud en razón de que se encontraba en un período de entrega recepción de documentos. </w:t>
      </w:r>
    </w:p>
    <w:p w:rsidR="00A625A6" w:rsidRPr="00100412" w:rsidRDefault="00A625A6" w:rsidP="00A625A6">
      <w:pPr>
        <w:pStyle w:val="Prrafodelista"/>
        <w:numPr>
          <w:ilvl w:val="2"/>
          <w:numId w:val="1"/>
        </w:numPr>
        <w:spacing w:line="360" w:lineRule="auto"/>
        <w:ind w:left="1080"/>
        <w:jc w:val="both"/>
        <w:rPr>
          <w:rFonts w:ascii="Palatino Linotype" w:hAnsi="Palatino Linotype"/>
        </w:rPr>
      </w:pPr>
      <w:r w:rsidRPr="00100412">
        <w:rPr>
          <w:rFonts w:ascii="Palatino Linotype" w:hAnsi="Palatino Linotype"/>
        </w:rPr>
        <w:t xml:space="preserve">Contra la sentencia antes referida el INAI interpuso recurso de revisión, en el cual la Segunda Sala de la Suprema Corte de Justicia de la Nación </w:t>
      </w:r>
      <w:r w:rsidRPr="00100412">
        <w:rPr>
          <w:rFonts w:ascii="Palatino Linotype" w:hAnsi="Palatino Linotype"/>
        </w:rPr>
        <w:lastRenderedPageBreak/>
        <w:t>determinó dejar insubsistente dicha resolución y en su lugar emita otra en la que, atendiendo a la interpretación conforme establecida en la ejecutoria y de no advertir algún diverso motivo de improcedencia, admita a trámite el recurso de inconformidad interpuesto por el particular.</w:t>
      </w:r>
    </w:p>
    <w:p w:rsidR="00A625A6" w:rsidRPr="00100412" w:rsidRDefault="00A625A6" w:rsidP="00A625A6">
      <w:pPr>
        <w:pStyle w:val="Prrafodelista"/>
        <w:spacing w:line="360" w:lineRule="auto"/>
        <w:ind w:left="-308"/>
        <w:rPr>
          <w:rFonts w:ascii="Palatino Linotype" w:hAnsi="Palatino Linotype"/>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t xml:space="preserve">En ese orden de ideas, en su estudio la Segunda Sala de la Suprema Corte de Justicia de la Nación, señaló lo siguiente: </w:t>
      </w:r>
    </w:p>
    <w:p w:rsidR="00A625A6" w:rsidRPr="00100412" w:rsidRDefault="00A625A6" w:rsidP="00A625A6">
      <w:pPr>
        <w:spacing w:line="276" w:lineRule="auto"/>
        <w:ind w:left="720"/>
        <w:jc w:val="both"/>
        <w:rPr>
          <w:rFonts w:ascii="Palatino Linotype" w:hAnsi="Palatino Linotype"/>
          <w:i/>
          <w:sz w:val="22"/>
          <w:szCs w:val="22"/>
        </w:rPr>
      </w:pPr>
      <w:r w:rsidRPr="00100412">
        <w:rPr>
          <w:rFonts w:ascii="Palatino Linotype" w:hAnsi="Palatino Linotype"/>
          <w:i/>
          <w:sz w:val="22"/>
          <w:szCs w:val="22"/>
        </w:rPr>
        <w:t xml:space="preserve">“Es así, pues </w:t>
      </w:r>
      <w:r w:rsidRPr="00100412">
        <w:rPr>
          <w:rFonts w:ascii="Palatino Linotype" w:hAnsi="Palatino Linotype"/>
          <w:b/>
          <w:i/>
          <w:sz w:val="22"/>
          <w:szCs w:val="22"/>
        </w:rPr>
        <w:t>cuando los entes administrativos declaran inatendibles dichas solicitudes, resulta inconcuso que están negando implícitamente la solicitud de acceso a la información</w:t>
      </w:r>
      <w:r w:rsidRPr="00100412">
        <w:rPr>
          <w:rFonts w:ascii="Palatino Linotype" w:hAnsi="Palatino Linotype"/>
          <w:i/>
          <w:sz w:val="22"/>
          <w:szCs w:val="22"/>
        </w:rPr>
        <w:t xml:space="preserve">, de ahí que ambos supuestos -tanto las resoluciones que expresamente niegan la solicitud como aquellas que implícitamente constituyen un rechazo- encuadran en la referida </w:t>
      </w:r>
      <w:proofErr w:type="spellStart"/>
      <w:r w:rsidRPr="00100412">
        <w:rPr>
          <w:rFonts w:ascii="Palatino Linotype" w:hAnsi="Palatino Linotype"/>
          <w:i/>
          <w:sz w:val="22"/>
          <w:szCs w:val="22"/>
        </w:rPr>
        <w:t>hipótesis</w:t>
      </w:r>
      <w:proofErr w:type="spellEnd"/>
      <w:r w:rsidRPr="00100412">
        <w:rPr>
          <w:rFonts w:ascii="Palatino Linotype" w:hAnsi="Palatino Linotype"/>
          <w:i/>
          <w:sz w:val="22"/>
          <w:szCs w:val="22"/>
        </w:rPr>
        <w:t xml:space="preserve"> jurídica de procedibilidad del recurso de inconformidad, ya que los efectos ulteriores de ambas son equiparables.</w:t>
      </w:r>
    </w:p>
    <w:p w:rsidR="00A625A6" w:rsidRPr="00100412" w:rsidRDefault="00A625A6" w:rsidP="00A625A6">
      <w:pPr>
        <w:spacing w:line="276" w:lineRule="auto"/>
        <w:ind w:left="720"/>
        <w:jc w:val="both"/>
        <w:rPr>
          <w:rFonts w:ascii="Palatino Linotype" w:hAnsi="Palatino Linotype"/>
          <w:i/>
          <w:sz w:val="22"/>
          <w:szCs w:val="22"/>
        </w:rPr>
      </w:pPr>
    </w:p>
    <w:p w:rsidR="00A625A6" w:rsidRPr="00100412" w:rsidRDefault="00A625A6" w:rsidP="00A625A6">
      <w:pPr>
        <w:spacing w:line="276" w:lineRule="auto"/>
        <w:ind w:left="720"/>
        <w:jc w:val="both"/>
        <w:rPr>
          <w:rFonts w:ascii="Palatino Linotype" w:hAnsi="Palatino Linotype"/>
          <w:i/>
          <w:sz w:val="22"/>
          <w:szCs w:val="22"/>
        </w:rPr>
      </w:pPr>
      <w:r w:rsidRPr="00100412">
        <w:rPr>
          <w:rFonts w:ascii="Palatino Linotype" w:hAnsi="Palatino Linotype"/>
          <w:i/>
          <w:sz w:val="22"/>
          <w:szCs w:val="22"/>
        </w:rPr>
        <w:t xml:space="preserve">…esta Segunda Sala </w:t>
      </w:r>
      <w:r w:rsidRPr="00100412">
        <w:rPr>
          <w:rFonts w:ascii="Palatino Linotype" w:hAnsi="Palatino Linotype"/>
          <w:b/>
          <w:i/>
          <w:sz w:val="22"/>
          <w:szCs w:val="22"/>
        </w:rPr>
        <w:t>colige que la recta interpretación de tales artículos adjetivos debe ser en el sentido de que, las resoluciones que impliquen un rechazo o invoquen un impedimento para acceder a la solicitud formulada son susceptibles de combatirse a través del recurso de inconformidad previsto por la ley</w:t>
      </w:r>
      <w:r w:rsidRPr="00100412">
        <w:rPr>
          <w:rFonts w:ascii="Palatino Linotype" w:hAnsi="Palatino Linotype"/>
          <w:i/>
          <w:sz w:val="22"/>
          <w:szCs w:val="22"/>
        </w:rPr>
        <w:t xml:space="preserve"> </w:t>
      </w:r>
      <w:r w:rsidRPr="00100412">
        <w:rPr>
          <w:rFonts w:ascii="Palatino Linotype" w:hAnsi="Palatino Linotype"/>
          <w:b/>
          <w:i/>
          <w:sz w:val="22"/>
          <w:szCs w:val="22"/>
        </w:rPr>
        <w:t>general de la materia, con independencia de que la negativa no haya sido expresamente manifestada al contestar la solicitud de acceso a la información o al resolver el recurso de revisión correspondiente</w:t>
      </w:r>
      <w:r w:rsidRPr="00100412">
        <w:rPr>
          <w:rFonts w:ascii="Palatino Linotype" w:hAnsi="Palatino Linotype"/>
          <w:i/>
          <w:sz w:val="22"/>
          <w:szCs w:val="22"/>
        </w:rPr>
        <w:t>, pues solo así será posible salvaguardar el principio de máxima publicidad que mandata la Constitución Federal.</w:t>
      </w:r>
    </w:p>
    <w:p w:rsidR="00A625A6" w:rsidRPr="00100412" w:rsidRDefault="00A625A6" w:rsidP="00A625A6">
      <w:pPr>
        <w:spacing w:line="276" w:lineRule="auto"/>
        <w:ind w:left="720"/>
        <w:jc w:val="both"/>
        <w:rPr>
          <w:rFonts w:ascii="Palatino Linotype" w:hAnsi="Palatino Linotype"/>
          <w:i/>
          <w:sz w:val="22"/>
          <w:szCs w:val="22"/>
        </w:rPr>
      </w:pPr>
    </w:p>
    <w:p w:rsidR="00A625A6" w:rsidRPr="00100412" w:rsidRDefault="00A625A6" w:rsidP="00A625A6">
      <w:pPr>
        <w:spacing w:line="276" w:lineRule="auto"/>
        <w:ind w:left="720"/>
        <w:jc w:val="both"/>
        <w:rPr>
          <w:rFonts w:ascii="Palatino Linotype" w:hAnsi="Palatino Linotype"/>
          <w:i/>
          <w:sz w:val="22"/>
          <w:szCs w:val="22"/>
        </w:rPr>
      </w:pPr>
      <w:r w:rsidRPr="00100412">
        <w:rPr>
          <w:rFonts w:ascii="Palatino Linotype" w:hAnsi="Palatino Linotype"/>
          <w:i/>
          <w:sz w:val="22"/>
          <w:szCs w:val="22"/>
        </w:rPr>
        <w:t xml:space="preserve">En ese sentido, esta Segunda Sala estima que resulta ilegal la resolución reclamada, pues la determinación del Instituto Nacional de Transparencia, Acceso a la Información y Protección de Datos Personales, </w:t>
      </w:r>
      <w:r w:rsidRPr="00100412">
        <w:rPr>
          <w:rFonts w:ascii="Palatino Linotype" w:hAnsi="Palatino Linotype"/>
          <w:b/>
          <w:i/>
          <w:sz w:val="22"/>
          <w:szCs w:val="22"/>
        </w:rPr>
        <w:t xml:space="preserve">parte de la premisa de que en la especie no se actualiza una negativa de información en tanto que el recurso de revisión fue desechado por el </w:t>
      </w:r>
      <w:r w:rsidRPr="00100412">
        <w:rPr>
          <w:rFonts w:ascii="Palatino Linotype" w:hAnsi="Palatino Linotype"/>
          <w:b/>
          <w:i/>
          <w:sz w:val="22"/>
          <w:szCs w:val="22"/>
        </w:rPr>
        <w:lastRenderedPageBreak/>
        <w:t>organismo garante de la entidad federativa, con lo cual pierde de vista que la solicitud de información formulada por la quejosa fue declarada como “inatendible”</w:t>
      </w:r>
      <w:r w:rsidRPr="00100412">
        <w:rPr>
          <w:rFonts w:ascii="Palatino Linotype" w:hAnsi="Palatino Linotype"/>
          <w:i/>
          <w:sz w:val="22"/>
          <w:szCs w:val="22"/>
        </w:rPr>
        <w:t xml:space="preserve"> por la autoridad obligada argumentando lo siguiente: “nos encontramos dentro del plazo de los 90 días establecidos en dicho decreto para la realización de la entrega recepción de toda la documentación e información física y electrónica que correspondía al Consejo Estatal para la Cultura y las Artes de Puebla; en virtud de lo referido no es posible en estos momentos atender a su solicitud favorablemente hasta en tanto se hayan realizado todas las acciones necesarias para el adecuado actuar de esta dependencia así como se haya realizado el total de la recepción dentro del término establecido […] Con lo anterior, se da por cumplida la obligación de garantizar el acceso a la información pública […]”. Por lo tanto, toda vez que la resolución emitida por el organismo garante se limitó a desechar el recurso de revisión a pesar de </w:t>
      </w:r>
      <w:proofErr w:type="gramStart"/>
      <w:r w:rsidRPr="00100412">
        <w:rPr>
          <w:rFonts w:ascii="Palatino Linotype" w:hAnsi="Palatino Linotype"/>
          <w:i/>
          <w:sz w:val="22"/>
          <w:szCs w:val="22"/>
        </w:rPr>
        <w:t>la  cual</w:t>
      </w:r>
      <w:proofErr w:type="gramEnd"/>
      <w:r w:rsidRPr="00100412">
        <w:rPr>
          <w:rFonts w:ascii="Palatino Linotype" w:hAnsi="Palatino Linotype"/>
          <w:i/>
          <w:sz w:val="22"/>
          <w:szCs w:val="22"/>
        </w:rPr>
        <w:t xml:space="preserve"> ésta resulta impugnable a través del recurso de inconformidad previsto por el artículo 160 de la Ley General de Transparencia y Acceso a la Información Pública.</w:t>
      </w:r>
    </w:p>
    <w:p w:rsidR="00A625A6" w:rsidRPr="00100412" w:rsidRDefault="00A625A6" w:rsidP="00A625A6">
      <w:pPr>
        <w:spacing w:line="276" w:lineRule="auto"/>
        <w:ind w:left="720"/>
        <w:jc w:val="both"/>
        <w:rPr>
          <w:rFonts w:ascii="Palatino Linotype" w:hAnsi="Palatino Linotype"/>
          <w:i/>
          <w:sz w:val="22"/>
          <w:szCs w:val="22"/>
        </w:rPr>
      </w:pPr>
    </w:p>
    <w:p w:rsidR="00A625A6" w:rsidRPr="00100412" w:rsidRDefault="00A625A6" w:rsidP="00A625A6">
      <w:pPr>
        <w:spacing w:line="276" w:lineRule="auto"/>
        <w:ind w:left="720"/>
        <w:jc w:val="both"/>
        <w:rPr>
          <w:rFonts w:ascii="Palatino Linotype" w:hAnsi="Palatino Linotype"/>
          <w:i/>
          <w:sz w:val="22"/>
          <w:szCs w:val="22"/>
        </w:rPr>
      </w:pPr>
      <w:r w:rsidRPr="00100412">
        <w:rPr>
          <w:rFonts w:ascii="Palatino Linotype" w:hAnsi="Palatino Linotype"/>
          <w:i/>
          <w:sz w:val="22"/>
          <w:szCs w:val="22"/>
        </w:rPr>
        <w:t xml:space="preserve">Es así, pues contrario a lo estimado por el Instituto responsable, conforme al referido precepto legal, </w:t>
      </w:r>
      <w:r w:rsidRPr="00100412">
        <w:rPr>
          <w:rFonts w:ascii="Palatino Linotype" w:hAnsi="Palatino Linotype"/>
          <w:b/>
          <w:i/>
          <w:sz w:val="22"/>
          <w:szCs w:val="22"/>
        </w:rPr>
        <w:t>el recurso de inconformidad sí procede contra las resoluciones emitidas por los organismos garantes de las entidades federativas que se susciten a partir de la negativa que recaiga a una solicitud de acceso a la información, sea ésta expresa o implícita</w:t>
      </w:r>
      <w:r w:rsidRPr="00100412">
        <w:rPr>
          <w:rFonts w:ascii="Palatino Linotype" w:hAnsi="Palatino Linotype"/>
          <w:i/>
          <w:sz w:val="22"/>
          <w:szCs w:val="22"/>
        </w:rPr>
        <w:t>.”</w:t>
      </w: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t xml:space="preserve">De lo anterior, se advierte que la Segunda Sala de la Suprema Corte de Justicia de la Nación estableció que </w:t>
      </w:r>
      <w:r w:rsidRPr="00100412">
        <w:rPr>
          <w:rFonts w:ascii="Palatino Linotype" w:hAnsi="Palatino Linotype"/>
        </w:rPr>
        <w:t xml:space="preserve">cuando los sujetos obligados declaran inatendibles dichas solicitudes, resulta inconcuso que están negando implícitamente la solicitud de acceso a la información y que las resoluciones que expresamente niegan la solicitud como aquellas que implícitamente, constituyen un rechazo que encuadran en la referida </w:t>
      </w:r>
      <w:proofErr w:type="spellStart"/>
      <w:r w:rsidRPr="00100412">
        <w:rPr>
          <w:rFonts w:ascii="Palatino Linotype" w:hAnsi="Palatino Linotype"/>
        </w:rPr>
        <w:t>hipótesis</w:t>
      </w:r>
      <w:proofErr w:type="spellEnd"/>
      <w:r w:rsidRPr="00100412">
        <w:rPr>
          <w:rFonts w:ascii="Palatino Linotype" w:hAnsi="Palatino Linotype"/>
        </w:rPr>
        <w:t xml:space="preserve"> jurídica de procedibilidad del recurso de inconformidad, ya que los efectos ulteriores de ambas son equiparables.</w:t>
      </w:r>
    </w:p>
    <w:p w:rsidR="00A625A6" w:rsidRPr="00100412" w:rsidRDefault="00A625A6" w:rsidP="00A625A6">
      <w:pPr>
        <w:pStyle w:val="Prrafodelista"/>
        <w:shd w:val="clear" w:color="auto" w:fill="FFFFFF"/>
        <w:tabs>
          <w:tab w:val="left" w:pos="0"/>
        </w:tabs>
        <w:spacing w:before="240" w:after="150" w:line="360" w:lineRule="auto"/>
        <w:ind w:left="0" w:right="49"/>
        <w:jc w:val="both"/>
        <w:rPr>
          <w:rFonts w:ascii="Palatino Linotype" w:hAnsi="Palatino Linotype" w:cs="Calibri"/>
          <w:shd w:val="clear" w:color="auto" w:fill="FFFFFF"/>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lastRenderedPageBreak/>
        <w:t>Bajo estas consideraciones, se advierte que existen diferencias en el caso que resolvió la Segunda Sala de la Suprema Corte de Justicia de la Nación en el Amparo en Revisión 654/2018, y en el caso que nos ocupa, como a continuación se muestra:</w:t>
      </w:r>
    </w:p>
    <w:p w:rsidR="00A625A6" w:rsidRPr="00100412" w:rsidRDefault="00A625A6" w:rsidP="00A625A6">
      <w:pPr>
        <w:pStyle w:val="Prrafodelista"/>
        <w:shd w:val="clear" w:color="auto" w:fill="FFFFFF"/>
        <w:tabs>
          <w:tab w:val="left" w:pos="0"/>
        </w:tabs>
        <w:spacing w:before="240" w:after="150" w:line="360" w:lineRule="auto"/>
        <w:ind w:left="0" w:right="49"/>
        <w:jc w:val="both"/>
        <w:rPr>
          <w:rFonts w:ascii="Palatino Linotype" w:hAnsi="Palatino Linotype" w:cs="Calibri"/>
          <w:shd w:val="clear" w:color="auto" w:fill="FFFFFF"/>
        </w:rPr>
      </w:pPr>
    </w:p>
    <w:p w:rsidR="00A625A6" w:rsidRPr="00100412" w:rsidRDefault="00A625A6" w:rsidP="00A625A6">
      <w:pPr>
        <w:pStyle w:val="Prrafodelista"/>
        <w:numPr>
          <w:ilvl w:val="0"/>
          <w:numId w:val="35"/>
        </w:numPr>
        <w:shd w:val="clear" w:color="auto" w:fill="FFFFFF"/>
        <w:tabs>
          <w:tab w:val="left" w:pos="0"/>
        </w:tabs>
        <w:spacing w:before="240" w:after="150" w:line="360" w:lineRule="auto"/>
        <w:ind w:right="49"/>
        <w:jc w:val="both"/>
        <w:rPr>
          <w:rFonts w:ascii="Palatino Linotype" w:hAnsi="Palatino Linotype" w:cs="Calibri"/>
          <w:b/>
          <w:shd w:val="clear" w:color="auto" w:fill="FFFFFF"/>
        </w:rPr>
      </w:pPr>
      <w:r w:rsidRPr="00100412">
        <w:rPr>
          <w:rFonts w:ascii="Palatino Linotype" w:hAnsi="Palatino Linotype" w:cs="Calibri"/>
          <w:b/>
          <w:shd w:val="clear" w:color="auto" w:fill="FFFFFF"/>
        </w:rPr>
        <w:t>Amparo en Revisión 654/2018:</w:t>
      </w:r>
    </w:p>
    <w:p w:rsidR="00A625A6" w:rsidRPr="00100412" w:rsidRDefault="00A625A6" w:rsidP="00A625A6">
      <w:pPr>
        <w:pStyle w:val="Prrafodelista"/>
        <w:numPr>
          <w:ilvl w:val="2"/>
          <w:numId w:val="1"/>
        </w:numPr>
        <w:shd w:val="clear" w:color="auto" w:fill="FFFFFF"/>
        <w:tabs>
          <w:tab w:val="left" w:pos="0"/>
        </w:tabs>
        <w:spacing w:before="240" w:after="150" w:line="360" w:lineRule="auto"/>
        <w:ind w:left="1530" w:right="49"/>
        <w:jc w:val="both"/>
        <w:rPr>
          <w:rFonts w:ascii="Palatino Linotype" w:hAnsi="Palatino Linotype" w:cs="Calibri"/>
          <w:shd w:val="clear" w:color="auto" w:fill="FFFFFF"/>
        </w:rPr>
      </w:pPr>
      <w:r w:rsidRPr="00100412">
        <w:rPr>
          <w:rFonts w:ascii="Palatino Linotype" w:hAnsi="Palatino Linotype" w:cs="Calibri"/>
          <w:shd w:val="clear" w:color="auto" w:fill="FFFFFF"/>
        </w:rPr>
        <w:t xml:space="preserve">El sujeto obligado en su respuesta señaló que </w:t>
      </w:r>
      <w:r w:rsidRPr="00100412">
        <w:rPr>
          <w:rFonts w:ascii="Palatino Linotype" w:hAnsi="Palatino Linotype"/>
        </w:rPr>
        <w:t>no era posible atender su solicitud favorablemente, en virtud de que se encontraba dentro del proceso de modificación de sus ordenamientos y disposiciones reglamentarias que norman sus funciones y se encontraban dentro de los noventa días para la realización de la entrega recepción de toda la documentación e información física y electrónica que correspondía al Consejo Estatal para la Cultura y las Artes de Puebla y que posteriormente el Órgano Garante del Estado de Puebla.</w:t>
      </w:r>
    </w:p>
    <w:p w:rsidR="00A625A6" w:rsidRPr="00100412" w:rsidRDefault="00A625A6" w:rsidP="00A625A6">
      <w:pPr>
        <w:pStyle w:val="Prrafodelista"/>
        <w:numPr>
          <w:ilvl w:val="2"/>
          <w:numId w:val="1"/>
        </w:numPr>
        <w:shd w:val="clear" w:color="auto" w:fill="FFFFFF"/>
        <w:tabs>
          <w:tab w:val="left" w:pos="0"/>
        </w:tabs>
        <w:spacing w:before="240" w:after="150" w:line="360" w:lineRule="auto"/>
        <w:ind w:left="1530" w:right="49"/>
        <w:jc w:val="both"/>
        <w:rPr>
          <w:rFonts w:ascii="Palatino Linotype" w:hAnsi="Palatino Linotype" w:cs="Calibri"/>
          <w:shd w:val="clear" w:color="auto" w:fill="FFFFFF"/>
        </w:rPr>
      </w:pPr>
      <w:r w:rsidRPr="00100412">
        <w:rPr>
          <w:rFonts w:ascii="Palatino Linotype" w:hAnsi="Palatino Linotype" w:cs="Calibri"/>
          <w:shd w:val="clear" w:color="auto" w:fill="FFFFFF"/>
        </w:rPr>
        <w:t xml:space="preserve">El Órgano Garante del Estado de Puebla resuelve el recurso de revisión en el sentido de desechar el mismo en virtud de que no se actualiza la </w:t>
      </w:r>
      <w:proofErr w:type="spellStart"/>
      <w:r w:rsidRPr="00100412">
        <w:rPr>
          <w:rFonts w:ascii="Palatino Linotype" w:hAnsi="Palatino Linotype" w:cs="Calibri"/>
          <w:shd w:val="clear" w:color="auto" w:fill="FFFFFF"/>
        </w:rPr>
        <w:t>hipótesis</w:t>
      </w:r>
      <w:proofErr w:type="spellEnd"/>
      <w:r w:rsidRPr="00100412">
        <w:rPr>
          <w:rFonts w:ascii="Palatino Linotype" w:hAnsi="Palatino Linotype" w:cs="Calibri"/>
          <w:shd w:val="clear" w:color="auto" w:fill="FFFFFF"/>
        </w:rPr>
        <w:t xml:space="preserve"> de negativa de la información por parte del Sujeto Obligado.</w:t>
      </w:r>
    </w:p>
    <w:p w:rsidR="00A625A6" w:rsidRPr="00100412" w:rsidRDefault="00A625A6" w:rsidP="00A625A6">
      <w:pPr>
        <w:pStyle w:val="Prrafodelista"/>
        <w:shd w:val="clear" w:color="auto" w:fill="FFFFFF"/>
        <w:tabs>
          <w:tab w:val="left" w:pos="0"/>
        </w:tabs>
        <w:spacing w:before="240" w:after="150" w:line="360" w:lineRule="auto"/>
        <w:ind w:left="1530" w:right="49"/>
        <w:jc w:val="both"/>
        <w:rPr>
          <w:rFonts w:ascii="Palatino Linotype" w:hAnsi="Palatino Linotype" w:cs="Calibri"/>
          <w:shd w:val="clear" w:color="auto" w:fill="FFFFFF"/>
        </w:rPr>
      </w:pPr>
    </w:p>
    <w:p w:rsidR="00A625A6" w:rsidRPr="00100412" w:rsidRDefault="00A625A6" w:rsidP="00A625A6">
      <w:pPr>
        <w:pStyle w:val="Prrafodelista"/>
        <w:numPr>
          <w:ilvl w:val="0"/>
          <w:numId w:val="35"/>
        </w:numPr>
        <w:shd w:val="clear" w:color="auto" w:fill="FFFFFF"/>
        <w:tabs>
          <w:tab w:val="left" w:pos="0"/>
        </w:tabs>
        <w:spacing w:before="240" w:after="150" w:line="360" w:lineRule="auto"/>
        <w:ind w:right="49"/>
        <w:jc w:val="both"/>
        <w:rPr>
          <w:rFonts w:ascii="Palatino Linotype" w:hAnsi="Palatino Linotype" w:cs="Calibri"/>
          <w:b/>
          <w:shd w:val="clear" w:color="auto" w:fill="FFFFFF"/>
        </w:rPr>
      </w:pPr>
      <w:r w:rsidRPr="00100412">
        <w:rPr>
          <w:rFonts w:ascii="Palatino Linotype" w:hAnsi="Palatino Linotype" w:cs="Calibri"/>
          <w:b/>
          <w:shd w:val="clear" w:color="auto" w:fill="FFFFFF"/>
        </w:rPr>
        <w:t>Recurso de Inconformidad 185/21:</w:t>
      </w:r>
    </w:p>
    <w:p w:rsidR="00A625A6" w:rsidRPr="00100412" w:rsidRDefault="00A625A6" w:rsidP="00A625A6">
      <w:pPr>
        <w:pStyle w:val="Prrafodelista"/>
        <w:shd w:val="clear" w:color="auto" w:fill="FFFFFF"/>
        <w:tabs>
          <w:tab w:val="left" w:pos="0"/>
        </w:tabs>
        <w:spacing w:before="240" w:after="150" w:line="360" w:lineRule="auto"/>
        <w:ind w:right="49"/>
        <w:jc w:val="both"/>
        <w:rPr>
          <w:rFonts w:ascii="Palatino Linotype" w:hAnsi="Palatino Linotype" w:cs="Calibri"/>
          <w:shd w:val="clear" w:color="auto" w:fill="FFFFFF"/>
        </w:rPr>
      </w:pPr>
      <w:r w:rsidRPr="00100412">
        <w:rPr>
          <w:rFonts w:ascii="Palatino Linotype" w:hAnsi="Palatino Linotype" w:cs="Calibri"/>
          <w:shd w:val="clear" w:color="auto" w:fill="FFFFFF"/>
        </w:rPr>
        <w:t>a) El sujeto obligado</w:t>
      </w:r>
      <w:r w:rsidRPr="00100412">
        <w:rPr>
          <w:rFonts w:ascii="Palatino Linotype" w:hAnsi="Palatino Linotype"/>
          <w:color w:val="000000" w:themeColor="text1"/>
        </w:rPr>
        <w:t xml:space="preserve"> al dar contestación a la solicitud de acceso a información pública, realizó un cambio de modalidad de entrega de la información por verse </w:t>
      </w:r>
      <w:proofErr w:type="gramStart"/>
      <w:r w:rsidRPr="00100412">
        <w:rPr>
          <w:rFonts w:ascii="Palatino Linotype" w:hAnsi="Palatino Linotype"/>
          <w:color w:val="000000" w:themeColor="text1"/>
        </w:rPr>
        <w:t>rebasado técnica</w:t>
      </w:r>
      <w:proofErr w:type="gramEnd"/>
      <w:r w:rsidRPr="00100412">
        <w:rPr>
          <w:rFonts w:ascii="Palatino Linotype" w:hAnsi="Palatino Linotype"/>
          <w:color w:val="000000" w:themeColor="text1"/>
        </w:rPr>
        <w:t xml:space="preserve">, administrativa y humanamente derivado de las </w:t>
      </w:r>
      <w:r w:rsidRPr="00100412">
        <w:rPr>
          <w:rFonts w:ascii="Palatino Linotype" w:hAnsi="Palatino Linotype"/>
          <w:color w:val="000000" w:themeColor="text1"/>
        </w:rPr>
        <w:lastRenderedPageBreak/>
        <w:t>múltiples solicitudes de información y recursos de revisión de las que está siendo objeto, sin conculcar el derecho de acceso a la información pública de la solicitante.</w:t>
      </w:r>
    </w:p>
    <w:p w:rsidR="00A625A6" w:rsidRPr="00100412" w:rsidRDefault="00A625A6" w:rsidP="00A625A6">
      <w:pPr>
        <w:pStyle w:val="Prrafodelista"/>
        <w:shd w:val="clear" w:color="auto" w:fill="FFFFFF"/>
        <w:tabs>
          <w:tab w:val="left" w:pos="0"/>
        </w:tabs>
        <w:spacing w:before="240" w:after="150" w:line="360" w:lineRule="auto"/>
        <w:ind w:right="49"/>
        <w:jc w:val="both"/>
        <w:rPr>
          <w:rFonts w:ascii="Palatino Linotype" w:hAnsi="Palatino Linotype" w:cs="Calibri"/>
          <w:shd w:val="clear" w:color="auto" w:fill="FFFFFF"/>
        </w:rPr>
      </w:pPr>
      <w:r w:rsidRPr="00100412">
        <w:rPr>
          <w:rFonts w:ascii="Palatino Linotype" w:hAnsi="Palatino Linotype" w:cs="Calibri"/>
          <w:shd w:val="clear" w:color="auto" w:fill="FFFFFF"/>
        </w:rPr>
        <w:t xml:space="preserve">b) Este órgano Garante en su resolución confirmo el cambio de modalidad del Sujeto Obligado, misma que fue </w:t>
      </w:r>
      <w:r w:rsidRPr="00100412">
        <w:rPr>
          <w:rFonts w:ascii="Palatino Linotype" w:hAnsi="Palatino Linotype"/>
          <w:color w:val="000000" w:themeColor="text1"/>
        </w:rPr>
        <w:t>emitida dentro del plazo previsto para ello, establecido en los artículos 181, párrafo tercero, y 185, fracción VIII de la Ley de Transparencia y Acceso a la Información Pública del Estado de México y Municipios.</w:t>
      </w:r>
    </w:p>
    <w:p w:rsidR="00A625A6" w:rsidRPr="00100412" w:rsidRDefault="00A625A6" w:rsidP="00A625A6">
      <w:pPr>
        <w:pStyle w:val="Prrafodelista"/>
        <w:shd w:val="clear" w:color="auto" w:fill="FFFFFF"/>
        <w:tabs>
          <w:tab w:val="left" w:pos="0"/>
        </w:tabs>
        <w:spacing w:before="240" w:after="150" w:line="360" w:lineRule="auto"/>
        <w:ind w:right="49"/>
        <w:jc w:val="both"/>
        <w:rPr>
          <w:rFonts w:ascii="Palatino Linotype" w:hAnsi="Palatino Linotype" w:cs="Calibri"/>
          <w:shd w:val="clear" w:color="auto" w:fill="FFFFFF"/>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t xml:space="preserve">Por lo que, en el caso que nos ocupa no se advierte que exista un rechazo explícito o implícito que implique una negativa de información, en virtud de que el sujeto obligado en ningún momento limitó o restringió el derecho de acceso a la información pública del particular, sino que en virtud de </w:t>
      </w:r>
      <w:r w:rsidRPr="00100412">
        <w:rPr>
          <w:rFonts w:ascii="Palatino Linotype" w:hAnsi="Palatino Linotype"/>
          <w:color w:val="000000" w:themeColor="text1"/>
        </w:rPr>
        <w:t xml:space="preserve">del número de solicitudes de información y recursos de revisión interpuestos en un mismo lapso temporal, sobrepasó </w:t>
      </w:r>
      <w:r w:rsidRPr="00100412">
        <w:rPr>
          <w:rFonts w:ascii="Palatino Linotype" w:eastAsia="MS Mincho" w:hAnsi="Palatino Linotype" w:cs="Arial"/>
        </w:rPr>
        <w:t>sus capacidades técnicas, administrativas y humanas, con las consecuencias que ello implica, como es la falta de eficiencia organizacional para efectuar sus funciones esenciales, realizó un cambio de modalidad de la entrega de la información solicitada.</w:t>
      </w: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rPr>
      </w:pPr>
      <w:r w:rsidRPr="00100412">
        <w:rPr>
          <w:rFonts w:ascii="Palatino Linotype" w:eastAsia="MS Mincho" w:hAnsi="Palatino Linotype" w:cs="Arial"/>
        </w:rPr>
        <w:t xml:space="preserve">En este sentido, este Órgano Garante en su resolución </w:t>
      </w:r>
      <w:r w:rsidRPr="00100412">
        <w:rPr>
          <w:rFonts w:ascii="Palatino Linotype" w:eastAsia="MS Mincho" w:hAnsi="Palatino Linotype"/>
          <w:color w:val="000000"/>
        </w:rPr>
        <w:t xml:space="preserve">determinó procedente </w:t>
      </w:r>
      <w:r w:rsidRPr="00100412">
        <w:rPr>
          <w:rFonts w:ascii="Palatino Linotype" w:eastAsia="MS Mincho" w:hAnsi="Palatino Linotype"/>
        </w:rPr>
        <w:t xml:space="preserve">poner a disposición de la solicitante la información solicitada en consulta directa, con la intención legítima de no lesionar el derecho humano, con base en los dispuesto por </w:t>
      </w:r>
      <w:r w:rsidRPr="00100412">
        <w:rPr>
          <w:rFonts w:ascii="Palatino Linotype" w:eastAsia="MS Mincho" w:hAnsi="Palatino Linotype" w:cs="Arial"/>
        </w:rPr>
        <w:t xml:space="preserve">los artículos 158 y 164 de la Ley de Transparencia y Acceso a la </w:t>
      </w:r>
      <w:r w:rsidRPr="00100412">
        <w:rPr>
          <w:rFonts w:ascii="Palatino Linotype" w:eastAsia="MS Mincho" w:hAnsi="Palatino Linotype" w:cs="Arial"/>
        </w:rPr>
        <w:lastRenderedPageBreak/>
        <w:t xml:space="preserve">Información Pública del Estado de México y Municipios, lo cual tampoco implica una </w:t>
      </w:r>
      <w:r w:rsidRPr="00100412">
        <w:rPr>
          <w:rFonts w:ascii="Palatino Linotype" w:hAnsi="Palatino Linotype"/>
        </w:rPr>
        <w:t>negativa a una solicitud de acceso a la información, expresa o implícita.</w:t>
      </w:r>
    </w:p>
    <w:p w:rsidR="00A625A6" w:rsidRPr="00100412" w:rsidRDefault="00A625A6" w:rsidP="00A625A6">
      <w:pPr>
        <w:pStyle w:val="Prrafodelista"/>
        <w:shd w:val="clear" w:color="auto" w:fill="FFFFFF"/>
        <w:tabs>
          <w:tab w:val="left" w:pos="0"/>
        </w:tabs>
        <w:spacing w:before="240" w:after="150" w:line="360" w:lineRule="auto"/>
        <w:ind w:left="0" w:right="49"/>
        <w:jc w:val="both"/>
        <w:rPr>
          <w:rFonts w:ascii="Palatino Linotype" w:hAnsi="Palatino Linotype" w:cs="Calibri"/>
          <w:shd w:val="clear" w:color="auto" w:fill="FFFFFF"/>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rPr>
        <w:t>Ahora bien, el Órgano Garante Nacional señala que una vez precisado lo resuelto por la  Segunda Sala de la Suprema Corte de Justicia de la Nación al resolver el Amparo en Revisión 654/18, en el caso que nos ocupa, la parte recurrente impugnó la resolución emitida por este Instituto, en la que se confirmó la respuesta del sujeto obligado a la solicitud de información y en la que se concluyó que, el Ayuntamiento de Ixtapan de la Sal sí justificó el cambio de modalidad; a lo cual el recurrente manifestó que no se encontraba debidamente fundada, ni motivada para validarse el cambio de modalidad, ni se cumplió con el procedimiento de atención a las solicitudes de información; de tal forma que la inconformidad del recurrente se traduce en una negativa de acceso a la información y que por ende, la resolución impugnada y los efectos del mismo, sí configuran una causal de procedencia para que este Instituto resuelva de fondo el recurso de inconformidad que nos ocupa.</w:t>
      </w:r>
    </w:p>
    <w:p w:rsidR="00A625A6" w:rsidRPr="00100412" w:rsidRDefault="00A625A6" w:rsidP="00A625A6">
      <w:pPr>
        <w:pStyle w:val="Prrafodelista"/>
        <w:rPr>
          <w:rFonts w:ascii="Palatino Linotype" w:hAnsi="Palatino Linotype" w:cs="Calibri"/>
          <w:shd w:val="clear" w:color="auto" w:fill="FFFFFF"/>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t xml:space="preserve">Resulta necesario destacar que el criterio adoptado por la Segunda Sala de la Suprema Corte de Justicia de la Nación al resolver el Amparo en Revisión 654/18 que el Órgano Garante Nacional refiere en su resolución señala que son susceptibles de combatirse a través de recurso de inconformidad </w:t>
      </w:r>
      <w:r w:rsidRPr="00100412">
        <w:rPr>
          <w:rFonts w:ascii="Palatino Linotype" w:hAnsi="Palatino Linotype"/>
        </w:rPr>
        <w:t xml:space="preserve">previsto por la Ley General de la materia, </w:t>
      </w:r>
      <w:r w:rsidRPr="00100412">
        <w:rPr>
          <w:rFonts w:ascii="Palatino Linotype" w:hAnsi="Palatino Linotype" w:cs="Calibri"/>
          <w:shd w:val="clear" w:color="auto" w:fill="FFFFFF"/>
        </w:rPr>
        <w:t xml:space="preserve">las </w:t>
      </w:r>
      <w:r w:rsidRPr="00100412">
        <w:rPr>
          <w:rFonts w:ascii="Palatino Linotype" w:hAnsi="Palatino Linotype"/>
        </w:rPr>
        <w:t xml:space="preserve">resoluciones que con independencia de que la negativa no haya sido expresamente manifestada al contestar la solicitud de acceso a la información o al resolver el recurso de revisión correspondiente, que: </w:t>
      </w:r>
    </w:p>
    <w:p w:rsidR="00A625A6" w:rsidRPr="00100412" w:rsidRDefault="00A625A6" w:rsidP="00A625A6">
      <w:pPr>
        <w:pStyle w:val="Prrafodelista"/>
        <w:numPr>
          <w:ilvl w:val="2"/>
          <w:numId w:val="1"/>
        </w:numPr>
        <w:shd w:val="clear" w:color="auto" w:fill="FFFFFF"/>
        <w:tabs>
          <w:tab w:val="left" w:pos="0"/>
        </w:tabs>
        <w:spacing w:before="240" w:after="150" w:line="360" w:lineRule="auto"/>
        <w:ind w:left="1170" w:right="49"/>
        <w:jc w:val="both"/>
        <w:rPr>
          <w:rFonts w:ascii="Palatino Linotype" w:hAnsi="Palatino Linotype" w:cs="Calibri"/>
          <w:shd w:val="clear" w:color="auto" w:fill="FFFFFF"/>
        </w:rPr>
      </w:pPr>
      <w:r w:rsidRPr="00100412">
        <w:rPr>
          <w:rFonts w:ascii="Palatino Linotype" w:hAnsi="Palatino Linotype"/>
        </w:rPr>
        <w:lastRenderedPageBreak/>
        <w:t>Impliquen un rechazo para acceder a la información; o,</w:t>
      </w:r>
    </w:p>
    <w:p w:rsidR="00A625A6" w:rsidRPr="00100412" w:rsidRDefault="00A625A6" w:rsidP="00A625A6">
      <w:pPr>
        <w:pStyle w:val="Prrafodelista"/>
        <w:numPr>
          <w:ilvl w:val="2"/>
          <w:numId w:val="1"/>
        </w:numPr>
        <w:shd w:val="clear" w:color="auto" w:fill="FFFFFF"/>
        <w:tabs>
          <w:tab w:val="left" w:pos="0"/>
        </w:tabs>
        <w:spacing w:before="240" w:after="150" w:line="360" w:lineRule="auto"/>
        <w:ind w:left="1170" w:right="49"/>
        <w:jc w:val="both"/>
        <w:rPr>
          <w:rFonts w:ascii="Palatino Linotype" w:hAnsi="Palatino Linotype" w:cs="Calibri"/>
          <w:shd w:val="clear" w:color="auto" w:fill="FFFFFF"/>
        </w:rPr>
      </w:pPr>
      <w:r w:rsidRPr="00100412">
        <w:rPr>
          <w:rFonts w:ascii="Palatino Linotype" w:hAnsi="Palatino Linotype"/>
        </w:rPr>
        <w:t xml:space="preserve">Invoquen un impedimento para acceder a la información solicitada </w:t>
      </w:r>
    </w:p>
    <w:p w:rsidR="00A625A6" w:rsidRPr="00100412" w:rsidRDefault="00A625A6" w:rsidP="00A625A6">
      <w:pPr>
        <w:pStyle w:val="Prrafodelista"/>
        <w:rPr>
          <w:rFonts w:ascii="Palatino Linotype" w:hAnsi="Palatino Linotype"/>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rPr>
        <w:t>Ahora bien, el Órgano Garante Nacional refiere que toda vez que el recurrente manifestó que no se encontraba debidamente fundada, ni motivada para validarse el cambio de modalidad, ni se cumplió con el procedimiento de atención a las solicitudes de información; la inconformidad del recurrente se traduce en una negativa de acceso a la información y que por ende, la resolución impugnada y los efectos del mismo, sí configuran una causal de procedencia para que este Instituto resuelva de fondo el recurso de inconformidad.</w:t>
      </w:r>
    </w:p>
    <w:p w:rsidR="00A625A6" w:rsidRPr="00100412" w:rsidRDefault="00A625A6" w:rsidP="00A625A6">
      <w:pPr>
        <w:pStyle w:val="Prrafodelista"/>
        <w:shd w:val="clear" w:color="auto" w:fill="FFFFFF"/>
        <w:tabs>
          <w:tab w:val="left" w:pos="0"/>
        </w:tabs>
        <w:spacing w:before="240" w:after="150" w:line="360" w:lineRule="auto"/>
        <w:ind w:left="0" w:right="49"/>
        <w:jc w:val="both"/>
        <w:rPr>
          <w:rFonts w:ascii="Palatino Linotype" w:hAnsi="Palatino Linotype" w:cs="Calibri"/>
          <w:shd w:val="clear" w:color="auto" w:fill="FFFFFF"/>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t>De ser este el criterio adoptado, se estaría en el absurdo de que cualquier inconformidad que haga valer el recurrente se entenderá como negativa de información, por lo que absolutamente todas las inconformidades en contra de las resoluciones de los órganos garantes  locales serían materia de impugnación a través del recurso de inconformidad, dejándose de observar lo establecido en el artículo 160 de la Ley General de Transparencia y Acceso a la Información Pública que establece las causales de procedencia.</w:t>
      </w:r>
    </w:p>
    <w:p w:rsidR="00A625A6" w:rsidRPr="00100412" w:rsidRDefault="00A625A6" w:rsidP="00A625A6">
      <w:pPr>
        <w:pStyle w:val="Prrafodelista"/>
        <w:shd w:val="clear" w:color="auto" w:fill="FFFFFF"/>
        <w:tabs>
          <w:tab w:val="left" w:pos="0"/>
        </w:tabs>
        <w:spacing w:before="240" w:after="150" w:line="360" w:lineRule="auto"/>
        <w:ind w:left="0" w:right="49"/>
        <w:jc w:val="both"/>
        <w:rPr>
          <w:rFonts w:ascii="Palatino Linotype" w:hAnsi="Palatino Linotype" w:cs="Calibri"/>
          <w:shd w:val="clear" w:color="auto" w:fill="FFFFFF"/>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t xml:space="preserve">Siguiendo el criterio de la Segunda Sala de la Suprema Corte de Justica de la Nación, citado por el Órgano Garante Nacional en la resolución que nos ocupa, se advierte que el supuesto de negativa de información </w:t>
      </w:r>
      <w:r w:rsidRPr="00100412">
        <w:rPr>
          <w:rFonts w:ascii="Palatino Linotype" w:hAnsi="Palatino Linotype"/>
        </w:rPr>
        <w:t xml:space="preserve">comprende a </w:t>
      </w:r>
      <w:r w:rsidRPr="00100412">
        <w:rPr>
          <w:rFonts w:ascii="Palatino Linotype" w:hAnsi="Palatino Linotype"/>
          <w:b/>
        </w:rPr>
        <w:t xml:space="preserve">todas aquellas resoluciones que (1) expresamente niegan la solicitud y (2) aquellas que </w:t>
      </w:r>
      <w:r w:rsidRPr="00100412">
        <w:rPr>
          <w:rFonts w:ascii="Palatino Linotype" w:hAnsi="Palatino Linotype"/>
          <w:b/>
        </w:rPr>
        <w:lastRenderedPageBreak/>
        <w:t>implícitamente constituyen un rechazo,</w:t>
      </w:r>
      <w:r w:rsidRPr="00100412">
        <w:rPr>
          <w:rFonts w:ascii="Palatino Linotype" w:hAnsi="Palatino Linotype"/>
        </w:rPr>
        <w:t xml:space="preserve"> supuestos que encuadran en la referida </w:t>
      </w:r>
      <w:proofErr w:type="spellStart"/>
      <w:r w:rsidRPr="00100412">
        <w:rPr>
          <w:rFonts w:ascii="Palatino Linotype" w:hAnsi="Palatino Linotype"/>
        </w:rPr>
        <w:t>hipótesis</w:t>
      </w:r>
      <w:proofErr w:type="spellEnd"/>
      <w:r w:rsidRPr="00100412">
        <w:rPr>
          <w:rFonts w:ascii="Palatino Linotype" w:hAnsi="Palatino Linotype"/>
        </w:rPr>
        <w:t xml:space="preserve"> jurídica de procedibilidad del recurso de inconformidad; sin embargo, en el caso que nos ocupa, el Órgano Garante Nacional en su resolución no acredita fehacientemente que la resolución emitida por este Instituto se ubique en alguno de los dos supuestos de procedibilidad, limitándose a señalar que el recurrente como inconformidad manifestó que no se encontraba debidamente fundada, ni motivada para validarse el cambio de modalidad, ni se cumplió con el procedimiento de atención a las solicitudes de información; se traducía en una negativa de acceso a la información</w:t>
      </w:r>
      <w:r w:rsidRPr="00100412">
        <w:rPr>
          <w:rFonts w:ascii="Palatino Linotype" w:hAnsi="Palatino Linotype" w:cs="Calibri"/>
          <w:shd w:val="clear" w:color="auto" w:fill="FFFFFF"/>
        </w:rPr>
        <w:t>.</w:t>
      </w:r>
    </w:p>
    <w:p w:rsidR="00A625A6" w:rsidRPr="00100412" w:rsidRDefault="00A625A6" w:rsidP="00A625A6">
      <w:pPr>
        <w:pStyle w:val="Prrafodelista"/>
        <w:rPr>
          <w:rFonts w:ascii="Palatino Linotype" w:hAnsi="Palatino Linotype" w:cs="Calibri"/>
          <w:shd w:val="clear" w:color="auto" w:fill="FFFFFF"/>
        </w:rPr>
      </w:pPr>
    </w:p>
    <w:p w:rsidR="00A625A6" w:rsidRPr="00100412" w:rsidRDefault="00A625A6" w:rsidP="00A625A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shd w:val="clear" w:color="auto" w:fill="FFFFFF"/>
        </w:rPr>
      </w:pPr>
      <w:r w:rsidRPr="00100412">
        <w:rPr>
          <w:rFonts w:ascii="Palatino Linotype" w:hAnsi="Palatino Linotype" w:cs="Calibri"/>
          <w:shd w:val="clear" w:color="auto" w:fill="FFFFFF"/>
        </w:rPr>
        <w:t>Aunado a lo anterior, es de señalar que el criterio adoptado por Segunda Sala de la Suprema Corte de Justicia de la Nación al resolver el Amparo en Revisión 654/18, lo que hace es replantear la definición del concepto de negativa, solo que en el presente caso, el argumento empleado para sustentar esa definición es que podría calificarse como el argumento de autoridad ya que se hace alusión a lo resuelto en el amparo en revisión citado, por lo que únicamente constituye un criterio orientador pues aún no cumple con el principio de reiteración suficiente, por lo que la resolución carece del razonamiento que justificará por qué se consideraba oportuno adoptar el multicitado criterio, lo que podía calificarse como una deficiencia en la argumentación.</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2"/>
          <w:numId w:val="6"/>
        </w:numPr>
        <w:spacing w:line="360" w:lineRule="auto"/>
        <w:ind w:left="360" w:right="49"/>
        <w:jc w:val="both"/>
        <w:rPr>
          <w:rFonts w:ascii="Palatino Linotype" w:hAnsi="Palatino Linotype"/>
          <w:b/>
          <w:lang w:val="es-ES_tradnl"/>
        </w:rPr>
      </w:pPr>
      <w:r w:rsidRPr="00100412">
        <w:rPr>
          <w:rFonts w:ascii="Palatino Linotype" w:hAnsi="Palatino Linotype"/>
          <w:b/>
          <w:lang w:val="es-ES_tradnl"/>
        </w:rPr>
        <w:t>Efectos relativos de las sentencias de amparo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lastRenderedPageBreak/>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Al respecto, la Segunda Sala de la Suprema Corte de Justicia de la Nación emitió el siguiente criterio:</w:t>
      </w:r>
    </w:p>
    <w:p w:rsidR="00855DA2" w:rsidRPr="00100412" w:rsidRDefault="00855DA2" w:rsidP="00855DA2">
      <w:pPr>
        <w:pStyle w:val="Prrafodelista"/>
        <w:rPr>
          <w:rFonts w:ascii="Palatino Linotype" w:hAnsi="Palatino Linotype"/>
          <w:lang w:val="es-ES_tradnl"/>
        </w:rPr>
      </w:pPr>
    </w:p>
    <w:p w:rsidR="00855DA2" w:rsidRPr="00100412" w:rsidRDefault="00855DA2" w:rsidP="002423EF">
      <w:pPr>
        <w:spacing w:line="276" w:lineRule="auto"/>
        <w:ind w:left="810" w:right="474"/>
        <w:jc w:val="both"/>
        <w:rPr>
          <w:rFonts w:ascii="Palatino Linotype" w:hAnsi="Palatino Linotype"/>
          <w:b/>
          <w:i/>
          <w:sz w:val="22"/>
          <w:szCs w:val="22"/>
          <w:lang w:val="es-ES_tradnl"/>
        </w:rPr>
      </w:pPr>
      <w:r w:rsidRPr="00100412">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100412">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w:t>
      </w:r>
      <w:r w:rsidRPr="00100412">
        <w:rPr>
          <w:rFonts w:ascii="Palatino Linotype" w:hAnsi="Palatino Linotype"/>
          <w:i/>
          <w:sz w:val="22"/>
          <w:szCs w:val="22"/>
          <w:lang w:val="es-ES_tradnl"/>
        </w:rPr>
        <w:lastRenderedPageBreak/>
        <w:t xml:space="preserve">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855DA2" w:rsidRPr="00100412" w:rsidRDefault="00855DA2" w:rsidP="002423EF">
      <w:pPr>
        <w:spacing w:line="276" w:lineRule="auto"/>
        <w:ind w:left="810" w:right="474"/>
        <w:jc w:val="both"/>
        <w:rPr>
          <w:rFonts w:ascii="Palatino Linotype" w:hAnsi="Palatino Linotype"/>
          <w:i/>
          <w:sz w:val="22"/>
          <w:szCs w:val="22"/>
          <w:lang w:val="es-ES_tradnl"/>
        </w:rPr>
      </w:pPr>
    </w:p>
    <w:p w:rsidR="00855DA2" w:rsidRPr="00100412" w:rsidRDefault="00855DA2" w:rsidP="002423EF">
      <w:pPr>
        <w:spacing w:line="276" w:lineRule="auto"/>
        <w:ind w:left="810" w:right="474"/>
        <w:jc w:val="both"/>
        <w:rPr>
          <w:rFonts w:ascii="Palatino Linotype" w:hAnsi="Palatino Linotype"/>
          <w:i/>
          <w:sz w:val="22"/>
          <w:szCs w:val="22"/>
          <w:lang w:val="es-ES_tradnl"/>
        </w:rPr>
      </w:pPr>
      <w:r w:rsidRPr="00100412">
        <w:rPr>
          <w:rFonts w:ascii="Palatino Linotype" w:hAnsi="Palatino Linotype"/>
          <w:i/>
          <w:sz w:val="22"/>
          <w:szCs w:val="22"/>
          <w:lang w:val="es-ES_tradnl"/>
        </w:rPr>
        <w:t xml:space="preserve">Amparo en revisión 737/2015. Guadalupe Barrena Nájera. 24 de febrero de 2016. Cinco votos de los </w:t>
      </w:r>
      <w:proofErr w:type="gramStart"/>
      <w:r w:rsidRPr="00100412">
        <w:rPr>
          <w:rFonts w:ascii="Palatino Linotype" w:hAnsi="Palatino Linotype"/>
          <w:i/>
          <w:sz w:val="22"/>
          <w:szCs w:val="22"/>
          <w:lang w:val="es-ES_tradnl"/>
        </w:rPr>
        <w:t>Ministros</w:t>
      </w:r>
      <w:proofErr w:type="gramEnd"/>
      <w:r w:rsidRPr="00100412">
        <w:rPr>
          <w:rFonts w:ascii="Palatino Linotype" w:hAnsi="Palatino Linotype"/>
          <w:i/>
          <w:sz w:val="22"/>
          <w:szCs w:val="22"/>
          <w:lang w:val="es-ES_tradnl"/>
        </w:rPr>
        <w:t xml:space="preserve"> Eduardo Medina Mora I., Javier Laynez Potisek, José Fernando Franco González Salas, Margarita Beatriz Luna Ramos y Alberto Pérez Dayán. Ponente: José Fernando Franco González Salas. Secretario: Salvador Alvarado López.</w:t>
      </w:r>
    </w:p>
    <w:p w:rsidR="00855DA2" w:rsidRPr="00100412" w:rsidRDefault="00855DA2" w:rsidP="002423EF">
      <w:pPr>
        <w:spacing w:line="276" w:lineRule="auto"/>
        <w:ind w:left="810" w:right="474"/>
        <w:jc w:val="both"/>
        <w:rPr>
          <w:rFonts w:ascii="Palatino Linotype" w:hAnsi="Palatino Linotype"/>
          <w:i/>
          <w:sz w:val="22"/>
          <w:szCs w:val="22"/>
          <w:lang w:val="es-ES_tradnl"/>
        </w:rPr>
      </w:pPr>
      <w:r w:rsidRPr="00100412">
        <w:rPr>
          <w:rFonts w:ascii="Palatino Linotype" w:hAnsi="Palatino Linotype"/>
          <w:i/>
          <w:sz w:val="22"/>
          <w:szCs w:val="22"/>
          <w:lang w:val="es-ES_tradnl"/>
        </w:rPr>
        <w:t>Esta tesis se publicó el viernes 13 de mayo de 2016 a las 10:13 horas en el Semanario Judicial de la Federación.</w:t>
      </w:r>
      <w:r w:rsidRPr="00100412">
        <w:rPr>
          <w:rStyle w:val="Refdenotaalpie"/>
          <w:rFonts w:ascii="Palatino Linotype" w:hAnsi="Palatino Linotype"/>
          <w:i/>
          <w:sz w:val="22"/>
          <w:szCs w:val="22"/>
          <w:lang w:val="es-ES_tradnl"/>
        </w:rPr>
        <w:footnoteReference w:id="12"/>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w:t>
      </w:r>
      <w:r w:rsidRPr="00100412">
        <w:rPr>
          <w:rFonts w:ascii="Palatino Linotype" w:hAnsi="Palatino Linotype"/>
          <w:lang w:val="es-ES_tradnl"/>
        </w:rPr>
        <w:lastRenderedPageBreak/>
        <w:t xml:space="preserve">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r w:rsidR="002423EF" w:rsidRPr="00100412">
        <w:rPr>
          <w:rFonts w:ascii="Palatino Linotype" w:hAnsi="Palatino Linotype"/>
          <w:lang w:val="es-ES_tradnl"/>
        </w:rPr>
        <w:t>la</w:t>
      </w:r>
      <w:r w:rsidRPr="00100412">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A625A6" w:rsidRPr="00100412" w:rsidRDefault="00A625A6" w:rsidP="00A625A6">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w:t>
      </w:r>
      <w:r w:rsidRPr="00100412">
        <w:rPr>
          <w:rFonts w:ascii="Palatino Linotype" w:hAnsi="Palatino Linotype"/>
          <w:lang w:val="es-ES_tradnl"/>
        </w:rPr>
        <w:lastRenderedPageBreak/>
        <w:t>una sentencia a su favor, o sea, lo extrae del común de los casos colocándolo en una situación particular, privilegiada, de tal suerte que esa sentencia relativa en nada beneficiará a la personas ajenas a la queja.</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demás, aunque se encuentren en un caso perfectamente igual no pueden alegar como ejecutoria el fallo pronunciado para resistir el cumplimiento de la ley o acto que lo motivó.</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Es por ello que a pesar de que en determinada sentencia de amparo se haya declarado la inconstitucionalidad de una ley, ésta no desaparece, el Poder Legislativo no las deroga ni las abroga, no obstante, se hayan dictado diversas ejecutorias de la Suprema Corte de Justicia o </w:t>
      </w:r>
      <w:proofErr w:type="gramStart"/>
      <w:r w:rsidRPr="00100412">
        <w:rPr>
          <w:rFonts w:ascii="Palatino Linotype" w:hAnsi="Palatino Linotype"/>
          <w:lang w:val="es-ES_tradnl"/>
        </w:rPr>
        <w:t>incluso formado jurisprudencia</w:t>
      </w:r>
      <w:proofErr w:type="gramEnd"/>
      <w:r w:rsidRPr="00100412">
        <w:rPr>
          <w:rFonts w:ascii="Palatino Linotype" w:hAnsi="Palatino Linotype"/>
          <w:lang w:val="es-ES_tradnl"/>
        </w:rPr>
        <w:t xml:space="preserve">, la ley se continúa aplicando. Ello es así, pues las sentencias de amparo tienen efectos limitados, pues se circunscriben a </w:t>
      </w:r>
      <w:r w:rsidR="002423EF" w:rsidRPr="00100412">
        <w:rPr>
          <w:rFonts w:ascii="Palatino Linotype" w:hAnsi="Palatino Linotype"/>
          <w:lang w:val="es-ES_tradnl"/>
        </w:rPr>
        <w:t>proteger</w:t>
      </w:r>
      <w:r w:rsidRPr="00100412">
        <w:rPr>
          <w:rFonts w:ascii="Palatino Linotype" w:hAnsi="Palatino Linotype"/>
          <w:lang w:val="es-ES_tradnl"/>
        </w:rPr>
        <w:t xml:space="preserve"> al </w:t>
      </w:r>
      <w:proofErr w:type="spellStart"/>
      <w:r w:rsidRPr="00100412">
        <w:rPr>
          <w:rFonts w:ascii="Palatino Linotype" w:hAnsi="Palatino Linotype"/>
          <w:lang w:val="es-ES_tradnl"/>
        </w:rPr>
        <w:t>amparista</w:t>
      </w:r>
      <w:proofErr w:type="spellEnd"/>
      <w:r w:rsidRPr="00100412">
        <w:rPr>
          <w:rFonts w:ascii="Palatino Linotype" w:hAnsi="Palatino Linotype"/>
          <w:lang w:val="es-ES_tradnl"/>
        </w:rPr>
        <w:t xml:space="preserve"> en el caso especial sobre el que verse la queja, pues no es jurídicamente viable que se haga una declaración general.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100412">
        <w:rPr>
          <w:rFonts w:ascii="Palatino Linotype" w:hAnsi="Palatino Linotype"/>
          <w:shd w:val="clear" w:color="auto" w:fill="FFFFFF"/>
          <w:lang w:val="es-ES_tradnl"/>
        </w:rPr>
        <w:lastRenderedPageBreak/>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100412">
        <w:rPr>
          <w:rFonts w:ascii="Palatino Linotype" w:hAnsi="Palatino Linotype"/>
          <w:shd w:val="clear" w:color="auto" w:fill="FFFFFF"/>
          <w:lang w:val="es-ES_tradnl"/>
        </w:rPr>
        <w:t>juzgador</w:t>
      </w:r>
      <w:proofErr w:type="spellEnd"/>
      <w:r w:rsidRPr="00100412">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Es preciso mencionar que el criterio de la </w:t>
      </w:r>
      <w:r w:rsidRPr="00100412">
        <w:rPr>
          <w:rFonts w:ascii="Palatino Linotype" w:hAnsi="Palatino Linotype"/>
        </w:rPr>
        <w:t>Segunda Sala de la Suprema Corte de Justicia de la Nación, al resolver el Amparo en Revisión 654/18</w:t>
      </w:r>
      <w:r w:rsidRPr="00100412">
        <w:rPr>
          <w:rFonts w:ascii="Palatino Linotype" w:hAnsi="Palatino Linotype" w:cs="Calibri"/>
          <w:shd w:val="clear" w:color="auto" w:fill="FFFFFF"/>
          <w:lang w:val="es-ES_tradnl"/>
        </w:rPr>
        <w:t xml:space="preserve"> </w:t>
      </w:r>
      <w:r w:rsidRPr="00100412">
        <w:rPr>
          <w:rFonts w:ascii="Palatino Linotype" w:hAnsi="Palatino Linotype"/>
          <w:lang w:val="es-ES_tradnl"/>
        </w:rPr>
        <w:t xml:space="preserve">con el cual el Órgano Garante Nacional pretende justificar la procedencia del recurso de inconformidad en supuestos distintos a los establecidos por la Ley General de Transparencia y Acceso a la Información Pública, por su propia naturaleza y como bien lo señala en su resolución no constituye un precedente, sino únicamente un referente, y no los efectos generales que pretende otorgarle y mucho menos el </w:t>
      </w:r>
      <w:r w:rsidRPr="00100412">
        <w:rPr>
          <w:rFonts w:ascii="Palatino Linotype" w:hAnsi="Palatino Linotype"/>
          <w:lang w:val="es-ES_tradnl"/>
        </w:rPr>
        <w:lastRenderedPageBreak/>
        <w:t xml:space="preserve">fundamento para establecer nuevas </w:t>
      </w:r>
      <w:proofErr w:type="spellStart"/>
      <w:r w:rsidRPr="00100412">
        <w:rPr>
          <w:rFonts w:ascii="Palatino Linotype" w:hAnsi="Palatino Linotype"/>
          <w:lang w:val="es-ES_tradnl"/>
        </w:rPr>
        <w:t>hipótesis</w:t>
      </w:r>
      <w:proofErr w:type="spellEnd"/>
      <w:r w:rsidRPr="00100412">
        <w:rPr>
          <w:rFonts w:ascii="Palatino Linotype" w:hAnsi="Palatino Linotype"/>
          <w:lang w:val="es-ES_tradnl"/>
        </w:rPr>
        <w:t xml:space="preserve"> de procedencia distintas a las establecidas en la ley y con ello justificar la procedencia del recurso de inconformidad.</w:t>
      </w:r>
    </w:p>
    <w:p w:rsidR="00855DA2" w:rsidRPr="00100412" w:rsidRDefault="00855DA2" w:rsidP="00855DA2">
      <w:pPr>
        <w:pStyle w:val="Prrafodelista"/>
        <w:rPr>
          <w:rFonts w:ascii="Palatino Linotype" w:hAnsi="Palatino Linotype" w:cs="Calibri"/>
          <w:color w:val="212529"/>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w:t>
      </w:r>
      <w:proofErr w:type="spellStart"/>
      <w:r w:rsidRPr="00100412">
        <w:rPr>
          <w:rFonts w:ascii="Palatino Linotype" w:hAnsi="Palatino Linotype"/>
          <w:lang w:val="es-ES_tradnl"/>
        </w:rPr>
        <w:t>hipótesis</w:t>
      </w:r>
      <w:proofErr w:type="spellEnd"/>
      <w:r w:rsidRPr="00100412">
        <w:rPr>
          <w:rFonts w:ascii="Palatino Linotype" w:hAnsi="Palatino Linotype"/>
          <w:lang w:val="es-ES_tradnl"/>
        </w:rPr>
        <w:t xml:space="preserve"> de que no lo fuera, declare la inconstitucionalidad y consiguiente nulidad de dicha norma.</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De lo anterior, se advierte que, si bien el juicio de amparo y acción de inconstitucionalidad son medios de control constitucional, también lo es que sus efectos son diferentes, en tanto que para el amparo la sentencia tiene efectos relativos para el particular que promovió el amparo, en la acción de </w:t>
      </w:r>
      <w:r w:rsidRPr="00100412">
        <w:rPr>
          <w:rFonts w:ascii="Palatino Linotype" w:hAnsi="Palatino Linotype"/>
          <w:lang w:val="es-ES_tradnl"/>
        </w:rPr>
        <w:lastRenderedPageBreak/>
        <w:t xml:space="preserve">inconstitucionalidad la norma impugnada será declarada inconstitucional con efectos </w:t>
      </w:r>
      <w:r w:rsidRPr="00100412">
        <w:rPr>
          <w:rFonts w:ascii="Palatino Linotype" w:hAnsi="Palatino Linotype"/>
          <w:i/>
          <w:lang w:val="es-ES_tradnl"/>
        </w:rPr>
        <w:t>erga omnes.</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Bajo este contexto, el INAI como órgano constitucionalmente autónomo se de conformidad con el artículo </w:t>
      </w:r>
      <w:r w:rsidRPr="00100412">
        <w:rPr>
          <w:rFonts w:ascii="Palatino Linotype" w:hAnsi="Palatino Linotype" w:cs="Arial"/>
          <w:lang w:val="es-ES_tradnl"/>
        </w:rPr>
        <w:t>105, fracción II, inciso h), de la Constitución Política de los Estados Unidos Mexicanos</w:t>
      </w:r>
      <w:r w:rsidRPr="00100412">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100412">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w:t>
      </w:r>
      <w:r w:rsidRPr="00100412">
        <w:rPr>
          <w:rFonts w:ascii="Palatino Linotype" w:hAnsi="Palatino Linotype"/>
          <w:lang w:val="es-ES_tradnl"/>
        </w:rPr>
        <w:lastRenderedPageBreak/>
        <w:t>constitucionalmente autónomos aplicar la norma en estricto apego al principio de legalidad, circunstancia que, en el presente caso, se ha cumplido a cabalidad por este Órgano Garante Local en la resolución impugnada mediante el recurso de inconformidad de mérito.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2"/>
          <w:numId w:val="6"/>
        </w:numPr>
        <w:spacing w:line="360" w:lineRule="auto"/>
        <w:ind w:left="360" w:right="49"/>
        <w:jc w:val="both"/>
        <w:rPr>
          <w:rFonts w:ascii="Palatino Linotype" w:hAnsi="Palatino Linotype"/>
          <w:b/>
          <w:lang w:val="es-ES_tradnl"/>
        </w:rPr>
      </w:pPr>
      <w:r w:rsidRPr="00100412">
        <w:rPr>
          <w:rFonts w:ascii="Palatino Linotype" w:hAnsi="Palatino Linotype"/>
          <w:b/>
          <w:lang w:val="es-ES_tradnl"/>
        </w:rPr>
        <w:t xml:space="preserve">Sentencias de amparo no constituyen criterios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En esa virtud, la Ley de Amparo señala los términos de la obligatoriedad de la jurisprudencia en los siguientes términos:</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7"/>
        </w:numPr>
        <w:shd w:val="clear" w:color="auto" w:fill="FFFFFF"/>
        <w:tabs>
          <w:tab w:val="left" w:pos="0"/>
        </w:tabs>
        <w:spacing w:before="240" w:after="150" w:line="360" w:lineRule="auto"/>
        <w:ind w:right="49"/>
        <w:jc w:val="both"/>
        <w:rPr>
          <w:rFonts w:ascii="Palatino Linotype" w:hAnsi="Palatino Linotype"/>
          <w:lang w:val="es-ES_tradnl"/>
        </w:rPr>
      </w:pPr>
      <w:r w:rsidRPr="00100412">
        <w:rPr>
          <w:rFonts w:ascii="Palatino Linotype" w:hAnsi="Palatino Linotype"/>
          <w:lang w:val="es-ES_tradnl"/>
        </w:rPr>
        <w:lastRenderedPageBreak/>
        <w:t xml:space="preserve">La jurisprudencia se establece por la Suprema Corte de Justicia de la Nación, funcionando en pleno o en salas, por los Plenos de Circuito o por los tribunales colegiados de circuito, según corresponda. </w:t>
      </w:r>
    </w:p>
    <w:p w:rsidR="00855DA2" w:rsidRPr="00100412" w:rsidRDefault="00855DA2" w:rsidP="00855DA2">
      <w:pPr>
        <w:pStyle w:val="Prrafodelista"/>
        <w:numPr>
          <w:ilvl w:val="0"/>
          <w:numId w:val="7"/>
        </w:numPr>
        <w:shd w:val="clear" w:color="auto" w:fill="FFFFFF"/>
        <w:tabs>
          <w:tab w:val="left" w:pos="0"/>
        </w:tabs>
        <w:spacing w:before="240" w:after="150" w:line="360" w:lineRule="auto"/>
        <w:ind w:right="49"/>
        <w:jc w:val="both"/>
        <w:rPr>
          <w:rFonts w:ascii="Palatino Linotype" w:hAnsi="Palatino Linotype"/>
          <w:lang w:val="es-ES_tradnl"/>
        </w:rPr>
      </w:pPr>
      <w:r w:rsidRPr="00100412">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855DA2" w:rsidRPr="00100412" w:rsidRDefault="00855DA2" w:rsidP="00855DA2">
      <w:pPr>
        <w:pStyle w:val="Prrafodelista"/>
        <w:numPr>
          <w:ilvl w:val="0"/>
          <w:numId w:val="7"/>
        </w:numPr>
        <w:shd w:val="clear" w:color="auto" w:fill="FFFFFF"/>
        <w:tabs>
          <w:tab w:val="left" w:pos="0"/>
        </w:tabs>
        <w:spacing w:before="240" w:after="150" w:line="360" w:lineRule="auto"/>
        <w:ind w:right="49"/>
        <w:jc w:val="both"/>
        <w:rPr>
          <w:rFonts w:ascii="Palatino Linotype" w:hAnsi="Palatino Linotype"/>
          <w:lang w:val="es-ES_tradnl"/>
        </w:rPr>
      </w:pPr>
      <w:r w:rsidRPr="00100412">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855DA2" w:rsidRPr="00100412" w:rsidRDefault="00855DA2" w:rsidP="00855DA2">
      <w:pPr>
        <w:pStyle w:val="Prrafodelista"/>
        <w:numPr>
          <w:ilvl w:val="0"/>
          <w:numId w:val="7"/>
        </w:numPr>
        <w:shd w:val="clear" w:color="auto" w:fill="FFFFFF"/>
        <w:tabs>
          <w:tab w:val="left" w:pos="0"/>
        </w:tabs>
        <w:spacing w:before="240" w:after="150" w:line="360" w:lineRule="auto"/>
        <w:ind w:right="49"/>
        <w:jc w:val="both"/>
        <w:rPr>
          <w:rFonts w:ascii="Palatino Linotype" w:hAnsi="Palatino Linotype"/>
          <w:lang w:val="es-ES_tradnl"/>
        </w:rPr>
      </w:pPr>
      <w:r w:rsidRPr="00100412">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Derivado de lo anterior, la jurisprudencia goza del estatus de obligatoriedad para quienes juzgan, por tanto, respecto de las autoridades administrativas, éstas </w:t>
      </w:r>
      <w:r w:rsidRPr="00100412">
        <w:rPr>
          <w:rFonts w:ascii="Palatino Linotype" w:hAnsi="Palatino Linotype"/>
          <w:lang w:val="es-ES_tradnl"/>
        </w:rPr>
        <w:lastRenderedPageBreak/>
        <w:t>no están obligadas a aplicar la jurisprudencia, sirve de sustento la siguiente jurisprudencia emitida por la Segunda Sala de la SCJN:</w:t>
      </w:r>
    </w:p>
    <w:p w:rsidR="00855DA2" w:rsidRPr="00100412" w:rsidRDefault="00855DA2" w:rsidP="00855DA2">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855DA2" w:rsidRPr="00100412" w:rsidRDefault="00855DA2" w:rsidP="002423EF">
      <w:pPr>
        <w:ind w:left="567" w:right="333"/>
        <w:jc w:val="both"/>
        <w:rPr>
          <w:rFonts w:ascii="Palatino Linotype" w:hAnsi="Palatino Linotype"/>
          <w:i/>
          <w:lang w:val="es-ES_tradnl"/>
        </w:rPr>
      </w:pPr>
      <w:r w:rsidRPr="00100412">
        <w:rPr>
          <w:rFonts w:ascii="Palatino Linotype" w:hAnsi="Palatino Linotype"/>
          <w:b/>
          <w:i/>
          <w:lang w:val="es-ES_tradnl"/>
        </w:rPr>
        <w:t>JURISPRUDENCIA SOBRE INCONSTITUCIONALI DAD DE LEYES. LAS AUTORIDADES ADMINISTRATIVAS NO ESTÁN OBLIGADAS A APLICARLA AL CUMPLIR CON LA GARANTÍA DE FUNDAR Y MOTIVAR SUS ACTOS.</w:t>
      </w:r>
      <w:r w:rsidRPr="00100412">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855DA2" w:rsidRPr="00100412" w:rsidRDefault="00855DA2" w:rsidP="002423EF">
      <w:pPr>
        <w:ind w:left="567" w:right="333"/>
        <w:jc w:val="both"/>
        <w:rPr>
          <w:rFonts w:ascii="Palatino Linotype" w:hAnsi="Palatino Linotype"/>
          <w:i/>
          <w:lang w:val="es-ES_tradnl"/>
        </w:rPr>
      </w:pPr>
    </w:p>
    <w:p w:rsidR="00855DA2" w:rsidRPr="00100412" w:rsidRDefault="00855DA2" w:rsidP="002423EF">
      <w:pPr>
        <w:ind w:left="567" w:right="333"/>
        <w:jc w:val="both"/>
        <w:rPr>
          <w:rFonts w:ascii="Palatino Linotype" w:hAnsi="Palatino Linotype"/>
          <w:i/>
          <w:lang w:val="es-ES_tradnl"/>
        </w:rPr>
      </w:pPr>
      <w:r w:rsidRPr="00100412">
        <w:rPr>
          <w:rFonts w:ascii="Palatino Linotype" w:hAnsi="Palatino Linotype"/>
          <w:i/>
          <w:lang w:val="es-ES_tradnl"/>
        </w:rPr>
        <w:t xml:space="preserve">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w:t>
      </w:r>
      <w:r w:rsidRPr="00100412">
        <w:rPr>
          <w:rFonts w:ascii="Palatino Linotype" w:hAnsi="Palatino Linotype"/>
          <w:i/>
          <w:lang w:val="es-ES_tradnl"/>
        </w:rPr>
        <w:lastRenderedPageBreak/>
        <w:t>jurisprudencia 38/2002. Aprobada por la Segunda Sala de este Alto Tribunal, en sesión privada del tres de mayo de dos mil dos.</w:t>
      </w:r>
      <w:r w:rsidRPr="00100412">
        <w:rPr>
          <w:rStyle w:val="Refdenotaalpie"/>
          <w:rFonts w:ascii="Palatino Linotype" w:hAnsi="Palatino Linotype"/>
          <w:i/>
          <w:lang w:val="es-ES_tradnl"/>
        </w:rPr>
        <w:footnoteReference w:id="13"/>
      </w:r>
    </w:p>
    <w:p w:rsidR="00855DA2" w:rsidRPr="00100412" w:rsidRDefault="00855DA2" w:rsidP="00855DA2">
      <w:pPr>
        <w:spacing w:line="360" w:lineRule="auto"/>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Ahora bien, conviene hacer la distinción entre </w:t>
      </w:r>
      <w:r w:rsidRPr="00100412">
        <w:rPr>
          <w:rFonts w:ascii="Palatino Linotype" w:hAnsi="Palatino Linotype"/>
          <w:shd w:val="clear" w:color="auto" w:fill="FFFFFF"/>
          <w:lang w:val="es-ES_tradnl"/>
        </w:rPr>
        <w:t xml:space="preserve">una Tesis aislada y una Tesis de Jurisprudencia, en tanto que la primera constituye aquellos criterios emitidos por un Tribunal Colegiado o por la Suprema Corte de Justicia de la Nación actuando en Pleno o en Salas, interpretando algún precepto legal pero que no ha alcanzado ser obligatoria; sin embargo, cumple una importante función de orientación para el juzgador; mientras que la Jurisprudencia es la interpretación de la ley, de observancia obligatoria, que emana de las ejecutorias que pronuncia la Suprema Corte de Justicia de la Nación funcionando en Pleno o en Salas, y por los Tribunales Colegiados de Circuito. Corrobora lo anterior la siguiente Tesis Aislada: </w:t>
      </w:r>
    </w:p>
    <w:p w:rsidR="00855DA2" w:rsidRPr="00100412" w:rsidRDefault="00855DA2" w:rsidP="00855DA2">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855DA2" w:rsidRPr="00100412" w:rsidRDefault="00855DA2" w:rsidP="002423EF">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100412">
        <w:rPr>
          <w:rFonts w:ascii="Palatino Linotype" w:hAnsi="Palatino Linotype"/>
          <w:b/>
          <w:i/>
          <w:lang w:val="es-ES_tradnl"/>
        </w:rPr>
        <w:lastRenderedPageBreak/>
        <w:t>JURISPRUDENCIA. CONCEPTO, CLASES Y FINES.</w:t>
      </w:r>
      <w:r w:rsidRPr="00100412">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855DA2" w:rsidRPr="00100412" w:rsidRDefault="00855DA2" w:rsidP="002423EF">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100412">
        <w:rPr>
          <w:rFonts w:ascii="Palatino Linotype" w:hAnsi="Palatino Linotype"/>
          <w:i/>
          <w:lang w:val="es-ES_tradnl"/>
        </w:rPr>
        <w:t xml:space="preserve">Amparo en revisión 299/2003. Funerales la </w:t>
      </w:r>
      <w:proofErr w:type="spellStart"/>
      <w:r w:rsidRPr="00100412">
        <w:rPr>
          <w:rFonts w:ascii="Palatino Linotype" w:hAnsi="Palatino Linotype"/>
          <w:i/>
          <w:lang w:val="es-ES_tradnl"/>
        </w:rPr>
        <w:t>Ascención</w:t>
      </w:r>
      <w:proofErr w:type="spellEnd"/>
      <w:r w:rsidRPr="00100412">
        <w:rPr>
          <w:rFonts w:ascii="Palatino Linotype" w:hAnsi="Palatino Linotype"/>
          <w:i/>
          <w:lang w:val="es-ES_tradnl"/>
        </w:rPr>
        <w:t>, S.A. de C.V. 3 de julio de 2003. Unanimidad de votos. Ponente: F. Guillermo Baltazar Alvear. Secretario: Esteban Oviedo Rangel.</w:t>
      </w:r>
      <w:r w:rsidRPr="00100412">
        <w:rPr>
          <w:rStyle w:val="Refdenotaalpie"/>
          <w:rFonts w:ascii="Palatino Linotype" w:hAnsi="Palatino Linotype"/>
          <w:i/>
          <w:lang w:val="es-ES_tradnl"/>
        </w:rPr>
        <w:footnoteReference w:id="14"/>
      </w:r>
    </w:p>
    <w:p w:rsidR="00855DA2" w:rsidRPr="00100412" w:rsidRDefault="00855DA2" w:rsidP="00855DA2">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100412">
        <w:rPr>
          <w:rFonts w:ascii="Palatino Linotype" w:hAnsi="Palatino Linotype"/>
          <w:lang w:val="es-ES_tradnl"/>
        </w:rPr>
        <w:t xml:space="preserve">De tal forma que la significativa diferencia entre ambos conceptos, es la obligatoriedad que vincula a las autoridades a observar lo emitido en los criterios </w:t>
      </w:r>
      <w:r w:rsidRPr="00100412">
        <w:rPr>
          <w:rFonts w:ascii="Palatino Linotype" w:hAnsi="Palatino Linotype"/>
          <w:lang w:val="es-ES_tradnl"/>
        </w:rPr>
        <w:lastRenderedPageBreak/>
        <w:t>cuando estos ya pasan a ser jurisprudencias y se encuentran vigentes, mientras que las Tesis Aisladas pueden ser utilizadas para poder orientarse en el caso correspondiente.</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Derivado de lo anterior, se concluye que los órganos garantes no están obligados a aplicar jurisprudencias o tesis aisladas, mucho menos a fundamentar sus resoluciones en  jurisprudencia o tesis aisladas, es decir, solo constituyen, en todo caso, criterios orientadores para la interpretación de las normas jurídicas; sin embargo, </w:t>
      </w:r>
      <w:r w:rsidRPr="00100412">
        <w:rPr>
          <w:rFonts w:ascii="Palatino Linotype" w:eastAsiaTheme="minorHAnsi" w:hAnsi="Palatino Linotype"/>
          <w:lang w:val="es-ES_tradnl" w:eastAsia="en-US"/>
        </w:rPr>
        <w:t>el INAI, trata de justificar su interpretación expansiva y probablemente</w:t>
      </w:r>
      <w:r w:rsidRPr="00100412">
        <w:rPr>
          <w:rFonts w:ascii="Palatino Linotype" w:hAnsi="Palatino Linotype"/>
          <w:lang w:val="es-ES_tradnl"/>
        </w:rPr>
        <w:t xml:space="preserve"> </w:t>
      </w:r>
      <w:r w:rsidRPr="00100412">
        <w:rPr>
          <w:rFonts w:ascii="Palatino Linotype" w:eastAsiaTheme="minorHAnsi" w:hAnsi="Palatino Linotype"/>
          <w:lang w:val="es-ES_tradnl" w:eastAsia="en-US"/>
        </w:rPr>
        <w:t>desproporcionada de la norma en una sentencia de amparo</w:t>
      </w:r>
      <w:r w:rsidRPr="00100412">
        <w:rPr>
          <w:rFonts w:ascii="Palatino Linotype" w:hAnsi="Palatino Linotype"/>
          <w:lang w:val="es-ES_tradnl"/>
        </w:rPr>
        <w:t xml:space="preserve"> </w:t>
      </w:r>
      <w:r w:rsidRPr="00100412">
        <w:rPr>
          <w:rFonts w:ascii="Palatino Linotype" w:eastAsiaTheme="minorHAnsi" w:hAnsi="Palatino Linotype"/>
          <w:lang w:val="es-ES_tradnl" w:eastAsia="en-US"/>
        </w:rPr>
        <w:t>1703/2016 para reclamar jurisdicción sobre cualquier supuesto que pudiera</w:t>
      </w:r>
      <w:r w:rsidRPr="00100412">
        <w:rPr>
          <w:rFonts w:ascii="Palatino Linotype" w:hAnsi="Palatino Linotype"/>
          <w:lang w:val="es-ES_tradnl"/>
        </w:rPr>
        <w:t xml:space="preserve"> ser e</w:t>
      </w:r>
      <w:r w:rsidRPr="00100412">
        <w:rPr>
          <w:rFonts w:ascii="Palatino Linotype" w:eastAsiaTheme="minorHAnsi" w:hAnsi="Palatino Linotype"/>
          <w:lang w:val="es-ES_tradnl" w:eastAsia="en-US"/>
        </w:rPr>
        <w:t xml:space="preserve">quivalente a una negativa de acceso a la información.  </w:t>
      </w:r>
    </w:p>
    <w:p w:rsidR="00855DA2" w:rsidRPr="00100412" w:rsidRDefault="00855DA2" w:rsidP="00032B94">
      <w:pPr>
        <w:pStyle w:val="Ttulo1"/>
        <w:numPr>
          <w:ilvl w:val="0"/>
          <w:numId w:val="26"/>
        </w:numPr>
        <w:ind w:left="709"/>
        <w:rPr>
          <w:rFonts w:ascii="Palatino Linotype" w:hAnsi="Palatino Linotype"/>
          <w:b/>
          <w:color w:val="000000" w:themeColor="text1"/>
          <w:sz w:val="24"/>
        </w:rPr>
      </w:pPr>
      <w:bookmarkStart w:id="146" w:name="_Toc68821520"/>
      <w:r w:rsidRPr="00100412">
        <w:rPr>
          <w:rFonts w:ascii="Palatino Linotype" w:hAnsi="Palatino Linotype"/>
          <w:b/>
          <w:color w:val="000000" w:themeColor="text1"/>
          <w:sz w:val="24"/>
        </w:rPr>
        <w:t>De los Derechos del solicitante de acceso a la información</w:t>
      </w:r>
      <w:bookmarkEnd w:id="146"/>
    </w:p>
    <w:p w:rsidR="00855DA2" w:rsidRPr="00100412" w:rsidRDefault="00855DA2" w:rsidP="00855DA2">
      <w:pPr>
        <w:pStyle w:val="Prrafodelista"/>
        <w:rPr>
          <w:rFonts w:ascii="Palatino Linotype" w:eastAsiaTheme="minorHAnsi" w:hAnsi="Palatino Linotype"/>
          <w:lang w:val="es-ES_tradnl" w:eastAsia="en-US"/>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Theme="minorHAnsi" w:hAnsi="Palatino Linotype"/>
          <w:lang w:val="es-ES_tradnl" w:eastAsia="en-US"/>
        </w:rPr>
        <w:t xml:space="preserve">Por un lado, en el artículo sexto constitucional se reconoce el derecho de las personas de acceder a la información en posesión de los sujetos obligados la que, por principio, es pública, salvo las restricciones que defina la ley; así como el reconocimiento de las garantías para su protección, entre ellas, podemos identificar a las primarias como las inmediatamente relacionadas con el derecho y, por lo tanto, comunes para todos los sujetos obligados: el deber de documentar todo acto que realicen en el ejercicio de sus facultades, competencias o funciones; de resguardar los documentos en archivos administrativos actualizados; la de publicar, a través de </w:t>
      </w:r>
      <w:r w:rsidRPr="00100412">
        <w:rPr>
          <w:rFonts w:ascii="Palatino Linotype" w:eastAsiaTheme="minorHAnsi" w:hAnsi="Palatino Linotype"/>
          <w:lang w:val="es-ES_tradnl" w:eastAsia="en-US"/>
        </w:rPr>
        <w:lastRenderedPageBreak/>
        <w:t>los medios electrónicos disponibles, la información completa y actualizada, relacionada con el ejercicio de los recursos públicos y con los indicadores que permitan rendir cuenta del cumplimiento de sus objetivos y de los resultados obtenidos; y, finalmente, los procedimientos para solicitar información.</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 xml:space="preserve">Respecto de los procedimientos para solicitar información, el artículo 124 de la Ley General de Transparencia y Acceso a la Información Pública, señala los requisitos para presentar una solicitud de información, señalando en la fracción V la modalidad en la que prefiere el particular para que </w:t>
      </w:r>
      <w:proofErr w:type="gramStart"/>
      <w:r w:rsidRPr="00100412">
        <w:rPr>
          <w:rFonts w:ascii="Palatino Linotype" w:hAnsi="Palatino Linotype"/>
          <w:shd w:val="clear" w:color="auto" w:fill="FFFFFF"/>
          <w:lang w:val="es-ES_tradnl"/>
        </w:rPr>
        <w:t>se  le</w:t>
      </w:r>
      <w:proofErr w:type="gramEnd"/>
      <w:r w:rsidRPr="00100412">
        <w:rPr>
          <w:rFonts w:ascii="Palatino Linotype" w:hAnsi="Palatino Linotype"/>
          <w:shd w:val="clear" w:color="auto" w:fill="FFFFFF"/>
          <w:lang w:val="es-ES_tradnl"/>
        </w:rPr>
        <w:t xml:space="preserve"> otorgue el acceso a la información, como a continuación se muestra:</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bookmarkStart w:id="147" w:name="Artículo_124"/>
      <w:r w:rsidRPr="00100412">
        <w:rPr>
          <w:rFonts w:ascii="Palatino Linotype" w:hAnsi="Palatino Linotype"/>
          <w:b/>
          <w:i/>
          <w:sz w:val="22"/>
          <w:szCs w:val="22"/>
          <w:lang w:val="es-ES_tradnl"/>
        </w:rPr>
        <w:t>Artículo 124</w:t>
      </w:r>
      <w:bookmarkEnd w:id="147"/>
      <w:r w:rsidRPr="00100412">
        <w:rPr>
          <w:rFonts w:ascii="Palatino Linotype" w:hAnsi="Palatino Linotype"/>
          <w:b/>
          <w:i/>
          <w:sz w:val="22"/>
          <w:szCs w:val="22"/>
          <w:lang w:val="es-ES_tradnl"/>
        </w:rPr>
        <w:t xml:space="preserve">. </w:t>
      </w:r>
      <w:r w:rsidRPr="00100412">
        <w:rPr>
          <w:rFonts w:ascii="Palatino Linotype" w:hAnsi="Palatino Linotype"/>
          <w:i/>
          <w:sz w:val="22"/>
          <w:szCs w:val="22"/>
          <w:lang w:val="es-ES_tradnl"/>
        </w:rPr>
        <w:t>Para presentar una solicitud no se podrán exigir mayores requisitos que los siguientes:</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I.</w:t>
      </w:r>
      <w:r w:rsidRPr="00100412">
        <w:rPr>
          <w:rFonts w:ascii="Palatino Linotype" w:hAnsi="Palatino Linotype"/>
          <w:b/>
          <w:i/>
          <w:sz w:val="22"/>
          <w:szCs w:val="22"/>
          <w:lang w:val="es-ES_tradnl"/>
        </w:rPr>
        <w:tab/>
      </w:r>
      <w:r w:rsidRPr="00100412">
        <w:rPr>
          <w:rFonts w:ascii="Palatino Linotype" w:hAnsi="Palatino Linotype"/>
          <w:i/>
          <w:sz w:val="22"/>
          <w:szCs w:val="22"/>
          <w:lang w:val="es-ES_tradnl"/>
        </w:rPr>
        <w:t>Nombre o, en su caso, los datos generales de su representante;</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II. </w:t>
      </w:r>
      <w:r w:rsidRPr="00100412">
        <w:rPr>
          <w:rFonts w:ascii="Palatino Linotype" w:hAnsi="Palatino Linotype"/>
          <w:i/>
          <w:sz w:val="22"/>
          <w:szCs w:val="22"/>
          <w:lang w:val="es-ES_tradnl"/>
        </w:rPr>
        <w:t>Domicilio o medio para recibir notificaciones;</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III. </w:t>
      </w:r>
      <w:r w:rsidRPr="00100412">
        <w:rPr>
          <w:rFonts w:ascii="Palatino Linotype" w:hAnsi="Palatino Linotype"/>
          <w:i/>
          <w:sz w:val="22"/>
          <w:szCs w:val="22"/>
          <w:lang w:val="es-ES_tradnl"/>
        </w:rPr>
        <w:t>La descripción de la información solicitada;</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b/>
          <w:i/>
          <w:sz w:val="22"/>
          <w:szCs w:val="22"/>
          <w:lang w:val="es-ES_tradnl"/>
        </w:rPr>
        <w:t xml:space="preserve">IV. </w:t>
      </w:r>
      <w:r w:rsidRPr="00100412">
        <w:rPr>
          <w:rFonts w:ascii="Palatino Linotype" w:hAnsi="Palatino Linotype"/>
          <w:i/>
          <w:sz w:val="22"/>
          <w:szCs w:val="22"/>
          <w:lang w:val="es-ES_tradnl"/>
        </w:rPr>
        <w:t>Cualquier otro dato que facilite su búsqueda y eventual localización, y</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r w:rsidRPr="00100412">
        <w:rPr>
          <w:rFonts w:ascii="Palatino Linotype" w:hAnsi="Palatino Linotype"/>
          <w:b/>
          <w:i/>
          <w:sz w:val="22"/>
          <w:szCs w:val="22"/>
          <w:lang w:val="es-ES_tradnl"/>
        </w:rPr>
        <w:t>V.</w:t>
      </w:r>
      <w:r w:rsidRPr="00100412">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i/>
          <w:sz w:val="22"/>
          <w:szCs w:val="22"/>
          <w:lang w:val="es-ES_tradnl"/>
        </w:rPr>
        <w:lastRenderedPageBreak/>
        <w:t>En su caso, el solicitante señalará el formato accesible o la lengua indígena en la que se requiera la información de acuerdo a lo señalado en la presente Ley.</w:t>
      </w:r>
    </w:p>
    <w:p w:rsidR="00855DA2" w:rsidRPr="00100412" w:rsidRDefault="00855DA2" w:rsidP="00855DA2">
      <w:pPr>
        <w:pStyle w:val="Texto"/>
        <w:spacing w:after="0" w:line="276" w:lineRule="auto"/>
        <w:ind w:left="502" w:firstLine="0"/>
        <w:rPr>
          <w:rFonts w:ascii="Palatino Linotype" w:hAnsi="Palatino Linotype"/>
          <w:b/>
          <w:i/>
          <w:sz w:val="22"/>
          <w:szCs w:val="22"/>
          <w:lang w:val="es-ES_tradnl"/>
        </w:rPr>
      </w:pPr>
    </w:p>
    <w:p w:rsidR="00855DA2" w:rsidRPr="00100412" w:rsidRDefault="00855DA2" w:rsidP="00855DA2">
      <w:pPr>
        <w:pStyle w:val="Texto"/>
        <w:spacing w:after="0" w:line="276" w:lineRule="auto"/>
        <w:ind w:left="502" w:firstLine="0"/>
        <w:rPr>
          <w:rFonts w:ascii="Palatino Linotype" w:hAnsi="Palatino Linotype"/>
          <w:i/>
          <w:sz w:val="22"/>
          <w:szCs w:val="22"/>
          <w:lang w:val="es-ES_tradnl"/>
        </w:rPr>
      </w:pPr>
      <w:r w:rsidRPr="00100412">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De lo anterior se advierte que la garantía primaria del derecho de acceso a la información es la de solicitar el acceso a la información pública en la modalidad que el particular prefiera l</w:t>
      </w:r>
      <w:r w:rsidRPr="00100412">
        <w:rPr>
          <w:rFonts w:ascii="Palatino Linotype" w:hAnsi="Palatino Linotype"/>
          <w:lang w:val="es-ES_tradnl"/>
        </w:rPr>
        <w:t xml:space="preserve">a cual podrá ser </w:t>
      </w:r>
      <w:r w:rsidRPr="00100412">
        <w:rPr>
          <w:rFonts w:ascii="Palatino Linotype" w:hAnsi="Palatino Linotype"/>
          <w:b/>
          <w:lang w:val="es-ES_tradnl"/>
        </w:rPr>
        <w:t>verbal,</w:t>
      </w:r>
      <w:r w:rsidRPr="00100412">
        <w:rPr>
          <w:rFonts w:ascii="Palatino Linotype" w:hAnsi="Palatino Linotype"/>
          <w:lang w:val="es-ES_tradnl"/>
        </w:rPr>
        <w:t xml:space="preserve"> siempre y cuando sea para fines de orientación, mediante </w:t>
      </w:r>
      <w:r w:rsidRPr="00100412">
        <w:rPr>
          <w:rFonts w:ascii="Palatino Linotype" w:hAnsi="Palatino Linotype"/>
          <w:b/>
          <w:lang w:val="es-ES_tradnl"/>
        </w:rPr>
        <w:t>consulta directa</w:t>
      </w:r>
      <w:r w:rsidRPr="00100412">
        <w:rPr>
          <w:rFonts w:ascii="Palatino Linotype" w:hAnsi="Palatino Linotype"/>
          <w:lang w:val="es-ES_tradnl"/>
        </w:rPr>
        <w:t xml:space="preserve">, mediante la expedición de </w:t>
      </w:r>
      <w:r w:rsidRPr="00100412">
        <w:rPr>
          <w:rFonts w:ascii="Palatino Linotype" w:hAnsi="Palatino Linotype"/>
          <w:b/>
          <w:lang w:val="es-ES_tradnl"/>
        </w:rPr>
        <w:t>copias simples o certificadas</w:t>
      </w:r>
      <w:r w:rsidRPr="00100412">
        <w:rPr>
          <w:rFonts w:ascii="Palatino Linotype" w:hAnsi="Palatino Linotype"/>
          <w:lang w:val="es-ES_tradnl"/>
        </w:rPr>
        <w:t xml:space="preserve"> o la </w:t>
      </w:r>
      <w:r w:rsidRPr="00100412">
        <w:rPr>
          <w:rFonts w:ascii="Palatino Linotype" w:hAnsi="Palatino Linotype"/>
          <w:b/>
          <w:lang w:val="es-ES_tradnl"/>
        </w:rPr>
        <w:t>reproducción en cualquier otro medio, incluidos los electrónicos.</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090A44">
      <w:pPr>
        <w:pStyle w:val="Ttulo1"/>
        <w:numPr>
          <w:ilvl w:val="0"/>
          <w:numId w:val="28"/>
        </w:numPr>
        <w:rPr>
          <w:rFonts w:ascii="Palatino Linotype" w:hAnsi="Palatino Linotype"/>
          <w:b/>
          <w:color w:val="000000" w:themeColor="text1"/>
          <w:sz w:val="24"/>
        </w:rPr>
      </w:pPr>
      <w:bookmarkStart w:id="148" w:name="_Toc68821521"/>
      <w:r w:rsidRPr="00100412">
        <w:rPr>
          <w:rFonts w:ascii="Palatino Linotype" w:hAnsi="Palatino Linotype"/>
          <w:b/>
          <w:color w:val="000000" w:themeColor="text1"/>
          <w:sz w:val="24"/>
        </w:rPr>
        <w:t>De las Restricciones del solicitante del derecho de acceso a la información</w:t>
      </w:r>
      <w:bookmarkEnd w:id="148"/>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w:t>
      </w:r>
      <w:r w:rsidRPr="00100412">
        <w:rPr>
          <w:rFonts w:ascii="Palatino Linotype" w:eastAsiaTheme="minorHAnsi" w:hAnsi="Palatino Linotype"/>
          <w:lang w:val="es-ES_tradnl" w:eastAsia="en-US"/>
        </w:rPr>
        <w:lastRenderedPageBreak/>
        <w:t xml:space="preserve">establecido en el artículo 127 de la Ley General de Transparencia y Acceso a la Información Pública que establece que </w:t>
      </w:r>
      <w:r w:rsidRPr="00100412">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855DA2" w:rsidRPr="00100412" w:rsidRDefault="00855DA2" w:rsidP="00855DA2">
      <w:pPr>
        <w:pStyle w:val="Prrafodelista"/>
        <w:rPr>
          <w:rFonts w:ascii="Palatino Linotype" w:eastAsiaTheme="minorHAnsi" w:hAnsi="Palatino Linotype"/>
          <w:lang w:val="es-ES_tradnl" w:eastAsia="en-US"/>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Theme="minorHAnsi" w:hAnsi="Palatino Linotype"/>
          <w:lang w:val="es-ES_tradnl" w:eastAsia="en-US"/>
        </w:rPr>
        <w:t>Ahora bien, el hecho de que el sujeto obligado responda en una modalidad diferente a la solicitada por el particular, sin justificar esa decisión constituye un acto formal emitido por funcionarios legalmente facultados, pero inválido en tanto que no respeta la prerrogativa legalmente establecida que concede al titular del derecho, la oportunidad de escoger la modalidad de entrega de la información.</w:t>
      </w:r>
    </w:p>
    <w:p w:rsidR="00855DA2" w:rsidRPr="00100412" w:rsidRDefault="00855DA2" w:rsidP="00855DA2">
      <w:pPr>
        <w:pStyle w:val="Prrafodelista"/>
        <w:rPr>
          <w:rFonts w:ascii="Palatino Linotype" w:eastAsiaTheme="minorHAnsi" w:hAnsi="Palatino Linotype"/>
          <w:lang w:val="es-ES_tradnl" w:eastAsia="en-US"/>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Theme="minorHAnsi" w:hAnsi="Palatino Linotype"/>
          <w:lang w:val="es-ES_tradnl" w:eastAsia="en-US"/>
        </w:rPr>
        <w:t xml:space="preserve">No obstante lo anterior, no todos los cambios de modalidad en la entrega de la información pueden considerarse como inválidos, ya que la Ley General en su artículo 127 señala que de  manera excepcional, …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w:t>
      </w:r>
      <w:r w:rsidRPr="00100412">
        <w:rPr>
          <w:rFonts w:ascii="Palatino Linotype" w:eastAsiaTheme="minorHAnsi" w:hAnsi="Palatino Linotype"/>
          <w:lang w:val="es-ES_tradnl" w:eastAsia="en-US"/>
        </w:rPr>
        <w:lastRenderedPageBreak/>
        <w:t>establecidos para dichos efectos, se podrán poner a disposición del solicitante los documentos en consulta directa, salvo la información clasificada.</w:t>
      </w:r>
    </w:p>
    <w:p w:rsidR="00855DA2" w:rsidRPr="00100412" w:rsidRDefault="00855DA2" w:rsidP="00855DA2">
      <w:pPr>
        <w:pStyle w:val="Prrafodelista"/>
        <w:rPr>
          <w:rFonts w:ascii="Palatino Linotype" w:eastAsiaTheme="minorHAnsi" w:hAnsi="Palatino Linotype"/>
          <w:lang w:val="es-ES_tradnl" w:eastAsia="en-US"/>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855DA2" w:rsidRPr="00100412" w:rsidRDefault="00855DA2" w:rsidP="00855DA2">
      <w:pPr>
        <w:pStyle w:val="Prrafodelista"/>
        <w:rPr>
          <w:rFonts w:ascii="Palatino Linotype" w:eastAsiaTheme="minorHAnsi" w:hAnsi="Palatino Linotype"/>
          <w:lang w:val="es-ES_tradnl" w:eastAsia="en-US"/>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Theme="minorHAnsi" w:hAnsi="Palatino Linotype"/>
          <w:lang w:val="es-ES_tradnl" w:eastAsia="en-US"/>
        </w:rPr>
        <w:t>En concordancia con la Ley General, la legislación del Estado de México establece lo siguiente:</w:t>
      </w:r>
    </w:p>
    <w:p w:rsidR="00855DA2" w:rsidRPr="00100412" w:rsidRDefault="00855DA2" w:rsidP="00855DA2">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855DA2" w:rsidRPr="00100412" w:rsidTr="00855DA2">
        <w:tc>
          <w:tcPr>
            <w:tcW w:w="4414" w:type="dxa"/>
          </w:tcPr>
          <w:p w:rsidR="00855DA2" w:rsidRPr="00100412" w:rsidRDefault="00855DA2" w:rsidP="00855DA2">
            <w:pPr>
              <w:pStyle w:val="Prrafodelista"/>
              <w:ind w:left="0"/>
              <w:rPr>
                <w:rFonts w:ascii="Palatino Linotype" w:hAnsi="Palatino Linotype"/>
                <w:b/>
                <w:sz w:val="22"/>
                <w:szCs w:val="22"/>
                <w:shd w:val="clear" w:color="auto" w:fill="FFFFFF"/>
              </w:rPr>
            </w:pPr>
            <w:r w:rsidRPr="00100412">
              <w:rPr>
                <w:rFonts w:ascii="Palatino Linotype" w:hAnsi="Palatino Linotype"/>
                <w:b/>
                <w:sz w:val="22"/>
                <w:szCs w:val="22"/>
                <w:shd w:val="clear" w:color="auto" w:fill="FFFFFF"/>
              </w:rPr>
              <w:t>Ley General de Transparencia y Acceso a la Información Pública</w:t>
            </w:r>
          </w:p>
        </w:tc>
        <w:tc>
          <w:tcPr>
            <w:tcW w:w="4414" w:type="dxa"/>
          </w:tcPr>
          <w:p w:rsidR="00855DA2" w:rsidRPr="00100412" w:rsidRDefault="00855DA2" w:rsidP="00855DA2">
            <w:pPr>
              <w:pStyle w:val="Prrafodelista"/>
              <w:ind w:left="0"/>
              <w:rPr>
                <w:rFonts w:ascii="Palatino Linotype" w:hAnsi="Palatino Linotype"/>
                <w:b/>
                <w:sz w:val="22"/>
                <w:szCs w:val="22"/>
                <w:shd w:val="clear" w:color="auto" w:fill="FFFFFF"/>
              </w:rPr>
            </w:pPr>
            <w:r w:rsidRPr="00100412">
              <w:rPr>
                <w:rFonts w:ascii="Palatino Linotype" w:hAnsi="Palatino Linotype"/>
                <w:b/>
                <w:sz w:val="22"/>
                <w:szCs w:val="22"/>
                <w:shd w:val="clear" w:color="auto" w:fill="FFFFFF"/>
              </w:rPr>
              <w:t>Ley de Transparencia y Acceso a la Información Pública del Estado de México y Municipios</w:t>
            </w:r>
          </w:p>
        </w:tc>
      </w:tr>
      <w:tr w:rsidR="00855DA2" w:rsidRPr="00100412" w:rsidTr="00855DA2">
        <w:tc>
          <w:tcPr>
            <w:tcW w:w="4414" w:type="dxa"/>
          </w:tcPr>
          <w:p w:rsidR="00855DA2" w:rsidRPr="00100412" w:rsidRDefault="00855DA2" w:rsidP="00855DA2">
            <w:pPr>
              <w:pStyle w:val="Texto"/>
              <w:spacing w:after="0" w:line="240" w:lineRule="auto"/>
              <w:rPr>
                <w:rFonts w:ascii="Palatino Linotype" w:hAnsi="Palatino Linotype"/>
                <w:sz w:val="22"/>
                <w:szCs w:val="22"/>
                <w:lang w:val="es-ES_tradnl"/>
              </w:rPr>
            </w:pPr>
            <w:bookmarkStart w:id="149" w:name="Artículo_127"/>
            <w:r w:rsidRPr="00100412">
              <w:rPr>
                <w:rFonts w:ascii="Palatino Linotype" w:hAnsi="Palatino Linotype"/>
                <w:b/>
                <w:sz w:val="22"/>
                <w:szCs w:val="22"/>
                <w:lang w:val="es-ES_tradnl"/>
              </w:rPr>
              <w:t>Artículo 127</w:t>
            </w:r>
            <w:bookmarkEnd w:id="149"/>
            <w:r w:rsidRPr="00100412">
              <w:rPr>
                <w:rFonts w:ascii="Palatino Linotype" w:hAnsi="Palatino Linotype"/>
                <w:b/>
                <w:sz w:val="22"/>
                <w:szCs w:val="22"/>
                <w:lang w:val="es-ES_tradnl"/>
              </w:rPr>
              <w:t xml:space="preserve">. De manera excepcional, cuando, de forma fundada y motivada, así lo determine el sujeto obligado, </w:t>
            </w:r>
            <w:r w:rsidRPr="00100412">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100412">
              <w:rPr>
                <w:rFonts w:ascii="Palatino Linotype" w:hAnsi="Palatino Linotype"/>
                <w:b/>
                <w:sz w:val="22"/>
                <w:szCs w:val="22"/>
                <w:lang w:val="es-ES_tradnl"/>
              </w:rPr>
              <w:t xml:space="preserve">cuya entrega o reproducción sobrepase </w:t>
            </w:r>
            <w:r w:rsidRPr="00100412">
              <w:rPr>
                <w:rFonts w:ascii="Palatino Linotype" w:hAnsi="Palatino Linotype"/>
                <w:b/>
                <w:sz w:val="22"/>
                <w:szCs w:val="22"/>
                <w:u w:val="single"/>
                <w:lang w:val="es-ES_tradnl"/>
              </w:rPr>
              <w:t xml:space="preserve">las capacidades técnicas </w:t>
            </w:r>
            <w:r w:rsidRPr="00100412">
              <w:rPr>
                <w:rFonts w:ascii="Palatino Linotype" w:hAnsi="Palatino Linotype"/>
                <w:b/>
                <w:sz w:val="22"/>
                <w:szCs w:val="22"/>
                <w:lang w:val="es-ES_tradnl"/>
              </w:rPr>
              <w:t xml:space="preserve">del sujeto obligado </w:t>
            </w:r>
            <w:r w:rsidRPr="00100412">
              <w:rPr>
                <w:rFonts w:ascii="Palatino Linotype" w:hAnsi="Palatino Linotype"/>
                <w:sz w:val="22"/>
                <w:szCs w:val="22"/>
                <w:lang w:val="es-ES_tradnl"/>
              </w:rPr>
              <w:t xml:space="preserve">para cumplir con la solicitud, en los plazos establecidos para dichos efectos, se podrán poner a disposición </w:t>
            </w:r>
            <w:r w:rsidRPr="00100412">
              <w:rPr>
                <w:rFonts w:ascii="Palatino Linotype" w:hAnsi="Palatino Linotype"/>
                <w:sz w:val="22"/>
                <w:szCs w:val="22"/>
                <w:lang w:val="es-ES_tradnl"/>
              </w:rPr>
              <w:lastRenderedPageBreak/>
              <w:t xml:space="preserve">del </w:t>
            </w:r>
            <w:r w:rsidRPr="00100412">
              <w:rPr>
                <w:rFonts w:ascii="Palatino Linotype" w:hAnsi="Palatino Linotype"/>
                <w:b/>
                <w:sz w:val="22"/>
                <w:szCs w:val="22"/>
                <w:lang w:val="es-ES_tradnl"/>
              </w:rPr>
              <w:t xml:space="preserve">solicitante los Documentos en consulta directa, </w:t>
            </w:r>
            <w:r w:rsidRPr="00100412">
              <w:rPr>
                <w:rFonts w:ascii="Palatino Linotype" w:hAnsi="Palatino Linotype"/>
                <w:sz w:val="22"/>
                <w:szCs w:val="22"/>
                <w:lang w:val="es-ES_tradnl"/>
              </w:rPr>
              <w:t>salvo la información clasificada.</w:t>
            </w:r>
          </w:p>
          <w:p w:rsidR="00855DA2" w:rsidRPr="00100412" w:rsidRDefault="00855DA2" w:rsidP="00855DA2">
            <w:pPr>
              <w:pStyle w:val="Texto"/>
              <w:spacing w:after="0" w:line="240" w:lineRule="auto"/>
              <w:rPr>
                <w:rFonts w:ascii="Palatino Linotype" w:hAnsi="Palatino Linotype"/>
                <w:sz w:val="22"/>
                <w:szCs w:val="22"/>
                <w:lang w:val="es-ES_tradnl"/>
              </w:rPr>
            </w:pPr>
          </w:p>
          <w:p w:rsidR="00855DA2" w:rsidRPr="00100412" w:rsidRDefault="00855DA2" w:rsidP="00855DA2">
            <w:pPr>
              <w:pStyle w:val="Texto"/>
              <w:spacing w:after="0" w:line="240" w:lineRule="auto"/>
              <w:rPr>
                <w:rFonts w:ascii="Palatino Linotype" w:hAnsi="Palatino Linotype"/>
                <w:sz w:val="22"/>
                <w:szCs w:val="22"/>
                <w:lang w:val="es-ES_tradnl"/>
              </w:rPr>
            </w:pPr>
            <w:r w:rsidRPr="00100412">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855DA2" w:rsidRPr="00100412" w:rsidRDefault="00855DA2" w:rsidP="00855DA2">
            <w:pPr>
              <w:pStyle w:val="Prrafodelista"/>
              <w:ind w:left="0"/>
              <w:rPr>
                <w:rFonts w:ascii="Palatino Linotype" w:hAnsi="Palatino Linotype"/>
                <w:b/>
                <w:sz w:val="22"/>
                <w:szCs w:val="22"/>
                <w:shd w:val="clear" w:color="auto" w:fill="FFFFFF"/>
              </w:rPr>
            </w:pPr>
          </w:p>
        </w:tc>
        <w:tc>
          <w:tcPr>
            <w:tcW w:w="4414" w:type="dxa"/>
          </w:tcPr>
          <w:p w:rsidR="00855DA2" w:rsidRPr="00100412" w:rsidRDefault="00855DA2" w:rsidP="00855DA2">
            <w:pPr>
              <w:ind w:right="3"/>
              <w:jc w:val="both"/>
              <w:rPr>
                <w:rFonts w:ascii="Palatino Linotype" w:hAnsi="Palatino Linotype"/>
                <w:sz w:val="22"/>
                <w:szCs w:val="22"/>
              </w:rPr>
            </w:pPr>
            <w:r w:rsidRPr="00100412">
              <w:rPr>
                <w:rFonts w:ascii="Palatino Linotype" w:hAnsi="Palatino Linotype"/>
                <w:b/>
                <w:bCs/>
                <w:sz w:val="22"/>
                <w:szCs w:val="22"/>
              </w:rPr>
              <w:lastRenderedPageBreak/>
              <w:t>Artículo 158.</w:t>
            </w:r>
            <w:r w:rsidRPr="00100412">
              <w:rPr>
                <w:rFonts w:ascii="Palatino Linotype" w:hAnsi="Palatino Linotype"/>
                <w:sz w:val="22"/>
                <w:szCs w:val="22"/>
              </w:rPr>
              <w:t xml:space="preserve"> </w:t>
            </w:r>
            <w:r w:rsidRPr="00100412">
              <w:rPr>
                <w:rFonts w:ascii="Palatino Linotype" w:hAnsi="Palatino Linotype"/>
                <w:b/>
                <w:bCs/>
                <w:sz w:val="22"/>
                <w:szCs w:val="22"/>
              </w:rPr>
              <w:t xml:space="preserve">De manera excepcional, cuando </w:t>
            </w:r>
            <w:r w:rsidRPr="00100412">
              <w:rPr>
                <w:rFonts w:ascii="Palatino Linotype" w:hAnsi="Palatino Linotype"/>
                <w:b/>
                <w:bCs/>
                <w:sz w:val="22"/>
                <w:szCs w:val="22"/>
                <w:u w:val="single"/>
              </w:rPr>
              <w:t>de forma fundada y motivada</w:t>
            </w:r>
            <w:r w:rsidRPr="00100412">
              <w:rPr>
                <w:rFonts w:ascii="Palatino Linotype" w:hAnsi="Palatino Linotype"/>
                <w:b/>
                <w:bCs/>
                <w:sz w:val="22"/>
                <w:szCs w:val="22"/>
              </w:rPr>
              <w:t xml:space="preserve"> así lo determine el sujeto obligado</w:t>
            </w:r>
            <w:r w:rsidRPr="00100412">
              <w:rPr>
                <w:rFonts w:ascii="Palatino Linotype" w:hAnsi="Palatino Linotype"/>
                <w:sz w:val="22"/>
                <w:szCs w:val="22"/>
              </w:rPr>
              <w:t xml:space="preserve">, en aquellos casos en que la información solicitada que ya se encuentre en su posesión implique análisis, estudio o procesamiento de documentos </w:t>
            </w:r>
            <w:r w:rsidRPr="00100412">
              <w:rPr>
                <w:rFonts w:ascii="Palatino Linotype" w:hAnsi="Palatino Linotype"/>
                <w:b/>
                <w:bCs/>
                <w:sz w:val="22"/>
                <w:szCs w:val="22"/>
              </w:rPr>
              <w:t xml:space="preserve">cuya entrega o reproducción sobrepase </w:t>
            </w:r>
            <w:r w:rsidRPr="00100412">
              <w:rPr>
                <w:rFonts w:ascii="Palatino Linotype" w:hAnsi="Palatino Linotype"/>
                <w:b/>
                <w:bCs/>
                <w:sz w:val="22"/>
                <w:szCs w:val="22"/>
                <w:u w:val="single"/>
              </w:rPr>
              <w:t>las capacidades técnicas administrativas y humanas</w:t>
            </w:r>
            <w:r w:rsidRPr="00100412">
              <w:rPr>
                <w:rFonts w:ascii="Palatino Linotype" w:hAnsi="Palatino Linotype"/>
                <w:b/>
                <w:bCs/>
                <w:sz w:val="22"/>
                <w:szCs w:val="22"/>
              </w:rPr>
              <w:t xml:space="preserve"> del sujeto obligado</w:t>
            </w:r>
            <w:r w:rsidRPr="00100412">
              <w:rPr>
                <w:rFonts w:ascii="Palatino Linotype" w:hAnsi="Palatino Linotype"/>
                <w:sz w:val="22"/>
                <w:szCs w:val="22"/>
              </w:rPr>
              <w:t xml:space="preserve"> para cumplir con la solicitud, en los plazos establecidos para dichos efectos,</w:t>
            </w:r>
            <w:r w:rsidRPr="00100412">
              <w:rPr>
                <w:rFonts w:ascii="Palatino Linotype" w:hAnsi="Palatino Linotype"/>
                <w:b/>
                <w:bCs/>
                <w:sz w:val="22"/>
                <w:szCs w:val="22"/>
              </w:rPr>
              <w:t xml:space="preserve"> se podrá poner a disposición del </w:t>
            </w:r>
            <w:r w:rsidRPr="00100412">
              <w:rPr>
                <w:rFonts w:ascii="Palatino Linotype" w:hAnsi="Palatino Linotype"/>
                <w:b/>
                <w:bCs/>
                <w:sz w:val="22"/>
                <w:szCs w:val="22"/>
              </w:rPr>
              <w:lastRenderedPageBreak/>
              <w:t>solicitante los documentos en consulta directa</w:t>
            </w:r>
            <w:r w:rsidRPr="00100412">
              <w:rPr>
                <w:rFonts w:ascii="Palatino Linotype" w:hAnsi="Palatino Linotype"/>
                <w:sz w:val="22"/>
                <w:szCs w:val="22"/>
              </w:rPr>
              <w:t>, salvo la información clasificada”.</w:t>
            </w:r>
          </w:p>
          <w:p w:rsidR="00855DA2" w:rsidRPr="00100412" w:rsidRDefault="00855DA2" w:rsidP="00855DA2">
            <w:pPr>
              <w:pStyle w:val="Prrafodelista"/>
              <w:ind w:left="0"/>
              <w:rPr>
                <w:rFonts w:ascii="Palatino Linotype" w:hAnsi="Palatino Linotype"/>
                <w:b/>
                <w:sz w:val="22"/>
                <w:szCs w:val="22"/>
                <w:shd w:val="clear" w:color="auto" w:fill="FFFFFF"/>
              </w:rPr>
            </w:pPr>
          </w:p>
          <w:p w:rsidR="00855DA2" w:rsidRPr="00100412" w:rsidRDefault="00855DA2" w:rsidP="00855DA2">
            <w:pPr>
              <w:pStyle w:val="Prrafodelista"/>
              <w:ind w:left="0"/>
              <w:rPr>
                <w:rFonts w:ascii="Palatino Linotype" w:hAnsi="Palatino Linotype"/>
                <w:sz w:val="22"/>
                <w:szCs w:val="22"/>
                <w:shd w:val="clear" w:color="auto" w:fill="FFFFFF"/>
              </w:rPr>
            </w:pPr>
            <w:r w:rsidRPr="00100412">
              <w:rPr>
                <w:rFonts w:ascii="Palatino Linotype" w:hAnsi="Palatino Linotype"/>
                <w:sz w:val="22"/>
                <w:szCs w:val="22"/>
                <w:shd w:val="clear" w:color="auto" w:fill="FFFFFF"/>
              </w:rPr>
              <w:t>En todo caso, se facilitará su copia simple o certificada, así como su reproducción por cualquier medio disponible en las instalaciones del sujeto obligado o que, en su caso, aporte el solicitante.</w:t>
            </w:r>
          </w:p>
        </w:tc>
      </w:tr>
      <w:tr w:rsidR="00855DA2" w:rsidRPr="00100412" w:rsidTr="00855DA2">
        <w:tc>
          <w:tcPr>
            <w:tcW w:w="4414" w:type="dxa"/>
          </w:tcPr>
          <w:p w:rsidR="00855DA2" w:rsidRPr="00100412" w:rsidRDefault="00855DA2" w:rsidP="00855DA2">
            <w:pPr>
              <w:pStyle w:val="Texto"/>
              <w:spacing w:after="0" w:line="240" w:lineRule="auto"/>
              <w:rPr>
                <w:rFonts w:ascii="Palatino Linotype" w:hAnsi="Palatino Linotype"/>
                <w:sz w:val="22"/>
                <w:szCs w:val="22"/>
                <w:lang w:val="es-ES_tradnl"/>
              </w:rPr>
            </w:pPr>
            <w:bookmarkStart w:id="150" w:name="Artículo_133"/>
            <w:r w:rsidRPr="00100412">
              <w:rPr>
                <w:rFonts w:ascii="Palatino Linotype" w:hAnsi="Palatino Linotype"/>
                <w:b/>
                <w:sz w:val="22"/>
                <w:szCs w:val="22"/>
                <w:lang w:val="es-ES_tradnl"/>
              </w:rPr>
              <w:lastRenderedPageBreak/>
              <w:t>Artículo 133</w:t>
            </w:r>
            <w:bookmarkEnd w:id="150"/>
            <w:r w:rsidRPr="00100412">
              <w:rPr>
                <w:rFonts w:ascii="Palatino Linotype" w:hAnsi="Palatino Linotype"/>
                <w:b/>
                <w:sz w:val="22"/>
                <w:szCs w:val="22"/>
                <w:lang w:val="es-ES_tradnl"/>
              </w:rPr>
              <w:t xml:space="preserve">. </w:t>
            </w:r>
            <w:r w:rsidRPr="00100412">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855DA2" w:rsidRPr="00100412" w:rsidRDefault="00855DA2" w:rsidP="00855DA2">
            <w:pPr>
              <w:pStyle w:val="Texto"/>
              <w:spacing w:after="0" w:line="240" w:lineRule="auto"/>
              <w:rPr>
                <w:rFonts w:ascii="Palatino Linotype" w:hAnsi="Palatino Linotype"/>
                <w:b/>
                <w:sz w:val="22"/>
                <w:szCs w:val="22"/>
                <w:u w:val="single"/>
                <w:lang w:val="es-ES_tradnl"/>
              </w:rPr>
            </w:pPr>
            <w:r w:rsidRPr="00100412">
              <w:rPr>
                <w:rFonts w:ascii="Palatino Linotype" w:hAnsi="Palatino Linotype"/>
                <w:b/>
                <w:sz w:val="22"/>
                <w:szCs w:val="22"/>
                <w:u w:val="single"/>
                <w:lang w:val="es-ES_tradnl"/>
              </w:rPr>
              <w:t>En cualquier caso, se deberá fundar y motivar la necesidad de ofrecer otras modalidades.</w:t>
            </w:r>
          </w:p>
          <w:p w:rsidR="00855DA2" w:rsidRPr="00100412" w:rsidRDefault="00855DA2" w:rsidP="00855DA2">
            <w:pPr>
              <w:pStyle w:val="Prrafodelista"/>
              <w:ind w:left="0"/>
              <w:rPr>
                <w:rFonts w:ascii="Palatino Linotype" w:hAnsi="Palatino Linotype"/>
                <w:b/>
                <w:sz w:val="22"/>
                <w:szCs w:val="22"/>
                <w:shd w:val="clear" w:color="auto" w:fill="FFFFFF"/>
              </w:rPr>
            </w:pPr>
          </w:p>
        </w:tc>
        <w:tc>
          <w:tcPr>
            <w:tcW w:w="4414" w:type="dxa"/>
          </w:tcPr>
          <w:p w:rsidR="00855DA2" w:rsidRPr="00100412" w:rsidRDefault="00855DA2" w:rsidP="00855DA2">
            <w:pPr>
              <w:pStyle w:val="Prrafodelista"/>
              <w:ind w:left="0"/>
              <w:jc w:val="both"/>
              <w:rPr>
                <w:rFonts w:ascii="Palatino Linotype" w:hAnsi="Palatino Linotype"/>
                <w:sz w:val="22"/>
                <w:szCs w:val="22"/>
                <w:shd w:val="clear" w:color="auto" w:fill="FFFFFF"/>
              </w:rPr>
            </w:pPr>
            <w:r w:rsidRPr="00100412">
              <w:rPr>
                <w:rFonts w:ascii="Palatino Linotype" w:hAnsi="Palatino Linotype"/>
                <w:b/>
                <w:sz w:val="22"/>
                <w:szCs w:val="22"/>
                <w:shd w:val="clear" w:color="auto" w:fill="FFFFFF"/>
              </w:rPr>
              <w:t xml:space="preserve">Artículo 164. </w:t>
            </w:r>
            <w:r w:rsidRPr="00100412">
              <w:rPr>
                <w:rFonts w:ascii="Palatino Linotype" w:hAnsi="Palatino Linotype"/>
                <w:sz w:val="22"/>
                <w:szCs w:val="22"/>
                <w:shd w:val="clear" w:color="auto" w:fill="FFFFFF"/>
              </w:rPr>
              <w:t xml:space="preserve">El acceso se dará en la modalidad de entrega y, en su caso, de envío elegidos por el solicitante. Cuando la información no pueda entregarse o enviarse en la modalidad solicitada, el sujeto obligado </w:t>
            </w:r>
            <w:proofErr w:type="gramStart"/>
            <w:r w:rsidRPr="00100412">
              <w:rPr>
                <w:rFonts w:ascii="Palatino Linotype" w:hAnsi="Palatino Linotype"/>
                <w:sz w:val="22"/>
                <w:szCs w:val="22"/>
                <w:shd w:val="clear" w:color="auto" w:fill="FFFFFF"/>
              </w:rPr>
              <w:t>deberá  ofrecer</w:t>
            </w:r>
            <w:proofErr w:type="gramEnd"/>
            <w:r w:rsidRPr="00100412">
              <w:rPr>
                <w:rFonts w:ascii="Palatino Linotype" w:hAnsi="Palatino Linotype"/>
                <w:sz w:val="22"/>
                <w:szCs w:val="22"/>
                <w:shd w:val="clear" w:color="auto" w:fill="FFFFFF"/>
              </w:rPr>
              <w:t xml:space="preserve"> otra u otras modalidades de entrega.</w:t>
            </w:r>
          </w:p>
          <w:p w:rsidR="00855DA2" w:rsidRPr="00100412" w:rsidRDefault="00855DA2" w:rsidP="00855DA2">
            <w:pPr>
              <w:pStyle w:val="Prrafodelista"/>
              <w:ind w:left="0"/>
              <w:jc w:val="both"/>
              <w:rPr>
                <w:rFonts w:ascii="Palatino Linotype" w:hAnsi="Palatino Linotype"/>
                <w:b/>
                <w:sz w:val="22"/>
                <w:szCs w:val="22"/>
                <w:shd w:val="clear" w:color="auto" w:fill="FFFFFF"/>
              </w:rPr>
            </w:pPr>
          </w:p>
          <w:p w:rsidR="00855DA2" w:rsidRPr="00100412" w:rsidRDefault="00855DA2" w:rsidP="00855DA2">
            <w:pPr>
              <w:pStyle w:val="Prrafodelista"/>
              <w:ind w:left="0"/>
              <w:jc w:val="both"/>
              <w:rPr>
                <w:rFonts w:ascii="Palatino Linotype" w:hAnsi="Palatino Linotype"/>
                <w:b/>
                <w:sz w:val="22"/>
                <w:szCs w:val="22"/>
                <w:u w:val="single"/>
                <w:shd w:val="clear" w:color="auto" w:fill="FFFFFF"/>
              </w:rPr>
            </w:pPr>
            <w:r w:rsidRPr="00100412">
              <w:rPr>
                <w:rFonts w:ascii="Palatino Linotype" w:hAnsi="Palatino Linotype"/>
                <w:b/>
                <w:sz w:val="22"/>
                <w:szCs w:val="22"/>
                <w:u w:val="single"/>
                <w:shd w:val="clear" w:color="auto" w:fill="FFFFFF"/>
              </w:rPr>
              <w:t>En cualquier caso, se deberá fundar y motivar la necesidad de ofrecer otras modalidades.</w:t>
            </w:r>
          </w:p>
        </w:tc>
      </w:tr>
    </w:tbl>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 xml:space="preserve">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w:t>
      </w:r>
      <w:r w:rsidRPr="00100412">
        <w:rPr>
          <w:rFonts w:ascii="Palatino Linotype" w:hAnsi="Palatino Linotype"/>
          <w:shd w:val="clear" w:color="auto" w:fill="FFFFFF"/>
          <w:lang w:val="es-ES_tradnl"/>
        </w:rPr>
        <w:lastRenderedPageBreak/>
        <w:t>resolución, pero que este Instituto, sí consideró para fundar y motivar debidamente su resolución al momento de confirmar el cambio de modalidad, por haberse sobrepasado las capacidades administrativas y humanas, como puntualmente lo refiere nuestra ley local.</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De lo anterior, se advierte que la restricción en proporcionar lo solicitado en la modalidad elegida por el solicitante, de manera excepcional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discrecionalidad del sujeto obligado, sino atendiendo al principio de legalidad que implica la debida fundamentación y motivación del cambio de modalidad, entendiéndose que por fundamentación el precepto legal que les faculte para ello y el motivo de dicho cambio de modalidad que la propia norma establece, es decir que sobrepase las capacidades técnicas, administrativas y humanas.</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Pr="00100412">
        <w:rPr>
          <w:rFonts w:ascii="Palatino Linotype" w:eastAsiaTheme="minorHAnsi" w:hAnsi="Palatino Linotype"/>
          <w:lang w:val="es-ES_tradnl" w:eastAsia="en-US"/>
        </w:rPr>
        <w:t xml:space="preserve">por ejemplo, el volumen de la información requerida por una misma persona, mediante numerosas solicitudes de acceso a la información presentadas en un mismo día y </w:t>
      </w:r>
      <w:r w:rsidRPr="00100412">
        <w:rPr>
          <w:rFonts w:ascii="Palatino Linotype" w:eastAsiaTheme="minorHAnsi" w:hAnsi="Palatino Linotype"/>
          <w:lang w:val="es-ES_tradnl" w:eastAsia="en-US"/>
        </w:rPr>
        <w:lastRenderedPageBreak/>
        <w:t>que deberán de tramitarse simultáneamente en los plazos definidos por la ley podrán sobrepasar las capacidades administrativas, al tener que retirar a funcionarios públicos del desempeño de sus funciones ordinarias para dedicarse al procesamiento de la información; y, capacidades humanas, cuando el volumen es tal que sobrepasa las condiciones, especialmente de sujetos obligados con limitadas capacidades de recursos humanos.</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090A44">
      <w:pPr>
        <w:pStyle w:val="Ttulo1"/>
        <w:numPr>
          <w:ilvl w:val="0"/>
          <w:numId w:val="30"/>
        </w:numPr>
        <w:ind w:hanging="11"/>
        <w:jc w:val="both"/>
        <w:rPr>
          <w:rFonts w:ascii="Palatino Linotype" w:hAnsi="Palatino Linotype"/>
          <w:b/>
          <w:color w:val="000000" w:themeColor="text1"/>
          <w:sz w:val="24"/>
        </w:rPr>
      </w:pPr>
      <w:bookmarkStart w:id="151" w:name="_Toc68821522"/>
      <w:r w:rsidRPr="00100412">
        <w:rPr>
          <w:rFonts w:ascii="Palatino Linotype" w:hAnsi="Palatino Linotype"/>
          <w:b/>
          <w:color w:val="000000" w:themeColor="text1"/>
          <w:sz w:val="24"/>
        </w:rPr>
        <w:t>De la acreditación de la legalidad de la resolución del Instituto de Transparencia, Acceso a la Información Pública y Protección de Datos Personales del Estado de México y Municipios.</w:t>
      </w:r>
      <w:bookmarkEnd w:id="151"/>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Como ya se abordado en la presente resolución,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100412">
        <w:rPr>
          <w:rFonts w:ascii="Palatino Linotype" w:hAnsi="Palatino Linotype"/>
          <w:spacing w:val="-2"/>
          <w:lang w:val="es-ES_tradnl"/>
        </w:rPr>
        <w:t xml:space="preserve">los </w:t>
      </w:r>
      <w:r w:rsidRPr="00100412">
        <w:rPr>
          <w:rFonts w:ascii="Palatino Linotype" w:hAnsi="Palatino Linotype"/>
          <w:lang w:val="es-ES_tradnl"/>
        </w:rPr>
        <w:t xml:space="preserve">fundamentos y motivos del acto de autoridad, es decir, que exista adecuación entre los motivos aducidos y las normas aplicables, configurándose así las </w:t>
      </w:r>
      <w:proofErr w:type="spellStart"/>
      <w:r w:rsidRPr="00100412">
        <w:rPr>
          <w:rFonts w:ascii="Palatino Linotype" w:hAnsi="Palatino Linotype"/>
          <w:lang w:val="es-ES_tradnl"/>
        </w:rPr>
        <w:t>hipótesis</w:t>
      </w:r>
      <w:proofErr w:type="spellEnd"/>
      <w:r w:rsidRPr="00100412">
        <w:rPr>
          <w:rFonts w:ascii="Palatino Linotype" w:hAnsi="Palatino Linotype"/>
          <w:spacing w:val="-5"/>
          <w:lang w:val="es-ES_tradnl"/>
        </w:rPr>
        <w:t xml:space="preserve"> </w:t>
      </w:r>
      <w:r w:rsidRPr="00100412">
        <w:rPr>
          <w:rFonts w:ascii="Palatino Linotype" w:hAnsi="Palatino Linotype"/>
          <w:lang w:val="es-ES_tradnl"/>
        </w:rPr>
        <w:t>normativas.</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Sirve de sustento a lo anterior, la jurisprudencia que abajo se cita, la cual ha sido sustento de las numerosas ejecutorias que ha dictado el Poder Judicial de la </w:t>
      </w:r>
      <w:r w:rsidRPr="00100412">
        <w:rPr>
          <w:rFonts w:ascii="Palatino Linotype" w:hAnsi="Palatino Linotype"/>
          <w:lang w:val="es-ES_tradnl"/>
        </w:rPr>
        <w:lastRenderedPageBreak/>
        <w:t>Federación y que ha sido uno de los sustentos que han dado lugar a las diversas tesis aisladas y jurisprudenciales que existen en materia de fundamentación y</w:t>
      </w:r>
      <w:r w:rsidRPr="00100412">
        <w:rPr>
          <w:rFonts w:ascii="Palatino Linotype" w:hAnsi="Palatino Linotype"/>
          <w:spacing w:val="-4"/>
          <w:lang w:val="es-ES_tradnl"/>
        </w:rPr>
        <w:t xml:space="preserve"> </w:t>
      </w:r>
      <w:r w:rsidRPr="00100412">
        <w:rPr>
          <w:rFonts w:ascii="Palatino Linotype" w:hAnsi="Palatino Linotype"/>
          <w:lang w:val="es-ES_tradnl"/>
        </w:rPr>
        <w:t>motivación:</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spacing w:line="276" w:lineRule="auto"/>
        <w:ind w:left="908" w:right="900"/>
        <w:jc w:val="both"/>
        <w:rPr>
          <w:rFonts w:ascii="Palatino Linotype" w:hAnsi="Palatino Linotype"/>
          <w:i/>
          <w:sz w:val="22"/>
          <w:szCs w:val="22"/>
          <w:lang w:val="es-ES_tradnl"/>
        </w:rPr>
      </w:pPr>
      <w:r w:rsidRPr="00100412">
        <w:rPr>
          <w:rFonts w:ascii="Palatino Linotype" w:hAnsi="Palatino Linotype"/>
          <w:b/>
          <w:i/>
          <w:sz w:val="22"/>
          <w:szCs w:val="22"/>
          <w:lang w:val="es-ES_tradnl"/>
        </w:rPr>
        <w:t xml:space="preserve">“FUNDAMENTACION Y MOTIVACION. </w:t>
      </w:r>
      <w:r w:rsidRPr="00100412">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w:t>
      </w:r>
      <w:proofErr w:type="spellStart"/>
      <w:r w:rsidRPr="00100412">
        <w:rPr>
          <w:rFonts w:ascii="Palatino Linotype" w:hAnsi="Palatino Linotype"/>
          <w:i/>
          <w:sz w:val="22"/>
          <w:szCs w:val="22"/>
          <w:lang w:val="es-ES_tradnl"/>
        </w:rPr>
        <w:t>hipótesis</w:t>
      </w:r>
      <w:proofErr w:type="spellEnd"/>
      <w:r w:rsidRPr="00100412">
        <w:rPr>
          <w:rFonts w:ascii="Palatino Linotype" w:hAnsi="Palatino Linotype"/>
          <w:i/>
          <w:spacing w:val="-2"/>
          <w:sz w:val="22"/>
          <w:szCs w:val="22"/>
          <w:lang w:val="es-ES_tradnl"/>
        </w:rPr>
        <w:t xml:space="preserve"> </w:t>
      </w:r>
      <w:r w:rsidRPr="00100412">
        <w:rPr>
          <w:rFonts w:ascii="Palatino Linotype" w:hAnsi="Palatino Linotype"/>
          <w:i/>
          <w:sz w:val="22"/>
          <w:szCs w:val="22"/>
          <w:lang w:val="es-ES_tradnl"/>
        </w:rPr>
        <w:t>normativas.”</w:t>
      </w:r>
      <w:r w:rsidRPr="00100412">
        <w:rPr>
          <w:rStyle w:val="Refdenotaalpie"/>
          <w:rFonts w:ascii="Palatino Linotype" w:hAnsi="Palatino Linotype"/>
          <w:i/>
          <w:sz w:val="22"/>
          <w:szCs w:val="22"/>
          <w:lang w:val="es-ES_tradnl"/>
        </w:rPr>
        <w:footnoteReference w:id="15"/>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855DA2" w:rsidRPr="00100412" w:rsidRDefault="00855DA2" w:rsidP="00855DA2">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855DA2" w:rsidRPr="00100412" w:rsidRDefault="00855DA2" w:rsidP="00855DA2">
      <w:pPr>
        <w:pStyle w:val="Prrafodelista"/>
        <w:spacing w:line="276" w:lineRule="auto"/>
        <w:ind w:left="502" w:right="474"/>
        <w:jc w:val="both"/>
        <w:rPr>
          <w:rFonts w:ascii="Palatino Linotype" w:hAnsi="Palatino Linotype"/>
          <w:i/>
          <w:sz w:val="22"/>
          <w:szCs w:val="22"/>
          <w:lang w:val="es-ES_tradnl"/>
        </w:rPr>
      </w:pPr>
      <w:r w:rsidRPr="00100412">
        <w:rPr>
          <w:rFonts w:ascii="Palatino Linotype" w:hAnsi="Palatino Linotype"/>
          <w:b/>
          <w:i/>
          <w:sz w:val="22"/>
          <w:szCs w:val="22"/>
          <w:lang w:val="es-ES_tradnl"/>
        </w:rPr>
        <w:t>“SENTENCIAS DE AMPARO, PRINCIPIOS DE CONGRUENCIA Y EXHAUSTIVIDAD EN LAS.</w:t>
      </w:r>
      <w:r w:rsidRPr="00100412">
        <w:rPr>
          <w:rFonts w:ascii="Palatino Linotype" w:hAnsi="Palatino Linotype"/>
          <w:i/>
          <w:sz w:val="22"/>
          <w:szCs w:val="22"/>
          <w:lang w:val="es-ES_tradnl"/>
        </w:rPr>
        <w:t xml:space="preserve"> De los artículos 77 y 78 de la Ley de Amparo se desprende que </w:t>
      </w:r>
      <w:r w:rsidRPr="00100412">
        <w:rPr>
          <w:rFonts w:ascii="Palatino Linotype" w:hAnsi="Palatino Linotype"/>
          <w:b/>
          <w:i/>
          <w:sz w:val="22"/>
          <w:szCs w:val="22"/>
          <w:u w:val="single"/>
          <w:lang w:val="es-ES_tradnl"/>
        </w:rPr>
        <w:t>los principios de congruencia y exhaustividad que rigen en las sentencias de amparo, en esencia, están referidos a que éstas sean congruentes no sólo consigo mismas, sino también con la Litis y con la demanda de amparo, apreciando las pruebas conducentes y resolviendo sin omitir nada, ni añadir cuestiones no hechas valer, ni expresar consideraciones contrarias entre sí o con los puntos resolutivos, lo que obliga al juzgador,</w:t>
      </w:r>
      <w:r w:rsidRPr="00100412">
        <w:rPr>
          <w:rFonts w:ascii="Palatino Linotype" w:hAnsi="Palatino Linotype"/>
          <w:i/>
          <w:sz w:val="22"/>
          <w:szCs w:val="22"/>
          <w:lang w:val="es-ES_tradnl"/>
        </w:rPr>
        <w:t xml:space="preserve"> tratándose del juicio de amparo contra leyes, a </w:t>
      </w:r>
      <w:r w:rsidRPr="00100412">
        <w:rPr>
          <w:rFonts w:ascii="Palatino Linotype" w:hAnsi="Palatino Linotype"/>
          <w:i/>
          <w:sz w:val="22"/>
          <w:szCs w:val="22"/>
          <w:lang w:val="es-ES_tradnl"/>
        </w:rPr>
        <w:lastRenderedPageBreak/>
        <w:t>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855DA2" w:rsidRPr="00100412" w:rsidRDefault="00855DA2" w:rsidP="00855DA2">
      <w:pPr>
        <w:pStyle w:val="Prrafodelista"/>
        <w:spacing w:line="276" w:lineRule="auto"/>
        <w:ind w:left="502" w:right="474"/>
        <w:jc w:val="both"/>
        <w:rPr>
          <w:rFonts w:ascii="Palatino Linotype" w:hAnsi="Palatino Linotype"/>
          <w:i/>
          <w:sz w:val="22"/>
          <w:szCs w:val="22"/>
          <w:lang w:val="es-ES_tradnl"/>
        </w:rPr>
      </w:pPr>
    </w:p>
    <w:p w:rsidR="00855DA2" w:rsidRPr="00100412" w:rsidRDefault="00855DA2" w:rsidP="00855DA2">
      <w:pPr>
        <w:pStyle w:val="Prrafodelista"/>
        <w:spacing w:line="276" w:lineRule="auto"/>
        <w:ind w:left="502" w:right="474"/>
        <w:jc w:val="both"/>
        <w:rPr>
          <w:rFonts w:ascii="Palatino Linotype" w:hAnsi="Palatino Linotype"/>
          <w:i/>
          <w:sz w:val="22"/>
          <w:szCs w:val="22"/>
          <w:lang w:val="es-ES_tradnl"/>
        </w:rPr>
      </w:pPr>
      <w:r w:rsidRPr="00100412">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855DA2" w:rsidRPr="00100412" w:rsidRDefault="00855DA2" w:rsidP="00855DA2">
      <w:pPr>
        <w:pStyle w:val="Prrafodelista"/>
        <w:spacing w:line="276" w:lineRule="auto"/>
        <w:ind w:left="502" w:right="474"/>
        <w:jc w:val="both"/>
        <w:rPr>
          <w:rFonts w:ascii="Palatino Linotype" w:hAnsi="Palatino Linotype"/>
          <w:i/>
          <w:sz w:val="22"/>
          <w:szCs w:val="22"/>
          <w:lang w:val="es-ES_tradnl"/>
        </w:rPr>
      </w:pPr>
    </w:p>
    <w:p w:rsidR="00855DA2" w:rsidRPr="00100412" w:rsidRDefault="00855DA2" w:rsidP="00855DA2">
      <w:pPr>
        <w:pStyle w:val="Prrafodelista"/>
        <w:spacing w:line="276" w:lineRule="auto"/>
        <w:ind w:left="502" w:right="474"/>
        <w:jc w:val="both"/>
        <w:rPr>
          <w:rFonts w:ascii="Palatino Linotype" w:hAnsi="Palatino Linotype"/>
          <w:i/>
          <w:sz w:val="22"/>
          <w:szCs w:val="22"/>
          <w:lang w:val="es-ES_tradnl"/>
        </w:rPr>
      </w:pPr>
      <w:r w:rsidRPr="00100412">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100412">
        <w:rPr>
          <w:rStyle w:val="Refdenotaalpie"/>
          <w:rFonts w:ascii="Palatino Linotype" w:hAnsi="Palatino Linotype"/>
          <w:i/>
          <w:sz w:val="22"/>
          <w:szCs w:val="22"/>
          <w:lang w:val="es-ES_tradnl"/>
        </w:rPr>
        <w:footnoteReference w:id="16"/>
      </w: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Por</w:t>
      </w:r>
      <w:r w:rsidRPr="00100412">
        <w:rPr>
          <w:rFonts w:ascii="Palatino Linotype" w:hAnsi="Palatino Linotype"/>
          <w:spacing w:val="-1"/>
          <w:lang w:val="es-ES_tradnl"/>
        </w:rPr>
        <w:t xml:space="preserve"> </w:t>
      </w:r>
      <w:r w:rsidRPr="00100412">
        <w:rPr>
          <w:rFonts w:ascii="Palatino Linotype" w:hAnsi="Palatino Linotype"/>
          <w:lang w:val="es-ES_tradnl"/>
        </w:rPr>
        <w:t>lo</w:t>
      </w:r>
      <w:r w:rsidRPr="00100412">
        <w:rPr>
          <w:rFonts w:ascii="Palatino Linotype" w:hAnsi="Palatino Linotype"/>
          <w:spacing w:val="-6"/>
          <w:lang w:val="es-ES_tradnl"/>
        </w:rPr>
        <w:t xml:space="preserve"> </w:t>
      </w:r>
      <w:r w:rsidRPr="00100412">
        <w:rPr>
          <w:rFonts w:ascii="Palatino Linotype" w:hAnsi="Palatino Linotype"/>
          <w:lang w:val="es-ES_tradnl"/>
        </w:rPr>
        <w:t>tanto,</w:t>
      </w:r>
      <w:r w:rsidRPr="00100412">
        <w:rPr>
          <w:rFonts w:ascii="Palatino Linotype" w:hAnsi="Palatino Linotype"/>
          <w:spacing w:val="-3"/>
          <w:lang w:val="es-ES_tradnl"/>
        </w:rPr>
        <w:t xml:space="preserve"> </w:t>
      </w:r>
      <w:r w:rsidRPr="00100412">
        <w:rPr>
          <w:rFonts w:ascii="Palatino Linotype" w:hAnsi="Palatino Linotype"/>
          <w:lang w:val="es-ES_tradnl"/>
        </w:rPr>
        <w:t xml:space="preserve">si bien la particular hizo uso legítimo de su derecho de acceso a la información, este Órgano Garante Local en todo momento y en aras de </w:t>
      </w:r>
      <w:r w:rsidRPr="00100412">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100412">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855DA2" w:rsidRPr="00100412" w:rsidRDefault="00855DA2" w:rsidP="00855DA2">
      <w:pPr>
        <w:pStyle w:val="Prrafodelista"/>
        <w:spacing w:line="276" w:lineRule="auto"/>
        <w:rPr>
          <w:rFonts w:ascii="Palatino Linotype" w:hAnsi="Palatino Linotype"/>
          <w:sz w:val="22"/>
          <w:szCs w:val="22"/>
          <w:lang w:val="es-ES_tradnl"/>
        </w:rPr>
      </w:pPr>
    </w:p>
    <w:p w:rsidR="00855DA2" w:rsidRPr="00100412" w:rsidRDefault="00855DA2" w:rsidP="00855DA2">
      <w:pPr>
        <w:spacing w:line="276" w:lineRule="auto"/>
        <w:ind w:left="567" w:right="567"/>
        <w:jc w:val="both"/>
        <w:rPr>
          <w:rFonts w:ascii="Palatino Linotype" w:hAnsi="Palatino Linotype"/>
          <w:i/>
          <w:sz w:val="22"/>
          <w:szCs w:val="22"/>
          <w:lang w:val="es-ES_tradnl"/>
        </w:rPr>
      </w:pPr>
      <w:r w:rsidRPr="00100412">
        <w:rPr>
          <w:rFonts w:ascii="Palatino Linotype" w:hAnsi="Palatino Linotype"/>
          <w:i/>
          <w:sz w:val="22"/>
          <w:szCs w:val="22"/>
          <w:lang w:val="es-ES_tradnl"/>
        </w:rPr>
        <w:t>“</w:t>
      </w:r>
      <w:r w:rsidRPr="00100412">
        <w:rPr>
          <w:rFonts w:ascii="Palatino Linotype" w:hAnsi="Palatino Linotype"/>
          <w:b/>
          <w:bCs/>
          <w:i/>
          <w:sz w:val="22"/>
          <w:szCs w:val="22"/>
          <w:lang w:val="es-ES_tradnl"/>
        </w:rPr>
        <w:t>Artículo 158.</w:t>
      </w:r>
      <w:r w:rsidRPr="00100412">
        <w:rPr>
          <w:rFonts w:ascii="Palatino Linotype" w:hAnsi="Palatino Linotype"/>
          <w:i/>
          <w:sz w:val="22"/>
          <w:szCs w:val="22"/>
          <w:lang w:val="es-ES_tradnl"/>
        </w:rPr>
        <w:t xml:space="preserve"> </w:t>
      </w:r>
      <w:r w:rsidRPr="00100412">
        <w:rPr>
          <w:rFonts w:ascii="Palatino Linotype" w:hAnsi="Palatino Linotype"/>
          <w:b/>
          <w:bCs/>
          <w:i/>
          <w:sz w:val="22"/>
          <w:szCs w:val="22"/>
          <w:lang w:val="es-ES_tradnl"/>
        </w:rPr>
        <w:t>De manera excepcional, cuando de forma fundada y motivada así lo determine el sujeto obligado</w:t>
      </w:r>
      <w:r w:rsidRPr="00100412">
        <w:rPr>
          <w:rFonts w:ascii="Palatino Linotype" w:hAnsi="Palatino Linotype"/>
          <w:i/>
          <w:sz w:val="22"/>
          <w:szCs w:val="22"/>
          <w:lang w:val="es-ES_tradnl"/>
        </w:rPr>
        <w:t xml:space="preserve">, en aquellos casos en que la información solicitada que </w:t>
      </w:r>
      <w:r w:rsidRPr="00100412">
        <w:rPr>
          <w:rFonts w:ascii="Palatino Linotype" w:hAnsi="Palatino Linotype"/>
          <w:i/>
          <w:sz w:val="22"/>
          <w:szCs w:val="22"/>
          <w:lang w:val="es-ES_tradnl"/>
        </w:rPr>
        <w:lastRenderedPageBreak/>
        <w:t xml:space="preserve">ya se encuentre en su posesión implique análisis, estudio o procesamiento de documentos </w:t>
      </w:r>
      <w:r w:rsidRPr="00100412">
        <w:rPr>
          <w:rFonts w:ascii="Palatino Linotype" w:hAnsi="Palatino Linotype"/>
          <w:b/>
          <w:bCs/>
          <w:i/>
          <w:sz w:val="22"/>
          <w:szCs w:val="22"/>
          <w:lang w:val="es-ES_tradnl"/>
        </w:rPr>
        <w:t>cuya entrega o reproducción sobrepase las capacidades técnicas administrativas y humanas del sujeto obligado</w:t>
      </w:r>
      <w:r w:rsidRPr="00100412">
        <w:rPr>
          <w:rFonts w:ascii="Palatino Linotype" w:hAnsi="Palatino Linotype"/>
          <w:i/>
          <w:sz w:val="22"/>
          <w:szCs w:val="22"/>
          <w:lang w:val="es-ES_tradnl"/>
        </w:rPr>
        <w:t xml:space="preserve"> para cumplir con la solicitud, en los plazos establecidos para dichos efectos,</w:t>
      </w:r>
      <w:r w:rsidRPr="00100412">
        <w:rPr>
          <w:rFonts w:ascii="Palatino Linotype" w:hAnsi="Palatino Linotype"/>
          <w:b/>
          <w:bCs/>
          <w:i/>
          <w:sz w:val="22"/>
          <w:szCs w:val="22"/>
          <w:lang w:val="es-ES_tradnl"/>
        </w:rPr>
        <w:t xml:space="preserve"> se podrá poner a disposición del solicitante los documentos en consulta directa</w:t>
      </w:r>
      <w:r w:rsidRPr="00100412">
        <w:rPr>
          <w:rFonts w:ascii="Palatino Linotype" w:hAnsi="Palatino Linotype"/>
          <w:i/>
          <w:sz w:val="22"/>
          <w:szCs w:val="22"/>
          <w:lang w:val="es-ES_tradnl"/>
        </w:rPr>
        <w:t>, salvo la información clasificada”.</w:t>
      </w:r>
    </w:p>
    <w:p w:rsidR="00855DA2" w:rsidRPr="00100412" w:rsidRDefault="00855DA2" w:rsidP="00855DA2">
      <w:pPr>
        <w:spacing w:line="276" w:lineRule="auto"/>
        <w:ind w:right="567"/>
        <w:jc w:val="both"/>
        <w:rPr>
          <w:rFonts w:ascii="Palatino Linotype" w:hAnsi="Palatino Linotype"/>
          <w:i/>
          <w:sz w:val="22"/>
          <w:szCs w:val="22"/>
          <w:lang w:val="es-ES_tradnl"/>
        </w:rPr>
      </w:pPr>
    </w:p>
    <w:p w:rsidR="00855DA2" w:rsidRPr="00100412" w:rsidRDefault="00855DA2" w:rsidP="00855DA2">
      <w:pPr>
        <w:spacing w:line="276" w:lineRule="auto"/>
        <w:ind w:left="567" w:right="567"/>
        <w:jc w:val="both"/>
        <w:rPr>
          <w:rFonts w:ascii="Palatino Linotype" w:hAnsi="Palatino Linotype"/>
          <w:b/>
          <w:bCs/>
          <w:i/>
          <w:sz w:val="22"/>
          <w:szCs w:val="22"/>
          <w:lang w:val="es-ES_tradnl"/>
        </w:rPr>
      </w:pPr>
      <w:r w:rsidRPr="00100412">
        <w:rPr>
          <w:rFonts w:ascii="Palatino Linotype" w:hAnsi="Palatino Linotype"/>
          <w:i/>
          <w:sz w:val="22"/>
          <w:szCs w:val="22"/>
          <w:lang w:val="es-ES_tradnl"/>
        </w:rPr>
        <w:t>“</w:t>
      </w:r>
      <w:r w:rsidRPr="00100412">
        <w:rPr>
          <w:rFonts w:ascii="Palatino Linotype" w:hAnsi="Palatino Linotype"/>
          <w:b/>
          <w:bCs/>
          <w:i/>
          <w:sz w:val="22"/>
          <w:szCs w:val="22"/>
          <w:lang w:val="es-ES_tradnl"/>
        </w:rPr>
        <w:t>Artículo 164.</w:t>
      </w:r>
      <w:r w:rsidRPr="00100412">
        <w:rPr>
          <w:rFonts w:ascii="Palatino Linotype" w:hAnsi="Palatino Linotype"/>
          <w:i/>
          <w:sz w:val="22"/>
          <w:szCs w:val="22"/>
          <w:lang w:val="es-ES_tradnl"/>
        </w:rPr>
        <w:t xml:space="preserve"> </w:t>
      </w:r>
      <w:r w:rsidRPr="00100412">
        <w:rPr>
          <w:rFonts w:ascii="Palatino Linotype" w:hAnsi="Palatino Linotype"/>
          <w:b/>
          <w:bCs/>
          <w:i/>
          <w:sz w:val="22"/>
          <w:szCs w:val="22"/>
          <w:lang w:val="es-ES_tradnl"/>
        </w:rPr>
        <w:t>El acceso se dará en la modalidad de entrega</w:t>
      </w:r>
      <w:r w:rsidRPr="00100412">
        <w:rPr>
          <w:rFonts w:ascii="Palatino Linotype" w:hAnsi="Palatino Linotype"/>
          <w:i/>
          <w:sz w:val="22"/>
          <w:szCs w:val="22"/>
          <w:lang w:val="es-ES_tradnl"/>
        </w:rPr>
        <w:t xml:space="preserve"> y, en su caso, de envío elegidos por el solicitante</w:t>
      </w:r>
      <w:r w:rsidRPr="00100412">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855DA2" w:rsidRPr="00100412" w:rsidRDefault="00855DA2" w:rsidP="00855DA2">
      <w:pPr>
        <w:spacing w:line="276" w:lineRule="auto"/>
        <w:ind w:left="567" w:right="567"/>
        <w:jc w:val="both"/>
        <w:rPr>
          <w:rFonts w:ascii="Palatino Linotype" w:hAnsi="Palatino Linotype"/>
          <w:i/>
          <w:sz w:val="22"/>
          <w:szCs w:val="22"/>
          <w:lang w:val="es-ES_tradnl"/>
        </w:rPr>
      </w:pPr>
    </w:p>
    <w:p w:rsidR="00855DA2" w:rsidRPr="00100412" w:rsidRDefault="00855DA2" w:rsidP="00855DA2">
      <w:pPr>
        <w:spacing w:line="276" w:lineRule="auto"/>
        <w:ind w:left="567" w:right="567"/>
        <w:jc w:val="both"/>
        <w:rPr>
          <w:rFonts w:ascii="Palatino Linotype" w:hAnsi="Palatino Linotype"/>
          <w:i/>
          <w:sz w:val="22"/>
          <w:szCs w:val="22"/>
          <w:lang w:val="es-ES_tradnl"/>
        </w:rPr>
      </w:pPr>
      <w:r w:rsidRPr="00100412">
        <w:rPr>
          <w:rFonts w:ascii="Palatino Linotype" w:hAnsi="Palatino Linotype"/>
          <w:b/>
          <w:bCs/>
          <w:i/>
          <w:sz w:val="22"/>
          <w:szCs w:val="22"/>
          <w:lang w:val="es-ES_tradnl"/>
        </w:rPr>
        <w:t>En cualquier caso, se deberá fundar y motivar la necesidad de ofrecer otras modalidades</w:t>
      </w:r>
      <w:r w:rsidRPr="00100412">
        <w:rPr>
          <w:rFonts w:ascii="Palatino Linotype" w:hAnsi="Palatino Linotype"/>
          <w:i/>
          <w:sz w:val="22"/>
          <w:szCs w:val="22"/>
          <w:lang w:val="es-ES_tradnl"/>
        </w:rPr>
        <w:t>”.</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100412">
        <w:rPr>
          <w:rFonts w:ascii="Palatino Linotype" w:hAnsi="Palatino Linotype"/>
          <w:lang w:val="es-ES_tradnl"/>
        </w:rPr>
        <w:t>a</w:t>
      </w:r>
      <w:proofErr w:type="spellEnd"/>
      <w:r w:rsidRPr="00100412">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100412">
        <w:rPr>
          <w:rFonts w:ascii="Palatino Linotype" w:eastAsia="MS Mincho" w:hAnsi="Palatino Linotype"/>
          <w:lang w:val="es-ES_tradnl"/>
        </w:rPr>
        <w:t xml:space="preserve">sus capacidades administrativas y </w:t>
      </w:r>
      <w:r w:rsidRPr="00100412">
        <w:rPr>
          <w:rFonts w:ascii="Palatino Linotype" w:eastAsia="MS Mincho" w:hAnsi="Palatino Linotype"/>
          <w:lang w:val="es-ES_tradnl"/>
        </w:rPr>
        <w:lastRenderedPageBreak/>
        <w:t>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100412">
        <w:rPr>
          <w:rFonts w:ascii="Palatino Linotype" w:hAnsi="Palatino Linotype"/>
          <w:bCs/>
          <w:lang w:val="es-ES_tradnl"/>
        </w:rPr>
        <w:t xml:space="preserve"> manera excepcional, cuando de forma fundada y motivada así lo determine, </w:t>
      </w:r>
      <w:r w:rsidRPr="00100412">
        <w:rPr>
          <w:rFonts w:ascii="Palatino Linotype" w:hAnsi="Palatino Linotype"/>
          <w:lang w:val="es-ES_tradnl"/>
        </w:rPr>
        <w:t xml:space="preserve">en aquellos casos en que la información solicitada que ya se encuentre en su posesión implique análisis, estudio o procesamiento de documentos </w:t>
      </w:r>
      <w:r w:rsidRPr="00100412">
        <w:rPr>
          <w:rFonts w:ascii="Palatino Linotype" w:hAnsi="Palatino Linotype"/>
          <w:bCs/>
          <w:lang w:val="es-ES_tradnl"/>
        </w:rPr>
        <w:t>cuya entrega o reproducción sobrepase las capacidades técnicas administrativas y humanas del sujeto obligado</w:t>
      </w:r>
      <w:r w:rsidRPr="00100412">
        <w:rPr>
          <w:rFonts w:ascii="Palatino Linotype" w:hAnsi="Palatino Linotype"/>
          <w:lang w:val="es-ES_tradnl"/>
        </w:rPr>
        <w:t xml:space="preserve"> para cumplir con la solicitud, en los plazos establecidos para dichos efectos,</w:t>
      </w:r>
      <w:r w:rsidRPr="00100412">
        <w:rPr>
          <w:rFonts w:ascii="Palatino Linotype" w:hAnsi="Palatino Linotype"/>
          <w:bCs/>
          <w:lang w:val="es-ES_tradnl"/>
        </w:rPr>
        <w:t xml:space="preserve"> se podrá poner a disposición del solicitante los documentos en consulta directa</w:t>
      </w:r>
      <w:r w:rsidRPr="00100412">
        <w:rPr>
          <w:rFonts w:ascii="Palatino Linotype" w:hAnsi="Palatino Linotype"/>
          <w:lang w:val="es-ES_tradnl"/>
        </w:rPr>
        <w:t>, salvo la información clasificada.</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MS Mincho" w:hAnsi="Palatino Linotype"/>
          <w:lang w:val="es-ES_tradnl"/>
        </w:rPr>
        <w:t xml:space="preserve">En razón de ello, el sujeto obligado no negó el acceso a la información solicitada,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100412">
        <w:rPr>
          <w:rFonts w:ascii="Palatino Linotype" w:hAnsi="Palatino Linotype"/>
          <w:lang w:val="es-ES_tradnl"/>
        </w:rPr>
        <w:t xml:space="preserve">como es del conocimiento general, múltiples instancias gubernamentales, ante la pandemia generada por el virus SARS-CoV-2 (COVID-19), anunciaron medidas como la suspensión de actividades desde el 17 de marzo </w:t>
      </w:r>
      <w:r w:rsidRPr="00100412">
        <w:rPr>
          <w:rFonts w:ascii="Palatino Linotype" w:hAnsi="Palatino Linotype"/>
          <w:lang w:val="es-ES_tradnl"/>
        </w:rPr>
        <w:lastRenderedPageBreak/>
        <w:t>del dos mil veinte, de manera parcial o total, para evitar el contagio del COVID-19, lo que ha dificultado la continuidad de la gestión pública.</w:t>
      </w:r>
    </w:p>
    <w:p w:rsidR="00855DA2" w:rsidRPr="00100412" w:rsidRDefault="00855DA2" w:rsidP="00855DA2">
      <w:pPr>
        <w:pStyle w:val="Prrafodelista"/>
        <w:rPr>
          <w:rFonts w:ascii="Palatino Linotype" w:eastAsia="MS Mincho"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eastAsia="MS Mincho" w:hAnsi="Palatino Linotype"/>
          <w:lang w:val="es-ES_tradnl"/>
        </w:rPr>
        <w:t>No obstante, lo anterior, el sujeto obligado ofreció otra modalidad de entrega de la información solicitada mediante la consulta directa de la misma, por ende, no se configura una negativa de proporcionar la información como erróneamente se inconforma el particular y como ha confirmado ese Órgano Garante en su resolución al recurso de inconformidad que se cumplimenta.</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Lo anterior, es así ya que de conformidad con lo dispuesto en el artículo 164 del ordenamiento legal referido señala que el </w:t>
      </w:r>
      <w:r w:rsidRPr="00100412">
        <w:rPr>
          <w:rFonts w:ascii="Palatino Linotype" w:hAnsi="Palatino Linotype"/>
          <w:bCs/>
          <w:lang w:val="es-ES_tradnl"/>
        </w:rPr>
        <w:t>acceso se dará en la modalidad de entrega</w:t>
      </w:r>
      <w:r w:rsidRPr="00100412">
        <w:rPr>
          <w:rFonts w:ascii="Palatino Linotype" w:hAnsi="Palatino Linotype"/>
          <w:lang w:val="es-ES_tradnl"/>
        </w:rPr>
        <w:t xml:space="preserve"> y, en su caso, de envío elegidos por el solicitante</w:t>
      </w:r>
      <w:r w:rsidRPr="00100412">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En esa virtud, se considera que no se vulnero el derecho de acceso a la información del particular y mucho menos se trata de una negativa de información, como lo sostiene el Órgano Garante Nacional en su resolución al recurso de inconformidad, que alejándose del principio de legalidad pretende interpretar la norma general en el sentido de establecer una nueva causal de procedencia de dicho medio de impugnación como el idóneo para reclamar toda clase de negativas de acceso s al información que se imputen a los órganos garantes locales.</w:t>
      </w: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lastRenderedPageBreak/>
        <w:t>En este orden de ideas, el Órgano Garante Nacional refiere en su resolución lo siguiente:</w:t>
      </w:r>
    </w:p>
    <w:p w:rsidR="00855DA2" w:rsidRPr="00100412" w:rsidRDefault="00855DA2" w:rsidP="00855DA2">
      <w:pPr>
        <w:pStyle w:val="Prrafodelista"/>
        <w:ind w:left="502"/>
        <w:rPr>
          <w:rFonts w:ascii="Palatino Linotype" w:hAnsi="Palatino Linotype"/>
          <w:lang w:val="es-ES_tradnl"/>
        </w:rPr>
      </w:pPr>
    </w:p>
    <w:p w:rsidR="00855DA2" w:rsidRPr="00100412" w:rsidRDefault="00855DA2" w:rsidP="00855DA2">
      <w:pPr>
        <w:pStyle w:val="Prrafodelista"/>
        <w:tabs>
          <w:tab w:val="left" w:pos="0"/>
        </w:tabs>
        <w:spacing w:line="276" w:lineRule="auto"/>
        <w:ind w:left="502" w:right="474"/>
        <w:jc w:val="both"/>
        <w:rPr>
          <w:rFonts w:ascii="Palatino Linotype" w:hAnsi="Palatino Linotype"/>
          <w:i/>
          <w:sz w:val="22"/>
          <w:szCs w:val="22"/>
          <w:lang w:val="es-ES_tradnl"/>
        </w:rPr>
      </w:pPr>
      <w:r w:rsidRPr="00100412">
        <w:rPr>
          <w:rFonts w:ascii="Palatino Linotype" w:hAnsi="Palatino Linotype"/>
          <w:i/>
          <w:sz w:val="22"/>
          <w:szCs w:val="22"/>
          <w:lang w:val="es-ES_tradnl"/>
        </w:rPr>
        <w:t>“…</w:t>
      </w:r>
      <w:r w:rsidRPr="00100412">
        <w:rPr>
          <w:rFonts w:ascii="Palatino Linotype" w:hAnsi="Palatino Linotype"/>
          <w:b/>
          <w:i/>
          <w:sz w:val="22"/>
          <w:szCs w:val="22"/>
          <w:lang w:val="es-ES_tradnl"/>
        </w:rPr>
        <w:t xml:space="preserve">debe existir un obstáculo infranqueable o de difícil superación </w:t>
      </w:r>
      <w:r w:rsidRPr="00100412">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855DA2" w:rsidRPr="00100412" w:rsidRDefault="00855DA2" w:rsidP="00855DA2">
      <w:pPr>
        <w:pStyle w:val="Prrafodelista"/>
        <w:spacing w:line="276" w:lineRule="auto"/>
        <w:ind w:left="502" w:right="474"/>
        <w:jc w:val="both"/>
        <w:rPr>
          <w:rFonts w:ascii="Palatino Linotype" w:hAnsi="Palatino Linotype"/>
          <w:i/>
          <w:sz w:val="22"/>
          <w:szCs w:val="22"/>
          <w:lang w:val="es-ES_tradnl"/>
        </w:rPr>
      </w:pPr>
    </w:p>
    <w:p w:rsidR="00855DA2" w:rsidRPr="00100412" w:rsidRDefault="00855DA2" w:rsidP="00855DA2">
      <w:pPr>
        <w:pStyle w:val="Prrafodelista"/>
        <w:spacing w:line="276" w:lineRule="auto"/>
        <w:ind w:left="502" w:right="474"/>
        <w:jc w:val="both"/>
        <w:rPr>
          <w:rFonts w:ascii="Palatino Linotype" w:hAnsi="Palatino Linotype"/>
          <w:i/>
          <w:sz w:val="22"/>
          <w:szCs w:val="22"/>
          <w:lang w:val="es-ES_tradnl"/>
        </w:rPr>
      </w:pPr>
      <w:r w:rsidRPr="00100412">
        <w:rPr>
          <w:rFonts w:ascii="Palatino Linotype" w:hAnsi="Palatino Linotype"/>
          <w:i/>
          <w:sz w:val="22"/>
          <w:szCs w:val="22"/>
          <w:lang w:val="es-ES_tradnl"/>
        </w:rPr>
        <w:t>[…]</w:t>
      </w:r>
    </w:p>
    <w:p w:rsidR="00855DA2" w:rsidRPr="00100412" w:rsidRDefault="00855DA2" w:rsidP="00855DA2">
      <w:pPr>
        <w:pStyle w:val="Prrafodelista"/>
        <w:adjustRightInd w:val="0"/>
        <w:spacing w:before="240" w:after="360" w:line="276" w:lineRule="auto"/>
        <w:ind w:left="502" w:right="474"/>
        <w:jc w:val="both"/>
        <w:rPr>
          <w:rFonts w:ascii="Palatino Linotype" w:hAnsi="Palatino Linotype"/>
          <w:b/>
          <w:i/>
          <w:sz w:val="22"/>
          <w:szCs w:val="22"/>
          <w:lang w:val="es-ES_tradnl"/>
        </w:rPr>
      </w:pPr>
      <w:r w:rsidRPr="00100412">
        <w:rPr>
          <w:rFonts w:ascii="Palatino Linotype" w:hAnsi="Palatino Linotype"/>
          <w:i/>
          <w:sz w:val="22"/>
          <w:szCs w:val="22"/>
          <w:lang w:val="es-ES_tradnl"/>
        </w:rPr>
        <w:t xml:space="preserve">Por tanto, resulta obvio que el Sujeto Obligado, no fundó, </w:t>
      </w:r>
      <w:r w:rsidRPr="00100412">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100412">
        <w:rPr>
          <w:rFonts w:ascii="Palatino Linotype" w:hAnsi="Palatino Linotype"/>
          <w:b/>
          <w:i/>
          <w:spacing w:val="-4"/>
          <w:sz w:val="22"/>
          <w:szCs w:val="22"/>
          <w:lang w:val="es-ES_tradnl"/>
        </w:rPr>
        <w:t xml:space="preserve"> </w:t>
      </w:r>
      <w:r w:rsidRPr="00100412">
        <w:rPr>
          <w:rFonts w:ascii="Palatino Linotype" w:hAnsi="Palatino Linotype"/>
          <w:b/>
          <w:i/>
          <w:sz w:val="22"/>
          <w:szCs w:val="22"/>
          <w:lang w:val="es-ES_tradnl"/>
        </w:rPr>
        <w:t>a</w:t>
      </w:r>
      <w:r w:rsidRPr="00100412">
        <w:rPr>
          <w:rFonts w:ascii="Palatino Linotype" w:hAnsi="Palatino Linotype"/>
          <w:b/>
          <w:i/>
          <w:spacing w:val="-4"/>
          <w:sz w:val="22"/>
          <w:szCs w:val="22"/>
          <w:lang w:val="es-ES_tradnl"/>
        </w:rPr>
        <w:t xml:space="preserve"> </w:t>
      </w:r>
      <w:r w:rsidRPr="00100412">
        <w:rPr>
          <w:rFonts w:ascii="Palatino Linotype" w:hAnsi="Palatino Linotype"/>
          <w:b/>
          <w:i/>
          <w:sz w:val="22"/>
          <w:szCs w:val="22"/>
          <w:lang w:val="es-ES_tradnl"/>
        </w:rPr>
        <w:t>la</w:t>
      </w:r>
      <w:r w:rsidRPr="00100412">
        <w:rPr>
          <w:rFonts w:ascii="Palatino Linotype" w:hAnsi="Palatino Linotype"/>
          <w:b/>
          <w:i/>
          <w:spacing w:val="-2"/>
          <w:sz w:val="22"/>
          <w:szCs w:val="22"/>
          <w:lang w:val="es-ES_tradnl"/>
        </w:rPr>
        <w:t xml:space="preserve"> </w:t>
      </w:r>
      <w:r w:rsidRPr="00100412">
        <w:rPr>
          <w:rFonts w:ascii="Palatino Linotype" w:hAnsi="Palatino Linotype"/>
          <w:b/>
          <w:i/>
          <w:sz w:val="22"/>
          <w:szCs w:val="22"/>
          <w:lang w:val="es-ES_tradnl"/>
        </w:rPr>
        <w:t>Información</w:t>
      </w:r>
      <w:r w:rsidRPr="00100412">
        <w:rPr>
          <w:rFonts w:ascii="Palatino Linotype" w:hAnsi="Palatino Linotype"/>
          <w:b/>
          <w:i/>
          <w:spacing w:val="-4"/>
          <w:sz w:val="22"/>
          <w:szCs w:val="22"/>
          <w:lang w:val="es-ES_tradnl"/>
        </w:rPr>
        <w:t xml:space="preserve"> </w:t>
      </w:r>
      <w:r w:rsidRPr="00100412">
        <w:rPr>
          <w:rFonts w:ascii="Palatino Linotype" w:hAnsi="Palatino Linotype"/>
          <w:b/>
          <w:i/>
          <w:sz w:val="22"/>
          <w:szCs w:val="22"/>
          <w:lang w:val="es-ES_tradnl"/>
        </w:rPr>
        <w:t>Mexiquense</w:t>
      </w:r>
      <w:r w:rsidRPr="00100412">
        <w:rPr>
          <w:rFonts w:ascii="Palatino Linotype" w:hAnsi="Palatino Linotype"/>
          <w:b/>
          <w:i/>
          <w:spacing w:val="-4"/>
          <w:sz w:val="22"/>
          <w:szCs w:val="22"/>
          <w:lang w:val="es-ES_tradnl"/>
        </w:rPr>
        <w:t xml:space="preserve"> </w:t>
      </w:r>
      <w:r w:rsidRPr="00100412">
        <w:rPr>
          <w:rFonts w:ascii="Palatino Linotype" w:hAnsi="Palatino Linotype"/>
          <w:b/>
          <w:i/>
          <w:sz w:val="22"/>
          <w:szCs w:val="22"/>
          <w:lang w:val="es-ES_tradnl"/>
        </w:rPr>
        <w:t>(SAIMEX),</w:t>
      </w:r>
      <w:r w:rsidRPr="00100412">
        <w:rPr>
          <w:rFonts w:ascii="Palatino Linotype" w:hAnsi="Palatino Linotype"/>
          <w:b/>
          <w:i/>
          <w:spacing w:val="-4"/>
          <w:sz w:val="22"/>
          <w:szCs w:val="22"/>
          <w:lang w:val="es-ES_tradnl"/>
        </w:rPr>
        <w:t xml:space="preserve"> </w:t>
      </w:r>
      <w:r w:rsidRPr="00100412">
        <w:rPr>
          <w:rFonts w:ascii="Palatino Linotype" w:hAnsi="Palatino Linotype"/>
          <w:b/>
          <w:i/>
          <w:sz w:val="22"/>
          <w:szCs w:val="22"/>
          <w:lang w:val="es-ES_tradnl"/>
        </w:rPr>
        <w:t>pues</w:t>
      </w:r>
      <w:r w:rsidRPr="00100412">
        <w:rPr>
          <w:rFonts w:ascii="Palatino Linotype" w:hAnsi="Palatino Linotype"/>
          <w:b/>
          <w:i/>
          <w:spacing w:val="-5"/>
          <w:sz w:val="22"/>
          <w:szCs w:val="22"/>
          <w:lang w:val="es-ES_tradnl"/>
        </w:rPr>
        <w:t xml:space="preserve"> </w:t>
      </w:r>
      <w:r w:rsidRPr="00100412">
        <w:rPr>
          <w:rFonts w:ascii="Palatino Linotype" w:hAnsi="Palatino Linotype"/>
          <w:b/>
          <w:i/>
          <w:sz w:val="22"/>
          <w:szCs w:val="22"/>
          <w:lang w:val="es-ES_tradnl"/>
        </w:rPr>
        <w:t>la</w:t>
      </w:r>
      <w:r w:rsidRPr="00100412">
        <w:rPr>
          <w:rFonts w:ascii="Palatino Linotype" w:hAnsi="Palatino Linotype"/>
          <w:b/>
          <w:i/>
          <w:spacing w:val="-3"/>
          <w:sz w:val="22"/>
          <w:szCs w:val="22"/>
          <w:lang w:val="es-ES_tradnl"/>
        </w:rPr>
        <w:t xml:space="preserve"> </w:t>
      </w:r>
      <w:r w:rsidRPr="00100412">
        <w:rPr>
          <w:rFonts w:ascii="Palatino Linotype" w:hAnsi="Palatino Linotype"/>
          <w:b/>
          <w:i/>
          <w:sz w:val="22"/>
          <w:szCs w:val="22"/>
          <w:lang w:val="es-ES_tradnl"/>
        </w:rPr>
        <w:t>Ley</w:t>
      </w:r>
      <w:r w:rsidRPr="00100412">
        <w:rPr>
          <w:rFonts w:ascii="Palatino Linotype" w:hAnsi="Palatino Linotype"/>
          <w:b/>
          <w:i/>
          <w:spacing w:val="-5"/>
          <w:sz w:val="22"/>
          <w:szCs w:val="22"/>
          <w:lang w:val="es-ES_tradnl"/>
        </w:rPr>
        <w:t xml:space="preserve"> </w:t>
      </w:r>
      <w:r w:rsidRPr="00100412">
        <w:rPr>
          <w:rFonts w:ascii="Palatino Linotype" w:hAnsi="Palatino Linotype"/>
          <w:b/>
          <w:i/>
          <w:sz w:val="22"/>
          <w:szCs w:val="22"/>
          <w:lang w:val="es-ES_tradnl"/>
        </w:rPr>
        <w:t>de</w:t>
      </w:r>
      <w:r w:rsidRPr="00100412">
        <w:rPr>
          <w:rFonts w:ascii="Palatino Linotype" w:hAnsi="Palatino Linotype"/>
          <w:b/>
          <w:i/>
          <w:spacing w:val="-9"/>
          <w:sz w:val="22"/>
          <w:szCs w:val="22"/>
          <w:lang w:val="es-ES_tradnl"/>
        </w:rPr>
        <w:t xml:space="preserve"> </w:t>
      </w:r>
      <w:r w:rsidRPr="00100412">
        <w:rPr>
          <w:rFonts w:ascii="Palatino Linotype" w:hAnsi="Palatino Linotype"/>
          <w:b/>
          <w:i/>
          <w:sz w:val="22"/>
          <w:szCs w:val="22"/>
          <w:lang w:val="es-ES_tradnl"/>
        </w:rPr>
        <w:t>la</w:t>
      </w:r>
      <w:r w:rsidRPr="00100412">
        <w:rPr>
          <w:rFonts w:ascii="Palatino Linotype" w:hAnsi="Palatino Linotype"/>
          <w:b/>
          <w:i/>
          <w:spacing w:val="-4"/>
          <w:sz w:val="22"/>
          <w:szCs w:val="22"/>
          <w:lang w:val="es-ES_tradnl"/>
        </w:rPr>
        <w:t xml:space="preserve"> </w:t>
      </w:r>
      <w:r w:rsidRPr="00100412">
        <w:rPr>
          <w:rFonts w:ascii="Palatino Linotype" w:hAnsi="Palatino Linotype"/>
          <w:b/>
          <w:i/>
          <w:sz w:val="22"/>
          <w:szCs w:val="22"/>
          <w:lang w:val="es-ES_tradnl"/>
        </w:rPr>
        <w:t>materia</w:t>
      </w:r>
      <w:r w:rsidRPr="00100412">
        <w:rPr>
          <w:rFonts w:ascii="Palatino Linotype" w:hAnsi="Palatino Linotype"/>
          <w:b/>
          <w:i/>
          <w:spacing w:val="-4"/>
          <w:sz w:val="22"/>
          <w:szCs w:val="22"/>
          <w:lang w:val="es-ES_tradnl"/>
        </w:rPr>
        <w:t xml:space="preserve"> </w:t>
      </w:r>
      <w:r w:rsidRPr="00100412">
        <w:rPr>
          <w:rFonts w:ascii="Palatino Linotype" w:hAnsi="Palatino Linotype"/>
          <w:b/>
          <w:i/>
          <w:sz w:val="22"/>
          <w:szCs w:val="22"/>
          <w:lang w:val="es-ES_tradnl"/>
        </w:rPr>
        <w:t>no</w:t>
      </w:r>
      <w:r w:rsidRPr="00100412">
        <w:rPr>
          <w:rFonts w:ascii="Palatino Linotype" w:hAnsi="Palatino Linotype"/>
          <w:b/>
          <w:i/>
          <w:spacing w:val="-4"/>
          <w:sz w:val="22"/>
          <w:szCs w:val="22"/>
          <w:lang w:val="es-ES_tradnl"/>
        </w:rPr>
        <w:t xml:space="preserve"> </w:t>
      </w:r>
      <w:r w:rsidRPr="00100412">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100412">
        <w:rPr>
          <w:rFonts w:ascii="Palatino Linotype" w:hAnsi="Palatino Linotype"/>
          <w:b/>
          <w:i/>
          <w:spacing w:val="-3"/>
          <w:sz w:val="22"/>
          <w:szCs w:val="22"/>
          <w:lang w:val="es-ES_tradnl"/>
        </w:rPr>
        <w:t xml:space="preserve">se </w:t>
      </w:r>
      <w:r w:rsidRPr="00100412">
        <w:rPr>
          <w:rFonts w:ascii="Palatino Linotype" w:hAnsi="Palatino Linotype"/>
          <w:b/>
          <w:i/>
          <w:sz w:val="22"/>
          <w:szCs w:val="22"/>
          <w:lang w:val="es-ES_tradnl"/>
        </w:rPr>
        <w:t>cambie la modalidad…”</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Efectivamente, como bien lo señala el Órgano Garante Nacional la ley no establece que por el hecho de ser mucha información o porque se interpongan diversas solicitudes de información por parte de un particular se cambie la modalidad; sin embargo, tampoco establece que deba de “</w:t>
      </w:r>
      <w:r w:rsidRPr="00100412">
        <w:rPr>
          <w:rFonts w:ascii="Palatino Linotype" w:hAnsi="Palatino Linotype"/>
          <w:i/>
          <w:lang w:val="es-ES_tradnl"/>
        </w:rPr>
        <w:t>existir un obstáculo infranqueable o de difícil superación”</w:t>
      </w:r>
      <w:r w:rsidRPr="00100412">
        <w:rPr>
          <w:rFonts w:ascii="Palatino Linotype" w:hAnsi="Palatino Linotype"/>
          <w:lang w:val="es-ES_tradnl"/>
        </w:rPr>
        <w:t xml:space="preserve">, es mas en su resolución, derivado de su estudio interpretativo de la ley no define y deja claro que debe entenderse por </w:t>
      </w:r>
      <w:r w:rsidRPr="00100412">
        <w:rPr>
          <w:rFonts w:ascii="Palatino Linotype" w:hAnsi="Palatino Linotype"/>
          <w:i/>
          <w:lang w:val="es-ES_tradnl"/>
        </w:rPr>
        <w:t>“obstáculo infranqueable o de difícil superación”</w:t>
      </w:r>
      <w:r w:rsidRPr="00100412">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r w:rsidR="002423EF" w:rsidRPr="00100412">
        <w:rPr>
          <w:rFonts w:ascii="Palatino Linotype" w:hAnsi="Palatino Linotype"/>
          <w:lang w:val="es-ES_tradnl"/>
        </w:rPr>
        <w:t>del</w:t>
      </w:r>
      <w:r w:rsidRPr="00100412">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A625A6" w:rsidRPr="00100412" w:rsidRDefault="00A625A6" w:rsidP="00A625A6">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100412">
        <w:rPr>
          <w:rFonts w:ascii="Palatino Linotype" w:eastAsia="MS Mincho" w:hAnsi="Palatino Linotype"/>
          <w:b/>
          <w:lang w:val="es-ES_tradnl"/>
        </w:rPr>
        <w:t>promover</w:t>
      </w:r>
      <w:r w:rsidRPr="00100412">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w:t>
      </w:r>
      <w:r w:rsidRPr="00100412">
        <w:rPr>
          <w:rFonts w:ascii="Palatino Linotype" w:eastAsia="MS Mincho" w:hAnsi="Palatino Linotype"/>
          <w:lang w:val="es-ES_tradnl"/>
        </w:rPr>
        <w:lastRenderedPageBreak/>
        <w:t>Municipios,</w:t>
      </w:r>
      <w:r w:rsidRPr="00100412">
        <w:rPr>
          <w:rFonts w:ascii="Palatino Linotype" w:hAnsi="Palatino Linotype"/>
          <w:lang w:val="es-ES_tradnl"/>
        </w:rPr>
        <w:t xml:space="preserve"> para dar cumplimiento y salvaguardar el derecho de acceso a la información pública.</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Es así que, derivado del cúmulo de solicitudes de información, </w:t>
      </w:r>
      <w:r w:rsidRPr="00100412">
        <w:rPr>
          <w:rFonts w:ascii="Palatino Linotype" w:hAnsi="Palatino Linotype"/>
          <w:b/>
          <w:lang w:val="es-ES_tradnl"/>
        </w:rPr>
        <w:t>y del múltiple soporte documental que implica todas y cada una de las solicitudes</w:t>
      </w:r>
      <w:r w:rsidRPr="00100412">
        <w:rPr>
          <w:rFonts w:ascii="Palatino Linotype" w:hAnsi="Palatino Linotype"/>
          <w:lang w:val="es-ES_tradnl"/>
        </w:rPr>
        <w:t xml:space="preserve"> de </w:t>
      </w:r>
      <w:r w:rsidRPr="00100412">
        <w:rPr>
          <w:rFonts w:ascii="Palatino Linotype" w:hAnsi="Palatino Linotype"/>
          <w:b/>
          <w:lang w:val="es-ES_tradnl"/>
        </w:rPr>
        <w:t>información</w:t>
      </w:r>
      <w:r w:rsidRPr="00100412">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100412">
        <w:rPr>
          <w:rFonts w:ascii="Palatino Linotype" w:eastAsia="MS Mincho" w:hAnsi="Palatino Linotype"/>
          <w:lang w:val="es-ES_tradnl"/>
        </w:rPr>
        <w:t xml:space="preserve"> sumando que cuenta con personal limitado debido a la emergencia sanitaria que impera.</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w:t>
      </w:r>
      <w:r w:rsidRPr="00100412">
        <w:rPr>
          <w:rFonts w:ascii="Palatino Linotype" w:hAnsi="Palatino Linotype"/>
          <w:lang w:val="es-ES_tradnl"/>
        </w:rPr>
        <w:lastRenderedPageBreak/>
        <w:t>inhibiendo considerablemente el correcto funcionamiento y el alcance de objetivos planteados por el Ayuntamiento.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No obstante, ello, el Sujeto Obligado de las 1990 solicitudes de información que recibió en el ejercicio 2020, atendió en tiempo 1968, teniendo un porcentaje de solicitudes atendidas en tiempo del 98.89%, de las 1990 solicitudes únicamente en 193 se solicitó </w:t>
      </w:r>
      <w:r w:rsidR="002423EF" w:rsidRPr="00100412">
        <w:rPr>
          <w:rFonts w:ascii="Palatino Linotype" w:hAnsi="Palatino Linotype"/>
          <w:lang w:val="es-ES_tradnl"/>
        </w:rPr>
        <w:t>prórroga</w:t>
      </w:r>
      <w:r w:rsidRPr="00100412">
        <w:rPr>
          <w:rFonts w:ascii="Palatino Linotype" w:hAnsi="Palatino Linotype"/>
          <w:lang w:val="es-ES_tradnl"/>
        </w:rPr>
        <w:t xml:space="preserve"> para atenderlas, es decir un 9.70%; asimismo, el sujeto obligado tuvo que atender los 1439 recursos de revisión interpuestos.</w:t>
      </w:r>
      <w:r w:rsidRPr="00100412">
        <w:rPr>
          <w:rStyle w:val="Refdenotaalpie"/>
          <w:rFonts w:ascii="Palatino Linotype" w:hAnsi="Palatino Linotype"/>
          <w:lang w:val="es-ES_tradnl"/>
        </w:rPr>
        <w:footnoteReference w:id="17"/>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Derivado de lo anterior, se demuestra que no se trata de una negativa de información, ya que dicha </w:t>
      </w:r>
      <w:proofErr w:type="spellStart"/>
      <w:r w:rsidRPr="00100412">
        <w:rPr>
          <w:rFonts w:ascii="Palatino Linotype" w:hAnsi="Palatino Linotype"/>
          <w:lang w:val="es-ES_tradnl"/>
        </w:rPr>
        <w:t>hipótesis</w:t>
      </w:r>
      <w:proofErr w:type="spellEnd"/>
      <w:r w:rsidRPr="00100412">
        <w:rPr>
          <w:rFonts w:ascii="Palatino Linotype" w:hAnsi="Palatino Linotype"/>
          <w:lang w:val="es-ES_tradnl"/>
        </w:rPr>
        <w:t xml:space="preserve"> encuadraría en el caso de que el sujeto obligado hubiese negado rotunda y categóricamente el acceso a la información pública o bien hubiese sido omiso en dar respuesta, lo cual en el presente caso no sucedió. </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t xml:space="preserve">Luego entonces, se insiste, nos encontramos en un caso </w:t>
      </w:r>
      <w:r w:rsidRPr="00100412">
        <w:rPr>
          <w:rFonts w:ascii="Palatino Linotype" w:hAnsi="Palatino Linotype"/>
          <w:i/>
          <w:lang w:val="es-ES_tradnl"/>
        </w:rPr>
        <w:t>sui generis</w:t>
      </w:r>
      <w:r w:rsidRPr="00100412">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855DA2" w:rsidRPr="00100412" w:rsidRDefault="00855DA2" w:rsidP="00855DA2">
      <w:pPr>
        <w:pStyle w:val="Prrafodelista"/>
        <w:rPr>
          <w:rFonts w:ascii="Palatino Linotype" w:hAnsi="Palatino Linotype"/>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lang w:val="es-ES_tradnl"/>
        </w:rPr>
        <w:lastRenderedPageBreak/>
        <w:t xml:space="preserve">Por lo tanto, la decisión de este Instituto en confirmar el cambio de modalidad, obedeció a que el sujeto obligado de conformidad con el artículo 158 de la Ley de Transparencia y Acceso a la Información del Estado de México y Municipios, de manera excepcional y de forma fundada y motivada y debido a que se sobrepasaron las  capacidades administrativas y humanas, se </w:t>
      </w:r>
      <w:r w:rsidR="002423EF" w:rsidRPr="00100412">
        <w:rPr>
          <w:rFonts w:ascii="Palatino Linotype" w:hAnsi="Palatino Linotype"/>
          <w:lang w:val="es-ES_tradnl"/>
        </w:rPr>
        <w:t>modificó</w:t>
      </w:r>
      <w:r w:rsidRPr="00100412">
        <w:rPr>
          <w:rFonts w:ascii="Palatino Linotype" w:hAnsi="Palatino Linotype"/>
          <w:lang w:val="es-ES_tradnl"/>
        </w:rPr>
        <w:t xml:space="preserve"> 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Aunado a lo anterior, conviene recordarle al Órgano Garante que las capacidades técnicas, administrativas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o se compara con una Secretaria u organismo a nivel federal.</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 xml:space="preserve">Finalmente, es de señalar que el Órgano Garante Nacional señala a su parecer que la información solicitada por el particular constituye parte de sus obligaciones de transparencia comunes que debían estar de manera permanente y actualizada en los respectivos medios electrónicos y que por ello su entrega resultaba sencilla para el sujeto obligado; sin embargo, pasa por alto que aún y cuando dicha información </w:t>
      </w:r>
      <w:r w:rsidRPr="00100412">
        <w:rPr>
          <w:rFonts w:ascii="Palatino Linotype" w:hAnsi="Palatino Linotype"/>
          <w:shd w:val="clear" w:color="auto" w:fill="FFFFFF"/>
          <w:lang w:val="es-ES_tradnl"/>
        </w:rPr>
        <w:lastRenderedPageBreak/>
        <w:t>constituya parte de sus obligaciones de transparencia comunes, ello implica necesariamente un análisis, estudio o procesamiento de documentos por parte del sujeto obligado para poder atender las solicitudes de información, ya que su atención no se limita a entregar o copiar y pegar el enlace electrónico o link de IPOMEX o de la Plataforma Nacional, sino que implica una búsqueda, identificación y localización de la información solicitada para proporcionar el link específico que permite llegar a la información que particularmente se ha solicitado.</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090A44" w:rsidP="00090A44">
      <w:pPr>
        <w:pStyle w:val="Ttulo1"/>
        <w:numPr>
          <w:ilvl w:val="0"/>
          <w:numId w:val="32"/>
        </w:numPr>
        <w:jc w:val="both"/>
        <w:rPr>
          <w:rFonts w:ascii="Palatino Linotype" w:hAnsi="Palatino Linotype"/>
          <w:b/>
          <w:color w:val="000000" w:themeColor="text1"/>
          <w:sz w:val="24"/>
        </w:rPr>
      </w:pPr>
      <w:bookmarkStart w:id="152" w:name="_Toc68821523"/>
      <w:r w:rsidRPr="00100412">
        <w:rPr>
          <w:rFonts w:ascii="Palatino Linotype" w:hAnsi="Palatino Linotype"/>
          <w:b/>
          <w:color w:val="000000" w:themeColor="text1"/>
          <w:sz w:val="24"/>
          <w:lang w:val="es-ES_tradnl"/>
        </w:rPr>
        <w:t>De las deficiencias en la resolución del recurso de inconformidad emitida por el Instituto Nacional de Transparencia, Acceso a la Información Pública y Protección de Datos Personales</w:t>
      </w:r>
      <w:bookmarkEnd w:id="152"/>
      <w:r w:rsidR="00855DA2" w:rsidRPr="00100412">
        <w:rPr>
          <w:rFonts w:ascii="Palatino Linotype" w:hAnsi="Palatino Linotype"/>
          <w:b/>
          <w:color w:val="000000" w:themeColor="text1"/>
          <w:sz w:val="24"/>
        </w:rPr>
        <w:t xml:space="preserve"> </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notoriamente improcedente.</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 xml:space="preserve">Asimismo, dicho principio de legalidad se contraviene ya que la resolución de mérito se encuentra fundamentada en una sentencia a un amparo indirecto, el cual va más allá de ser un criterio orientador, pretende darle a una sentencia de amparo efectos erga omnes, dándole efectos expansivos mayores que una </w:t>
      </w:r>
      <w:r w:rsidRPr="00100412">
        <w:rPr>
          <w:rFonts w:ascii="Palatino Linotype" w:hAnsi="Palatino Linotype"/>
          <w:shd w:val="clear" w:color="auto" w:fill="FFFFFF"/>
          <w:lang w:val="es-ES_tradnl"/>
        </w:rPr>
        <w:lastRenderedPageBreak/>
        <w:t>jurisprudencia, sino de dotarla de fuerza legal, constituyéndose en legislador y creador de normas para decidir sobre el actuar de los órganos garantes locales.</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090A44">
      <w:pPr>
        <w:pStyle w:val="Ttulo1"/>
        <w:numPr>
          <w:ilvl w:val="0"/>
          <w:numId w:val="34"/>
        </w:numPr>
        <w:rPr>
          <w:rFonts w:ascii="Palatino Linotype" w:hAnsi="Palatino Linotype"/>
          <w:b/>
          <w:color w:val="000000" w:themeColor="text1"/>
          <w:sz w:val="24"/>
        </w:rPr>
      </w:pPr>
      <w:bookmarkStart w:id="153" w:name="_Toc68821524"/>
      <w:r w:rsidRPr="00100412">
        <w:rPr>
          <w:rFonts w:ascii="Palatino Linotype" w:hAnsi="Palatino Linotype"/>
          <w:b/>
          <w:color w:val="000000" w:themeColor="text1"/>
          <w:sz w:val="24"/>
        </w:rPr>
        <w:t>Conclusiones</w:t>
      </w:r>
      <w:bookmarkEnd w:id="153"/>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E</w:t>
      </w:r>
      <w:r w:rsidRPr="00100412">
        <w:rPr>
          <w:rFonts w:ascii="Palatino Linotype" w:hAnsi="Palatino Linotype"/>
          <w:lang w:val="es-ES_tradnl"/>
        </w:rPr>
        <w:t xml:space="preserve">l recurso de inconformidad resulta improcedente por no actualizarse las </w:t>
      </w:r>
      <w:proofErr w:type="spellStart"/>
      <w:r w:rsidRPr="00100412">
        <w:rPr>
          <w:rFonts w:ascii="Palatino Linotype" w:hAnsi="Palatino Linotype"/>
          <w:lang w:val="es-ES_tradnl"/>
        </w:rPr>
        <w:t>hipótesis</w:t>
      </w:r>
      <w:proofErr w:type="spellEnd"/>
      <w:r w:rsidRPr="00100412">
        <w:rPr>
          <w:rFonts w:ascii="Palatino Linotype" w:hAnsi="Palatino Linotype"/>
          <w:lang w:val="es-ES_tradnl"/>
        </w:rPr>
        <w:t xml:space="preserve"> legales para su interposición contenida en el artículo 160 de la Ley General de Transparencia y Acceso a la Información Pública, y por ende existe imposibilidad jurídica por parte del INAI para estudiar y decidir dicha cuestión.</w:t>
      </w:r>
    </w:p>
    <w:p w:rsidR="00855DA2" w:rsidRPr="00100412" w:rsidRDefault="00855DA2" w:rsidP="00855DA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 xml:space="preserve">El INAI contraviene el principio de legalidad, ya que la resolución al recurso de inconformidad se funda y motiva en un criterio de la </w:t>
      </w:r>
      <w:r w:rsidRPr="00100412">
        <w:rPr>
          <w:rFonts w:ascii="Palatino Linotype" w:hAnsi="Palatino Linotype"/>
        </w:rPr>
        <w:t>Segunda Sala de la Suprema Corte de Justicia de la Nación, al resolver el Amparo en Revisión 654/18</w:t>
      </w:r>
      <w:r w:rsidRPr="00100412">
        <w:rPr>
          <w:rFonts w:ascii="Palatino Linotype" w:hAnsi="Palatino Linotype"/>
          <w:shd w:val="clear" w:color="auto" w:fill="FFFFFF"/>
          <w:lang w:val="es-ES_tradnl"/>
        </w:rPr>
        <w:t xml:space="preserve"> que no tiene fuerza legal, que no constituye un criterio reiterado por el Poder Judicial de la Federación, el cual aunque así lo fuera, en virtud del respeto irrestricto al principio </w:t>
      </w:r>
      <w:r w:rsidRPr="00100412">
        <w:rPr>
          <w:rFonts w:ascii="Palatino Linotype" w:hAnsi="Palatino Linotype"/>
          <w:shd w:val="clear" w:color="auto" w:fill="FFFFFF"/>
          <w:lang w:val="es-ES_tradnl"/>
        </w:rPr>
        <w:lastRenderedPageBreak/>
        <w:t xml:space="preserve">de legalidad que debe de regir su actuar como órgano garante, no puede aplicar y mucho menos darle los efectos erga omnes y expansivos que le otorga en su resolución. </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El INAI al resolver el recurso de inconformidad no hace un estudio pormenorizado y exhaustivo sobre los puntos particulares y específicos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 xml:space="preserve">El Órgano Garante Nacional no solo interpreta el texto de la Ley General de Transparencia y Acceso a la Información Pública, específicamente lo dispuesto en el artículo 160 de dicho ordenamiento legal, sino que le añade supuestos de procedencia del recurso de inconformidad </w:t>
      </w:r>
      <w:proofErr w:type="spellStart"/>
      <w:r w:rsidRPr="00100412">
        <w:rPr>
          <w:rFonts w:ascii="Palatino Linotype" w:hAnsi="Palatino Linotype"/>
          <w:shd w:val="clear" w:color="auto" w:fill="FFFFFF"/>
          <w:lang w:val="es-ES_tradnl"/>
        </w:rPr>
        <w:t>mas</w:t>
      </w:r>
      <w:proofErr w:type="spellEnd"/>
      <w:r w:rsidRPr="00100412">
        <w:rPr>
          <w:rFonts w:ascii="Palatino Linotype" w:hAnsi="Palatino Linotype"/>
          <w:shd w:val="clear" w:color="auto" w:fill="FFFFFF"/>
          <w:lang w:val="es-ES_tradnl"/>
        </w:rPr>
        <w:t xml:space="preserve"> allá de los establecidos en la norma, así que no solo hace una interpretación errónea de la norma, sino que llega al absurdo de desconocer el texto normativo, interpretarlo, legislar y aplicarlo a capricho, desconociendo y desdeñando el principio de legalidad que debe de regir en todo momento su actuar y que debe ser piedra angular de sus actuaciones y resoluciones. </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lastRenderedPageBreak/>
        <w:t>Ha quedado demostrado irrefutablemente que este Órgano Garante en su resolución y actuaciones en todo momento ha cumplido a cabalidad el principio de legalidad que rige su actuar, es indudable que ha cumplido con los principios de fundamentación y motivación al aplicar el marco normativo que les es aplicable, en aras de garantizar el derecho de acceso a la información pública que constitucionalmente se le ha encomendado garantizar.</w:t>
      </w:r>
    </w:p>
    <w:p w:rsidR="00855DA2" w:rsidRPr="00100412" w:rsidRDefault="00855DA2" w:rsidP="00855DA2">
      <w:pPr>
        <w:pStyle w:val="Prrafodelista"/>
        <w:rPr>
          <w:rFonts w:ascii="Palatino Linotype" w:hAnsi="Palatino Linotype"/>
          <w:shd w:val="clear" w:color="auto" w:fill="FFFFFF"/>
          <w:lang w:val="es-ES_tradnl"/>
        </w:rPr>
      </w:pPr>
    </w:p>
    <w:p w:rsidR="00855DA2" w:rsidRPr="00100412" w:rsidRDefault="00855DA2" w:rsidP="00855DA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shd w:val="clear" w:color="auto" w:fill="FFFFFF"/>
          <w:lang w:val="es-ES_tradnl"/>
        </w:rPr>
        <w:t>Por ello, resulta a todas luces una resolución emitida al amparo de su prepotencia al ejercer el poder que se le ha concedido como órgano garante, excediéndose de sus facultades, como si fuera un órgano jurisdiccional con plena jurisdicción, como legislador que puede crear o derogar normas jurídicas, e incluso como vigilante de la constitucionalidad de las normas locales de transparencia.</w:t>
      </w:r>
    </w:p>
    <w:p w:rsidR="00EA2B68" w:rsidRPr="00100412" w:rsidRDefault="00EA2B68" w:rsidP="00EA2B68">
      <w:pPr>
        <w:pStyle w:val="Prrafodelista"/>
        <w:rPr>
          <w:rFonts w:ascii="Palatino Linotype" w:hAnsi="Palatino Linotype"/>
          <w:shd w:val="clear" w:color="auto" w:fill="FFFFFF"/>
          <w:lang w:val="es-ES_tradnl"/>
        </w:rPr>
      </w:pPr>
    </w:p>
    <w:p w:rsidR="00D42643" w:rsidRPr="00100412" w:rsidRDefault="00D42643" w:rsidP="005B4E09">
      <w:pPr>
        <w:pStyle w:val="Ttulo1"/>
        <w:rPr>
          <w:rFonts w:ascii="Palatino Linotype" w:hAnsi="Palatino Linotype"/>
          <w:b/>
          <w:color w:val="000000" w:themeColor="text1"/>
          <w:sz w:val="24"/>
          <w:szCs w:val="24"/>
          <w:shd w:val="clear" w:color="auto" w:fill="FFFFFF"/>
        </w:rPr>
      </w:pPr>
      <w:bookmarkStart w:id="154" w:name="_Toc68821525"/>
      <w:r w:rsidRPr="00100412">
        <w:rPr>
          <w:rFonts w:ascii="Palatino Linotype" w:hAnsi="Palatino Linotype"/>
          <w:b/>
          <w:color w:val="000000" w:themeColor="text1"/>
          <w:sz w:val="24"/>
          <w:szCs w:val="24"/>
          <w:shd w:val="clear" w:color="auto" w:fill="FFFFFF"/>
        </w:rPr>
        <w:t xml:space="preserve">CUARTO. Cumplimiento al Recurso de Inconformidad </w:t>
      </w:r>
      <w:r w:rsidR="002423EF" w:rsidRPr="00100412">
        <w:rPr>
          <w:rFonts w:ascii="Palatino Linotype" w:hAnsi="Palatino Linotype"/>
          <w:b/>
          <w:color w:val="000000" w:themeColor="text1"/>
          <w:sz w:val="24"/>
          <w:szCs w:val="24"/>
          <w:shd w:val="clear" w:color="auto" w:fill="FFFFFF"/>
        </w:rPr>
        <w:t>185/20</w:t>
      </w:r>
      <w:bookmarkEnd w:id="154"/>
    </w:p>
    <w:p w:rsidR="00D42643" w:rsidRPr="00100412" w:rsidRDefault="00D42643" w:rsidP="00D42643">
      <w:pPr>
        <w:pStyle w:val="Prrafodelista"/>
        <w:rPr>
          <w:rFonts w:ascii="Palatino Linotype" w:hAnsi="Palatino Linotype" w:cs="Arial"/>
          <w:color w:val="000000" w:themeColor="text1"/>
          <w:lang w:val="es-ES_tradnl"/>
        </w:rPr>
      </w:pPr>
    </w:p>
    <w:p w:rsidR="00D42643" w:rsidRPr="00100412"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100412">
        <w:rPr>
          <w:rFonts w:ascii="Palatino Linotype" w:hAnsi="Palatino Linotype" w:cs="Arial"/>
          <w:color w:val="000000" w:themeColor="text1"/>
          <w:lang w:val="es-ES_tradnl"/>
        </w:rPr>
        <w:t xml:space="preserve">No obstante, lo anterior, </w:t>
      </w:r>
      <w:r w:rsidRPr="00100412">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5F1A4C" w:rsidRPr="00100412" w:rsidRDefault="00C1610B" w:rsidP="005F1A4C">
      <w:pPr>
        <w:pStyle w:val="Prrafodelista"/>
        <w:numPr>
          <w:ilvl w:val="0"/>
          <w:numId w:val="1"/>
        </w:numPr>
        <w:tabs>
          <w:tab w:val="left" w:pos="0"/>
        </w:tabs>
        <w:spacing w:line="360" w:lineRule="auto"/>
        <w:ind w:left="0" w:right="49" w:firstLine="0"/>
        <w:jc w:val="both"/>
        <w:rPr>
          <w:rFonts w:ascii="Palatino Linotype" w:hAnsi="Palatino Linotype"/>
          <w:i/>
          <w:lang w:val="es-ES_tradnl"/>
        </w:rPr>
      </w:pPr>
      <w:r w:rsidRPr="00100412">
        <w:rPr>
          <w:rFonts w:ascii="Palatino Linotype" w:hAnsi="Palatino Linotype" w:cs="Arial"/>
          <w:color w:val="000000" w:themeColor="text1"/>
          <w:lang w:val="es-ES_tradnl"/>
        </w:rPr>
        <w:lastRenderedPageBreak/>
        <w:t xml:space="preserve">Por lo </w:t>
      </w:r>
      <w:proofErr w:type="gramStart"/>
      <w:r w:rsidRPr="00100412">
        <w:rPr>
          <w:rFonts w:ascii="Palatino Linotype" w:hAnsi="Palatino Linotype" w:cs="Arial"/>
          <w:color w:val="000000" w:themeColor="text1"/>
          <w:lang w:val="es-ES_tradnl"/>
        </w:rPr>
        <w:t>que,  de</w:t>
      </w:r>
      <w:proofErr w:type="gramEnd"/>
      <w:r w:rsidRPr="00100412">
        <w:rPr>
          <w:rFonts w:ascii="Palatino Linotype" w:hAnsi="Palatino Linotype" w:cs="Arial"/>
          <w:color w:val="000000" w:themeColor="text1"/>
          <w:lang w:val="es-ES_tradnl"/>
        </w:rPr>
        <w:t xml:space="preserve"> conformidad con lo dispuesto en el artículo 172 de la Ley General de Transparencia se da cumplimiento en los términos que dispone el Órgano Garante Nacional en el </w:t>
      </w:r>
      <w:r w:rsidR="00313A13" w:rsidRPr="00100412">
        <w:rPr>
          <w:rFonts w:ascii="Palatino Linotype" w:hAnsi="Palatino Linotype" w:cs="Arial"/>
          <w:color w:val="000000" w:themeColor="text1"/>
          <w:lang w:val="es-ES_tradnl"/>
        </w:rPr>
        <w:t>RIA 185/20</w:t>
      </w:r>
      <w:r w:rsidRPr="00100412">
        <w:rPr>
          <w:rFonts w:ascii="Palatino Linotype" w:hAnsi="Palatino Linotype" w:cs="Arial"/>
          <w:color w:val="000000" w:themeColor="text1"/>
          <w:lang w:val="es-ES_tradnl"/>
        </w:rPr>
        <w:t>, mediante el cual</w:t>
      </w:r>
      <w:r w:rsidRPr="00100412">
        <w:rPr>
          <w:rFonts w:ascii="Palatino Linotype" w:hAnsi="Palatino Linotype"/>
          <w:lang w:val="es-ES_tradnl"/>
        </w:rPr>
        <w:t xml:space="preserve"> </w:t>
      </w:r>
      <w:r w:rsidR="008E1E4F" w:rsidRPr="00100412">
        <w:rPr>
          <w:rFonts w:ascii="Palatino Linotype" w:hAnsi="Palatino Linotype"/>
          <w:lang w:val="es-ES_tradnl"/>
        </w:rPr>
        <w:t xml:space="preserve">estimo procedente </w:t>
      </w:r>
      <w:r w:rsidR="00B4543F" w:rsidRPr="00100412">
        <w:rPr>
          <w:rFonts w:ascii="Palatino Linotype" w:hAnsi="Palatino Linotype"/>
          <w:i/>
          <w:lang w:val="es-ES_tradnl"/>
        </w:rPr>
        <w:t>“</w:t>
      </w:r>
      <w:r w:rsidR="005F1A4C" w:rsidRPr="00100412">
        <w:rPr>
          <w:rFonts w:ascii="Palatino Linotype" w:hAnsi="Palatino Linotype"/>
          <w:i/>
          <w:lang w:val="es-ES_tradnl"/>
        </w:rPr>
        <w:t>..REVOCAR la resolución del Instituto de Transparencia, Acceso a la Información Pública y Protección de Datos Personales del Estado de México y Municipios, y se le instruye a efecto de que emita una nueva resolución en la que:</w:t>
      </w:r>
    </w:p>
    <w:p w:rsidR="005F1A4C" w:rsidRPr="00100412" w:rsidRDefault="005F1A4C" w:rsidP="005F1A4C">
      <w:pPr>
        <w:pStyle w:val="Prrafodelista"/>
        <w:tabs>
          <w:tab w:val="left" w:pos="0"/>
        </w:tabs>
        <w:spacing w:line="360" w:lineRule="auto"/>
        <w:ind w:left="0" w:right="49"/>
        <w:jc w:val="both"/>
        <w:rPr>
          <w:rFonts w:ascii="Palatino Linotype" w:hAnsi="Palatino Linotype"/>
          <w:i/>
          <w:lang w:val="es-ES_tradnl"/>
        </w:rPr>
      </w:pPr>
      <w:r w:rsidRPr="00100412">
        <w:rPr>
          <w:rFonts w:ascii="Palatino Linotype" w:hAnsi="Palatino Linotype"/>
          <w:i/>
          <w:lang w:val="es-ES_tradnl"/>
        </w:rPr>
        <w:t>Instruya al Ayuntamiento de Ixtapan de la Sal a realizar la entrega de la información solicitada, en la modalidad elegida por el particular, esto es en medios electrónicos, con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rsidR="005F1A4C" w:rsidRPr="00100412" w:rsidRDefault="005F1A4C" w:rsidP="005F1A4C">
      <w:pPr>
        <w:pStyle w:val="Prrafodelista"/>
        <w:tabs>
          <w:tab w:val="left" w:pos="0"/>
        </w:tabs>
        <w:spacing w:line="360" w:lineRule="auto"/>
        <w:ind w:left="0" w:right="49"/>
        <w:jc w:val="both"/>
        <w:rPr>
          <w:rFonts w:ascii="Palatino Linotype" w:hAnsi="Palatino Linotype"/>
          <w:i/>
          <w:lang w:val="es-ES_tradnl"/>
        </w:rPr>
      </w:pPr>
      <w:r w:rsidRPr="00100412">
        <w:rPr>
          <w:rFonts w:ascii="Palatino Linotype" w:hAnsi="Palatino Linotype"/>
          <w:i/>
          <w:lang w:val="es-ES_tradnl"/>
        </w:rPr>
        <w:t>Asimismo, atendiendo a las circunstancias que pueda derivar del volumen de la información o las características de ésta, deberá dar el tiempo correspondiente para que se dé cumplimiento a la resolución.”</w:t>
      </w:r>
    </w:p>
    <w:p w:rsidR="005F1A4C" w:rsidRPr="00100412" w:rsidRDefault="005F1A4C" w:rsidP="005F1A4C">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100412" w:rsidRDefault="000826B8" w:rsidP="002730C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i/>
          <w:lang w:val="es-ES_tradnl"/>
        </w:rPr>
      </w:pPr>
      <w:r w:rsidRPr="00100412">
        <w:rPr>
          <w:rFonts w:ascii="Palatino Linotype" w:hAnsi="Palatino Linotype"/>
          <w:lang w:val="es-ES_tradnl"/>
        </w:rPr>
        <w:t xml:space="preserve">Por lo que en cumplimiento a la resolución emitida en el Recurso de Inconformidad </w:t>
      </w:r>
      <w:r w:rsidR="00313A13" w:rsidRPr="00100412">
        <w:rPr>
          <w:rFonts w:ascii="Palatino Linotype" w:hAnsi="Palatino Linotype"/>
          <w:lang w:val="es-ES_tradnl"/>
        </w:rPr>
        <w:t>RIA 185/20</w:t>
      </w:r>
      <w:r w:rsidRPr="00100412">
        <w:rPr>
          <w:rFonts w:ascii="Palatino Linotype" w:hAnsi="Palatino Linotype"/>
          <w:lang w:val="es-ES_tradnl"/>
        </w:rPr>
        <w:t xml:space="preserve">, por el Pleno del Instituto Nacional de Transparencia, Acceso a la </w:t>
      </w:r>
      <w:r w:rsidRPr="00100412">
        <w:rPr>
          <w:rFonts w:ascii="Palatino Linotype" w:hAnsi="Palatino Linotype" w:cs="Arial"/>
          <w:color w:val="000000" w:themeColor="text1"/>
          <w:lang w:val="es-ES_tradnl"/>
        </w:rPr>
        <w:t>Información</w:t>
      </w:r>
      <w:r w:rsidRPr="00100412">
        <w:rPr>
          <w:rFonts w:ascii="Palatino Linotype" w:hAnsi="Palatino Linotype"/>
          <w:lang w:val="es-ES_tradnl"/>
        </w:rPr>
        <w:t xml:space="preserve"> y Protección de Datos Personales, este Instituto resuelve ordenar al Sujeto Obligado</w:t>
      </w:r>
      <w:r w:rsidR="00744368" w:rsidRPr="00100412">
        <w:rPr>
          <w:rFonts w:ascii="Palatino Linotype" w:hAnsi="Palatino Linotype"/>
          <w:lang w:val="es-ES_tradnl"/>
        </w:rPr>
        <w:t>,</w:t>
      </w:r>
      <w:r w:rsidRPr="00100412">
        <w:rPr>
          <w:rFonts w:ascii="Palatino Linotype" w:hAnsi="Palatino Linotype"/>
          <w:lang w:val="es-ES_tradnl"/>
        </w:rPr>
        <w:t xml:space="preserve"> </w:t>
      </w:r>
      <w:r w:rsidR="00AA0EFA" w:rsidRPr="00100412">
        <w:rPr>
          <w:rFonts w:ascii="Palatino Linotype" w:hAnsi="Palatino Linotype"/>
          <w:lang w:val="es-ES_tradnl"/>
        </w:rPr>
        <w:t xml:space="preserve">Ayuntamiento de Ixtapan de la Sal, </w:t>
      </w:r>
      <w:r w:rsidR="00B4543F" w:rsidRPr="00100412">
        <w:rPr>
          <w:rFonts w:ascii="Palatino Linotype" w:hAnsi="Palatino Linotype"/>
          <w:lang w:val="es-ES_tradnl"/>
        </w:rPr>
        <w:t>haga entrega d</w:t>
      </w:r>
      <w:r w:rsidR="004C0C9F" w:rsidRPr="00100412">
        <w:rPr>
          <w:rFonts w:ascii="Palatino Linotype" w:hAnsi="Palatino Linotype"/>
          <w:lang w:val="es-ES_tradnl"/>
        </w:rPr>
        <w:t>e la información de referencia,</w:t>
      </w:r>
      <w:r w:rsidR="00B4543F" w:rsidRPr="00100412">
        <w:rPr>
          <w:rFonts w:ascii="Palatino Linotype" w:hAnsi="Palatino Linotype"/>
          <w:lang w:val="es-ES_tradnl"/>
        </w:rPr>
        <w:t xml:space="preserve"> en los términos anteriormente transcritos.</w:t>
      </w:r>
    </w:p>
    <w:p w:rsidR="00C80CF8" w:rsidRPr="00100412" w:rsidRDefault="00C80CF8" w:rsidP="00C80CF8">
      <w:pPr>
        <w:pStyle w:val="Ttulo2"/>
        <w:rPr>
          <w:rFonts w:ascii="Palatino Linotype" w:hAnsi="Palatino Linotype"/>
          <w:b/>
          <w:color w:val="000000" w:themeColor="text1"/>
          <w:sz w:val="24"/>
          <w:szCs w:val="24"/>
        </w:rPr>
      </w:pPr>
      <w:bookmarkStart w:id="155" w:name="_Toc22130360"/>
      <w:bookmarkStart w:id="156" w:name="_Toc33809646"/>
      <w:bookmarkStart w:id="157" w:name="_Toc58504404"/>
      <w:bookmarkStart w:id="158" w:name="_Toc68821526"/>
      <w:r w:rsidRPr="00100412">
        <w:rPr>
          <w:rFonts w:ascii="Palatino Linotype" w:hAnsi="Palatino Linotype"/>
          <w:b/>
          <w:color w:val="000000" w:themeColor="text1"/>
          <w:sz w:val="24"/>
          <w:szCs w:val="24"/>
        </w:rPr>
        <w:lastRenderedPageBreak/>
        <w:t>QUINTO. De la versión pública.</w:t>
      </w:r>
      <w:bookmarkEnd w:id="155"/>
      <w:bookmarkEnd w:id="156"/>
      <w:bookmarkEnd w:id="157"/>
      <w:bookmarkEnd w:id="158"/>
    </w:p>
    <w:p w:rsidR="00C80CF8" w:rsidRPr="00100412"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rPr>
        <w:t xml:space="preserve">Debe destacarse que debido a la naturaleza de </w:t>
      </w:r>
      <w:r w:rsidRPr="00100412">
        <w:rPr>
          <w:rFonts w:ascii="Palatino Linotype" w:hAnsi="Palatino Linotype"/>
          <w:color w:val="000000" w:themeColor="text1"/>
        </w:rPr>
        <w:t xml:space="preserve">la información que se ordena entregar, </w:t>
      </w:r>
      <w:r w:rsidRPr="00100412">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100412">
        <w:rPr>
          <w:rFonts w:ascii="Palatino Linotype" w:hAnsi="Palatino Linotype" w:cs="Arial"/>
          <w:color w:val="000000" w:themeColor="text1"/>
        </w:rPr>
        <w:t>tanto</w:t>
      </w:r>
      <w:proofErr w:type="gramEnd"/>
      <w:r w:rsidRPr="00100412">
        <w:rPr>
          <w:rFonts w:ascii="Palatino Linotype" w:hAnsi="Palatino Linotype" w:cs="Arial"/>
          <w:color w:val="000000" w:themeColor="text1"/>
        </w:rPr>
        <w:t xml:space="preserve"> </w:t>
      </w:r>
      <w:r w:rsidRPr="00100412">
        <w:rPr>
          <w:rFonts w:ascii="Palatino Linotype" w:hAnsi="Palatino Linotype"/>
          <w:color w:val="000000" w:themeColor="text1"/>
          <w:lang w:val="es-ES"/>
        </w:rPr>
        <w:t>la información solicitada se deberá entregar en versión pública.</w:t>
      </w:r>
    </w:p>
    <w:p w:rsidR="00C80CF8" w:rsidRPr="00100412"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rPr>
        <w:t xml:space="preserve">De acuerdo a lo establecido por el artículo 122 de la Ley en materia, establece la clasificación de información, misma que puede ser por dos </w:t>
      </w:r>
      <w:proofErr w:type="spellStart"/>
      <w:r w:rsidRPr="00100412">
        <w:rPr>
          <w:rFonts w:ascii="Palatino Linotype" w:hAnsi="Palatino Linotype" w:cs="Arial"/>
          <w:color w:val="000000" w:themeColor="text1"/>
        </w:rPr>
        <w:t>hipótesis</w:t>
      </w:r>
      <w:proofErr w:type="spellEnd"/>
      <w:r w:rsidRPr="00100412">
        <w:rPr>
          <w:rFonts w:ascii="Palatino Linotype" w:hAnsi="Palatino Linotype" w:cs="Arial"/>
          <w:color w:val="000000" w:themeColor="text1"/>
        </w:rPr>
        <w:t xml:space="preserve">, las cuales corresponden a información reservada o confidencial, por lo que los </w:t>
      </w:r>
      <w:r w:rsidRPr="00100412">
        <w:rPr>
          <w:rFonts w:ascii="Palatino Linotype" w:hAnsi="Palatino Linotype" w:cs="Arial"/>
          <w:b/>
          <w:color w:val="000000" w:themeColor="text1"/>
        </w:rPr>
        <w:t xml:space="preserve">SUJETOS OBLIGADOS </w:t>
      </w:r>
      <w:r w:rsidRPr="00100412">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100412" w:rsidRDefault="00C80CF8" w:rsidP="00C80CF8">
      <w:pPr>
        <w:pStyle w:val="Prrafodelista"/>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100412" w:rsidRDefault="00C80CF8" w:rsidP="00C80CF8">
      <w:pPr>
        <w:pStyle w:val="Prrafodelista"/>
        <w:rPr>
          <w:rFonts w:ascii="Palatino Linotype" w:hAnsi="Palatino Linotype" w:cs="Arial"/>
          <w:color w:val="000000" w:themeColor="text1"/>
        </w:rPr>
      </w:pPr>
    </w:p>
    <w:p w:rsidR="00C80CF8" w:rsidRPr="00100412"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00412">
        <w:rPr>
          <w:rFonts w:ascii="Palatino Linotype" w:hAnsi="Palatino Linotype" w:cs="Bookman Old Style"/>
          <w:bCs/>
          <w:color w:val="000000" w:themeColor="text1"/>
        </w:rPr>
        <w:t xml:space="preserve">I. </w:t>
      </w:r>
      <w:r w:rsidRPr="00100412">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100412"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00412">
        <w:rPr>
          <w:rFonts w:ascii="Palatino Linotype" w:hAnsi="Palatino Linotype" w:cs="Bookman Old Style"/>
          <w:bCs/>
          <w:color w:val="000000" w:themeColor="text1"/>
        </w:rPr>
        <w:t xml:space="preserve">II. </w:t>
      </w:r>
      <w:r w:rsidRPr="00100412">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100412">
        <w:rPr>
          <w:rFonts w:ascii="Palatino Linotype" w:hAnsi="Palatino Linotype" w:cs="Bookman Old Style"/>
          <w:color w:val="000000" w:themeColor="text1"/>
        </w:rPr>
        <w:lastRenderedPageBreak/>
        <w:t xml:space="preserve">internacional o a sujetos obligados cuando no involucren el ejercicio de recursos públicos; y </w:t>
      </w:r>
    </w:p>
    <w:p w:rsidR="00C80CF8" w:rsidRPr="00100412"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00412">
        <w:rPr>
          <w:rFonts w:ascii="Palatino Linotype" w:hAnsi="Palatino Linotype" w:cs="Bookman Old Style"/>
          <w:bCs/>
          <w:color w:val="000000" w:themeColor="text1"/>
        </w:rPr>
        <w:t xml:space="preserve">III. </w:t>
      </w:r>
      <w:r w:rsidRPr="00100412">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100412"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100412">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100412"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100412">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100412" w:rsidRDefault="00C80CF8" w:rsidP="00C80CF8">
      <w:pPr>
        <w:pStyle w:val="Prrafodelista"/>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100412"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rPr>
        <w:t xml:space="preserve">Como consecuencia de lo anterior, el </w:t>
      </w:r>
      <w:r w:rsidRPr="00100412">
        <w:rPr>
          <w:rFonts w:ascii="Palatino Linotype" w:hAnsi="Palatino Linotype" w:cs="Arial"/>
          <w:b/>
          <w:color w:val="000000" w:themeColor="text1"/>
        </w:rPr>
        <w:t>SUJETO OBLIGADO</w:t>
      </w:r>
      <w:r w:rsidRPr="00100412">
        <w:rPr>
          <w:rFonts w:ascii="Palatino Linotype" w:hAnsi="Palatino Linotype" w:cs="Arial"/>
          <w:color w:val="000000" w:themeColor="text1"/>
        </w:rPr>
        <w:t xml:space="preserve"> debe identificar claramente el tipo de información y hacer un juicio de subsunción o encaje</w:t>
      </w:r>
      <w:r w:rsidRPr="00100412">
        <w:rPr>
          <w:rStyle w:val="Refdenotaalpie"/>
          <w:rFonts w:ascii="Palatino Linotype" w:hAnsi="Palatino Linotype" w:cs="Arial"/>
          <w:color w:val="000000" w:themeColor="text1"/>
        </w:rPr>
        <w:footnoteReference w:id="18"/>
      </w:r>
      <w:r w:rsidRPr="00100412">
        <w:rPr>
          <w:rFonts w:ascii="Palatino Linotype" w:hAnsi="Palatino Linotype" w:cs="Arial"/>
          <w:color w:val="000000" w:themeColor="text1"/>
        </w:rPr>
        <w:t xml:space="preserve"> para </w:t>
      </w:r>
      <w:r w:rsidRPr="00100412">
        <w:rPr>
          <w:rFonts w:ascii="Palatino Linotype" w:hAnsi="Palatino Linotype" w:cs="Arial"/>
          <w:color w:val="000000" w:themeColor="text1"/>
        </w:rPr>
        <w:lastRenderedPageBreak/>
        <w:t xml:space="preserve">acreditar que el supuesto de hecho corresponde estrictamente con la </w:t>
      </w:r>
      <w:proofErr w:type="spellStart"/>
      <w:r w:rsidRPr="00100412">
        <w:rPr>
          <w:rFonts w:ascii="Palatino Linotype" w:hAnsi="Palatino Linotype" w:cs="Arial"/>
          <w:color w:val="000000" w:themeColor="text1"/>
        </w:rPr>
        <w:t>hipótesis</w:t>
      </w:r>
      <w:proofErr w:type="spellEnd"/>
      <w:r w:rsidRPr="00100412">
        <w:rPr>
          <w:rFonts w:ascii="Palatino Linotype" w:hAnsi="Palatino Linotype" w:cs="Arial"/>
          <w:color w:val="000000" w:themeColor="text1"/>
        </w:rPr>
        <w:t xml:space="preserve"> jurídica. Esto también lo debe de realizar el servidor público habilitado y el titular del área que administra la información.</w:t>
      </w:r>
    </w:p>
    <w:p w:rsidR="00C80CF8" w:rsidRPr="00100412" w:rsidRDefault="00C80CF8" w:rsidP="00C80CF8">
      <w:pPr>
        <w:pStyle w:val="Prrafodelista"/>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100412"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100412" w:rsidRDefault="00C80CF8" w:rsidP="00025D6B">
      <w:pPr>
        <w:pStyle w:val="Ttulo2"/>
        <w:numPr>
          <w:ilvl w:val="0"/>
          <w:numId w:val="8"/>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59" w:name="_Toc485733666"/>
      <w:bookmarkStart w:id="160" w:name="_Toc487139037"/>
      <w:bookmarkStart w:id="161" w:name="_Toc490060412"/>
      <w:bookmarkStart w:id="162" w:name="_Toc492468081"/>
      <w:bookmarkStart w:id="163" w:name="_Toc2878596"/>
      <w:bookmarkStart w:id="164" w:name="_Toc10711864"/>
      <w:bookmarkStart w:id="165" w:name="_Toc18609014"/>
      <w:bookmarkStart w:id="166" w:name="_Toc22130361"/>
      <w:bookmarkStart w:id="167" w:name="_Toc33809647"/>
      <w:bookmarkStart w:id="168" w:name="_Toc58504405"/>
      <w:bookmarkStart w:id="169" w:name="_Toc64441245"/>
      <w:bookmarkStart w:id="170" w:name="_Toc64442702"/>
      <w:bookmarkStart w:id="171" w:name="_Toc67611437"/>
      <w:bookmarkStart w:id="172" w:name="_Toc67611971"/>
      <w:bookmarkStart w:id="173" w:name="_Toc68821527"/>
      <w:r w:rsidRPr="00100412">
        <w:rPr>
          <w:rFonts w:ascii="Palatino Linotype" w:hAnsi="Palatino Linotype"/>
          <w:b/>
          <w:color w:val="000000" w:themeColor="text1"/>
          <w:sz w:val="24"/>
          <w:szCs w:val="24"/>
        </w:rPr>
        <w:t>Requisitos de fondo del acuerdo de clasificación.</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C80CF8" w:rsidRPr="00100412" w:rsidRDefault="00C80CF8" w:rsidP="00C80CF8">
      <w:pPr>
        <w:pStyle w:val="Prrafodelista"/>
        <w:rPr>
          <w:rFonts w:ascii="Palatino Linotype" w:hAnsi="Palatino Linotype" w:cs="Arial"/>
          <w:color w:val="000000" w:themeColor="text1"/>
          <w:lang w:val="es-MX"/>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rPr>
        <w:t xml:space="preserve">Como se ha señalado antes, al hacer el juicio de subsunción o encaje entre el supuesto de hecho y la </w:t>
      </w:r>
      <w:proofErr w:type="spellStart"/>
      <w:r w:rsidRPr="00100412">
        <w:rPr>
          <w:rFonts w:ascii="Palatino Linotype" w:hAnsi="Palatino Linotype" w:cs="Arial"/>
          <w:color w:val="000000" w:themeColor="text1"/>
        </w:rPr>
        <w:t>hipótesis</w:t>
      </w:r>
      <w:proofErr w:type="spellEnd"/>
      <w:r w:rsidRPr="00100412">
        <w:rPr>
          <w:rFonts w:ascii="Palatino Linotype" w:hAnsi="Palatino Linotype" w:cs="Arial"/>
          <w:color w:val="000000" w:themeColor="text1"/>
        </w:rPr>
        <w:t xml:space="preserve">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100412">
        <w:rPr>
          <w:rFonts w:ascii="Palatino Linotype" w:hAnsi="Palatino Linotype" w:cs="Arial"/>
          <w:color w:val="000000" w:themeColor="text1"/>
        </w:rPr>
        <w:lastRenderedPageBreak/>
        <w:t>sexagésimo segundo de los Lineamientos Generales, al señalar que la carga de la prueba, para justificar las restricciones, corresponde a los sujetos obligados, por lo que deberán fundar y motivar debidamente la clasificación.</w:t>
      </w:r>
    </w:p>
    <w:p w:rsidR="00C80CF8" w:rsidRPr="00100412"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olor w:val="000000" w:themeColor="text1"/>
        </w:rPr>
        <w:t xml:space="preserve">De lo anterior, se desprende </w:t>
      </w:r>
      <w:proofErr w:type="gramStart"/>
      <w:r w:rsidRPr="00100412">
        <w:rPr>
          <w:rFonts w:ascii="Palatino Linotype" w:hAnsi="Palatino Linotype"/>
          <w:color w:val="000000" w:themeColor="text1"/>
        </w:rPr>
        <w:t>que</w:t>
      </w:r>
      <w:proofErr w:type="gramEnd"/>
      <w:r w:rsidRPr="00100412">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100412" w:rsidRDefault="00C80CF8" w:rsidP="00C80CF8">
      <w:pPr>
        <w:pStyle w:val="Prrafodelista"/>
        <w:rPr>
          <w:rFonts w:ascii="Palatino Linotype" w:hAnsi="Palatino Linotype" w:cs="Arial"/>
          <w:color w:val="000000" w:themeColor="text1"/>
          <w:lang w:eastAsia="es-MX"/>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100412">
        <w:rPr>
          <w:rFonts w:ascii="Palatino Linotype" w:hAnsi="Palatino Linotype" w:cs="Arial"/>
          <w:color w:val="000000" w:themeColor="text1"/>
          <w:lang w:eastAsia="es-MX"/>
        </w:rPr>
        <w:lastRenderedPageBreak/>
        <w:t xml:space="preserve">del análisis de las pruebas, lo cual se debe exteriorizar en una argumentación o juicio de </w:t>
      </w:r>
      <w:proofErr w:type="gramStart"/>
      <w:r w:rsidRPr="00100412">
        <w:rPr>
          <w:rFonts w:ascii="Palatino Linotype" w:hAnsi="Palatino Linotype" w:cs="Arial"/>
          <w:color w:val="000000" w:themeColor="text1"/>
          <w:lang w:eastAsia="es-MX"/>
        </w:rPr>
        <w:t>hecho....</w:t>
      </w:r>
      <w:proofErr w:type="gramEnd"/>
      <w:r w:rsidRPr="00100412">
        <w:rPr>
          <w:rFonts w:ascii="Palatino Linotype" w:hAnsi="Palatino Linotype" w:cs="Arial"/>
          <w:color w:val="000000" w:themeColor="text1"/>
          <w:lang w:eastAsia="es-MX"/>
        </w:rPr>
        <w:t>”.</w:t>
      </w:r>
      <w:r w:rsidRPr="00100412">
        <w:rPr>
          <w:rStyle w:val="Refdenotaalpie"/>
          <w:rFonts w:ascii="Palatino Linotype" w:hAnsi="Palatino Linotype" w:cs="Arial"/>
          <w:color w:val="000000" w:themeColor="text1"/>
          <w:lang w:eastAsia="es-MX"/>
        </w:rPr>
        <w:footnoteReference w:id="19"/>
      </w:r>
    </w:p>
    <w:p w:rsidR="00C80CF8" w:rsidRPr="00100412" w:rsidRDefault="00C80CF8" w:rsidP="00C80CF8">
      <w:pPr>
        <w:pStyle w:val="Prrafodelista"/>
        <w:rPr>
          <w:rFonts w:ascii="Palatino Linotype" w:hAnsi="Palatino Linotype" w:cs="Arial"/>
          <w:color w:val="000000" w:themeColor="text1"/>
          <w:lang w:eastAsia="es-MX"/>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100412" w:rsidRDefault="00C80CF8" w:rsidP="00C80CF8">
      <w:pPr>
        <w:spacing w:line="360" w:lineRule="auto"/>
        <w:ind w:right="618"/>
        <w:contextualSpacing/>
        <w:jc w:val="both"/>
        <w:rPr>
          <w:rFonts w:ascii="Palatino Linotype" w:hAnsi="Palatino Linotype" w:cs="Arial"/>
          <w:color w:val="000000" w:themeColor="text1"/>
        </w:rPr>
      </w:pPr>
    </w:p>
    <w:p w:rsidR="00C80CF8" w:rsidRPr="00100412"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00412">
        <w:rPr>
          <w:rFonts w:ascii="Palatino Linotype" w:hAnsi="Palatino Linotype" w:cs="Arial"/>
          <w:b/>
          <w:i/>
          <w:color w:val="000000" w:themeColor="text1"/>
          <w:sz w:val="22"/>
          <w:szCs w:val="22"/>
        </w:rPr>
        <w:t>FUNDAMENTACIÓN Y MOTIVACIÓN.</w:t>
      </w:r>
      <w:r w:rsidRPr="00100412">
        <w:rPr>
          <w:rFonts w:ascii="Palatino Linotype" w:hAnsi="Palatino Linotype" w:cs="Arial"/>
          <w:i/>
          <w:color w:val="000000" w:themeColor="text1"/>
          <w:sz w:val="22"/>
          <w:szCs w:val="22"/>
        </w:rPr>
        <w:t xml:space="preserve"> La </w:t>
      </w:r>
      <w:r w:rsidRPr="00100412">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00412">
        <w:rPr>
          <w:rFonts w:ascii="Palatino Linotype" w:hAnsi="Palatino Linotype" w:cs="Arial"/>
          <w:i/>
          <w:color w:val="000000" w:themeColor="text1"/>
          <w:sz w:val="22"/>
          <w:szCs w:val="22"/>
        </w:rPr>
        <w:t>.</w:t>
      </w:r>
    </w:p>
    <w:p w:rsidR="00C80CF8" w:rsidRPr="00100412"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00412">
        <w:rPr>
          <w:rFonts w:ascii="Palatino Linotype" w:hAnsi="Palatino Linotype" w:cs="Arial"/>
          <w:i/>
          <w:color w:val="000000" w:themeColor="text1"/>
          <w:sz w:val="22"/>
          <w:szCs w:val="22"/>
        </w:rPr>
        <w:t>SEGUNDO TRIBUNAL COLEGIADO DEL SEXTO CIRCUITO.</w:t>
      </w:r>
    </w:p>
    <w:p w:rsidR="00C80CF8" w:rsidRPr="00100412"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00412">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100412"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00412">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100412"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00412">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100412"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00412">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rsidR="00C80CF8" w:rsidRPr="00100412"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100412">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100412">
        <w:rPr>
          <w:rFonts w:ascii="Palatino Linotype" w:hAnsi="Palatino Linotype" w:cs="Arial"/>
          <w:i/>
          <w:color w:val="000000" w:themeColor="text1"/>
          <w:sz w:val="22"/>
          <w:szCs w:val="22"/>
        </w:rPr>
        <w:t>Baigts</w:t>
      </w:r>
      <w:proofErr w:type="spellEnd"/>
      <w:r w:rsidRPr="00100412">
        <w:rPr>
          <w:rFonts w:ascii="Palatino Linotype" w:hAnsi="Palatino Linotype" w:cs="Arial"/>
          <w:i/>
          <w:color w:val="000000" w:themeColor="text1"/>
          <w:sz w:val="22"/>
          <w:szCs w:val="22"/>
        </w:rPr>
        <w:t xml:space="preserve"> Muñoz.</w:t>
      </w:r>
      <w:r w:rsidRPr="00100412">
        <w:rPr>
          <w:rStyle w:val="Refdenotaalpie"/>
          <w:rFonts w:ascii="Palatino Linotype" w:hAnsi="Palatino Linotype" w:cs="Arial"/>
          <w:i/>
          <w:color w:val="000000" w:themeColor="text1"/>
          <w:sz w:val="22"/>
          <w:szCs w:val="22"/>
        </w:rPr>
        <w:footnoteReference w:id="20"/>
      </w:r>
    </w:p>
    <w:p w:rsidR="00C80CF8" w:rsidRPr="00100412" w:rsidRDefault="00C80CF8" w:rsidP="00C80CF8">
      <w:pPr>
        <w:pStyle w:val="Prrafodelista"/>
        <w:rPr>
          <w:rFonts w:ascii="Palatino Linotype" w:hAnsi="Palatino Linotype" w:cs="Arial"/>
          <w:color w:val="000000" w:themeColor="text1"/>
          <w:lang w:eastAsia="es-MX"/>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100412"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100412" w:rsidRDefault="00C80CF8" w:rsidP="00C80CF8">
      <w:pPr>
        <w:pStyle w:val="Prrafodelista"/>
        <w:rPr>
          <w:rFonts w:ascii="Palatino Linotype" w:hAnsi="Palatino Linotype" w:cs="Arial"/>
          <w:color w:val="000000" w:themeColor="text1"/>
          <w:lang w:eastAsia="es-MX"/>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porque no todos los datos contenidos en los documentos ordenados son</w:t>
      </w:r>
      <w:r w:rsidRPr="00100412">
        <w:rPr>
          <w:rFonts w:ascii="Palatino Linotype" w:hAnsi="Palatino Linotype"/>
          <w:color w:val="000000" w:themeColor="text1"/>
        </w:rPr>
        <w:t xml:space="preserve"> </w:t>
      </w:r>
      <w:r w:rsidRPr="00100412">
        <w:rPr>
          <w:rFonts w:ascii="Palatino Linotype" w:hAnsi="Palatino Linotype" w:cs="Arial"/>
          <w:color w:val="000000" w:themeColor="text1"/>
          <w:lang w:eastAsia="es-MX"/>
        </w:rPr>
        <w:t>datos personales</w:t>
      </w:r>
      <w:r w:rsidRPr="00100412">
        <w:rPr>
          <w:rStyle w:val="Refdenotaalpie"/>
          <w:rFonts w:ascii="Palatino Linotype" w:hAnsi="Palatino Linotype" w:cs="Arial"/>
          <w:color w:val="000000" w:themeColor="text1"/>
          <w:lang w:eastAsia="es-MX"/>
        </w:rPr>
        <w:footnoteReference w:id="21"/>
      </w:r>
      <w:r w:rsidRPr="00100412">
        <w:rPr>
          <w:rFonts w:ascii="Palatino Linotype" w:hAnsi="Palatino Linotype" w:cs="Arial"/>
          <w:color w:val="000000" w:themeColor="text1"/>
          <w:lang w:eastAsia="es-MX"/>
        </w:rPr>
        <w:t xml:space="preserve">, </w:t>
      </w:r>
      <w:r w:rsidRPr="00100412">
        <w:rPr>
          <w:rFonts w:ascii="Palatino Linotype" w:eastAsia="Calibri" w:hAnsi="Palatino Linotype" w:cs="Arial"/>
          <w:color w:val="000000" w:themeColor="text1"/>
          <w:lang w:eastAsia="es-MX"/>
        </w:rPr>
        <w:t>p</w:t>
      </w:r>
      <w:proofErr w:type="spellStart"/>
      <w:r w:rsidRPr="00100412">
        <w:rPr>
          <w:rFonts w:ascii="Palatino Linotype" w:eastAsia="Calibri" w:hAnsi="Palatino Linotype" w:cs="Arial"/>
          <w:color w:val="000000" w:themeColor="text1"/>
          <w:lang w:val="es-ES" w:eastAsia="es-MX"/>
        </w:rPr>
        <w:t>or</w:t>
      </w:r>
      <w:proofErr w:type="spellEnd"/>
      <w:r w:rsidRPr="00100412">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100412" w:rsidRDefault="00C80CF8" w:rsidP="00C80CF8">
      <w:pPr>
        <w:pStyle w:val="Prrafodelista"/>
        <w:rPr>
          <w:rFonts w:ascii="Palatino Linotype" w:eastAsia="Calibri" w:hAnsi="Palatino Linotype" w:cs="Arial"/>
          <w:color w:val="000000" w:themeColor="text1"/>
          <w:lang w:val="es-ES" w:eastAsia="es-MX"/>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eastAsia="Calibri" w:hAnsi="Palatino Linotype" w:cs="Arial"/>
          <w:color w:val="000000" w:themeColor="text1"/>
          <w:lang w:val="es-ES" w:eastAsia="es-MX"/>
        </w:rPr>
        <w:t xml:space="preserve">Es de señalar, que por lo que hace a las versiones públicas, el </w:t>
      </w:r>
      <w:r w:rsidRPr="00100412">
        <w:rPr>
          <w:rFonts w:ascii="Palatino Linotype" w:eastAsia="Calibri" w:hAnsi="Palatino Linotype" w:cs="Arial"/>
          <w:b/>
          <w:color w:val="000000" w:themeColor="text1"/>
          <w:lang w:val="es-ES" w:eastAsia="es-MX"/>
        </w:rPr>
        <w:t>SUJETO OBLIGADO</w:t>
      </w:r>
      <w:r w:rsidRPr="00100412">
        <w:rPr>
          <w:rFonts w:ascii="Palatino Linotype" w:eastAsia="Calibri" w:hAnsi="Palatino Linotype" w:cs="Arial"/>
          <w:color w:val="000000" w:themeColor="text1"/>
          <w:lang w:val="es-ES" w:eastAsia="es-MX"/>
        </w:rPr>
        <w:t xml:space="preserve"> debe cumplir con las formalidades exigidas en la Ley, por lo que </w:t>
      </w:r>
      <w:r w:rsidRPr="00100412">
        <w:rPr>
          <w:rFonts w:ascii="Palatino Linotype" w:hAnsi="Palatino Linotype" w:cs="Arial"/>
          <w:color w:val="000000" w:themeColor="text1"/>
          <w:lang w:eastAsia="es-MX"/>
        </w:rPr>
        <w:t xml:space="preserve">para tal efecto emitirá el </w:t>
      </w:r>
      <w:r w:rsidRPr="00100412">
        <w:rPr>
          <w:rFonts w:ascii="Palatino Linotype" w:eastAsia="Calibri" w:hAnsi="Palatino Linotype" w:cs="Arial"/>
          <w:color w:val="000000" w:themeColor="text1"/>
          <w:lang w:val="es-ES" w:eastAsia="es-MX"/>
        </w:rPr>
        <w:t>Acuerdo del Comité de Transparencia en términos de los artículos 49 fracción</w:t>
      </w:r>
      <w:r w:rsidRPr="00100412">
        <w:rPr>
          <w:rFonts w:ascii="Palatino Linotype" w:eastAsia="Calibri" w:hAnsi="Palatino Linotype" w:cs="Arial"/>
          <w:bCs/>
          <w:color w:val="000000" w:themeColor="text1"/>
        </w:rPr>
        <w:t xml:space="preserve"> VIII,</w:t>
      </w:r>
      <w:r w:rsidRPr="00100412">
        <w:rPr>
          <w:rFonts w:ascii="Palatino Linotype" w:eastAsia="Calibri" w:hAnsi="Palatino Linotype" w:cs="Arial"/>
          <w:color w:val="000000" w:themeColor="text1"/>
          <w:lang w:val="es-ES" w:eastAsia="es-MX"/>
        </w:rPr>
        <w:t xml:space="preserve"> 122</w:t>
      </w:r>
      <w:r w:rsidRPr="00100412">
        <w:rPr>
          <w:rFonts w:ascii="Palatino Linotype" w:hAnsi="Palatino Linotype"/>
          <w:color w:val="000000" w:themeColor="text1"/>
          <w:vertAlign w:val="superscript"/>
          <w:lang w:val="es-ES" w:eastAsia="es-MX"/>
        </w:rPr>
        <w:footnoteReference w:id="22"/>
      </w:r>
      <w:r w:rsidRPr="00100412">
        <w:rPr>
          <w:rFonts w:ascii="Palatino Linotype" w:eastAsia="Calibri" w:hAnsi="Palatino Linotype" w:cs="Arial"/>
          <w:color w:val="000000" w:themeColor="text1"/>
          <w:lang w:val="es-ES" w:eastAsia="es-MX"/>
        </w:rPr>
        <w:t>, 135</w:t>
      </w:r>
      <w:r w:rsidRPr="00100412">
        <w:rPr>
          <w:rFonts w:ascii="Palatino Linotype" w:hAnsi="Palatino Linotype"/>
          <w:color w:val="000000" w:themeColor="text1"/>
          <w:vertAlign w:val="superscript"/>
          <w:lang w:val="es-ES" w:eastAsia="es-MX"/>
        </w:rPr>
        <w:footnoteReference w:id="23"/>
      </w:r>
      <w:r w:rsidRPr="00100412">
        <w:rPr>
          <w:rFonts w:ascii="Palatino Linotype" w:eastAsia="Calibri" w:hAnsi="Palatino Linotype" w:cs="Arial"/>
          <w:color w:val="000000" w:themeColor="text1"/>
          <w:lang w:val="es-ES" w:eastAsia="es-MX"/>
        </w:rPr>
        <w:t xml:space="preserve"> y 149 de la Ley de Transparencia y Acceso a la </w:t>
      </w:r>
      <w:r w:rsidRPr="00100412">
        <w:rPr>
          <w:rFonts w:ascii="Palatino Linotype" w:eastAsia="Calibri" w:hAnsi="Palatino Linotype" w:cs="Arial"/>
          <w:color w:val="000000" w:themeColor="text1"/>
          <w:lang w:val="es-ES" w:eastAsia="es-MX"/>
        </w:rPr>
        <w:lastRenderedPageBreak/>
        <w:t xml:space="preserve">Información Pública del Estado de México, con el cual </w:t>
      </w:r>
      <w:proofErr w:type="gramStart"/>
      <w:r w:rsidRPr="00100412">
        <w:rPr>
          <w:rFonts w:ascii="Palatino Linotype" w:eastAsia="Calibri" w:hAnsi="Palatino Linotype" w:cs="Arial"/>
          <w:color w:val="000000" w:themeColor="text1"/>
          <w:lang w:val="es-ES" w:eastAsia="es-MX"/>
        </w:rPr>
        <w:t>sustentara</w:t>
      </w:r>
      <w:proofErr w:type="gramEnd"/>
      <w:r w:rsidRPr="00100412">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rsidR="00C80CF8" w:rsidRPr="00100412" w:rsidRDefault="00C80CF8" w:rsidP="00C80CF8">
      <w:pPr>
        <w:pStyle w:val="Prrafodelista"/>
        <w:rPr>
          <w:rFonts w:ascii="Palatino Linotype" w:eastAsia="Calibri" w:hAnsi="Palatino Linotype" w:cs="Arial"/>
          <w:color w:val="000000" w:themeColor="text1"/>
          <w:lang w:val="es-ES" w:eastAsia="es-CO"/>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100412">
        <w:rPr>
          <w:rFonts w:ascii="Palatino Linotype" w:eastAsia="Calibri" w:hAnsi="Palatino Linotype" w:cs="Arial"/>
          <w:b/>
          <w:color w:val="000000" w:themeColor="text1"/>
          <w:lang w:val="es-ES" w:eastAsia="es-CO"/>
        </w:rPr>
        <w:t>SUJETO OBLIGADO</w:t>
      </w:r>
      <w:r w:rsidRPr="00100412">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100412" w:rsidRDefault="00C80CF8" w:rsidP="00C80CF8">
      <w:pPr>
        <w:pStyle w:val="Prrafodelista"/>
        <w:rPr>
          <w:rFonts w:ascii="Palatino Linotype" w:hAnsi="Palatino Linotype" w:cs="Arial"/>
          <w:color w:val="000000" w:themeColor="text1"/>
          <w:lang w:eastAsia="es-MX"/>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eastAsia="es-MX"/>
        </w:rPr>
        <w:t xml:space="preserve">Siendo así que, </w:t>
      </w:r>
      <w:r w:rsidRPr="00100412">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100412">
        <w:rPr>
          <w:rFonts w:ascii="Palatino Linotype" w:hAnsi="Palatino Linotype"/>
          <w:b/>
          <w:color w:val="000000" w:themeColor="text1"/>
        </w:rPr>
        <w:t>SUJETO OBLIGADO</w:t>
      </w:r>
      <w:r w:rsidRPr="00100412">
        <w:rPr>
          <w:rFonts w:ascii="Palatino Linotype" w:hAnsi="Palatino Linotype"/>
          <w:color w:val="000000" w:themeColor="text1"/>
        </w:rPr>
        <w:t xml:space="preserve">. Dicho acuerdo deberá de contener los </w:t>
      </w:r>
      <w:r w:rsidRPr="00100412">
        <w:rPr>
          <w:rFonts w:ascii="Palatino Linotype" w:hAnsi="Palatino Linotype"/>
          <w:b/>
          <w:color w:val="000000" w:themeColor="text1"/>
        </w:rPr>
        <w:t>razonamientos lógicos</w:t>
      </w:r>
      <w:r w:rsidRPr="00100412">
        <w:rPr>
          <w:rFonts w:ascii="Palatino Linotype" w:hAnsi="Palatino Linotype"/>
          <w:color w:val="000000" w:themeColor="text1"/>
        </w:rPr>
        <w:t xml:space="preserve"> mediante los cuales se </w:t>
      </w:r>
      <w:r w:rsidRPr="00100412">
        <w:rPr>
          <w:rFonts w:ascii="Palatino Linotype" w:hAnsi="Palatino Linotype"/>
          <w:b/>
          <w:color w:val="000000" w:themeColor="text1"/>
        </w:rPr>
        <w:t xml:space="preserve">demuestre </w:t>
      </w:r>
      <w:r w:rsidRPr="00100412">
        <w:rPr>
          <w:rFonts w:ascii="Palatino Linotype" w:hAnsi="Palatino Linotype"/>
          <w:color w:val="000000" w:themeColor="text1"/>
        </w:rPr>
        <w:t xml:space="preserve">que la información corresponde a algunas de las </w:t>
      </w:r>
      <w:proofErr w:type="spellStart"/>
      <w:r w:rsidRPr="00100412">
        <w:rPr>
          <w:rFonts w:ascii="Palatino Linotype" w:hAnsi="Palatino Linotype"/>
          <w:color w:val="000000" w:themeColor="text1"/>
        </w:rPr>
        <w:t>hipótesis</w:t>
      </w:r>
      <w:proofErr w:type="spellEnd"/>
      <w:r w:rsidRPr="00100412">
        <w:rPr>
          <w:rFonts w:ascii="Palatino Linotype" w:hAnsi="Palatino Linotype"/>
          <w:color w:val="000000" w:themeColor="text1"/>
        </w:rPr>
        <w:t xml:space="preserve"> jurídicas previstas en los artículos 122 y 143 de la ley, explicando claramente las causas excepcionales que justifican la restricción al derecho.</w:t>
      </w:r>
    </w:p>
    <w:p w:rsidR="00C80CF8" w:rsidRPr="00100412" w:rsidRDefault="00C80CF8" w:rsidP="00C80CF8">
      <w:pPr>
        <w:pStyle w:val="Prrafodelista"/>
        <w:rPr>
          <w:rFonts w:ascii="Palatino Linotype" w:hAnsi="Palatino Linotype" w:cs="Arial"/>
          <w:color w:val="000000" w:themeColor="text1"/>
          <w:lang w:eastAsia="es-MX"/>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100412" w:rsidRDefault="00C80CF8" w:rsidP="00C80CF8">
      <w:pPr>
        <w:pStyle w:val="Prrafodelista"/>
        <w:rPr>
          <w:rFonts w:ascii="Palatino Linotype" w:hAnsi="Palatino Linotype" w:cs="Arial"/>
          <w:color w:val="000000" w:themeColor="text1"/>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100412" w:rsidRDefault="00C80CF8" w:rsidP="00C80CF8">
      <w:pPr>
        <w:pStyle w:val="Prrafodelista"/>
        <w:rPr>
          <w:rFonts w:ascii="Palatino Linotype" w:hAnsi="Palatino Linotype" w:cs="Arial"/>
          <w:color w:val="000000" w:themeColor="text1"/>
          <w:lang w:val="es-ES"/>
        </w:rPr>
      </w:pPr>
    </w:p>
    <w:p w:rsidR="00C80CF8" w:rsidRPr="00100412"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00412">
        <w:rPr>
          <w:rFonts w:ascii="Palatino Linotype" w:hAnsi="Palatino Linotype" w:cs="Arial"/>
          <w:color w:val="000000" w:themeColor="text1"/>
          <w:lang w:val="es-ES"/>
        </w:rPr>
        <w:t xml:space="preserve">Es </w:t>
      </w:r>
      <w:proofErr w:type="gramStart"/>
      <w:r w:rsidRPr="00100412">
        <w:rPr>
          <w:rFonts w:ascii="Palatino Linotype" w:hAnsi="Palatino Linotype" w:cs="Arial"/>
          <w:color w:val="000000" w:themeColor="text1"/>
          <w:lang w:val="es-ES"/>
        </w:rPr>
        <w:t>decir</w:t>
      </w:r>
      <w:proofErr w:type="gramEnd"/>
      <w:r w:rsidRPr="00100412">
        <w:rPr>
          <w:rFonts w:ascii="Palatino Linotype" w:hAnsi="Palatino Linotype" w:cs="Arial"/>
          <w:color w:val="000000" w:themeColor="text1"/>
          <w:lang w:val="es-ES"/>
        </w:rPr>
        <w:t xml:space="preserve"> un documento público testado que no se acompañe del respectivo acuerdo de clasificación no es una versión pública sino un documento alterado.</w:t>
      </w:r>
    </w:p>
    <w:p w:rsidR="00C80CF8" w:rsidRPr="00100412"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100412"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100412">
        <w:rPr>
          <w:rFonts w:ascii="Palatino Linotype" w:eastAsia="MS Mincho" w:hAnsi="Palatino Linotype" w:cstheme="majorBidi"/>
          <w:lang w:val="es-ES_tradnl" w:eastAsia="es-ES"/>
        </w:rPr>
        <w:t xml:space="preserve">Por lo anteriormente expuesto y fundado este </w:t>
      </w:r>
      <w:r w:rsidRPr="00100412">
        <w:rPr>
          <w:rFonts w:ascii="Palatino Linotype" w:eastAsia="MS Mincho" w:hAnsi="Palatino Linotype" w:cstheme="majorBidi"/>
          <w:b/>
          <w:lang w:val="es-ES_tradnl" w:eastAsia="es-ES"/>
        </w:rPr>
        <w:t>ÓRGANO GARANTE</w:t>
      </w:r>
      <w:r w:rsidRPr="00100412">
        <w:rPr>
          <w:rFonts w:ascii="Palatino Linotype" w:eastAsia="MS Mincho" w:hAnsi="Palatino Linotype" w:cstheme="majorBidi"/>
          <w:lang w:val="es-ES_tradnl" w:eastAsia="es-ES"/>
        </w:rPr>
        <w:t xml:space="preserve"> emite los siguientes.</w:t>
      </w:r>
    </w:p>
    <w:p w:rsidR="00C80CF8" w:rsidRPr="00100412"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100412"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74" w:name="_Toc68821528"/>
      <w:r w:rsidRPr="00100412">
        <w:rPr>
          <w:rFonts w:ascii="Palatino Linotype" w:eastAsia="Calibri" w:hAnsi="Palatino Linotype"/>
          <w:b/>
          <w:color w:val="auto"/>
          <w:sz w:val="24"/>
          <w:szCs w:val="24"/>
          <w:lang w:val="es-ES_tradnl" w:eastAsia="es-ES"/>
        </w:rPr>
        <w:lastRenderedPageBreak/>
        <w:t>R E S O L U T I V O S</w:t>
      </w:r>
      <w:bookmarkEnd w:id="174"/>
    </w:p>
    <w:p w:rsidR="000826B8" w:rsidRPr="00100412" w:rsidRDefault="000826B8" w:rsidP="008E1E4F">
      <w:pPr>
        <w:spacing w:before="240" w:line="360" w:lineRule="auto"/>
        <w:jc w:val="both"/>
        <w:rPr>
          <w:rFonts w:ascii="Palatino Linotype" w:hAnsi="Palatino Linotype" w:cs="Arial"/>
          <w:lang w:val="es-ES_tradnl"/>
        </w:rPr>
      </w:pPr>
      <w:r w:rsidRPr="00100412">
        <w:rPr>
          <w:rFonts w:ascii="Palatino Linotype" w:hAnsi="Palatino Linotype" w:cs="Arial"/>
          <w:b/>
          <w:lang w:val="es-ES_tradnl"/>
        </w:rPr>
        <w:t>PRIMERO.</w:t>
      </w:r>
      <w:r w:rsidRPr="00100412">
        <w:rPr>
          <w:rFonts w:ascii="Palatino Linotype" w:hAnsi="Palatino Linotype" w:cs="Arial"/>
          <w:lang w:val="es-ES_tradnl"/>
        </w:rPr>
        <w:t xml:space="preserve"> Se </w:t>
      </w:r>
      <w:r w:rsidR="00AA0EFA" w:rsidRPr="00100412">
        <w:rPr>
          <w:rFonts w:ascii="Palatino Linotype" w:hAnsi="Palatino Linotype" w:cs="Arial"/>
          <w:b/>
          <w:lang w:val="es-ES_tradnl"/>
        </w:rPr>
        <w:t>REVOCA</w:t>
      </w:r>
      <w:r w:rsidRPr="00100412">
        <w:rPr>
          <w:rFonts w:ascii="Palatino Linotype" w:hAnsi="Palatino Linotype" w:cs="Arial"/>
          <w:lang w:val="es-ES_tradnl"/>
        </w:rPr>
        <w:t xml:space="preserve"> </w:t>
      </w:r>
      <w:r w:rsidRPr="00100412">
        <w:rPr>
          <w:rFonts w:ascii="Palatino Linotype" w:eastAsia="Arial Unicode MS" w:hAnsi="Palatino Linotype" w:cs="Arial"/>
          <w:lang w:val="es-ES_tradnl"/>
        </w:rPr>
        <w:t xml:space="preserve">la respuesta entregada por </w:t>
      </w:r>
      <w:r w:rsidR="00AA0EFA" w:rsidRPr="00100412">
        <w:rPr>
          <w:rFonts w:ascii="Palatino Linotype" w:eastAsia="Arial Unicode MS" w:hAnsi="Palatino Linotype" w:cs="Arial"/>
          <w:lang w:val="es-ES_tradnl"/>
        </w:rPr>
        <w:t xml:space="preserve">el Ayuntamiento de Ixtapan de la Sal, </w:t>
      </w:r>
      <w:r w:rsidRPr="00100412">
        <w:rPr>
          <w:rFonts w:ascii="Palatino Linotype" w:eastAsia="Arial Unicode MS" w:hAnsi="Palatino Linotype" w:cs="Arial"/>
          <w:lang w:val="es-ES_tradnl"/>
        </w:rPr>
        <w:t xml:space="preserve">a la solicitud de información número </w:t>
      </w:r>
      <w:r w:rsidR="005F1A4C" w:rsidRPr="00100412">
        <w:rPr>
          <w:rFonts w:ascii="Palatino Linotype" w:hAnsi="Palatino Linotype"/>
          <w:b/>
          <w:bCs/>
          <w:color w:val="000000" w:themeColor="text1"/>
        </w:rPr>
        <w:t>00</w:t>
      </w:r>
      <w:r w:rsidR="00812ADA" w:rsidRPr="00100412">
        <w:rPr>
          <w:rFonts w:ascii="Palatino Linotype" w:hAnsi="Palatino Linotype"/>
          <w:b/>
          <w:bCs/>
          <w:color w:val="000000" w:themeColor="text1"/>
        </w:rPr>
        <w:t>485</w:t>
      </w:r>
      <w:r w:rsidR="005F1A4C" w:rsidRPr="00100412">
        <w:rPr>
          <w:rFonts w:ascii="Palatino Linotype" w:hAnsi="Palatino Linotype"/>
          <w:b/>
          <w:bCs/>
          <w:color w:val="000000" w:themeColor="text1"/>
        </w:rPr>
        <w:t xml:space="preserve">/IXTASAL/IP/2020, </w:t>
      </w:r>
      <w:r w:rsidRPr="00100412">
        <w:rPr>
          <w:rFonts w:ascii="Palatino Linotype" w:eastAsia="Arial Unicode MS" w:hAnsi="Palatino Linotype" w:cs="Arial"/>
          <w:lang w:val="es-ES_tradnl"/>
        </w:rPr>
        <w:t xml:space="preserve">por resultar fundados los motivos de inconformidad que arguye la </w:t>
      </w:r>
      <w:r w:rsidRPr="00100412">
        <w:rPr>
          <w:rFonts w:ascii="Palatino Linotype" w:eastAsia="Arial Unicode MS" w:hAnsi="Palatino Linotype" w:cs="Arial"/>
          <w:b/>
          <w:lang w:val="es-ES_tradnl"/>
        </w:rPr>
        <w:t>RECURRENTE</w:t>
      </w:r>
      <w:r w:rsidRPr="00100412">
        <w:rPr>
          <w:rFonts w:ascii="Palatino Linotype" w:eastAsia="Arial Unicode MS" w:hAnsi="Palatino Linotype" w:cs="Arial"/>
          <w:lang w:val="es-ES_tradnl"/>
        </w:rPr>
        <w:t>, en términos de</w:t>
      </w:r>
      <w:r w:rsidR="00454BDC" w:rsidRPr="00100412">
        <w:rPr>
          <w:rFonts w:ascii="Palatino Linotype" w:eastAsia="Arial Unicode MS" w:hAnsi="Palatino Linotype" w:cs="Arial"/>
          <w:lang w:val="es-ES_tradnl"/>
        </w:rPr>
        <w:t xml:space="preserve"> </w:t>
      </w:r>
      <w:r w:rsidR="00C1610B" w:rsidRPr="00100412">
        <w:rPr>
          <w:rFonts w:ascii="Palatino Linotype" w:eastAsia="Arial Unicode MS" w:hAnsi="Palatino Linotype" w:cs="Arial"/>
          <w:lang w:val="es-ES_tradnl"/>
        </w:rPr>
        <w:t>l</w:t>
      </w:r>
      <w:r w:rsidR="00454BDC" w:rsidRPr="00100412">
        <w:rPr>
          <w:rFonts w:ascii="Palatino Linotype" w:eastAsia="Arial Unicode MS" w:hAnsi="Palatino Linotype" w:cs="Arial"/>
          <w:lang w:val="es-ES_tradnl"/>
        </w:rPr>
        <w:t>os</w:t>
      </w:r>
      <w:r w:rsidR="00C1610B" w:rsidRPr="00100412">
        <w:rPr>
          <w:rFonts w:ascii="Palatino Linotype" w:eastAsia="Arial Unicode MS" w:hAnsi="Palatino Linotype" w:cs="Arial"/>
          <w:lang w:val="es-ES_tradnl"/>
        </w:rPr>
        <w:t xml:space="preserve"> </w:t>
      </w:r>
      <w:r w:rsidRPr="00100412">
        <w:rPr>
          <w:rFonts w:ascii="Palatino Linotype" w:hAnsi="Palatino Linotype" w:cs="Arial"/>
          <w:b/>
          <w:lang w:val="es-ES_tradnl"/>
        </w:rPr>
        <w:t>Considerando</w:t>
      </w:r>
      <w:r w:rsidR="00454BDC" w:rsidRPr="00100412">
        <w:rPr>
          <w:rFonts w:ascii="Palatino Linotype" w:hAnsi="Palatino Linotype" w:cs="Arial"/>
          <w:b/>
          <w:lang w:val="es-ES_tradnl"/>
        </w:rPr>
        <w:t>s</w:t>
      </w:r>
      <w:r w:rsidR="00C1610B" w:rsidRPr="00100412">
        <w:rPr>
          <w:rFonts w:ascii="Palatino Linotype" w:hAnsi="Palatino Linotype" w:cs="Arial"/>
          <w:b/>
          <w:lang w:val="es-ES_tradnl"/>
        </w:rPr>
        <w:t xml:space="preserve"> CUARTO</w:t>
      </w:r>
      <w:r w:rsidR="00C80CF8" w:rsidRPr="00100412">
        <w:rPr>
          <w:rFonts w:ascii="Palatino Linotype" w:hAnsi="Palatino Linotype" w:cs="Arial"/>
          <w:b/>
          <w:lang w:val="es-ES_tradnl"/>
        </w:rPr>
        <w:t xml:space="preserve"> y </w:t>
      </w:r>
      <w:proofErr w:type="gramStart"/>
      <w:r w:rsidR="00C80CF8" w:rsidRPr="00100412">
        <w:rPr>
          <w:rFonts w:ascii="Palatino Linotype" w:hAnsi="Palatino Linotype" w:cs="Arial"/>
          <w:b/>
          <w:lang w:val="es-ES_tradnl"/>
        </w:rPr>
        <w:t>QUINTO</w:t>
      </w:r>
      <w:r w:rsidR="00C1610B" w:rsidRPr="00100412">
        <w:rPr>
          <w:rFonts w:ascii="Palatino Linotype" w:hAnsi="Palatino Linotype" w:cs="Arial"/>
          <w:b/>
          <w:lang w:val="es-ES_tradnl"/>
        </w:rPr>
        <w:t xml:space="preserve"> </w:t>
      </w:r>
      <w:r w:rsidRPr="00100412">
        <w:rPr>
          <w:rFonts w:ascii="Palatino Linotype" w:hAnsi="Palatino Linotype" w:cs="Arial"/>
          <w:lang w:val="es-ES_tradnl"/>
        </w:rPr>
        <w:t xml:space="preserve"> de</w:t>
      </w:r>
      <w:proofErr w:type="gramEnd"/>
      <w:r w:rsidRPr="00100412">
        <w:rPr>
          <w:rFonts w:ascii="Palatino Linotype" w:hAnsi="Palatino Linotype" w:cs="Arial"/>
          <w:lang w:val="es-ES_tradnl"/>
        </w:rPr>
        <w:t xml:space="preserve"> la presente resolución.</w:t>
      </w:r>
    </w:p>
    <w:p w:rsidR="000826B8" w:rsidRPr="00100412"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100412">
        <w:rPr>
          <w:rFonts w:ascii="Palatino Linotype" w:hAnsi="Palatino Linotype" w:cs="Arial"/>
          <w:b/>
          <w:lang w:val="es-ES_tradnl"/>
        </w:rPr>
        <w:t>SEGUNDO.</w:t>
      </w:r>
      <w:r w:rsidRPr="00100412">
        <w:rPr>
          <w:rFonts w:ascii="Palatino Linotype" w:hAnsi="Palatino Linotype" w:cs="Arial"/>
          <w:lang w:val="es-ES_tradnl"/>
        </w:rPr>
        <w:t xml:space="preserve"> Se ordena a</w:t>
      </w:r>
      <w:r w:rsidR="00AA0EFA" w:rsidRPr="00100412">
        <w:rPr>
          <w:rFonts w:ascii="Palatino Linotype" w:hAnsi="Palatino Linotype" w:cs="Arial"/>
          <w:lang w:val="es-ES_tradnl"/>
        </w:rPr>
        <w:t xml:space="preserve">l </w:t>
      </w:r>
      <w:r w:rsidR="00AA0EFA" w:rsidRPr="00100412">
        <w:rPr>
          <w:rFonts w:ascii="Palatino Linotype" w:hAnsi="Palatino Linotype" w:cs="Arial"/>
          <w:b/>
          <w:lang w:val="es-ES_tradnl"/>
        </w:rPr>
        <w:t>Ayuntamiento de Ixtapan de la Sal</w:t>
      </w:r>
      <w:r w:rsidR="00AA0EFA" w:rsidRPr="00100412">
        <w:rPr>
          <w:rFonts w:ascii="Palatino Linotype" w:hAnsi="Palatino Linotype" w:cs="Arial"/>
          <w:lang w:val="es-ES_tradnl"/>
        </w:rPr>
        <w:t xml:space="preserve"> </w:t>
      </w:r>
      <w:r w:rsidRPr="00100412">
        <w:rPr>
          <w:rFonts w:ascii="Palatino Linotype" w:hAnsi="Palatino Linotype" w:cs="Arial"/>
          <w:lang w:val="es-ES_tradnl"/>
        </w:rPr>
        <w:t xml:space="preserve">haga entrega a la </w:t>
      </w:r>
      <w:r w:rsidR="00BF7AF1" w:rsidRPr="00100412">
        <w:rPr>
          <w:rFonts w:ascii="Palatino Linotype" w:hAnsi="Palatino Linotype" w:cs="Arial"/>
          <w:b/>
          <w:lang w:val="es-ES_tradnl"/>
        </w:rPr>
        <w:t>RECURRENTE</w:t>
      </w:r>
      <w:r w:rsidRPr="00100412">
        <w:rPr>
          <w:rFonts w:ascii="Palatino Linotype" w:hAnsi="Palatino Linotype" w:cs="Arial"/>
          <w:lang w:val="es-ES_tradnl"/>
        </w:rPr>
        <w:t xml:space="preserve"> </w:t>
      </w:r>
      <w:r w:rsidRPr="00100412">
        <w:rPr>
          <w:rFonts w:ascii="Palatino Linotype" w:eastAsia="Calibri" w:hAnsi="Palatino Linotype" w:cs="Arial"/>
          <w:lang w:val="es-ES_tradnl"/>
        </w:rPr>
        <w:t xml:space="preserve">vía Sistema de Acceso a la Información Mexiquense </w:t>
      </w:r>
      <w:r w:rsidRPr="00100412">
        <w:rPr>
          <w:rFonts w:ascii="Palatino Linotype" w:eastAsia="Calibri" w:hAnsi="Palatino Linotype" w:cs="Arial"/>
          <w:b/>
          <w:lang w:val="es-ES_tradnl"/>
        </w:rPr>
        <w:t>(SAIMEX)</w:t>
      </w:r>
      <w:r w:rsidRPr="00100412">
        <w:rPr>
          <w:rFonts w:ascii="Palatino Linotype" w:hAnsi="Palatino Linotype" w:cs="Arial"/>
          <w:lang w:val="es-ES_tradnl"/>
        </w:rPr>
        <w:t xml:space="preserve">, </w:t>
      </w:r>
      <w:r w:rsidR="00C80CF8" w:rsidRPr="00100412">
        <w:rPr>
          <w:rFonts w:ascii="Palatino Linotype" w:hAnsi="Palatino Linotype" w:cs="Arial"/>
          <w:lang w:val="es-ES_tradnl"/>
        </w:rPr>
        <w:t xml:space="preserve">de ser el caso, en versión pública, </w:t>
      </w:r>
      <w:r w:rsidRPr="00100412">
        <w:rPr>
          <w:rFonts w:ascii="Palatino Linotype" w:hAnsi="Palatino Linotype" w:cs="Arial"/>
          <w:lang w:val="es-ES_tradnl"/>
        </w:rPr>
        <w:t>la siguiente información:</w:t>
      </w:r>
    </w:p>
    <w:p w:rsidR="005F1A4C" w:rsidRPr="00100412" w:rsidRDefault="005254EB" w:rsidP="005254EB">
      <w:pPr>
        <w:pStyle w:val="Prrafodelista"/>
        <w:numPr>
          <w:ilvl w:val="0"/>
          <w:numId w:val="11"/>
        </w:numPr>
        <w:shd w:val="clear" w:color="auto" w:fill="FFFFFF"/>
        <w:tabs>
          <w:tab w:val="left" w:pos="0"/>
        </w:tabs>
        <w:spacing w:before="240" w:after="150" w:line="360" w:lineRule="auto"/>
        <w:ind w:right="616"/>
        <w:jc w:val="both"/>
        <w:rPr>
          <w:rFonts w:ascii="Palatino Linotype" w:hAnsi="Palatino Linotype"/>
          <w:b/>
          <w:lang w:val="es-ES_tradnl"/>
        </w:rPr>
      </w:pPr>
      <w:r w:rsidRPr="00100412">
        <w:rPr>
          <w:rFonts w:ascii="Palatino Linotype" w:hAnsi="Palatino Linotype"/>
          <w:b/>
          <w:lang w:val="es-ES_tradnl"/>
        </w:rPr>
        <w:t xml:space="preserve">Del </w:t>
      </w:r>
      <w:proofErr w:type="gramStart"/>
      <w:r w:rsidRPr="00100412">
        <w:rPr>
          <w:rFonts w:ascii="Palatino Linotype" w:hAnsi="Palatino Linotype"/>
          <w:b/>
          <w:lang w:val="es-ES_tradnl"/>
        </w:rPr>
        <w:t>Secretario</w:t>
      </w:r>
      <w:proofErr w:type="gramEnd"/>
      <w:r w:rsidRPr="00100412">
        <w:rPr>
          <w:rFonts w:ascii="Palatino Linotype" w:hAnsi="Palatino Linotype"/>
          <w:b/>
          <w:lang w:val="es-ES_tradnl"/>
        </w:rPr>
        <w:t xml:space="preserve"> del Ayuntamiento, todos los memorándums y oficios que le haya emitido el Presidente Municipal durante el ejercicio fiscal 2019</w:t>
      </w:r>
      <w:r w:rsidR="00EA2B68" w:rsidRPr="00100412">
        <w:rPr>
          <w:rFonts w:ascii="Palatino Linotype" w:hAnsi="Palatino Linotype"/>
          <w:b/>
          <w:lang w:val="es-ES_tradnl"/>
        </w:rPr>
        <w:t>.</w:t>
      </w:r>
    </w:p>
    <w:p w:rsidR="00B4543F" w:rsidRPr="00100412" w:rsidRDefault="00B4543F" w:rsidP="00B4543F">
      <w:pPr>
        <w:pStyle w:val="Prrafodelista"/>
        <w:shd w:val="clear" w:color="auto" w:fill="FFFFFF"/>
        <w:tabs>
          <w:tab w:val="left" w:pos="0"/>
        </w:tabs>
        <w:spacing w:before="240" w:after="150" w:line="360" w:lineRule="auto"/>
        <w:ind w:right="616"/>
        <w:jc w:val="both"/>
        <w:rPr>
          <w:rFonts w:ascii="Palatino Linotype" w:hAnsi="Palatino Linotype"/>
          <w:i/>
          <w:shd w:val="clear" w:color="auto" w:fill="FFFFFF"/>
          <w:lang w:val="es-ES_tradnl"/>
        </w:rPr>
      </w:pPr>
    </w:p>
    <w:p w:rsidR="005F1A4C" w:rsidRPr="00100412" w:rsidRDefault="005254EB" w:rsidP="005254EB">
      <w:pPr>
        <w:pStyle w:val="Prrafodelista"/>
        <w:shd w:val="clear" w:color="auto" w:fill="FFFFFF"/>
        <w:tabs>
          <w:tab w:val="left" w:pos="0"/>
        </w:tabs>
        <w:spacing w:before="240" w:after="150" w:line="360" w:lineRule="auto"/>
        <w:ind w:left="567" w:right="616"/>
        <w:jc w:val="both"/>
        <w:rPr>
          <w:rFonts w:ascii="Palatino Linotype" w:hAnsi="Palatino Linotype"/>
          <w:i/>
          <w:lang w:val="es-ES_tradnl"/>
        </w:rPr>
      </w:pPr>
      <w:r w:rsidRPr="00100412">
        <w:rPr>
          <w:rFonts w:ascii="Palatino Linotype" w:hAnsi="Palatino Linotype"/>
          <w:i/>
          <w:lang w:val="es-ES_tradnl"/>
        </w:rPr>
        <w:t xml:space="preserve">Se deberá privilegiar la modalidad elegida por la particular, esto es, en medios electrónicos, tales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bien, en la medida de lo posible habilitar una liga electrónica que deberá proporcionarle para que descargue los archivos; no obstante, e caso de no contar con dicha modalidad, debe precisar que se acredita un impedimento justificado para atender esa modalidad en relación </w:t>
      </w:r>
      <w:r w:rsidRPr="00100412">
        <w:rPr>
          <w:rFonts w:ascii="Palatino Linotype" w:hAnsi="Palatino Linotype"/>
          <w:i/>
          <w:lang w:val="es-ES_tradnl"/>
        </w:rPr>
        <w:lastRenderedPageBreak/>
        <w:t>directa con el formato en el que obra la información, y deberá brindar la posibilidad de que debidamente fundada y motivada se ofrezca la entrega de la información en el resto de las modalidades de entrega de la información además de consulta directa, como copias simples y certificadas con opción de envío a domicilio.</w:t>
      </w:r>
    </w:p>
    <w:p w:rsidR="00C80CF8" w:rsidRPr="00100412" w:rsidRDefault="00C80CF8" w:rsidP="004C0C9F">
      <w:pPr>
        <w:spacing w:line="360" w:lineRule="auto"/>
        <w:ind w:right="49"/>
        <w:jc w:val="both"/>
        <w:rPr>
          <w:rFonts w:ascii="Palatino Linotype" w:eastAsia="Calibri" w:hAnsi="Palatino Linotype" w:cs="Arial"/>
          <w:lang w:val="es-ES"/>
        </w:rPr>
      </w:pPr>
      <w:r w:rsidRPr="00100412">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4C0C9F" w:rsidRPr="00100412" w:rsidRDefault="000826B8" w:rsidP="00ED7D43">
      <w:pPr>
        <w:autoSpaceDE w:val="0"/>
        <w:autoSpaceDN w:val="0"/>
        <w:adjustRightInd w:val="0"/>
        <w:spacing w:before="240" w:line="360" w:lineRule="auto"/>
        <w:jc w:val="both"/>
        <w:rPr>
          <w:rFonts w:ascii="Palatino Linotype" w:hAnsi="Palatino Linotype" w:cs="Arial"/>
          <w:lang w:val="es-ES_tradnl"/>
        </w:rPr>
      </w:pPr>
      <w:r w:rsidRPr="00100412">
        <w:rPr>
          <w:rFonts w:ascii="Palatino Linotype" w:hAnsi="Palatino Linotype" w:cs="Arial"/>
          <w:b/>
          <w:lang w:val="es-ES_tradnl"/>
        </w:rPr>
        <w:t>TERCERO. Notifíquese</w:t>
      </w:r>
      <w:r w:rsidRPr="00100412">
        <w:rPr>
          <w:rFonts w:ascii="Palatino Linotype" w:hAnsi="Palatino Linotype" w:cs="Arial"/>
          <w:b/>
          <w:i/>
          <w:lang w:val="es-ES_tradnl"/>
        </w:rPr>
        <w:t xml:space="preserve"> </w:t>
      </w:r>
      <w:r w:rsidRPr="00100412">
        <w:rPr>
          <w:rFonts w:ascii="Palatino Linotype" w:hAnsi="Palatino Linotype" w:cs="Arial"/>
          <w:lang w:val="es-ES_tradnl"/>
        </w:rPr>
        <w:t>al Titular de la Unidad de Transparencia del</w:t>
      </w:r>
      <w:r w:rsidRPr="00100412">
        <w:rPr>
          <w:rFonts w:ascii="Palatino Linotype" w:hAnsi="Palatino Linotype" w:cs="Arial"/>
          <w:b/>
          <w:lang w:val="es-ES_tradnl"/>
        </w:rPr>
        <w:t xml:space="preserve"> SUJETO OBLIGADO</w:t>
      </w:r>
      <w:r w:rsidRPr="00100412">
        <w:rPr>
          <w:rFonts w:ascii="Palatino Linotype" w:hAnsi="Palatino Linotype" w:cs="Arial"/>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984E2B" w:rsidRPr="00100412">
        <w:rPr>
          <w:rFonts w:ascii="Palatino Linotype" w:hAnsi="Palatino Linotype" w:cs="Arial"/>
          <w:b/>
          <w:lang w:val="es-ES_tradnl"/>
        </w:rPr>
        <w:t>veinte</w:t>
      </w:r>
      <w:r w:rsidRPr="00100412">
        <w:rPr>
          <w:rFonts w:ascii="Palatino Linotype" w:hAnsi="Palatino Linotype" w:cs="Arial"/>
          <w:b/>
          <w:lang w:val="es-ES_tradnl"/>
        </w:rPr>
        <w:t xml:space="preserve"> días hábiles</w:t>
      </w:r>
      <w:r w:rsidRPr="00100412">
        <w:rPr>
          <w:rFonts w:ascii="Palatino Linotype" w:hAnsi="Palatino Linotype" w:cs="Arial"/>
          <w:lang w:val="es-ES_tradnl"/>
        </w:rPr>
        <w:t>, debiendo informar a este Instituto en un plazo de tres días hábiles siguientes sobre el cumplimiento dado a la presente resolución.</w:t>
      </w:r>
    </w:p>
    <w:p w:rsidR="00744368" w:rsidRPr="00100412" w:rsidRDefault="000826B8" w:rsidP="00ED7D43">
      <w:pPr>
        <w:autoSpaceDE w:val="0"/>
        <w:autoSpaceDN w:val="0"/>
        <w:adjustRightInd w:val="0"/>
        <w:spacing w:before="240" w:line="360" w:lineRule="auto"/>
        <w:jc w:val="both"/>
        <w:rPr>
          <w:rFonts w:ascii="Palatino Linotype" w:hAnsi="Palatino Linotype" w:cs="Arial"/>
          <w:lang w:val="es-ES_tradnl"/>
        </w:rPr>
      </w:pPr>
      <w:r w:rsidRPr="00100412">
        <w:rPr>
          <w:rFonts w:ascii="Palatino Linotype" w:hAnsi="Palatino Linotype" w:cs="Arial"/>
          <w:b/>
          <w:lang w:val="es-ES_tradnl"/>
        </w:rPr>
        <w:t>CUARTO</w:t>
      </w:r>
      <w:r w:rsidRPr="00100412">
        <w:rPr>
          <w:rFonts w:ascii="Palatino Linotype" w:hAnsi="Palatino Linotype" w:cs="Arial"/>
          <w:lang w:val="es-ES_tradnl"/>
        </w:rPr>
        <w:t xml:space="preserve">. </w:t>
      </w:r>
      <w:r w:rsidRPr="00100412">
        <w:rPr>
          <w:rFonts w:ascii="Palatino Linotype" w:hAnsi="Palatino Linotype" w:cs="Arial"/>
          <w:b/>
          <w:bCs/>
          <w:shd w:val="clear" w:color="auto" w:fill="FFFFFF"/>
          <w:lang w:val="es-ES_tradnl"/>
        </w:rPr>
        <w:t>Notifíquese</w:t>
      </w:r>
      <w:r w:rsidRPr="00100412">
        <w:rPr>
          <w:rFonts w:ascii="Palatino Linotype" w:hAnsi="Palatino Linotype" w:cs="Arial"/>
          <w:lang w:val="es-ES_tradnl"/>
        </w:rPr>
        <w:t xml:space="preserve"> a</w:t>
      </w:r>
      <w:r w:rsidR="0068705C" w:rsidRPr="00100412">
        <w:rPr>
          <w:rFonts w:ascii="Palatino Linotype" w:hAnsi="Palatino Linotype" w:cs="Arial"/>
          <w:lang w:val="es-ES_tradnl"/>
        </w:rPr>
        <w:t xml:space="preserve"> </w:t>
      </w:r>
      <w:r w:rsidR="005B4E09" w:rsidRPr="00100412">
        <w:rPr>
          <w:rFonts w:ascii="Palatino Linotype" w:hAnsi="Palatino Linotype" w:cs="Arial"/>
          <w:b/>
          <w:lang w:val="es-ES_tradnl"/>
        </w:rPr>
        <w:t>LA RECURRENTE</w:t>
      </w:r>
      <w:r w:rsidR="005B4E09" w:rsidRPr="00100412">
        <w:rPr>
          <w:rFonts w:ascii="Palatino Linotype" w:hAnsi="Palatino Linotype" w:cs="Arial"/>
          <w:lang w:val="es-ES_tradnl"/>
        </w:rPr>
        <w:t xml:space="preserve"> </w:t>
      </w:r>
      <w:r w:rsidRPr="00100412">
        <w:rPr>
          <w:rFonts w:ascii="Palatino Linotype" w:hAnsi="Palatino Linotype" w:cs="Arial"/>
          <w:lang w:val="es-ES_tradnl"/>
        </w:rPr>
        <w:t>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E023E" w:rsidRPr="00100412" w:rsidRDefault="00C1610B" w:rsidP="001E023E">
      <w:pPr>
        <w:spacing w:line="360" w:lineRule="auto"/>
        <w:ind w:right="49"/>
        <w:jc w:val="both"/>
        <w:rPr>
          <w:rFonts w:ascii="Palatino Linotype" w:hAnsi="Palatino Linotype"/>
          <w:color w:val="000000" w:themeColor="text1"/>
          <w:lang w:val="es-ES_tradnl"/>
        </w:rPr>
      </w:pPr>
      <w:r w:rsidRPr="00100412">
        <w:rPr>
          <w:rFonts w:ascii="Palatino Linotype" w:hAnsi="Palatino Linotype"/>
          <w:b/>
          <w:color w:val="000000" w:themeColor="text1"/>
          <w:lang w:val="es-ES_tradnl"/>
        </w:rPr>
        <w:lastRenderedPageBreak/>
        <w:t xml:space="preserve">QUINTO. </w:t>
      </w:r>
      <w:r w:rsidR="001E023E" w:rsidRPr="00100412">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F1A4C" w:rsidRPr="00100412" w:rsidRDefault="005F1A4C" w:rsidP="001E023E">
      <w:pPr>
        <w:spacing w:line="360" w:lineRule="auto"/>
        <w:ind w:right="49"/>
        <w:jc w:val="both"/>
        <w:rPr>
          <w:rFonts w:ascii="Palatino Linotype" w:hAnsi="Palatino Linotype"/>
          <w:color w:val="000000" w:themeColor="text1"/>
          <w:lang w:val="es-ES_tradnl"/>
        </w:rPr>
      </w:pPr>
    </w:p>
    <w:p w:rsidR="001E023E" w:rsidRPr="00100412" w:rsidRDefault="00C1610B" w:rsidP="001E023E">
      <w:pPr>
        <w:spacing w:line="360" w:lineRule="auto"/>
        <w:ind w:right="49"/>
        <w:jc w:val="both"/>
        <w:rPr>
          <w:rFonts w:ascii="Palatino Linotype" w:hAnsi="Palatino Linotype"/>
          <w:color w:val="222222"/>
          <w:lang w:val="es-ES_tradnl"/>
        </w:rPr>
      </w:pPr>
      <w:r w:rsidRPr="00100412">
        <w:rPr>
          <w:rFonts w:ascii="Palatino Linotype" w:hAnsi="Palatino Linotype"/>
          <w:b/>
          <w:color w:val="222222"/>
          <w:lang w:val="es-ES_tradnl"/>
        </w:rPr>
        <w:t>SEXTO</w:t>
      </w:r>
      <w:r w:rsidR="001E023E" w:rsidRPr="00100412">
        <w:rPr>
          <w:rFonts w:ascii="Palatino Linotype" w:hAnsi="Palatino Linotype"/>
          <w:b/>
          <w:color w:val="222222"/>
          <w:lang w:val="es-ES_tradnl"/>
        </w:rPr>
        <w:t>. Notifíquese</w:t>
      </w:r>
      <w:r w:rsidR="001E023E" w:rsidRPr="00100412">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2423EF" w:rsidRPr="00100412">
        <w:rPr>
          <w:rFonts w:ascii="Palatino Linotype" w:hAnsi="Palatino Linotype"/>
          <w:b/>
          <w:color w:val="222222"/>
          <w:lang w:val="es-ES_tradnl"/>
        </w:rPr>
        <w:t>185/20</w:t>
      </w:r>
      <w:r w:rsidR="001E023E" w:rsidRPr="00100412">
        <w:rPr>
          <w:rFonts w:ascii="Palatino Linotype" w:hAnsi="Palatino Linotype"/>
          <w:color w:val="222222"/>
          <w:lang w:val="es-ES_tradnl"/>
        </w:rPr>
        <w:t>, en términos del artículo 173 de la Ley General de Transparencia y Acceso a la Información Pública.</w:t>
      </w:r>
    </w:p>
    <w:p w:rsidR="00100412" w:rsidRDefault="00333841" w:rsidP="008E1E4F">
      <w:pPr>
        <w:shd w:val="clear" w:color="auto" w:fill="FFFFFF"/>
        <w:spacing w:before="240" w:after="360" w:line="360" w:lineRule="auto"/>
        <w:jc w:val="both"/>
        <w:rPr>
          <w:rFonts w:ascii="Palatino Linotype" w:hAnsi="Palatino Linotype" w:cs="Arial"/>
          <w:lang w:val="es-ES_tradnl"/>
        </w:rPr>
      </w:pPr>
      <w:r w:rsidRPr="00100412">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100412">
        <w:rPr>
          <w:rFonts w:ascii="Palatino Linotype" w:hAnsi="Palatino Linotype"/>
          <w:lang w:val="es-ES_tradnl"/>
        </w:rPr>
        <w:t>HERNÁNDEZ; JAVIER</w:t>
      </w:r>
      <w:r w:rsidRPr="00100412">
        <w:rPr>
          <w:rFonts w:ascii="Palatino Linotype" w:hAnsi="Palatino Linotype"/>
          <w:lang w:val="es-ES_tradnl"/>
        </w:rPr>
        <w:t xml:space="preserve"> MARTÍNEZ CRUZ</w:t>
      </w:r>
      <w:r w:rsidR="00D67120" w:rsidRPr="00100412">
        <w:rPr>
          <w:rFonts w:ascii="Palatino Linotype" w:hAnsi="Palatino Linotype"/>
          <w:lang w:val="es-ES_tradnl"/>
        </w:rPr>
        <w:t>, Y LUIS GUSTAVO PARRA NORIEGA,</w:t>
      </w:r>
      <w:r w:rsidRPr="00100412">
        <w:rPr>
          <w:rFonts w:ascii="Palatino Linotype" w:hAnsi="Palatino Linotype"/>
          <w:lang w:val="es-ES_tradnl"/>
        </w:rPr>
        <w:t xml:space="preserve"> EN LA </w:t>
      </w:r>
      <w:r w:rsidR="00100412">
        <w:rPr>
          <w:rFonts w:ascii="Palatino Linotype" w:hAnsi="Palatino Linotype"/>
          <w:lang w:val="es-ES_tradnl"/>
        </w:rPr>
        <w:t>DÉCIMA SEGUNDA</w:t>
      </w:r>
      <w:r w:rsidR="00C1610B" w:rsidRPr="00100412">
        <w:rPr>
          <w:rFonts w:ascii="Palatino Linotype" w:hAnsi="Palatino Linotype"/>
          <w:lang w:val="es-ES_tradnl"/>
        </w:rPr>
        <w:t xml:space="preserve"> </w:t>
      </w:r>
      <w:r w:rsidRPr="00100412">
        <w:rPr>
          <w:rFonts w:ascii="Palatino Linotype" w:hAnsi="Palatino Linotype"/>
          <w:lang w:val="es-ES_tradnl"/>
        </w:rPr>
        <w:t xml:space="preserve">SESIÓN ORDINARIA CELEBRADA EL DÍA </w:t>
      </w:r>
      <w:r w:rsidR="00090A44" w:rsidRPr="00100412">
        <w:rPr>
          <w:rFonts w:ascii="Palatino Linotype" w:hAnsi="Palatino Linotype"/>
          <w:lang w:val="es-ES_tradnl"/>
        </w:rPr>
        <w:t>CATORCE</w:t>
      </w:r>
      <w:r w:rsidR="00C1610B" w:rsidRPr="00100412">
        <w:rPr>
          <w:rFonts w:ascii="Palatino Linotype" w:hAnsi="Palatino Linotype"/>
          <w:lang w:val="es-ES_tradnl"/>
        </w:rPr>
        <w:t xml:space="preserve"> </w:t>
      </w:r>
      <w:r w:rsidR="00ED7D43" w:rsidRPr="00100412">
        <w:rPr>
          <w:rFonts w:ascii="Palatino Linotype" w:hAnsi="Palatino Linotype"/>
          <w:lang w:val="es-ES_tradnl"/>
        </w:rPr>
        <w:t>(</w:t>
      </w:r>
      <w:r w:rsidR="00090A44" w:rsidRPr="00100412">
        <w:rPr>
          <w:rFonts w:ascii="Palatino Linotype" w:hAnsi="Palatino Linotype"/>
          <w:lang w:val="es-ES_tradnl"/>
        </w:rPr>
        <w:t>14</w:t>
      </w:r>
      <w:r w:rsidR="00ED7D43" w:rsidRPr="00100412">
        <w:rPr>
          <w:rFonts w:ascii="Palatino Linotype" w:hAnsi="Palatino Linotype"/>
          <w:lang w:val="es-ES_tradnl"/>
        </w:rPr>
        <w:t>)</w:t>
      </w:r>
      <w:r w:rsidR="00C1610B" w:rsidRPr="00100412">
        <w:rPr>
          <w:rFonts w:ascii="Palatino Linotype" w:hAnsi="Palatino Linotype"/>
          <w:lang w:val="es-ES_tradnl"/>
        </w:rPr>
        <w:t xml:space="preserve"> </w:t>
      </w:r>
      <w:r w:rsidR="00ED7D43" w:rsidRPr="00100412">
        <w:rPr>
          <w:rFonts w:ascii="Palatino Linotype" w:hAnsi="Palatino Linotype"/>
          <w:lang w:val="es-ES_tradnl"/>
        </w:rPr>
        <w:t xml:space="preserve">DE </w:t>
      </w:r>
      <w:r w:rsidR="00230F20" w:rsidRPr="00100412">
        <w:rPr>
          <w:rFonts w:ascii="Palatino Linotype" w:hAnsi="Palatino Linotype"/>
          <w:lang w:val="es-ES_tradnl"/>
        </w:rPr>
        <w:t>ABRIL</w:t>
      </w:r>
      <w:r w:rsidR="00ED7D43" w:rsidRPr="00100412">
        <w:rPr>
          <w:rFonts w:ascii="Palatino Linotype" w:hAnsi="Palatino Linotype"/>
          <w:lang w:val="es-ES_tradnl"/>
        </w:rPr>
        <w:t xml:space="preserve"> DE DOS MIL VEINTIUNO</w:t>
      </w:r>
      <w:r w:rsidR="00D20A4E" w:rsidRPr="00100412">
        <w:rPr>
          <w:rFonts w:ascii="Palatino Linotype" w:hAnsi="Palatino Linotype"/>
          <w:lang w:val="es-ES_tradnl"/>
        </w:rPr>
        <w:t>, ANTE EL SECRETARIO TÉCNICO</w:t>
      </w:r>
      <w:r w:rsidRPr="00100412">
        <w:rPr>
          <w:rFonts w:ascii="Palatino Linotype" w:hAnsi="Palatino Linotype"/>
          <w:lang w:val="es-ES_tradnl"/>
        </w:rPr>
        <w:t xml:space="preserve"> DEL PLENO </w:t>
      </w:r>
      <w:r w:rsidR="00994DEC" w:rsidRPr="00100412">
        <w:rPr>
          <w:rFonts w:ascii="Palatino Linotype" w:hAnsi="Palatino Linotype"/>
          <w:lang w:val="es-ES_tradnl"/>
        </w:rPr>
        <w:t>ALEXIS TAPIA RAMÍREZ</w:t>
      </w:r>
      <w:r w:rsidRPr="00100412">
        <w:rPr>
          <w:rFonts w:ascii="Palatino Linotype" w:hAnsi="Palatino Linotype"/>
          <w:lang w:val="es-ES_tradnl"/>
        </w:rPr>
        <w:t>.</w:t>
      </w:r>
      <w:r w:rsidRPr="008A6E0E">
        <w:rPr>
          <w:rFonts w:ascii="Palatino Linotype" w:hAnsi="Palatino Linotype" w:cs="Arial"/>
          <w:lang w:val="es-ES_tradnl"/>
        </w:rPr>
        <w:t xml:space="preserve">  </w:t>
      </w:r>
    </w:p>
    <w:p w:rsidR="00100412" w:rsidRDefault="00100412">
      <w:pPr>
        <w:spacing w:after="160" w:line="259" w:lineRule="auto"/>
        <w:rPr>
          <w:rFonts w:ascii="Palatino Linotype" w:hAnsi="Palatino Linotype" w:cs="Arial"/>
          <w:lang w:val="es-ES_tradnl"/>
        </w:rPr>
      </w:pPr>
      <w:r>
        <w:rPr>
          <w:rFonts w:ascii="Palatino Linotype" w:hAnsi="Palatino Linotype" w:cs="Arial"/>
          <w:lang w:val="es-ES_tradnl"/>
        </w:rPr>
        <w:br w:type="page"/>
      </w:r>
    </w:p>
    <w:p w:rsidR="00333841" w:rsidRPr="008A6E0E" w:rsidRDefault="00333841" w:rsidP="008E1E4F">
      <w:pPr>
        <w:shd w:val="clear" w:color="auto" w:fill="FFFFFF"/>
        <w:spacing w:before="240" w:after="360" w:line="360" w:lineRule="auto"/>
        <w:jc w:val="both"/>
        <w:rPr>
          <w:rFonts w:ascii="Palatino Linotype" w:hAnsi="Palatino Linotype" w:cs="Arial"/>
          <w:lang w:val="es-ES_tradnl"/>
        </w:rPr>
      </w:pPr>
    </w:p>
    <w:p w:rsidR="00333841" w:rsidRPr="008A6E0E" w:rsidRDefault="00333841" w:rsidP="00ED7D43">
      <w:pPr>
        <w:spacing w:before="240" w:after="240" w:line="360" w:lineRule="auto"/>
        <w:jc w:val="center"/>
        <w:rPr>
          <w:rFonts w:ascii="Palatino Linotype" w:hAnsi="Palatino Linotype" w:cs="Arial"/>
          <w:lang w:val="es-ES_tradnl"/>
        </w:rPr>
      </w:pPr>
    </w:p>
    <w:sectPr w:rsidR="00333841" w:rsidRPr="008A6E0E" w:rsidSect="00592436">
      <w:headerReference w:type="even" r:id="rId11"/>
      <w:headerReference w:type="default" r:id="rId12"/>
      <w:footerReference w:type="default" r:id="rId13"/>
      <w:headerReference w:type="first" r:id="rId14"/>
      <w:footerReference w:type="first" r:id="rId15"/>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5B21" w:rsidRDefault="008D5B21" w:rsidP="00333841">
      <w:r>
        <w:separator/>
      </w:r>
    </w:p>
  </w:endnote>
  <w:endnote w:type="continuationSeparator" w:id="0">
    <w:p w:rsidR="008D5B21" w:rsidRDefault="008D5B21"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811947741"/>
      <w:docPartObj>
        <w:docPartGallery w:val="Page Numbers (Bottom of Page)"/>
        <w:docPartUnique/>
      </w:docPartObj>
    </w:sdtPr>
    <w:sdtContent>
      <w:sdt>
        <w:sdtPr>
          <w:rPr>
            <w:rFonts w:ascii="Palatino Linotype" w:hAnsi="Palatino Linotype"/>
            <w:sz w:val="28"/>
          </w:rPr>
          <w:id w:val="136468069"/>
          <w:docPartObj>
            <w:docPartGallery w:val="Page Numbers (Top of Page)"/>
            <w:docPartUnique/>
          </w:docPartObj>
        </w:sdtPr>
        <w:sdtContent>
          <w:p w:rsidR="008D5B21" w:rsidRPr="00883450" w:rsidRDefault="008D5B2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113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113</w:t>
            </w:r>
            <w:r w:rsidRPr="00883450">
              <w:rPr>
                <w:rFonts w:ascii="Palatino Linotype" w:hAnsi="Palatino Linotype"/>
                <w:b/>
                <w:bCs/>
                <w:sz w:val="22"/>
                <w:szCs w:val="20"/>
              </w:rPr>
              <w:fldChar w:fldCharType="end"/>
            </w:r>
          </w:p>
        </w:sdtContent>
      </w:sdt>
    </w:sdtContent>
  </w:sdt>
  <w:p w:rsidR="008D5B21" w:rsidRDefault="008D5B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5B21" w:rsidRPr="00883450" w:rsidRDefault="008D5B21"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10041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100412">
      <w:rPr>
        <w:rFonts w:ascii="Palatino Linotype" w:hAnsi="Palatino Linotype"/>
        <w:noProof/>
        <w:sz w:val="22"/>
        <w:szCs w:val="22"/>
        <w:lang w:val="es-ES"/>
      </w:rPr>
      <w:t>112</w:t>
    </w:r>
    <w:r w:rsidRPr="00883450">
      <w:rPr>
        <w:rFonts w:ascii="Palatino Linotype" w:hAnsi="Palatino Linotype"/>
        <w:sz w:val="22"/>
        <w:szCs w:val="22"/>
      </w:rPr>
      <w:fldChar w:fldCharType="end"/>
    </w:r>
  </w:p>
  <w:p w:rsidR="008D5B21" w:rsidRPr="00883450" w:rsidRDefault="008D5B2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5B21" w:rsidRDefault="008D5B21" w:rsidP="00333841">
      <w:r>
        <w:separator/>
      </w:r>
    </w:p>
  </w:footnote>
  <w:footnote w:type="continuationSeparator" w:id="0">
    <w:p w:rsidR="008D5B21" w:rsidRDefault="008D5B21" w:rsidP="00333841">
      <w:r>
        <w:continuationSeparator/>
      </w:r>
    </w:p>
  </w:footnote>
  <w:footnote w:id="1">
    <w:p w:rsidR="008D5B21" w:rsidRPr="009375E0" w:rsidRDefault="008D5B21" w:rsidP="00855DA2">
      <w:pPr>
        <w:pStyle w:val="Textonotapie"/>
        <w:rPr>
          <w:rFonts w:ascii="Palatino Linotype" w:hAnsi="Palatino Linotype"/>
        </w:rPr>
      </w:pPr>
      <w:r w:rsidRPr="009375E0">
        <w:rPr>
          <w:rStyle w:val="Refdenotaalpie"/>
          <w:rFonts w:ascii="Palatino Linotype" w:hAnsi="Palatino Linotype"/>
        </w:rPr>
        <w:footnoteRef/>
      </w:r>
      <w:r w:rsidRPr="009375E0">
        <w:rPr>
          <w:rFonts w:ascii="Palatino Linotype" w:hAnsi="Palatino Linotype"/>
        </w:rPr>
        <w:t xml:space="preserve"> Díaz, Elías, Estado de Derecho y Democracía, Universidad Autonóma de Madrid. </w:t>
      </w:r>
    </w:p>
  </w:footnote>
  <w:footnote w:id="2">
    <w:p w:rsidR="008D5B21" w:rsidRPr="00321071" w:rsidRDefault="008D5B21" w:rsidP="00855DA2">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8D5B21" w:rsidRPr="008A6281" w:rsidRDefault="008D5B21" w:rsidP="00855DA2">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8D5B21" w:rsidRPr="00E4540D" w:rsidRDefault="008D5B21" w:rsidP="00855DA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rsidR="008D5B21" w:rsidRPr="00E4540D" w:rsidRDefault="008D5B21" w:rsidP="00855DA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rsidR="008D5B21" w:rsidRPr="00E4540D" w:rsidRDefault="008D5B21" w:rsidP="00855DA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rsidR="008D5B21" w:rsidRPr="00E4540D" w:rsidRDefault="008D5B21" w:rsidP="00855DA2">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8D5B21" w:rsidRPr="00E4540D" w:rsidRDefault="008D5B21" w:rsidP="00855DA2">
      <w:pPr>
        <w:pStyle w:val="Textonotapie"/>
        <w:jc w:val="both"/>
        <w:rPr>
          <w:rFonts w:ascii="Palatino Linotype" w:hAnsi="Palatino Linotype"/>
          <w:sz w:val="21"/>
          <w:szCs w:val="21"/>
          <w:lang w:val="es-ES"/>
        </w:rPr>
      </w:pPr>
      <w:r w:rsidRPr="00F91DB5">
        <w:rPr>
          <w:rStyle w:val="Refdenotaalpie"/>
          <w:rFonts w:ascii="Palatino Linotype" w:hAnsi="Palatino Linotype"/>
          <w:sz w:val="21"/>
          <w:szCs w:val="21"/>
        </w:rPr>
        <w:footnoteRef/>
      </w:r>
      <w:r w:rsidRPr="00F91DB5">
        <w:rPr>
          <w:rFonts w:ascii="Palatino Linotype" w:hAnsi="Palatino Linotype"/>
          <w:sz w:val="21"/>
          <w:szCs w:val="21"/>
        </w:rPr>
        <w:t xml:space="preserve"> Comentario al artículo 178 de la Ley General de Transparencia Cometada, página 503, publiada por el Inai, visible en </w:t>
      </w:r>
      <w:hyperlink r:id="rId2" w:history="1">
        <w:r w:rsidRPr="00F91DB5">
          <w:rPr>
            <w:rStyle w:val="Hipervnculo"/>
            <w:rFonts w:ascii="Palatino Linotype" w:hAnsi="Palatino Linotype"/>
            <w:sz w:val="21"/>
            <w:szCs w:val="21"/>
          </w:rPr>
          <w:t>https://inai.janium.net/janium/Documentos/CT5.pdf</w:t>
        </w:r>
      </w:hyperlink>
    </w:p>
  </w:footnote>
  <w:footnote w:id="9">
    <w:p w:rsidR="008D5B21" w:rsidRPr="00E4540D" w:rsidRDefault="008D5B21" w:rsidP="00855DA2">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8D5B21" w:rsidRPr="00E4540D" w:rsidRDefault="008D5B21" w:rsidP="00855DA2">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8D5B21" w:rsidRPr="006433F3" w:rsidRDefault="008D5B21" w:rsidP="00A625A6">
      <w:pPr>
        <w:pStyle w:val="Textonotapie"/>
        <w:rPr>
          <w:lang w:val="es-ES"/>
        </w:rPr>
      </w:pPr>
      <w:r>
        <w:rPr>
          <w:rStyle w:val="Refdenotaalpie"/>
        </w:rPr>
        <w:footnoteRef/>
      </w:r>
      <w:r>
        <w:t xml:space="preserve"> </w:t>
      </w:r>
      <w:r>
        <w:rPr>
          <w:lang w:val="es-ES"/>
        </w:rPr>
        <w:t xml:space="preserve">Visible en </w:t>
      </w:r>
      <w:hyperlink r:id="rId3" w:history="1">
        <w:r w:rsidRPr="0095381E">
          <w:rPr>
            <w:rStyle w:val="Hipervnculo"/>
            <w:lang w:val="es-ES"/>
          </w:rPr>
          <w:t>https://www.scjn.gob.mx/sites/default/files/listas/documento_dos/2018-11/AR%20654-2018.pdf</w:t>
        </w:r>
      </w:hyperlink>
      <w:r>
        <w:rPr>
          <w:lang w:val="es-ES"/>
        </w:rPr>
        <w:t xml:space="preserve"> </w:t>
      </w:r>
    </w:p>
  </w:footnote>
  <w:footnote w:id="12">
    <w:p w:rsidR="008D5B21" w:rsidRPr="008A6281" w:rsidRDefault="008D5B21" w:rsidP="00855DA2">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8D5B21" w:rsidRPr="002A6BC5" w:rsidRDefault="008D5B21" w:rsidP="00855DA2">
      <w:pPr>
        <w:pStyle w:val="Textonotapie"/>
        <w:rPr>
          <w:lang w:val="es-ES"/>
        </w:rPr>
      </w:pPr>
    </w:p>
  </w:footnote>
  <w:footnote w:id="13">
    <w:p w:rsidR="008D5B21" w:rsidRDefault="008D5B21" w:rsidP="00855DA2">
      <w:r>
        <w:rPr>
          <w:rStyle w:val="Refdenotaalpie"/>
        </w:rPr>
        <w:footnoteRef/>
      </w:r>
      <w:r>
        <w:t xml:space="preserve"> Jursiprudencia  2a./J. 38/2002, Segunda Sala, Novena Época, Semanario Judicial de la Federación y su Gaceta Tomo XV, Mayo de 2002, Página: 175.</w:t>
      </w:r>
    </w:p>
    <w:p w:rsidR="008D5B21" w:rsidRDefault="008D5B21" w:rsidP="00855DA2">
      <w:pPr>
        <w:spacing w:line="360" w:lineRule="auto"/>
        <w:jc w:val="both"/>
        <w:rPr>
          <w:rFonts w:ascii="Palatino Linotype" w:hAnsi="Palatino Linotype"/>
          <w:highlight w:val="yellow"/>
          <w:shd w:val="clear" w:color="auto" w:fill="FFFFFF"/>
        </w:rPr>
      </w:pPr>
    </w:p>
    <w:p w:rsidR="008D5B21" w:rsidRPr="00EF61D3" w:rsidRDefault="008D5B21" w:rsidP="00855DA2">
      <w:pPr>
        <w:pStyle w:val="Textonotapie"/>
      </w:pPr>
    </w:p>
  </w:footnote>
  <w:footnote w:id="14">
    <w:p w:rsidR="008D5B21" w:rsidRDefault="008D5B21" w:rsidP="00855DA2">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8D5B21" w:rsidRDefault="008D5B21" w:rsidP="00855DA2">
      <w:pPr>
        <w:pStyle w:val="Prrafodelista"/>
        <w:shd w:val="clear" w:color="auto" w:fill="FFFFFF"/>
        <w:tabs>
          <w:tab w:val="left" w:pos="0"/>
        </w:tabs>
        <w:spacing w:before="240" w:after="150" w:line="360" w:lineRule="auto"/>
        <w:ind w:left="180" w:right="49"/>
        <w:jc w:val="both"/>
      </w:pPr>
    </w:p>
    <w:p w:rsidR="008D5B21" w:rsidRPr="00D1664E" w:rsidRDefault="008D5B21" w:rsidP="00855DA2">
      <w:pPr>
        <w:pStyle w:val="Textonotapie"/>
        <w:rPr>
          <w:lang w:val="es-US"/>
        </w:rPr>
      </w:pPr>
    </w:p>
  </w:footnote>
  <w:footnote w:id="15">
    <w:p w:rsidR="008D5B21" w:rsidRPr="008A6281" w:rsidRDefault="008D5B21" w:rsidP="00855DA2">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6">
    <w:p w:rsidR="008D5B21" w:rsidRPr="008A6281" w:rsidRDefault="008D5B21" w:rsidP="00855DA2">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8D5B21" w:rsidRPr="006B380E" w:rsidRDefault="008D5B21" w:rsidP="00855DA2">
      <w:pPr>
        <w:pStyle w:val="Textonotapie"/>
      </w:pPr>
    </w:p>
  </w:footnote>
  <w:footnote w:id="17">
    <w:p w:rsidR="008D5B21" w:rsidRPr="008A6281" w:rsidRDefault="008D5B21" w:rsidP="00855DA2">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Infoem, visible en </w:t>
      </w:r>
      <w:hyperlink r:id="rId4" w:history="1">
        <w:r w:rsidRPr="008A6281">
          <w:rPr>
            <w:rStyle w:val="Hipervnculo"/>
            <w:rFonts w:ascii="Palatino Linotype" w:hAnsi="Palatino Linotype"/>
            <w:sz w:val="18"/>
            <w:szCs w:val="18"/>
            <w:lang w:val="es-ES"/>
          </w:rPr>
          <w:t>https://www.infoem.org.mx/est_/index.php</w:t>
        </w:r>
      </w:hyperlink>
    </w:p>
  </w:footnote>
  <w:footnote w:id="18">
    <w:p w:rsidR="008D5B21" w:rsidRPr="009020DD" w:rsidRDefault="008D5B21"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D5B21" w:rsidRPr="009020DD" w:rsidRDefault="008D5B21"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D5B21" w:rsidRPr="009020DD" w:rsidRDefault="008D5B21"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9">
    <w:p w:rsidR="008D5B21" w:rsidRPr="007F43A5" w:rsidRDefault="008D5B21"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20">
    <w:p w:rsidR="008D5B21" w:rsidRPr="0037004E" w:rsidRDefault="008D5B21"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8D5B21" w:rsidRDefault="008D5B21" w:rsidP="00C80CF8">
      <w:pPr>
        <w:pStyle w:val="Textonotapie"/>
      </w:pPr>
    </w:p>
  </w:footnote>
  <w:footnote w:id="21">
    <w:p w:rsidR="008D5B21" w:rsidRDefault="008D5B21" w:rsidP="00C80CF8">
      <w:pPr>
        <w:pStyle w:val="Textonotapie"/>
        <w:jc w:val="both"/>
      </w:pPr>
      <w:r>
        <w:rPr>
          <w:rStyle w:val="Refdenotaalpie"/>
        </w:rPr>
        <w:footnoteRef/>
      </w:r>
      <w:r>
        <w:t xml:space="preserve"> Artículo 3. Para los efectos de la presente Ley se entenderá por:</w:t>
      </w:r>
    </w:p>
    <w:p w:rsidR="008D5B21" w:rsidRDefault="008D5B21" w:rsidP="00C80CF8">
      <w:pPr>
        <w:pStyle w:val="Textonotapie"/>
        <w:jc w:val="both"/>
      </w:pPr>
      <w:r>
        <w:t xml:space="preserve"> (…)</w:t>
      </w:r>
    </w:p>
    <w:p w:rsidR="008D5B21" w:rsidRDefault="008D5B21"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2">
    <w:p w:rsidR="008D5B21" w:rsidRDefault="008D5B21"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rsidR="008D5B21" w:rsidRDefault="008D5B21"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8D5B21" w:rsidRDefault="008D5B21"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8D5B21" w:rsidRDefault="008D5B21" w:rsidP="00C80CF8">
      <w:pPr>
        <w:autoSpaceDE w:val="0"/>
        <w:autoSpaceDN w:val="0"/>
        <w:adjustRightInd w:val="0"/>
        <w:jc w:val="both"/>
      </w:pPr>
    </w:p>
  </w:footnote>
  <w:footnote w:id="23">
    <w:p w:rsidR="008D5B21" w:rsidRDefault="008D5B21"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5B21" w:rsidRDefault="008D5B2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D5B21" w:rsidRPr="00EF13C1" w:rsidTr="00333841">
      <w:trPr>
        <w:trHeight w:val="138"/>
        <w:jc w:val="right"/>
      </w:trPr>
      <w:tc>
        <w:tcPr>
          <w:tcW w:w="2552" w:type="dxa"/>
          <w:vAlign w:val="center"/>
        </w:tcPr>
        <w:p w:rsidR="008D5B21" w:rsidRPr="00EF13C1" w:rsidRDefault="008D5B21"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D5B21" w:rsidRPr="003516BD" w:rsidRDefault="008D5B21" w:rsidP="00376FB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03183</w:t>
          </w:r>
          <w:r w:rsidRPr="00D275B7">
            <w:rPr>
              <w:rFonts w:ascii="Palatino Linotype" w:hAnsi="Palatino Linotype" w:cs="Arial"/>
              <w:b/>
              <w:bCs/>
              <w:sz w:val="22"/>
              <w:szCs w:val="22"/>
              <w:lang w:eastAsia="es-MX"/>
            </w:rPr>
            <w:t>/INFOEM/IP/RR/2020</w:t>
          </w:r>
        </w:p>
      </w:tc>
    </w:tr>
    <w:tr w:rsidR="008D5B21" w:rsidRPr="00EF13C1" w:rsidTr="00333841">
      <w:trPr>
        <w:trHeight w:val="321"/>
        <w:jc w:val="right"/>
      </w:trPr>
      <w:tc>
        <w:tcPr>
          <w:tcW w:w="2552" w:type="dxa"/>
          <w:vAlign w:val="center"/>
        </w:tcPr>
        <w:p w:rsidR="008D5B21" w:rsidRPr="00EF13C1" w:rsidRDefault="008D5B21"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D5B21" w:rsidRPr="00EF13C1" w:rsidRDefault="008D5B21"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8D5B21" w:rsidRPr="00EF13C1" w:rsidTr="00333841">
      <w:trPr>
        <w:trHeight w:val="321"/>
        <w:jc w:val="right"/>
      </w:trPr>
      <w:tc>
        <w:tcPr>
          <w:tcW w:w="2552" w:type="dxa"/>
          <w:vAlign w:val="center"/>
        </w:tcPr>
        <w:p w:rsidR="008D5B21" w:rsidRPr="00EF13C1" w:rsidRDefault="008D5B21"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D5B21" w:rsidRPr="00EF13C1" w:rsidRDefault="008D5B21"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D5B21" w:rsidRDefault="008D5B2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15pt;margin-top:-120.4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D5B21" w:rsidRDefault="008D5B21"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D5B21" w:rsidRPr="00EF13C1" w:rsidTr="00333841">
      <w:trPr>
        <w:trHeight w:val="138"/>
        <w:jc w:val="right"/>
      </w:trPr>
      <w:tc>
        <w:tcPr>
          <w:tcW w:w="2552" w:type="dxa"/>
          <w:vAlign w:val="center"/>
        </w:tcPr>
        <w:p w:rsidR="008D5B21" w:rsidRPr="00EF13C1" w:rsidRDefault="008D5B21"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D5B21" w:rsidRPr="003516BD" w:rsidRDefault="008D5B21" w:rsidP="00376FB6">
          <w:pPr>
            <w:pStyle w:val="Encabezado"/>
            <w:rPr>
              <w:rFonts w:ascii="Palatino Linotype" w:hAnsi="Palatino Linotype" w:cs="Arial"/>
              <w:b/>
              <w:bCs/>
              <w:sz w:val="22"/>
              <w:szCs w:val="22"/>
              <w:lang w:eastAsia="es-MX"/>
            </w:rPr>
          </w:pPr>
          <w:r w:rsidRPr="00D275B7">
            <w:rPr>
              <w:rFonts w:ascii="Palatino Linotype" w:hAnsi="Palatino Linotype" w:cs="Arial"/>
              <w:b/>
              <w:bCs/>
              <w:sz w:val="22"/>
              <w:szCs w:val="22"/>
              <w:lang w:eastAsia="es-MX"/>
            </w:rPr>
            <w:t>0</w:t>
          </w:r>
          <w:r>
            <w:rPr>
              <w:rFonts w:ascii="Palatino Linotype" w:hAnsi="Palatino Linotype" w:cs="Arial"/>
              <w:b/>
              <w:bCs/>
              <w:sz w:val="22"/>
              <w:szCs w:val="22"/>
              <w:lang w:eastAsia="es-MX"/>
            </w:rPr>
            <w:t>3183</w:t>
          </w:r>
          <w:r w:rsidRPr="00D275B7">
            <w:rPr>
              <w:rFonts w:ascii="Palatino Linotype" w:hAnsi="Palatino Linotype" w:cs="Arial"/>
              <w:b/>
              <w:bCs/>
              <w:sz w:val="22"/>
              <w:szCs w:val="22"/>
              <w:lang w:eastAsia="es-MX"/>
            </w:rPr>
            <w:t>/INFOEM/IP/RR/2020</w:t>
          </w:r>
        </w:p>
      </w:tc>
    </w:tr>
    <w:tr w:rsidR="008D5B21" w:rsidRPr="00EF13C1" w:rsidTr="00333841">
      <w:trPr>
        <w:trHeight w:val="233"/>
        <w:jc w:val="right"/>
      </w:trPr>
      <w:tc>
        <w:tcPr>
          <w:tcW w:w="2552" w:type="dxa"/>
          <w:vAlign w:val="center"/>
        </w:tcPr>
        <w:p w:rsidR="008D5B21" w:rsidRPr="00EF13C1" w:rsidRDefault="008D5B21"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8D5B21" w:rsidRPr="00EF13C1" w:rsidRDefault="008D5B21" w:rsidP="00E55808">
          <w:pPr>
            <w:pStyle w:val="Encabezado"/>
            <w:rPr>
              <w:rFonts w:ascii="Palatino Linotype" w:hAnsi="Palatino Linotype"/>
              <w:b/>
              <w:sz w:val="22"/>
              <w:szCs w:val="22"/>
            </w:rPr>
          </w:pPr>
          <w:r w:rsidRPr="008D5B21">
            <w:rPr>
              <w:rFonts w:ascii="Palatino Linotype" w:hAnsi="Palatino Linotype"/>
              <w:b/>
              <w:sz w:val="22"/>
              <w:szCs w:val="22"/>
              <w:highlight w:val="black"/>
            </w:rPr>
            <w:t>---------------------------------------</w:t>
          </w:r>
          <w:r>
            <w:rPr>
              <w:rFonts w:ascii="Palatino Linotype" w:hAnsi="Palatino Linotype"/>
              <w:b/>
              <w:sz w:val="22"/>
              <w:szCs w:val="22"/>
            </w:rPr>
            <w:tab/>
          </w:r>
        </w:p>
      </w:tc>
    </w:tr>
    <w:tr w:rsidR="008D5B21" w:rsidRPr="00EF13C1" w:rsidTr="00333841">
      <w:trPr>
        <w:trHeight w:val="321"/>
        <w:jc w:val="right"/>
      </w:trPr>
      <w:tc>
        <w:tcPr>
          <w:tcW w:w="2552" w:type="dxa"/>
          <w:vAlign w:val="center"/>
        </w:tcPr>
        <w:p w:rsidR="008D5B21" w:rsidRPr="00EF13C1" w:rsidRDefault="008D5B21"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D5B21" w:rsidRPr="00EF13C1" w:rsidRDefault="008D5B21"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8D5B21" w:rsidRPr="00EF13C1" w:rsidTr="00333841">
      <w:trPr>
        <w:trHeight w:val="321"/>
        <w:jc w:val="right"/>
      </w:trPr>
      <w:tc>
        <w:tcPr>
          <w:tcW w:w="2552" w:type="dxa"/>
          <w:vAlign w:val="center"/>
        </w:tcPr>
        <w:p w:rsidR="008D5B21" w:rsidRPr="00EF13C1" w:rsidRDefault="008D5B21"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D5B21" w:rsidRPr="00EF13C1" w:rsidRDefault="008D5B21"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D5B21" w:rsidRDefault="008D5B21"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1D5C"/>
    <w:multiLevelType w:val="hybridMultilevel"/>
    <w:tmpl w:val="25E667A2"/>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435A2F"/>
    <w:multiLevelType w:val="hybridMultilevel"/>
    <w:tmpl w:val="08E2022A"/>
    <w:lvl w:ilvl="0" w:tplc="83B8BA06">
      <w:start w:val="6"/>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C76FB"/>
    <w:multiLevelType w:val="hybridMultilevel"/>
    <w:tmpl w:val="7B26E8F2"/>
    <w:lvl w:ilvl="0" w:tplc="8FEE1376">
      <w:start w:val="8"/>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AB79CC"/>
    <w:multiLevelType w:val="hybridMultilevel"/>
    <w:tmpl w:val="CE0079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963F6"/>
    <w:multiLevelType w:val="hybridMultilevel"/>
    <w:tmpl w:val="29E24F96"/>
    <w:lvl w:ilvl="0" w:tplc="B00ADF0A">
      <w:start w:val="7"/>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9" w15:restartNumberingAfterBreak="0">
    <w:nsid w:val="2229498E"/>
    <w:multiLevelType w:val="hybridMultilevel"/>
    <w:tmpl w:val="445A90D8"/>
    <w:lvl w:ilvl="0" w:tplc="30BE43B0">
      <w:start w:val="6"/>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F360FD"/>
    <w:multiLevelType w:val="hybridMultilevel"/>
    <w:tmpl w:val="0FEC2BDA"/>
    <w:lvl w:ilvl="0" w:tplc="41FCF15E">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B95895"/>
    <w:multiLevelType w:val="hybridMultilevel"/>
    <w:tmpl w:val="36D6173A"/>
    <w:lvl w:ilvl="0" w:tplc="5EE29310">
      <w:start w:val="5"/>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ED1A8A"/>
    <w:multiLevelType w:val="hybridMultilevel"/>
    <w:tmpl w:val="80A0E9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082994"/>
    <w:multiLevelType w:val="hybridMultilevel"/>
    <w:tmpl w:val="9DF42F4C"/>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857265"/>
    <w:multiLevelType w:val="hybridMultilevel"/>
    <w:tmpl w:val="BAF0F80A"/>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5A0351"/>
    <w:multiLevelType w:val="hybridMultilevel"/>
    <w:tmpl w:val="ED0801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F53EAA"/>
    <w:multiLevelType w:val="hybridMultilevel"/>
    <w:tmpl w:val="C26E66F0"/>
    <w:lvl w:ilvl="0" w:tplc="085C20EE">
      <w:start w:val="3"/>
      <w:numFmt w:val="upperRoman"/>
      <w:lvlText w:val="%1."/>
      <w:lvlJc w:val="left"/>
      <w:pPr>
        <w:ind w:left="1800" w:hanging="720"/>
      </w:pPr>
      <w:rPr>
        <w:rFonts w:hint="default"/>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9" w15:restartNumberingAfterBreak="0">
    <w:nsid w:val="575F2A78"/>
    <w:multiLevelType w:val="hybridMultilevel"/>
    <w:tmpl w:val="FF76FD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BE1014"/>
    <w:multiLevelType w:val="hybridMultilevel"/>
    <w:tmpl w:val="E6A878D8"/>
    <w:lvl w:ilvl="0" w:tplc="F47820E8">
      <w:start w:val="5"/>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3732C3"/>
    <w:multiLevelType w:val="hybridMultilevel"/>
    <w:tmpl w:val="5D68DD3E"/>
    <w:lvl w:ilvl="0" w:tplc="FD902F0E">
      <w:start w:val="9"/>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CB3792"/>
    <w:multiLevelType w:val="hybridMultilevel"/>
    <w:tmpl w:val="158600AC"/>
    <w:lvl w:ilvl="0" w:tplc="FD52E272">
      <w:start w:val="4"/>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267127"/>
    <w:multiLevelType w:val="hybridMultilevel"/>
    <w:tmpl w:val="69F4531E"/>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604EDB"/>
    <w:multiLevelType w:val="hybridMultilevel"/>
    <w:tmpl w:val="C80273AE"/>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D550FB"/>
    <w:multiLevelType w:val="hybridMultilevel"/>
    <w:tmpl w:val="F71441CE"/>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BD4D20"/>
    <w:multiLevelType w:val="hybridMultilevel"/>
    <w:tmpl w:val="1FE878D2"/>
    <w:lvl w:ilvl="0" w:tplc="E86282BC">
      <w:start w:val="7"/>
      <w:numFmt w:val="upperRoman"/>
      <w:lvlText w:val="%1."/>
      <w:lvlJc w:val="righ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44C5C15"/>
    <w:multiLevelType w:val="hybridMultilevel"/>
    <w:tmpl w:val="B0567E5C"/>
    <w:lvl w:ilvl="0" w:tplc="52423C40">
      <w:start w:val="4"/>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CB75D35"/>
    <w:multiLevelType w:val="hybridMultilevel"/>
    <w:tmpl w:val="10AA8EC6"/>
    <w:lvl w:ilvl="0" w:tplc="68F4CCD0">
      <w:start w:val="8"/>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BE3CB7"/>
    <w:multiLevelType w:val="hybridMultilevel"/>
    <w:tmpl w:val="019AC68C"/>
    <w:lvl w:ilvl="0" w:tplc="BB5C59FE">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D52202"/>
    <w:multiLevelType w:val="hybridMultilevel"/>
    <w:tmpl w:val="A532F55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1"/>
  </w:num>
  <w:num w:numId="2">
    <w:abstractNumId w:val="7"/>
  </w:num>
  <w:num w:numId="3">
    <w:abstractNumId w:val="4"/>
  </w:num>
  <w:num w:numId="4">
    <w:abstractNumId w:val="34"/>
  </w:num>
  <w:num w:numId="5">
    <w:abstractNumId w:val="8"/>
  </w:num>
  <w:num w:numId="6">
    <w:abstractNumId w:val="5"/>
  </w:num>
  <w:num w:numId="7">
    <w:abstractNumId w:val="28"/>
  </w:num>
  <w:num w:numId="8">
    <w:abstractNumId w:val="25"/>
  </w:num>
  <w:num w:numId="9">
    <w:abstractNumId w:val="14"/>
  </w:num>
  <w:num w:numId="10">
    <w:abstractNumId w:val="30"/>
  </w:num>
  <w:num w:numId="11">
    <w:abstractNumId w:val="19"/>
  </w:num>
  <w:num w:numId="12">
    <w:abstractNumId w:val="16"/>
  </w:num>
  <w:num w:numId="13">
    <w:abstractNumId w:val="32"/>
  </w:num>
  <w:num w:numId="14">
    <w:abstractNumId w:val="22"/>
  </w:num>
  <w:num w:numId="15">
    <w:abstractNumId w:val="12"/>
  </w:num>
  <w:num w:numId="16">
    <w:abstractNumId w:val="9"/>
  </w:num>
  <w:num w:numId="17">
    <w:abstractNumId w:val="27"/>
  </w:num>
  <w:num w:numId="18">
    <w:abstractNumId w:val="2"/>
  </w:num>
  <w:num w:numId="19">
    <w:abstractNumId w:val="18"/>
  </w:num>
  <w:num w:numId="20">
    <w:abstractNumId w:val="24"/>
  </w:num>
  <w:num w:numId="21">
    <w:abstractNumId w:val="3"/>
  </w:num>
  <w:num w:numId="22">
    <w:abstractNumId w:val="10"/>
  </w:num>
  <w:num w:numId="23">
    <w:abstractNumId w:val="33"/>
  </w:num>
  <w:num w:numId="24">
    <w:abstractNumId w:val="29"/>
  </w:num>
  <w:num w:numId="25">
    <w:abstractNumId w:val="17"/>
  </w:num>
  <w:num w:numId="26">
    <w:abstractNumId w:val="20"/>
  </w:num>
  <w:num w:numId="27">
    <w:abstractNumId w:val="15"/>
  </w:num>
  <w:num w:numId="28">
    <w:abstractNumId w:val="1"/>
  </w:num>
  <w:num w:numId="29">
    <w:abstractNumId w:val="26"/>
  </w:num>
  <w:num w:numId="30">
    <w:abstractNumId w:val="6"/>
  </w:num>
  <w:num w:numId="31">
    <w:abstractNumId w:val="0"/>
  </w:num>
  <w:num w:numId="32">
    <w:abstractNumId w:val="31"/>
  </w:num>
  <w:num w:numId="33">
    <w:abstractNumId w:val="23"/>
  </w:num>
  <w:num w:numId="34">
    <w:abstractNumId w:val="21"/>
  </w:num>
  <w:num w:numId="3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0542C"/>
    <w:rsid w:val="00012A1A"/>
    <w:rsid w:val="00016522"/>
    <w:rsid w:val="00023F8E"/>
    <w:rsid w:val="00025D6B"/>
    <w:rsid w:val="00032B94"/>
    <w:rsid w:val="00035535"/>
    <w:rsid w:val="00036017"/>
    <w:rsid w:val="00036937"/>
    <w:rsid w:val="00050F67"/>
    <w:rsid w:val="00051BE7"/>
    <w:rsid w:val="00055959"/>
    <w:rsid w:val="0006494A"/>
    <w:rsid w:val="00066D3D"/>
    <w:rsid w:val="00066DF4"/>
    <w:rsid w:val="00071F59"/>
    <w:rsid w:val="0007664D"/>
    <w:rsid w:val="000800E4"/>
    <w:rsid w:val="00081791"/>
    <w:rsid w:val="000826B8"/>
    <w:rsid w:val="0008342D"/>
    <w:rsid w:val="00090A44"/>
    <w:rsid w:val="00096050"/>
    <w:rsid w:val="00096D87"/>
    <w:rsid w:val="00097574"/>
    <w:rsid w:val="000A06B7"/>
    <w:rsid w:val="000B047C"/>
    <w:rsid w:val="000B19BE"/>
    <w:rsid w:val="000B31C1"/>
    <w:rsid w:val="000B5F28"/>
    <w:rsid w:val="000B74A5"/>
    <w:rsid w:val="000C0CF9"/>
    <w:rsid w:val="000C2BD5"/>
    <w:rsid w:val="000D6153"/>
    <w:rsid w:val="000E5971"/>
    <w:rsid w:val="000F1E3E"/>
    <w:rsid w:val="000F2932"/>
    <w:rsid w:val="00100412"/>
    <w:rsid w:val="00100DEC"/>
    <w:rsid w:val="00103C16"/>
    <w:rsid w:val="0010717C"/>
    <w:rsid w:val="00107219"/>
    <w:rsid w:val="00107A3B"/>
    <w:rsid w:val="00120282"/>
    <w:rsid w:val="00121E89"/>
    <w:rsid w:val="00122AF0"/>
    <w:rsid w:val="00131B3D"/>
    <w:rsid w:val="00132A01"/>
    <w:rsid w:val="00136BAF"/>
    <w:rsid w:val="00141C2D"/>
    <w:rsid w:val="001426D3"/>
    <w:rsid w:val="00156474"/>
    <w:rsid w:val="001624E5"/>
    <w:rsid w:val="00163F23"/>
    <w:rsid w:val="0016568E"/>
    <w:rsid w:val="00165C00"/>
    <w:rsid w:val="001731CC"/>
    <w:rsid w:val="00176733"/>
    <w:rsid w:val="001842B0"/>
    <w:rsid w:val="00184B7A"/>
    <w:rsid w:val="00186F84"/>
    <w:rsid w:val="001915A6"/>
    <w:rsid w:val="001933D7"/>
    <w:rsid w:val="00193907"/>
    <w:rsid w:val="00194236"/>
    <w:rsid w:val="001943B4"/>
    <w:rsid w:val="00196336"/>
    <w:rsid w:val="00196D40"/>
    <w:rsid w:val="00197D25"/>
    <w:rsid w:val="001A05D5"/>
    <w:rsid w:val="001A5313"/>
    <w:rsid w:val="001C2C27"/>
    <w:rsid w:val="001D43E6"/>
    <w:rsid w:val="001D575C"/>
    <w:rsid w:val="001E023E"/>
    <w:rsid w:val="001E1BCA"/>
    <w:rsid w:val="001E4363"/>
    <w:rsid w:val="002002CE"/>
    <w:rsid w:val="002031B0"/>
    <w:rsid w:val="00204B6B"/>
    <w:rsid w:val="0021609A"/>
    <w:rsid w:val="00223BF3"/>
    <w:rsid w:val="00230700"/>
    <w:rsid w:val="00230F20"/>
    <w:rsid w:val="00234160"/>
    <w:rsid w:val="00241D36"/>
    <w:rsid w:val="002423EF"/>
    <w:rsid w:val="00251BB4"/>
    <w:rsid w:val="00252343"/>
    <w:rsid w:val="00254CA1"/>
    <w:rsid w:val="00262CE8"/>
    <w:rsid w:val="002713D1"/>
    <w:rsid w:val="002730CC"/>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5ED"/>
    <w:rsid w:val="002D398B"/>
    <w:rsid w:val="002D3DBE"/>
    <w:rsid w:val="002E2BCF"/>
    <w:rsid w:val="002E3B9B"/>
    <w:rsid w:val="002E4103"/>
    <w:rsid w:val="002E5576"/>
    <w:rsid w:val="002E6038"/>
    <w:rsid w:val="002F383D"/>
    <w:rsid w:val="002F6329"/>
    <w:rsid w:val="002F6822"/>
    <w:rsid w:val="00300EBF"/>
    <w:rsid w:val="00301C09"/>
    <w:rsid w:val="00302404"/>
    <w:rsid w:val="003029AF"/>
    <w:rsid w:val="0030712E"/>
    <w:rsid w:val="00310EC6"/>
    <w:rsid w:val="00313A13"/>
    <w:rsid w:val="0031740D"/>
    <w:rsid w:val="00317BFE"/>
    <w:rsid w:val="00321071"/>
    <w:rsid w:val="0032234E"/>
    <w:rsid w:val="00322528"/>
    <w:rsid w:val="00323580"/>
    <w:rsid w:val="00333841"/>
    <w:rsid w:val="00333912"/>
    <w:rsid w:val="003345CA"/>
    <w:rsid w:val="00334AC9"/>
    <w:rsid w:val="00335E91"/>
    <w:rsid w:val="003378A4"/>
    <w:rsid w:val="003402B6"/>
    <w:rsid w:val="00340E2B"/>
    <w:rsid w:val="00342F2D"/>
    <w:rsid w:val="003431BE"/>
    <w:rsid w:val="003516BD"/>
    <w:rsid w:val="003517D3"/>
    <w:rsid w:val="00354495"/>
    <w:rsid w:val="0035791F"/>
    <w:rsid w:val="003679F4"/>
    <w:rsid w:val="00372A84"/>
    <w:rsid w:val="00375338"/>
    <w:rsid w:val="00376174"/>
    <w:rsid w:val="00376FB6"/>
    <w:rsid w:val="0038397A"/>
    <w:rsid w:val="003A399E"/>
    <w:rsid w:val="003A64D9"/>
    <w:rsid w:val="003B62A4"/>
    <w:rsid w:val="003D2966"/>
    <w:rsid w:val="003D5CD0"/>
    <w:rsid w:val="003F05B8"/>
    <w:rsid w:val="003F1869"/>
    <w:rsid w:val="003F2DAD"/>
    <w:rsid w:val="003F7C72"/>
    <w:rsid w:val="00400279"/>
    <w:rsid w:val="00400BCB"/>
    <w:rsid w:val="00402C7B"/>
    <w:rsid w:val="00410FDF"/>
    <w:rsid w:val="004257F8"/>
    <w:rsid w:val="004336C2"/>
    <w:rsid w:val="0043467F"/>
    <w:rsid w:val="004423BF"/>
    <w:rsid w:val="00450FF1"/>
    <w:rsid w:val="00453DAD"/>
    <w:rsid w:val="004547B4"/>
    <w:rsid w:val="00454BDC"/>
    <w:rsid w:val="004665DF"/>
    <w:rsid w:val="00485A6B"/>
    <w:rsid w:val="00490B74"/>
    <w:rsid w:val="00490EB5"/>
    <w:rsid w:val="004950BC"/>
    <w:rsid w:val="00495E1E"/>
    <w:rsid w:val="004A35BD"/>
    <w:rsid w:val="004B1520"/>
    <w:rsid w:val="004B30B9"/>
    <w:rsid w:val="004B79C8"/>
    <w:rsid w:val="004C01F4"/>
    <w:rsid w:val="004C04FE"/>
    <w:rsid w:val="004C0C9F"/>
    <w:rsid w:val="004C6F15"/>
    <w:rsid w:val="004D02CC"/>
    <w:rsid w:val="004D26C3"/>
    <w:rsid w:val="004D58D7"/>
    <w:rsid w:val="004E4B73"/>
    <w:rsid w:val="004F7B5A"/>
    <w:rsid w:val="0050539F"/>
    <w:rsid w:val="0051151D"/>
    <w:rsid w:val="00514270"/>
    <w:rsid w:val="0051508C"/>
    <w:rsid w:val="00517D96"/>
    <w:rsid w:val="005200C9"/>
    <w:rsid w:val="00523DFB"/>
    <w:rsid w:val="005254E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102C"/>
    <w:rsid w:val="005B2875"/>
    <w:rsid w:val="005B4E09"/>
    <w:rsid w:val="005B6F60"/>
    <w:rsid w:val="005C2C2E"/>
    <w:rsid w:val="005C74DF"/>
    <w:rsid w:val="005D0BAF"/>
    <w:rsid w:val="005E2858"/>
    <w:rsid w:val="005F1A4C"/>
    <w:rsid w:val="005F2BEB"/>
    <w:rsid w:val="005F5C65"/>
    <w:rsid w:val="00603E48"/>
    <w:rsid w:val="00603F29"/>
    <w:rsid w:val="00603FD7"/>
    <w:rsid w:val="0060713B"/>
    <w:rsid w:val="00611298"/>
    <w:rsid w:val="0061311C"/>
    <w:rsid w:val="00624CA8"/>
    <w:rsid w:val="00627D17"/>
    <w:rsid w:val="006317D7"/>
    <w:rsid w:val="00632255"/>
    <w:rsid w:val="00632B7A"/>
    <w:rsid w:val="0063729E"/>
    <w:rsid w:val="0066236C"/>
    <w:rsid w:val="00662AE7"/>
    <w:rsid w:val="00662B97"/>
    <w:rsid w:val="006647AF"/>
    <w:rsid w:val="006717FC"/>
    <w:rsid w:val="0067260A"/>
    <w:rsid w:val="0067389C"/>
    <w:rsid w:val="00675314"/>
    <w:rsid w:val="0067773A"/>
    <w:rsid w:val="0068544A"/>
    <w:rsid w:val="0068705C"/>
    <w:rsid w:val="0069276F"/>
    <w:rsid w:val="00694E1B"/>
    <w:rsid w:val="006A5921"/>
    <w:rsid w:val="006A5C83"/>
    <w:rsid w:val="006B18C6"/>
    <w:rsid w:val="006B700E"/>
    <w:rsid w:val="006C28A9"/>
    <w:rsid w:val="006C3017"/>
    <w:rsid w:val="006D12DF"/>
    <w:rsid w:val="006D2F8D"/>
    <w:rsid w:val="006D3B0E"/>
    <w:rsid w:val="006E6170"/>
    <w:rsid w:val="006E6CF0"/>
    <w:rsid w:val="006F079C"/>
    <w:rsid w:val="007031A5"/>
    <w:rsid w:val="00704C9B"/>
    <w:rsid w:val="007061D8"/>
    <w:rsid w:val="00711FE1"/>
    <w:rsid w:val="00723AA0"/>
    <w:rsid w:val="00741BC1"/>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B7906"/>
    <w:rsid w:val="007C5024"/>
    <w:rsid w:val="007C662D"/>
    <w:rsid w:val="007D3D0B"/>
    <w:rsid w:val="007D4DE0"/>
    <w:rsid w:val="007E61B1"/>
    <w:rsid w:val="007F4FAB"/>
    <w:rsid w:val="007F5E34"/>
    <w:rsid w:val="007F7113"/>
    <w:rsid w:val="00801536"/>
    <w:rsid w:val="0080305F"/>
    <w:rsid w:val="00812ADA"/>
    <w:rsid w:val="0082278A"/>
    <w:rsid w:val="00823712"/>
    <w:rsid w:val="00826542"/>
    <w:rsid w:val="008269C5"/>
    <w:rsid w:val="00831F4F"/>
    <w:rsid w:val="008516BF"/>
    <w:rsid w:val="00851D47"/>
    <w:rsid w:val="00855DA2"/>
    <w:rsid w:val="008626AC"/>
    <w:rsid w:val="00863F29"/>
    <w:rsid w:val="00864F17"/>
    <w:rsid w:val="008709BA"/>
    <w:rsid w:val="00872735"/>
    <w:rsid w:val="00873722"/>
    <w:rsid w:val="00874766"/>
    <w:rsid w:val="00885007"/>
    <w:rsid w:val="00895628"/>
    <w:rsid w:val="008A1A68"/>
    <w:rsid w:val="008A2F1C"/>
    <w:rsid w:val="008A6281"/>
    <w:rsid w:val="008A6E0E"/>
    <w:rsid w:val="008A6F85"/>
    <w:rsid w:val="008B26FF"/>
    <w:rsid w:val="008B7A75"/>
    <w:rsid w:val="008C0454"/>
    <w:rsid w:val="008C3233"/>
    <w:rsid w:val="008C45D2"/>
    <w:rsid w:val="008C75F6"/>
    <w:rsid w:val="008D5B21"/>
    <w:rsid w:val="008D6080"/>
    <w:rsid w:val="008D734F"/>
    <w:rsid w:val="008E1E4F"/>
    <w:rsid w:val="008F01C9"/>
    <w:rsid w:val="008F2A82"/>
    <w:rsid w:val="008F2D9C"/>
    <w:rsid w:val="008F4DCF"/>
    <w:rsid w:val="008F75A7"/>
    <w:rsid w:val="008F7ADB"/>
    <w:rsid w:val="0090360B"/>
    <w:rsid w:val="00915E47"/>
    <w:rsid w:val="0091736F"/>
    <w:rsid w:val="00923F45"/>
    <w:rsid w:val="009268CC"/>
    <w:rsid w:val="009269C9"/>
    <w:rsid w:val="00927AB8"/>
    <w:rsid w:val="00927E88"/>
    <w:rsid w:val="00930475"/>
    <w:rsid w:val="00940FF7"/>
    <w:rsid w:val="00950A09"/>
    <w:rsid w:val="00955416"/>
    <w:rsid w:val="009625F3"/>
    <w:rsid w:val="00963C8C"/>
    <w:rsid w:val="009678D6"/>
    <w:rsid w:val="00975752"/>
    <w:rsid w:val="00975DAA"/>
    <w:rsid w:val="00976E88"/>
    <w:rsid w:val="0098271F"/>
    <w:rsid w:val="00984E2B"/>
    <w:rsid w:val="0098564D"/>
    <w:rsid w:val="00986CD8"/>
    <w:rsid w:val="00994258"/>
    <w:rsid w:val="00994DEC"/>
    <w:rsid w:val="009B1A11"/>
    <w:rsid w:val="009B316E"/>
    <w:rsid w:val="009B6FBB"/>
    <w:rsid w:val="009C4F86"/>
    <w:rsid w:val="009C7185"/>
    <w:rsid w:val="009D2B84"/>
    <w:rsid w:val="009D5E62"/>
    <w:rsid w:val="009E4CDD"/>
    <w:rsid w:val="009E50CE"/>
    <w:rsid w:val="009F1A1E"/>
    <w:rsid w:val="009F1DE4"/>
    <w:rsid w:val="009F317E"/>
    <w:rsid w:val="00A13561"/>
    <w:rsid w:val="00A20C17"/>
    <w:rsid w:val="00A21054"/>
    <w:rsid w:val="00A26284"/>
    <w:rsid w:val="00A26DF7"/>
    <w:rsid w:val="00A359F5"/>
    <w:rsid w:val="00A37F8D"/>
    <w:rsid w:val="00A40B4F"/>
    <w:rsid w:val="00A46900"/>
    <w:rsid w:val="00A53E26"/>
    <w:rsid w:val="00A56D40"/>
    <w:rsid w:val="00A57583"/>
    <w:rsid w:val="00A57AFF"/>
    <w:rsid w:val="00A57FEC"/>
    <w:rsid w:val="00A625A6"/>
    <w:rsid w:val="00A744FC"/>
    <w:rsid w:val="00A8367F"/>
    <w:rsid w:val="00A90F1D"/>
    <w:rsid w:val="00A97E10"/>
    <w:rsid w:val="00AA0EFA"/>
    <w:rsid w:val="00AA43DE"/>
    <w:rsid w:val="00AB0C6C"/>
    <w:rsid w:val="00AB15A5"/>
    <w:rsid w:val="00AB4717"/>
    <w:rsid w:val="00AC3A3D"/>
    <w:rsid w:val="00AC3F01"/>
    <w:rsid w:val="00AC4A14"/>
    <w:rsid w:val="00AC5AE7"/>
    <w:rsid w:val="00AE05FB"/>
    <w:rsid w:val="00AE07C5"/>
    <w:rsid w:val="00AE7A5D"/>
    <w:rsid w:val="00AF44B1"/>
    <w:rsid w:val="00AF59DA"/>
    <w:rsid w:val="00AF7A12"/>
    <w:rsid w:val="00AF7AC3"/>
    <w:rsid w:val="00B01BA2"/>
    <w:rsid w:val="00B02CB8"/>
    <w:rsid w:val="00B06B9F"/>
    <w:rsid w:val="00B13923"/>
    <w:rsid w:val="00B16ABE"/>
    <w:rsid w:val="00B317F0"/>
    <w:rsid w:val="00B44BF0"/>
    <w:rsid w:val="00B44E20"/>
    <w:rsid w:val="00B4543F"/>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D4A5E"/>
    <w:rsid w:val="00BF1308"/>
    <w:rsid w:val="00BF7AF1"/>
    <w:rsid w:val="00C02384"/>
    <w:rsid w:val="00C07142"/>
    <w:rsid w:val="00C07B5F"/>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5FC5"/>
    <w:rsid w:val="00CA70E0"/>
    <w:rsid w:val="00CB11E8"/>
    <w:rsid w:val="00CB5BBB"/>
    <w:rsid w:val="00CB5FEF"/>
    <w:rsid w:val="00CC1170"/>
    <w:rsid w:val="00CD0C22"/>
    <w:rsid w:val="00CD3DDA"/>
    <w:rsid w:val="00CF0EA2"/>
    <w:rsid w:val="00D05AFA"/>
    <w:rsid w:val="00D1664E"/>
    <w:rsid w:val="00D20A4E"/>
    <w:rsid w:val="00D21192"/>
    <w:rsid w:val="00D275B7"/>
    <w:rsid w:val="00D32983"/>
    <w:rsid w:val="00D32E07"/>
    <w:rsid w:val="00D3521D"/>
    <w:rsid w:val="00D3649F"/>
    <w:rsid w:val="00D374F6"/>
    <w:rsid w:val="00D413DD"/>
    <w:rsid w:val="00D42643"/>
    <w:rsid w:val="00D4580A"/>
    <w:rsid w:val="00D50006"/>
    <w:rsid w:val="00D57373"/>
    <w:rsid w:val="00D601D5"/>
    <w:rsid w:val="00D62172"/>
    <w:rsid w:val="00D62829"/>
    <w:rsid w:val="00D62B67"/>
    <w:rsid w:val="00D62F34"/>
    <w:rsid w:val="00D64C61"/>
    <w:rsid w:val="00D67120"/>
    <w:rsid w:val="00D672AF"/>
    <w:rsid w:val="00D80F85"/>
    <w:rsid w:val="00D8790E"/>
    <w:rsid w:val="00D92A5E"/>
    <w:rsid w:val="00DC00F9"/>
    <w:rsid w:val="00DC1D62"/>
    <w:rsid w:val="00DC449C"/>
    <w:rsid w:val="00DC4848"/>
    <w:rsid w:val="00DC4AC6"/>
    <w:rsid w:val="00DC583B"/>
    <w:rsid w:val="00DC6011"/>
    <w:rsid w:val="00DC7220"/>
    <w:rsid w:val="00DC7FEF"/>
    <w:rsid w:val="00DD2879"/>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14C1"/>
    <w:rsid w:val="00E729C0"/>
    <w:rsid w:val="00E752DA"/>
    <w:rsid w:val="00E75DCF"/>
    <w:rsid w:val="00E90687"/>
    <w:rsid w:val="00E93ACA"/>
    <w:rsid w:val="00E945A5"/>
    <w:rsid w:val="00E95EC5"/>
    <w:rsid w:val="00E966A7"/>
    <w:rsid w:val="00EA0CD1"/>
    <w:rsid w:val="00EA2B68"/>
    <w:rsid w:val="00EA3107"/>
    <w:rsid w:val="00EC32CC"/>
    <w:rsid w:val="00EC334E"/>
    <w:rsid w:val="00ED1B0D"/>
    <w:rsid w:val="00ED1EBA"/>
    <w:rsid w:val="00ED2843"/>
    <w:rsid w:val="00ED7D43"/>
    <w:rsid w:val="00EE265F"/>
    <w:rsid w:val="00EE5AC9"/>
    <w:rsid w:val="00EE6363"/>
    <w:rsid w:val="00EF1AC5"/>
    <w:rsid w:val="00EF61D3"/>
    <w:rsid w:val="00F04200"/>
    <w:rsid w:val="00F04C5D"/>
    <w:rsid w:val="00F06531"/>
    <w:rsid w:val="00F1008C"/>
    <w:rsid w:val="00F15414"/>
    <w:rsid w:val="00F16595"/>
    <w:rsid w:val="00F17567"/>
    <w:rsid w:val="00F35C56"/>
    <w:rsid w:val="00F42E7F"/>
    <w:rsid w:val="00F43488"/>
    <w:rsid w:val="00F60B49"/>
    <w:rsid w:val="00F611C1"/>
    <w:rsid w:val="00F64AAE"/>
    <w:rsid w:val="00F6550C"/>
    <w:rsid w:val="00F665D0"/>
    <w:rsid w:val="00F73EC8"/>
    <w:rsid w:val="00F86957"/>
    <w:rsid w:val="00F9124A"/>
    <w:rsid w:val="00F91DB5"/>
    <w:rsid w:val="00F9561E"/>
    <w:rsid w:val="00FA6118"/>
    <w:rsid w:val="00FA7680"/>
    <w:rsid w:val="00FB2B9E"/>
    <w:rsid w:val="00FC008A"/>
    <w:rsid w:val="00FC27EC"/>
    <w:rsid w:val="00FC3EEB"/>
    <w:rsid w:val="00FC71CA"/>
    <w:rsid w:val="00FD2682"/>
    <w:rsid w:val="00FD2D9C"/>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171EF"/>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4950B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4950BC"/>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 w:type="character" w:customStyle="1" w:styleId="Ttulo4Car">
    <w:name w:val="Título 4 Car"/>
    <w:basedOn w:val="Fuentedeprrafopredeter"/>
    <w:link w:val="Ttulo4"/>
    <w:uiPriority w:val="9"/>
    <w:rsid w:val="004950BC"/>
    <w:rPr>
      <w:rFonts w:asciiTheme="majorHAnsi" w:eastAsiaTheme="majorEastAsia" w:hAnsiTheme="majorHAnsi" w:cstheme="majorBidi"/>
      <w:i/>
      <w:iCs/>
      <w:color w:val="2E74B5" w:themeColor="accent1" w:themeShade="BF"/>
      <w:sz w:val="24"/>
      <w:szCs w:val="24"/>
      <w:lang w:val="es-US" w:eastAsia="es-ES_tradnl"/>
    </w:rPr>
  </w:style>
  <w:style w:type="character" w:customStyle="1" w:styleId="Ttulo5Car">
    <w:name w:val="Título 5 Car"/>
    <w:basedOn w:val="Fuentedeprrafopredeter"/>
    <w:link w:val="Ttulo5"/>
    <w:uiPriority w:val="9"/>
    <w:rsid w:val="004950BC"/>
    <w:rPr>
      <w:rFonts w:asciiTheme="majorHAnsi" w:eastAsiaTheme="majorEastAsia" w:hAnsiTheme="majorHAnsi" w:cstheme="majorBidi"/>
      <w:color w:val="2E74B5" w:themeColor="accent1" w:themeShade="BF"/>
      <w:sz w:val="24"/>
      <w:szCs w:val="24"/>
      <w:lang w:val="es-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lcontribuyente.mx/2018/05/que-ocurre-si-el-fisco-no-te-responde-una-petic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scjn.gob.mx/sites/default/files/listas/documento_dos/2018-11/AR%20654-2018.pdf"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 Id="rId4" Type="http://schemas.openxmlformats.org/officeDocument/2006/relationships/hyperlink" Target="https://www.infoem.org.mx/est_/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A185F-526C-400A-B027-EEE07EBD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113</Pages>
  <Words>24828</Words>
  <Characters>136560</Characters>
  <Application>Microsoft Office Word</Application>
  <DocSecurity>0</DocSecurity>
  <Lines>1138</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3</cp:revision>
  <cp:lastPrinted>2019-08-21T23:30:00Z</cp:lastPrinted>
  <dcterms:created xsi:type="dcterms:W3CDTF">2021-04-16T03:48:00Z</dcterms:created>
  <dcterms:modified xsi:type="dcterms:W3CDTF">2021-06-04T03:13:00Z</dcterms:modified>
</cp:coreProperties>
</file>